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color w:val="auto"/>
          <w:szCs w:val="21"/>
          <w:highlight w:val="none"/>
          <w:u w:val="single"/>
          <w:lang w:bidi="ar"/>
        </w:rPr>
      </w:pPr>
      <w:bookmarkStart w:id="0" w:name="_Toc82141020"/>
      <w:bookmarkEnd w:id="0"/>
      <w:bookmarkStart w:id="1" w:name="_Toc115711029"/>
      <w:bookmarkEnd w:id="1"/>
      <w:bookmarkStart w:id="2" w:name="_Toc115711396"/>
      <w:bookmarkEnd w:id="2"/>
      <w:bookmarkStart w:id="3" w:name="_Toc114119681"/>
      <w:bookmarkEnd w:id="3"/>
      <w:bookmarkStart w:id="4" w:name="_Toc81802534"/>
      <w:bookmarkEnd w:id="4"/>
      <w:bookmarkStart w:id="5" w:name="_Toc81802526"/>
      <w:bookmarkEnd w:id="5"/>
    </w:p>
    <w:p>
      <w:pPr>
        <w:rPr>
          <w:rFonts w:ascii="宋体" w:hAnsi="宋体" w:eastAsia="宋体" w:cs="Times New Roman"/>
          <w:color w:val="auto"/>
          <w:szCs w:val="21"/>
          <w:highlight w:val="none"/>
        </w:rPr>
      </w:pPr>
      <w:r>
        <w:rPr>
          <w:rFonts w:ascii="宋体" w:hAnsi="宋体" w:eastAsia="宋体" w:cs="宋体"/>
          <w:color w:val="auto"/>
          <w:szCs w:val="21"/>
          <w:highlight w:val="none"/>
          <w:u w:val="single"/>
          <w:lang w:bidi="ar"/>
        </w:rPr>
        <w:t>202</w:t>
      </w:r>
      <w:r>
        <w:rPr>
          <w:rFonts w:hint="eastAsia" w:ascii="宋体" w:hAnsi="宋体" w:eastAsia="宋体" w:cs="宋体"/>
          <w:color w:val="auto"/>
          <w:szCs w:val="21"/>
          <w:highlight w:val="none"/>
          <w:u w:val="single"/>
          <w:lang w:val="en-US" w:eastAsia="zh-CN" w:bidi="ar"/>
        </w:rPr>
        <w:t>5</w:t>
      </w:r>
      <w:r>
        <w:rPr>
          <w:rFonts w:hint="eastAsia" w:ascii="宋体" w:hAnsi="宋体" w:eastAsia="宋体" w:cs="宋体"/>
          <w:color w:val="auto"/>
          <w:szCs w:val="21"/>
          <w:highlight w:val="none"/>
          <w:lang w:bidi="ar"/>
        </w:rPr>
        <w:t>年</w:t>
      </w:r>
      <w:r>
        <w:rPr>
          <w:rFonts w:hint="eastAsia" w:ascii="宋体" w:hAnsi="宋体" w:eastAsia="宋体" w:cs="宋体"/>
          <w:color w:val="auto"/>
          <w:szCs w:val="21"/>
          <w:highlight w:val="none"/>
          <w:u w:val="single"/>
          <w:lang w:val="en-US" w:eastAsia="zh-CN" w:bidi="ar"/>
        </w:rPr>
        <w:t xml:space="preserve"> 7 </w:t>
      </w:r>
      <w:r>
        <w:rPr>
          <w:rFonts w:hint="eastAsia" w:ascii="宋体" w:hAnsi="宋体" w:eastAsia="宋体" w:cs="宋体"/>
          <w:color w:val="auto"/>
          <w:szCs w:val="21"/>
          <w:highlight w:val="none"/>
          <w:lang w:bidi="ar"/>
        </w:rPr>
        <w:t>月发布</w:t>
      </w:r>
    </w:p>
    <w:p>
      <w:pPr>
        <w:rPr>
          <w:rFonts w:ascii="宋体" w:hAnsi="宋体" w:eastAsia="宋体" w:cs="Times New Roman"/>
          <w:b/>
          <w:color w:val="auto"/>
          <w:sz w:val="52"/>
          <w:szCs w:val="52"/>
          <w:highlight w:val="none"/>
        </w:rPr>
      </w:pPr>
      <w:r>
        <w:rPr>
          <w:rFonts w:ascii="宋体" w:hAnsi="宋体" w:eastAsia="宋体" w:cs="Times New Roman"/>
          <w:color w:val="auto"/>
          <w:szCs w:val="21"/>
          <w:highlight w:val="none"/>
          <w:lang w:bidi="ar"/>
        </w:rPr>
        <w:t xml:space="preserve"> </w:t>
      </w:r>
    </w:p>
    <w:p>
      <w:pPr>
        <w:spacing w:line="360" w:lineRule="auto"/>
        <w:jc w:val="center"/>
        <w:rPr>
          <w:rFonts w:hint="eastAsia" w:ascii="宋体" w:hAnsi="宋体" w:eastAsia="宋体" w:cs="Times New Roman"/>
          <w:b/>
          <w:color w:val="auto"/>
          <w:sz w:val="52"/>
          <w:szCs w:val="52"/>
          <w:highlight w:val="none"/>
          <w:lang w:eastAsia="zh-CN"/>
        </w:rPr>
      </w:pPr>
      <w:r>
        <w:rPr>
          <w:rFonts w:hint="eastAsia" w:ascii="宋体" w:hAnsi="宋体" w:eastAsia="宋体" w:cs="Times New Roman"/>
          <w:b/>
          <w:color w:val="auto"/>
          <w:sz w:val="52"/>
          <w:szCs w:val="52"/>
          <w:highlight w:val="none"/>
          <w:lang w:eastAsia="zh-CN"/>
        </w:rPr>
        <w:t>广州法治大厦项目勘察设计</w:t>
      </w:r>
    </w:p>
    <w:p>
      <w:pPr>
        <w:spacing w:line="360" w:lineRule="auto"/>
        <w:jc w:val="center"/>
        <w:rPr>
          <w:rFonts w:ascii="宋体" w:hAnsi="宋体" w:eastAsia="宋体" w:cs="Times New Roman"/>
          <w:b/>
          <w:color w:val="auto"/>
          <w:sz w:val="52"/>
          <w:szCs w:val="52"/>
          <w:highlight w:val="none"/>
        </w:rPr>
      </w:pPr>
    </w:p>
    <w:p>
      <w:pPr>
        <w:spacing w:line="360" w:lineRule="auto"/>
        <w:jc w:val="center"/>
        <w:rPr>
          <w:rFonts w:ascii="宋体" w:hAnsi="宋体" w:eastAsia="宋体" w:cs="Times New Roman"/>
          <w:b/>
          <w:color w:val="auto"/>
          <w:sz w:val="52"/>
          <w:szCs w:val="52"/>
          <w:highlight w:val="none"/>
        </w:rPr>
      </w:pPr>
    </w:p>
    <w:p>
      <w:pPr>
        <w:spacing w:line="360" w:lineRule="auto"/>
        <w:jc w:val="center"/>
        <w:outlineLvl w:val="0"/>
        <w:rPr>
          <w:rFonts w:ascii="宋体" w:hAnsi="宋体" w:eastAsia="宋体" w:cs="Times New Roman"/>
          <w:b/>
          <w:color w:val="auto"/>
          <w:sz w:val="52"/>
          <w:szCs w:val="52"/>
          <w:highlight w:val="none"/>
        </w:rPr>
      </w:pPr>
      <w:bookmarkStart w:id="6" w:name="_Toc2819"/>
      <w:bookmarkStart w:id="7" w:name="_Toc29208"/>
      <w:r>
        <w:rPr>
          <w:rFonts w:hint="eastAsia" w:ascii="宋体" w:hAnsi="宋体" w:eastAsia="宋体" w:cs="Times New Roman"/>
          <w:b/>
          <w:color w:val="auto"/>
          <w:sz w:val="72"/>
          <w:szCs w:val="72"/>
          <w:highlight w:val="none"/>
        </w:rPr>
        <w:t>招标文件</w:t>
      </w:r>
      <w:bookmarkEnd w:id="6"/>
      <w:bookmarkEnd w:id="7"/>
    </w:p>
    <w:p>
      <w:pPr>
        <w:spacing w:line="360" w:lineRule="auto"/>
        <w:rPr>
          <w:rFonts w:ascii="宋体" w:hAnsi="宋体" w:eastAsia="宋体" w:cs="Times New Roman"/>
          <w:color w:val="auto"/>
          <w:highlight w:val="none"/>
        </w:rPr>
      </w:pPr>
    </w:p>
    <w:p>
      <w:pPr>
        <w:spacing w:line="360" w:lineRule="auto"/>
        <w:rPr>
          <w:rFonts w:ascii="宋体" w:hAnsi="宋体" w:eastAsia="宋体" w:cs="Times New Roman"/>
          <w:color w:val="auto"/>
          <w:highlight w:val="none"/>
        </w:rPr>
      </w:pPr>
    </w:p>
    <w:p>
      <w:pPr>
        <w:spacing w:line="360" w:lineRule="auto"/>
        <w:rPr>
          <w:rFonts w:ascii="宋体" w:hAnsi="宋体" w:eastAsia="宋体" w:cs="Times New Roman"/>
          <w:color w:val="auto"/>
          <w:highlight w:val="none"/>
        </w:rPr>
      </w:pPr>
    </w:p>
    <w:p>
      <w:pPr>
        <w:spacing w:line="360" w:lineRule="auto"/>
        <w:rPr>
          <w:rFonts w:ascii="宋体" w:hAnsi="宋体" w:eastAsia="宋体" w:cs="Times New Roman"/>
          <w:color w:val="auto"/>
          <w:highlight w:val="none"/>
        </w:rPr>
      </w:pPr>
    </w:p>
    <w:p>
      <w:pPr>
        <w:spacing w:line="360" w:lineRule="auto"/>
        <w:rPr>
          <w:rFonts w:ascii="宋体" w:hAnsi="宋体" w:eastAsia="宋体" w:cs="Times New Roman"/>
          <w:color w:val="auto"/>
          <w:highlight w:val="none"/>
        </w:rPr>
      </w:pPr>
    </w:p>
    <w:p>
      <w:pPr>
        <w:spacing w:line="360" w:lineRule="auto"/>
        <w:rPr>
          <w:rFonts w:ascii="宋体" w:hAnsi="宋体" w:eastAsia="宋体" w:cs="Times New Roman"/>
          <w:color w:val="auto"/>
          <w:highlight w:val="none"/>
        </w:rPr>
      </w:pPr>
      <w:r>
        <w:rPr>
          <w:rFonts w:ascii="宋体" w:hAnsi="宋体" w:eastAsia="宋体" w:cs="Times New Roman"/>
          <w:color w:val="auto"/>
          <w:highlight w:val="none"/>
        </w:rPr>
        <w:t>-------------------------------------------------------------------------------</w:t>
      </w:r>
    </w:p>
    <w:p>
      <w:pPr>
        <w:spacing w:line="360" w:lineRule="auto"/>
        <w:rPr>
          <w:rFonts w:ascii="宋体" w:hAnsi="宋体" w:eastAsia="宋体" w:cs="Times New Roman"/>
          <w:color w:val="auto"/>
          <w:highlight w:val="none"/>
        </w:rPr>
      </w:pPr>
    </w:p>
    <w:p>
      <w:pPr>
        <w:spacing w:line="360" w:lineRule="auto"/>
        <w:rPr>
          <w:rFonts w:ascii="宋体" w:hAnsi="宋体"/>
          <w:color w:val="auto"/>
          <w:highlight w:val="none"/>
        </w:rPr>
        <w:sectPr>
          <w:headerReference r:id="rId3" w:type="default"/>
          <w:footerReference r:id="rId4" w:type="default"/>
          <w:pgSz w:w="11906" w:h="16838"/>
          <w:pgMar w:top="1440" w:right="17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spacing w:line="360" w:lineRule="auto"/>
        <w:rPr>
          <w:rFonts w:ascii="宋体" w:hAnsi="宋体" w:eastAsia="宋体" w:cs="Times New Roman"/>
          <w:color w:val="auto"/>
          <w:highlight w:val="none"/>
          <w:u w:val="single"/>
        </w:rPr>
      </w:pPr>
      <w:r>
        <w:rPr>
          <w:rFonts w:hint="eastAsia" w:ascii="宋体" w:hAnsi="宋体" w:eastAsia="宋体" w:cs="Times New Roman"/>
          <w:color w:val="auto"/>
          <w:highlight w:val="none"/>
        </w:rPr>
        <w:t>招标人（章）：</w:t>
      </w:r>
      <w:r>
        <w:rPr>
          <w:rFonts w:hint="eastAsia" w:ascii="宋体" w:hAnsi="宋体" w:eastAsia="宋体" w:cs="Times New Roman"/>
          <w:color w:val="auto"/>
          <w:highlight w:val="none"/>
          <w:u w:val="single"/>
        </w:rPr>
        <w:t>广州市重点公共建设项目管理中心</w:t>
      </w:r>
    </w:p>
    <w:p>
      <w:pPr>
        <w:spacing w:line="360" w:lineRule="auto"/>
        <w:rPr>
          <w:rFonts w:ascii="宋体" w:hAnsi="宋体" w:eastAsia="宋体" w:cs="Times New Roman"/>
          <w:color w:val="auto"/>
          <w:highlight w:val="none"/>
        </w:rPr>
      </w:pPr>
      <w:r>
        <w:rPr>
          <w:rFonts w:hint="eastAsia" w:ascii="宋体" w:hAnsi="宋体" w:eastAsia="宋体" w:cs="Times New Roman"/>
          <w:color w:val="auto"/>
          <w:highlight w:val="none"/>
        </w:rPr>
        <w:t>授权代表：</w:t>
      </w:r>
      <w:r>
        <w:rPr>
          <w:rFonts w:hint="default" w:ascii="宋体" w:hAnsi="宋体" w:eastAsia="宋体" w:cs="Times New Roman"/>
          <w:color w:val="auto"/>
          <w:highlight w:val="none"/>
          <w:u w:val="single"/>
        </w:rPr>
        <w:t>李</w:t>
      </w:r>
      <w:r>
        <w:rPr>
          <w:rFonts w:hint="eastAsia" w:ascii="宋体" w:hAnsi="宋体" w:eastAsia="宋体" w:cs="Times New Roman"/>
          <w:color w:val="auto"/>
          <w:highlight w:val="none"/>
          <w:u w:val="single"/>
        </w:rPr>
        <w:t>工</w:t>
      </w:r>
    </w:p>
    <w:p>
      <w:pPr>
        <w:spacing w:line="360" w:lineRule="auto"/>
        <w:rPr>
          <w:rFonts w:ascii="宋体" w:hAnsi="宋体" w:eastAsia="宋体" w:cs="Times New Roman"/>
          <w:color w:val="auto"/>
          <w:highlight w:val="none"/>
        </w:rPr>
      </w:pPr>
      <w:r>
        <w:rPr>
          <w:rFonts w:hint="eastAsia" w:ascii="宋体" w:hAnsi="宋体" w:eastAsia="宋体" w:cs="Times New Roman"/>
          <w:color w:val="auto"/>
          <w:highlight w:val="none"/>
        </w:rPr>
        <w:t>地址：</w:t>
      </w:r>
      <w:r>
        <w:rPr>
          <w:rFonts w:hint="eastAsia" w:ascii="宋体" w:hAnsi="宋体" w:eastAsia="宋体" w:cs="Times New Roman"/>
          <w:color w:val="auto"/>
          <w:highlight w:val="none"/>
          <w:u w:val="single"/>
        </w:rPr>
        <w:t>广州大学城内环东星运路</w:t>
      </w:r>
      <w:r>
        <w:rPr>
          <w:rFonts w:ascii="宋体" w:hAnsi="宋体" w:eastAsia="宋体" w:cs="Times New Roman"/>
          <w:color w:val="auto"/>
          <w:highlight w:val="none"/>
          <w:u w:val="single"/>
        </w:rPr>
        <w:t>1号</w:t>
      </w:r>
    </w:p>
    <w:p>
      <w:pPr>
        <w:spacing w:line="360" w:lineRule="auto"/>
        <w:rPr>
          <w:rFonts w:ascii="宋体" w:hAnsi="宋体" w:eastAsia="宋体" w:cs="Times New Roman"/>
          <w:color w:val="auto"/>
          <w:highlight w:val="none"/>
        </w:rPr>
      </w:pPr>
      <w:r>
        <w:rPr>
          <w:rFonts w:hint="eastAsia" w:ascii="宋体" w:hAnsi="宋体" w:eastAsia="宋体" w:cs="Times New Roman"/>
          <w:color w:val="auto"/>
          <w:highlight w:val="none"/>
        </w:rPr>
        <w:t>邮政编码：</w:t>
      </w:r>
      <w:r>
        <w:rPr>
          <w:rFonts w:ascii="宋体" w:hAnsi="宋体" w:eastAsia="宋体" w:cs="Times New Roman"/>
          <w:color w:val="auto"/>
          <w:highlight w:val="none"/>
          <w:u w:val="single"/>
        </w:rPr>
        <w:t>510006</w:t>
      </w:r>
    </w:p>
    <w:p>
      <w:pPr>
        <w:spacing w:line="360" w:lineRule="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rPr>
        <w:t>电话：</w:t>
      </w:r>
      <w:r>
        <w:rPr>
          <w:rFonts w:hint="eastAsia" w:ascii="宋体" w:hAnsi="宋体" w:eastAsia="宋体" w:cs="Times New Roman"/>
          <w:color w:val="auto"/>
          <w:highlight w:val="none"/>
          <w:u w:val="single"/>
          <w:lang w:eastAsia="zh-CN"/>
        </w:rPr>
        <w:t>020-229057</w:t>
      </w:r>
      <w:r>
        <w:rPr>
          <w:rFonts w:hint="default" w:ascii="宋体" w:hAnsi="宋体" w:eastAsia="宋体" w:cs="Times New Roman"/>
          <w:color w:val="auto"/>
          <w:highlight w:val="none"/>
          <w:u w:val="single"/>
          <w:lang w:eastAsia="zh-CN"/>
        </w:rPr>
        <w:t>42</w:t>
      </w:r>
    </w:p>
    <w:p>
      <w:pPr>
        <w:spacing w:line="360" w:lineRule="auto"/>
        <w:rPr>
          <w:rFonts w:ascii="宋体" w:hAnsi="宋体" w:eastAsia="宋体" w:cs="Times New Roman"/>
          <w:color w:val="auto"/>
          <w:highlight w:val="none"/>
        </w:rPr>
      </w:pPr>
      <w:r>
        <w:rPr>
          <w:rFonts w:hint="eastAsia" w:ascii="宋体" w:hAnsi="宋体" w:eastAsia="宋体" w:cs="Times New Roman"/>
          <w:color w:val="auto"/>
          <w:highlight w:val="none"/>
        </w:rPr>
        <w:t>传真：</w:t>
      </w:r>
      <w:r>
        <w:rPr>
          <w:rFonts w:ascii="宋体" w:hAnsi="宋体" w:eastAsia="宋体" w:cs="Times New Roman"/>
          <w:color w:val="auto"/>
          <w:highlight w:val="none"/>
          <w:u w:val="single"/>
        </w:rPr>
        <w:t>020-22905691</w:t>
      </w:r>
    </w:p>
    <w:p>
      <w:pPr>
        <w:spacing w:line="360" w:lineRule="auto"/>
        <w:rPr>
          <w:rFonts w:ascii="宋体" w:hAnsi="宋体" w:eastAsia="宋体" w:cs="Times New Roman"/>
          <w:color w:val="auto"/>
          <w:highlight w:val="none"/>
          <w:u w:val="single"/>
        </w:rPr>
      </w:pPr>
      <w:r>
        <w:rPr>
          <w:rFonts w:hint="eastAsia" w:ascii="宋体" w:hAnsi="宋体" w:eastAsia="宋体" w:cs="Times New Roman"/>
          <w:color w:val="auto"/>
          <w:szCs w:val="21"/>
          <w:highlight w:val="none"/>
        </w:rPr>
        <w:t>电子邮箱：</w:t>
      </w:r>
      <w:r>
        <w:rPr>
          <w:rFonts w:ascii="宋体" w:hAnsi="宋体" w:eastAsia="宋体" w:cs="Times New Roman"/>
          <w:color w:val="auto"/>
          <w:szCs w:val="21"/>
          <w:highlight w:val="none"/>
          <w:u w:val="single"/>
        </w:rPr>
        <w:t>/</w:t>
      </w:r>
    </w:p>
    <w:p>
      <w:pPr>
        <w:spacing w:line="360" w:lineRule="auto"/>
        <w:rPr>
          <w:rFonts w:ascii="宋体" w:hAnsi="宋体" w:eastAsia="宋体" w:cs="Times New Roman"/>
          <w:color w:val="auto"/>
          <w:highlight w:val="none"/>
        </w:rPr>
      </w:pPr>
    </w:p>
    <w:p>
      <w:pPr>
        <w:spacing w:line="360" w:lineRule="auto"/>
        <w:rPr>
          <w:rFonts w:ascii="宋体" w:hAnsi="宋体" w:eastAsia="宋体" w:cs="Times New Roman"/>
          <w:color w:val="auto"/>
          <w:highlight w:val="none"/>
        </w:rPr>
      </w:pPr>
    </w:p>
    <w:p>
      <w:pPr>
        <w:spacing w:line="360" w:lineRule="auto"/>
        <w:rPr>
          <w:rFonts w:ascii="宋体" w:hAnsi="宋体" w:eastAsia="宋体" w:cs="Times New Roman"/>
          <w:color w:val="auto"/>
          <w:highlight w:val="none"/>
        </w:rPr>
      </w:pPr>
    </w:p>
    <w:p>
      <w:pPr>
        <w:spacing w:line="360" w:lineRule="auto"/>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rPr>
        <w:t>招标代理（章）：</w:t>
      </w:r>
      <w:r>
        <w:rPr>
          <w:rFonts w:hint="eastAsia" w:ascii="宋体" w:hAnsi="宋体" w:eastAsia="宋体" w:cs="Times New Roman"/>
          <w:color w:val="auto"/>
          <w:highlight w:val="none"/>
          <w:u w:val="single"/>
          <w:lang w:eastAsia="zh-CN"/>
        </w:rPr>
        <w:t>广州市市政工程监理有限公司</w:t>
      </w:r>
    </w:p>
    <w:p>
      <w:pPr>
        <w:spacing w:line="360" w:lineRule="auto"/>
        <w:rPr>
          <w:rFonts w:hint="eastAsia" w:ascii="宋体" w:hAnsi="宋体" w:eastAsia="宋体" w:cs="Times New Roman"/>
          <w:color w:val="auto"/>
          <w:highlight w:val="none"/>
        </w:rPr>
      </w:pPr>
    </w:p>
    <w:p>
      <w:pPr>
        <w:spacing w:line="360" w:lineRule="auto"/>
        <w:rPr>
          <w:rFonts w:hint="default" w:ascii="宋体" w:hAnsi="宋体" w:eastAsia="宋体" w:cs="Times New Roman"/>
          <w:color w:val="auto"/>
          <w:highlight w:val="none"/>
          <w:lang w:val="en-US" w:eastAsia="zh-CN"/>
        </w:rPr>
      </w:pPr>
      <w:r>
        <w:rPr>
          <w:rFonts w:hint="eastAsia" w:ascii="宋体" w:hAnsi="宋体" w:eastAsia="宋体" w:cs="Times New Roman"/>
          <w:color w:val="auto"/>
          <w:highlight w:val="none"/>
        </w:rPr>
        <w:t>授权代表：</w:t>
      </w:r>
      <w:r>
        <w:rPr>
          <w:rFonts w:hint="eastAsia" w:ascii="宋体" w:hAnsi="宋体" w:eastAsia="宋体" w:cs="Times New Roman"/>
          <w:color w:val="auto"/>
          <w:highlight w:val="none"/>
          <w:u w:val="single"/>
          <w:lang w:val="en-US" w:eastAsia="zh-CN"/>
        </w:rPr>
        <w:t>梁工</w:t>
      </w:r>
    </w:p>
    <w:p>
      <w:pPr>
        <w:spacing w:line="360" w:lineRule="auto"/>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rPr>
        <w:t>地址：</w:t>
      </w:r>
      <w:r>
        <w:rPr>
          <w:rFonts w:hint="eastAsia" w:ascii="宋体" w:hAnsi="宋体" w:eastAsia="宋体" w:cs="Times New Roman"/>
          <w:color w:val="auto"/>
          <w:highlight w:val="none"/>
          <w:u w:val="single"/>
          <w:lang w:eastAsia="zh-CN"/>
        </w:rPr>
        <w:t>广州市越秀区东风中路437号越秀城市广场南塔38楼</w:t>
      </w:r>
    </w:p>
    <w:p>
      <w:pPr>
        <w:spacing w:line="360" w:lineRule="auto"/>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rPr>
        <w:t>邮政编码：</w:t>
      </w:r>
      <w:r>
        <w:rPr>
          <w:rFonts w:hint="eastAsia" w:ascii="宋体" w:hAnsi="宋体" w:eastAsia="宋体" w:cs="Times New Roman"/>
          <w:color w:val="auto"/>
          <w:highlight w:val="none"/>
          <w:u w:val="single"/>
          <w:lang w:eastAsia="zh-CN"/>
        </w:rPr>
        <w:t>510000</w:t>
      </w:r>
    </w:p>
    <w:p>
      <w:pPr>
        <w:spacing w:line="360" w:lineRule="auto"/>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rPr>
        <w:t>电话：</w:t>
      </w:r>
      <w:r>
        <w:rPr>
          <w:rFonts w:hint="eastAsia" w:ascii="宋体" w:hAnsi="宋体" w:eastAsia="宋体" w:cs="Times New Roman"/>
          <w:color w:val="auto"/>
          <w:highlight w:val="none"/>
          <w:u w:val="single"/>
          <w:lang w:eastAsia="zh-CN"/>
        </w:rPr>
        <w:t>020-83313605、13760646800</w:t>
      </w:r>
    </w:p>
    <w:p>
      <w:pPr>
        <w:spacing w:line="360" w:lineRule="auto"/>
        <w:rPr>
          <w:rFonts w:hint="eastAsia" w:ascii="宋体" w:hAnsi="宋体" w:eastAsia="宋体" w:cs="Times New Roman"/>
          <w:color w:val="auto"/>
          <w:highlight w:val="none"/>
          <w:u w:val="single"/>
          <w:lang w:eastAsia="zh-CN"/>
        </w:rPr>
      </w:pPr>
      <w:r>
        <w:rPr>
          <w:rFonts w:hint="eastAsia" w:ascii="宋体" w:hAnsi="宋体" w:eastAsia="宋体" w:cs="Times New Roman"/>
          <w:color w:val="auto"/>
          <w:szCs w:val="21"/>
          <w:highlight w:val="none"/>
        </w:rPr>
        <w:t>电子邮箱：</w:t>
      </w:r>
      <w:r>
        <w:rPr>
          <w:rFonts w:hint="eastAsia" w:ascii="宋体" w:hAnsi="宋体" w:eastAsia="宋体" w:cs="Times New Roman"/>
          <w:color w:val="auto"/>
          <w:szCs w:val="21"/>
          <w:highlight w:val="none"/>
          <w:u w:val="single"/>
          <w:lang w:val="en-US" w:eastAsia="zh-CN"/>
        </w:rPr>
        <w:t>gzszzb02@126.com</w:t>
      </w:r>
    </w:p>
    <w:p>
      <w:pPr>
        <w:rPr>
          <w:rFonts w:ascii="宋体" w:hAnsi="宋体"/>
          <w:color w:val="auto"/>
          <w:highlight w:val="none"/>
        </w:rPr>
        <w:sectPr>
          <w:headerReference r:id="rId5" w:type="default"/>
          <w:footerReference r:id="rId6" w:type="default"/>
          <w:type w:val="continuous"/>
          <w:pgSz w:w="11906" w:h="16838"/>
          <w:pgMar w:top="1440" w:right="1440" w:bottom="1440" w:left="1440" w:header="851" w:footer="992" w:gutter="0"/>
          <w:pgBorders>
            <w:top w:val="none" w:sz="0" w:space="0"/>
            <w:left w:val="none" w:sz="0" w:space="0"/>
            <w:bottom w:val="none" w:sz="0" w:space="0"/>
            <w:right w:val="none" w:sz="0" w:space="0"/>
          </w:pgBorders>
          <w:cols w:equalWidth="0" w:num="2">
            <w:col w:w="4287" w:space="425"/>
            <w:col w:w="4314"/>
          </w:cols>
          <w:docGrid w:type="linesAndChars" w:linePitch="312" w:charSpace="0"/>
        </w:sectPr>
      </w:pPr>
    </w:p>
    <w:p>
      <w:pPr>
        <w:jc w:val="center"/>
        <w:outlineLvl w:val="1"/>
        <w:rPr>
          <w:rFonts w:ascii="宋体" w:hAnsi="宋体" w:eastAsia="宋体" w:cs="Times New Roman"/>
          <w:b/>
          <w:color w:val="auto"/>
          <w:sz w:val="32"/>
          <w:szCs w:val="32"/>
          <w:highlight w:val="none"/>
        </w:rPr>
      </w:pPr>
      <w:bookmarkStart w:id="8" w:name="_Toc21674"/>
      <w:r>
        <w:rPr>
          <w:rFonts w:hint="eastAsia" w:ascii="宋体" w:hAnsi="宋体" w:eastAsia="宋体" w:cs="Times New Roman"/>
          <w:b/>
          <w:color w:val="auto"/>
          <w:sz w:val="32"/>
          <w:szCs w:val="32"/>
          <w:highlight w:val="none"/>
        </w:rPr>
        <w:t>招标文件修改表</w:t>
      </w:r>
      <w:bookmarkEnd w:id="8"/>
    </w:p>
    <w:p>
      <w:pPr>
        <w:ind w:firstLine="420"/>
        <w:rPr>
          <w:rFonts w:ascii="Times New Roman" w:hAnsi="Times New Roman" w:eastAsia="宋体" w:cs="Times New Roman"/>
          <w:color w:val="auto"/>
          <w:szCs w:val="21"/>
          <w:highlight w:val="none"/>
        </w:rPr>
      </w:pPr>
      <w:r>
        <w:rPr>
          <w:rFonts w:hint="default" w:ascii="Times New Roman" w:hAnsi="Times New Roman" w:eastAsia="宋体" w:cs="Times New Roman"/>
          <w:color w:val="auto"/>
          <w:highlight w:val="none"/>
        </w:rPr>
        <w:t>招标人（招标代理机构）一般应按照全过程电子化范本（房建类）格式编制招标文件。如果修改，范本被删除的内容应标注删除线，新增内容应标注下划线。需要修改的内容</w:t>
      </w:r>
      <w:r>
        <w:rPr>
          <w:rFonts w:hint="default" w:ascii="Times New Roman" w:hAnsi="Times New Roman" w:eastAsia="宋体" w:cs="Times New Roman"/>
          <w:color w:val="auto"/>
          <w:szCs w:val="21"/>
          <w:highlight w:val="none"/>
        </w:rPr>
        <w:t>均在本表中列明，并以现文为准，原文不再有效。本招标文件中不再转录范本条款，请投标人自行到广州市住房和城乡建设局网站（网址：</w:t>
      </w:r>
      <w:r>
        <w:rPr>
          <w:rFonts w:ascii="Times New Roman" w:hAnsi="Times New Roman" w:eastAsia="宋体" w:cs="Times New Roman"/>
          <w:color w:val="auto"/>
          <w:szCs w:val="21"/>
          <w:highlight w:val="none"/>
        </w:rPr>
        <w:t>http://zfcj.gz.gov.cn/</w:t>
      </w:r>
      <w:r>
        <w:rPr>
          <w:rFonts w:hint="default" w:ascii="Times New Roman" w:hAnsi="Times New Roman" w:eastAsia="宋体" w:cs="Times New Roman"/>
          <w:color w:val="auto"/>
          <w:szCs w:val="21"/>
          <w:highlight w:val="none"/>
        </w:rPr>
        <w:t>）下载查阅。</w:t>
      </w:r>
    </w:p>
    <w:p>
      <w:pPr>
        <w:ind w:firstLine="420"/>
        <w:rPr>
          <w:rFonts w:ascii="Calibri" w:hAnsi="Calibri" w:eastAsia="宋体" w:cs="Times New Roman"/>
          <w:color w:val="auto"/>
          <w:szCs w:val="21"/>
          <w:highlight w:val="none"/>
        </w:rPr>
      </w:pPr>
    </w:p>
    <w:tbl>
      <w:tblPr>
        <w:tblStyle w:val="11"/>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248"/>
        <w:gridCol w:w="3610"/>
        <w:gridCol w:w="3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48" w:type="dxa"/>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章节、条目</w:t>
            </w:r>
          </w:p>
        </w:tc>
        <w:tc>
          <w:tcPr>
            <w:tcW w:w="3610" w:type="dxa"/>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范本原文</w:t>
            </w:r>
          </w:p>
        </w:tc>
        <w:tc>
          <w:tcPr>
            <w:tcW w:w="3717" w:type="dxa"/>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拟删改的内容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default" w:ascii="宋体" w:hAnsi="宋体" w:eastAsia="宋体" w:cs="宋体"/>
                <w:color w:val="auto"/>
                <w:szCs w:val="21"/>
                <w:highlight w:val="none"/>
              </w:rPr>
              <w:t>1</w:t>
            </w:r>
          </w:p>
        </w:tc>
        <w:tc>
          <w:tcPr>
            <w:tcW w:w="124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第一章</w:t>
            </w:r>
          </w:p>
        </w:tc>
        <w:tc>
          <w:tcPr>
            <w:tcW w:w="361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招标公告</w:t>
            </w:r>
          </w:p>
        </w:tc>
        <w:tc>
          <w:tcPr>
            <w:tcW w:w="3717"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Times New Roman"/>
                <w:color w:val="auto"/>
                <w:szCs w:val="21"/>
                <w:highlight w:val="none"/>
              </w:rPr>
              <w:t>修改详见《招标公告》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default" w:ascii="宋体" w:hAnsi="宋体" w:eastAsia="宋体" w:cs="宋体"/>
                <w:color w:val="auto"/>
                <w:szCs w:val="21"/>
                <w:highlight w:val="none"/>
              </w:rPr>
              <w:t>2</w:t>
            </w:r>
          </w:p>
        </w:tc>
        <w:tc>
          <w:tcPr>
            <w:tcW w:w="124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default" w:ascii="宋体" w:hAnsi="宋体" w:eastAsia="宋体" w:cs="宋体"/>
                <w:color w:val="auto"/>
                <w:szCs w:val="21"/>
                <w:highlight w:val="none"/>
              </w:rPr>
              <w:t>3.1</w:t>
            </w:r>
          </w:p>
        </w:tc>
        <w:tc>
          <w:tcPr>
            <w:tcW w:w="3610" w:type="dxa"/>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3.1    </w:t>
            </w:r>
            <w:r>
              <w:rPr>
                <w:rFonts w:hint="eastAsia" w:ascii="宋体" w:hAnsi="宋体" w:eastAsia="宋体" w:cs="宋体"/>
                <w:color w:val="auto"/>
                <w:szCs w:val="21"/>
                <w:highlight w:val="none"/>
              </w:rPr>
              <w:t>现场考察</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3.1.1  </w:t>
            </w:r>
            <w:r>
              <w:rPr>
                <w:rFonts w:hint="eastAsia" w:ascii="宋体" w:hAnsi="宋体" w:eastAsia="宋体" w:cs="宋体"/>
                <w:color w:val="auto"/>
                <w:szCs w:val="21"/>
                <w:highlight w:val="none"/>
              </w:rPr>
              <w:t>招标人安排投标人代表对工程现场进行考察，目的是使每个投标人查看现场并获得编制投标文件所需要的一切资料。</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3.1.2  </w:t>
            </w:r>
            <w:r>
              <w:rPr>
                <w:rFonts w:hint="eastAsia" w:ascii="宋体" w:hAnsi="宋体" w:eastAsia="宋体" w:cs="宋体"/>
                <w:color w:val="auto"/>
                <w:szCs w:val="21"/>
                <w:highlight w:val="none"/>
              </w:rPr>
              <w:t>每个投标人参加现场考察的人数不宜超过</w:t>
            </w:r>
            <w:r>
              <w:rPr>
                <w:rFonts w:hint="default" w:ascii="宋体" w:hAnsi="宋体" w:eastAsia="宋体" w:cs="宋体"/>
                <w:color w:val="auto"/>
                <w:szCs w:val="21"/>
                <w:highlight w:val="none"/>
              </w:rPr>
              <w:t>3人，外国投标人代表应自带中文翻译。</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3.1.3  </w:t>
            </w:r>
            <w:r>
              <w:rPr>
                <w:rFonts w:hint="eastAsia" w:ascii="宋体" w:hAnsi="宋体" w:eastAsia="宋体" w:cs="宋体"/>
                <w:color w:val="auto"/>
                <w:szCs w:val="21"/>
                <w:highlight w:val="none"/>
              </w:rPr>
              <w:t>现场考察期间招标人接受投标人代表的提问。</w:t>
            </w:r>
          </w:p>
        </w:tc>
        <w:tc>
          <w:tcPr>
            <w:tcW w:w="3717" w:type="dxa"/>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3.1    </w:t>
            </w:r>
            <w:r>
              <w:rPr>
                <w:rFonts w:hint="eastAsia" w:ascii="宋体" w:hAnsi="宋体" w:eastAsia="宋体" w:cs="宋体"/>
                <w:color w:val="auto"/>
                <w:szCs w:val="21"/>
                <w:highlight w:val="none"/>
              </w:rPr>
              <w:t>现场考察</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3.1.1  </w:t>
            </w:r>
            <w:r>
              <w:rPr>
                <w:rFonts w:hint="eastAsia" w:ascii="宋体" w:hAnsi="宋体" w:eastAsia="宋体" w:cs="宋体"/>
                <w:color w:val="auto"/>
                <w:szCs w:val="21"/>
                <w:highlight w:val="none"/>
                <w:u w:val="single"/>
              </w:rPr>
              <w:t>现场考察由投标人自行考察，招标人不统一安排现场考察。</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default" w:ascii="宋体" w:hAnsi="宋体" w:eastAsia="宋体" w:cs="宋体"/>
                <w:color w:val="auto"/>
                <w:szCs w:val="21"/>
                <w:highlight w:val="none"/>
                <w:u w:val="single"/>
              </w:rPr>
              <w:t xml:space="preserve">3.1.2  </w:t>
            </w:r>
            <w:r>
              <w:rPr>
                <w:rFonts w:hint="eastAsia" w:ascii="宋体" w:hAnsi="宋体" w:eastAsia="宋体" w:cs="宋体"/>
                <w:color w:val="auto"/>
                <w:szCs w:val="21"/>
                <w:highlight w:val="none"/>
                <w:u w:val="single"/>
              </w:rPr>
              <w:t>投标人及其代表必须承担那些进入现场后，由于自身的行为所造成的人身伤害（不管是否致命）、财产损失或损坏，以及其他任何原因造成的损失、损坏或费用。招标人在投标人及其代表考察过程中不负任何责任。但投标人不得因此使招标人承担有关的责任和蒙受损失。投标人应承担踏勘现场的责任和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default" w:ascii="宋体" w:hAnsi="宋体" w:eastAsia="宋体" w:cs="宋体"/>
                <w:color w:val="auto"/>
                <w:szCs w:val="21"/>
                <w:highlight w:val="none"/>
              </w:rPr>
              <w:t>3</w:t>
            </w:r>
          </w:p>
        </w:tc>
        <w:tc>
          <w:tcPr>
            <w:tcW w:w="124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default" w:ascii="宋体" w:hAnsi="宋体" w:eastAsia="宋体" w:cs="宋体"/>
                <w:color w:val="auto"/>
                <w:szCs w:val="21"/>
                <w:highlight w:val="none"/>
              </w:rPr>
              <w:t>3.2.1</w:t>
            </w:r>
          </w:p>
        </w:tc>
        <w:tc>
          <w:tcPr>
            <w:tcW w:w="3610" w:type="dxa"/>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投标人应认真审阅招标文件和有关资料，尽力澄清一切疑点，对工程现场和周围环境进行勘察，以获取编制投标文件和签署合同所需的所有资料。</w:t>
            </w:r>
          </w:p>
        </w:tc>
        <w:tc>
          <w:tcPr>
            <w:tcW w:w="3717" w:type="dxa"/>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u w:val="single"/>
              </w:rPr>
            </w:pPr>
            <w:r>
              <w:rPr>
                <w:rFonts w:hint="eastAsia" w:ascii="宋体" w:hAnsi="宋体" w:eastAsia="宋体" w:cs="宋体"/>
                <w:b/>
                <w:color w:val="auto"/>
                <w:szCs w:val="21"/>
                <w:highlight w:val="none"/>
              </w:rPr>
              <w:t>修改：</w:t>
            </w:r>
            <w:r>
              <w:rPr>
                <w:rFonts w:hint="eastAsia" w:ascii="宋体" w:hAnsi="宋体" w:eastAsia="宋体" w:cs="宋体"/>
                <w:color w:val="auto"/>
                <w:szCs w:val="21"/>
                <w:highlight w:val="none"/>
              </w:rPr>
              <w:t>投标人应认真审阅招标文件和有关资料，尽力澄清一切疑点，</w:t>
            </w:r>
            <w:r>
              <w:rPr>
                <w:rFonts w:hint="eastAsia" w:ascii="宋体" w:hAnsi="宋体" w:eastAsia="宋体" w:cs="宋体"/>
                <w:b w:val="0"/>
                <w:bCs/>
                <w:color w:val="auto"/>
                <w:szCs w:val="21"/>
                <w:highlight w:val="none"/>
                <w:u w:val="single"/>
              </w:rPr>
              <w:t>自行</w:t>
            </w:r>
            <w:r>
              <w:rPr>
                <w:rFonts w:hint="eastAsia" w:ascii="宋体" w:hAnsi="宋体" w:eastAsia="宋体" w:cs="宋体"/>
                <w:color w:val="auto"/>
                <w:szCs w:val="21"/>
                <w:highlight w:val="none"/>
              </w:rPr>
              <w:t>对工程现场和周围环境进行勘察，以获取编制投标文件和签署合同所需的所有资料。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default" w:ascii="宋体" w:hAnsi="宋体" w:eastAsia="宋体" w:cs="宋体"/>
                <w:color w:val="auto"/>
                <w:szCs w:val="21"/>
                <w:highlight w:val="none"/>
              </w:rPr>
              <w:t>4</w:t>
            </w:r>
          </w:p>
        </w:tc>
        <w:tc>
          <w:tcPr>
            <w:tcW w:w="124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default" w:ascii="宋体" w:hAnsi="宋体" w:eastAsia="宋体" w:cs="宋体"/>
                <w:color w:val="auto"/>
                <w:szCs w:val="21"/>
                <w:highlight w:val="none"/>
              </w:rPr>
              <w:t>3.2.3</w:t>
            </w:r>
          </w:p>
        </w:tc>
        <w:tc>
          <w:tcPr>
            <w:tcW w:w="3610" w:type="dxa"/>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3.2.3  </w:t>
            </w:r>
            <w:r>
              <w:rPr>
                <w:rFonts w:hint="eastAsia" w:ascii="宋体" w:hAnsi="宋体" w:eastAsia="宋体" w:cs="宋体"/>
                <w:color w:val="auto"/>
                <w:szCs w:val="21"/>
                <w:highlight w:val="none"/>
              </w:rPr>
              <w:t>投标人需要澄清的问题应在规定的时间内，按交易平台的操作指引上传至交易平台网站。招标人应在递交投标文件截止时间</w:t>
            </w:r>
            <w:r>
              <w:rPr>
                <w:rFonts w:hint="default" w:ascii="宋体" w:hAnsi="宋体" w:eastAsia="宋体" w:cs="宋体"/>
                <w:color w:val="auto"/>
                <w:szCs w:val="21"/>
                <w:highlight w:val="none"/>
              </w:rPr>
              <w:t>15日前解答投标人对招标文件提出的疑问，形成澄清或答疑纪要在交易平台发布。不足15日的，招标人应当顺延投标文件的截止时间。</w:t>
            </w:r>
          </w:p>
        </w:tc>
        <w:tc>
          <w:tcPr>
            <w:tcW w:w="3717" w:type="dxa"/>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b/>
                <w:color w:val="auto"/>
                <w:szCs w:val="21"/>
                <w:highlight w:val="none"/>
              </w:rPr>
              <w:t>修改</w:t>
            </w:r>
            <w:r>
              <w:rPr>
                <w:rFonts w:hint="eastAsia" w:ascii="宋体" w:hAnsi="宋体" w:eastAsia="宋体" w:cs="宋体"/>
                <w:color w:val="auto"/>
                <w:szCs w:val="21"/>
                <w:highlight w:val="none"/>
              </w:rPr>
              <w:t>：</w:t>
            </w:r>
            <w:r>
              <w:rPr>
                <w:rFonts w:hint="eastAsia" w:ascii="宋体" w:hAnsi="宋体" w:eastAsia="宋体" w:cs="Times New Roman"/>
                <w:color w:val="auto"/>
                <w:highlight w:val="none"/>
              </w:rPr>
              <w:t>投标人需要澄清的问题应</w:t>
            </w:r>
            <w:r>
              <w:rPr>
                <w:rFonts w:hint="eastAsia" w:ascii="宋体" w:hAnsi="宋体" w:eastAsia="宋体" w:cs="宋体"/>
                <w:color w:val="auto"/>
                <w:szCs w:val="21"/>
                <w:highlight w:val="none"/>
                <w:u w:val="single"/>
              </w:rPr>
              <w:t>在投标截止时间</w:t>
            </w:r>
            <w:r>
              <w:rPr>
                <w:rFonts w:hint="default" w:ascii="宋体" w:hAnsi="宋体" w:eastAsia="宋体" w:cs="宋体"/>
                <w:color w:val="auto"/>
                <w:szCs w:val="21"/>
                <w:highlight w:val="none"/>
                <w:u w:val="single"/>
              </w:rPr>
              <w:t>18个日历天前</w:t>
            </w:r>
            <w:r>
              <w:rPr>
                <w:rFonts w:hint="eastAsia" w:ascii="宋体" w:hAnsi="宋体" w:eastAsia="宋体" w:cs="Times New Roman"/>
                <w:color w:val="auto"/>
                <w:highlight w:val="none"/>
              </w:rPr>
              <w:t>，按交易平台的操作指引上传至交易平台网站。招标人应在递交投标文件截止时间</w:t>
            </w:r>
            <w:r>
              <w:rPr>
                <w:rFonts w:hint="default" w:ascii="宋体" w:hAnsi="宋体" w:eastAsia="宋体" w:cs="宋体"/>
                <w:color w:val="auto"/>
                <w:szCs w:val="21"/>
                <w:highlight w:val="none"/>
                <w:u w:val="single"/>
              </w:rPr>
              <w:t>15个日历天前</w:t>
            </w:r>
            <w:r>
              <w:rPr>
                <w:rFonts w:hint="eastAsia" w:ascii="宋体" w:hAnsi="宋体" w:eastAsia="宋体" w:cs="Times New Roman"/>
                <w:color w:val="auto"/>
                <w:highlight w:val="none"/>
              </w:rPr>
              <w:t>解答投标人对招标文件提出的疑问，</w:t>
            </w:r>
            <w:r>
              <w:rPr>
                <w:rFonts w:hint="eastAsia" w:ascii="宋体" w:hAnsi="宋体" w:eastAsia="宋体" w:cs="宋体"/>
                <w:color w:val="auto"/>
                <w:szCs w:val="21"/>
                <w:highlight w:val="none"/>
                <w:u w:val="single"/>
              </w:rPr>
              <w:t>形成答疑纪要，在</w:t>
            </w:r>
            <w:r>
              <w:rPr>
                <w:rFonts w:hint="eastAsia" w:ascii="宋体" w:hAnsi="宋体" w:eastAsia="宋体" w:cs="宋体"/>
                <w:color w:val="auto"/>
                <w:szCs w:val="21"/>
                <w:highlight w:val="none"/>
                <w:u w:val="single"/>
                <w:lang w:eastAsia="zh-CN"/>
              </w:rPr>
              <w:t>广州交易集团有限公司（广州公共资源交易中心）</w:t>
            </w:r>
            <w:r>
              <w:rPr>
                <w:rFonts w:hint="eastAsia" w:ascii="宋体" w:hAnsi="宋体" w:eastAsia="宋体" w:cs="宋体"/>
                <w:color w:val="auto"/>
                <w:szCs w:val="21"/>
                <w:highlight w:val="none"/>
                <w:u w:val="single"/>
              </w:rPr>
              <w:t>网站项目查询中本项目详情页里面发布。</w:t>
            </w:r>
            <w:r>
              <w:rPr>
                <w:rFonts w:hint="eastAsia" w:ascii="宋体" w:hAnsi="宋体" w:eastAsia="宋体" w:cs="Times New Roman"/>
                <w:color w:val="auto"/>
                <w:highlight w:val="none"/>
              </w:rPr>
              <w:t>不足</w:t>
            </w:r>
            <w:r>
              <w:rPr>
                <w:rFonts w:hint="default" w:ascii="宋体" w:hAnsi="宋体" w:eastAsia="宋体" w:cs="Times New Roman"/>
                <w:color w:val="auto"/>
                <w:highlight w:val="none"/>
              </w:rPr>
              <w:t>15日的，招标人应当顺延投标文件的</w:t>
            </w:r>
            <w:r>
              <w:rPr>
                <w:rFonts w:hint="eastAsia" w:ascii="宋体" w:hAnsi="宋体" w:eastAsia="宋体" w:cs="Times New Roman"/>
                <w:color w:val="auto"/>
                <w:highlight w:val="none"/>
                <w:lang w:val="en-US" w:eastAsia="zh-CN"/>
              </w:rPr>
              <w:t>递交</w:t>
            </w:r>
            <w:r>
              <w:rPr>
                <w:rFonts w:hint="default" w:ascii="宋体" w:hAnsi="宋体" w:eastAsia="宋体" w:cs="Times New Roman"/>
                <w:color w:val="auto"/>
                <w:highlight w:val="none"/>
              </w:rPr>
              <w:t>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63"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default" w:ascii="宋体" w:hAnsi="宋体" w:eastAsia="宋体" w:cs="宋体"/>
                <w:color w:val="auto"/>
                <w:szCs w:val="21"/>
                <w:highlight w:val="none"/>
              </w:rPr>
              <w:t>5</w:t>
            </w:r>
          </w:p>
        </w:tc>
        <w:tc>
          <w:tcPr>
            <w:tcW w:w="124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default" w:ascii="宋体" w:hAnsi="宋体" w:eastAsia="宋体" w:cs="Times New Roman"/>
                <w:color w:val="auto"/>
                <w:highlight w:val="none"/>
              </w:rPr>
              <w:t>3.2.5</w:t>
            </w:r>
          </w:p>
        </w:tc>
        <w:tc>
          <w:tcPr>
            <w:tcW w:w="3610" w:type="dxa"/>
            <w:vAlign w:val="center"/>
          </w:tcPr>
          <w:p>
            <w:pPr>
              <w:keepNext w:val="0"/>
              <w:keepLines w:val="0"/>
              <w:suppressLineNumbers w:val="0"/>
              <w:spacing w:before="0" w:beforeAutospacing="0" w:after="0" w:afterAutospacing="0" w:line="240" w:lineRule="auto"/>
              <w:ind w:left="0" w:right="0"/>
              <w:rPr>
                <w:rFonts w:hint="default" w:ascii="宋体" w:hAnsi="宋体" w:eastAsia="宋体" w:cs="宋体"/>
                <w:color w:val="auto"/>
                <w:szCs w:val="21"/>
                <w:highlight w:val="none"/>
              </w:rPr>
            </w:pPr>
            <w:r>
              <w:rPr>
                <w:rFonts w:hint="eastAsia" w:ascii="宋体" w:hAnsi="宋体" w:eastAsia="宋体" w:cs="Times New Roman"/>
                <w:color w:val="auto"/>
                <w:highlight w:val="none"/>
              </w:rPr>
              <w:t>网上答疑的具体操作详见交易平台发布的相关操作指引。</w:t>
            </w:r>
          </w:p>
        </w:tc>
        <w:tc>
          <w:tcPr>
            <w:tcW w:w="3717" w:type="dxa"/>
            <w:vAlign w:val="center"/>
          </w:tcPr>
          <w:p>
            <w:pPr>
              <w:keepNext w:val="0"/>
              <w:keepLines w:val="0"/>
              <w:suppressLineNumbers w:val="0"/>
              <w:spacing w:before="0" w:beforeAutospacing="0" w:after="0" w:afterAutospacing="0" w:line="240" w:lineRule="auto"/>
              <w:ind w:left="0" w:right="0" w:firstLine="0" w:firstLineChars="0"/>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修改</w:t>
            </w:r>
            <w:r>
              <w:rPr>
                <w:rFonts w:hint="eastAsia" w:ascii="宋体" w:hAnsi="宋体" w:eastAsia="宋体" w:cs="宋体"/>
                <w:color w:val="auto"/>
                <w:szCs w:val="21"/>
                <w:highlight w:val="none"/>
              </w:rPr>
              <w:t>：</w:t>
            </w:r>
            <w:r>
              <w:rPr>
                <w:rFonts w:hint="eastAsia" w:ascii="宋体" w:hAnsi="宋体" w:eastAsia="宋体" w:cs="Times New Roman"/>
                <w:color w:val="auto"/>
                <w:highlight w:val="none"/>
              </w:rPr>
              <w:t>网上答疑的具体操作详见交易平台发布的相关操作指引。</w:t>
            </w:r>
            <w:r>
              <w:rPr>
                <w:rFonts w:hint="eastAsia" w:ascii="宋体" w:hAnsi="宋体" w:eastAsia="宋体" w:cs="Times New Roman"/>
                <w:color w:val="auto"/>
                <w:szCs w:val="21"/>
                <w:highlight w:val="none"/>
                <w:u w:val="single"/>
              </w:rPr>
              <w:t>招标答疑纪要一经在</w:t>
            </w:r>
            <w:r>
              <w:rPr>
                <w:rFonts w:hint="eastAsia" w:ascii="宋体" w:hAnsi="宋体" w:eastAsia="宋体" w:cs="Times New Roman"/>
                <w:color w:val="auto"/>
                <w:szCs w:val="21"/>
                <w:highlight w:val="none"/>
                <w:u w:val="single"/>
                <w:lang w:eastAsia="zh-CN"/>
              </w:rPr>
              <w:t>广州交易集团有限公司（广州公共资源交易中心）</w:t>
            </w:r>
            <w:r>
              <w:rPr>
                <w:rFonts w:hint="eastAsia" w:ascii="宋体" w:hAnsi="宋体" w:eastAsia="宋体" w:cs="Times New Roman"/>
                <w:color w:val="auto"/>
                <w:szCs w:val="21"/>
                <w:highlight w:val="none"/>
                <w:u w:val="single"/>
              </w:rPr>
              <w:t>网站发布，视作已发放给所有投标人。招标答疑纪要为招标文件的一部分。投标人可在</w:t>
            </w:r>
            <w:r>
              <w:rPr>
                <w:rFonts w:hint="eastAsia" w:ascii="宋体" w:hAnsi="宋体" w:eastAsia="宋体" w:cs="Times New Roman"/>
                <w:color w:val="auto"/>
                <w:szCs w:val="21"/>
                <w:highlight w:val="none"/>
                <w:u w:val="single"/>
                <w:lang w:eastAsia="zh-CN"/>
              </w:rPr>
              <w:t>广州交易集团有限公司（广州公共资源交易中心）</w:t>
            </w:r>
            <w:r>
              <w:rPr>
                <w:rFonts w:hint="eastAsia" w:ascii="宋体" w:hAnsi="宋体" w:eastAsia="宋体" w:cs="Times New Roman"/>
                <w:color w:val="auto"/>
                <w:szCs w:val="21"/>
                <w:highlight w:val="none"/>
                <w:u w:val="single"/>
              </w:rPr>
              <w:t>网站浏览、下载招标答疑纪要。若招标答疑纪要与招标文件有矛盾时，以</w:t>
            </w:r>
            <w:r>
              <w:rPr>
                <w:rFonts w:hint="eastAsia" w:ascii="宋体" w:hAnsi="宋体" w:eastAsia="宋体" w:cs="Times New Roman"/>
                <w:color w:val="auto"/>
                <w:szCs w:val="21"/>
                <w:highlight w:val="none"/>
                <w:u w:val="single"/>
                <w:lang w:eastAsia="zh-CN"/>
              </w:rPr>
              <w:t>广州交易集团有限公司（广州公共资源交易中心）</w:t>
            </w:r>
            <w:r>
              <w:rPr>
                <w:rFonts w:hint="eastAsia" w:ascii="宋体" w:hAnsi="宋体" w:eastAsia="宋体" w:cs="Times New Roman"/>
                <w:color w:val="auto"/>
                <w:szCs w:val="21"/>
                <w:highlight w:val="none"/>
                <w:u w:val="single"/>
              </w:rPr>
              <w:t>网站最后发布的答疑纪要为准。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default" w:ascii="宋体" w:hAnsi="宋体" w:eastAsia="宋体" w:cs="宋体"/>
                <w:color w:val="auto"/>
                <w:szCs w:val="21"/>
                <w:highlight w:val="none"/>
              </w:rPr>
              <w:t>6</w:t>
            </w:r>
          </w:p>
        </w:tc>
        <w:tc>
          <w:tcPr>
            <w:tcW w:w="124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highlight w:val="none"/>
              </w:rPr>
            </w:pPr>
            <w:r>
              <w:rPr>
                <w:rFonts w:hint="default" w:ascii="宋体" w:hAnsi="宋体" w:eastAsia="宋体" w:cs="Times New Roman"/>
                <w:color w:val="auto"/>
                <w:highlight w:val="none"/>
              </w:rPr>
              <w:t>3.3.3</w:t>
            </w:r>
          </w:p>
        </w:tc>
        <w:tc>
          <w:tcPr>
            <w:tcW w:w="3610" w:type="dxa"/>
            <w:vAlign w:val="center"/>
          </w:tcPr>
          <w:p>
            <w:pPr>
              <w:keepNext w:val="0"/>
              <w:keepLines w:val="0"/>
              <w:suppressLineNumbers w:val="0"/>
              <w:spacing w:before="0" w:beforeAutospacing="0" w:after="0" w:afterAutospacing="0" w:line="240" w:lineRule="auto"/>
              <w:ind w:left="0" w:right="0"/>
              <w:rPr>
                <w:rFonts w:hint="default" w:ascii="宋体" w:hAnsi="宋体" w:eastAsia="宋体" w:cs="Times New Roman"/>
                <w:color w:val="auto"/>
                <w:highlight w:val="none"/>
              </w:rPr>
            </w:pPr>
            <w:r>
              <w:rPr>
                <w:rFonts w:hint="eastAsia" w:ascii="宋体" w:hAnsi="宋体" w:eastAsia="宋体" w:cs="Times New Roman"/>
                <w:color w:val="auto"/>
                <w:highlight w:val="none"/>
              </w:rPr>
              <w:t>投标文件全部采用电子文档，投标文件所附证书证件均为原件扫描件或电子证书，并采用单位数字证书，按招标文件要求在相应位置加盖电子印章，投标文件中需个人签字或盖章的，应手签后扫描上传，具体操作详见交易平台发布的相关操作指引。</w:t>
            </w:r>
          </w:p>
        </w:tc>
        <w:tc>
          <w:tcPr>
            <w:tcW w:w="3717" w:type="dxa"/>
            <w:vAlign w:val="center"/>
          </w:tcPr>
          <w:p>
            <w:pPr>
              <w:keepNext w:val="0"/>
              <w:keepLines w:val="0"/>
              <w:suppressLineNumbers w:val="0"/>
              <w:spacing w:before="0" w:beforeAutospacing="0" w:after="0" w:afterAutospacing="0" w:line="240" w:lineRule="auto"/>
              <w:ind w:left="0" w:right="0"/>
              <w:rPr>
                <w:rFonts w:hint="default" w:ascii="宋体" w:hAnsi="宋体" w:eastAsia="宋体" w:cs="宋体"/>
                <w:b/>
                <w:color w:val="auto"/>
                <w:szCs w:val="21"/>
                <w:highlight w:val="none"/>
              </w:rPr>
            </w:pPr>
            <w:r>
              <w:rPr>
                <w:rFonts w:hint="eastAsia" w:ascii="宋体" w:hAnsi="宋体" w:eastAsia="宋体" w:cs="Times New Roman"/>
                <w:b/>
                <w:color w:val="auto"/>
                <w:highlight w:val="none"/>
              </w:rPr>
              <w:t>修改</w:t>
            </w:r>
            <w:r>
              <w:rPr>
                <w:rFonts w:hint="eastAsia" w:ascii="宋体" w:hAnsi="宋体" w:eastAsia="宋体" w:cs="Times New Roman"/>
                <w:color w:val="auto"/>
                <w:highlight w:val="none"/>
              </w:rPr>
              <w:t>：投标文件</w:t>
            </w:r>
            <w:r>
              <w:rPr>
                <w:rFonts w:hint="default" w:ascii="宋体" w:hAnsi="宋体" w:eastAsia="宋体" w:cs="Times New Roman"/>
                <w:color w:val="auto"/>
                <w:highlight w:val="none"/>
              </w:rPr>
              <w:t>中</w:t>
            </w:r>
            <w:r>
              <w:rPr>
                <w:rFonts w:hint="eastAsia" w:ascii="宋体" w:hAnsi="宋体" w:eastAsia="宋体" w:cs="Times New Roman"/>
                <w:color w:val="auto"/>
                <w:highlight w:val="none"/>
              </w:rPr>
              <w:t>采用电子文档</w:t>
            </w:r>
            <w:r>
              <w:rPr>
                <w:rFonts w:hint="default" w:ascii="宋体" w:hAnsi="宋体" w:eastAsia="宋体" w:cs="Times New Roman"/>
                <w:color w:val="auto"/>
                <w:highlight w:val="none"/>
              </w:rPr>
              <w:t>的</w:t>
            </w:r>
            <w:r>
              <w:rPr>
                <w:rFonts w:hint="eastAsia" w:ascii="宋体" w:hAnsi="宋体" w:eastAsia="宋体" w:cs="Times New Roman"/>
                <w:color w:val="auto"/>
                <w:highlight w:val="none"/>
              </w:rPr>
              <w:t>，投标文件所附证书证件均为原件扫描件或电子证书，并采用单位数字证书，按招标文件要求在相应位置加盖电子印章，投标文件中需个人签字或盖章的，</w:t>
            </w:r>
            <w:r>
              <w:rPr>
                <w:rFonts w:hint="eastAsia" w:ascii="宋体" w:hAnsi="宋体" w:eastAsia="宋体" w:cs="Times New Roman"/>
                <w:color w:val="auto"/>
                <w:highlight w:val="none"/>
                <w:u w:val="single"/>
              </w:rPr>
              <w:t>应加盖个人电子印章或在线下完成后扫描上传。相关操作详见附件</w:t>
            </w:r>
            <w:r>
              <w:rPr>
                <w:rFonts w:hint="default" w:ascii="宋体" w:hAnsi="宋体" w:eastAsia="宋体" w:cs="Times New Roman"/>
                <w:color w:val="auto"/>
                <w:highlight w:val="none"/>
                <w:u w:val="single"/>
              </w:rPr>
              <w:t xml:space="preserve">《建设工程全流程电子化项目操作指南》 </w:t>
            </w:r>
            <w:r>
              <w:rPr>
                <w:rFonts w:hint="eastAsia" w:ascii="宋体" w:hAnsi="宋体" w:eastAsia="宋体" w:cs="Times New Roman"/>
                <w:color w:val="auto"/>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default" w:ascii="宋体" w:hAnsi="宋体" w:eastAsia="宋体" w:cs="宋体"/>
                <w:color w:val="auto"/>
                <w:szCs w:val="21"/>
                <w:highlight w:val="none"/>
              </w:rPr>
              <w:t>7</w:t>
            </w:r>
          </w:p>
        </w:tc>
        <w:tc>
          <w:tcPr>
            <w:tcW w:w="124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highlight w:val="none"/>
              </w:rPr>
            </w:pPr>
            <w:r>
              <w:rPr>
                <w:rFonts w:hint="default" w:ascii="宋体" w:hAnsi="宋体" w:eastAsia="宋体" w:cs="Times New Roman"/>
                <w:color w:val="auto"/>
                <w:highlight w:val="none"/>
              </w:rPr>
              <w:t>3.6.1</w:t>
            </w:r>
          </w:p>
        </w:tc>
        <w:tc>
          <w:tcPr>
            <w:tcW w:w="3610" w:type="dxa"/>
            <w:vAlign w:val="center"/>
          </w:tcPr>
          <w:p>
            <w:pPr>
              <w:keepNext w:val="0"/>
              <w:keepLines w:val="0"/>
              <w:suppressLineNumbers w:val="0"/>
              <w:spacing w:before="0" w:beforeAutospacing="0" w:after="0" w:afterAutospacing="0" w:line="240" w:lineRule="auto"/>
              <w:ind w:left="0" w:right="0"/>
              <w:rPr>
                <w:rFonts w:hint="default" w:ascii="宋体" w:hAnsi="宋体" w:eastAsia="宋体" w:cs="Times New Roman"/>
                <w:color w:val="auto"/>
                <w:highlight w:val="none"/>
              </w:rPr>
            </w:pPr>
            <w:r>
              <w:rPr>
                <w:rFonts w:hint="eastAsia" w:ascii="宋体" w:hAnsi="宋体" w:eastAsia="宋体" w:cs="Times New Roman"/>
                <w:color w:val="auto"/>
                <w:highlight w:val="none"/>
              </w:rPr>
              <w:t>投标人通过下载招标文件的交易平台递交电子投标文件。</w:t>
            </w:r>
          </w:p>
        </w:tc>
        <w:tc>
          <w:tcPr>
            <w:tcW w:w="3717" w:type="dxa"/>
            <w:vAlign w:val="center"/>
          </w:tcPr>
          <w:p>
            <w:pPr>
              <w:keepNext w:val="0"/>
              <w:keepLines w:val="0"/>
              <w:widowControl/>
              <w:suppressLineNumbers w:val="0"/>
              <w:spacing w:before="0" w:beforeAutospacing="0" w:after="0" w:afterAutospacing="0" w:line="240" w:lineRule="auto"/>
              <w:ind w:left="0" w:right="0"/>
              <w:jc w:val="both"/>
              <w:rPr>
                <w:rFonts w:hint="default" w:ascii="宋体" w:hAnsi="宋体" w:eastAsia="宋体" w:cs="Times New Roman"/>
                <w:color w:val="auto"/>
                <w:highlight w:val="none"/>
              </w:rPr>
            </w:pPr>
            <w:r>
              <w:rPr>
                <w:rFonts w:hint="eastAsia" w:ascii="宋体" w:hAnsi="宋体" w:eastAsia="宋体" w:cs="Times New Roman"/>
                <w:b/>
                <w:color w:val="auto"/>
                <w:highlight w:val="none"/>
              </w:rPr>
              <w:t>修改</w:t>
            </w:r>
            <w:r>
              <w:rPr>
                <w:rFonts w:hint="eastAsia" w:ascii="宋体" w:hAnsi="宋体" w:eastAsia="宋体" w:cs="Times New Roman"/>
                <w:color w:val="auto"/>
                <w:highlight w:val="none"/>
              </w:rPr>
              <w:t>：投标人通过下载招标文件的</w:t>
            </w:r>
            <w:r>
              <w:rPr>
                <w:rFonts w:hint="eastAsia" w:ascii="宋体" w:hAnsi="宋体" w:eastAsia="宋体" w:cs="Times New Roman"/>
                <w:color w:val="auto"/>
                <w:highlight w:val="none"/>
                <w:u w:val="single"/>
                <w:lang w:eastAsia="zh-CN"/>
              </w:rPr>
              <w:t>广州交易集团有限公司（广州公共资源交易中心）</w:t>
            </w:r>
            <w:r>
              <w:rPr>
                <w:rFonts w:hint="eastAsia" w:ascii="宋体" w:hAnsi="宋体" w:eastAsia="宋体" w:cs="Times New Roman"/>
                <w:color w:val="auto"/>
                <w:highlight w:val="none"/>
              </w:rPr>
              <w:t>交易平台递交电子投标文件</w:t>
            </w:r>
            <w:r>
              <w:rPr>
                <w:rFonts w:hint="eastAsia" w:ascii="宋体" w:hAnsi="宋体" w:eastAsia="宋体" w:cs="宋体"/>
                <w:color w:val="auto"/>
                <w:kern w:val="2"/>
                <w:sz w:val="21"/>
                <w:szCs w:val="21"/>
                <w:highlight w:val="none"/>
                <w:u w:val="single"/>
                <w:lang w:val="en-US" w:eastAsia="zh-CN" w:bidi="ar"/>
              </w:rPr>
              <w:t>；投标人按招标公告第</w:t>
            </w:r>
            <w:r>
              <w:rPr>
                <w:rFonts w:hint="default" w:ascii="Times New Roman" w:hAnsi="Times New Roman" w:eastAsia="宋体" w:cs="Times New Roman"/>
                <w:color w:val="auto"/>
                <w:kern w:val="2"/>
                <w:sz w:val="21"/>
                <w:szCs w:val="21"/>
                <w:highlight w:val="none"/>
                <w:u w:val="single"/>
                <w:lang w:val="en-US" w:eastAsia="zh-CN" w:bidi="ar"/>
              </w:rPr>
              <w:t xml:space="preserve">1.6.4 </w:t>
            </w:r>
            <w:r>
              <w:rPr>
                <w:rFonts w:hint="eastAsia" w:ascii="宋体" w:hAnsi="宋体" w:eastAsia="宋体" w:cs="宋体"/>
                <w:color w:val="auto"/>
                <w:kern w:val="2"/>
                <w:sz w:val="21"/>
                <w:szCs w:val="21"/>
                <w:highlight w:val="none"/>
                <w:u w:val="single"/>
                <w:lang w:val="en-US" w:eastAsia="zh-CN" w:bidi="ar"/>
              </w:rPr>
              <w:t>条规定的时间、地点，提交展示模型、展示</w:t>
            </w:r>
            <w:r>
              <w:rPr>
                <w:rFonts w:hint="default" w:ascii="宋体" w:hAnsi="宋体" w:eastAsia="宋体" w:cs="宋体"/>
                <w:color w:val="auto"/>
                <w:kern w:val="2"/>
                <w:sz w:val="21"/>
                <w:szCs w:val="21"/>
                <w:highlight w:val="none"/>
                <w:u w:val="single"/>
                <w:lang w:eastAsia="zh-CN" w:bidi="ar"/>
              </w:rPr>
              <w:t>文件（展板）</w:t>
            </w:r>
            <w:r>
              <w:rPr>
                <w:rFonts w:hint="eastAsia" w:ascii="宋体" w:hAnsi="宋体" w:eastAsia="宋体" w:cs="宋体"/>
                <w:color w:val="auto"/>
                <w:kern w:val="2"/>
                <w:sz w:val="21"/>
                <w:szCs w:val="21"/>
                <w:highlight w:val="none"/>
                <w:u w:val="single"/>
                <w:lang w:val="en-US" w:eastAsia="zh-CN" w:bidi="ar"/>
              </w:rPr>
              <w:t>、多媒体演示文件</w:t>
            </w:r>
            <w:r>
              <w:rPr>
                <w:rFonts w:hint="default" w:ascii="宋体" w:hAnsi="宋体" w:eastAsia="宋体" w:cs="宋体"/>
                <w:color w:val="auto"/>
                <w:kern w:val="2"/>
                <w:sz w:val="21"/>
                <w:szCs w:val="21"/>
                <w:highlight w:val="none"/>
                <w:u w:val="single"/>
                <w:lang w:eastAsia="zh-CN" w:bidi="ar"/>
              </w:rPr>
              <w:t>、设计方案文本</w:t>
            </w:r>
            <w:r>
              <w:rPr>
                <w:rFonts w:hint="eastAsia" w:ascii="宋体" w:hAnsi="宋体" w:eastAsia="宋体" w:cs="宋体"/>
                <w:color w:val="auto"/>
                <w:kern w:val="2"/>
                <w:sz w:val="21"/>
                <w:szCs w:val="21"/>
                <w:highlight w:val="none"/>
                <w:u w:val="singl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default" w:ascii="宋体" w:hAnsi="宋体" w:eastAsia="宋体" w:cs="宋体"/>
                <w:color w:val="auto"/>
                <w:szCs w:val="21"/>
                <w:highlight w:val="none"/>
              </w:rPr>
              <w:t>8</w:t>
            </w:r>
          </w:p>
        </w:tc>
        <w:tc>
          <w:tcPr>
            <w:tcW w:w="124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highlight w:val="none"/>
              </w:rPr>
            </w:pPr>
            <w:r>
              <w:rPr>
                <w:rFonts w:hint="default" w:ascii="宋体" w:hAnsi="宋体" w:eastAsia="宋体" w:cs="Times New Roman"/>
                <w:color w:val="auto"/>
                <w:szCs w:val="21"/>
                <w:highlight w:val="none"/>
              </w:rPr>
              <w:t>3.8.1</w:t>
            </w:r>
          </w:p>
        </w:tc>
        <w:tc>
          <w:tcPr>
            <w:tcW w:w="3610" w:type="dxa"/>
          </w:tcPr>
          <w:p>
            <w:pPr>
              <w:keepNext w:val="0"/>
              <w:keepLines w:val="0"/>
              <w:suppressLineNumbers w:val="0"/>
              <w:spacing w:before="0" w:beforeAutospacing="0" w:after="0" w:afterAutospacing="0" w:line="240" w:lineRule="auto"/>
              <w:ind w:left="743" w:right="0" w:hanging="743" w:hangingChars="354"/>
              <w:jc w:val="both"/>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提交投标文件光盘备用</w:t>
            </w:r>
          </w:p>
          <w:p>
            <w:pPr>
              <w:keepNext w:val="0"/>
              <w:keepLines w:val="0"/>
              <w:suppressLineNumbers w:val="0"/>
              <w:spacing w:before="0" w:beforeAutospacing="0" w:after="0" w:afterAutospacing="0" w:line="240" w:lineRule="auto"/>
              <w:ind w:left="0" w:right="0"/>
              <w:jc w:val="both"/>
              <w:rPr>
                <w:rFonts w:hint="default" w:ascii="宋体" w:hAnsi="宋体" w:eastAsia="宋体" w:cs="Times New Roman"/>
                <w:color w:val="auto"/>
                <w:highlight w:val="none"/>
              </w:rPr>
            </w:pPr>
            <w:r>
              <w:rPr>
                <w:rFonts w:hint="eastAsia" w:ascii="宋体" w:hAnsi="宋体" w:eastAsia="宋体" w:cs="宋体"/>
                <w:color w:val="auto"/>
                <w:szCs w:val="21"/>
                <w:highlight w:val="none"/>
              </w:rPr>
              <w:t>投标人可制作非加密的电子投标文件刻入光盘（</w:t>
            </w:r>
            <w:r>
              <w:rPr>
                <w:rFonts w:hint="default" w:ascii="宋体" w:hAnsi="宋体" w:eastAsia="宋体" w:cs="宋体"/>
                <w:color w:val="auto"/>
                <w:szCs w:val="21"/>
                <w:highlight w:val="none"/>
              </w:rPr>
              <w:t>1份），在招标公告规定的时间、地点提交备用。刻录好的投标文件光盘密封在密封袋中，并在封口处加盖投标人单位公章。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tc>
        <w:tc>
          <w:tcPr>
            <w:tcW w:w="3717" w:type="dxa"/>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Times New Roman"/>
                <w:b/>
                <w:bCs/>
                <w:color w:val="auto"/>
                <w:szCs w:val="21"/>
                <w:highlight w:val="none"/>
                <w:lang w:eastAsia="zh-CN"/>
              </w:rPr>
            </w:pPr>
            <w:r>
              <w:rPr>
                <w:rFonts w:hint="eastAsia" w:ascii="宋体" w:hAnsi="宋体" w:eastAsia="宋体" w:cs="Times New Roman"/>
                <w:b/>
                <w:color w:val="auto"/>
                <w:highlight w:val="none"/>
              </w:rPr>
              <w:t>修改</w:t>
            </w:r>
            <w:r>
              <w:rPr>
                <w:rFonts w:hint="eastAsia" w:ascii="宋体" w:hAnsi="宋体" w:eastAsia="宋体" w:cs="Times New Roman"/>
                <w:color w:val="auto"/>
                <w:highlight w:val="none"/>
              </w:rPr>
              <w:t>：</w:t>
            </w:r>
            <w:r>
              <w:rPr>
                <w:rFonts w:hint="eastAsia" w:ascii="宋体" w:hAnsi="宋体" w:eastAsia="宋体" w:cs="Times New Roman"/>
                <w:color w:val="auto"/>
                <w:szCs w:val="21"/>
                <w:highlight w:val="none"/>
              </w:rPr>
              <w:t>提交投标文件光盘备用</w:t>
            </w:r>
          </w:p>
          <w:p>
            <w:pPr>
              <w:keepNext w:val="0"/>
              <w:keepLines w:val="0"/>
              <w:suppressLineNumbers w:val="0"/>
              <w:autoSpaceDE w:val="0"/>
              <w:spacing w:before="0" w:beforeAutospacing="0" w:after="0" w:afterAutospacing="0"/>
              <w:ind w:left="0" w:right="0"/>
              <w:rPr>
                <w:rFonts w:hint="default" w:ascii="宋体" w:hAnsi="宋体" w:cs="宋体"/>
                <w:color w:val="auto"/>
                <w:szCs w:val="21"/>
                <w:highlight w:val="none"/>
                <w:u w:val="none"/>
                <w:lang w:bidi="ar"/>
              </w:rPr>
            </w:pPr>
            <w:r>
              <w:rPr>
                <w:rFonts w:hint="eastAsia" w:ascii="宋体" w:hAnsi="宋体" w:cs="宋体"/>
                <w:color w:val="auto"/>
                <w:szCs w:val="21"/>
                <w:highlight w:val="none"/>
                <w:u w:val="none"/>
                <w:lang w:bidi="ar"/>
              </w:rPr>
              <w:t>投标人可制作非加密的电子投标文件刻入光盘（总信封1份，内含4个光盘）</w:t>
            </w:r>
            <w:r>
              <w:rPr>
                <w:rFonts w:hint="eastAsia" w:ascii="宋体" w:hAnsi="宋体" w:cs="宋体"/>
                <w:b/>
                <w:bCs/>
                <w:color w:val="auto"/>
                <w:szCs w:val="21"/>
                <w:highlight w:val="none"/>
                <w:u w:val="none"/>
                <w:lang w:bidi="ar"/>
              </w:rPr>
              <w:t>，光盘分类如下：</w:t>
            </w:r>
            <w:r>
              <w:rPr>
                <w:rFonts w:hint="eastAsia" w:ascii="宋体" w:hAnsi="宋体" w:cs="宋体"/>
                <w:color w:val="auto"/>
                <w:szCs w:val="21"/>
                <w:highlight w:val="none"/>
                <w:u w:val="none"/>
                <w:lang w:bidi="ar"/>
              </w:rPr>
              <w:t>①设计方案（暗标</w:t>
            </w:r>
            <w:r>
              <w:rPr>
                <w:rFonts w:hint="eastAsia" w:ascii="宋体" w:hAnsi="宋体" w:cs="宋体"/>
                <w:color w:val="auto"/>
                <w:szCs w:val="21"/>
                <w:highlight w:val="none"/>
                <w:u w:val="none"/>
                <w:lang w:val="en-US" w:eastAsia="zh-CN" w:bidi="ar"/>
              </w:rPr>
              <w:t>。</w:t>
            </w:r>
            <w:r>
              <w:rPr>
                <w:rFonts w:hint="eastAsia" w:ascii="宋体" w:hAnsi="宋体" w:cs="宋体"/>
                <w:color w:val="auto"/>
                <w:szCs w:val="21"/>
                <w:highlight w:val="none"/>
                <w:u w:val="none"/>
                <w:lang w:bidi="ar"/>
              </w:rPr>
              <w:t>单独密封在密封袋中，不得标注或做任何可以辨认投标人及专业技术人员身份的名称、印章、商标、图形等），②用于揭晓设计方案的可识别投标人身份的文件，③开标信封</w:t>
            </w:r>
            <w:r>
              <w:rPr>
                <w:rFonts w:hint="eastAsia" w:ascii="宋体" w:hAnsi="宋体" w:cs="宋体"/>
                <w:b/>
                <w:bCs/>
                <w:color w:val="auto"/>
                <w:szCs w:val="21"/>
                <w:highlight w:val="none"/>
                <w:u w:val="none"/>
              </w:rPr>
              <w:t>（开标信封需包含的内容详见备注）</w:t>
            </w:r>
            <w:r>
              <w:rPr>
                <w:rFonts w:hint="eastAsia" w:ascii="宋体" w:hAnsi="宋体" w:cs="宋体"/>
                <w:color w:val="auto"/>
                <w:szCs w:val="21"/>
                <w:highlight w:val="none"/>
                <w:u w:val="none"/>
                <w:lang w:bidi="ar"/>
              </w:rPr>
              <w:t>、资格审查文件及其他文件（如有）、报价文件，④定标文件。在招标公告规定的时间、地点提交备用</w:t>
            </w:r>
            <w:r>
              <w:rPr>
                <w:rFonts w:hint="default" w:ascii="宋体" w:hAnsi="宋体" w:cs="宋体"/>
                <w:color w:val="auto"/>
                <w:szCs w:val="21"/>
                <w:highlight w:val="none"/>
                <w:u w:val="none"/>
                <w:lang w:bidi="ar"/>
              </w:rPr>
              <w:t>(详见澄清第1条“日程安排”）</w:t>
            </w:r>
            <w:r>
              <w:rPr>
                <w:rFonts w:hint="eastAsia" w:ascii="宋体" w:hAnsi="宋体" w:cs="宋体"/>
                <w:color w:val="auto"/>
                <w:szCs w:val="21"/>
                <w:highlight w:val="none"/>
                <w:u w:val="none"/>
                <w:lang w:bidi="ar"/>
              </w:rPr>
              <w:t>。刻录好的投标文件光盘</w:t>
            </w:r>
            <w:r>
              <w:rPr>
                <w:rFonts w:hint="eastAsia" w:ascii="宋体" w:hAnsi="宋体" w:cs="宋体"/>
                <w:b/>
                <w:bCs/>
                <w:color w:val="auto"/>
                <w:szCs w:val="21"/>
                <w:highlight w:val="none"/>
                <w:u w:val="single"/>
                <w:lang w:val="en-US" w:eastAsia="zh-CN" w:bidi="ar"/>
              </w:rPr>
              <w:t>先各自独立</w:t>
            </w:r>
            <w:r>
              <w:rPr>
                <w:rFonts w:hint="eastAsia" w:ascii="宋体" w:hAnsi="宋体" w:cs="宋体"/>
                <w:b/>
                <w:bCs/>
                <w:color w:val="auto"/>
                <w:szCs w:val="21"/>
                <w:highlight w:val="none"/>
                <w:u w:val="single"/>
                <w:lang w:bidi="ar"/>
              </w:rPr>
              <w:t>密封</w:t>
            </w:r>
            <w:r>
              <w:rPr>
                <w:rFonts w:hint="eastAsia" w:ascii="宋体" w:hAnsi="宋体" w:cs="宋体"/>
                <w:color w:val="auto"/>
                <w:szCs w:val="21"/>
                <w:highlight w:val="none"/>
                <w:u w:val="none"/>
                <w:lang w:bidi="ar"/>
              </w:rPr>
              <w:t>在密封袋中，</w:t>
            </w:r>
            <w:r>
              <w:rPr>
                <w:rFonts w:hint="eastAsia" w:ascii="宋体" w:hAnsi="宋体" w:cs="宋体"/>
                <w:b/>
                <w:bCs/>
                <w:color w:val="auto"/>
                <w:szCs w:val="21"/>
                <w:highlight w:val="none"/>
                <w:u w:val="single"/>
                <w:lang w:val="en-US" w:eastAsia="zh-CN" w:bidi="ar"/>
              </w:rPr>
              <w:t>再密封在总信封中，</w:t>
            </w:r>
            <w:r>
              <w:rPr>
                <w:rFonts w:hint="eastAsia" w:ascii="宋体" w:hAnsi="宋体" w:cs="宋体"/>
                <w:color w:val="auto"/>
                <w:szCs w:val="21"/>
                <w:highlight w:val="none"/>
                <w:u w:val="none"/>
                <w:lang w:bidi="ar"/>
              </w:rPr>
              <w:t>并在封口处加盖投标人单位公章</w:t>
            </w:r>
            <w:r>
              <w:rPr>
                <w:rFonts w:hint="eastAsia" w:ascii="宋体" w:hAnsi="宋体" w:cs="宋体"/>
                <w:b/>
                <w:bCs/>
                <w:color w:val="auto"/>
                <w:szCs w:val="21"/>
                <w:highlight w:val="none"/>
                <w:u w:val="none"/>
                <w:lang w:bidi="ar"/>
              </w:rPr>
              <w:t>（</w:t>
            </w:r>
            <w:r>
              <w:rPr>
                <w:rFonts w:hint="eastAsia" w:ascii="宋体" w:hAnsi="宋体" w:cs="宋体"/>
                <w:b/>
                <w:bCs/>
                <w:color w:val="auto"/>
                <w:szCs w:val="21"/>
                <w:highlight w:val="none"/>
                <w:u w:val="none"/>
                <w:lang w:val="en-US" w:eastAsia="zh-CN" w:bidi="ar"/>
              </w:rPr>
              <w:t>除</w:t>
            </w:r>
            <w:r>
              <w:rPr>
                <w:rFonts w:hint="eastAsia" w:ascii="宋体" w:hAnsi="宋体" w:cs="宋体"/>
                <w:b/>
                <w:bCs/>
                <w:color w:val="auto"/>
                <w:szCs w:val="21"/>
                <w:highlight w:val="none"/>
                <w:u w:val="none"/>
                <w:lang w:bidi="ar"/>
              </w:rPr>
              <w:t>设计方案光盘除外</w:t>
            </w:r>
            <w:r>
              <w:rPr>
                <w:rFonts w:hint="eastAsia" w:ascii="宋体" w:hAnsi="宋体" w:cs="宋体"/>
                <w:b/>
                <w:bCs/>
                <w:color w:val="auto"/>
                <w:szCs w:val="21"/>
                <w:highlight w:val="none"/>
                <w:u w:val="none"/>
                <w:lang w:eastAsia="zh-CN" w:bidi="ar"/>
              </w:rPr>
              <w:t>，</w:t>
            </w:r>
            <w:r>
              <w:rPr>
                <w:rFonts w:hint="eastAsia" w:ascii="宋体" w:hAnsi="宋体" w:cs="宋体"/>
                <w:b/>
                <w:bCs/>
                <w:color w:val="auto"/>
                <w:szCs w:val="21"/>
                <w:highlight w:val="none"/>
                <w:u w:val="none"/>
                <w:lang w:val="en-US" w:eastAsia="zh-CN" w:bidi="ar"/>
              </w:rPr>
              <w:t>总信封及各独立密封袋均须盖章</w:t>
            </w:r>
            <w:r>
              <w:rPr>
                <w:rFonts w:hint="eastAsia" w:ascii="宋体" w:hAnsi="宋体" w:cs="宋体"/>
                <w:b/>
                <w:bCs/>
                <w:color w:val="auto"/>
                <w:szCs w:val="21"/>
                <w:highlight w:val="none"/>
                <w:u w:val="none"/>
                <w:lang w:bidi="ar"/>
              </w:rPr>
              <w:t>）</w:t>
            </w:r>
            <w:r>
              <w:rPr>
                <w:rFonts w:hint="eastAsia" w:ascii="宋体" w:hAnsi="宋体" w:cs="宋体"/>
                <w:color w:val="auto"/>
                <w:szCs w:val="21"/>
                <w:highlight w:val="none"/>
                <w:u w:val="none"/>
                <w:lang w:bidi="ar"/>
              </w:rPr>
              <w:t>。密封袋上应写明项目名称和招标人名称</w:t>
            </w:r>
            <w:r>
              <w:rPr>
                <w:rFonts w:hint="eastAsia" w:ascii="宋体" w:hAnsi="宋体" w:cs="宋体"/>
                <w:b/>
                <w:bCs/>
                <w:color w:val="auto"/>
                <w:szCs w:val="21"/>
                <w:highlight w:val="none"/>
                <w:u w:val="none"/>
                <w:lang w:bidi="ar"/>
              </w:rPr>
              <w:t>（设计方案光盘除外）</w:t>
            </w:r>
            <w:r>
              <w:rPr>
                <w:rFonts w:hint="eastAsia" w:ascii="宋体" w:hAnsi="宋体" w:cs="宋体"/>
                <w:color w:val="auto"/>
                <w:szCs w:val="21"/>
                <w:highlight w:val="none"/>
                <w:u w:val="none"/>
                <w:lang w:bidi="ar"/>
              </w:rPr>
              <w:t>。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p>
            <w:pPr>
              <w:keepNext w:val="0"/>
              <w:keepLines w:val="0"/>
              <w:widowControl w:val="0"/>
              <w:suppressLineNumbers w:val="0"/>
              <w:spacing w:before="0" w:beforeAutospacing="0" w:after="0" w:afterAutospacing="0" w:line="240" w:lineRule="auto"/>
              <w:ind w:left="0" w:right="0"/>
              <w:jc w:val="both"/>
              <w:rPr>
                <w:rFonts w:hint="default" w:ascii="宋体" w:hAnsi="宋体" w:eastAsia="宋体" w:cs="Times New Roman"/>
                <w:b/>
                <w:color w:val="auto"/>
                <w:highlight w:val="none"/>
              </w:rPr>
            </w:pPr>
            <w:r>
              <w:rPr>
                <w:rFonts w:hint="eastAsia" w:ascii="宋体" w:hAnsi="宋体" w:cs="宋体"/>
                <w:b/>
                <w:bCs/>
                <w:color w:val="auto"/>
                <w:szCs w:val="21"/>
                <w:highlight w:val="none"/>
                <w:u w:val="none"/>
                <w:lang w:bidi="ar"/>
              </w:rPr>
              <w:t>注：光盘中的“开标信封”需包含的内容：填妥并签字盖章的《投标书》（格式见附录6），联合体同时附填妥并签字盖章的《联合体共同投标协议》（格式见附录7）。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top"/>
          </w:tcPr>
          <w:p>
            <w:pPr>
              <w:keepNext w:val="0"/>
              <w:keepLines w:val="0"/>
              <w:suppressLineNumbers w:val="0"/>
              <w:spacing w:before="0" w:beforeAutospacing="0" w:after="0" w:afterAutospacing="0"/>
              <w:ind w:left="0" w:right="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9</w:t>
            </w:r>
          </w:p>
        </w:tc>
        <w:tc>
          <w:tcPr>
            <w:tcW w:w="1248" w:type="dxa"/>
            <w:vAlign w:val="top"/>
          </w:tcPr>
          <w:p>
            <w:pPr>
              <w:keepNext w:val="0"/>
              <w:keepLines w:val="0"/>
              <w:widowControl w:val="0"/>
              <w:suppressLineNumbers w:val="0"/>
              <w:spacing w:before="0" w:beforeAutospacing="0" w:after="0" w:afterAutospacing="0" w:line="360" w:lineRule="auto"/>
              <w:ind w:left="0" w:right="0"/>
              <w:jc w:val="left"/>
              <w:rPr>
                <w:rFonts w:hint="default" w:ascii="宋体" w:hAnsi="宋体" w:eastAsia="宋体" w:cs="宋体"/>
                <w:color w:val="auto"/>
                <w:kern w:val="2"/>
                <w:sz w:val="21"/>
                <w:szCs w:val="21"/>
                <w:highlight w:val="none"/>
                <w:lang w:eastAsia="zh-CN" w:bidi="ar"/>
              </w:rPr>
            </w:pPr>
            <w:r>
              <w:rPr>
                <w:rFonts w:hint="default" w:ascii="宋体" w:hAnsi="宋体" w:eastAsia="宋体" w:cs="宋体"/>
                <w:color w:val="auto"/>
                <w:kern w:val="2"/>
                <w:sz w:val="21"/>
                <w:szCs w:val="21"/>
                <w:highlight w:val="none"/>
                <w:lang w:eastAsia="zh-CN" w:bidi="ar"/>
              </w:rPr>
              <w:t>3.8.2.1</w:t>
            </w:r>
          </w:p>
        </w:tc>
        <w:tc>
          <w:tcPr>
            <w:tcW w:w="3610" w:type="dxa"/>
            <w:vAlign w:val="center"/>
          </w:tcPr>
          <w:p>
            <w:pPr>
              <w:keepNext w:val="0"/>
              <w:keepLines w:val="0"/>
              <w:widowControl w:val="0"/>
              <w:suppressLineNumbers w:val="0"/>
              <w:spacing w:before="0" w:beforeAutospacing="0" w:after="0" w:afterAutospacing="0" w:line="240" w:lineRule="auto"/>
              <w:ind w:left="0" w:right="0"/>
              <w:jc w:val="both"/>
              <w:rPr>
                <w:rFonts w:hint="default" w:ascii="宋体" w:hAnsi="宋体" w:eastAsia="宋体" w:cs="宋体"/>
                <w:color w:val="auto"/>
                <w:kern w:val="2"/>
                <w:sz w:val="21"/>
                <w:szCs w:val="21"/>
                <w:highlight w:val="none"/>
                <w:lang w:eastAsia="zh-CN" w:bidi="ar"/>
              </w:rPr>
            </w:pPr>
            <w:r>
              <w:rPr>
                <w:rFonts w:hint="eastAsia" w:ascii="宋体" w:hAnsi="宋体" w:eastAsia="宋体" w:cs="宋体"/>
                <w:color w:val="auto"/>
                <w:kern w:val="2"/>
                <w:sz w:val="21"/>
                <w:szCs w:val="21"/>
                <w:highlight w:val="none"/>
                <w:lang w:val="en-US" w:eastAsia="zh-CN" w:bidi="ar"/>
              </w:rPr>
              <w:t>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tc>
        <w:tc>
          <w:tcPr>
            <w:tcW w:w="3717" w:type="dxa"/>
            <w:vAlign w:val="center"/>
          </w:tcPr>
          <w:p>
            <w:pPr>
              <w:keepNext w:val="0"/>
              <w:keepLines w:val="0"/>
              <w:widowControl w:val="0"/>
              <w:suppressLineNumbers w:val="0"/>
              <w:spacing w:before="0" w:beforeAutospacing="0" w:after="0" w:afterAutospacing="0" w:line="240" w:lineRule="auto"/>
              <w:ind w:left="0" w:right="0"/>
              <w:jc w:val="both"/>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b/>
                <w:color w:val="auto"/>
                <w:kern w:val="2"/>
                <w:sz w:val="21"/>
                <w:szCs w:val="21"/>
                <w:highlight w:val="none"/>
                <w:lang w:val="en-US" w:eastAsia="zh-CN" w:bidi="ar"/>
              </w:rPr>
              <w:t>修改：</w:t>
            </w:r>
            <w:r>
              <w:rPr>
                <w:rFonts w:hint="eastAsia" w:ascii="宋体" w:hAnsi="宋体" w:eastAsia="宋体" w:cs="宋体"/>
                <w:color w:val="auto"/>
                <w:kern w:val="2"/>
                <w:sz w:val="21"/>
                <w:szCs w:val="21"/>
                <w:highlight w:val="none"/>
                <w:lang w:val="en-US" w:eastAsia="zh-CN" w:bidi="ar"/>
              </w:rPr>
              <w:t>投标文件解密失败的补救方案：在规定时间内，因投标人之外原因（指网络瘫痪、服务器损坏、交易系统故障短期无法恢复）导致的电子投标文件解密失败，在开标现场读取光盘内容</w:t>
            </w:r>
            <w:r>
              <w:rPr>
                <w:rFonts w:hint="eastAsia" w:ascii="宋体" w:hAnsi="宋体" w:eastAsia="宋体" w:cs="宋体"/>
                <w:color w:val="auto"/>
                <w:kern w:val="2"/>
                <w:sz w:val="21"/>
                <w:szCs w:val="21"/>
                <w:highlight w:val="none"/>
                <w:u w:val="single"/>
                <w:lang w:val="en-US" w:eastAsia="zh-CN" w:bidi="ar"/>
              </w:rPr>
              <w:t>(只读取商务文件)</w:t>
            </w:r>
            <w:r>
              <w:rPr>
                <w:rFonts w:hint="eastAsia" w:ascii="宋体" w:hAnsi="宋体" w:eastAsia="宋体" w:cs="宋体"/>
                <w:color w:val="auto"/>
                <w:kern w:val="2"/>
                <w:sz w:val="21"/>
                <w:szCs w:val="21"/>
                <w:highlight w:val="none"/>
                <w:lang w:val="en-US" w:eastAsia="zh-CN" w:bidi="ar"/>
              </w:rPr>
              <w:t>，继续开标程序。评标委员会对其投标文件的评审以光盘内容为准。因投标人之外原因解密失败且未递交电子光盘的，视为撤回投标文件。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top"/>
          </w:tcPr>
          <w:p>
            <w:pPr>
              <w:keepNext w:val="0"/>
              <w:keepLines w:val="0"/>
              <w:suppressLineNumbers w:val="0"/>
              <w:spacing w:before="0" w:beforeAutospacing="0" w:after="0" w:afterAutospacing="0"/>
              <w:ind w:left="0" w:right="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10</w:t>
            </w:r>
          </w:p>
        </w:tc>
        <w:tc>
          <w:tcPr>
            <w:tcW w:w="1248" w:type="dxa"/>
            <w:vAlign w:val="top"/>
          </w:tcPr>
          <w:p>
            <w:pPr>
              <w:keepNext w:val="0"/>
              <w:keepLines w:val="0"/>
              <w:widowControl w:val="0"/>
              <w:suppressLineNumbers w:val="0"/>
              <w:spacing w:before="0" w:beforeAutospacing="0" w:after="0" w:afterAutospacing="0" w:line="360" w:lineRule="auto"/>
              <w:ind w:left="0" w:right="0"/>
              <w:jc w:val="left"/>
              <w:rPr>
                <w:rFonts w:hint="default" w:ascii="宋体" w:hAnsi="宋体" w:eastAsia="宋体" w:cs="宋体"/>
                <w:color w:val="auto"/>
                <w:kern w:val="2"/>
                <w:sz w:val="21"/>
                <w:szCs w:val="21"/>
                <w:highlight w:val="none"/>
                <w:lang w:eastAsia="zh-CN" w:bidi="ar"/>
              </w:rPr>
            </w:pPr>
            <w:r>
              <w:rPr>
                <w:rFonts w:hint="default" w:ascii="宋体" w:hAnsi="宋体" w:eastAsia="宋体" w:cs="宋体"/>
                <w:color w:val="auto"/>
                <w:kern w:val="2"/>
                <w:sz w:val="21"/>
                <w:szCs w:val="21"/>
                <w:highlight w:val="none"/>
                <w:lang w:eastAsia="zh-CN" w:bidi="ar"/>
              </w:rPr>
              <w:t>3.8.2.2</w:t>
            </w:r>
          </w:p>
        </w:tc>
        <w:tc>
          <w:tcPr>
            <w:tcW w:w="3610" w:type="dxa"/>
            <w:vAlign w:val="center"/>
          </w:tcPr>
          <w:p>
            <w:pPr>
              <w:keepNext w:val="0"/>
              <w:keepLines w:val="0"/>
              <w:widowControl w:val="0"/>
              <w:suppressLineNumbers w:val="0"/>
              <w:spacing w:before="0" w:beforeAutospacing="0" w:after="0" w:afterAutospacing="0" w:line="240" w:lineRule="auto"/>
              <w:ind w:left="0" w:right="0"/>
              <w:jc w:val="both"/>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评标时突发情况的补救方案：若遇不可抗力发生（如：网络瘫痪、服务器损坏、交易系统故障短期无法恢复等因素），由评标委员会开启现场递交的全部投标文件光盘，并按光盘内容进行评审。投标人未递交投标文件光盘（备用）的，视为撤回投标文件。</w:t>
            </w:r>
          </w:p>
        </w:tc>
        <w:tc>
          <w:tcPr>
            <w:tcW w:w="3717" w:type="dxa"/>
            <w:vAlign w:val="center"/>
          </w:tcPr>
          <w:p>
            <w:pPr>
              <w:keepNext w:val="0"/>
              <w:keepLines w:val="0"/>
              <w:widowControl w:val="0"/>
              <w:suppressLineNumbers w:val="0"/>
              <w:spacing w:before="0" w:beforeAutospacing="0" w:after="0" w:afterAutospacing="0" w:line="240" w:lineRule="auto"/>
              <w:ind w:left="0" w:right="0"/>
              <w:jc w:val="both"/>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b/>
                <w:color w:val="auto"/>
                <w:kern w:val="2"/>
                <w:sz w:val="21"/>
                <w:szCs w:val="21"/>
                <w:highlight w:val="none"/>
                <w:lang w:val="en-US" w:eastAsia="zh-CN" w:bidi="ar"/>
              </w:rPr>
              <w:t>修改：</w:t>
            </w:r>
            <w:r>
              <w:rPr>
                <w:rFonts w:hint="eastAsia" w:ascii="宋体" w:hAnsi="宋体" w:eastAsia="宋体" w:cs="宋体"/>
                <w:color w:val="auto"/>
                <w:kern w:val="2"/>
                <w:sz w:val="21"/>
                <w:szCs w:val="21"/>
                <w:highlight w:val="none"/>
                <w:lang w:val="en-US" w:eastAsia="zh-CN" w:bidi="ar"/>
              </w:rPr>
              <w:t>评标时突发情况的补救方案：若遇不可抗力发生（如：网络瘫痪、服务器损坏、交易系统故障短期无法恢复等因素），由评标委员会开启现场递交的全部投标文件光盘，并按光盘内容进行评审</w:t>
            </w:r>
            <w:r>
              <w:rPr>
                <w:rFonts w:hint="eastAsia" w:ascii="宋体" w:hAnsi="宋体" w:eastAsia="宋体" w:cs="宋体"/>
                <w:color w:val="auto"/>
                <w:kern w:val="2"/>
                <w:sz w:val="21"/>
                <w:szCs w:val="21"/>
                <w:highlight w:val="none"/>
                <w:u w:val="single"/>
                <w:lang w:val="en-US" w:eastAsia="zh-CN" w:bidi="ar"/>
              </w:rPr>
              <w:t>，评审完成开启保密信封，揭晓身份</w:t>
            </w:r>
            <w:r>
              <w:rPr>
                <w:rFonts w:hint="eastAsia" w:ascii="宋体" w:hAnsi="宋体" w:eastAsia="宋体" w:cs="宋体"/>
                <w:color w:val="auto"/>
                <w:kern w:val="2"/>
                <w:sz w:val="21"/>
                <w:szCs w:val="21"/>
                <w:highlight w:val="none"/>
                <w:lang w:val="en-US" w:eastAsia="zh-CN" w:bidi="ar"/>
              </w:rPr>
              <w:t>。投标人未递交投标文件光盘（备用）的，视为撤回投标文件。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top"/>
          </w:tcPr>
          <w:p>
            <w:pPr>
              <w:keepNext w:val="0"/>
              <w:keepLines w:val="0"/>
              <w:suppressLineNumbers w:val="0"/>
              <w:spacing w:before="0" w:beforeAutospacing="0" w:after="0" w:afterAutospacing="0"/>
              <w:ind w:left="0" w:right="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11</w:t>
            </w:r>
          </w:p>
        </w:tc>
        <w:tc>
          <w:tcPr>
            <w:tcW w:w="1248" w:type="dxa"/>
            <w:vAlign w:val="center"/>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eastAsia="zh-CN" w:bidi="ar"/>
              </w:rPr>
            </w:pPr>
            <w:r>
              <w:rPr>
                <w:rFonts w:hint="default" w:ascii="宋体" w:hAnsi="宋体" w:eastAsia="宋体" w:cs="宋体"/>
                <w:color w:val="auto"/>
                <w:kern w:val="2"/>
                <w:sz w:val="21"/>
                <w:szCs w:val="21"/>
                <w:highlight w:val="none"/>
                <w:lang w:eastAsia="zh-CN" w:bidi="ar"/>
              </w:rPr>
              <w:t>3.8.2.3</w:t>
            </w:r>
          </w:p>
        </w:tc>
        <w:tc>
          <w:tcPr>
            <w:tcW w:w="3610" w:type="dxa"/>
            <w:vAlign w:val="center"/>
          </w:tcPr>
          <w:p>
            <w:pPr>
              <w:keepNext w:val="0"/>
              <w:keepLines w:val="0"/>
              <w:widowControl/>
              <w:suppressLineNumbers w:val="0"/>
              <w:spacing w:before="0" w:beforeAutospacing="0" w:after="0" w:afterAutospacing="0" w:line="240" w:lineRule="auto"/>
              <w:ind w:left="0" w:right="0"/>
              <w:jc w:val="both"/>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除发生上述情况外，开标评标均以投标人通过交易平台网上递交的电子投标文件为准。</w:t>
            </w:r>
          </w:p>
        </w:tc>
        <w:tc>
          <w:tcPr>
            <w:tcW w:w="3717" w:type="dxa"/>
            <w:vAlign w:val="center"/>
          </w:tcPr>
          <w:p>
            <w:pPr>
              <w:keepNext w:val="0"/>
              <w:keepLines w:val="0"/>
              <w:widowControl/>
              <w:suppressLineNumbers w:val="0"/>
              <w:spacing w:before="0" w:beforeAutospacing="0" w:after="0" w:afterAutospacing="0" w:line="240" w:lineRule="auto"/>
              <w:ind w:left="0" w:right="0"/>
              <w:jc w:val="both"/>
              <w:rPr>
                <w:rFonts w:hint="default" w:ascii="宋体" w:hAnsi="宋体" w:eastAsia="宋体" w:cs="宋体"/>
                <w:b/>
                <w:bCs w:val="0"/>
                <w:color w:val="auto"/>
                <w:kern w:val="2"/>
                <w:sz w:val="21"/>
                <w:szCs w:val="21"/>
                <w:highlight w:val="none"/>
                <w:lang w:val="en-US" w:eastAsia="zh-CN" w:bidi="ar"/>
              </w:rPr>
            </w:pPr>
            <w:r>
              <w:rPr>
                <w:rFonts w:hint="eastAsia" w:ascii="宋体" w:hAnsi="宋体" w:eastAsia="宋体" w:cs="Times New Roman"/>
                <w:b/>
                <w:color w:val="auto"/>
                <w:sz w:val="21"/>
                <w:szCs w:val="21"/>
                <w:highlight w:val="none"/>
              </w:rPr>
              <w:t>修改</w:t>
            </w:r>
            <w:r>
              <w:rPr>
                <w:rFonts w:hint="eastAsia" w:ascii="宋体" w:hAnsi="宋体" w:eastAsia="宋体" w:cs="Times New Roman"/>
                <w:color w:val="auto"/>
                <w:sz w:val="21"/>
                <w:szCs w:val="21"/>
                <w:highlight w:val="none"/>
              </w:rPr>
              <w:t>：</w:t>
            </w:r>
            <w:r>
              <w:rPr>
                <w:rFonts w:hint="eastAsia" w:ascii="宋体" w:hAnsi="宋体" w:eastAsia="宋体" w:cs="宋体"/>
                <w:color w:val="auto"/>
                <w:kern w:val="2"/>
                <w:sz w:val="21"/>
                <w:szCs w:val="21"/>
                <w:highlight w:val="none"/>
                <w:lang w:val="en-US" w:eastAsia="zh-CN" w:bidi="ar"/>
              </w:rPr>
              <w:t>除发生上述情况外</w:t>
            </w:r>
            <w:r>
              <w:rPr>
                <w:rFonts w:hint="eastAsia" w:ascii="宋体" w:hAnsi="宋体" w:eastAsia="宋体" w:cs="宋体"/>
                <w:color w:val="auto"/>
                <w:kern w:val="2"/>
                <w:sz w:val="21"/>
                <w:szCs w:val="21"/>
                <w:highlight w:val="none"/>
                <w:u w:val="single"/>
                <w:lang w:val="en-US" w:eastAsia="zh-CN" w:bidi="ar"/>
              </w:rPr>
              <w:t>对投标文件同一内容</w:t>
            </w:r>
            <w:r>
              <w:rPr>
                <w:rFonts w:hint="eastAsia" w:ascii="宋体" w:hAnsi="宋体" w:eastAsia="宋体" w:cs="宋体"/>
                <w:color w:val="auto"/>
                <w:kern w:val="2"/>
                <w:sz w:val="21"/>
                <w:szCs w:val="21"/>
                <w:highlight w:val="none"/>
                <w:lang w:val="en-US" w:eastAsia="zh-CN" w:bidi="ar"/>
              </w:rPr>
              <w:t>，开标评标均以投标人通过交易平台网上递交的电子投标文件为准。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top"/>
          </w:tcPr>
          <w:p>
            <w:pPr>
              <w:keepNext w:val="0"/>
              <w:keepLines w:val="0"/>
              <w:suppressLineNumbers w:val="0"/>
              <w:spacing w:before="0" w:beforeAutospacing="0" w:after="0" w:afterAutospacing="0"/>
              <w:ind w:left="0" w:right="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w:t>
            </w:r>
          </w:p>
        </w:tc>
        <w:tc>
          <w:tcPr>
            <w:tcW w:w="1248" w:type="dxa"/>
            <w:vAlign w:val="center"/>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3.9.1</w:t>
            </w:r>
          </w:p>
        </w:tc>
        <w:tc>
          <w:tcPr>
            <w:tcW w:w="3610" w:type="dxa"/>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在投标截止时间后半小时内，投标人通过递交投标文件的交易平台对已递交的电子投标文件进行解密。投标人完成解密后，再由招标人进行解密。解密完成后，公布招标项目名称、投标人名称、开标信封文件和资格审查文件（如有）。未在规定时间内解密的投标文件不参与开标、评标。</w:t>
            </w:r>
          </w:p>
        </w:tc>
        <w:tc>
          <w:tcPr>
            <w:tcW w:w="3717" w:type="dxa"/>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修改：</w:t>
            </w:r>
            <w:r>
              <w:rPr>
                <w:rFonts w:hint="eastAsia" w:ascii="宋体" w:hAnsi="宋体" w:eastAsia="宋体" w:cs="宋体"/>
                <w:color w:val="auto"/>
                <w:kern w:val="2"/>
                <w:sz w:val="21"/>
                <w:szCs w:val="21"/>
                <w:highlight w:val="none"/>
                <w:lang w:val="en-US" w:eastAsia="zh-CN" w:bidi="ar"/>
              </w:rPr>
              <w:t>在投标截止时间后半小时内，投标人通过递交投标文件的交易平台对已递交的电子投标文件进行解密。投标人完成解密后，再由招标人进行解密。解密完成后，公布招标项目名称、投标人名称和资格审查文件（如有）。未在规定时间内解密的投标文件不参与开标、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Cs w:val="21"/>
                <w:highlight w:val="none"/>
                <w:lang w:eastAsia="zh-CN"/>
              </w:rPr>
            </w:pPr>
            <w:r>
              <w:rPr>
                <w:rFonts w:hint="default"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248" w:type="dxa"/>
            <w:vAlign w:val="center"/>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
              </w:rPr>
              <w:t>3.9.10</w:t>
            </w:r>
          </w:p>
        </w:tc>
        <w:tc>
          <w:tcPr>
            <w:tcW w:w="3610" w:type="dxa"/>
            <w:vAlign w:val="center"/>
          </w:tcPr>
          <w:p>
            <w:pPr>
              <w:keepNext w:val="0"/>
              <w:keepLines w:val="0"/>
              <w:widowControl w:val="0"/>
              <w:suppressLineNumbers w:val="0"/>
              <w:spacing w:before="0" w:beforeAutospacing="0" w:after="0" w:afterAutospacing="0" w:line="240" w:lineRule="auto"/>
              <w:ind w:left="0" w:right="0"/>
              <w:jc w:val="both"/>
              <w:rPr>
                <w:rFonts w:hint="default" w:ascii="宋体" w:hAnsi="宋体" w:eastAsia="宋体" w:cs="Times New Roman"/>
                <w:color w:val="auto"/>
                <w:szCs w:val="21"/>
                <w:highlight w:val="none"/>
              </w:rPr>
            </w:pPr>
            <w:r>
              <w:rPr>
                <w:rFonts w:hint="eastAsia" w:ascii="宋体" w:hAnsi="宋体" w:eastAsia="宋体" w:cs="宋体"/>
                <w:color w:val="auto"/>
                <w:kern w:val="2"/>
                <w:sz w:val="21"/>
                <w:szCs w:val="21"/>
                <w:highlight w:val="none"/>
                <w:lang w:val="en-US" w:eastAsia="zh-CN" w:bidi="ar"/>
              </w:rPr>
              <w:t>投标文件（设计方案）开标时不得开启，在评标时由交易平台随机编号后开启，交由评标委员会进行评审。编号所对应的投标人在投票结束前不得告知评标委员会、交易平台工作人员、招标人或招标代理机构</w:t>
            </w:r>
            <w:r>
              <w:rPr>
                <w:rFonts w:hint="eastAsia" w:ascii="宋体" w:hAnsi="宋体" w:eastAsia="宋体" w:cs="Times New Roman"/>
                <w:color w:val="auto"/>
                <w:szCs w:val="21"/>
                <w:highlight w:val="none"/>
              </w:rPr>
              <w:t>。</w:t>
            </w:r>
          </w:p>
        </w:tc>
        <w:tc>
          <w:tcPr>
            <w:tcW w:w="3717" w:type="dxa"/>
            <w:vAlign w:val="center"/>
          </w:tcPr>
          <w:p>
            <w:pPr>
              <w:keepNext w:val="0"/>
              <w:keepLines w:val="0"/>
              <w:widowControl w:val="0"/>
              <w:suppressLineNumbers w:val="0"/>
              <w:spacing w:before="0" w:beforeAutospacing="0" w:after="0" w:afterAutospacing="0" w:line="240" w:lineRule="auto"/>
              <w:ind w:left="0" w:right="0"/>
              <w:jc w:val="both"/>
              <w:rPr>
                <w:rFonts w:hint="default" w:ascii="宋体" w:hAnsi="宋体" w:eastAsia="宋体" w:cs="Times New Roman"/>
                <w:b/>
                <w:color w:val="auto"/>
                <w:szCs w:val="21"/>
                <w:highlight w:val="none"/>
              </w:rPr>
            </w:pPr>
            <w:r>
              <w:rPr>
                <w:rFonts w:hint="eastAsia" w:ascii="宋体" w:hAnsi="宋体" w:eastAsia="宋体" w:cs="宋体"/>
                <w:b/>
                <w:bCs w:val="0"/>
                <w:color w:val="auto"/>
                <w:kern w:val="2"/>
                <w:sz w:val="21"/>
                <w:szCs w:val="21"/>
                <w:highlight w:val="none"/>
                <w:lang w:val="en-US" w:eastAsia="zh-CN" w:bidi="ar"/>
              </w:rPr>
              <w:t>修改</w:t>
            </w:r>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b w:val="0"/>
                <w:bCs/>
                <w:color w:val="auto"/>
                <w:kern w:val="2"/>
                <w:sz w:val="21"/>
                <w:szCs w:val="21"/>
                <w:highlight w:val="none"/>
                <w:lang w:val="en-US" w:eastAsia="zh-CN" w:bidi="ar"/>
              </w:rPr>
              <w:t>交易系统上传的投标文件（设计方案）电子文件，开标时不得开启，在评标时由交易平台随机编号后开启，交由评标委员会进行评审。编号所对应的投标人在方案评审结束前不得告知评标委员会、交易平台工作人员、招标人或招标代理机构</w:t>
            </w:r>
            <w:r>
              <w:rPr>
                <w:rFonts w:hint="eastAsia" w:ascii="宋体" w:hAnsi="宋体" w:eastAsia="宋体" w:cs="宋体"/>
                <w:bCs/>
                <w:color w:val="auto"/>
                <w:kern w:val="2"/>
                <w:sz w:val="21"/>
                <w:szCs w:val="21"/>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default"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24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default" w:ascii="宋体" w:hAnsi="宋体" w:eastAsia="宋体" w:cs="宋体"/>
                <w:color w:val="auto"/>
                <w:szCs w:val="21"/>
                <w:highlight w:val="none"/>
              </w:rPr>
              <w:t>3.9.11</w:t>
            </w:r>
          </w:p>
        </w:tc>
        <w:tc>
          <w:tcPr>
            <w:tcW w:w="3610" w:type="dxa"/>
            <w:vAlign w:val="center"/>
          </w:tcPr>
          <w:p>
            <w:pPr>
              <w:keepNext w:val="0"/>
              <w:keepLines w:val="0"/>
              <w:widowControl w:val="0"/>
              <w:suppressLineNumbers w:val="0"/>
              <w:spacing w:before="0" w:beforeAutospacing="0" w:after="0" w:afterAutospacing="0" w:line="240" w:lineRule="auto"/>
              <w:ind w:left="0" w:right="0"/>
              <w:jc w:val="both"/>
              <w:rPr>
                <w:rFonts w:hint="default" w:ascii="宋体" w:hAnsi="宋体" w:eastAsia="宋体" w:cs="Times New Roman"/>
                <w:color w:val="auto"/>
                <w:szCs w:val="21"/>
                <w:highlight w:val="none"/>
              </w:rPr>
            </w:pPr>
            <w:r>
              <w:rPr>
                <w:rFonts w:hint="eastAsia" w:ascii="宋体" w:hAnsi="宋体" w:eastAsia="宋体" w:cs="宋体"/>
                <w:b/>
                <w:bCs w:val="0"/>
                <w:color w:val="auto"/>
                <w:kern w:val="2"/>
                <w:sz w:val="21"/>
                <w:szCs w:val="21"/>
                <w:highlight w:val="none"/>
                <w:lang w:val="en-US" w:eastAsia="zh-CN" w:bidi="ar"/>
              </w:rPr>
              <w:t>新增</w:t>
            </w:r>
          </w:p>
        </w:tc>
        <w:tc>
          <w:tcPr>
            <w:tcW w:w="3717" w:type="dxa"/>
            <w:vAlign w:val="center"/>
          </w:tcPr>
          <w:p>
            <w:pPr>
              <w:keepNext w:val="0"/>
              <w:keepLines w:val="0"/>
              <w:widowControl w:val="0"/>
              <w:suppressLineNumbers w:val="0"/>
              <w:spacing w:before="0" w:beforeAutospacing="0" w:after="0" w:afterAutospacing="0" w:line="240" w:lineRule="auto"/>
              <w:ind w:left="0" w:right="0"/>
              <w:jc w:val="both"/>
              <w:rPr>
                <w:rFonts w:hint="default" w:ascii="宋体" w:hAnsi="宋体" w:eastAsia="宋体" w:cs="Times New Roman"/>
                <w:b/>
                <w:color w:val="auto"/>
                <w:szCs w:val="21"/>
                <w:highlight w:val="none"/>
              </w:rPr>
            </w:pPr>
            <w:r>
              <w:rPr>
                <w:rFonts w:hint="eastAsia" w:ascii="宋体" w:hAnsi="宋体" w:eastAsia="宋体" w:cs="宋体"/>
                <w:color w:val="auto"/>
                <w:kern w:val="2"/>
                <w:sz w:val="21"/>
                <w:szCs w:val="21"/>
                <w:highlight w:val="none"/>
                <w:lang w:val="en-US" w:eastAsia="zh-CN" w:bidi="ar"/>
              </w:rPr>
              <w:t>设计方案展示文件</w:t>
            </w:r>
            <w:r>
              <w:rPr>
                <w:rFonts w:hint="default" w:ascii="宋体" w:hAnsi="宋体" w:eastAsia="宋体" w:cs="宋体"/>
                <w:color w:val="auto"/>
                <w:kern w:val="2"/>
                <w:sz w:val="21"/>
                <w:szCs w:val="21"/>
                <w:highlight w:val="none"/>
                <w:lang w:eastAsia="zh-CN" w:bidi="ar"/>
              </w:rPr>
              <w:t>（展板）</w:t>
            </w:r>
            <w:r>
              <w:rPr>
                <w:rFonts w:hint="eastAsia" w:ascii="宋体" w:hAnsi="宋体" w:eastAsia="宋体" w:cs="宋体"/>
                <w:color w:val="auto"/>
                <w:kern w:val="2"/>
                <w:sz w:val="21"/>
                <w:szCs w:val="21"/>
                <w:highlight w:val="none"/>
                <w:lang w:val="en-US" w:eastAsia="zh-CN" w:bidi="ar"/>
              </w:rPr>
              <w:t>、多媒体演示文件、</w:t>
            </w:r>
            <w:r>
              <w:rPr>
                <w:rFonts w:hint="default" w:ascii="宋体" w:hAnsi="宋体" w:eastAsia="宋体" w:cs="宋体"/>
                <w:color w:val="auto"/>
                <w:kern w:val="2"/>
                <w:sz w:val="21"/>
                <w:szCs w:val="21"/>
                <w:highlight w:val="none"/>
                <w:lang w:eastAsia="zh-CN" w:bidi="ar"/>
              </w:rPr>
              <w:t>展示</w:t>
            </w:r>
            <w:r>
              <w:rPr>
                <w:rFonts w:hint="eastAsia" w:ascii="宋体" w:hAnsi="宋体" w:eastAsia="宋体" w:cs="宋体"/>
                <w:color w:val="auto"/>
                <w:kern w:val="2"/>
                <w:sz w:val="21"/>
                <w:szCs w:val="21"/>
                <w:highlight w:val="none"/>
                <w:lang w:val="en-US" w:eastAsia="zh-CN" w:bidi="ar"/>
              </w:rPr>
              <w:t>模型、设计方案文本开标时不得开启，在评标时由交易中心见证人员开启并编号，交由评标委员会进行评审。编号所对应的投标人在方案评审结束前不得告知评标委员会、招标人或招标代理机构。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default"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p>
        </w:tc>
        <w:tc>
          <w:tcPr>
            <w:tcW w:w="124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default" w:ascii="宋体" w:hAnsi="宋体" w:eastAsia="宋体" w:cs="宋体"/>
                <w:color w:val="auto"/>
                <w:szCs w:val="21"/>
                <w:highlight w:val="none"/>
              </w:rPr>
              <w:t>3.10.1</w:t>
            </w:r>
          </w:p>
        </w:tc>
        <w:tc>
          <w:tcPr>
            <w:tcW w:w="3610" w:type="dxa"/>
            <w:vAlign w:val="center"/>
          </w:tcPr>
          <w:p>
            <w:pPr>
              <w:keepNext w:val="0"/>
              <w:keepLines w:val="0"/>
              <w:suppressLineNumbers w:val="0"/>
              <w:spacing w:before="0" w:beforeAutospacing="0" w:after="0" w:afterAutospacing="0" w:line="240" w:lineRule="auto"/>
              <w:ind w:left="0" w:right="0"/>
              <w:rPr>
                <w:rFonts w:hint="default" w:ascii="宋体" w:hAnsi="宋体" w:eastAsia="宋体" w:cs="宋体"/>
                <w:color w:val="auto"/>
                <w:szCs w:val="21"/>
                <w:highlight w:val="none"/>
              </w:rPr>
            </w:pPr>
            <w:r>
              <w:rPr>
                <w:rFonts w:hint="eastAsia" w:ascii="宋体" w:hAnsi="宋体" w:eastAsia="宋体" w:cs="Times New Roman"/>
                <w:color w:val="auto"/>
                <w:szCs w:val="21"/>
                <w:highlight w:val="none"/>
              </w:rPr>
              <w:t>投标人不需要提交投标保证金，评标结果揭晓后，中标候选人所得投标补偿转作保证金，确定中标人后立即返还，其中中标人的保证金待签订合同后立即返还。如果重新招标，保证金立即返还。</w:t>
            </w:r>
          </w:p>
        </w:tc>
        <w:tc>
          <w:tcPr>
            <w:tcW w:w="3717" w:type="dxa"/>
            <w:vAlign w:val="center"/>
          </w:tcPr>
          <w:p>
            <w:pPr>
              <w:keepNext w:val="0"/>
              <w:keepLines w:val="0"/>
              <w:suppressLineNumbers w:val="0"/>
              <w:spacing w:before="0" w:beforeAutospacing="0" w:after="0" w:afterAutospacing="0" w:line="240" w:lineRule="auto"/>
              <w:ind w:left="0" w:right="0"/>
              <w:rPr>
                <w:rFonts w:hint="default" w:ascii="宋体" w:hAnsi="宋体" w:eastAsia="宋体" w:cs="宋体"/>
                <w:color w:val="auto"/>
                <w:szCs w:val="21"/>
                <w:highlight w:val="none"/>
              </w:rPr>
            </w:pPr>
            <w:r>
              <w:rPr>
                <w:rFonts w:hint="eastAsia" w:ascii="宋体" w:hAnsi="宋体" w:eastAsia="宋体" w:cs="Times New Roman"/>
                <w:b/>
                <w:color w:val="auto"/>
                <w:szCs w:val="21"/>
                <w:highlight w:val="none"/>
              </w:rPr>
              <w:t>修改</w:t>
            </w:r>
            <w:r>
              <w:rPr>
                <w:rFonts w:hint="eastAsia" w:ascii="宋体" w:hAnsi="宋体" w:eastAsia="宋体" w:cs="Times New Roman"/>
                <w:color w:val="auto"/>
                <w:szCs w:val="21"/>
                <w:highlight w:val="none"/>
              </w:rPr>
              <w:t>：投标人不需要提交投标保证金。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default"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p>
        </w:tc>
        <w:tc>
          <w:tcPr>
            <w:tcW w:w="1248" w:type="dxa"/>
            <w:vAlign w:val="center"/>
          </w:tcPr>
          <w:p>
            <w:pPr>
              <w:keepNext w:val="0"/>
              <w:keepLines w:val="0"/>
              <w:suppressLineNumbers w:val="0"/>
              <w:snapToGrid w:val="0"/>
              <w:spacing w:before="0" w:beforeAutospacing="0" w:after="0" w:afterAutospacing="0" w:line="360" w:lineRule="auto"/>
              <w:ind w:left="0" w:right="0" w:firstLine="210" w:firstLineChars="100"/>
              <w:rPr>
                <w:rFonts w:hint="default" w:ascii="宋体" w:hAnsi="宋体" w:eastAsia="宋体" w:cs="宋体"/>
                <w:color w:val="auto"/>
                <w:szCs w:val="21"/>
                <w:highlight w:val="none"/>
              </w:rPr>
            </w:pPr>
            <w:r>
              <w:rPr>
                <w:rFonts w:hint="default" w:ascii="宋体" w:hAnsi="宋体" w:eastAsia="宋体" w:cs="宋体"/>
                <w:color w:val="auto"/>
                <w:szCs w:val="21"/>
                <w:highlight w:val="none"/>
              </w:rPr>
              <w:t>3.10.2</w:t>
            </w:r>
          </w:p>
        </w:tc>
        <w:tc>
          <w:tcPr>
            <w:tcW w:w="3610" w:type="dxa"/>
            <w:vAlign w:val="center"/>
          </w:tcPr>
          <w:p>
            <w:pPr>
              <w:keepNext w:val="0"/>
              <w:keepLines w:val="0"/>
              <w:suppressLineNumbers w:val="0"/>
              <w:snapToGrid w:val="0"/>
              <w:spacing w:before="0" w:beforeAutospacing="0" w:after="0" w:afterAutospacing="0" w:line="240" w:lineRule="auto"/>
              <w:ind w:left="0" w:right="0"/>
              <w:rPr>
                <w:rFonts w:hint="default" w:ascii="宋体" w:hAnsi="宋体" w:eastAsia="宋体" w:cs="Times New Roman"/>
                <w:color w:val="auto"/>
                <w:highlight w:val="none"/>
              </w:rPr>
            </w:pPr>
            <w:r>
              <w:rPr>
                <w:rFonts w:hint="eastAsia" w:ascii="宋体" w:hAnsi="宋体" w:eastAsia="宋体" w:cs="Times New Roman"/>
                <w:color w:val="auto"/>
                <w:kern w:val="0"/>
                <w:highlight w:val="none"/>
              </w:rPr>
              <w:t>投标有效期</w:t>
            </w:r>
            <w:r>
              <w:rPr>
                <w:rFonts w:hint="default" w:ascii="宋体" w:hAnsi="宋体" w:eastAsia="宋体" w:cs="Times New Roman"/>
                <w:color w:val="auto"/>
                <w:kern w:val="0"/>
                <w:highlight w:val="none"/>
              </w:rPr>
              <w:t>90天，</w:t>
            </w:r>
            <w:r>
              <w:rPr>
                <w:rFonts w:hint="eastAsia" w:ascii="宋体" w:hAnsi="宋体" w:eastAsia="宋体" w:cs="Times New Roman"/>
                <w:color w:val="auto"/>
                <w:szCs w:val="21"/>
                <w:highlight w:val="none"/>
              </w:rPr>
              <w:t>从提交投标文件截止日起计算。在提交投标文件截止时间后到招标文件规定的投标有效期终止之前，投标人不得补充、修改或者撤回其投标文件，否则其保证金将被没收。</w:t>
            </w:r>
          </w:p>
        </w:tc>
        <w:tc>
          <w:tcPr>
            <w:tcW w:w="3717" w:type="dxa"/>
            <w:vAlign w:val="center"/>
          </w:tcPr>
          <w:p>
            <w:pPr>
              <w:keepNext w:val="0"/>
              <w:keepLines w:val="0"/>
              <w:suppressLineNumbers w:val="0"/>
              <w:snapToGrid w:val="0"/>
              <w:spacing w:before="0" w:beforeAutospacing="0" w:after="0" w:afterAutospacing="0" w:line="240" w:lineRule="auto"/>
              <w:ind w:left="0" w:right="0"/>
              <w:rPr>
                <w:rFonts w:hint="default" w:ascii="宋体" w:hAnsi="宋体" w:eastAsia="宋体" w:cs="Times New Roman"/>
                <w:b/>
                <w:color w:val="auto"/>
                <w:highlight w:val="none"/>
              </w:rPr>
            </w:pPr>
            <w:r>
              <w:rPr>
                <w:rFonts w:hint="eastAsia" w:ascii="宋体" w:hAnsi="宋体" w:eastAsia="宋体" w:cs="Times New Roman"/>
                <w:b/>
                <w:color w:val="auto"/>
                <w:highlight w:val="none"/>
              </w:rPr>
              <w:t>修改</w:t>
            </w:r>
            <w:r>
              <w:rPr>
                <w:rFonts w:hint="eastAsia" w:ascii="宋体" w:hAnsi="宋体" w:eastAsia="宋体" w:cs="Times New Roman"/>
                <w:color w:val="auto"/>
                <w:highlight w:val="none"/>
              </w:rPr>
              <w:t>：</w:t>
            </w:r>
            <w:r>
              <w:rPr>
                <w:rFonts w:hint="eastAsia" w:ascii="宋体" w:hAnsi="宋体" w:eastAsia="宋体" w:cs="Times New Roman"/>
                <w:color w:val="auto"/>
                <w:szCs w:val="21"/>
                <w:highlight w:val="none"/>
              </w:rPr>
              <w:t>投标有效期</w:t>
            </w:r>
            <w:r>
              <w:rPr>
                <w:rFonts w:hint="default" w:ascii="宋体" w:hAnsi="宋体" w:eastAsia="宋体" w:cs="Times New Roman"/>
                <w:color w:val="auto"/>
                <w:szCs w:val="21"/>
                <w:highlight w:val="none"/>
              </w:rPr>
              <w:t>90日历天，从提交投标文件截止日起计算</w:t>
            </w:r>
            <w:r>
              <w:rPr>
                <w:rFonts w:hint="eastAsia" w:ascii="宋体" w:hAnsi="宋体" w:eastAsia="宋体" w:cs="Times New Roman"/>
                <w:color w:val="auto"/>
                <w:szCs w:val="21"/>
                <w:highlight w:val="none"/>
                <w:u w:val="single"/>
              </w:rPr>
              <w:t>，如出现异议或投诉，则投标有效期自动延长至异议或投诉处理结束。</w:t>
            </w:r>
            <w:r>
              <w:rPr>
                <w:rFonts w:hint="eastAsia" w:ascii="宋体" w:hAnsi="宋体" w:eastAsia="宋体" w:cs="Times New Roman"/>
                <w:color w:val="auto"/>
                <w:szCs w:val="21"/>
                <w:highlight w:val="none"/>
              </w:rPr>
              <w:t>在提交投标文件截止时间后到招标文件规定的投标有效期终止之前，投标人不得补充、修改或者撤回其投标文件。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default"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7</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firstLine="210" w:firstLineChars="100"/>
              <w:rPr>
                <w:rFonts w:hint="default" w:ascii="宋体" w:hAnsi="宋体" w:eastAsia="宋体" w:cs="宋体"/>
                <w:color w:val="auto"/>
                <w:szCs w:val="21"/>
                <w:highlight w:val="none"/>
              </w:rPr>
            </w:pPr>
            <w:r>
              <w:rPr>
                <w:rFonts w:hint="default" w:ascii="宋体" w:hAnsi="宋体" w:eastAsia="宋体" w:cs="宋体"/>
                <w:color w:val="auto"/>
                <w:szCs w:val="21"/>
                <w:highlight w:val="none"/>
                <w:lang w:bidi="ar"/>
              </w:rPr>
              <w:t>3.11</w:t>
            </w:r>
          </w:p>
        </w:tc>
        <w:tc>
          <w:tcPr>
            <w:tcW w:w="36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lang w:bidi="ar"/>
              </w:rPr>
            </w:pPr>
            <w:r>
              <w:rPr>
                <w:rFonts w:hint="default" w:ascii="宋体" w:hAnsi="宋体" w:eastAsia="宋体" w:cs="宋体"/>
                <w:color w:val="auto"/>
                <w:szCs w:val="21"/>
                <w:highlight w:val="none"/>
                <w:lang w:bidi="ar"/>
              </w:rPr>
              <w:t>3.11</w:t>
            </w:r>
            <w:r>
              <w:rPr>
                <w:rFonts w:hint="eastAsia" w:ascii="宋体" w:hAnsi="宋体" w:eastAsia="宋体" w:cs="宋体"/>
                <w:b/>
                <w:color w:val="auto"/>
                <w:szCs w:val="21"/>
                <w:highlight w:val="none"/>
                <w:lang w:bidi="ar"/>
              </w:rPr>
              <w:t>投标人不得存在下列情形之一：</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lang w:bidi="ar"/>
              </w:rPr>
            </w:pPr>
            <w:r>
              <w:rPr>
                <w:rFonts w:hint="default" w:ascii="宋体" w:hAnsi="宋体" w:eastAsia="宋体" w:cs="宋体"/>
                <w:color w:val="auto"/>
                <w:szCs w:val="21"/>
                <w:highlight w:val="none"/>
                <w:lang w:bidi="ar"/>
              </w:rPr>
              <w:t xml:space="preserve"> </w:t>
            </w:r>
            <w:r>
              <w:rPr>
                <w:rFonts w:hint="eastAsia" w:ascii="宋体" w:hAnsi="宋体" w:eastAsia="宋体" w:cs="宋体"/>
                <w:color w:val="auto"/>
                <w:szCs w:val="21"/>
                <w:highlight w:val="none"/>
                <w:lang w:bidi="ar"/>
              </w:rPr>
              <w:t>（</w:t>
            </w:r>
            <w:r>
              <w:rPr>
                <w:rFonts w:hint="default" w:ascii="宋体" w:hAnsi="宋体" w:eastAsia="宋体" w:cs="宋体"/>
                <w:color w:val="auto"/>
                <w:szCs w:val="21"/>
                <w:highlight w:val="none"/>
                <w:lang w:bidi="ar"/>
              </w:rPr>
              <w:t>1）为招标人不具有独立法人资格的附属机构（单位）；</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lang w:bidi="ar"/>
              </w:rPr>
            </w:pPr>
            <w:r>
              <w:rPr>
                <w:rFonts w:hint="eastAsia" w:ascii="宋体" w:hAnsi="宋体" w:eastAsia="宋体" w:cs="宋体"/>
                <w:color w:val="auto"/>
                <w:szCs w:val="21"/>
                <w:highlight w:val="none"/>
                <w:lang w:bidi="ar"/>
              </w:rPr>
              <w:t>（</w:t>
            </w:r>
            <w:r>
              <w:rPr>
                <w:rFonts w:hint="default" w:ascii="宋体" w:hAnsi="宋体" w:eastAsia="宋体" w:cs="宋体"/>
                <w:color w:val="auto"/>
                <w:szCs w:val="21"/>
                <w:highlight w:val="none"/>
                <w:lang w:bidi="ar"/>
              </w:rPr>
              <w:t>2）与招标人存在利害关系且可能影响招标公正性；</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lang w:bidi="ar"/>
              </w:rPr>
            </w:pPr>
            <w:r>
              <w:rPr>
                <w:rFonts w:hint="eastAsia" w:ascii="宋体" w:hAnsi="宋体" w:eastAsia="宋体" w:cs="宋体"/>
                <w:color w:val="auto"/>
                <w:szCs w:val="21"/>
                <w:highlight w:val="none"/>
                <w:lang w:bidi="ar"/>
              </w:rPr>
              <w:t>（</w:t>
            </w:r>
            <w:r>
              <w:rPr>
                <w:rFonts w:hint="default" w:ascii="宋体" w:hAnsi="宋体" w:eastAsia="宋体" w:cs="宋体"/>
                <w:color w:val="auto"/>
                <w:szCs w:val="21"/>
                <w:highlight w:val="none"/>
                <w:lang w:bidi="ar"/>
              </w:rPr>
              <w:t>3）与本招标项目的其他投标人为同一个单位负责人；</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lang w:bidi="ar"/>
              </w:rPr>
            </w:pPr>
            <w:r>
              <w:rPr>
                <w:rFonts w:hint="eastAsia" w:ascii="宋体" w:hAnsi="宋体" w:eastAsia="宋体" w:cs="宋体"/>
                <w:color w:val="auto"/>
                <w:szCs w:val="21"/>
                <w:highlight w:val="none"/>
                <w:lang w:bidi="ar"/>
              </w:rPr>
              <w:t>（</w:t>
            </w:r>
            <w:r>
              <w:rPr>
                <w:rFonts w:hint="default" w:ascii="宋体" w:hAnsi="宋体" w:eastAsia="宋体" w:cs="宋体"/>
                <w:color w:val="auto"/>
                <w:szCs w:val="21"/>
                <w:highlight w:val="none"/>
                <w:lang w:bidi="ar"/>
              </w:rPr>
              <w:t>4）与本招标项目的其他投标人存在控股、管理关系；</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lang w:bidi="ar"/>
              </w:rPr>
            </w:pPr>
            <w:r>
              <w:rPr>
                <w:rFonts w:hint="eastAsia" w:ascii="宋体" w:hAnsi="宋体" w:eastAsia="宋体" w:cs="宋体"/>
                <w:color w:val="auto"/>
                <w:szCs w:val="21"/>
                <w:highlight w:val="none"/>
                <w:lang w:bidi="ar"/>
              </w:rPr>
              <w:t>（</w:t>
            </w:r>
            <w:r>
              <w:rPr>
                <w:rFonts w:hint="default" w:ascii="宋体" w:hAnsi="宋体" w:eastAsia="宋体" w:cs="宋体"/>
                <w:color w:val="auto"/>
                <w:szCs w:val="21"/>
                <w:highlight w:val="none"/>
                <w:lang w:bidi="ar"/>
              </w:rPr>
              <w:t>5）为本招标项目的代建人；</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lang w:bidi="ar"/>
              </w:rPr>
            </w:pPr>
            <w:r>
              <w:rPr>
                <w:rFonts w:hint="eastAsia" w:ascii="宋体" w:hAnsi="宋体" w:eastAsia="宋体" w:cs="宋体"/>
                <w:color w:val="auto"/>
                <w:szCs w:val="21"/>
                <w:highlight w:val="none"/>
                <w:lang w:bidi="ar"/>
              </w:rPr>
              <w:t>（</w:t>
            </w:r>
            <w:r>
              <w:rPr>
                <w:rFonts w:hint="default" w:ascii="宋体" w:hAnsi="宋体" w:eastAsia="宋体" w:cs="宋体"/>
                <w:color w:val="auto"/>
                <w:szCs w:val="21"/>
                <w:highlight w:val="none"/>
                <w:lang w:bidi="ar"/>
              </w:rPr>
              <w:t>6）为本招标项目的招标代理机构；</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lang w:bidi="ar"/>
              </w:rPr>
            </w:pPr>
            <w:r>
              <w:rPr>
                <w:rFonts w:hint="eastAsia" w:ascii="宋体" w:hAnsi="宋体" w:eastAsia="宋体" w:cs="宋体"/>
                <w:color w:val="auto"/>
                <w:szCs w:val="21"/>
                <w:highlight w:val="none"/>
                <w:lang w:bidi="ar"/>
              </w:rPr>
              <w:t>（</w:t>
            </w:r>
            <w:r>
              <w:rPr>
                <w:rFonts w:hint="default" w:ascii="宋体" w:hAnsi="宋体" w:eastAsia="宋体" w:cs="宋体"/>
                <w:color w:val="auto"/>
                <w:szCs w:val="21"/>
                <w:highlight w:val="none"/>
                <w:lang w:bidi="ar"/>
              </w:rPr>
              <w:t>7）与本招标项目的代建人或招标代理机构同为一个法定代表人；</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lang w:bidi="ar"/>
              </w:rPr>
            </w:pPr>
            <w:r>
              <w:rPr>
                <w:rFonts w:hint="eastAsia" w:ascii="宋体" w:hAnsi="宋体" w:eastAsia="宋体" w:cs="宋体"/>
                <w:color w:val="auto"/>
                <w:szCs w:val="21"/>
                <w:highlight w:val="none"/>
                <w:lang w:bidi="ar"/>
              </w:rPr>
              <w:t>（</w:t>
            </w:r>
            <w:r>
              <w:rPr>
                <w:rFonts w:hint="default" w:ascii="宋体" w:hAnsi="宋体" w:eastAsia="宋体" w:cs="宋体"/>
                <w:color w:val="auto"/>
                <w:szCs w:val="21"/>
                <w:highlight w:val="none"/>
                <w:lang w:bidi="ar"/>
              </w:rPr>
              <w:t>8）与本招标项目的代建人或招标代</w:t>
            </w:r>
            <w:r>
              <w:rPr>
                <w:rFonts w:hint="eastAsia" w:ascii="宋体" w:hAnsi="宋体" w:eastAsia="宋体" w:cs="宋体"/>
                <w:color w:val="auto"/>
                <w:szCs w:val="21"/>
                <w:highlight w:val="none"/>
                <w:lang w:bidi="ar"/>
              </w:rPr>
              <w:t>理机构存在控股或参股关系；</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lang w:bidi="ar"/>
              </w:rPr>
            </w:pPr>
            <w:r>
              <w:rPr>
                <w:rFonts w:hint="eastAsia" w:ascii="宋体" w:hAnsi="宋体" w:eastAsia="宋体" w:cs="宋体"/>
                <w:color w:val="auto"/>
                <w:szCs w:val="21"/>
                <w:highlight w:val="none"/>
                <w:lang w:bidi="ar"/>
              </w:rPr>
              <w:t>（</w:t>
            </w:r>
            <w:r>
              <w:rPr>
                <w:rFonts w:hint="default" w:ascii="宋体" w:hAnsi="宋体" w:eastAsia="宋体" w:cs="宋体"/>
                <w:color w:val="auto"/>
                <w:szCs w:val="21"/>
                <w:highlight w:val="none"/>
                <w:lang w:bidi="ar"/>
              </w:rPr>
              <w:t>9）被依法暂停或者取消投标资格；</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lang w:bidi="ar"/>
              </w:rPr>
            </w:pPr>
            <w:r>
              <w:rPr>
                <w:rFonts w:hint="eastAsia" w:ascii="宋体" w:hAnsi="宋体" w:eastAsia="宋体" w:cs="宋体"/>
                <w:color w:val="auto"/>
                <w:szCs w:val="21"/>
                <w:highlight w:val="none"/>
                <w:lang w:bidi="ar"/>
              </w:rPr>
              <w:t>（</w:t>
            </w:r>
            <w:r>
              <w:rPr>
                <w:rFonts w:hint="default" w:ascii="宋体" w:hAnsi="宋体" w:eastAsia="宋体" w:cs="宋体"/>
                <w:color w:val="auto"/>
                <w:szCs w:val="21"/>
                <w:highlight w:val="none"/>
                <w:lang w:bidi="ar"/>
              </w:rPr>
              <w:t>10）被责令停产停业、暂扣或者吊销许可证、暂扣或者吊销执照；</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lang w:bidi="ar"/>
              </w:rPr>
            </w:pPr>
            <w:r>
              <w:rPr>
                <w:rFonts w:hint="eastAsia" w:ascii="宋体" w:hAnsi="宋体" w:eastAsia="宋体" w:cs="宋体"/>
                <w:color w:val="auto"/>
                <w:szCs w:val="21"/>
                <w:highlight w:val="none"/>
                <w:lang w:bidi="ar"/>
              </w:rPr>
              <w:t>（</w:t>
            </w:r>
            <w:r>
              <w:rPr>
                <w:rFonts w:hint="default" w:ascii="宋体" w:hAnsi="宋体" w:eastAsia="宋体" w:cs="宋体"/>
                <w:color w:val="auto"/>
                <w:szCs w:val="21"/>
                <w:highlight w:val="none"/>
                <w:lang w:bidi="ar"/>
              </w:rPr>
              <w:t>11）进入清算程序，或被宣告破产，或其他丧失履约能力的情形；</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lang w:bidi="ar"/>
              </w:rPr>
            </w:pPr>
            <w:r>
              <w:rPr>
                <w:rFonts w:hint="eastAsia" w:ascii="宋体" w:hAnsi="宋体" w:eastAsia="宋体" w:cs="宋体"/>
                <w:color w:val="auto"/>
                <w:szCs w:val="21"/>
                <w:highlight w:val="none"/>
                <w:lang w:bidi="ar"/>
              </w:rPr>
              <w:t>（</w:t>
            </w:r>
            <w:r>
              <w:rPr>
                <w:rFonts w:hint="default" w:ascii="宋体" w:hAnsi="宋体" w:eastAsia="宋体" w:cs="宋体"/>
                <w:color w:val="auto"/>
                <w:szCs w:val="21"/>
                <w:highlight w:val="none"/>
                <w:lang w:bidi="ar"/>
              </w:rPr>
              <w:t>12）在最近三年内发生重大设计质量问题（以相关行业主管部门的行政处罚决定或司法机关出具的有关法律文书为准）；</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lang w:bidi="ar"/>
              </w:rPr>
            </w:pPr>
            <w:r>
              <w:rPr>
                <w:rFonts w:hint="eastAsia" w:ascii="宋体" w:hAnsi="宋体" w:eastAsia="宋体" w:cs="宋体"/>
                <w:color w:val="auto"/>
                <w:szCs w:val="21"/>
                <w:highlight w:val="none"/>
                <w:lang w:bidi="ar"/>
              </w:rPr>
              <w:t>（</w:t>
            </w:r>
            <w:r>
              <w:rPr>
                <w:rFonts w:hint="default" w:ascii="宋体" w:hAnsi="宋体" w:eastAsia="宋体" w:cs="宋体"/>
                <w:color w:val="auto"/>
                <w:szCs w:val="21"/>
                <w:highlight w:val="none"/>
                <w:lang w:bidi="ar"/>
              </w:rPr>
              <w:t>13）被工商行政管理机关在全国企业信用信息公示系统中列入严重违法失信企业名单；</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lang w:bidi="ar"/>
              </w:rPr>
            </w:pPr>
            <w:r>
              <w:rPr>
                <w:rFonts w:hint="eastAsia" w:ascii="宋体" w:hAnsi="宋体" w:eastAsia="宋体" w:cs="宋体"/>
                <w:color w:val="auto"/>
                <w:szCs w:val="21"/>
                <w:highlight w:val="none"/>
                <w:lang w:bidi="ar"/>
              </w:rPr>
              <w:t>（</w:t>
            </w:r>
            <w:r>
              <w:rPr>
                <w:rFonts w:hint="default" w:ascii="宋体" w:hAnsi="宋体" w:eastAsia="宋体" w:cs="宋体"/>
                <w:color w:val="auto"/>
                <w:szCs w:val="21"/>
                <w:highlight w:val="none"/>
                <w:lang w:bidi="ar"/>
              </w:rPr>
              <w:t>14）被最高人民法院在“信用中国”网站（www.creditchina.gov.cn）或各级信用信息共享平台中列入失信被执行人名单；</w:t>
            </w:r>
          </w:p>
          <w:p>
            <w:pPr>
              <w:keepNext w:val="0"/>
              <w:keepLines w:val="0"/>
              <w:suppressLineNumbers w:val="0"/>
              <w:snapToGrid w:val="0"/>
              <w:spacing w:before="0" w:beforeAutospacing="0" w:after="0" w:afterAutospacing="0" w:line="240" w:lineRule="auto"/>
              <w:ind w:left="0" w:right="0"/>
              <w:rPr>
                <w:rFonts w:hint="default" w:ascii="宋体" w:hAnsi="宋体" w:eastAsia="宋体" w:cs="Times New Roman"/>
                <w:color w:val="auto"/>
                <w:kern w:val="0"/>
                <w:highlight w:val="none"/>
              </w:rPr>
            </w:pPr>
            <w:r>
              <w:rPr>
                <w:rFonts w:hint="eastAsia" w:ascii="宋体" w:hAnsi="宋体" w:eastAsia="宋体" w:cs="宋体"/>
                <w:color w:val="auto"/>
                <w:szCs w:val="21"/>
                <w:highlight w:val="none"/>
                <w:lang w:bidi="ar"/>
              </w:rPr>
              <w:t>（</w:t>
            </w:r>
            <w:r>
              <w:rPr>
                <w:rFonts w:hint="default" w:ascii="宋体" w:hAnsi="宋体" w:eastAsia="宋体" w:cs="宋体"/>
                <w:color w:val="auto"/>
                <w:szCs w:val="21"/>
                <w:highlight w:val="none"/>
                <w:lang w:bidi="ar"/>
              </w:rPr>
              <w:t>15）在近三年内投标人或其法定代表人、拟委任的项目负责人有行贿犯罪行为的。</w:t>
            </w:r>
          </w:p>
        </w:tc>
        <w:tc>
          <w:tcPr>
            <w:tcW w:w="37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lang w:bidi="ar"/>
              </w:rPr>
            </w:pPr>
            <w:r>
              <w:rPr>
                <w:rFonts w:hint="eastAsia" w:ascii="宋体" w:hAnsi="宋体" w:eastAsia="宋体" w:cs="宋体"/>
                <w:b/>
                <w:color w:val="auto"/>
                <w:szCs w:val="21"/>
                <w:highlight w:val="none"/>
                <w:lang w:bidi="ar"/>
              </w:rPr>
              <w:t>修改：</w:t>
            </w:r>
            <w:r>
              <w:rPr>
                <w:rFonts w:hint="default" w:ascii="宋体" w:hAnsi="宋体" w:eastAsia="宋体" w:cs="宋体"/>
                <w:color w:val="auto"/>
                <w:szCs w:val="21"/>
                <w:highlight w:val="none"/>
                <w:lang w:bidi="ar"/>
              </w:rPr>
              <w:t>3.11</w:t>
            </w:r>
            <w:r>
              <w:rPr>
                <w:rFonts w:hint="eastAsia" w:ascii="宋体" w:hAnsi="宋体" w:eastAsia="宋体" w:cs="宋体"/>
                <w:b/>
                <w:color w:val="auto"/>
                <w:szCs w:val="21"/>
                <w:highlight w:val="none"/>
                <w:lang w:bidi="ar"/>
              </w:rPr>
              <w:t>投标人不得存在下列情形之一：</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lang w:bidi="ar"/>
              </w:rPr>
            </w:pPr>
            <w:r>
              <w:rPr>
                <w:rFonts w:hint="default" w:ascii="宋体" w:hAnsi="宋体" w:eastAsia="宋体" w:cs="宋体"/>
                <w:color w:val="auto"/>
                <w:szCs w:val="21"/>
                <w:highlight w:val="none"/>
                <w:lang w:bidi="ar"/>
              </w:rPr>
              <w:t xml:space="preserve"> </w:t>
            </w:r>
            <w:r>
              <w:rPr>
                <w:rFonts w:hint="eastAsia" w:ascii="宋体" w:hAnsi="宋体" w:eastAsia="宋体" w:cs="宋体"/>
                <w:color w:val="auto"/>
                <w:szCs w:val="21"/>
                <w:highlight w:val="none"/>
                <w:lang w:bidi="ar"/>
              </w:rPr>
              <w:t>（</w:t>
            </w:r>
            <w:r>
              <w:rPr>
                <w:rFonts w:hint="default" w:ascii="宋体" w:hAnsi="宋体" w:eastAsia="宋体" w:cs="宋体"/>
                <w:color w:val="auto"/>
                <w:szCs w:val="21"/>
                <w:highlight w:val="none"/>
                <w:lang w:bidi="ar"/>
              </w:rPr>
              <w:t>1）为招标人不具有独立法人资格的附属机构（单位）；</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lang w:bidi="ar"/>
              </w:rPr>
            </w:pPr>
            <w:r>
              <w:rPr>
                <w:rFonts w:hint="eastAsia" w:ascii="宋体" w:hAnsi="宋体" w:eastAsia="宋体" w:cs="宋体"/>
                <w:color w:val="auto"/>
                <w:szCs w:val="21"/>
                <w:highlight w:val="none"/>
                <w:lang w:bidi="ar"/>
              </w:rPr>
              <w:t>（</w:t>
            </w:r>
            <w:r>
              <w:rPr>
                <w:rFonts w:hint="default" w:ascii="宋体" w:hAnsi="宋体" w:eastAsia="宋体" w:cs="宋体"/>
                <w:color w:val="auto"/>
                <w:szCs w:val="21"/>
                <w:highlight w:val="none"/>
                <w:lang w:bidi="ar"/>
              </w:rPr>
              <w:t>2）与招标人存在利害关系且可能影响招标公正性；</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lang w:bidi="ar"/>
              </w:rPr>
            </w:pPr>
            <w:r>
              <w:rPr>
                <w:rFonts w:hint="eastAsia" w:ascii="宋体" w:hAnsi="宋体" w:eastAsia="宋体" w:cs="宋体"/>
                <w:color w:val="auto"/>
                <w:szCs w:val="21"/>
                <w:highlight w:val="none"/>
                <w:lang w:bidi="ar"/>
              </w:rPr>
              <w:t>（</w:t>
            </w:r>
            <w:r>
              <w:rPr>
                <w:rFonts w:hint="default" w:ascii="宋体" w:hAnsi="宋体" w:eastAsia="宋体" w:cs="宋体"/>
                <w:color w:val="auto"/>
                <w:szCs w:val="21"/>
                <w:highlight w:val="none"/>
                <w:lang w:bidi="ar"/>
              </w:rPr>
              <w:t>3）与本招标项目的其他投标人为同一个单位负责人；</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lang w:bidi="ar"/>
              </w:rPr>
            </w:pPr>
            <w:r>
              <w:rPr>
                <w:rFonts w:hint="eastAsia" w:ascii="宋体" w:hAnsi="宋体" w:eastAsia="宋体" w:cs="宋体"/>
                <w:color w:val="auto"/>
                <w:szCs w:val="21"/>
                <w:highlight w:val="none"/>
                <w:lang w:bidi="ar"/>
              </w:rPr>
              <w:t>（</w:t>
            </w:r>
            <w:r>
              <w:rPr>
                <w:rFonts w:hint="default" w:ascii="宋体" w:hAnsi="宋体" w:eastAsia="宋体" w:cs="宋体"/>
                <w:color w:val="auto"/>
                <w:szCs w:val="21"/>
                <w:highlight w:val="none"/>
                <w:lang w:bidi="ar"/>
              </w:rPr>
              <w:t>4）与本招标项目的其他投标人存在控股、管理关系；</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lang w:bidi="ar"/>
              </w:rPr>
            </w:pPr>
            <w:r>
              <w:rPr>
                <w:rFonts w:hint="eastAsia" w:ascii="宋体" w:hAnsi="宋体" w:eastAsia="宋体" w:cs="宋体"/>
                <w:color w:val="auto"/>
                <w:szCs w:val="21"/>
                <w:highlight w:val="none"/>
                <w:lang w:bidi="ar"/>
              </w:rPr>
              <w:t>（</w:t>
            </w:r>
            <w:r>
              <w:rPr>
                <w:rFonts w:hint="default" w:ascii="宋体" w:hAnsi="宋体" w:eastAsia="宋体" w:cs="宋体"/>
                <w:color w:val="auto"/>
                <w:szCs w:val="21"/>
                <w:highlight w:val="none"/>
                <w:lang w:bidi="ar"/>
              </w:rPr>
              <w:t>5）为本招标项目的代建人；</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lang w:bidi="ar"/>
              </w:rPr>
            </w:pPr>
            <w:r>
              <w:rPr>
                <w:rFonts w:hint="eastAsia" w:ascii="宋体" w:hAnsi="宋体" w:eastAsia="宋体" w:cs="宋体"/>
                <w:color w:val="auto"/>
                <w:szCs w:val="21"/>
                <w:highlight w:val="none"/>
                <w:lang w:bidi="ar"/>
              </w:rPr>
              <w:t>（</w:t>
            </w:r>
            <w:r>
              <w:rPr>
                <w:rFonts w:hint="default" w:ascii="宋体" w:hAnsi="宋体" w:eastAsia="宋体" w:cs="宋体"/>
                <w:color w:val="auto"/>
                <w:szCs w:val="21"/>
                <w:highlight w:val="none"/>
                <w:lang w:bidi="ar"/>
              </w:rPr>
              <w:t>6）为本招标项目的招标代理机构；</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lang w:bidi="ar"/>
              </w:rPr>
            </w:pPr>
            <w:r>
              <w:rPr>
                <w:rFonts w:hint="eastAsia" w:ascii="宋体" w:hAnsi="宋体" w:eastAsia="宋体" w:cs="宋体"/>
                <w:color w:val="auto"/>
                <w:szCs w:val="21"/>
                <w:highlight w:val="none"/>
                <w:lang w:bidi="ar"/>
              </w:rPr>
              <w:t>（</w:t>
            </w:r>
            <w:r>
              <w:rPr>
                <w:rFonts w:hint="default" w:ascii="宋体" w:hAnsi="宋体" w:eastAsia="宋体" w:cs="宋体"/>
                <w:color w:val="auto"/>
                <w:szCs w:val="21"/>
                <w:highlight w:val="none"/>
                <w:lang w:bidi="ar"/>
              </w:rPr>
              <w:t>7）与本招标项目的代建人或招标代理机构同为一个法定代表人；</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lang w:bidi="ar"/>
              </w:rPr>
            </w:pPr>
            <w:r>
              <w:rPr>
                <w:rFonts w:hint="eastAsia" w:ascii="宋体" w:hAnsi="宋体" w:eastAsia="宋体" w:cs="宋体"/>
                <w:color w:val="auto"/>
                <w:szCs w:val="21"/>
                <w:highlight w:val="none"/>
                <w:lang w:bidi="ar"/>
              </w:rPr>
              <w:t>（</w:t>
            </w:r>
            <w:r>
              <w:rPr>
                <w:rFonts w:hint="default" w:ascii="宋体" w:hAnsi="宋体" w:eastAsia="宋体" w:cs="宋体"/>
                <w:color w:val="auto"/>
                <w:szCs w:val="21"/>
                <w:highlight w:val="none"/>
                <w:lang w:bidi="ar"/>
              </w:rPr>
              <w:t>8）与本招标项目的代建人或招标代理机构存在控股或参股关系；</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u w:val="single"/>
                <w:lang w:bidi="ar"/>
              </w:rPr>
            </w:pPr>
            <w:r>
              <w:rPr>
                <w:rFonts w:hint="eastAsia" w:ascii="宋体" w:hAnsi="宋体" w:eastAsia="宋体" w:cs="宋体"/>
                <w:color w:val="auto"/>
                <w:szCs w:val="21"/>
                <w:highlight w:val="none"/>
                <w:lang w:bidi="ar"/>
              </w:rPr>
              <w:t>（</w:t>
            </w:r>
            <w:r>
              <w:rPr>
                <w:rFonts w:hint="default" w:ascii="宋体" w:hAnsi="宋体" w:eastAsia="宋体" w:cs="宋体"/>
                <w:color w:val="auto"/>
                <w:szCs w:val="21"/>
                <w:highlight w:val="none"/>
                <w:lang w:bidi="ar"/>
              </w:rPr>
              <w:t>9）被依法暂停或者取消投标资格；</w:t>
            </w:r>
            <w:r>
              <w:rPr>
                <w:rFonts w:hint="eastAsia" w:ascii="宋体" w:hAnsi="宋体" w:eastAsia="宋体" w:cs="宋体"/>
                <w:color w:val="auto"/>
                <w:szCs w:val="21"/>
                <w:highlight w:val="none"/>
                <w:u w:val="single"/>
                <w:lang w:bidi="ar"/>
              </w:rPr>
              <w:t>（本项事实应当以根据《中华人民共和国行政处罚法》依法作出并已经生效的行政处罚决定为认定依据。行政处罚决定中已经明确的暂停或取消投标资格的区域范围不包含本招标项目建设地点的，不受该项规定限制）</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lang w:bidi="ar"/>
              </w:rPr>
            </w:pPr>
            <w:r>
              <w:rPr>
                <w:rFonts w:hint="eastAsia" w:ascii="宋体" w:hAnsi="宋体" w:eastAsia="宋体" w:cs="宋体"/>
                <w:color w:val="auto"/>
                <w:szCs w:val="21"/>
                <w:highlight w:val="none"/>
                <w:lang w:bidi="ar"/>
              </w:rPr>
              <w:t>（</w:t>
            </w:r>
            <w:r>
              <w:rPr>
                <w:rFonts w:hint="default" w:ascii="宋体" w:hAnsi="宋体" w:eastAsia="宋体" w:cs="宋体"/>
                <w:color w:val="auto"/>
                <w:szCs w:val="21"/>
                <w:highlight w:val="none"/>
                <w:lang w:bidi="ar"/>
              </w:rPr>
              <w:t>10）被责令停产停业、暂扣或者吊销许可证、暂扣或者吊销执照</w:t>
            </w:r>
            <w:r>
              <w:rPr>
                <w:rFonts w:hint="eastAsia" w:ascii="宋体" w:hAnsi="宋体" w:eastAsia="宋体" w:cs="宋体"/>
                <w:color w:val="auto"/>
                <w:szCs w:val="21"/>
                <w:highlight w:val="none"/>
                <w:u w:val="single"/>
                <w:lang w:bidi="ar"/>
              </w:rPr>
              <w:t>（本项事实应当以根据《中华人民共和国行政处罚法》依法作出并已经生效的行政处罚决定为认定依据。）</w:t>
            </w:r>
            <w:r>
              <w:rPr>
                <w:rFonts w:hint="eastAsia" w:ascii="宋体" w:hAnsi="宋体" w:eastAsia="宋体" w:cs="宋体"/>
                <w:color w:val="auto"/>
                <w:szCs w:val="21"/>
                <w:highlight w:val="none"/>
                <w:lang w:bidi="ar"/>
              </w:rPr>
              <w:t>；</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lang w:bidi="ar"/>
              </w:rPr>
            </w:pPr>
            <w:r>
              <w:rPr>
                <w:rFonts w:hint="eastAsia" w:ascii="宋体" w:hAnsi="宋体" w:eastAsia="宋体" w:cs="宋体"/>
                <w:color w:val="auto"/>
                <w:szCs w:val="21"/>
                <w:highlight w:val="none"/>
                <w:lang w:bidi="ar"/>
              </w:rPr>
              <w:t>（</w:t>
            </w:r>
            <w:r>
              <w:rPr>
                <w:rFonts w:hint="default" w:ascii="宋体" w:hAnsi="宋体" w:eastAsia="宋体" w:cs="宋体"/>
                <w:color w:val="auto"/>
                <w:szCs w:val="21"/>
                <w:highlight w:val="none"/>
                <w:lang w:bidi="ar"/>
              </w:rPr>
              <w:t>11）进入清算程序，或被宣告破产，或其他丧失履约能力的情形；</w:t>
            </w:r>
          </w:p>
          <w:p>
            <w:pPr>
              <w:keepNext w:val="0"/>
              <w:keepLines w:val="0"/>
              <w:suppressLineNumbers w:val="0"/>
              <w:snapToGrid w:val="0"/>
              <w:spacing w:before="0" w:beforeAutospacing="0" w:after="0" w:afterAutospacing="0" w:line="240" w:lineRule="auto"/>
              <w:ind w:left="0" w:right="0"/>
              <w:rPr>
                <w:rFonts w:hint="default" w:ascii="宋体" w:hAnsi="宋体" w:eastAsia="宋体" w:cs="Times New Roman"/>
                <w:b/>
                <w:color w:val="auto"/>
                <w:highlight w:val="none"/>
              </w:rPr>
            </w:pPr>
            <w:r>
              <w:rPr>
                <w:rFonts w:hint="eastAsia" w:ascii="宋体" w:hAnsi="宋体" w:eastAsia="宋体" w:cs="宋体"/>
                <w:color w:val="auto"/>
                <w:szCs w:val="21"/>
                <w:highlight w:val="none"/>
                <w:lang w:bidi="ar"/>
              </w:rPr>
              <w:t>（</w:t>
            </w:r>
            <w:r>
              <w:rPr>
                <w:rFonts w:hint="default" w:ascii="宋体" w:hAnsi="宋体" w:eastAsia="宋体" w:cs="宋体"/>
                <w:color w:val="auto"/>
                <w:szCs w:val="21"/>
                <w:highlight w:val="none"/>
                <w:lang w:bidi="ar"/>
              </w:rPr>
              <w:t>12）在最近三年内发生重大设计质量问题</w:t>
            </w:r>
            <w:r>
              <w:rPr>
                <w:rFonts w:hint="eastAsia" w:ascii="宋体" w:hAnsi="宋体" w:eastAsia="宋体" w:cs="宋体"/>
                <w:color w:val="auto"/>
                <w:szCs w:val="21"/>
                <w:highlight w:val="none"/>
                <w:u w:val="single"/>
                <w:lang w:bidi="ar"/>
              </w:rPr>
              <w:t>（“重大设计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r>
              <w:rPr>
                <w:rFonts w:hint="eastAsia" w:ascii="宋体" w:hAnsi="宋体" w:eastAsia="宋体" w:cs="宋体"/>
                <w:color w:val="auto"/>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Cs w:val="21"/>
                <w:highlight w:val="none"/>
                <w:lang w:eastAsia="zh-CN"/>
              </w:rPr>
            </w:pPr>
            <w:r>
              <w:rPr>
                <w:rFonts w:hint="default"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8</w:t>
            </w:r>
          </w:p>
        </w:tc>
        <w:tc>
          <w:tcPr>
            <w:tcW w:w="1248" w:type="dxa"/>
            <w:vAlign w:val="top"/>
          </w:tcPr>
          <w:p>
            <w:pPr>
              <w:keepNext w:val="0"/>
              <w:keepLines w:val="0"/>
              <w:suppressLineNumbers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4.1.2</w:t>
            </w:r>
          </w:p>
        </w:tc>
        <w:tc>
          <w:tcPr>
            <w:tcW w:w="3610" w:type="dxa"/>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4.1.2  有下列情况之一的，评标委员会应当否决其投标：</w:t>
            </w:r>
          </w:p>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(a) 《投标书》未加盖投标人公章，也未经法定代表人或者其授权代表签字；</w:t>
            </w:r>
          </w:p>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(b) 《投标书》包含有招标人不能接受的偏差，并且投标人拒绝书面撤回偏差；</w:t>
            </w:r>
          </w:p>
          <w:p>
            <w:pPr>
              <w:keepNext w:val="0"/>
              <w:keepLines w:val="0"/>
              <w:suppressLineNumbers w:val="0"/>
              <w:spacing w:before="0" w:beforeAutospacing="0" w:after="0" w:afterAutospacing="0" w:line="240" w:lineRule="auto"/>
              <w:ind w:left="0" w:right="0"/>
              <w:rPr>
                <w:rFonts w:hint="default" w:ascii="宋体" w:hAnsi="宋体" w:eastAsia="宋体" w:cs="Times New Roman"/>
                <w:color w:val="auto"/>
                <w:highlight w:val="none"/>
              </w:rPr>
            </w:pPr>
            <w:r>
              <w:rPr>
                <w:rFonts w:hint="eastAsia" w:ascii="宋体"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(c) 《投标人声明》未按规定格式填写或未加盖投标人公章（适用于未设资格审查环节的项目）；</w:t>
            </w:r>
          </w:p>
        </w:tc>
        <w:tc>
          <w:tcPr>
            <w:tcW w:w="3717" w:type="dxa"/>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b w:val="0"/>
                <w:color w:val="auto"/>
                <w:kern w:val="2"/>
                <w:sz w:val="21"/>
                <w:szCs w:val="21"/>
                <w:highlight w:val="none"/>
              </w:rPr>
            </w:pPr>
            <w:r>
              <w:rPr>
                <w:rFonts w:hint="eastAsia" w:ascii="宋体" w:hAnsi="宋体" w:eastAsia="宋体" w:cs="宋体"/>
                <w:b/>
                <w:color w:val="auto"/>
                <w:kern w:val="2"/>
                <w:sz w:val="21"/>
                <w:szCs w:val="21"/>
                <w:highlight w:val="none"/>
                <w:lang w:val="en-US" w:eastAsia="zh-CN" w:bidi="ar"/>
              </w:rPr>
              <w:t>修改：</w:t>
            </w:r>
            <w:r>
              <w:rPr>
                <w:rFonts w:hint="eastAsia" w:ascii="宋体" w:hAnsi="宋体" w:eastAsia="宋体" w:cs="宋体"/>
                <w:b w:val="0"/>
                <w:color w:val="auto"/>
                <w:kern w:val="2"/>
                <w:sz w:val="21"/>
                <w:szCs w:val="21"/>
                <w:highlight w:val="none"/>
                <w:lang w:val="en-US" w:eastAsia="zh-CN" w:bidi="ar"/>
              </w:rPr>
              <w:t>4.1.2  有下列情况之一的，评标委员会应当否决其投标：</w:t>
            </w:r>
          </w:p>
          <w:p>
            <w:pPr>
              <w:keepNext w:val="0"/>
              <w:keepLines w:val="0"/>
              <w:widowControl w:val="0"/>
              <w:suppressLineNumbers w:val="0"/>
              <w:spacing w:before="0" w:beforeAutospacing="0" w:after="0" w:afterAutospacing="0"/>
              <w:ind w:left="0" w:right="0"/>
              <w:jc w:val="both"/>
              <w:rPr>
                <w:rFonts w:hint="default" w:ascii="宋体" w:hAnsi="宋体" w:eastAsia="宋体" w:cs="Times New Roman"/>
                <w:b w:val="0"/>
                <w:color w:val="auto"/>
                <w:kern w:val="2"/>
                <w:sz w:val="21"/>
                <w:szCs w:val="21"/>
                <w:highlight w:val="none"/>
              </w:rPr>
            </w:pPr>
            <w:r>
              <w:rPr>
                <w:rFonts w:hint="eastAsia" w:ascii="宋体" w:hAnsi="宋体" w:eastAsia="宋体" w:cs="Times New Roman"/>
                <w:b w:val="0"/>
                <w:color w:val="auto"/>
                <w:kern w:val="2"/>
                <w:sz w:val="21"/>
                <w:szCs w:val="21"/>
                <w:highlight w:val="none"/>
                <w:lang w:val="en-US" w:eastAsia="zh-CN" w:bidi="ar"/>
              </w:rPr>
              <w:t xml:space="preserve">   </w:t>
            </w:r>
            <w:r>
              <w:rPr>
                <w:rFonts w:hint="eastAsia" w:ascii="宋体" w:hAnsi="宋体" w:eastAsia="宋体" w:cs="宋体"/>
                <w:b w:val="0"/>
                <w:color w:val="auto"/>
                <w:kern w:val="2"/>
                <w:sz w:val="21"/>
                <w:szCs w:val="21"/>
                <w:highlight w:val="none"/>
                <w:lang w:val="en-US" w:eastAsia="zh-CN" w:bidi="ar"/>
              </w:rPr>
              <w:t>(a) 《投标书》未加盖投标人</w:t>
            </w:r>
            <w:r>
              <w:rPr>
                <w:rFonts w:hint="eastAsia" w:ascii="宋体" w:hAnsi="宋体" w:eastAsia="宋体" w:cs="宋体"/>
                <w:b w:val="0"/>
                <w:color w:val="auto"/>
                <w:kern w:val="2"/>
                <w:sz w:val="21"/>
                <w:szCs w:val="21"/>
                <w:highlight w:val="none"/>
                <w:u w:val="single"/>
                <w:lang w:val="en-US" w:eastAsia="zh-CN" w:bidi="ar"/>
              </w:rPr>
              <w:t>电子印章</w:t>
            </w:r>
            <w:r>
              <w:rPr>
                <w:rFonts w:hint="eastAsia" w:ascii="宋体" w:hAnsi="宋体" w:eastAsia="宋体" w:cs="宋体"/>
                <w:b w:val="0"/>
                <w:color w:val="auto"/>
                <w:kern w:val="2"/>
                <w:sz w:val="21"/>
                <w:szCs w:val="21"/>
                <w:highlight w:val="none"/>
                <w:lang w:val="en-US" w:eastAsia="zh-CN" w:bidi="ar"/>
              </w:rPr>
              <w:t>，也未经法定代表人或者其授权代表签字；</w:t>
            </w:r>
          </w:p>
          <w:p>
            <w:pPr>
              <w:keepNext w:val="0"/>
              <w:keepLines w:val="0"/>
              <w:widowControl w:val="0"/>
              <w:suppressLineNumbers w:val="0"/>
              <w:spacing w:before="0" w:beforeAutospacing="0" w:after="0" w:afterAutospacing="0"/>
              <w:ind w:left="0" w:right="0"/>
              <w:jc w:val="both"/>
              <w:rPr>
                <w:rFonts w:hint="default" w:ascii="宋体" w:hAnsi="宋体" w:eastAsia="宋体" w:cs="Times New Roman"/>
                <w:b w:val="0"/>
                <w:color w:val="auto"/>
                <w:kern w:val="2"/>
                <w:sz w:val="21"/>
                <w:szCs w:val="21"/>
                <w:highlight w:val="none"/>
              </w:rPr>
            </w:pPr>
            <w:r>
              <w:rPr>
                <w:rFonts w:hint="eastAsia" w:ascii="宋体" w:hAnsi="宋体" w:eastAsia="宋体" w:cs="Times New Roman"/>
                <w:b w:val="0"/>
                <w:color w:val="auto"/>
                <w:kern w:val="2"/>
                <w:sz w:val="21"/>
                <w:szCs w:val="21"/>
                <w:highlight w:val="none"/>
                <w:lang w:val="en-US" w:eastAsia="zh-CN" w:bidi="ar"/>
              </w:rPr>
              <w:t xml:space="preserve">   </w:t>
            </w:r>
            <w:r>
              <w:rPr>
                <w:rFonts w:hint="eastAsia" w:ascii="宋体" w:hAnsi="宋体" w:eastAsia="宋体" w:cs="宋体"/>
                <w:b w:val="0"/>
                <w:color w:val="auto"/>
                <w:kern w:val="2"/>
                <w:sz w:val="21"/>
                <w:szCs w:val="21"/>
                <w:highlight w:val="none"/>
                <w:lang w:val="en-US" w:eastAsia="zh-CN" w:bidi="ar"/>
              </w:rPr>
              <w:t>(b) 《投标书》包含有招标人不能接受的偏差，并且投标人拒绝书面撤回偏差；</w:t>
            </w:r>
          </w:p>
          <w:p>
            <w:pPr>
              <w:keepNext w:val="0"/>
              <w:keepLines w:val="0"/>
              <w:suppressLineNumbers w:val="0"/>
              <w:spacing w:before="0" w:beforeAutospacing="0" w:after="0" w:afterAutospacing="0" w:line="240" w:lineRule="auto"/>
              <w:ind w:left="0" w:right="0"/>
              <w:rPr>
                <w:rFonts w:hint="default" w:ascii="宋体" w:hAnsi="宋体" w:eastAsia="宋体" w:cs="Times New Roman"/>
                <w:b/>
                <w:color w:val="auto"/>
                <w:highlight w:val="none"/>
              </w:rPr>
            </w:pPr>
            <w:r>
              <w:rPr>
                <w:rFonts w:hint="eastAsia" w:ascii="宋体" w:hAnsi="宋体" w:eastAsia="宋体" w:cs="Times New Roman"/>
                <w:b w:val="0"/>
                <w:color w:val="auto"/>
                <w:kern w:val="2"/>
                <w:sz w:val="21"/>
                <w:szCs w:val="21"/>
                <w:highlight w:val="none"/>
                <w:lang w:val="en-US" w:eastAsia="zh-CN" w:bidi="ar"/>
              </w:rPr>
              <w:t xml:space="preserve">   </w:t>
            </w:r>
            <w:r>
              <w:rPr>
                <w:rFonts w:hint="eastAsia" w:ascii="宋体" w:hAnsi="宋体" w:eastAsia="宋体" w:cs="宋体"/>
                <w:b w:val="0"/>
                <w:color w:val="auto"/>
                <w:kern w:val="2"/>
                <w:sz w:val="21"/>
                <w:szCs w:val="21"/>
                <w:highlight w:val="none"/>
                <w:lang w:val="en-US" w:eastAsia="zh-CN" w:bidi="ar"/>
              </w:rPr>
              <w:t>(c) 《投标人声明》未按规定格式填写</w:t>
            </w:r>
            <w:r>
              <w:rPr>
                <w:rFonts w:hint="eastAsia" w:ascii="宋体" w:hAnsi="宋体" w:eastAsia="宋体" w:cs="宋体"/>
                <w:b w:val="0"/>
                <w:strike/>
                <w:dstrike w:val="0"/>
                <w:color w:val="auto"/>
                <w:kern w:val="2"/>
                <w:sz w:val="21"/>
                <w:szCs w:val="21"/>
                <w:highlight w:val="none"/>
                <w:lang w:val="en-US" w:eastAsia="zh-CN" w:bidi="ar"/>
              </w:rPr>
              <w:t>或未加盖投标人</w:t>
            </w:r>
            <w:r>
              <w:rPr>
                <w:rFonts w:hint="eastAsia" w:ascii="宋体" w:hAnsi="宋体" w:eastAsia="宋体" w:cs="宋体"/>
                <w:b w:val="0"/>
                <w:strike/>
                <w:dstrike w:val="0"/>
                <w:color w:val="auto"/>
                <w:kern w:val="2"/>
                <w:sz w:val="21"/>
                <w:szCs w:val="21"/>
                <w:highlight w:val="none"/>
                <w:u w:val="single"/>
                <w:lang w:val="en-US" w:eastAsia="zh-CN" w:bidi="ar"/>
              </w:rPr>
              <w:t>电子印章</w:t>
            </w:r>
            <w:r>
              <w:rPr>
                <w:rFonts w:hint="eastAsia" w:ascii="宋体" w:hAnsi="宋体" w:eastAsia="宋体" w:cs="宋体"/>
                <w:b w:val="0"/>
                <w:color w:val="auto"/>
                <w:kern w:val="2"/>
                <w:sz w:val="21"/>
                <w:szCs w:val="21"/>
                <w:highlight w:val="none"/>
                <w:lang w:val="en-US" w:eastAsia="zh-CN" w:bidi="ar"/>
              </w:rPr>
              <w:t>（适用于未设资格审查环节的项目）；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default"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9</w:t>
            </w:r>
          </w:p>
        </w:tc>
        <w:tc>
          <w:tcPr>
            <w:tcW w:w="124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default" w:ascii="宋体" w:hAnsi="宋体" w:eastAsia="宋体" w:cs="宋体"/>
                <w:color w:val="auto"/>
                <w:szCs w:val="21"/>
                <w:highlight w:val="none"/>
              </w:rPr>
              <w:t>4.2.1</w:t>
            </w:r>
          </w:p>
        </w:tc>
        <w:tc>
          <w:tcPr>
            <w:tcW w:w="3610" w:type="dxa"/>
            <w:vAlign w:val="center"/>
          </w:tcPr>
          <w:p>
            <w:pPr>
              <w:keepNext w:val="0"/>
              <w:keepLines w:val="0"/>
              <w:suppressLineNumbers w:val="0"/>
              <w:spacing w:before="0" w:beforeAutospacing="0" w:after="0" w:afterAutospacing="0" w:line="240" w:lineRule="auto"/>
              <w:ind w:left="0" w:right="0"/>
              <w:rPr>
                <w:rFonts w:hint="default" w:ascii="宋体" w:hAnsi="宋体" w:eastAsia="宋体" w:cs="Times New Roman"/>
                <w:color w:val="auto"/>
                <w:kern w:val="0"/>
                <w:highlight w:val="none"/>
              </w:rPr>
            </w:pPr>
            <w:r>
              <w:rPr>
                <w:rFonts w:hint="eastAsia" w:ascii="宋体" w:hAnsi="宋体" w:eastAsia="宋体" w:cs="Times New Roman"/>
                <w:color w:val="auto"/>
                <w:highlight w:val="none"/>
              </w:rPr>
              <w:t>评标委员会由</w:t>
            </w:r>
            <w:r>
              <w:rPr>
                <w:rFonts w:hint="eastAsia" w:ascii="宋体" w:hAnsi="宋体" w:eastAsia="宋体" w:cs="Times New Roman"/>
                <w:color w:val="auto"/>
                <w:szCs w:val="21"/>
                <w:highlight w:val="none"/>
              </w:rPr>
              <w:t>专家和业主代表组成</w:t>
            </w:r>
            <w:r>
              <w:rPr>
                <w:rFonts w:hint="eastAsia" w:ascii="宋体" w:hAnsi="宋体" w:eastAsia="宋体" w:cs="Times New Roman"/>
                <w:color w:val="auto"/>
                <w:highlight w:val="none"/>
              </w:rPr>
              <w:t>，专家不得少于</w:t>
            </w:r>
            <w:r>
              <w:rPr>
                <w:rFonts w:hint="eastAsia" w:ascii="宋体" w:hAnsi="宋体" w:eastAsia="宋体" w:cs="Times New Roman"/>
                <w:color w:val="auto"/>
                <w:szCs w:val="21"/>
                <w:highlight w:val="none"/>
              </w:rPr>
              <w:t>评标委员会成员</w:t>
            </w:r>
            <w:r>
              <w:rPr>
                <w:rFonts w:hint="eastAsia" w:ascii="宋体" w:hAnsi="宋体" w:eastAsia="宋体" w:cs="Times New Roman"/>
                <w:color w:val="auto"/>
                <w:highlight w:val="none"/>
              </w:rPr>
              <w:t>总数的三分之二。专家一般从政府评标专家库随机抽取，技术特别复杂、专业性要求特别高或者国家有特别要求的项目，采取随机抽取方式确定的专家难以胜任的，经审批部门核准可以由招标人直接确定。</w:t>
            </w:r>
          </w:p>
        </w:tc>
        <w:tc>
          <w:tcPr>
            <w:tcW w:w="3717" w:type="dxa"/>
            <w:vAlign w:val="center"/>
          </w:tcPr>
          <w:p>
            <w:pPr>
              <w:keepNext w:val="0"/>
              <w:keepLines w:val="0"/>
              <w:suppressLineNumbers w:val="0"/>
              <w:spacing w:before="0" w:beforeAutospacing="0" w:after="0" w:afterAutospacing="0" w:line="240" w:lineRule="auto"/>
              <w:ind w:left="0" w:right="0"/>
              <w:rPr>
                <w:rFonts w:hint="default" w:ascii="宋体" w:hAnsi="宋体" w:eastAsia="宋体" w:cs="Times New Roman"/>
                <w:b/>
                <w:color w:val="auto"/>
                <w:highlight w:val="none"/>
              </w:rPr>
            </w:pPr>
            <w:r>
              <w:rPr>
                <w:rFonts w:hint="eastAsia" w:ascii="宋体" w:hAnsi="宋体" w:eastAsia="宋体" w:cs="Times New Roman"/>
                <w:b/>
                <w:color w:val="auto"/>
                <w:highlight w:val="none"/>
              </w:rPr>
              <w:t>修改</w:t>
            </w:r>
            <w:r>
              <w:rPr>
                <w:rFonts w:hint="eastAsia" w:ascii="宋体" w:hAnsi="宋体" w:eastAsia="宋体" w:cs="Times New Roman"/>
                <w:color w:val="auto"/>
                <w:highlight w:val="none"/>
              </w:rPr>
              <w:t>：</w:t>
            </w:r>
            <w:r>
              <w:rPr>
                <w:rFonts w:hint="default" w:ascii="宋体" w:hAnsi="宋体" w:eastAsia="宋体" w:cs="Times New Roman"/>
                <w:color w:val="auto"/>
                <w:highlight w:val="none"/>
                <w:u w:val="single"/>
              </w:rPr>
              <w:t>评标委员会由招标人依法组建。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w:t>
            </w:r>
          </w:p>
        </w:tc>
        <w:tc>
          <w:tcPr>
            <w:tcW w:w="124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default" w:ascii="宋体" w:hAnsi="宋体" w:eastAsia="宋体" w:cs="宋体"/>
                <w:color w:val="auto"/>
                <w:szCs w:val="21"/>
                <w:highlight w:val="none"/>
              </w:rPr>
              <w:t>4.4.4</w:t>
            </w:r>
          </w:p>
        </w:tc>
        <w:tc>
          <w:tcPr>
            <w:tcW w:w="3610" w:type="dxa"/>
            <w:vAlign w:val="center"/>
          </w:tcPr>
          <w:p>
            <w:pPr>
              <w:keepNext w:val="0"/>
              <w:keepLines w:val="0"/>
              <w:suppressLineNumbers w:val="0"/>
              <w:spacing w:before="0" w:beforeAutospacing="0" w:after="0" w:afterAutospacing="0" w:line="240" w:lineRule="auto"/>
              <w:ind w:left="0" w:right="0"/>
              <w:rPr>
                <w:rFonts w:hint="default" w:ascii="宋体" w:hAnsi="宋体" w:eastAsia="宋体" w:cs="Times New Roman"/>
                <w:color w:val="auto"/>
                <w:highlight w:val="none"/>
              </w:rPr>
            </w:pPr>
            <w:r>
              <w:rPr>
                <w:rFonts w:hint="eastAsia" w:ascii="宋体" w:hAnsi="宋体" w:eastAsia="宋体" w:cs="Times New Roman"/>
                <w:color w:val="auto"/>
                <w:highlight w:val="none"/>
              </w:rPr>
              <w:t>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tc>
        <w:tc>
          <w:tcPr>
            <w:tcW w:w="3717" w:type="dxa"/>
            <w:vAlign w:val="center"/>
          </w:tcPr>
          <w:p>
            <w:pPr>
              <w:keepNext w:val="0"/>
              <w:keepLines w:val="0"/>
              <w:suppressLineNumbers w:val="0"/>
              <w:spacing w:before="0" w:beforeAutospacing="0" w:after="0" w:afterAutospacing="0" w:line="240" w:lineRule="auto"/>
              <w:ind w:left="0" w:right="0"/>
              <w:rPr>
                <w:rFonts w:hint="default" w:ascii="宋体" w:hAnsi="宋体" w:eastAsia="宋体" w:cs="Times New Roman"/>
                <w:color w:val="auto"/>
                <w:szCs w:val="21"/>
                <w:highlight w:val="none"/>
              </w:rPr>
            </w:pPr>
            <w:r>
              <w:rPr>
                <w:rFonts w:hint="eastAsia" w:ascii="宋体" w:hAnsi="宋体" w:eastAsia="宋体" w:cs="Times New Roman"/>
                <w:b/>
                <w:color w:val="auto"/>
                <w:highlight w:val="none"/>
              </w:rPr>
              <w:t>修改</w:t>
            </w:r>
            <w:r>
              <w:rPr>
                <w:rFonts w:hint="default" w:ascii="宋体" w:hAnsi="宋体" w:eastAsia="宋体" w:cs="Times New Roman"/>
                <w:b/>
                <w:color w:val="auto"/>
                <w:highlight w:val="none"/>
              </w:rPr>
              <w:t>:</w:t>
            </w:r>
            <w:r>
              <w:rPr>
                <w:rFonts w:hint="eastAsia" w:ascii="宋体" w:hAnsi="宋体" w:eastAsia="宋体" w:cs="Times New Roman"/>
                <w:color w:val="auto"/>
                <w:szCs w:val="21"/>
                <w:highlight w:val="none"/>
              </w:rPr>
              <w:t>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p>
            <w:pPr>
              <w:keepNext w:val="0"/>
              <w:keepLines w:val="0"/>
              <w:suppressLineNumbers w:val="0"/>
              <w:spacing w:before="0" w:beforeAutospacing="0" w:after="0" w:afterAutospacing="0" w:line="240" w:lineRule="auto"/>
              <w:ind w:left="0" w:right="0" w:firstLine="420" w:firstLineChars="200"/>
              <w:rPr>
                <w:rFonts w:hint="default"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若在评标期间</w:t>
            </w:r>
            <w:r>
              <w:rPr>
                <w:rFonts w:hint="eastAsia" w:ascii="宋体" w:hAnsi="宋体" w:eastAsia="宋体" w:cs="Times New Roman"/>
                <w:b/>
                <w:color w:val="auto"/>
                <w:szCs w:val="21"/>
                <w:highlight w:val="none"/>
                <w:u w:val="single"/>
              </w:rPr>
              <w:t>（设计</w:t>
            </w:r>
            <w:r>
              <w:rPr>
                <w:rFonts w:hint="default" w:ascii="宋体" w:hAnsi="宋体" w:eastAsia="宋体" w:cs="Times New Roman"/>
                <w:b/>
                <w:color w:val="auto"/>
                <w:szCs w:val="21"/>
                <w:highlight w:val="none"/>
                <w:u w:val="single"/>
              </w:rPr>
              <w:t>方案评审阶段除外</w:t>
            </w:r>
            <w:r>
              <w:rPr>
                <w:rFonts w:hint="eastAsia" w:ascii="宋体" w:hAnsi="宋体" w:eastAsia="宋体" w:cs="Times New Roman"/>
                <w:b/>
                <w:color w:val="auto"/>
                <w:szCs w:val="21"/>
                <w:highlight w:val="none"/>
                <w:u w:val="single"/>
              </w:rPr>
              <w:t>）</w:t>
            </w:r>
            <w:r>
              <w:rPr>
                <w:rFonts w:hint="eastAsia" w:ascii="宋体" w:hAnsi="宋体" w:eastAsia="宋体" w:cs="Times New Roman"/>
                <w:color w:val="auto"/>
                <w:szCs w:val="21"/>
                <w:highlight w:val="none"/>
                <w:u w:val="single"/>
              </w:rPr>
              <w:t>，经评标委员会两人以上（含两人）以书面形式提出动议，评标委员会应当书面发出澄清通知，要求投标人对投标文件含义不明确的内容作出澄清。</w:t>
            </w:r>
          </w:p>
          <w:p>
            <w:pPr>
              <w:keepNext w:val="0"/>
              <w:keepLines w:val="0"/>
              <w:suppressLineNumbers w:val="0"/>
              <w:spacing w:before="0" w:beforeAutospacing="0" w:after="0" w:afterAutospacing="0" w:line="240" w:lineRule="auto"/>
              <w:ind w:left="0" w:right="0" w:firstLine="420" w:firstLineChars="200"/>
              <w:rPr>
                <w:rFonts w:hint="default"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投标人应以书面形式进行澄清，澄清中的承诺性意思表示在投标文件有效期内均对投标人有约束力。澄清不得超出投标文件的范围或改变投标文件的实质性内容，超出部分不作为评标委员会评审的依据。</w:t>
            </w:r>
          </w:p>
          <w:p>
            <w:pPr>
              <w:keepNext w:val="0"/>
              <w:keepLines w:val="0"/>
              <w:suppressLineNumbers w:val="0"/>
              <w:spacing w:before="0" w:beforeAutospacing="0" w:after="0" w:afterAutospacing="0" w:line="240" w:lineRule="auto"/>
              <w:ind w:left="0" w:right="0" w:firstLine="420" w:firstLineChars="200"/>
              <w:rPr>
                <w:rFonts w:hint="default" w:ascii="宋体" w:hAnsi="宋体" w:eastAsia="宋体" w:cs="Times New Roman"/>
                <w:b/>
                <w:color w:val="auto"/>
                <w:highlight w:val="none"/>
              </w:rPr>
            </w:pPr>
            <w:r>
              <w:rPr>
                <w:rFonts w:hint="eastAsia" w:ascii="宋体" w:hAnsi="宋体" w:eastAsia="宋体" w:cs="Times New Roman"/>
                <w:color w:val="auto"/>
                <w:szCs w:val="21"/>
                <w:highlight w:val="none"/>
                <w:u w:val="single"/>
              </w:rPr>
              <w:t>评标委员会均应当阅读投标人的澄清，但应独立参考澄清对投标文件进行评审。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21</w:t>
            </w:r>
          </w:p>
        </w:tc>
        <w:tc>
          <w:tcPr>
            <w:tcW w:w="124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cs="宋体"/>
                <w:color w:val="auto"/>
                <w:szCs w:val="21"/>
                <w:highlight w:val="none"/>
                <w:lang w:val="en-US" w:eastAsia="zh-CN" w:bidi="ar"/>
              </w:rPr>
              <w:t>4.4.7</w:t>
            </w:r>
          </w:p>
        </w:tc>
        <w:tc>
          <w:tcPr>
            <w:tcW w:w="3610" w:type="dxa"/>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color w:val="auto"/>
                <w:highlight w:val="none"/>
                <w:lang w:val="en-US" w:eastAsia="zh-CN"/>
              </w:rPr>
              <w:t>增加</w:t>
            </w:r>
          </w:p>
        </w:tc>
        <w:tc>
          <w:tcPr>
            <w:tcW w:w="3717" w:type="dxa"/>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cs="宋体"/>
                <w:b/>
                <w:bCs/>
                <w:color w:val="auto"/>
                <w:szCs w:val="21"/>
                <w:highlight w:val="none"/>
                <w:u w:val="single"/>
                <w:lang w:val="en-US" w:eastAsia="zh-CN" w:bidi="ar"/>
              </w:rPr>
              <w:t>4.4.7</w:t>
            </w:r>
            <w:r>
              <w:rPr>
                <w:rFonts w:hint="eastAsia" w:ascii="宋体" w:hAnsi="宋体" w:cs="宋体"/>
                <w:b/>
                <w:bCs/>
                <w:color w:val="auto"/>
                <w:szCs w:val="21"/>
                <w:highlight w:val="none"/>
                <w:u w:val="single"/>
              </w:rPr>
              <w:t>评标委员会在开始评标前，应了解评标专家的职责及守则，认真阅读附录2</w:t>
            </w:r>
            <w:r>
              <w:rPr>
                <w:rFonts w:hint="eastAsia" w:ascii="宋体" w:hAnsi="宋体" w:cs="宋体"/>
                <w:b/>
                <w:bCs/>
                <w:color w:val="auto"/>
                <w:szCs w:val="21"/>
                <w:highlight w:val="none"/>
                <w:u w:val="single"/>
                <w:lang w:eastAsia="zh-CN"/>
              </w:rPr>
              <w:t>1</w:t>
            </w:r>
            <w:r>
              <w:rPr>
                <w:rFonts w:hint="eastAsia" w:ascii="宋体" w:hAnsi="宋体" w:cs="宋体"/>
                <w:b/>
                <w:bCs/>
                <w:color w:val="auto"/>
                <w:szCs w:val="21"/>
                <w:highlight w:val="none"/>
                <w:u w:val="single"/>
              </w:rPr>
              <w:t>《评标委员会成员声明》的内容并签名，签字后方可进行评标</w:t>
            </w:r>
            <w:r>
              <w:rPr>
                <w:rFonts w:hint="eastAsia" w:ascii="宋体" w:hAnsi="宋体" w:cs="宋体"/>
                <w:b/>
                <w:bCs/>
                <w:color w:val="auto"/>
                <w:szCs w:val="21"/>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default"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p>
        </w:tc>
        <w:tc>
          <w:tcPr>
            <w:tcW w:w="124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default" w:ascii="宋体" w:hAnsi="宋体" w:eastAsia="宋体" w:cs="宋体"/>
                <w:color w:val="auto"/>
                <w:szCs w:val="21"/>
                <w:highlight w:val="none"/>
              </w:rPr>
              <w:t>4.5.1</w:t>
            </w:r>
          </w:p>
        </w:tc>
        <w:tc>
          <w:tcPr>
            <w:tcW w:w="3610" w:type="dxa"/>
            <w:vAlign w:val="center"/>
          </w:tcPr>
          <w:p>
            <w:pPr>
              <w:keepNext w:val="0"/>
              <w:keepLines w:val="0"/>
              <w:suppressLineNumbers w:val="0"/>
              <w:spacing w:before="0" w:beforeAutospacing="0" w:after="0" w:afterAutospacing="0" w:line="240" w:lineRule="auto"/>
              <w:ind w:left="743" w:right="0" w:hanging="743" w:hangingChars="354"/>
              <w:jc w:val="both"/>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4.5.1  </w:t>
            </w:r>
            <w:r>
              <w:rPr>
                <w:rFonts w:hint="eastAsia" w:ascii="宋体" w:hAnsi="宋体" w:eastAsia="宋体" w:cs="宋体"/>
                <w:color w:val="auto"/>
                <w:szCs w:val="21"/>
                <w:highlight w:val="none"/>
              </w:rPr>
              <w:t>是否采用评定分离：</w:t>
            </w:r>
          </w:p>
          <w:p>
            <w:pPr>
              <w:keepNext w:val="0"/>
              <w:keepLines w:val="0"/>
              <w:suppressLineNumbers w:val="0"/>
              <w:spacing w:before="0" w:beforeAutospacing="0" w:after="0" w:afterAutospacing="0" w:line="240" w:lineRule="auto"/>
              <w:ind w:left="743" w:right="0" w:hanging="743" w:hangingChars="354"/>
              <w:jc w:val="both"/>
              <w:rPr>
                <w:rFonts w:hint="default" w:ascii="宋体" w:hAnsi="宋体" w:eastAsia="宋体" w:cs="宋体"/>
                <w:color w:val="auto"/>
                <w:szCs w:val="21"/>
                <w:highlight w:val="none"/>
              </w:rPr>
            </w:pPr>
            <w:r>
              <w:rPr>
                <w:rFonts w:hint="eastAsia" w:ascii="宋体" w:hAnsi="宋体" w:eastAsia="宋体" w:cs="宋体"/>
                <w:color w:val="auto"/>
                <w:szCs w:val="21"/>
                <w:highlight w:val="none"/>
              </w:rPr>
              <w:t>□是，入围定标环节的投标人家数：</w:t>
            </w:r>
          </w:p>
          <w:p>
            <w:pPr>
              <w:keepNext w:val="0"/>
              <w:keepLines w:val="0"/>
              <w:suppressLineNumbers w:val="0"/>
              <w:spacing w:before="0" w:beforeAutospacing="0" w:after="0" w:afterAutospacing="0" w:line="240" w:lineRule="auto"/>
              <w:ind w:left="743" w:right="0" w:hanging="743" w:hangingChars="354"/>
              <w:jc w:val="both"/>
              <w:rPr>
                <w:rFonts w:hint="default" w:ascii="宋体" w:hAnsi="宋体" w:eastAsia="宋体" w:cs="宋体"/>
                <w:color w:val="auto"/>
                <w:szCs w:val="21"/>
                <w:highlight w:val="none"/>
              </w:rPr>
            </w:pPr>
            <w:r>
              <w:rPr>
                <w:rFonts w:hint="default"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名；</w:t>
            </w:r>
          </w:p>
          <w:p>
            <w:pPr>
              <w:keepNext w:val="0"/>
              <w:keepLines w:val="0"/>
              <w:suppressLineNumbers w:val="0"/>
              <w:spacing w:before="0" w:beforeAutospacing="0" w:after="0" w:afterAutospacing="0" w:line="240" w:lineRule="auto"/>
              <w:ind w:left="743" w:right="0" w:hanging="743" w:hangingChars="354"/>
              <w:jc w:val="both"/>
              <w:rPr>
                <w:rFonts w:hint="default" w:ascii="宋体" w:hAnsi="宋体" w:eastAsia="宋体" w:cs="宋体"/>
                <w:color w:val="auto"/>
                <w:szCs w:val="21"/>
                <w:highlight w:val="none"/>
              </w:rPr>
            </w:pPr>
            <w:r>
              <w:rPr>
                <w:rFonts w:hint="eastAsia" w:ascii="宋体" w:hAnsi="宋体" w:eastAsia="宋体" w:cs="宋体"/>
                <w:color w:val="auto"/>
                <w:szCs w:val="21"/>
                <w:highlight w:val="none"/>
              </w:rPr>
              <w:t>□否。</w:t>
            </w:r>
          </w:p>
        </w:tc>
        <w:tc>
          <w:tcPr>
            <w:tcW w:w="3717" w:type="dxa"/>
            <w:vAlign w:val="center"/>
          </w:tcPr>
          <w:p>
            <w:pPr>
              <w:keepNext w:val="0"/>
              <w:keepLines w:val="0"/>
              <w:suppressLineNumbers w:val="0"/>
              <w:spacing w:before="0" w:beforeAutospacing="0" w:after="0" w:afterAutospacing="0" w:line="240" w:lineRule="auto"/>
              <w:ind w:left="743" w:right="0" w:hanging="743" w:hangingChars="354"/>
              <w:jc w:val="both"/>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4.5.1  </w:t>
            </w:r>
            <w:r>
              <w:rPr>
                <w:rFonts w:hint="eastAsia" w:ascii="宋体" w:hAnsi="宋体" w:eastAsia="宋体" w:cs="宋体"/>
                <w:color w:val="auto"/>
                <w:szCs w:val="21"/>
                <w:highlight w:val="none"/>
              </w:rPr>
              <w:t>是否采用评定分离：</w:t>
            </w:r>
          </w:p>
          <w:p>
            <w:pPr>
              <w:keepNext w:val="0"/>
              <w:keepLines w:val="0"/>
              <w:suppressLineNumbers w:val="0"/>
              <w:spacing w:before="0" w:beforeAutospacing="0" w:after="0" w:afterAutospacing="0" w:line="240" w:lineRule="auto"/>
              <w:ind w:left="743" w:right="0" w:hanging="743" w:hangingChars="354"/>
              <w:jc w:val="both"/>
              <w:rPr>
                <w:rFonts w:hint="default" w:ascii="宋体" w:hAnsi="宋体" w:eastAsia="宋体" w:cs="宋体"/>
                <w:color w:val="auto"/>
                <w:szCs w:val="21"/>
                <w:highlight w:val="none"/>
              </w:rPr>
            </w:pPr>
            <w:r>
              <w:rPr>
                <w:rFonts w:hint="default" w:ascii="宋体" w:hAnsi="宋体" w:eastAsia="宋体" w:cs="宋体"/>
                <w:color w:val="auto"/>
                <w:szCs w:val="21"/>
                <w:highlight w:val="none"/>
              </w:rPr>
              <w:t>☑是，入围定标环节的投标人家数：</w:t>
            </w:r>
          </w:p>
          <w:p>
            <w:pPr>
              <w:keepNext w:val="0"/>
              <w:keepLines w:val="0"/>
              <w:suppressLineNumbers w:val="0"/>
              <w:spacing w:before="0" w:beforeAutospacing="0" w:after="0" w:afterAutospacing="0" w:line="240" w:lineRule="auto"/>
              <w:ind w:left="0" w:right="0"/>
              <w:rPr>
                <w:rFonts w:hint="default"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通过资格审查及有效性审查的全部投标人进入定标环节；</w:t>
            </w:r>
          </w:p>
          <w:p>
            <w:pPr>
              <w:keepNext w:val="0"/>
              <w:keepLines w:val="0"/>
              <w:suppressLineNumbers w:val="0"/>
              <w:spacing w:before="0" w:beforeAutospacing="0" w:after="0" w:afterAutospacing="0" w:line="240" w:lineRule="auto"/>
              <w:ind w:left="743" w:right="0" w:hanging="743" w:hangingChars="354"/>
              <w:jc w:val="both"/>
              <w:rPr>
                <w:rFonts w:hint="default" w:ascii="宋体" w:hAnsi="宋体" w:eastAsia="宋体" w:cs="宋体"/>
                <w:color w:val="auto"/>
                <w:szCs w:val="21"/>
                <w:highlight w:val="none"/>
              </w:rPr>
            </w:pPr>
            <w:r>
              <w:rPr>
                <w:rFonts w:hint="eastAsia" w:ascii="宋体" w:hAnsi="宋体" w:eastAsia="宋体" w:cs="宋体"/>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default"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p>
        </w:tc>
        <w:tc>
          <w:tcPr>
            <w:tcW w:w="124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default" w:ascii="宋体" w:hAnsi="宋体" w:eastAsia="宋体" w:cs="宋体"/>
                <w:color w:val="auto"/>
                <w:szCs w:val="21"/>
                <w:highlight w:val="none"/>
              </w:rPr>
              <w:t>4.5.2</w:t>
            </w:r>
          </w:p>
        </w:tc>
        <w:tc>
          <w:tcPr>
            <w:tcW w:w="3610" w:type="dxa"/>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4.5.2  </w:t>
            </w:r>
            <w:r>
              <w:rPr>
                <w:rFonts w:hint="eastAsia" w:ascii="宋体" w:hAnsi="宋体" w:eastAsia="宋体" w:cs="宋体"/>
                <w:color w:val="auto"/>
                <w:szCs w:val="21"/>
                <w:highlight w:val="none"/>
              </w:rPr>
              <w:t>不采用评定分离项目的评标办法</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default" w:ascii="宋体" w:hAnsi="宋体" w:eastAsia="宋体" w:cs="宋体"/>
                <w:color w:val="auto"/>
                <w:szCs w:val="21"/>
                <w:highlight w:val="none"/>
              </w:rPr>
              <w:t>4.5.2.1招标人（招标代理机构）在不透露投标人身份的前提下（资格审查文件除外）将投标文件交给评标委员会，除4.5.2.2(g)中规定，不需要投标人派代表介绍投标方案。</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4.5.2.2如果评标委员会成员在交易服务机构评标，将按方法    </w:t>
            </w:r>
            <w:r>
              <w:rPr>
                <w:rFonts w:hint="eastAsia" w:ascii="宋体" w:hAnsi="宋体" w:eastAsia="宋体" w:cs="宋体"/>
                <w:color w:val="auto"/>
                <w:szCs w:val="21"/>
                <w:highlight w:val="none"/>
              </w:rPr>
              <w:t>规定的步骤进行：</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       方法一（设有资格审查环节的一阶段评标法）：a、b、c、d、e、f、h、i、j</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       方法二（设有资格审查环节的二阶段评标法）：a、b、c、d、e、f、g、h、i、j</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       方法三（未设资格审查环节的一阶段评标法）：a、d、e、f、h、i、j</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       方法四（未设资格审查环节的二阶段评标法）：a、d、e、f、g、h、i、j</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(a) </w:t>
            </w:r>
            <w:r>
              <w:rPr>
                <w:rFonts w:hint="eastAsia" w:ascii="宋体" w:hAnsi="宋体" w:eastAsia="宋体" w:cs="宋体"/>
                <w:color w:val="auto"/>
                <w:szCs w:val="21"/>
                <w:highlight w:val="none"/>
              </w:rPr>
              <w:t>评标委员会成员依据招标文件规定，否决两个（含两个）以上的加密打包投标文件电脑机器特征码一致的投标人，不参与下一阶段评审。</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(b) </w:t>
            </w:r>
            <w:r>
              <w:rPr>
                <w:rFonts w:hint="eastAsia" w:ascii="宋体" w:hAnsi="宋体" w:eastAsia="宋体" w:cs="宋体"/>
                <w:color w:val="auto"/>
                <w:szCs w:val="21"/>
                <w:highlight w:val="none"/>
              </w:rPr>
              <w:t>评标委员会成员依据招标文件规定，按附录</w:t>
            </w:r>
            <w:r>
              <w:rPr>
                <w:rFonts w:hint="default" w:ascii="宋体" w:hAnsi="宋体" w:eastAsia="宋体" w:cs="宋体"/>
                <w:color w:val="auto"/>
                <w:szCs w:val="21"/>
                <w:highlight w:val="none"/>
              </w:rPr>
              <w:t>12《资格审查表》对各投标人递交的投标文件进行资格审查。</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(c) </w:t>
            </w:r>
            <w:r>
              <w:rPr>
                <w:rFonts w:hint="eastAsia" w:ascii="宋体" w:hAnsi="宋体" w:eastAsia="宋体" w:cs="宋体"/>
                <w:color w:val="auto"/>
                <w:szCs w:val="21"/>
                <w:highlight w:val="none"/>
              </w:rPr>
              <w:t>评标委员会成员汇总资格审查结果，编写资格审查报告。</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(d) </w:t>
            </w:r>
            <w:r>
              <w:rPr>
                <w:rFonts w:hint="eastAsia" w:ascii="宋体" w:hAnsi="宋体" w:eastAsia="宋体" w:cs="宋体"/>
                <w:color w:val="auto"/>
                <w:szCs w:val="21"/>
                <w:highlight w:val="none"/>
              </w:rPr>
              <w:t>评标委员会专家依据招标文件规定，按附录</w:t>
            </w:r>
            <w:r>
              <w:rPr>
                <w:rFonts w:hint="default" w:ascii="宋体" w:hAnsi="宋体" w:eastAsia="宋体" w:cs="宋体"/>
                <w:color w:val="auto"/>
                <w:szCs w:val="21"/>
                <w:highlight w:val="none"/>
              </w:rPr>
              <w:t>15《设计方案评审记录表》、附录17《投标方案评语》对各投标人递交的投标文件进行评审。如果有否决投标提议，则评标委员会成员共同表决，按照少数服从多数的原则决定是否否决。</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(e) </w:t>
            </w:r>
            <w:r>
              <w:rPr>
                <w:rFonts w:hint="eastAsia" w:ascii="宋体" w:hAnsi="宋体" w:eastAsia="宋体" w:cs="宋体"/>
                <w:color w:val="auto"/>
                <w:szCs w:val="21"/>
                <w:highlight w:val="none"/>
              </w:rPr>
              <w:t>以差额选举逐轮淘汰的记名投票方式选出所有投标方案的排序。（方案补偿费按</w:t>
            </w:r>
            <w:r>
              <w:rPr>
                <w:rFonts w:hint="default" w:ascii="宋体" w:hAnsi="宋体" w:eastAsia="宋体" w:cs="宋体"/>
                <w:color w:val="auto"/>
                <w:szCs w:val="21"/>
                <w:highlight w:val="none"/>
              </w:rPr>
              <w:t>(h)步骤确定的最终排序进行补偿）。</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(f) </w:t>
            </w:r>
            <w:r>
              <w:rPr>
                <w:rFonts w:hint="eastAsia" w:ascii="宋体" w:hAnsi="宋体" w:eastAsia="宋体" w:cs="宋体"/>
                <w:color w:val="auto"/>
                <w:szCs w:val="21"/>
                <w:highlight w:val="none"/>
              </w:rPr>
              <w:t>评标委员会揭晓投标人身份。</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(g) </w:t>
            </w:r>
            <w:r>
              <w:rPr>
                <w:rFonts w:hint="eastAsia" w:ascii="宋体" w:hAnsi="宋体" w:eastAsia="宋体" w:cs="宋体"/>
                <w:color w:val="auto"/>
                <w:szCs w:val="21"/>
                <w:highlight w:val="none"/>
              </w:rPr>
              <w:t>采用二阶段评标法的，由方案排序前</w:t>
            </w:r>
            <w:r>
              <w:rPr>
                <w:rFonts w:hint="default" w:ascii="宋体" w:hAnsi="宋体" w:eastAsia="宋体" w:cs="宋体"/>
                <w:color w:val="auto"/>
                <w:szCs w:val="21"/>
                <w:highlight w:val="none"/>
              </w:rPr>
              <w:t>3名的投标人讲解投标方案(如方案排序前3名的投标人均存在不通过资格审查（如有）或有效性审查的情形，则按方案从高到低的排序从资格审查（如有）及通过有效性审查的投标人中替补1名讲解；否则不替补)、解答疑问、介绍业绩、信誉和人员的能力，评标委员会成员再次共同表决，以差额选举逐轮淘汰的记名投票方式选出投标方案的排序（讲解方案的人员在讲解前需提供投标人授权证明书及身份证原件给评标委员会确</w:t>
            </w:r>
            <w:r>
              <w:rPr>
                <w:rFonts w:hint="eastAsia" w:ascii="宋体" w:hAnsi="宋体" w:eastAsia="宋体" w:cs="宋体"/>
                <w:color w:val="auto"/>
                <w:szCs w:val="21"/>
                <w:highlight w:val="none"/>
              </w:rPr>
              <w:t>认其身份，未提供以上资料的不得进行讲解）。</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(h) </w:t>
            </w:r>
            <w:r>
              <w:rPr>
                <w:rFonts w:hint="eastAsia" w:ascii="宋体" w:hAnsi="宋体" w:eastAsia="宋体" w:cs="宋体"/>
                <w:color w:val="auto"/>
                <w:szCs w:val="21"/>
                <w:highlight w:val="none"/>
              </w:rPr>
              <w:t>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方案的排序，其余通过资格审查（如有）及有效性审查的投标人的投标方案的排序依次上升替补确定，以此类推。评标委员会按投标方案最终排序的先后，依次推荐</w:t>
            </w:r>
            <w:r>
              <w:rPr>
                <w:rFonts w:hint="default" w:ascii="宋体" w:hAnsi="宋体" w:eastAsia="宋体" w:cs="宋体"/>
                <w:color w:val="auto"/>
                <w:szCs w:val="21"/>
                <w:highlight w:val="none"/>
              </w:rPr>
              <w:t>3名中标候选人。投标经济补偿费按投标方案的最终排序确定进行补偿。</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(i) </w:t>
            </w:r>
            <w:r>
              <w:rPr>
                <w:rFonts w:hint="eastAsia" w:ascii="宋体" w:hAnsi="宋体" w:eastAsia="宋体" w:cs="宋体"/>
                <w:color w:val="auto"/>
                <w:szCs w:val="21"/>
                <w:highlight w:val="none"/>
              </w:rPr>
              <w:t>编写、签署评标报告，并标明最终中标候选人的排列顺序，评标报告由评标委员会全体成员签字，对评标结论持有异议的评标委员会成员可以书面方式阐述其不同意见和理由。</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(j) </w:t>
            </w:r>
            <w:r>
              <w:rPr>
                <w:rFonts w:hint="eastAsia" w:ascii="宋体" w:hAnsi="宋体" w:eastAsia="宋体" w:cs="宋体"/>
                <w:color w:val="auto"/>
                <w:szCs w:val="21"/>
                <w:highlight w:val="none"/>
              </w:rPr>
              <w:t>评标委员会向招标人提交书面评标报告后即告解散，评标过程中使用的文件、表格以及其他资料应当即时归还招标人（招标代理机构）。</w:t>
            </w:r>
          </w:p>
        </w:tc>
        <w:tc>
          <w:tcPr>
            <w:tcW w:w="3717"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b/>
                <w:bCs/>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default"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4</w:t>
            </w:r>
          </w:p>
        </w:tc>
        <w:tc>
          <w:tcPr>
            <w:tcW w:w="124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default" w:ascii="宋体" w:hAnsi="宋体" w:eastAsia="宋体" w:cs="宋体"/>
                <w:color w:val="auto"/>
                <w:szCs w:val="21"/>
                <w:highlight w:val="none"/>
              </w:rPr>
              <w:t>4.5.3</w:t>
            </w:r>
          </w:p>
        </w:tc>
        <w:tc>
          <w:tcPr>
            <w:tcW w:w="3610" w:type="dxa"/>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4.5.3    </w:t>
            </w:r>
            <w:r>
              <w:rPr>
                <w:rFonts w:hint="eastAsia" w:ascii="宋体" w:hAnsi="宋体" w:eastAsia="宋体" w:cs="宋体"/>
                <w:color w:val="auto"/>
                <w:szCs w:val="21"/>
                <w:highlight w:val="none"/>
              </w:rPr>
              <w:t>采用评定分离项目的评标及定标办法</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default" w:ascii="宋体" w:hAnsi="宋体" w:eastAsia="宋体" w:cs="宋体"/>
                <w:color w:val="auto"/>
                <w:szCs w:val="21"/>
                <w:highlight w:val="none"/>
              </w:rPr>
              <w:t>4.5.3.1招标人（招标代理机构）在不透露投标人身份的前提下（资格审查文件除外）将投标文件交给评标委员会，不需要投标人派代表介绍投标方案。</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4.5.3.2如果评标委员会成员在交易服务机构评标，将按方法    </w:t>
            </w:r>
            <w:r>
              <w:rPr>
                <w:rFonts w:hint="eastAsia" w:ascii="宋体" w:hAnsi="宋体" w:eastAsia="宋体" w:cs="宋体"/>
                <w:color w:val="auto"/>
                <w:szCs w:val="21"/>
                <w:highlight w:val="none"/>
              </w:rPr>
              <w:t>规定的步骤进行：</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       方法一（设有资格审查环节的一阶段评标法）：a、b、c、d、e、f、g、h、i、j</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       方法二（未设资格审查环节的一阶段评标法）：a、d、e、f、g、h、i、j</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default" w:ascii="宋体" w:hAnsi="宋体" w:eastAsia="宋体" w:cs="宋体"/>
                <w:color w:val="auto"/>
                <w:szCs w:val="21"/>
                <w:highlight w:val="none"/>
              </w:rPr>
              <w:t>(a)评标委员会成员依据招标文件规定，否决两个（含两个）以上的加密打包投标文件电脑机器特征码一致的</w:t>
            </w:r>
            <w:r>
              <w:rPr>
                <w:rFonts w:hint="eastAsia" w:ascii="宋体" w:hAnsi="宋体" w:eastAsia="宋体" w:cs="宋体"/>
                <w:color w:val="auto"/>
                <w:szCs w:val="21"/>
                <w:highlight w:val="none"/>
              </w:rPr>
              <w:t>投标人，不参与下一阶段评审。</w:t>
            </w:r>
            <w:r>
              <w:rPr>
                <w:rFonts w:hint="default" w:ascii="宋体" w:hAnsi="宋体" w:eastAsia="宋体" w:cs="宋体"/>
                <w:color w:val="auto"/>
                <w:szCs w:val="21"/>
                <w:highlight w:val="none"/>
              </w:rPr>
              <w:t xml:space="preserve"> </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default" w:ascii="宋体" w:hAnsi="宋体" w:eastAsia="宋体" w:cs="宋体"/>
                <w:color w:val="auto"/>
                <w:szCs w:val="21"/>
                <w:highlight w:val="none"/>
              </w:rPr>
              <w:t>(b)评标委员会成员业主代表及专家依据招标文件规定，按附录12《资格审查表》对各投标人递交的投标文件进行资格审查。</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(c) </w:t>
            </w:r>
            <w:r>
              <w:rPr>
                <w:rFonts w:hint="eastAsia" w:ascii="宋体" w:hAnsi="宋体" w:eastAsia="宋体" w:cs="宋体"/>
                <w:color w:val="auto"/>
                <w:szCs w:val="21"/>
                <w:highlight w:val="none"/>
              </w:rPr>
              <w:t>评标委员会成员汇总资格审查结果，编写资格审查报告。</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default" w:ascii="宋体" w:hAnsi="宋体" w:eastAsia="宋体" w:cs="宋体"/>
                <w:color w:val="auto"/>
                <w:szCs w:val="21"/>
                <w:highlight w:val="none"/>
              </w:rPr>
              <w:t>(d)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(e) </w:t>
            </w:r>
            <w:r>
              <w:rPr>
                <w:rFonts w:hint="eastAsia" w:ascii="宋体" w:hAnsi="宋体" w:eastAsia="宋体" w:cs="宋体"/>
                <w:color w:val="auto"/>
                <w:szCs w:val="21"/>
                <w:highlight w:val="none"/>
              </w:rPr>
              <w:t>以差额选举逐轮淘汰的记名投票方式选出所有投标方案的排序，并按照</w:t>
            </w:r>
            <w:r>
              <w:rPr>
                <w:rFonts w:hint="default" w:ascii="宋体" w:hAnsi="宋体" w:eastAsia="宋体" w:cs="宋体"/>
                <w:color w:val="auto"/>
                <w:szCs w:val="21"/>
                <w:highlight w:val="none"/>
              </w:rPr>
              <w:t>4.5.1约定的家数入围定标阶段（该排序不作为定标的依据）；或以差额选举逐轮淘汰的记名投票方式直接确定入围定标阶段的投标人。（方案补偿费按(g)步骤确定的方式进行补偿）。</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(f) 评标委员会揭晓投标人身份。 </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(g) </w:t>
            </w:r>
            <w:r>
              <w:rPr>
                <w:rFonts w:hint="eastAsia" w:ascii="宋体" w:hAnsi="宋体" w:eastAsia="宋体" w:cs="宋体"/>
                <w:color w:val="auto"/>
                <w:szCs w:val="21"/>
                <w:highlight w:val="none"/>
              </w:rPr>
              <w:t>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若采取排序方式确定入围单位的，其余通过资格审查（如有）及有效性审查的投标人按排序依次上升替补入围定标阶段，以此类推。若采取直接确定入围单位的，确定替补入围单位的方法为：</w:t>
            </w:r>
            <w:r>
              <w:rPr>
                <w:rFonts w:hint="default" w:ascii="宋体" w:hAnsi="宋体" w:eastAsia="宋体" w:cs="宋体"/>
                <w:color w:val="auto"/>
                <w:szCs w:val="21"/>
                <w:highlight w:val="none"/>
              </w:rPr>
              <w:t xml:space="preserve">              </w:t>
            </w:r>
            <w:r>
              <w:rPr>
                <w:rFonts w:hint="eastAsia" w:ascii="宋体" w:hAnsi="宋体" w:eastAsia="宋体" w:cs="宋体"/>
                <w:color w:val="auto"/>
                <w:szCs w:val="21"/>
                <w:highlight w:val="none"/>
              </w:rPr>
              <w:t>。评标委员会按上述方式推荐入围定标阶段的投标人。投标经济补偿费按投标方案的最终排序（采取排序方式的）或</w:t>
            </w:r>
            <w:r>
              <w:rPr>
                <w:rFonts w:hint="default" w:ascii="宋体" w:hAnsi="宋体" w:eastAsia="宋体" w:cs="宋体"/>
                <w:color w:val="auto"/>
                <w:szCs w:val="21"/>
                <w:highlight w:val="none"/>
              </w:rPr>
              <w:t xml:space="preserve">             </w:t>
            </w:r>
            <w:r>
              <w:rPr>
                <w:rFonts w:hint="eastAsia" w:ascii="宋体" w:hAnsi="宋体" w:eastAsia="宋体" w:cs="宋体"/>
                <w:color w:val="auto"/>
                <w:szCs w:val="21"/>
                <w:highlight w:val="none"/>
              </w:rPr>
              <w:t>（采取直接确定入围方式的）确定进行补偿。</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(h) </w:t>
            </w:r>
            <w:r>
              <w:rPr>
                <w:rFonts w:hint="eastAsia" w:ascii="宋体" w:hAnsi="宋体" w:eastAsia="宋体" w:cs="宋体"/>
                <w:color w:val="auto"/>
                <w:szCs w:val="21"/>
                <w:highlight w:val="none"/>
              </w:rPr>
              <w:t>编写、签署评标报告，评标报告由评标委员会全体成员签字，对评标结论持有异议的评标委员会成员可以书面方式阐述其不同意见和理由。</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(i) </w:t>
            </w:r>
            <w:r>
              <w:rPr>
                <w:rFonts w:hint="eastAsia" w:ascii="宋体" w:hAnsi="宋体" w:eastAsia="宋体" w:cs="宋体"/>
                <w:color w:val="auto"/>
                <w:szCs w:val="21"/>
                <w:highlight w:val="none"/>
              </w:rPr>
              <w:t>评标委员会向招标人提交书面评标报告后即告解散，评标过程中使用的文件、表格以及其他资料应当即时归还招标人（招标代理机构）。</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w:t>
            </w:r>
            <w:r>
              <w:rPr>
                <w:rFonts w:hint="default" w:ascii="宋体" w:hAnsi="宋体" w:eastAsia="宋体" w:cs="宋体"/>
                <w:color w:val="auto"/>
                <w:szCs w:val="21"/>
                <w:highlight w:val="none"/>
              </w:rPr>
              <w:t xml:space="preserve">j）定标委员会定标。定标委员会按附录16《定标原则》确定    </w:t>
            </w:r>
            <w:r>
              <w:rPr>
                <w:rFonts w:hint="eastAsia" w:ascii="宋体" w:hAnsi="宋体" w:eastAsia="宋体" w:cs="宋体"/>
                <w:color w:val="auto"/>
                <w:szCs w:val="21"/>
                <w:highlight w:val="none"/>
              </w:rPr>
              <w:t>名（不多于</w:t>
            </w:r>
            <w:r>
              <w:rPr>
                <w:rFonts w:hint="default" w:ascii="宋体" w:hAnsi="宋体" w:eastAsia="宋体" w:cs="宋体"/>
                <w:color w:val="auto"/>
                <w:szCs w:val="21"/>
                <w:highlight w:val="none"/>
              </w:rPr>
              <w:t>3名）中标候选人（排序），也可直接确定中标人。</w:t>
            </w:r>
          </w:p>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3717" w:type="dxa"/>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4.5.3    </w:t>
            </w:r>
            <w:r>
              <w:rPr>
                <w:rFonts w:hint="eastAsia" w:ascii="宋体" w:hAnsi="宋体" w:eastAsia="宋体" w:cs="宋体"/>
                <w:color w:val="auto"/>
                <w:szCs w:val="21"/>
                <w:highlight w:val="none"/>
              </w:rPr>
              <w:t>采用评定分离项目的评标及定标办法</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default" w:ascii="宋体" w:hAnsi="宋体" w:eastAsia="宋体" w:cs="宋体"/>
                <w:color w:val="auto"/>
                <w:szCs w:val="21"/>
                <w:highlight w:val="none"/>
              </w:rPr>
              <w:t>4.5.3.1招标人（招标代理机构）</w:t>
            </w:r>
            <w:r>
              <w:rPr>
                <w:rFonts w:hint="default" w:ascii="宋体" w:hAnsi="宋体" w:eastAsia="宋体" w:cs="宋体"/>
                <w:strike w:val="0"/>
                <w:color w:val="auto"/>
                <w:szCs w:val="21"/>
                <w:highlight w:val="none"/>
              </w:rPr>
              <w:t>在不透露投标人身份的前提下（资格审查文件除外）</w:t>
            </w:r>
            <w:r>
              <w:rPr>
                <w:rFonts w:hint="default" w:ascii="宋体" w:hAnsi="宋体" w:eastAsia="宋体" w:cs="宋体"/>
                <w:color w:val="auto"/>
                <w:szCs w:val="21"/>
                <w:highlight w:val="none"/>
              </w:rPr>
              <w:t>将投标文件交给评标委员会，不需要投标人派代表介绍投标方案。</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default" w:ascii="宋体" w:hAnsi="宋体" w:eastAsia="宋体" w:cs="宋体"/>
                <w:color w:val="auto"/>
                <w:szCs w:val="21"/>
                <w:highlight w:val="none"/>
              </w:rPr>
              <w:t>4.5.3.2如果评标委员会成员在交易服务机构评标，将按方法</w:t>
            </w:r>
            <w:r>
              <w:rPr>
                <w:rFonts w:hint="eastAsia" w:ascii="宋体" w:hAnsi="宋体" w:eastAsia="宋体" w:cs="宋体"/>
                <w:color w:val="auto"/>
                <w:szCs w:val="21"/>
                <w:highlight w:val="none"/>
                <w:u w:val="single"/>
              </w:rPr>
              <w:t>一</w:t>
            </w:r>
            <w:r>
              <w:rPr>
                <w:rFonts w:hint="default"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规定的步骤进行：</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       方法一（设有资格审查环节的一阶段评标法）：a、b、c、d、e、f、g、h、i、j</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default" w:ascii="宋体" w:hAnsi="宋体" w:eastAsia="宋体" w:cs="宋体"/>
                <w:color w:val="auto"/>
                <w:szCs w:val="21"/>
                <w:highlight w:val="none"/>
              </w:rPr>
              <w:t>(a)评标委员会成员依据招标文件规定，否决两个（含两个）以上的加密打包投标文件电脑机器特征码一致的投</w:t>
            </w:r>
            <w:r>
              <w:rPr>
                <w:rFonts w:hint="eastAsia" w:ascii="宋体" w:hAnsi="宋体" w:eastAsia="宋体" w:cs="宋体"/>
                <w:color w:val="auto"/>
                <w:szCs w:val="21"/>
                <w:highlight w:val="none"/>
              </w:rPr>
              <w:t>标人，不参与下一阶段评审。</w:t>
            </w:r>
            <w:r>
              <w:rPr>
                <w:rFonts w:hint="default" w:ascii="宋体" w:hAnsi="宋体" w:eastAsia="宋体" w:cs="宋体"/>
                <w:color w:val="auto"/>
                <w:szCs w:val="21"/>
                <w:highlight w:val="none"/>
              </w:rPr>
              <w:t xml:space="preserve"> </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default" w:ascii="宋体" w:hAnsi="宋体" w:eastAsia="宋体" w:cs="宋体"/>
                <w:color w:val="auto"/>
                <w:szCs w:val="21"/>
                <w:highlight w:val="none"/>
              </w:rPr>
              <w:t>(b)评标委员会成员业主代表及专家依据招标文件规定，按</w:t>
            </w:r>
            <w:r>
              <w:rPr>
                <w:rFonts w:hint="eastAsia" w:ascii="宋体" w:hAnsi="宋体" w:eastAsia="宋体" w:cs="宋体"/>
                <w:color w:val="auto"/>
                <w:szCs w:val="21"/>
                <w:highlight w:val="none"/>
                <w:u w:val="single"/>
              </w:rPr>
              <w:t>附录</w:t>
            </w:r>
            <w:r>
              <w:rPr>
                <w:rFonts w:hint="default" w:ascii="宋体" w:hAnsi="宋体" w:eastAsia="宋体" w:cs="宋体"/>
                <w:color w:val="auto"/>
                <w:szCs w:val="21"/>
                <w:highlight w:val="none"/>
                <w:u w:val="single"/>
              </w:rPr>
              <w:t>9《资格审查表》</w:t>
            </w:r>
            <w:r>
              <w:rPr>
                <w:rFonts w:hint="eastAsia" w:ascii="宋体" w:hAnsi="宋体" w:eastAsia="宋体" w:cs="宋体"/>
                <w:color w:val="auto"/>
                <w:szCs w:val="21"/>
                <w:highlight w:val="none"/>
              </w:rPr>
              <w:t>对各投标人递交的投标文件进行资格审查。</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(c) </w:t>
            </w:r>
            <w:r>
              <w:rPr>
                <w:rFonts w:hint="eastAsia" w:ascii="宋体" w:hAnsi="宋体" w:eastAsia="宋体" w:cs="宋体"/>
                <w:color w:val="auto"/>
                <w:szCs w:val="21"/>
                <w:highlight w:val="none"/>
              </w:rPr>
              <w:t>评标委员会成员汇总资格审查结果，编写资格审查报告。</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default" w:ascii="宋体" w:hAnsi="宋体" w:eastAsia="宋体" w:cs="宋体"/>
                <w:color w:val="auto"/>
                <w:szCs w:val="21"/>
                <w:highlight w:val="none"/>
              </w:rPr>
              <w:t>(d)评标委员会专家依据招标文件规定，</w:t>
            </w:r>
            <w:r>
              <w:rPr>
                <w:rFonts w:hint="eastAsia" w:ascii="宋体" w:hAnsi="宋体" w:eastAsia="宋体" w:cs="宋体"/>
                <w:color w:val="auto"/>
                <w:szCs w:val="21"/>
                <w:highlight w:val="none"/>
                <w:u w:val="single"/>
              </w:rPr>
              <w:t>按附录</w:t>
            </w:r>
            <w:r>
              <w:rPr>
                <w:rFonts w:hint="default" w:ascii="宋体" w:hAnsi="宋体" w:eastAsia="宋体" w:cs="宋体"/>
                <w:color w:val="auto"/>
                <w:szCs w:val="21"/>
                <w:highlight w:val="none"/>
                <w:u w:val="single"/>
              </w:rPr>
              <w:t>12</w:t>
            </w:r>
            <w:r>
              <w:rPr>
                <w:rFonts w:hint="eastAsia" w:ascii="宋体" w:hAnsi="Calibri" w:eastAsia="宋体" w:cs="Times New Roman"/>
                <w:color w:val="auto"/>
                <w:highlight w:val="none"/>
                <w:u w:val="single"/>
              </w:rPr>
              <w:t>《有效性审查表》</w:t>
            </w:r>
            <w:r>
              <w:rPr>
                <w:rFonts w:hint="eastAsia" w:ascii="宋体" w:hAnsi="宋体" w:eastAsia="宋体" w:cs="宋体"/>
                <w:color w:val="auto"/>
                <w:szCs w:val="21"/>
                <w:highlight w:val="none"/>
                <w:u w:val="single"/>
              </w:rPr>
              <w:t>、</w:t>
            </w:r>
            <w:r>
              <w:rPr>
                <w:rFonts w:hint="eastAsia" w:ascii="宋体" w:hAnsi="Calibri" w:eastAsia="宋体" w:cs="Times New Roman"/>
                <w:color w:val="auto"/>
                <w:highlight w:val="none"/>
                <w:u w:val="single"/>
              </w:rPr>
              <w:t>附录1</w:t>
            </w:r>
            <w:r>
              <w:rPr>
                <w:rFonts w:hint="default" w:ascii="宋体" w:hAnsi="Calibri" w:eastAsia="宋体" w:cs="Times New Roman"/>
                <w:color w:val="auto"/>
                <w:highlight w:val="none"/>
                <w:u w:val="single"/>
              </w:rPr>
              <w:t>2</w:t>
            </w:r>
            <w:r>
              <w:rPr>
                <w:rFonts w:hint="eastAsia" w:ascii="宋体" w:hAnsi="Calibri" w:eastAsia="宋体" w:cs="Times New Roman"/>
                <w:color w:val="auto"/>
                <w:highlight w:val="none"/>
                <w:u w:val="single"/>
              </w:rPr>
              <w:t>-1《投标报价算术复核表》</w:t>
            </w:r>
            <w:r>
              <w:rPr>
                <w:rFonts w:hint="eastAsia" w:ascii="宋体" w:hAnsi="宋体" w:eastAsia="宋体" w:cs="宋体"/>
                <w:color w:val="auto"/>
                <w:szCs w:val="21"/>
                <w:highlight w:val="none"/>
                <w:u w:val="single"/>
              </w:rPr>
              <w:t>对各投标人递交的投标文件进行评审。</w:t>
            </w:r>
            <w:r>
              <w:rPr>
                <w:rFonts w:hint="eastAsia" w:ascii="宋体" w:hAnsi="宋体" w:eastAsia="宋体" w:cs="宋体"/>
                <w:color w:val="auto"/>
                <w:szCs w:val="21"/>
                <w:highlight w:val="none"/>
              </w:rPr>
              <w:t>如果有否决投标提议，则评标委员会成员共同表决，按照少数服从多数的原则决定是否否决。</w:t>
            </w:r>
            <w:r>
              <w:rPr>
                <w:rFonts w:hint="default" w:ascii="宋体" w:hAnsi="宋体" w:eastAsia="宋体" w:cs="宋体"/>
                <w:color w:val="auto"/>
                <w:szCs w:val="21"/>
                <w:highlight w:val="none"/>
              </w:rPr>
              <w:t xml:space="preserve"> </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 xml:space="preserve">(e) </w:t>
            </w:r>
            <w:r>
              <w:rPr>
                <w:rFonts w:hint="eastAsia" w:ascii="宋体" w:hAnsi="宋体" w:eastAsia="宋体" w:cs="Times New Roman"/>
                <w:color w:val="auto"/>
                <w:highlight w:val="none"/>
                <w:u w:val="single"/>
              </w:rPr>
              <w:t>按照</w:t>
            </w:r>
            <w:r>
              <w:rPr>
                <w:rFonts w:hint="default" w:ascii="宋体" w:hAnsi="宋体" w:eastAsia="宋体" w:cs="Times New Roman"/>
                <w:color w:val="auto"/>
                <w:highlight w:val="none"/>
                <w:u w:val="single"/>
              </w:rPr>
              <w:t>4.5.1约定推荐入围定标阶段中标候选人</w:t>
            </w:r>
            <w:r>
              <w:rPr>
                <w:rFonts w:hint="eastAsia" w:ascii="宋体" w:hAnsi="宋体" w:eastAsia="宋体" w:cs="宋体"/>
                <w:color w:val="auto"/>
                <w:szCs w:val="21"/>
                <w:highlight w:val="none"/>
                <w:u w:val="single"/>
              </w:rPr>
              <w:t>。</w:t>
            </w:r>
          </w:p>
          <w:p>
            <w:pPr>
              <w:keepNext w:val="0"/>
              <w:keepLines w:val="0"/>
              <w:widowControl w:val="0"/>
              <w:suppressLineNumbers w:val="0"/>
              <w:spacing w:before="0" w:beforeAutospacing="0" w:after="0" w:afterAutospacing="0"/>
              <w:ind w:left="0" w:right="0" w:firstLine="0" w:firstLineChars="0"/>
              <w:jc w:val="both"/>
              <w:rPr>
                <w:rFonts w:hint="default" w:ascii="Times New Roman" w:hAnsi="Times New Roman" w:eastAsia="宋体" w:cs="Times New Roman"/>
                <w:color w:val="auto"/>
                <w:kern w:val="2"/>
                <w:sz w:val="21"/>
                <w:szCs w:val="24"/>
                <w:highlight w:val="none"/>
                <w:lang w:val="en-US" w:eastAsia="zh-CN" w:bidi="ar-SA"/>
              </w:rPr>
            </w:pPr>
            <w:r>
              <w:rPr>
                <w:rFonts w:hint="default" w:ascii="宋体" w:hAnsi="宋体" w:eastAsia="宋体" w:cs="宋体"/>
                <w:color w:val="auto"/>
                <w:kern w:val="2"/>
                <w:sz w:val="21"/>
                <w:szCs w:val="21"/>
                <w:highlight w:val="none"/>
                <w:lang w:val="en-US" w:eastAsia="zh-CN" w:bidi="ar-SA"/>
              </w:rPr>
              <w:t>(f)评标委员会揭晓投标人身份。</w:t>
            </w:r>
          </w:p>
          <w:p>
            <w:pPr>
              <w:pStyle w:val="4"/>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r>
              <w:rPr>
                <w:rFonts w:hint="default" w:ascii="宋体" w:hAnsi="宋体" w:eastAsia="宋体" w:cs="宋体"/>
                <w:color w:val="auto"/>
                <w:szCs w:val="21"/>
                <w:highlight w:val="none"/>
              </w:rPr>
              <w:t xml:space="preserve">(g) </w:t>
            </w:r>
            <w:r>
              <w:rPr>
                <w:rFonts w:hint="eastAsia" w:ascii="宋体" w:hAnsi="宋体" w:eastAsia="宋体" w:cs="Times New Roman"/>
                <w:color w:val="auto"/>
                <w:highlight w:val="none"/>
              </w:rPr>
              <w:t>评标委员会按只有通过资格审查</w:t>
            </w:r>
            <w:r>
              <w:rPr>
                <w:rFonts w:hint="eastAsia" w:ascii="宋体" w:hAnsi="宋体" w:eastAsia="宋体" w:cs="宋体"/>
                <w:color w:val="auto"/>
                <w:szCs w:val="21"/>
                <w:highlight w:val="none"/>
              </w:rPr>
              <w:t>（如有）</w:t>
            </w:r>
            <w:r>
              <w:rPr>
                <w:rFonts w:hint="eastAsia" w:ascii="宋体" w:hAnsi="宋体" w:eastAsia="宋体" w:cs="Times New Roman"/>
                <w:color w:val="auto"/>
                <w:highlight w:val="none"/>
              </w:rPr>
              <w:t>及有效性审查的投标人的投标文件方可进入下一阶段评审的评审原则，在揭晓投标人身份后，根据资格审查及有效性审查结果，取消被否决投标及未通过资格审查的投标人的投标。</w:t>
            </w:r>
            <w:r>
              <w:rPr>
                <w:rFonts w:hint="eastAsia" w:ascii="宋体" w:hAnsi="宋体" w:eastAsia="宋体" w:cs="宋体"/>
                <w:color w:val="auto"/>
                <w:szCs w:val="21"/>
                <w:highlight w:val="none"/>
                <w:u w:val="single"/>
              </w:rPr>
              <w:t>合格的中标候选人按其统一社会信用代码后</w:t>
            </w:r>
            <w:r>
              <w:rPr>
                <w:rFonts w:hint="default" w:ascii="宋体" w:hAnsi="宋体" w:eastAsia="宋体" w:cs="宋体"/>
                <w:color w:val="auto"/>
                <w:szCs w:val="21"/>
                <w:highlight w:val="none"/>
                <w:u w:val="single"/>
              </w:rPr>
              <w:t>4位（除校验码外）</w:t>
            </w:r>
            <w:r>
              <w:rPr>
                <w:rFonts w:hint="eastAsia" w:ascii="宋体" w:hAnsi="宋体" w:eastAsia="宋体" w:cs="宋体"/>
                <w:color w:val="auto"/>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如联合体投标的，以主办方为准</w:t>
            </w:r>
            <w:r>
              <w:rPr>
                <w:rFonts w:hint="eastAsia" w:ascii="宋体" w:hAnsi="宋体" w:eastAsia="宋体" w:cs="宋体"/>
                <w:color w:val="auto"/>
                <w:szCs w:val="21"/>
                <w:highlight w:val="none"/>
                <w:u w:val="single"/>
                <w:lang w:eastAsia="zh-CN"/>
              </w:rPr>
              <w:t>）</w:t>
            </w:r>
            <w:r>
              <w:rPr>
                <w:rFonts w:hint="default" w:ascii="宋体" w:hAnsi="宋体" w:eastAsia="宋体" w:cs="宋体"/>
                <w:color w:val="auto"/>
                <w:szCs w:val="21"/>
                <w:highlight w:val="none"/>
                <w:u w:val="single"/>
              </w:rPr>
              <w:t>从大到小进行排位，不排序。</w:t>
            </w:r>
            <w:r>
              <w:rPr>
                <w:rFonts w:hint="eastAsia" w:ascii="宋体" w:hAnsi="宋体" w:eastAsia="宋体" w:cs="Times New Roman"/>
                <w:color w:val="auto"/>
                <w:highlight w:val="none"/>
                <w:u w:val="single"/>
              </w:rPr>
              <w:t>合格的中标候选人少于</w:t>
            </w:r>
            <w:r>
              <w:rPr>
                <w:rFonts w:hint="default" w:ascii="宋体" w:hAnsi="宋体" w:eastAsia="宋体" w:cs="Times New Roman"/>
                <w:color w:val="auto"/>
                <w:highlight w:val="none"/>
                <w:u w:val="single"/>
              </w:rPr>
              <w:t>3家的，应当重新招标。</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w:t>
            </w:r>
            <w:r>
              <w:rPr>
                <w:rFonts w:hint="default" w:ascii="宋体" w:hAnsi="宋体" w:eastAsia="宋体" w:cs="宋体"/>
                <w:color w:val="auto"/>
                <w:szCs w:val="21"/>
                <w:highlight w:val="none"/>
              </w:rPr>
              <w:t>h）编写、签署评标报告，评标报告由评标委员会全体成员签字，对评标结论持有异议的评标委员会成员可以书面方式阐述其不同意见和理由。</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(i) </w:t>
            </w:r>
            <w:r>
              <w:rPr>
                <w:rFonts w:hint="eastAsia" w:ascii="宋体" w:hAnsi="宋体" w:eastAsia="宋体" w:cs="宋体"/>
                <w:color w:val="auto"/>
                <w:szCs w:val="21"/>
                <w:highlight w:val="none"/>
              </w:rPr>
              <w:t>评标委员会向招标人提交书面评标报告后即告解散，评标过程中使用的文件、表格以及其他资料应当即时归还招标人（招标代理机构）。</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u w:val="single"/>
              </w:rPr>
            </w:pPr>
            <w:r>
              <w:rPr>
                <w:rFonts w:hint="eastAsia" w:ascii="宋体" w:hAnsi="宋体" w:eastAsia="宋体" w:cs="宋体"/>
                <w:color w:val="auto"/>
                <w:szCs w:val="21"/>
                <w:highlight w:val="none"/>
              </w:rPr>
              <w:t>（</w:t>
            </w:r>
            <w:r>
              <w:rPr>
                <w:rFonts w:hint="default" w:ascii="宋体" w:hAnsi="宋体" w:eastAsia="宋体" w:cs="宋体"/>
                <w:color w:val="auto"/>
                <w:szCs w:val="21"/>
                <w:highlight w:val="none"/>
              </w:rPr>
              <w:t>j）定标委员会定标。</w:t>
            </w:r>
            <w:r>
              <w:rPr>
                <w:rFonts w:hint="eastAsia" w:ascii="宋体" w:hAnsi="宋体" w:eastAsia="宋体" w:cs="宋体"/>
                <w:color w:val="auto"/>
                <w:szCs w:val="21"/>
                <w:highlight w:val="none"/>
                <w:u w:val="single"/>
              </w:rPr>
              <w:t>定标委员会按附录</w:t>
            </w:r>
            <w:r>
              <w:rPr>
                <w:rFonts w:hint="default" w:ascii="宋体" w:hAnsi="宋体" w:eastAsia="宋体" w:cs="宋体"/>
                <w:color w:val="auto"/>
                <w:szCs w:val="21"/>
                <w:highlight w:val="none"/>
                <w:u w:val="single"/>
              </w:rPr>
              <w:t>1</w:t>
            </w:r>
            <w:r>
              <w:rPr>
                <w:rFonts w:hint="eastAsia" w:ascii="宋体" w:hAnsi="宋体" w:eastAsia="宋体" w:cs="宋体"/>
                <w:color w:val="auto"/>
                <w:szCs w:val="21"/>
                <w:highlight w:val="none"/>
                <w:u w:val="single"/>
                <w:lang w:val="en-US" w:eastAsia="zh-CN"/>
              </w:rPr>
              <w:t>4</w:t>
            </w:r>
            <w:r>
              <w:rPr>
                <w:rFonts w:hint="default" w:ascii="宋体" w:hAnsi="宋体" w:eastAsia="宋体" w:cs="宋体"/>
                <w:color w:val="auto"/>
                <w:szCs w:val="21"/>
                <w:highlight w:val="none"/>
                <w:u w:val="single"/>
              </w:rPr>
              <w:t>《定标原则》确定中标人。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default"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p>
        </w:tc>
        <w:tc>
          <w:tcPr>
            <w:tcW w:w="124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default" w:ascii="宋体" w:hAnsi="宋体" w:eastAsia="宋体" w:cs="宋体"/>
                <w:color w:val="auto"/>
                <w:szCs w:val="21"/>
                <w:highlight w:val="none"/>
              </w:rPr>
              <w:t>5.1</w:t>
            </w:r>
          </w:p>
        </w:tc>
        <w:tc>
          <w:tcPr>
            <w:tcW w:w="3610" w:type="dxa"/>
            <w:vAlign w:val="center"/>
          </w:tcPr>
          <w:p>
            <w:pPr>
              <w:keepNext w:val="0"/>
              <w:keepLines w:val="0"/>
              <w:suppressLineNumbers w:val="0"/>
              <w:spacing w:before="0" w:beforeAutospacing="0" w:after="0" w:afterAutospacing="0" w:line="276" w:lineRule="auto"/>
              <w:ind w:left="0" w:right="0"/>
              <w:jc w:val="left"/>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 xml:space="preserve">5.1    </w:t>
            </w:r>
            <w:r>
              <w:rPr>
                <w:rFonts w:hint="eastAsia" w:ascii="宋体" w:hAnsi="宋体" w:eastAsia="宋体" w:cs="宋体"/>
                <w:b/>
                <w:color w:val="auto"/>
                <w:szCs w:val="21"/>
                <w:highlight w:val="none"/>
              </w:rPr>
              <w:t>确定中标人</w:t>
            </w:r>
          </w:p>
          <w:p>
            <w:pPr>
              <w:keepNext w:val="0"/>
              <w:keepLines w:val="0"/>
              <w:suppressLineNumbers w:val="0"/>
              <w:spacing w:before="0" w:beforeAutospacing="0" w:after="0" w:afterAutospacing="0" w:line="276"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采用方式</w:t>
            </w:r>
            <w:r>
              <w:rPr>
                <w:rFonts w:hint="default"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确定中标人：</w:t>
            </w:r>
          </w:p>
          <w:p>
            <w:pPr>
              <w:keepNext w:val="0"/>
              <w:keepLines w:val="0"/>
              <w:suppressLineNumbers w:val="0"/>
              <w:spacing w:before="0" w:beforeAutospacing="0" w:after="0" w:afterAutospacing="0" w:line="360" w:lineRule="auto"/>
              <w:ind w:left="0" w:right="0"/>
              <w:jc w:val="left"/>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方式一（适用于设置资格审查环节的项目）：</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5.1.1  </w:t>
            </w:r>
            <w:r>
              <w:rPr>
                <w:rFonts w:hint="eastAsia" w:ascii="宋体" w:hAnsi="宋体" w:eastAsia="宋体" w:cs="宋体"/>
                <w:color w:val="auto"/>
                <w:szCs w:val="21"/>
                <w:highlight w:val="none"/>
              </w:rPr>
              <w:t>招标人在评标委员会或定标委员会推荐的中标候选人中确定中标人。</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5.1.2  </w:t>
            </w:r>
            <w:r>
              <w:rPr>
                <w:rFonts w:hint="eastAsia" w:ascii="宋体" w:hAnsi="宋体" w:eastAsia="宋体" w:cs="宋体"/>
                <w:color w:val="auto"/>
                <w:szCs w:val="21"/>
                <w:highlight w:val="none"/>
              </w:rPr>
              <w:t>招标人确定中标人：</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中标候选人为中标人，也可以重新招标。如定标委员会直接确定中标人的，可省略此步骤。</w:t>
            </w:r>
          </w:p>
          <w:p>
            <w:pPr>
              <w:keepNext w:val="0"/>
              <w:keepLines w:val="0"/>
              <w:widowControl/>
              <w:suppressLineNumbers w:val="0"/>
              <w:spacing w:before="0" w:beforeAutospacing="0" w:after="0" w:afterAutospacing="0"/>
              <w:ind w:left="0" w:right="0" w:firstLine="0" w:firstLineChars="0"/>
              <w:jc w:val="lef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5.1.3 在产生中标候选人后，招标人将中标候选人的投标文件商务部分（包括报价清单、人员、业绩、奖项等资料）在交易平台和广东省招标投标监管网公开。</w:t>
            </w:r>
          </w:p>
          <w:p>
            <w:pPr>
              <w:keepNext w:val="0"/>
              <w:keepLines w:val="0"/>
              <w:suppressLineNumbers w:val="0"/>
              <w:spacing w:before="0" w:beforeAutospacing="0" w:after="0" w:afterAutospacing="0" w:line="276" w:lineRule="auto"/>
              <w:ind w:left="0" w:right="0"/>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方式二（适用于未设资格审查环节的项目）：</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5.1.1  </w:t>
            </w:r>
            <w:r>
              <w:rPr>
                <w:rFonts w:hint="eastAsia" w:ascii="宋体" w:hAnsi="宋体" w:eastAsia="宋体" w:cs="宋体"/>
                <w:color w:val="auto"/>
                <w:szCs w:val="21"/>
                <w:highlight w:val="none"/>
              </w:rPr>
              <w:t>招标人依据评标委员会或定标委员会推荐的中标候选人顺序，依次对中标候选人进行资格复核。如排名第一的中标候选人通过资格复核的，应确定排名第一的中标候选人为中标人。若排名第一的中标候选人未通过资格复核的，招标人可对排名第二的中标候选人进行资格复核，通过的，确定其为中标人，以此类推；也可以重新招标。</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5.1.2  </w:t>
            </w:r>
            <w:r>
              <w:rPr>
                <w:rFonts w:hint="eastAsia" w:ascii="宋体" w:hAnsi="宋体" w:eastAsia="宋体" w:cs="宋体"/>
                <w:color w:val="auto"/>
                <w:szCs w:val="21"/>
                <w:highlight w:val="none"/>
              </w:rPr>
              <w:t>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通过资格复核的中标候选人为中标人，也可以重新招标。</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5.1.3  </w:t>
            </w:r>
            <w:r>
              <w:rPr>
                <w:rFonts w:hint="eastAsia" w:ascii="宋体" w:hAnsi="宋体" w:eastAsia="宋体" w:cs="宋体"/>
                <w:color w:val="auto"/>
                <w:szCs w:val="21"/>
                <w:highlight w:val="none"/>
              </w:rPr>
              <w:t>定标委员会直接确定中标人，中标人未能通过资格复核的，招标失败。招标人应重新组织招标。</w:t>
            </w:r>
          </w:p>
          <w:p>
            <w:pPr>
              <w:keepNext w:val="0"/>
              <w:keepLines w:val="0"/>
              <w:widowControl w:val="0"/>
              <w:suppressLineNumbers w:val="0"/>
              <w:spacing w:before="0" w:beforeAutospacing="0" w:after="0" w:afterAutospacing="0"/>
              <w:ind w:left="0" w:right="0" w:firstLine="0" w:firstLineChars="0"/>
              <w:jc w:val="both"/>
              <w:rPr>
                <w:rFonts w:hint="default" w:ascii="Times New Roman" w:hAnsi="Times New Roman" w:eastAsia="宋体" w:cs="Times New Roman"/>
                <w:color w:val="auto"/>
                <w:kern w:val="0"/>
                <w:sz w:val="20"/>
                <w:szCs w:val="20"/>
                <w:highlight w:val="none"/>
                <w:lang w:val="en-US" w:eastAsia="zh-CN" w:bidi="ar-SA"/>
              </w:rPr>
            </w:pPr>
            <w:r>
              <w:rPr>
                <w:rFonts w:hint="default" w:ascii="宋体" w:hAnsi="宋体" w:eastAsia="宋体" w:cs="宋体"/>
                <w:color w:val="auto"/>
                <w:kern w:val="2"/>
                <w:sz w:val="21"/>
                <w:szCs w:val="21"/>
                <w:highlight w:val="none"/>
                <w:lang w:val="en-US" w:eastAsia="zh-CN" w:bidi="ar-SA"/>
              </w:rPr>
              <w:t>5.1.4  在产生中标候选人后，招标人将中标候选人的投标文件商务部分（包括报价清单、人员、业绩、奖项等资料）在交易平台和广东省招标投标监管网公开。</w:t>
            </w:r>
          </w:p>
        </w:tc>
        <w:tc>
          <w:tcPr>
            <w:tcW w:w="3717" w:type="dxa"/>
            <w:vAlign w:val="center"/>
          </w:tcPr>
          <w:p>
            <w:pPr>
              <w:keepNext w:val="0"/>
              <w:keepLines w:val="0"/>
              <w:suppressLineNumbers w:val="0"/>
              <w:spacing w:before="0" w:beforeAutospacing="0" w:after="0" w:afterAutospacing="0" w:line="276" w:lineRule="auto"/>
              <w:ind w:left="0" w:right="0"/>
              <w:jc w:val="left"/>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 xml:space="preserve">5.1    </w:t>
            </w:r>
            <w:r>
              <w:rPr>
                <w:rFonts w:hint="eastAsia" w:ascii="宋体" w:hAnsi="宋体" w:eastAsia="宋体" w:cs="宋体"/>
                <w:b/>
                <w:color w:val="auto"/>
                <w:szCs w:val="21"/>
                <w:highlight w:val="none"/>
              </w:rPr>
              <w:t>确定中标人</w:t>
            </w:r>
          </w:p>
          <w:p>
            <w:pPr>
              <w:keepNext w:val="0"/>
              <w:keepLines w:val="0"/>
              <w:suppressLineNumbers w:val="0"/>
              <w:spacing w:before="0" w:beforeAutospacing="0" w:after="0" w:afterAutospacing="0" w:line="276" w:lineRule="auto"/>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采用方式</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u w:val="single"/>
              </w:rPr>
              <w:t>一</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确定中标人：</w:t>
            </w:r>
          </w:p>
          <w:p>
            <w:pPr>
              <w:keepNext w:val="0"/>
              <w:keepLines w:val="0"/>
              <w:suppressLineNumbers w:val="0"/>
              <w:spacing w:before="0" w:beforeAutospacing="0" w:after="0" w:afterAutospacing="0" w:line="360" w:lineRule="auto"/>
              <w:ind w:left="0" w:right="0"/>
              <w:jc w:val="left"/>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方式一（适用于设置资格审查环节的项目）：</w:t>
            </w:r>
          </w:p>
          <w:p>
            <w:pPr>
              <w:keepNext w:val="0"/>
              <w:keepLines w:val="0"/>
              <w:widowControl w:val="0"/>
              <w:suppressLineNumbers w:val="0"/>
              <w:spacing w:before="0" w:beforeAutospacing="0" w:after="0" w:afterAutospacing="0"/>
              <w:ind w:left="0" w:right="0" w:firstLine="21" w:firstLineChars="10"/>
              <w:jc w:val="both"/>
              <w:rPr>
                <w:rFonts w:hint="default"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1"/>
                <w:szCs w:val="21"/>
                <w:highlight w:val="none"/>
                <w:lang w:val="en-US" w:eastAsia="zh-CN" w:bidi="ar-SA"/>
              </w:rPr>
              <w:t xml:space="preserve">5.1.1  </w:t>
            </w:r>
            <w:r>
              <w:rPr>
                <w:rFonts w:hint="eastAsia" w:ascii="宋体" w:hAnsi="宋体" w:eastAsia="宋体" w:cs="宋体"/>
                <w:color w:val="auto"/>
                <w:kern w:val="0"/>
                <w:sz w:val="21"/>
                <w:szCs w:val="21"/>
                <w:highlight w:val="none"/>
                <w:lang w:val="en-US" w:eastAsia="zh-CN" w:bidi="ar-SA"/>
              </w:rPr>
              <w:t>评标委员会按照</w:t>
            </w:r>
            <w:r>
              <w:rPr>
                <w:rFonts w:hint="default" w:ascii="宋体" w:hAnsi="宋体" w:eastAsia="宋体" w:cs="宋体"/>
                <w:color w:val="auto"/>
                <w:kern w:val="0"/>
                <w:sz w:val="21"/>
                <w:szCs w:val="21"/>
                <w:highlight w:val="none"/>
                <w:lang w:val="en-US" w:eastAsia="zh-CN" w:bidi="ar-SA"/>
              </w:rPr>
              <w:t>4.5.1约定推荐入围定标阶段中标候选人；定标委员会直接确定中标人。</w:t>
            </w:r>
          </w:p>
          <w:p>
            <w:pPr>
              <w:keepNext w:val="0"/>
              <w:keepLines w:val="0"/>
              <w:widowControl w:val="0"/>
              <w:suppressLineNumbers w:val="0"/>
              <w:spacing w:before="0" w:beforeAutospacing="0" w:after="0" w:afterAutospacing="0"/>
              <w:ind w:left="0" w:right="0" w:firstLine="0" w:firstLineChars="0"/>
              <w:jc w:val="both"/>
              <w:rPr>
                <w:rFonts w:hint="default" w:ascii="Times New Roman" w:hAnsi="Times New Roman" w:eastAsia="宋体" w:cs="Times New Roman"/>
                <w:color w:val="auto"/>
                <w:kern w:val="0"/>
                <w:sz w:val="20"/>
                <w:szCs w:val="20"/>
                <w:highlight w:val="none"/>
                <w:lang w:val="en-US" w:eastAsia="zh-CN" w:bidi="ar-SA"/>
              </w:rPr>
            </w:pPr>
            <w:r>
              <w:rPr>
                <w:rFonts w:hint="default" w:ascii="宋体" w:hAnsi="宋体" w:eastAsia="宋体" w:cs="宋体"/>
                <w:color w:val="auto"/>
                <w:kern w:val="0"/>
                <w:sz w:val="21"/>
                <w:szCs w:val="21"/>
                <w:highlight w:val="none"/>
                <w:lang w:val="en-US" w:eastAsia="zh-CN" w:bidi="ar-SA"/>
              </w:rPr>
              <w:t>5.1.</w:t>
            </w:r>
            <w:r>
              <w:rPr>
                <w:rFonts w:hint="eastAsia" w:ascii="宋体" w:hAnsi="宋体" w:eastAsia="宋体" w:cs="宋体"/>
                <w:color w:val="auto"/>
                <w:kern w:val="0"/>
                <w:sz w:val="21"/>
                <w:szCs w:val="21"/>
                <w:highlight w:val="none"/>
                <w:lang w:val="en-US" w:eastAsia="zh-CN" w:bidi="ar-SA"/>
              </w:rPr>
              <w:t>2</w:t>
            </w:r>
            <w:r>
              <w:rPr>
                <w:rFonts w:hint="default" w:ascii="宋体" w:hAnsi="宋体" w:eastAsia="宋体" w:cs="宋体"/>
                <w:color w:val="auto"/>
                <w:kern w:val="0"/>
                <w:sz w:val="21"/>
                <w:szCs w:val="21"/>
                <w:highlight w:val="none"/>
                <w:lang w:val="en-US" w:eastAsia="zh-CN" w:bidi="ar-SA"/>
              </w:rPr>
              <w:t xml:space="preserve"> </w:t>
            </w:r>
            <w:r>
              <w:rPr>
                <w:rFonts w:hint="eastAsia" w:ascii="宋体" w:hAnsi="宋体" w:eastAsia="宋体" w:cs="宋体"/>
                <w:color w:val="auto"/>
                <w:kern w:val="0"/>
                <w:sz w:val="21"/>
                <w:szCs w:val="21"/>
                <w:highlight w:val="none"/>
                <w:lang w:val="en-US" w:eastAsia="zh-CN" w:bidi="ar-SA"/>
              </w:rPr>
              <w:t>在产生中标</w:t>
            </w:r>
            <w:r>
              <w:rPr>
                <w:rFonts w:hint="eastAsia" w:ascii="宋体" w:hAnsi="宋体" w:eastAsia="宋体" w:cs="宋体"/>
                <w:color w:val="auto"/>
                <w:kern w:val="2"/>
                <w:sz w:val="21"/>
                <w:szCs w:val="21"/>
                <w:highlight w:val="none"/>
                <w:lang w:val="en-US" w:eastAsia="zh-CN" w:bidi="ar-SA"/>
              </w:rPr>
              <w:t>候选人</w:t>
            </w:r>
            <w:r>
              <w:rPr>
                <w:rFonts w:hint="eastAsia" w:ascii="宋体" w:hAnsi="宋体" w:eastAsia="宋体" w:cs="宋体"/>
                <w:color w:val="auto"/>
                <w:kern w:val="0"/>
                <w:sz w:val="21"/>
                <w:szCs w:val="21"/>
                <w:highlight w:val="none"/>
                <w:lang w:val="en-US" w:eastAsia="zh-CN" w:bidi="ar-SA"/>
              </w:rPr>
              <w:t>后，招标人将中标候选人的投标文件商务部分（包括人员、业绩、奖项等资料）在交易平台和广东省招标投标监管网公开。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default"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p>
        </w:tc>
        <w:tc>
          <w:tcPr>
            <w:tcW w:w="124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default" w:ascii="宋体" w:hAnsi="宋体" w:eastAsia="宋体" w:cs="宋体"/>
                <w:color w:val="auto"/>
                <w:szCs w:val="21"/>
                <w:highlight w:val="none"/>
              </w:rPr>
              <w:t>5.2.6</w:t>
            </w:r>
          </w:p>
        </w:tc>
        <w:tc>
          <w:tcPr>
            <w:tcW w:w="3610" w:type="dxa"/>
            <w:vAlign w:val="center"/>
          </w:tcPr>
          <w:p>
            <w:pPr>
              <w:keepNext w:val="0"/>
              <w:keepLines w:val="0"/>
              <w:suppressLineNumbers w:val="0"/>
              <w:spacing w:before="0" w:beforeAutospacing="0" w:after="0" w:afterAutospacing="0" w:line="276" w:lineRule="auto"/>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新增</w:t>
            </w:r>
          </w:p>
        </w:tc>
        <w:tc>
          <w:tcPr>
            <w:tcW w:w="3717" w:type="dxa"/>
            <w:vAlign w:val="center"/>
          </w:tcPr>
          <w:p>
            <w:pPr>
              <w:keepNext w:val="0"/>
              <w:keepLines w:val="0"/>
              <w:widowControl w:val="0"/>
              <w:suppressLineNumbers w:val="0"/>
              <w:spacing w:before="0" w:beforeAutospacing="0" w:after="0" w:afterAutospacing="0" w:line="276" w:lineRule="auto"/>
              <w:ind w:left="0" w:right="0"/>
              <w:jc w:val="both"/>
              <w:rPr>
                <w:rFonts w:hint="default" w:ascii="宋体" w:hAnsi="宋体" w:eastAsia="宋体" w:cs="Times New Roman"/>
                <w:color w:val="auto"/>
                <w:highlight w:val="none"/>
              </w:rPr>
            </w:pPr>
            <w:r>
              <w:rPr>
                <w:rFonts w:hint="default" w:ascii="宋体" w:hAnsi="宋体" w:eastAsia="宋体" w:cs="Times New Roman"/>
                <w:color w:val="auto"/>
                <w:highlight w:val="none"/>
              </w:rPr>
              <w:t>5.2.6</w:t>
            </w:r>
          </w:p>
          <w:p>
            <w:pPr>
              <w:keepNext w:val="0"/>
              <w:keepLines w:val="0"/>
              <w:widowControl w:val="0"/>
              <w:suppressLineNumbers w:val="0"/>
              <w:spacing w:before="0" w:beforeAutospacing="0" w:after="0" w:afterAutospacing="0" w:line="276" w:lineRule="auto"/>
              <w:ind w:left="0" w:right="0"/>
              <w:jc w:val="both"/>
              <w:rPr>
                <w:rFonts w:hint="default" w:ascii="宋体" w:hAnsi="宋体" w:eastAsia="宋体" w:cs="宋体"/>
                <w:color w:val="auto"/>
                <w:szCs w:val="21"/>
                <w:highlight w:val="none"/>
              </w:rPr>
            </w:pPr>
            <w:r>
              <w:rPr>
                <w:rFonts w:hint="eastAsia" w:ascii="宋体" w:hAnsi="宋体" w:eastAsia="宋体" w:cs="Times New Roman"/>
                <w:color w:val="auto"/>
                <w:highlight w:val="none"/>
                <w:u w:val="single"/>
              </w:rPr>
              <w:t>中标人</w:t>
            </w:r>
            <w:r>
              <w:rPr>
                <w:rFonts w:hint="eastAsia" w:ascii="宋体" w:hAnsi="宋体" w:eastAsia="宋体" w:cs="宋体"/>
                <w:color w:val="auto"/>
                <w:kern w:val="2"/>
                <w:sz w:val="21"/>
                <w:szCs w:val="21"/>
                <w:highlight w:val="none"/>
                <w:u w:val="single"/>
                <w:lang w:val="en-US" w:eastAsia="zh-CN" w:bidi="ar"/>
              </w:rPr>
              <w:t>及方案优胜</w:t>
            </w:r>
            <w:r>
              <w:rPr>
                <w:rFonts w:hint="default" w:ascii="宋体" w:hAnsi="宋体" w:eastAsia="宋体" w:cs="宋体"/>
                <w:color w:val="auto"/>
                <w:kern w:val="2"/>
                <w:sz w:val="21"/>
                <w:szCs w:val="21"/>
                <w:highlight w:val="none"/>
                <w:u w:val="single"/>
                <w:lang w:eastAsia="zh-CN" w:bidi="ar"/>
              </w:rPr>
              <w:t>奖一等奖获得</w:t>
            </w:r>
            <w:r>
              <w:rPr>
                <w:rFonts w:hint="eastAsia" w:ascii="宋体" w:hAnsi="宋体" w:eastAsia="宋体" w:cs="宋体"/>
                <w:color w:val="auto"/>
                <w:kern w:val="2"/>
                <w:sz w:val="21"/>
                <w:szCs w:val="21"/>
                <w:highlight w:val="none"/>
                <w:u w:val="single"/>
                <w:lang w:val="en-US" w:eastAsia="zh-CN" w:bidi="ar"/>
              </w:rPr>
              <w:t>单位</w:t>
            </w:r>
            <w:r>
              <w:rPr>
                <w:rFonts w:hint="eastAsia" w:ascii="宋体" w:hAnsi="宋体" w:eastAsia="宋体" w:cs="Times New Roman"/>
                <w:color w:val="auto"/>
                <w:highlight w:val="none"/>
                <w:u w:val="single"/>
              </w:rPr>
              <w:t>在中标公示后，签订合同前，须提供与所递交投标电子标书内容一致</w:t>
            </w:r>
            <w:r>
              <w:rPr>
                <w:rFonts w:hint="eastAsia" w:ascii="宋体" w:hAnsi="宋体" w:eastAsia="宋体" w:cs="Times New Roman"/>
                <w:color w:val="auto"/>
                <w:highlight w:val="none"/>
                <w:u w:val="single"/>
                <w:lang w:val="en-US" w:eastAsia="zh-CN"/>
              </w:rPr>
              <w:t>的</w:t>
            </w:r>
            <w:r>
              <w:rPr>
                <w:rFonts w:hint="eastAsia" w:ascii="宋体" w:hAnsi="宋体" w:eastAsia="宋体" w:cs="Times New Roman"/>
                <w:color w:val="auto"/>
                <w:highlight w:val="none"/>
                <w:u w:val="single"/>
              </w:rPr>
              <w:t>电子文件二套（包括所递交投标电子标书内容一致的设计方案</w:t>
            </w:r>
            <w:r>
              <w:rPr>
                <w:rFonts w:hint="default" w:ascii="宋体" w:hAnsi="宋体" w:eastAsia="宋体" w:cs="Times New Roman"/>
                <w:color w:val="auto"/>
                <w:highlight w:val="none"/>
                <w:u w:val="single"/>
              </w:rPr>
              <w:t>A3版及设计图纸、资格审查文件、定标文件等投标文件；补齐遗漏表格及相关内容或者无条件接受招标人给出的表格及相关内容。电子文件介质使用CD-R光盘，所有电子文件不能采用压缩处理）给招标人</w:t>
            </w:r>
            <w:r>
              <w:rPr>
                <w:rFonts w:hint="eastAsia" w:ascii="宋体" w:hAnsi="宋体" w:eastAsia="宋体" w:cs="Times New Roman"/>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default"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p>
        </w:tc>
        <w:tc>
          <w:tcPr>
            <w:tcW w:w="124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default" w:ascii="宋体" w:hAnsi="宋体" w:eastAsia="宋体" w:cs="Times New Roman"/>
                <w:color w:val="auto"/>
                <w:highlight w:val="none"/>
              </w:rPr>
              <w:t>5.3.5</w:t>
            </w:r>
          </w:p>
        </w:tc>
        <w:tc>
          <w:tcPr>
            <w:tcW w:w="3610" w:type="dxa"/>
            <w:vAlign w:val="center"/>
          </w:tcPr>
          <w:p>
            <w:pPr>
              <w:keepNext w:val="0"/>
              <w:keepLines w:val="0"/>
              <w:suppressLineNumbers w:val="0"/>
              <w:spacing w:before="0" w:beforeAutospacing="0" w:after="0" w:afterAutospacing="0" w:line="276" w:lineRule="auto"/>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新增</w:t>
            </w:r>
          </w:p>
        </w:tc>
        <w:tc>
          <w:tcPr>
            <w:tcW w:w="3717" w:type="dxa"/>
            <w:vAlign w:val="center"/>
          </w:tcPr>
          <w:p>
            <w:pPr>
              <w:keepNext w:val="0"/>
              <w:keepLines w:val="0"/>
              <w:widowControl w:val="0"/>
              <w:suppressLineNumbers w:val="0"/>
              <w:spacing w:before="0" w:beforeAutospacing="0" w:after="0" w:afterAutospacing="0" w:line="276" w:lineRule="auto"/>
              <w:ind w:left="0" w:right="0"/>
              <w:jc w:val="both"/>
              <w:rPr>
                <w:rFonts w:hint="default" w:ascii="宋体" w:hAnsi="宋体" w:eastAsia="宋体" w:cs="Times New Roman"/>
                <w:color w:val="auto"/>
                <w:highlight w:val="none"/>
              </w:rPr>
            </w:pPr>
            <w:r>
              <w:rPr>
                <w:rFonts w:hint="default" w:ascii="宋体" w:hAnsi="宋体" w:eastAsia="宋体" w:cs="Times New Roman"/>
                <w:color w:val="auto"/>
                <w:highlight w:val="none"/>
              </w:rPr>
              <w:t xml:space="preserve">5.3.5 </w:t>
            </w:r>
            <w:r>
              <w:rPr>
                <w:rFonts w:hint="eastAsia" w:ascii="宋体" w:hAnsi="宋体" w:eastAsia="宋体" w:cs="Times New Roman"/>
                <w:color w:val="auto"/>
                <w:highlight w:val="none"/>
                <w:u w:val="single"/>
              </w:rPr>
              <w:t>中标人应按合同规定提交中标价款（人民币）</w:t>
            </w:r>
            <w:r>
              <w:rPr>
                <w:rFonts w:hint="default" w:ascii="宋体" w:hAnsi="宋体" w:eastAsia="宋体" w:cs="Times New Roman"/>
                <w:color w:val="auto"/>
                <w:highlight w:val="none"/>
                <w:u w:val="single"/>
              </w:rPr>
              <w:t>10%的履约</w:t>
            </w:r>
            <w:r>
              <w:rPr>
                <w:rFonts w:hint="eastAsia" w:ascii="宋体" w:hAnsi="宋体" w:eastAsia="宋体" w:cs="宋体"/>
                <w:color w:val="auto"/>
                <w:kern w:val="2"/>
                <w:sz w:val="21"/>
                <w:szCs w:val="21"/>
                <w:highlight w:val="none"/>
                <w:u w:val="single"/>
                <w:lang w:val="en-US" w:eastAsia="zh-CN" w:bidi="ar"/>
              </w:rPr>
              <w:t>担保金额</w:t>
            </w:r>
            <w:r>
              <w:rPr>
                <w:rFonts w:hint="eastAsia" w:ascii="宋体" w:hAnsi="宋体" w:eastAsia="宋体" w:cs="Times New Roman"/>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default"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p>
        </w:tc>
        <w:tc>
          <w:tcPr>
            <w:tcW w:w="1248" w:type="dxa"/>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default" w:ascii="宋体" w:hAnsi="宋体" w:eastAsia="宋体" w:cs="Times New Roman"/>
                <w:color w:val="auto"/>
                <w:highlight w:val="none"/>
              </w:rPr>
              <w:t>6.1.6</w:t>
            </w:r>
          </w:p>
        </w:tc>
        <w:tc>
          <w:tcPr>
            <w:tcW w:w="3610" w:type="dxa"/>
            <w:vAlign w:val="center"/>
          </w:tcPr>
          <w:p>
            <w:pPr>
              <w:keepNext w:val="0"/>
              <w:keepLines w:val="0"/>
              <w:suppressLineNumbers w:val="0"/>
              <w:spacing w:before="0" w:beforeAutospacing="0" w:after="0" w:afterAutospacing="0" w:line="276" w:lineRule="auto"/>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新增</w:t>
            </w:r>
          </w:p>
        </w:tc>
        <w:tc>
          <w:tcPr>
            <w:tcW w:w="3717" w:type="dxa"/>
            <w:vAlign w:val="center"/>
          </w:tcPr>
          <w:p>
            <w:pPr>
              <w:keepNext w:val="0"/>
              <w:keepLines w:val="0"/>
              <w:suppressLineNumbers w:val="0"/>
              <w:spacing w:before="0" w:beforeAutospacing="0" w:after="0" w:afterAutospacing="0" w:line="276" w:lineRule="auto"/>
              <w:ind w:left="0" w:right="0"/>
              <w:jc w:val="left"/>
              <w:rPr>
                <w:rFonts w:hint="default" w:ascii="宋体" w:hAnsi="宋体" w:eastAsia="宋体" w:cs="Times New Roman"/>
                <w:color w:val="auto"/>
                <w:highlight w:val="none"/>
              </w:rPr>
            </w:pPr>
            <w:r>
              <w:rPr>
                <w:rFonts w:hint="default" w:ascii="宋体" w:hAnsi="宋体" w:eastAsia="宋体" w:cs="Times New Roman"/>
                <w:color w:val="auto"/>
                <w:highlight w:val="none"/>
              </w:rPr>
              <w:t>6.1.6</w:t>
            </w:r>
            <w:r>
              <w:rPr>
                <w:rFonts w:hint="default" w:ascii="宋体" w:hAnsi="宋体" w:eastAsia="宋体" w:cs="Times New Roman"/>
                <w:color w:val="auto"/>
                <w:highlight w:val="none"/>
                <w:u w:val="single"/>
              </w:rPr>
              <w:t xml:space="preserve"> 中标通知书发出之日起30日内，中标人应按照招标文件和中标人的投标文件积极配合招标人完成合同签订工作。中标通知书发出之日起30日后，中标人无正当理由不与招标人订立合同的，招标人有权解除中标通知书，并</w:t>
            </w:r>
            <w:r>
              <w:rPr>
                <w:rFonts w:hint="eastAsia" w:ascii="宋体" w:hAnsi="宋体" w:eastAsia="宋体" w:cs="Times New Roman"/>
                <w:color w:val="auto"/>
                <w:highlight w:val="none"/>
                <w:u w:val="single"/>
                <w:lang w:val="en-US" w:eastAsia="zh-CN"/>
              </w:rPr>
              <w:t>从其他合格的中标候选人中采用原定标办法由原定标委员会确定中标人，</w:t>
            </w:r>
            <w:r>
              <w:rPr>
                <w:rFonts w:hint="eastAsia" w:ascii="宋体" w:hAnsi="宋体" w:eastAsia="宋体" w:cs="Times New Roman"/>
                <w:color w:val="auto"/>
                <w:highlight w:val="none"/>
                <w:u w:val="single"/>
              </w:rPr>
              <w:t>或重新招标。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default"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p>
        </w:tc>
        <w:tc>
          <w:tcPr>
            <w:tcW w:w="124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default" w:ascii="宋体" w:hAnsi="宋体" w:eastAsia="宋体" w:cs="Times New Roman"/>
                <w:color w:val="auto"/>
                <w:szCs w:val="21"/>
                <w:highlight w:val="none"/>
              </w:rPr>
              <w:t>7.2.1</w:t>
            </w:r>
          </w:p>
        </w:tc>
        <w:tc>
          <w:tcPr>
            <w:tcW w:w="3610" w:type="dxa"/>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7.2.1  </w:t>
            </w:r>
            <w:r>
              <w:rPr>
                <w:rFonts w:hint="eastAsia" w:ascii="宋体" w:hAnsi="宋体" w:eastAsia="宋体" w:cs="宋体"/>
                <w:color w:val="auto"/>
                <w:szCs w:val="21"/>
                <w:highlight w:val="none"/>
              </w:rPr>
              <w:t>授予合同并支付定金后，中标方案的发表权、展览权、使用权归招标人和中标人共有。</w:t>
            </w:r>
          </w:p>
        </w:tc>
        <w:tc>
          <w:tcPr>
            <w:tcW w:w="3717" w:type="dxa"/>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宋体"/>
                <w:color w:val="auto"/>
                <w:szCs w:val="21"/>
                <w:highlight w:val="none"/>
              </w:rPr>
            </w:pPr>
            <w:r>
              <w:rPr>
                <w:rFonts w:hint="eastAsia" w:ascii="宋体" w:hAnsi="宋体" w:eastAsia="宋体" w:cs="宋体"/>
                <w:b/>
                <w:bCs/>
                <w:color w:val="auto"/>
                <w:szCs w:val="21"/>
                <w:highlight w:val="none"/>
              </w:rPr>
              <w:t>修改：</w:t>
            </w:r>
            <w:r>
              <w:rPr>
                <w:rFonts w:hint="default" w:ascii="宋体" w:hAnsi="宋体" w:eastAsia="宋体" w:cs="宋体"/>
                <w:color w:val="auto"/>
                <w:szCs w:val="21"/>
                <w:highlight w:val="none"/>
              </w:rPr>
              <w:t>7.2.1</w:t>
            </w:r>
            <w:r>
              <w:rPr>
                <w:rFonts w:hint="eastAsia" w:ascii="宋体" w:hAnsi="宋体" w:eastAsia="宋体" w:cs="宋体"/>
                <w:color w:val="auto"/>
                <w:kern w:val="2"/>
                <w:sz w:val="21"/>
                <w:szCs w:val="21"/>
                <w:highlight w:val="none"/>
                <w:lang w:val="en-US" w:eastAsia="zh-CN" w:bidi="ar"/>
              </w:rPr>
              <w:t>授予合同并支付</w:t>
            </w:r>
            <w:r>
              <w:rPr>
                <w:rFonts w:hint="eastAsia" w:ascii="宋体" w:hAnsi="宋体" w:eastAsia="宋体" w:cs="宋体"/>
                <w:color w:val="auto"/>
                <w:kern w:val="2"/>
                <w:sz w:val="21"/>
                <w:szCs w:val="21"/>
                <w:highlight w:val="none"/>
                <w:u w:val="single"/>
                <w:lang w:val="en-US" w:eastAsia="zh-CN" w:bidi="ar"/>
              </w:rPr>
              <w:t>预付款</w:t>
            </w:r>
            <w:r>
              <w:rPr>
                <w:rFonts w:hint="eastAsia" w:ascii="宋体" w:hAnsi="宋体" w:eastAsia="宋体" w:cs="宋体"/>
                <w:color w:val="auto"/>
                <w:kern w:val="2"/>
                <w:sz w:val="21"/>
                <w:szCs w:val="21"/>
                <w:highlight w:val="none"/>
                <w:lang w:val="en-US" w:eastAsia="zh-CN" w:bidi="ar"/>
              </w:rPr>
              <w:t>后，</w:t>
            </w:r>
            <w:r>
              <w:rPr>
                <w:rFonts w:hint="default" w:ascii="宋体" w:hAnsi="宋体" w:eastAsia="宋体" w:cs="宋体"/>
                <w:color w:val="auto"/>
                <w:kern w:val="2"/>
                <w:sz w:val="21"/>
                <w:szCs w:val="21"/>
                <w:highlight w:val="none"/>
                <w:lang w:eastAsia="zh-CN" w:bidi="ar"/>
              </w:rPr>
              <w:t>中标方案</w:t>
            </w:r>
            <w:r>
              <w:rPr>
                <w:rFonts w:hint="default" w:ascii="宋体" w:hAnsi="宋体" w:eastAsia="宋体" w:cs="宋体"/>
                <w:color w:val="auto"/>
                <w:kern w:val="2"/>
                <w:sz w:val="21"/>
                <w:szCs w:val="21"/>
                <w:highlight w:val="none"/>
                <w:u w:val="single"/>
                <w:lang w:eastAsia="zh-CN" w:bidi="ar"/>
              </w:rPr>
              <w:t>（即优胜方案）</w:t>
            </w:r>
            <w:r>
              <w:rPr>
                <w:rFonts w:hint="eastAsia" w:ascii="宋体" w:hAnsi="宋体" w:eastAsia="宋体" w:cs="宋体"/>
                <w:color w:val="auto"/>
                <w:kern w:val="2"/>
                <w:sz w:val="21"/>
                <w:szCs w:val="21"/>
                <w:highlight w:val="none"/>
                <w:lang w:val="en-US" w:eastAsia="zh-CN" w:bidi="ar"/>
              </w:rPr>
              <w:t>的发表权、展览权、使用权归招标人和中标人共有</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30</w:t>
            </w:r>
          </w:p>
        </w:tc>
        <w:tc>
          <w:tcPr>
            <w:tcW w:w="1248" w:type="dxa"/>
            <w:vAlign w:val="center"/>
          </w:tcPr>
          <w:p>
            <w:pPr>
              <w:keepNext w:val="0"/>
              <w:keepLines w:val="0"/>
              <w:suppressLineNumbers w:val="0"/>
              <w:spacing w:before="0" w:beforeAutospacing="0" w:after="0" w:afterAutospacing="0" w:line="360" w:lineRule="auto"/>
              <w:ind w:left="2" w:right="0"/>
              <w:jc w:val="center"/>
              <w:rPr>
                <w:rFonts w:hint="default" w:ascii="宋体" w:hAnsi="宋体" w:eastAsia="宋体" w:cs="宋体"/>
                <w:color w:val="auto"/>
                <w:szCs w:val="21"/>
                <w:highlight w:val="none"/>
              </w:rPr>
            </w:pPr>
            <w:r>
              <w:rPr>
                <w:rFonts w:hint="default" w:ascii="宋体" w:hAnsi="宋体" w:eastAsia="宋体" w:cs="宋体"/>
                <w:color w:val="auto"/>
                <w:szCs w:val="21"/>
                <w:highlight w:val="none"/>
              </w:rPr>
              <w:t>7.2.2</w:t>
            </w:r>
          </w:p>
        </w:tc>
        <w:tc>
          <w:tcPr>
            <w:tcW w:w="3610" w:type="dxa"/>
            <w:vAlign w:val="center"/>
          </w:tcPr>
          <w:p>
            <w:pPr>
              <w:keepNext w:val="0"/>
              <w:keepLines w:val="0"/>
              <w:widowControl w:val="0"/>
              <w:suppressLineNumbers w:val="0"/>
              <w:spacing w:before="0" w:beforeAutospacing="0" w:after="0" w:afterAutospacing="0" w:line="360" w:lineRule="auto"/>
              <w:ind w:left="0" w:right="0"/>
              <w:jc w:val="both"/>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7.2.2授予合同并支付定金后，招标人有权在招标标的中使用中标方案中中标人享有合法权利的著作权、专利权，对于中标方案中涉及的他人所有的知识产权，中标人有义务获得许可，否则招标人有权解除合同并要求退还已支付的费用，招标人因此受到损害的，有权要求中标人予以赔偿，如果招标人、中标人使用未中标方案作为本项目实施方案，招标人按招标文件规定向提交方案的投标人付给使用费后，该方案的发表权、展览权、使用权归招标人和中标人共有。</w:t>
            </w:r>
          </w:p>
        </w:tc>
        <w:tc>
          <w:tcPr>
            <w:tcW w:w="3717" w:type="dxa"/>
            <w:vAlign w:val="center"/>
          </w:tcPr>
          <w:p>
            <w:pPr>
              <w:keepNext w:val="0"/>
              <w:keepLines w:val="0"/>
              <w:widowControl/>
              <w:suppressLineNumbers w:val="0"/>
              <w:spacing w:before="0" w:beforeAutospacing="0" w:after="0" w:afterAutospacing="0" w:line="360" w:lineRule="auto"/>
              <w:ind w:left="0" w:right="0"/>
              <w:jc w:val="both"/>
              <w:rPr>
                <w:rFonts w:hint="default" w:ascii="宋体" w:hAnsi="宋体" w:eastAsia="宋体" w:cs="宋体"/>
                <w:b/>
                <w:color w:val="auto"/>
                <w:szCs w:val="21"/>
                <w:highlight w:val="none"/>
              </w:rPr>
            </w:pPr>
            <w:r>
              <w:rPr>
                <w:rFonts w:hint="eastAsia" w:ascii="宋体" w:hAnsi="宋体" w:eastAsia="宋体" w:cs="宋体"/>
                <w:b/>
                <w:color w:val="auto"/>
                <w:kern w:val="2"/>
                <w:sz w:val="21"/>
                <w:szCs w:val="21"/>
                <w:highlight w:val="none"/>
                <w:lang w:val="en-US" w:eastAsia="zh-CN" w:bidi="ar"/>
              </w:rPr>
              <w:t>修改：</w:t>
            </w:r>
            <w:r>
              <w:rPr>
                <w:rFonts w:hint="eastAsia" w:ascii="宋体" w:hAnsi="宋体" w:eastAsia="宋体" w:cs="宋体"/>
                <w:color w:val="auto"/>
                <w:kern w:val="2"/>
                <w:sz w:val="21"/>
                <w:szCs w:val="21"/>
                <w:highlight w:val="none"/>
                <w:lang w:val="en-US" w:eastAsia="zh-CN" w:bidi="ar"/>
              </w:rPr>
              <w:t>7.2.2</w:t>
            </w:r>
            <w:r>
              <w:rPr>
                <w:rFonts w:hint="default" w:ascii="宋体" w:hAnsi="宋体" w:eastAsia="宋体" w:cs="宋体"/>
                <w:color w:val="auto"/>
                <w:kern w:val="2"/>
                <w:sz w:val="21"/>
                <w:szCs w:val="21"/>
                <w:highlight w:val="none"/>
                <w:lang w:eastAsia="zh-CN" w:bidi="ar"/>
              </w:rPr>
              <w:t xml:space="preserve"> </w:t>
            </w:r>
            <w:r>
              <w:rPr>
                <w:rFonts w:hint="default" w:ascii="宋体" w:hAnsi="宋体" w:eastAsia="宋体" w:cs="宋体"/>
                <w:color w:val="auto"/>
                <w:kern w:val="2"/>
                <w:sz w:val="21"/>
                <w:szCs w:val="21"/>
                <w:highlight w:val="none"/>
                <w:u w:val="single"/>
                <w:lang w:eastAsia="zh-CN" w:bidi="ar"/>
              </w:rPr>
              <w:t>支付设计方案优胜奖一等奖奖金后，优胜设计方案视为招标人委托方案优胜单位创作的作品，优胜设计方案的著作权、专利权等知识产权归招标人所有（署名权除外）。对于优胜设计方案一等奖中涉及的非方案优胜一等奖单位所有的知识产权，方案优胜单位有义务获得许可，否则招标人有权要求退还已支付的奖金，招标人因此被第三方主张权利或受到损害等的，有权要求方案优胜单位予以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top"/>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31</w:t>
            </w:r>
          </w:p>
        </w:tc>
        <w:tc>
          <w:tcPr>
            <w:tcW w:w="1248" w:type="dxa"/>
            <w:vAlign w:val="top"/>
          </w:tcPr>
          <w:p>
            <w:pPr>
              <w:keepNext w:val="0"/>
              <w:keepLines w:val="0"/>
              <w:suppressLineNumbers w:val="0"/>
              <w:spacing w:before="0" w:beforeAutospacing="0" w:after="0" w:afterAutospacing="0" w:line="360" w:lineRule="auto"/>
              <w:ind w:left="2" w:right="0"/>
              <w:jc w:val="center"/>
              <w:rPr>
                <w:rFonts w:hint="default" w:ascii="宋体" w:hAnsi="宋体" w:eastAsia="宋体" w:cs="宋体"/>
                <w:color w:val="auto"/>
                <w:szCs w:val="21"/>
                <w:highlight w:val="none"/>
              </w:rPr>
            </w:pPr>
            <w:r>
              <w:rPr>
                <w:rFonts w:hint="default" w:ascii="宋体" w:hAnsi="宋体" w:eastAsia="宋体" w:cs="宋体"/>
                <w:color w:val="auto"/>
                <w:szCs w:val="21"/>
                <w:highlight w:val="none"/>
              </w:rPr>
              <w:t>7.2.3</w:t>
            </w:r>
          </w:p>
        </w:tc>
        <w:tc>
          <w:tcPr>
            <w:tcW w:w="3610" w:type="dxa"/>
            <w:vAlign w:val="top"/>
          </w:tcPr>
          <w:p>
            <w:pPr>
              <w:keepNext w:val="0"/>
              <w:keepLines w:val="0"/>
              <w:suppressLineNumbers w:val="0"/>
              <w:spacing w:before="0" w:beforeAutospacing="0" w:after="0" w:afterAutospacing="0" w:line="360" w:lineRule="auto"/>
              <w:ind w:left="2" w:right="0"/>
              <w:jc w:val="center"/>
              <w:rPr>
                <w:rFonts w:hint="default" w:ascii="宋体" w:hAnsi="宋体" w:eastAsia="宋体" w:cs="宋体"/>
                <w:color w:val="auto"/>
                <w:szCs w:val="21"/>
                <w:highlight w:val="none"/>
              </w:rPr>
            </w:pPr>
            <w:r>
              <w:rPr>
                <w:rFonts w:hint="eastAsia" w:ascii="宋体" w:hAnsi="宋体" w:eastAsia="宋体" w:cs="宋体"/>
                <w:b/>
                <w:color w:val="auto"/>
                <w:szCs w:val="21"/>
                <w:highlight w:val="none"/>
              </w:rPr>
              <w:t>新增</w:t>
            </w:r>
          </w:p>
        </w:tc>
        <w:tc>
          <w:tcPr>
            <w:tcW w:w="3717" w:type="dxa"/>
            <w:vAlign w:val="center"/>
          </w:tcPr>
          <w:p>
            <w:pPr>
              <w:keepNext w:val="0"/>
              <w:keepLines w:val="0"/>
              <w:widowControl w:val="0"/>
              <w:suppressLineNumbers w:val="0"/>
              <w:spacing w:before="0" w:beforeAutospacing="0" w:after="0" w:afterAutospacing="0" w:line="360" w:lineRule="auto"/>
              <w:ind w:left="0" w:right="0"/>
              <w:jc w:val="both"/>
              <w:rPr>
                <w:rFonts w:hint="default" w:ascii="宋体" w:hAnsi="宋体" w:eastAsia="宋体" w:cs="宋体"/>
                <w:b/>
                <w:color w:val="auto"/>
                <w:szCs w:val="21"/>
                <w:highlight w:val="none"/>
              </w:rPr>
            </w:pPr>
            <w:r>
              <w:rPr>
                <w:rFonts w:hint="eastAsia" w:ascii="宋体" w:hAnsi="宋体" w:eastAsia="宋体" w:cs="宋体"/>
                <w:b w:val="0"/>
                <w:color w:val="auto"/>
                <w:kern w:val="2"/>
                <w:sz w:val="21"/>
                <w:szCs w:val="21"/>
                <w:highlight w:val="none"/>
                <w:lang w:val="en-US" w:eastAsia="zh-CN" w:bidi="ar"/>
              </w:rPr>
              <w:t>优胜设计方案奖励</w:t>
            </w:r>
            <w:r>
              <w:rPr>
                <w:rFonts w:hint="eastAsia" w:ascii="宋体" w:hAnsi="宋体" w:eastAsia="宋体" w:cs="宋体"/>
                <w:bCs/>
                <w:color w:val="auto"/>
                <w:kern w:val="2"/>
                <w:sz w:val="21"/>
                <w:szCs w:val="21"/>
                <w:highlight w:val="none"/>
                <w:lang w:val="en-US" w:eastAsia="zh-CN" w:bidi="ar"/>
              </w:rPr>
              <w:t>支付时间：</w:t>
            </w:r>
            <w:r>
              <w:rPr>
                <w:rFonts w:hint="eastAsia" w:ascii="宋体" w:hAnsi="宋体" w:eastAsia="宋体" w:cs="宋体"/>
                <w:color w:val="auto"/>
                <w:kern w:val="2"/>
                <w:sz w:val="21"/>
                <w:szCs w:val="21"/>
                <w:highlight w:val="none"/>
                <w:lang w:val="en-US" w:eastAsia="zh-CN" w:bidi="ar"/>
              </w:rPr>
              <w:t>签订</w:t>
            </w:r>
            <w:r>
              <w:rPr>
                <w:rFonts w:hint="default" w:ascii="宋体" w:hAnsi="宋体" w:eastAsia="宋体" w:cs="宋体"/>
                <w:color w:val="auto"/>
                <w:kern w:val="2"/>
                <w:sz w:val="21"/>
                <w:szCs w:val="21"/>
                <w:highlight w:val="none"/>
                <w:lang w:eastAsia="zh-CN" w:bidi="ar"/>
              </w:rPr>
              <w:t>《</w:t>
            </w:r>
            <w:r>
              <w:rPr>
                <w:rFonts w:hint="eastAsia" w:ascii="宋体" w:hAnsi="宋体" w:eastAsia="宋体" w:cs="宋体"/>
                <w:color w:val="auto"/>
                <w:kern w:val="2"/>
                <w:sz w:val="21"/>
                <w:szCs w:val="21"/>
                <w:highlight w:val="none"/>
                <w:lang w:val="en-US" w:eastAsia="zh-CN" w:bidi="ar"/>
              </w:rPr>
              <w:t>优胜设计方案奖励协议</w:t>
            </w:r>
            <w:r>
              <w:rPr>
                <w:rFonts w:hint="default" w:ascii="宋体" w:hAnsi="宋体" w:eastAsia="宋体" w:cs="宋体"/>
                <w:color w:val="auto"/>
                <w:kern w:val="2"/>
                <w:sz w:val="21"/>
                <w:szCs w:val="21"/>
                <w:highlight w:val="none"/>
                <w:lang w:eastAsia="zh-CN" w:bidi="ar"/>
              </w:rPr>
              <w:t>》</w:t>
            </w:r>
            <w:r>
              <w:rPr>
                <w:rFonts w:hint="eastAsia" w:ascii="宋体" w:hAnsi="宋体" w:eastAsia="宋体" w:cs="宋体"/>
                <w:color w:val="auto"/>
                <w:kern w:val="2"/>
                <w:sz w:val="21"/>
                <w:szCs w:val="21"/>
                <w:highlight w:val="none"/>
                <w:lang w:val="en-US" w:eastAsia="zh-CN" w:bidi="ar"/>
              </w:rPr>
              <w:t>（适用于</w:t>
            </w:r>
            <w:r>
              <w:rPr>
                <w:rFonts w:hint="eastAsia" w:ascii="宋体" w:hAnsi="宋体" w:eastAsia="宋体" w:cs="宋体"/>
                <w:b w:val="0"/>
                <w:color w:val="auto"/>
                <w:kern w:val="2"/>
                <w:sz w:val="21"/>
                <w:szCs w:val="21"/>
                <w:highlight w:val="none"/>
                <w:lang w:val="en-US" w:eastAsia="zh-CN" w:bidi="ar"/>
              </w:rPr>
              <w:t>优胜设计方案</w:t>
            </w:r>
            <w:r>
              <w:rPr>
                <w:rFonts w:hint="eastAsia" w:ascii="宋体" w:hAnsi="宋体" w:eastAsia="宋体" w:cs="宋体"/>
                <w:color w:val="auto"/>
                <w:kern w:val="2"/>
                <w:sz w:val="21"/>
                <w:szCs w:val="21"/>
                <w:highlight w:val="none"/>
                <w:lang w:val="en-US" w:eastAsia="zh-CN" w:bidi="ar"/>
              </w:rPr>
              <w:t>不是中标人的情形）或勘察设计合同后，支付奖励金额的</w:t>
            </w:r>
            <w:r>
              <w:rPr>
                <w:rFonts w:hint="default" w:ascii="宋体" w:hAnsi="宋体" w:eastAsia="宋体" w:cs="宋体"/>
                <w:color w:val="auto"/>
                <w:kern w:val="2"/>
                <w:sz w:val="21"/>
                <w:szCs w:val="21"/>
                <w:highlight w:val="none"/>
                <w:lang w:eastAsia="zh-CN" w:bidi="ar"/>
              </w:rPr>
              <w:t>6</w:t>
            </w:r>
            <w:r>
              <w:rPr>
                <w:rFonts w:hint="eastAsia" w:ascii="宋体" w:hAnsi="宋体" w:eastAsia="宋体" w:cs="宋体"/>
                <w:color w:val="auto"/>
                <w:kern w:val="2"/>
                <w:sz w:val="21"/>
                <w:szCs w:val="21"/>
                <w:highlight w:val="none"/>
                <w:lang w:val="en-US" w:eastAsia="zh-CN" w:bidi="ar"/>
              </w:rPr>
              <w:t>0%；本项目取得方案联审后，支付剩余奖励金额。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6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val="en-US" w:eastAsia="zh-CN"/>
              </w:rPr>
            </w:pPr>
            <w:r>
              <w:rPr>
                <w:rFonts w:hint="default"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2</w:t>
            </w:r>
          </w:p>
        </w:tc>
        <w:tc>
          <w:tcPr>
            <w:tcW w:w="1248" w:type="dxa"/>
            <w:vAlign w:val="center"/>
          </w:tcPr>
          <w:p>
            <w:pPr>
              <w:keepNext w:val="0"/>
              <w:keepLines w:val="0"/>
              <w:suppressLineNumbers w:val="0"/>
              <w:spacing w:before="0" w:beforeAutospacing="0" w:after="0" w:afterAutospacing="0" w:line="360" w:lineRule="auto"/>
              <w:ind w:left="2" w:right="0"/>
              <w:jc w:val="center"/>
              <w:rPr>
                <w:rFonts w:hint="default" w:ascii="宋体" w:hAnsi="宋体" w:eastAsia="宋体" w:cs="Times New Roman"/>
                <w:color w:val="auto"/>
                <w:szCs w:val="21"/>
                <w:highlight w:val="none"/>
              </w:rPr>
            </w:pPr>
            <w:r>
              <w:rPr>
                <w:rFonts w:hint="eastAsia" w:ascii="宋体" w:hAnsi="宋体" w:eastAsia="宋体" w:cs="宋体"/>
                <w:color w:val="auto"/>
                <w:szCs w:val="21"/>
                <w:highlight w:val="none"/>
              </w:rPr>
              <w:t>第八章</w:t>
            </w:r>
          </w:p>
        </w:tc>
        <w:tc>
          <w:tcPr>
            <w:tcW w:w="3610" w:type="dxa"/>
            <w:vAlign w:val="center"/>
          </w:tcPr>
          <w:p>
            <w:pPr>
              <w:keepNext w:val="0"/>
              <w:keepLines w:val="0"/>
              <w:suppressLineNumbers w:val="0"/>
              <w:spacing w:before="0" w:beforeAutospacing="0" w:after="0" w:afterAutospacing="0" w:line="360" w:lineRule="auto"/>
              <w:ind w:left="2" w:right="0"/>
              <w:jc w:val="center"/>
              <w:rPr>
                <w:rFonts w:hint="default" w:ascii="宋体" w:hAnsi="宋体" w:eastAsia="宋体" w:cs="Times New Roman"/>
                <w:color w:val="auto"/>
                <w:szCs w:val="21"/>
                <w:highlight w:val="none"/>
              </w:rPr>
            </w:pPr>
            <w:r>
              <w:rPr>
                <w:rFonts w:hint="eastAsia" w:ascii="宋体" w:hAnsi="宋体" w:eastAsia="宋体" w:cs="宋体"/>
                <w:color w:val="auto"/>
                <w:szCs w:val="21"/>
                <w:highlight w:val="none"/>
              </w:rPr>
              <w:t>合同条款</w:t>
            </w:r>
          </w:p>
        </w:tc>
        <w:tc>
          <w:tcPr>
            <w:tcW w:w="3717" w:type="dxa"/>
            <w:vAlign w:val="center"/>
          </w:tcPr>
          <w:p>
            <w:pPr>
              <w:keepNext w:val="0"/>
              <w:keepLines w:val="0"/>
              <w:suppressLineNumbers w:val="0"/>
              <w:spacing w:before="0" w:beforeAutospacing="0" w:after="0" w:afterAutospacing="0" w:line="360" w:lineRule="auto"/>
              <w:ind w:left="2" w:right="0"/>
              <w:rPr>
                <w:rFonts w:hint="default" w:ascii="宋体" w:hAnsi="宋体" w:eastAsia="宋体" w:cs="Times New Roman"/>
                <w:b/>
                <w:color w:val="auto"/>
                <w:highlight w:val="none"/>
              </w:rPr>
            </w:pPr>
            <w:r>
              <w:rPr>
                <w:rFonts w:hint="eastAsia" w:ascii="宋体" w:hAnsi="宋体" w:eastAsia="宋体" w:cs="宋体"/>
                <w:b/>
                <w:color w:val="auto"/>
                <w:szCs w:val="21"/>
                <w:highlight w:val="none"/>
              </w:rPr>
              <w:t>修改：</w:t>
            </w:r>
            <w:r>
              <w:rPr>
                <w:rFonts w:hint="eastAsia" w:ascii="宋体" w:hAnsi="宋体" w:eastAsia="宋体" w:cs="宋体"/>
                <w:color w:val="auto"/>
                <w:szCs w:val="21"/>
                <w:highlight w:val="none"/>
              </w:rPr>
              <w:t>合同条款（另册）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Cs w:val="21"/>
                <w:highlight w:val="none"/>
                <w:lang w:eastAsia="zh-CN"/>
              </w:rPr>
            </w:pPr>
            <w:r>
              <w:rPr>
                <w:rFonts w:hint="default"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p>
        </w:tc>
        <w:tc>
          <w:tcPr>
            <w:tcW w:w="124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bCs/>
                <w:color w:val="auto"/>
                <w:szCs w:val="21"/>
                <w:highlight w:val="none"/>
              </w:rPr>
              <w:t>附录</w:t>
            </w:r>
            <w:r>
              <w:rPr>
                <w:rFonts w:hint="default" w:ascii="宋体" w:hAnsi="宋体" w:eastAsia="宋体" w:cs="宋体"/>
                <w:bCs/>
                <w:color w:val="auto"/>
                <w:szCs w:val="21"/>
                <w:highlight w:val="none"/>
              </w:rPr>
              <w:t>1</w:t>
            </w:r>
          </w:p>
        </w:tc>
        <w:tc>
          <w:tcPr>
            <w:tcW w:w="361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投标申请表（投入人员承诺）</w:t>
            </w:r>
          </w:p>
        </w:tc>
        <w:tc>
          <w:tcPr>
            <w:tcW w:w="3717" w:type="dxa"/>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Cs w:val="21"/>
                <w:highlight w:val="none"/>
              </w:rPr>
            </w:pPr>
            <w:r>
              <w:rPr>
                <w:rFonts w:hint="eastAsia" w:ascii="宋体" w:hAnsi="宋体" w:eastAsia="宋体" w:cs="Times New Roman"/>
                <w:b/>
                <w:bCs/>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Cs w:val="21"/>
                <w:highlight w:val="none"/>
                <w:lang w:eastAsia="zh-CN"/>
              </w:rPr>
            </w:pPr>
            <w:r>
              <w:rPr>
                <w:rFonts w:hint="default"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4</w:t>
            </w:r>
          </w:p>
        </w:tc>
        <w:tc>
          <w:tcPr>
            <w:tcW w:w="124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附件</w:t>
            </w:r>
            <w:r>
              <w:rPr>
                <w:rFonts w:hint="default" w:ascii="宋体" w:hAnsi="宋体" w:eastAsia="宋体" w:cs="宋体"/>
                <w:color w:val="auto"/>
                <w:szCs w:val="21"/>
                <w:highlight w:val="none"/>
              </w:rPr>
              <w:t>2</w:t>
            </w:r>
          </w:p>
        </w:tc>
        <w:tc>
          <w:tcPr>
            <w:tcW w:w="361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设计投标文件编制要求（见范本）</w:t>
            </w:r>
          </w:p>
        </w:tc>
        <w:tc>
          <w:tcPr>
            <w:tcW w:w="3717" w:type="dxa"/>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Cs w:val="21"/>
                <w:highlight w:val="none"/>
              </w:rPr>
            </w:pPr>
            <w:r>
              <w:rPr>
                <w:rFonts w:hint="eastAsia" w:ascii="宋体" w:hAnsi="宋体" w:eastAsia="宋体" w:cs="Times New Roman"/>
                <w:b/>
                <w:color w:val="auto"/>
                <w:szCs w:val="21"/>
                <w:highlight w:val="none"/>
              </w:rPr>
              <w:t>修改：</w:t>
            </w:r>
            <w:r>
              <w:rPr>
                <w:rFonts w:hint="eastAsia" w:ascii="宋体" w:hAnsi="宋体" w:eastAsia="宋体" w:cs="Times New Roman"/>
                <w:color w:val="auto"/>
                <w:szCs w:val="21"/>
                <w:highlight w:val="none"/>
              </w:rPr>
              <w:t>设计投标文件编制要求</w:t>
            </w:r>
            <w:r>
              <w:rPr>
                <w:rFonts w:hint="eastAsia" w:ascii="宋体" w:hAnsi="宋体" w:eastAsia="宋体" w:cs="宋体"/>
                <w:color w:val="auto"/>
                <w:szCs w:val="21"/>
                <w:highlight w:val="none"/>
                <w:u w:val="single"/>
              </w:rPr>
              <w:t>（详见附件</w:t>
            </w:r>
            <w:r>
              <w:rPr>
                <w:rFonts w:hint="default" w:ascii="宋体" w:hAnsi="宋体" w:eastAsia="宋体" w:cs="宋体"/>
                <w:color w:val="auto"/>
                <w:szCs w:val="21"/>
                <w:highlight w:val="none"/>
                <w:u w:val="singl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Cs w:val="21"/>
                <w:highlight w:val="none"/>
                <w:lang w:eastAsia="zh-CN"/>
              </w:rPr>
            </w:pPr>
            <w:r>
              <w:rPr>
                <w:rFonts w:hint="default"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5</w:t>
            </w:r>
          </w:p>
        </w:tc>
        <w:tc>
          <w:tcPr>
            <w:tcW w:w="124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附件</w:t>
            </w:r>
            <w:r>
              <w:rPr>
                <w:rFonts w:hint="default" w:ascii="宋体" w:hAnsi="宋体" w:eastAsia="宋体" w:cs="宋体"/>
                <w:color w:val="auto"/>
                <w:szCs w:val="21"/>
                <w:highlight w:val="none"/>
              </w:rPr>
              <w:t>3</w:t>
            </w:r>
          </w:p>
        </w:tc>
        <w:tc>
          <w:tcPr>
            <w:tcW w:w="361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勘察设计费报价表</w:t>
            </w:r>
          </w:p>
        </w:tc>
        <w:tc>
          <w:tcPr>
            <w:tcW w:w="3717" w:type="dxa"/>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Times New Roman"/>
                <w:b/>
                <w:bCs/>
                <w:color w:val="auto"/>
                <w:szCs w:val="21"/>
                <w:highlight w:val="none"/>
              </w:rPr>
              <w:t>附件</w:t>
            </w:r>
            <w:r>
              <w:rPr>
                <w:rFonts w:hint="default" w:ascii="宋体" w:hAnsi="宋体" w:eastAsia="宋体" w:cs="Times New Roman"/>
                <w:b/>
                <w:bCs/>
                <w:color w:val="auto"/>
                <w:szCs w:val="21"/>
                <w:highlight w:val="none"/>
              </w:rPr>
              <w:t>3</w:t>
            </w:r>
            <w:r>
              <w:rPr>
                <w:rFonts w:hint="eastAsia" w:ascii="宋体" w:hAnsi="宋体" w:eastAsia="宋体" w:cs="Times New Roman"/>
                <w:color w:val="auto"/>
                <w:szCs w:val="21"/>
                <w:highlight w:val="none"/>
                <w:u w:val="single"/>
              </w:rPr>
              <w:t>（工程勘察设计费报价汇总表）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Cs w:val="21"/>
                <w:highlight w:val="none"/>
                <w:lang w:eastAsia="zh-CN"/>
              </w:rPr>
            </w:pPr>
            <w:r>
              <w:rPr>
                <w:rFonts w:hint="default"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6</w:t>
            </w:r>
          </w:p>
        </w:tc>
        <w:tc>
          <w:tcPr>
            <w:tcW w:w="124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Times New Roman"/>
                <w:b/>
                <w:bCs/>
                <w:color w:val="auto"/>
                <w:szCs w:val="21"/>
                <w:highlight w:val="none"/>
              </w:rPr>
              <w:t>附件</w:t>
            </w:r>
            <w:r>
              <w:rPr>
                <w:rFonts w:hint="default" w:ascii="宋体" w:hAnsi="宋体" w:eastAsia="宋体" w:cs="Times New Roman"/>
                <w:b/>
                <w:bCs/>
                <w:color w:val="auto"/>
                <w:szCs w:val="21"/>
                <w:highlight w:val="none"/>
              </w:rPr>
              <w:t>3－1</w:t>
            </w:r>
          </w:p>
        </w:tc>
        <w:tc>
          <w:tcPr>
            <w:tcW w:w="3610"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Times New Roman"/>
                <w:color w:val="auto"/>
                <w:szCs w:val="21"/>
                <w:highlight w:val="none"/>
              </w:rPr>
              <w:t>增加</w:t>
            </w:r>
          </w:p>
        </w:tc>
        <w:tc>
          <w:tcPr>
            <w:tcW w:w="3717" w:type="dxa"/>
            <w:vAlign w:val="center"/>
          </w:tcPr>
          <w:p>
            <w:pPr>
              <w:keepNext w:val="0"/>
              <w:keepLines w:val="0"/>
              <w:suppressLineNumbers w:val="0"/>
              <w:spacing w:before="0" w:beforeAutospacing="0" w:after="0" w:afterAutospacing="0" w:line="360" w:lineRule="auto"/>
              <w:ind w:left="0" w:right="0"/>
              <w:rPr>
                <w:rFonts w:hint="default"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附件</w:t>
            </w:r>
            <w:r>
              <w:rPr>
                <w:rFonts w:hint="default" w:ascii="宋体" w:hAnsi="宋体" w:eastAsia="宋体" w:cs="Times New Roman"/>
                <w:b/>
                <w:bCs/>
                <w:color w:val="auto"/>
                <w:szCs w:val="21"/>
                <w:highlight w:val="none"/>
              </w:rPr>
              <w:t>3－1：工程设计费计算表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Cs w:val="21"/>
                <w:highlight w:val="none"/>
                <w:lang w:eastAsia="zh-CN"/>
              </w:rPr>
            </w:pPr>
            <w:r>
              <w:rPr>
                <w:rFonts w:hint="default"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7</w:t>
            </w:r>
          </w:p>
        </w:tc>
        <w:tc>
          <w:tcPr>
            <w:tcW w:w="124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Times New Roman"/>
                <w:b/>
                <w:bCs/>
                <w:color w:val="auto"/>
                <w:szCs w:val="21"/>
                <w:highlight w:val="none"/>
              </w:rPr>
              <w:t>附件</w:t>
            </w:r>
            <w:r>
              <w:rPr>
                <w:rFonts w:hint="default" w:ascii="宋体" w:hAnsi="宋体" w:eastAsia="宋体" w:cs="Times New Roman"/>
                <w:b/>
                <w:bCs/>
                <w:color w:val="auto"/>
                <w:szCs w:val="21"/>
                <w:highlight w:val="none"/>
              </w:rPr>
              <w:t>3－2</w:t>
            </w:r>
          </w:p>
        </w:tc>
        <w:tc>
          <w:tcPr>
            <w:tcW w:w="3610"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Times New Roman"/>
                <w:color w:val="auto"/>
                <w:szCs w:val="21"/>
                <w:highlight w:val="none"/>
              </w:rPr>
              <w:t>增加</w:t>
            </w:r>
          </w:p>
        </w:tc>
        <w:tc>
          <w:tcPr>
            <w:tcW w:w="3717" w:type="dxa"/>
            <w:vAlign w:val="center"/>
          </w:tcPr>
          <w:p>
            <w:pPr>
              <w:keepNext w:val="0"/>
              <w:keepLines w:val="0"/>
              <w:suppressLineNumbers w:val="0"/>
              <w:spacing w:before="0" w:beforeAutospacing="0" w:after="0" w:afterAutospacing="0" w:line="360" w:lineRule="auto"/>
              <w:ind w:left="0" w:right="0"/>
              <w:rPr>
                <w:rFonts w:hint="default"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附件</w:t>
            </w:r>
            <w:r>
              <w:rPr>
                <w:rFonts w:hint="default" w:ascii="宋体" w:hAnsi="宋体" w:eastAsia="宋体" w:cs="Times New Roman"/>
                <w:b/>
                <w:bCs/>
                <w:color w:val="auto"/>
                <w:szCs w:val="21"/>
                <w:highlight w:val="none"/>
              </w:rPr>
              <w:t>3－2（工程勘察费计算表）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Cs w:val="21"/>
                <w:highlight w:val="none"/>
                <w:lang w:eastAsia="zh-CN"/>
              </w:rPr>
            </w:pPr>
            <w:r>
              <w:rPr>
                <w:rFonts w:hint="default"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8</w:t>
            </w:r>
          </w:p>
        </w:tc>
        <w:tc>
          <w:tcPr>
            <w:tcW w:w="124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Times New Roman"/>
                <w:b/>
                <w:bCs/>
                <w:color w:val="auto"/>
                <w:szCs w:val="21"/>
                <w:highlight w:val="none"/>
                <w:lang w:eastAsia="zh-CN"/>
              </w:rPr>
            </w:pPr>
            <w:r>
              <w:rPr>
                <w:rFonts w:hint="eastAsia" w:ascii="宋体" w:hAnsi="宋体" w:eastAsia="宋体" w:cs="Times New Roman"/>
                <w:b/>
                <w:bCs/>
                <w:color w:val="auto"/>
                <w:szCs w:val="21"/>
                <w:highlight w:val="none"/>
              </w:rPr>
              <w:t>附件</w:t>
            </w:r>
            <w:r>
              <w:rPr>
                <w:rFonts w:hint="default" w:ascii="宋体" w:hAnsi="宋体" w:eastAsia="宋体" w:cs="Times New Roman"/>
                <w:b/>
                <w:bCs/>
                <w:color w:val="auto"/>
                <w:szCs w:val="21"/>
                <w:highlight w:val="none"/>
              </w:rPr>
              <w:t>3－</w:t>
            </w:r>
            <w:r>
              <w:rPr>
                <w:rFonts w:hint="eastAsia" w:ascii="宋体" w:hAnsi="宋体" w:eastAsia="宋体" w:cs="Times New Roman"/>
                <w:b/>
                <w:bCs/>
                <w:color w:val="auto"/>
                <w:szCs w:val="21"/>
                <w:highlight w:val="none"/>
                <w:lang w:val="en-US" w:eastAsia="zh-CN"/>
              </w:rPr>
              <w:t>3</w:t>
            </w:r>
          </w:p>
        </w:tc>
        <w:tc>
          <w:tcPr>
            <w:tcW w:w="3610"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增加</w:t>
            </w:r>
          </w:p>
        </w:tc>
        <w:tc>
          <w:tcPr>
            <w:tcW w:w="3717" w:type="dxa"/>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Times New Roman"/>
                <w:b/>
                <w:bCs/>
                <w:color w:val="auto"/>
                <w:szCs w:val="21"/>
                <w:highlight w:val="none"/>
              </w:rPr>
            </w:pPr>
            <w:r>
              <w:rPr>
                <w:rFonts w:hint="default" w:ascii="宋体" w:hAnsi="宋体" w:eastAsia="宋体" w:cs="Times New Roman"/>
                <w:b/>
                <w:bCs/>
                <w:color w:val="auto"/>
                <w:szCs w:val="21"/>
                <w:highlight w:val="none"/>
              </w:rPr>
              <w:t>附件3－3 （</w:t>
            </w:r>
            <w:r>
              <w:rPr>
                <w:rFonts w:hint="eastAsia" w:ascii="宋体" w:hAnsi="宋体" w:eastAsia="宋体" w:cs="Times New Roman"/>
                <w:b/>
                <w:bCs/>
                <w:color w:val="auto"/>
                <w:szCs w:val="21"/>
                <w:highlight w:val="none"/>
              </w:rPr>
              <w:t>BIM正向设计技术应用费计算表</w:t>
            </w:r>
            <w:r>
              <w:rPr>
                <w:rFonts w:hint="default" w:ascii="宋体" w:hAnsi="宋体" w:eastAsia="宋体" w:cs="Times New Roman"/>
                <w:b/>
                <w:bCs/>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szCs w:val="21"/>
                <w:highlight w:val="none"/>
                <w:lang w:eastAsia="zh-CN"/>
              </w:rPr>
              <w:t>3</w:t>
            </w:r>
            <w:r>
              <w:rPr>
                <w:rFonts w:hint="eastAsia" w:ascii="宋体" w:hAnsi="宋体" w:eastAsia="宋体" w:cs="宋体"/>
                <w:color w:val="auto"/>
                <w:szCs w:val="21"/>
                <w:highlight w:val="none"/>
                <w:lang w:val="en-US" w:eastAsia="zh-CN"/>
              </w:rPr>
              <w:t>9</w:t>
            </w:r>
          </w:p>
        </w:tc>
        <w:tc>
          <w:tcPr>
            <w:tcW w:w="1248" w:type="dxa"/>
            <w:shd w:val="clear" w:color="auto" w:fill="auto"/>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szCs w:val="21"/>
                <w:highlight w:val="none"/>
              </w:rPr>
              <w:t>附件</w:t>
            </w:r>
            <w:r>
              <w:rPr>
                <w:rFonts w:hint="default" w:ascii="宋体" w:hAnsi="宋体" w:eastAsia="宋体" w:cs="Times New Roman"/>
                <w:b/>
                <w:bCs/>
                <w:color w:val="auto"/>
                <w:szCs w:val="21"/>
                <w:highlight w:val="none"/>
              </w:rPr>
              <w:t>3－</w:t>
            </w:r>
            <w:r>
              <w:rPr>
                <w:rFonts w:hint="eastAsia" w:ascii="宋体" w:hAnsi="宋体" w:eastAsia="宋体" w:cs="Times New Roman"/>
                <w:b/>
                <w:bCs/>
                <w:color w:val="auto"/>
                <w:szCs w:val="21"/>
                <w:highlight w:val="none"/>
                <w:lang w:val="en-US" w:eastAsia="zh-CN"/>
              </w:rPr>
              <w:t>4</w:t>
            </w:r>
          </w:p>
        </w:tc>
        <w:tc>
          <w:tcPr>
            <w:tcW w:w="3610" w:type="dxa"/>
            <w:shd w:val="clear" w:color="auto" w:fill="auto"/>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增加</w:t>
            </w:r>
          </w:p>
        </w:tc>
        <w:tc>
          <w:tcPr>
            <w:tcW w:w="3717" w:type="dxa"/>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Times New Roman"/>
                <w:b/>
                <w:bCs/>
                <w:color w:val="auto"/>
                <w:szCs w:val="21"/>
                <w:highlight w:val="none"/>
              </w:rPr>
            </w:pPr>
            <w:r>
              <w:rPr>
                <w:rFonts w:hint="eastAsia" w:ascii="宋体" w:hAnsi="宋体" w:eastAsia="宋体" w:cs="Times New Roman"/>
                <w:b/>
                <w:bCs/>
                <w:color w:val="auto"/>
                <w:kern w:val="44"/>
                <w:sz w:val="21"/>
                <w:szCs w:val="21"/>
                <w:highlight w:val="none"/>
                <w:lang w:val="en-US" w:eastAsia="zh-CN" w:bidi="ar-SA"/>
              </w:rPr>
              <w:t>附件3－4（设计方案报审（含修建性详细规划编制）费计算表）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40</w:t>
            </w:r>
          </w:p>
        </w:tc>
        <w:tc>
          <w:tcPr>
            <w:tcW w:w="124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附录</w:t>
            </w:r>
            <w:r>
              <w:rPr>
                <w:rFonts w:hint="default" w:ascii="宋体" w:hAnsi="宋体" w:eastAsia="宋体" w:cs="宋体"/>
                <w:color w:val="auto"/>
                <w:szCs w:val="21"/>
                <w:highlight w:val="none"/>
              </w:rPr>
              <w:t>4</w:t>
            </w:r>
          </w:p>
        </w:tc>
        <w:tc>
          <w:tcPr>
            <w:tcW w:w="361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建筑工程设计方案测试记录表</w:t>
            </w:r>
          </w:p>
        </w:tc>
        <w:tc>
          <w:tcPr>
            <w:tcW w:w="3717"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Times New Roman"/>
                <w:b/>
                <w:bCs/>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41</w:t>
            </w:r>
          </w:p>
        </w:tc>
        <w:tc>
          <w:tcPr>
            <w:tcW w:w="124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附件</w:t>
            </w:r>
            <w:r>
              <w:rPr>
                <w:rFonts w:hint="default" w:ascii="宋体" w:hAnsi="宋体" w:eastAsia="宋体" w:cs="宋体"/>
                <w:color w:val="auto"/>
                <w:szCs w:val="21"/>
                <w:highlight w:val="none"/>
              </w:rPr>
              <w:t>5</w:t>
            </w:r>
          </w:p>
        </w:tc>
        <w:tc>
          <w:tcPr>
            <w:tcW w:w="361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勘察投标文件编制要求（见范本）</w:t>
            </w:r>
          </w:p>
        </w:tc>
        <w:tc>
          <w:tcPr>
            <w:tcW w:w="3717"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Times New Roman"/>
                <w:b/>
                <w:bCs/>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2</w:t>
            </w:r>
          </w:p>
        </w:tc>
        <w:tc>
          <w:tcPr>
            <w:tcW w:w="124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附录</w:t>
            </w:r>
            <w:r>
              <w:rPr>
                <w:rFonts w:hint="default" w:ascii="宋体" w:hAnsi="宋体" w:eastAsia="宋体" w:cs="宋体"/>
                <w:color w:val="auto"/>
                <w:szCs w:val="21"/>
                <w:highlight w:val="none"/>
              </w:rPr>
              <w:t>6</w:t>
            </w:r>
          </w:p>
        </w:tc>
        <w:tc>
          <w:tcPr>
            <w:tcW w:w="361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投标书（见范本）</w:t>
            </w:r>
          </w:p>
        </w:tc>
        <w:tc>
          <w:tcPr>
            <w:tcW w:w="3717" w:type="dxa"/>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Times New Roman"/>
                <w:b/>
                <w:bCs/>
                <w:color w:val="auto"/>
                <w:szCs w:val="21"/>
                <w:highlight w:val="none"/>
              </w:rPr>
              <w:t>修改：</w:t>
            </w:r>
            <w:r>
              <w:rPr>
                <w:rFonts w:hint="eastAsia" w:ascii="宋体" w:hAnsi="宋体" w:eastAsia="宋体" w:cs="Times New Roman"/>
                <w:color w:val="auto"/>
                <w:szCs w:val="21"/>
                <w:highlight w:val="none"/>
              </w:rPr>
              <w:t>附录</w:t>
            </w:r>
            <w:r>
              <w:rPr>
                <w:rFonts w:hint="default" w:ascii="宋体" w:hAnsi="宋体" w:eastAsia="宋体" w:cs="Times New Roman"/>
                <w:color w:val="auto"/>
                <w:szCs w:val="21"/>
                <w:highlight w:val="none"/>
              </w:rPr>
              <w:t xml:space="preserve">6 </w:t>
            </w:r>
            <w:r>
              <w:rPr>
                <w:rFonts w:hint="eastAsia" w:ascii="宋体" w:hAnsi="宋体" w:eastAsia="宋体" w:cs="Times New Roman"/>
                <w:color w:val="auto"/>
                <w:szCs w:val="21"/>
                <w:highlight w:val="none"/>
              </w:rPr>
              <w:t>投标书</w:t>
            </w:r>
            <w:r>
              <w:rPr>
                <w:rFonts w:hint="eastAsia" w:ascii="宋体" w:hAnsi="宋体" w:eastAsia="宋体" w:cs="Times New Roman"/>
                <w:color w:val="auto"/>
                <w:szCs w:val="21"/>
                <w:highlight w:val="none"/>
                <w:u w:val="single"/>
              </w:rPr>
              <w:t>（详见附录</w:t>
            </w:r>
            <w:r>
              <w:rPr>
                <w:rFonts w:hint="default" w:ascii="宋体" w:hAnsi="宋体" w:eastAsia="宋体" w:cs="Times New Roman"/>
                <w:color w:val="auto"/>
                <w:szCs w:val="21"/>
                <w:highlight w:val="none"/>
                <w:u w:val="singl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3</w:t>
            </w:r>
          </w:p>
        </w:tc>
        <w:tc>
          <w:tcPr>
            <w:tcW w:w="124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附录</w:t>
            </w:r>
            <w:r>
              <w:rPr>
                <w:rFonts w:hint="default" w:ascii="宋体" w:hAnsi="宋体" w:eastAsia="宋体" w:cs="宋体"/>
                <w:color w:val="auto"/>
                <w:szCs w:val="21"/>
                <w:highlight w:val="none"/>
              </w:rPr>
              <w:t>7</w:t>
            </w:r>
          </w:p>
        </w:tc>
        <w:tc>
          <w:tcPr>
            <w:tcW w:w="361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Times New Roman"/>
                <w:color w:val="auto"/>
                <w:szCs w:val="21"/>
                <w:highlight w:val="none"/>
              </w:rPr>
              <w:t>联合体共同投标协议（见范本）</w:t>
            </w:r>
          </w:p>
        </w:tc>
        <w:tc>
          <w:tcPr>
            <w:tcW w:w="3717" w:type="dxa"/>
            <w:vAlign w:val="center"/>
          </w:tcPr>
          <w:p>
            <w:pPr>
              <w:keepNext w:val="0"/>
              <w:keepLines w:val="0"/>
              <w:suppressLineNumbers w:val="0"/>
              <w:spacing w:before="0" w:beforeAutospacing="0" w:after="0" w:afterAutospacing="0"/>
              <w:ind w:left="0" w:right="0"/>
              <w:rPr>
                <w:rFonts w:hint="default"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修改：</w:t>
            </w:r>
            <w:r>
              <w:rPr>
                <w:rFonts w:hint="eastAsia" w:ascii="宋体" w:hAnsi="宋体" w:eastAsia="宋体" w:cs="Times New Roman"/>
                <w:color w:val="auto"/>
                <w:szCs w:val="21"/>
                <w:highlight w:val="none"/>
              </w:rPr>
              <w:t>附录</w:t>
            </w:r>
            <w:r>
              <w:rPr>
                <w:rFonts w:hint="default" w:ascii="宋体" w:hAnsi="宋体" w:eastAsia="宋体" w:cs="Times New Roman"/>
                <w:color w:val="auto"/>
                <w:szCs w:val="21"/>
                <w:highlight w:val="none"/>
              </w:rPr>
              <w:t>7</w:t>
            </w:r>
            <w:r>
              <w:rPr>
                <w:rFonts w:hint="eastAsia" w:ascii="宋体" w:hAnsi="宋体" w:eastAsia="宋体" w:cs="Times New Roman"/>
                <w:color w:val="auto"/>
                <w:szCs w:val="21"/>
                <w:highlight w:val="none"/>
              </w:rPr>
              <w:t>联合体共同投标协议</w:t>
            </w:r>
            <w:r>
              <w:rPr>
                <w:rFonts w:hint="eastAsia" w:ascii="宋体" w:hAnsi="宋体" w:eastAsia="宋体" w:cs="Times New Roman"/>
                <w:color w:val="auto"/>
                <w:szCs w:val="21"/>
                <w:highlight w:val="none"/>
                <w:u w:val="single"/>
              </w:rPr>
              <w:t>（详见附录</w:t>
            </w:r>
            <w:r>
              <w:rPr>
                <w:rFonts w:hint="default" w:ascii="宋体" w:hAnsi="宋体" w:eastAsia="宋体" w:cs="Times New Roman"/>
                <w:color w:val="auto"/>
                <w:szCs w:val="21"/>
                <w:highlight w:val="none"/>
                <w:u w:val="single"/>
              </w:rPr>
              <w:t>7</w:t>
            </w:r>
            <w:r>
              <w:rPr>
                <w:rFonts w:hint="eastAsia" w:ascii="宋体" w:hAnsi="宋体" w:eastAsia="宋体" w:cs="Times New Roman"/>
                <w:color w:val="auto"/>
                <w:szCs w:val="21"/>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44</w:t>
            </w:r>
          </w:p>
        </w:tc>
        <w:tc>
          <w:tcPr>
            <w:tcW w:w="124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附录</w:t>
            </w:r>
            <w:r>
              <w:rPr>
                <w:rFonts w:hint="default" w:ascii="宋体" w:hAnsi="宋体" w:eastAsia="宋体" w:cs="宋体"/>
                <w:color w:val="auto"/>
                <w:szCs w:val="21"/>
                <w:highlight w:val="none"/>
              </w:rPr>
              <w:t>7</w:t>
            </w:r>
            <w:r>
              <w:rPr>
                <w:rFonts w:hint="eastAsia" w:ascii="宋体" w:hAnsi="宋体" w:eastAsia="宋体" w:cs="宋体"/>
                <w:color w:val="auto"/>
                <w:szCs w:val="21"/>
                <w:highlight w:val="none"/>
                <w:lang w:val="en-US" w:eastAsia="zh-CN"/>
              </w:rPr>
              <w:t>-1</w:t>
            </w:r>
          </w:p>
        </w:tc>
        <w:tc>
          <w:tcPr>
            <w:tcW w:w="3610" w:type="dxa"/>
            <w:vAlign w:val="center"/>
          </w:tcPr>
          <w:p>
            <w:pPr>
              <w:pStyle w:val="4"/>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增加</w:t>
            </w:r>
          </w:p>
        </w:tc>
        <w:tc>
          <w:tcPr>
            <w:tcW w:w="3717" w:type="dxa"/>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b/>
                <w:bCs/>
                <w:color w:val="auto"/>
                <w:szCs w:val="21"/>
                <w:highlight w:val="none"/>
              </w:rPr>
            </w:pPr>
            <w:r>
              <w:rPr>
                <w:rFonts w:hint="eastAsia" w:ascii="宋体" w:hAnsi="宋体" w:eastAsia="宋体" w:cs="Times New Roman"/>
                <w:color w:val="auto"/>
                <w:kern w:val="2"/>
                <w:sz w:val="21"/>
                <w:szCs w:val="21"/>
                <w:highlight w:val="none"/>
                <w:lang w:val="en-US" w:eastAsia="zh-CN" w:bidi="ar-SA"/>
              </w:rPr>
              <w:t>（适用于合作设计）合作设计协议书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5</w:t>
            </w:r>
          </w:p>
        </w:tc>
        <w:tc>
          <w:tcPr>
            <w:tcW w:w="124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附录</w:t>
            </w:r>
            <w:r>
              <w:rPr>
                <w:rFonts w:hint="default" w:ascii="宋体" w:hAnsi="宋体" w:eastAsia="宋体" w:cs="宋体"/>
                <w:color w:val="auto"/>
                <w:szCs w:val="21"/>
                <w:highlight w:val="none"/>
              </w:rPr>
              <w:t>8</w:t>
            </w:r>
          </w:p>
        </w:tc>
        <w:tc>
          <w:tcPr>
            <w:tcW w:w="361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投标人声明（见范本）</w:t>
            </w:r>
          </w:p>
        </w:tc>
        <w:tc>
          <w:tcPr>
            <w:tcW w:w="3717"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Times New Roman"/>
                <w:b/>
                <w:bCs/>
                <w:color w:val="auto"/>
                <w:szCs w:val="21"/>
                <w:highlight w:val="none"/>
              </w:rPr>
              <w:t>修改：</w:t>
            </w:r>
            <w:r>
              <w:rPr>
                <w:rFonts w:hint="eastAsia" w:ascii="宋体" w:hAnsi="宋体" w:eastAsia="宋体" w:cs="Times New Roman"/>
                <w:color w:val="auto"/>
                <w:szCs w:val="21"/>
                <w:highlight w:val="none"/>
              </w:rPr>
              <w:t>附录</w:t>
            </w:r>
            <w:r>
              <w:rPr>
                <w:rFonts w:hint="default" w:ascii="宋体" w:hAnsi="宋体" w:eastAsia="宋体" w:cs="Times New Roman"/>
                <w:color w:val="auto"/>
                <w:szCs w:val="21"/>
                <w:highlight w:val="none"/>
              </w:rPr>
              <w:t xml:space="preserve">8 </w:t>
            </w:r>
            <w:r>
              <w:rPr>
                <w:rFonts w:hint="eastAsia" w:ascii="宋体" w:hAnsi="宋体" w:eastAsia="宋体" w:cs="Times New Roman"/>
                <w:color w:val="auto"/>
                <w:szCs w:val="21"/>
                <w:highlight w:val="none"/>
              </w:rPr>
              <w:t>投标人声明</w:t>
            </w:r>
            <w:r>
              <w:rPr>
                <w:rFonts w:hint="eastAsia" w:ascii="宋体" w:hAnsi="宋体" w:eastAsia="宋体" w:cs="Times New Roman"/>
                <w:color w:val="auto"/>
                <w:szCs w:val="21"/>
                <w:highlight w:val="none"/>
                <w:u w:val="single"/>
              </w:rPr>
              <w:t>（详见附录</w:t>
            </w:r>
            <w:r>
              <w:rPr>
                <w:rFonts w:hint="default" w:ascii="宋体" w:hAnsi="宋体" w:eastAsia="宋体" w:cs="Times New Roman"/>
                <w:color w:val="auto"/>
                <w:szCs w:val="21"/>
                <w:highlight w:val="none"/>
                <w:u w:val="singl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6</w:t>
            </w:r>
          </w:p>
        </w:tc>
        <w:tc>
          <w:tcPr>
            <w:tcW w:w="124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附录</w:t>
            </w:r>
            <w:r>
              <w:rPr>
                <w:rFonts w:hint="default" w:ascii="宋体" w:hAnsi="宋体" w:eastAsia="宋体" w:cs="宋体"/>
                <w:color w:val="auto"/>
                <w:szCs w:val="21"/>
                <w:highlight w:val="none"/>
              </w:rPr>
              <w:t>9</w:t>
            </w:r>
          </w:p>
        </w:tc>
        <w:tc>
          <w:tcPr>
            <w:tcW w:w="361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资格审查表（见范本）</w:t>
            </w:r>
          </w:p>
        </w:tc>
        <w:tc>
          <w:tcPr>
            <w:tcW w:w="3717"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Times New Roman"/>
                <w:b/>
                <w:bCs/>
                <w:color w:val="auto"/>
                <w:szCs w:val="21"/>
                <w:highlight w:val="none"/>
              </w:rPr>
              <w:t>修改：</w:t>
            </w:r>
            <w:r>
              <w:rPr>
                <w:rFonts w:hint="eastAsia" w:ascii="宋体" w:hAnsi="宋体" w:eastAsia="宋体" w:cs="Times New Roman"/>
                <w:color w:val="auto"/>
                <w:szCs w:val="21"/>
                <w:highlight w:val="none"/>
              </w:rPr>
              <w:t>附录</w:t>
            </w:r>
            <w:r>
              <w:rPr>
                <w:rFonts w:hint="default" w:ascii="宋体" w:hAnsi="宋体" w:eastAsia="宋体" w:cs="Times New Roman"/>
                <w:color w:val="auto"/>
                <w:szCs w:val="21"/>
                <w:highlight w:val="none"/>
              </w:rPr>
              <w:t xml:space="preserve">9 </w:t>
            </w:r>
            <w:r>
              <w:rPr>
                <w:rFonts w:hint="eastAsia" w:ascii="宋体" w:hAnsi="宋体" w:eastAsia="宋体" w:cs="Times New Roman"/>
                <w:color w:val="auto"/>
                <w:szCs w:val="21"/>
                <w:highlight w:val="none"/>
              </w:rPr>
              <w:t>资格审查表</w:t>
            </w:r>
            <w:r>
              <w:rPr>
                <w:rFonts w:hint="eastAsia" w:ascii="宋体" w:hAnsi="宋体" w:eastAsia="宋体" w:cs="Times New Roman"/>
                <w:color w:val="auto"/>
                <w:szCs w:val="21"/>
                <w:highlight w:val="none"/>
                <w:u w:val="single"/>
              </w:rPr>
              <w:t>（详见附录</w:t>
            </w:r>
            <w:r>
              <w:rPr>
                <w:rFonts w:hint="default" w:ascii="宋体" w:hAnsi="宋体" w:eastAsia="宋体" w:cs="Times New Roman"/>
                <w:color w:val="auto"/>
                <w:szCs w:val="21"/>
                <w:highlight w:val="none"/>
                <w:u w:val="single"/>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7</w:t>
            </w:r>
          </w:p>
        </w:tc>
        <w:tc>
          <w:tcPr>
            <w:tcW w:w="124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附件</w:t>
            </w:r>
            <w:r>
              <w:rPr>
                <w:rFonts w:hint="default" w:ascii="宋体" w:hAnsi="宋体" w:eastAsia="宋体" w:cs="宋体"/>
                <w:color w:val="auto"/>
                <w:szCs w:val="21"/>
                <w:highlight w:val="none"/>
              </w:rPr>
              <w:t>10</w:t>
            </w:r>
          </w:p>
        </w:tc>
        <w:tc>
          <w:tcPr>
            <w:tcW w:w="3610" w:type="dxa"/>
            <w:vAlign w:val="center"/>
          </w:tcPr>
          <w:p>
            <w:pPr>
              <w:keepNext w:val="0"/>
              <w:keepLines w:val="0"/>
              <w:suppressLineNumbers w:val="0"/>
              <w:spacing w:before="0" w:beforeAutospacing="0" w:after="0" w:afterAutospacing="0" w:line="276"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附件</w:t>
            </w:r>
            <w:r>
              <w:rPr>
                <w:rFonts w:hint="default" w:ascii="宋体" w:hAnsi="宋体" w:eastAsia="宋体" w:cs="宋体"/>
                <w:color w:val="auto"/>
                <w:szCs w:val="21"/>
                <w:highlight w:val="none"/>
              </w:rPr>
              <w:t xml:space="preserve">10 </w:t>
            </w:r>
            <w:r>
              <w:rPr>
                <w:rFonts w:hint="eastAsia" w:ascii="宋体" w:hAnsi="宋体" w:eastAsia="宋体" w:cs="宋体"/>
                <w:color w:val="auto"/>
                <w:szCs w:val="21"/>
                <w:highlight w:val="none"/>
              </w:rPr>
              <w:t>投票表格</w:t>
            </w:r>
          </w:p>
        </w:tc>
        <w:tc>
          <w:tcPr>
            <w:tcW w:w="3717" w:type="dxa"/>
            <w:vAlign w:val="center"/>
          </w:tcPr>
          <w:p>
            <w:pPr>
              <w:keepNext w:val="0"/>
              <w:keepLines w:val="0"/>
              <w:suppressLineNumbers w:val="0"/>
              <w:spacing w:before="0" w:beforeAutospacing="0" w:after="0" w:afterAutospacing="0" w:line="276" w:lineRule="auto"/>
              <w:ind w:left="0" w:right="0"/>
              <w:jc w:val="center"/>
              <w:rPr>
                <w:rFonts w:hint="default" w:ascii="宋体" w:hAnsi="宋体" w:eastAsia="宋体" w:cs="宋体"/>
                <w:color w:val="auto"/>
                <w:szCs w:val="21"/>
                <w:highlight w:val="none"/>
              </w:rPr>
            </w:pPr>
            <w:r>
              <w:rPr>
                <w:rFonts w:hint="eastAsia" w:ascii="宋体" w:hAnsi="宋体" w:eastAsia="宋体" w:cs="Times New Roman"/>
                <w:b/>
                <w:bCs/>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8</w:t>
            </w:r>
          </w:p>
        </w:tc>
        <w:tc>
          <w:tcPr>
            <w:tcW w:w="124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附录</w:t>
            </w:r>
            <w:r>
              <w:rPr>
                <w:rFonts w:hint="default" w:ascii="宋体" w:hAnsi="宋体" w:eastAsia="宋体" w:cs="宋体"/>
                <w:color w:val="auto"/>
                <w:szCs w:val="21"/>
                <w:highlight w:val="none"/>
              </w:rPr>
              <w:t>11</w:t>
            </w:r>
          </w:p>
        </w:tc>
        <w:tc>
          <w:tcPr>
            <w:tcW w:w="3610" w:type="dxa"/>
            <w:vAlign w:val="center"/>
          </w:tcPr>
          <w:p>
            <w:pPr>
              <w:keepNext w:val="0"/>
              <w:keepLines w:val="0"/>
              <w:suppressLineNumbers w:val="0"/>
              <w:spacing w:before="0" w:beforeAutospacing="0" w:after="0" w:afterAutospacing="0" w:line="276"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附录</w:t>
            </w:r>
            <w:r>
              <w:rPr>
                <w:rFonts w:hint="default" w:ascii="宋体" w:hAnsi="宋体" w:eastAsia="宋体" w:cs="宋体"/>
                <w:color w:val="auto"/>
                <w:szCs w:val="21"/>
                <w:highlight w:val="none"/>
              </w:rPr>
              <w:t>11投标汇总表格</w:t>
            </w:r>
          </w:p>
        </w:tc>
        <w:tc>
          <w:tcPr>
            <w:tcW w:w="3717" w:type="dxa"/>
            <w:vAlign w:val="center"/>
          </w:tcPr>
          <w:p>
            <w:pPr>
              <w:keepNext w:val="0"/>
              <w:keepLines w:val="0"/>
              <w:suppressLineNumbers w:val="0"/>
              <w:spacing w:before="0" w:beforeAutospacing="0" w:after="0" w:afterAutospacing="0" w:line="276" w:lineRule="auto"/>
              <w:ind w:left="0" w:right="0"/>
              <w:jc w:val="center"/>
              <w:rPr>
                <w:rFonts w:hint="default" w:ascii="宋体" w:hAnsi="宋体" w:eastAsia="宋体" w:cs="宋体"/>
                <w:color w:val="auto"/>
                <w:szCs w:val="21"/>
                <w:highlight w:val="none"/>
              </w:rPr>
            </w:pPr>
            <w:r>
              <w:rPr>
                <w:rFonts w:hint="eastAsia" w:ascii="宋体" w:hAnsi="宋体" w:eastAsia="宋体" w:cs="Times New Roman"/>
                <w:b/>
                <w:bCs/>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szCs w:val="21"/>
                <w:highlight w:val="none"/>
                <w:lang w:eastAsia="zh-CN"/>
              </w:rPr>
              <w:t>4</w:t>
            </w:r>
            <w:r>
              <w:rPr>
                <w:rFonts w:hint="eastAsia" w:ascii="宋体" w:hAnsi="宋体" w:eastAsia="宋体" w:cs="宋体"/>
                <w:color w:val="auto"/>
                <w:szCs w:val="21"/>
                <w:highlight w:val="none"/>
                <w:lang w:val="en-US" w:eastAsia="zh-CN"/>
              </w:rPr>
              <w:t>9</w:t>
            </w:r>
          </w:p>
        </w:tc>
        <w:tc>
          <w:tcPr>
            <w:tcW w:w="124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b/>
                <w:bCs/>
                <w:color w:val="auto"/>
                <w:szCs w:val="21"/>
                <w:highlight w:val="none"/>
              </w:rPr>
              <w:t>附录</w:t>
            </w:r>
            <w:r>
              <w:rPr>
                <w:rFonts w:hint="default" w:ascii="宋体" w:hAnsi="宋体" w:eastAsia="宋体" w:cs="宋体"/>
                <w:b/>
                <w:bCs/>
                <w:color w:val="auto"/>
                <w:szCs w:val="21"/>
                <w:highlight w:val="none"/>
              </w:rPr>
              <w:t>12</w:t>
            </w:r>
          </w:p>
        </w:tc>
        <w:tc>
          <w:tcPr>
            <w:tcW w:w="3610" w:type="dxa"/>
            <w:vAlign w:val="center"/>
          </w:tcPr>
          <w:p>
            <w:pPr>
              <w:keepNext w:val="0"/>
              <w:keepLines w:val="0"/>
              <w:suppressLineNumbers w:val="0"/>
              <w:spacing w:before="0" w:beforeAutospacing="0" w:after="0" w:afterAutospacing="0" w:line="276" w:lineRule="auto"/>
              <w:ind w:left="0" w:right="0"/>
              <w:jc w:val="center"/>
              <w:rPr>
                <w:rFonts w:hint="default" w:ascii="宋体" w:hAnsi="宋体" w:eastAsia="宋体" w:cs="宋体"/>
                <w:color w:val="auto"/>
                <w:szCs w:val="21"/>
                <w:highlight w:val="none"/>
              </w:rPr>
            </w:pPr>
            <w:r>
              <w:rPr>
                <w:rFonts w:hint="eastAsia" w:ascii="宋体" w:hAnsi="宋体" w:eastAsia="宋体" w:cs="Times New Roman"/>
                <w:color w:val="auto"/>
                <w:szCs w:val="21"/>
                <w:highlight w:val="none"/>
              </w:rPr>
              <w:t>增加</w:t>
            </w:r>
          </w:p>
        </w:tc>
        <w:tc>
          <w:tcPr>
            <w:tcW w:w="3717" w:type="dxa"/>
            <w:vAlign w:val="center"/>
          </w:tcPr>
          <w:p>
            <w:pPr>
              <w:keepNext w:val="0"/>
              <w:keepLines w:val="0"/>
              <w:suppressLineNumbers w:val="0"/>
              <w:spacing w:before="0" w:beforeAutospacing="0" w:after="0" w:afterAutospacing="0" w:line="276" w:lineRule="auto"/>
              <w:ind w:left="0" w:right="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附录</w:t>
            </w:r>
            <w:r>
              <w:rPr>
                <w:rFonts w:hint="default" w:ascii="宋体" w:hAnsi="宋体" w:eastAsia="宋体" w:cs="宋体"/>
                <w:color w:val="auto"/>
                <w:szCs w:val="21"/>
                <w:highlight w:val="none"/>
              </w:rPr>
              <w:t>12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有效性审查表</w:t>
            </w:r>
            <w:r>
              <w:rPr>
                <w:rFonts w:hint="default" w:ascii="宋体" w:hAnsi="宋体" w:eastAsia="宋体" w:cs="宋体"/>
                <w:color w:val="auto"/>
                <w:szCs w:val="21"/>
                <w:highlight w:val="none"/>
                <w:lang w:eastAsia="zh-CN"/>
              </w:rPr>
              <w:t>（非技术方案）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有效性审查表（技术方案）》、《</w:t>
            </w:r>
            <w:r>
              <w:rPr>
                <w:rFonts w:hint="eastAsia" w:ascii="宋体" w:hAnsi="宋体" w:eastAsia="宋体" w:cs="宋体"/>
                <w:color w:val="auto"/>
                <w:szCs w:val="21"/>
                <w:highlight w:val="none"/>
              </w:rPr>
              <w:t>投标报价算术复核表</w:t>
            </w:r>
            <w:r>
              <w:rPr>
                <w:rFonts w:hint="eastAsia" w:ascii="宋体" w:hAnsi="宋体" w:eastAsia="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50</w:t>
            </w:r>
          </w:p>
        </w:tc>
        <w:tc>
          <w:tcPr>
            <w:tcW w:w="1248" w:type="dxa"/>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b/>
                <w:bCs/>
                <w:color w:val="auto"/>
                <w:szCs w:val="21"/>
                <w:highlight w:val="none"/>
              </w:rPr>
            </w:pPr>
            <w:r>
              <w:rPr>
                <w:rFonts w:hint="eastAsia" w:ascii="宋体" w:hAnsi="宋体" w:eastAsia="宋体" w:cs="宋体"/>
                <w:color w:val="auto"/>
                <w:szCs w:val="21"/>
                <w:highlight w:val="none"/>
              </w:rPr>
              <w:t>附录</w:t>
            </w:r>
            <w:r>
              <w:rPr>
                <w:rFonts w:hint="default"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3610" w:type="dxa"/>
            <w:vAlign w:val="center"/>
          </w:tcPr>
          <w:p>
            <w:pPr>
              <w:keepNext w:val="0"/>
              <w:keepLines w:val="0"/>
              <w:suppressLineNumbers w:val="0"/>
              <w:spacing w:before="0" w:beforeAutospacing="0" w:after="0" w:afterAutospacing="0" w:line="276" w:lineRule="auto"/>
              <w:ind w:left="0" w:leftChars="0" w:right="0" w:rightChars="0"/>
              <w:jc w:val="center"/>
              <w:rPr>
                <w:rFonts w:hint="default" w:ascii="宋体" w:hAnsi="宋体" w:eastAsia="宋体" w:cs="Times New Roman"/>
                <w:color w:val="auto"/>
                <w:szCs w:val="21"/>
                <w:highlight w:val="none"/>
              </w:rPr>
            </w:pPr>
            <w:r>
              <w:rPr>
                <w:rFonts w:hint="eastAsia" w:ascii="宋体" w:hAnsi="宋体" w:eastAsia="宋体" w:cs="宋体"/>
                <w:color w:val="auto"/>
                <w:szCs w:val="21"/>
                <w:highlight w:val="none"/>
              </w:rPr>
              <w:t>定标委员会的组成</w:t>
            </w:r>
          </w:p>
        </w:tc>
        <w:tc>
          <w:tcPr>
            <w:tcW w:w="3717" w:type="dxa"/>
            <w:vAlign w:val="center"/>
          </w:tcPr>
          <w:p>
            <w:pPr>
              <w:keepNext w:val="0"/>
              <w:keepLines w:val="0"/>
              <w:suppressLineNumbers w:val="0"/>
              <w:spacing w:before="0" w:beforeAutospacing="0" w:after="0" w:afterAutospacing="0" w:line="276" w:lineRule="auto"/>
              <w:ind w:left="0" w:right="0"/>
              <w:jc w:val="both"/>
              <w:rPr>
                <w:rFonts w:hint="default" w:ascii="宋体" w:hAnsi="宋体" w:eastAsia="宋体" w:cs="宋体"/>
                <w:color w:val="auto"/>
                <w:szCs w:val="21"/>
                <w:highlight w:val="none"/>
              </w:rPr>
            </w:pPr>
            <w:r>
              <w:rPr>
                <w:rFonts w:hint="eastAsia" w:ascii="宋体" w:hAnsi="宋体" w:eastAsia="宋体" w:cs="Times New Roman"/>
                <w:b/>
                <w:bCs/>
                <w:color w:val="auto"/>
                <w:szCs w:val="21"/>
                <w:highlight w:val="none"/>
              </w:rPr>
              <w:t>修改：</w:t>
            </w:r>
            <w:r>
              <w:rPr>
                <w:rFonts w:hint="eastAsia" w:ascii="宋体" w:hAnsi="宋体" w:eastAsia="宋体" w:cs="宋体"/>
                <w:color w:val="auto"/>
                <w:szCs w:val="21"/>
                <w:highlight w:val="none"/>
              </w:rPr>
              <w:t>附录</w:t>
            </w:r>
            <w:r>
              <w:rPr>
                <w:rFonts w:hint="default"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default" w:ascii="宋体" w:hAnsi="宋体" w:eastAsia="宋体" w:cs="宋体"/>
                <w:color w:val="auto"/>
                <w:szCs w:val="21"/>
                <w:highlight w:val="none"/>
              </w:rPr>
              <w:t>定标委员会的组成</w:t>
            </w:r>
          </w:p>
          <w:p>
            <w:pPr>
              <w:keepNext w:val="0"/>
              <w:keepLines w:val="0"/>
              <w:suppressLineNumbers w:val="0"/>
              <w:spacing w:before="0" w:beforeAutospacing="0" w:after="0" w:afterAutospacing="0" w:line="276" w:lineRule="auto"/>
              <w:ind w:left="0" w:leftChars="0" w:right="0" w:rightChars="0"/>
              <w:jc w:val="left"/>
              <w:rPr>
                <w:rFonts w:hint="default" w:ascii="宋体" w:hAnsi="宋体" w:eastAsia="宋体" w:cs="宋体"/>
                <w:b/>
                <w:bCs/>
                <w:color w:val="auto"/>
                <w:szCs w:val="21"/>
                <w:highlight w:val="none"/>
              </w:rPr>
            </w:pPr>
            <w:r>
              <w:rPr>
                <w:rFonts w:hint="eastAsia" w:ascii="宋体" w:hAnsi="宋体" w:eastAsia="宋体" w:cs="宋体"/>
                <w:color w:val="auto"/>
                <w:szCs w:val="21"/>
                <w:highlight w:val="none"/>
              </w:rPr>
              <w:t>（</w:t>
            </w:r>
            <w:r>
              <w:rPr>
                <w:rFonts w:hint="eastAsia" w:ascii="宋体" w:hAnsi="宋体" w:eastAsia="宋体" w:cs="Times New Roman"/>
                <w:color w:val="auto"/>
                <w:szCs w:val="21"/>
                <w:highlight w:val="none"/>
                <w:u w:val="single"/>
              </w:rPr>
              <w:t>详见附录</w:t>
            </w:r>
            <w:r>
              <w:rPr>
                <w:rFonts w:hint="default" w:ascii="宋体" w:hAnsi="宋体" w:eastAsia="宋体" w:cs="Times New Roman"/>
                <w:color w:val="auto"/>
                <w:szCs w:val="21"/>
                <w:highlight w:val="none"/>
                <w:u w:val="single"/>
              </w:rPr>
              <w:t>1</w:t>
            </w:r>
            <w:r>
              <w:rPr>
                <w:rFonts w:hint="eastAsia" w:ascii="宋体" w:hAnsi="宋体" w:eastAsia="宋体" w:cs="Times New Roman"/>
                <w:color w:val="auto"/>
                <w:szCs w:val="21"/>
                <w:highlight w:val="none"/>
                <w:u w:val="single"/>
                <w:lang w:val="en-US" w:eastAsia="zh-CN"/>
              </w:rPr>
              <w:t>3</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51</w:t>
            </w:r>
          </w:p>
        </w:tc>
        <w:tc>
          <w:tcPr>
            <w:tcW w:w="1248" w:type="dxa"/>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b/>
                <w:bCs/>
                <w:color w:val="auto"/>
                <w:szCs w:val="21"/>
                <w:highlight w:val="none"/>
              </w:rPr>
            </w:pPr>
            <w:r>
              <w:rPr>
                <w:rFonts w:hint="eastAsia" w:ascii="宋体" w:hAnsi="宋体" w:eastAsia="宋体" w:cs="宋体"/>
                <w:color w:val="auto"/>
                <w:szCs w:val="21"/>
                <w:highlight w:val="none"/>
              </w:rPr>
              <w:t>附录</w:t>
            </w:r>
            <w:r>
              <w:rPr>
                <w:rFonts w:hint="default"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3610" w:type="dxa"/>
            <w:vAlign w:val="center"/>
          </w:tcPr>
          <w:p>
            <w:pPr>
              <w:keepNext w:val="0"/>
              <w:keepLines w:val="0"/>
              <w:suppressLineNumbers w:val="0"/>
              <w:spacing w:before="0" w:beforeAutospacing="0" w:after="0" w:afterAutospacing="0" w:line="276" w:lineRule="auto"/>
              <w:ind w:left="0" w:leftChars="0" w:right="0" w:rightChars="0"/>
              <w:jc w:val="center"/>
              <w:rPr>
                <w:rFonts w:hint="default" w:ascii="宋体" w:hAnsi="宋体" w:eastAsia="宋体" w:cs="Times New Roman"/>
                <w:color w:val="auto"/>
                <w:szCs w:val="21"/>
                <w:highlight w:val="none"/>
              </w:rPr>
            </w:pPr>
            <w:r>
              <w:rPr>
                <w:rFonts w:hint="eastAsia" w:ascii="宋体" w:hAnsi="宋体" w:eastAsia="宋体" w:cs="宋体"/>
                <w:color w:val="auto"/>
                <w:szCs w:val="21"/>
                <w:highlight w:val="none"/>
              </w:rPr>
              <w:t>定标原则</w:t>
            </w:r>
          </w:p>
        </w:tc>
        <w:tc>
          <w:tcPr>
            <w:tcW w:w="3717" w:type="dxa"/>
            <w:vAlign w:val="center"/>
          </w:tcPr>
          <w:p>
            <w:pPr>
              <w:keepNext w:val="0"/>
              <w:keepLines w:val="0"/>
              <w:suppressLineNumbers w:val="0"/>
              <w:spacing w:before="0" w:beforeAutospacing="0" w:after="0" w:afterAutospacing="0" w:line="276" w:lineRule="auto"/>
              <w:ind w:left="0" w:leftChars="0" w:right="0" w:rightChars="0"/>
              <w:jc w:val="left"/>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修改：</w:t>
            </w:r>
            <w:r>
              <w:rPr>
                <w:rFonts w:hint="eastAsia" w:ascii="宋体" w:hAnsi="宋体" w:eastAsia="宋体" w:cs="宋体"/>
                <w:color w:val="auto"/>
                <w:szCs w:val="21"/>
                <w:highlight w:val="none"/>
              </w:rPr>
              <w:t>附录</w:t>
            </w:r>
            <w:r>
              <w:rPr>
                <w:rFonts w:hint="default"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r>
              <w:rPr>
                <w:rFonts w:hint="default" w:ascii="宋体" w:hAnsi="宋体" w:eastAsia="宋体" w:cs="宋体"/>
                <w:color w:val="auto"/>
                <w:szCs w:val="21"/>
                <w:highlight w:val="none"/>
              </w:rPr>
              <w:t>定标原则</w:t>
            </w:r>
            <w:r>
              <w:rPr>
                <w:rFonts w:hint="eastAsia" w:ascii="宋体" w:hAnsi="宋体" w:eastAsia="宋体" w:cs="Times New Roman"/>
                <w:color w:val="auto"/>
                <w:szCs w:val="21"/>
                <w:highlight w:val="none"/>
                <w:u w:val="single"/>
              </w:rPr>
              <w:t>（详见附录</w:t>
            </w:r>
            <w:r>
              <w:rPr>
                <w:rFonts w:hint="default" w:ascii="宋体" w:hAnsi="宋体" w:eastAsia="宋体" w:cs="Times New Roman"/>
                <w:color w:val="auto"/>
                <w:szCs w:val="21"/>
                <w:highlight w:val="none"/>
                <w:u w:val="single"/>
              </w:rPr>
              <w:t>1</w:t>
            </w:r>
            <w:r>
              <w:rPr>
                <w:rFonts w:hint="eastAsia" w:ascii="宋体" w:hAnsi="宋体" w:eastAsia="宋体" w:cs="Times New Roman"/>
                <w:color w:val="auto"/>
                <w:szCs w:val="21"/>
                <w:highlight w:val="none"/>
                <w:u w:val="single"/>
                <w:lang w:val="en-US" w:eastAsia="zh-CN"/>
              </w:rPr>
              <w:t>4</w:t>
            </w:r>
            <w:r>
              <w:rPr>
                <w:rFonts w:hint="default" w:ascii="宋体" w:hAnsi="宋体" w:eastAsia="宋体" w:cs="Times New Roman"/>
                <w:color w:val="auto"/>
                <w:szCs w:val="21"/>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52</w:t>
            </w:r>
          </w:p>
        </w:tc>
        <w:tc>
          <w:tcPr>
            <w:tcW w:w="124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附录</w:t>
            </w:r>
            <w:r>
              <w:rPr>
                <w:rFonts w:hint="default"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5-1</w:t>
            </w:r>
          </w:p>
        </w:tc>
        <w:tc>
          <w:tcPr>
            <w:tcW w:w="3610" w:type="dxa"/>
            <w:vAlign w:val="center"/>
          </w:tcPr>
          <w:p>
            <w:pPr>
              <w:keepNext w:val="0"/>
              <w:keepLines w:val="0"/>
              <w:suppressLineNumbers w:val="0"/>
              <w:spacing w:before="0" w:beforeAutospacing="0" w:after="0" w:afterAutospacing="0" w:line="276"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投标方案评语</w:t>
            </w:r>
          </w:p>
        </w:tc>
        <w:tc>
          <w:tcPr>
            <w:tcW w:w="3717" w:type="dxa"/>
            <w:vAlign w:val="center"/>
          </w:tcPr>
          <w:p>
            <w:pPr>
              <w:keepNext w:val="0"/>
              <w:keepLines w:val="0"/>
              <w:suppressLineNumbers w:val="0"/>
              <w:spacing w:before="0" w:beforeAutospacing="0" w:after="0" w:afterAutospacing="0" w:line="276" w:lineRule="auto"/>
              <w:ind w:left="0" w:right="0"/>
              <w:jc w:val="left"/>
              <w:rPr>
                <w:rFonts w:hint="default" w:ascii="宋体" w:hAnsi="宋体" w:eastAsia="宋体" w:cs="宋体"/>
                <w:color w:val="auto"/>
                <w:szCs w:val="21"/>
                <w:highlight w:val="none"/>
              </w:rPr>
            </w:pPr>
            <w:r>
              <w:rPr>
                <w:rFonts w:hint="eastAsia" w:ascii="宋体" w:hAnsi="宋体" w:eastAsia="宋体" w:cs="Times New Roman"/>
                <w:b/>
                <w:bCs/>
                <w:color w:val="auto"/>
                <w:szCs w:val="21"/>
                <w:highlight w:val="none"/>
              </w:rPr>
              <w:t>修改：</w:t>
            </w:r>
            <w:r>
              <w:rPr>
                <w:rFonts w:hint="eastAsia" w:ascii="宋体" w:hAnsi="宋体" w:eastAsia="宋体" w:cs="宋体"/>
                <w:color w:val="auto"/>
                <w:szCs w:val="21"/>
                <w:highlight w:val="none"/>
              </w:rPr>
              <w:t>附录</w:t>
            </w:r>
            <w:r>
              <w:rPr>
                <w:rFonts w:hint="default" w:ascii="宋体" w:hAnsi="宋体" w:eastAsia="宋体" w:cs="宋体"/>
                <w:color w:val="auto"/>
                <w:szCs w:val="21"/>
                <w:highlight w:val="none"/>
                <w:u w:val="single"/>
              </w:rPr>
              <w:t>1</w:t>
            </w:r>
            <w:r>
              <w:rPr>
                <w:rFonts w:hint="eastAsia" w:ascii="宋体" w:hAnsi="宋体" w:eastAsia="宋体" w:cs="宋体"/>
                <w:color w:val="auto"/>
                <w:szCs w:val="21"/>
                <w:highlight w:val="none"/>
                <w:u w:val="single"/>
                <w:lang w:val="en-US" w:eastAsia="zh-CN"/>
              </w:rPr>
              <w:t>5-1</w:t>
            </w:r>
            <w:r>
              <w:rPr>
                <w:rFonts w:hint="default" w:ascii="宋体" w:hAnsi="宋体" w:eastAsia="宋体" w:cs="宋体"/>
                <w:color w:val="auto"/>
                <w:szCs w:val="21"/>
                <w:highlight w:val="none"/>
              </w:rPr>
              <w:t>勘察</w:t>
            </w:r>
            <w:r>
              <w:rPr>
                <w:rFonts w:hint="eastAsia" w:ascii="宋体" w:hAnsi="宋体" w:eastAsia="宋体" w:cs="Times New Roman"/>
                <w:color w:val="auto"/>
                <w:szCs w:val="21"/>
                <w:highlight w:val="none"/>
              </w:rPr>
              <w:t>设计</w:t>
            </w:r>
            <w:r>
              <w:rPr>
                <w:rFonts w:hint="default" w:ascii="宋体" w:hAnsi="宋体" w:eastAsia="宋体" w:cs="Times New Roman"/>
                <w:color w:val="auto"/>
                <w:szCs w:val="21"/>
                <w:highlight w:val="none"/>
              </w:rPr>
              <w:t>工作</w:t>
            </w:r>
            <w:r>
              <w:rPr>
                <w:rFonts w:hint="eastAsia" w:ascii="宋体" w:hAnsi="宋体" w:eastAsia="宋体" w:cs="Times New Roman"/>
                <w:color w:val="auto"/>
                <w:szCs w:val="21"/>
                <w:highlight w:val="none"/>
              </w:rPr>
              <w:t>方案评审记录表</w:t>
            </w:r>
            <w:r>
              <w:rPr>
                <w:rFonts w:hint="eastAsia" w:ascii="宋体" w:hAnsi="宋体" w:eastAsia="宋体" w:cs="Times New Roman"/>
                <w:color w:val="auto"/>
                <w:szCs w:val="21"/>
                <w:highlight w:val="none"/>
                <w:u w:val="single"/>
              </w:rPr>
              <w:t>（见招标文件附录</w:t>
            </w:r>
            <w:r>
              <w:rPr>
                <w:rFonts w:hint="default" w:ascii="宋体" w:hAnsi="宋体" w:eastAsia="宋体" w:cs="Times New Roman"/>
                <w:color w:val="auto"/>
                <w:szCs w:val="21"/>
                <w:highlight w:val="none"/>
                <w:u w:val="single"/>
              </w:rPr>
              <w:t>1</w:t>
            </w:r>
            <w:r>
              <w:rPr>
                <w:rFonts w:hint="eastAsia" w:ascii="宋体" w:hAnsi="宋体" w:eastAsia="宋体" w:cs="Times New Roman"/>
                <w:color w:val="auto"/>
                <w:szCs w:val="21"/>
                <w:highlight w:val="none"/>
                <w:u w:val="single"/>
                <w:lang w:val="en-US" w:eastAsia="zh-CN"/>
              </w:rPr>
              <w:t>5-1</w:t>
            </w:r>
            <w:r>
              <w:rPr>
                <w:rFonts w:hint="default" w:ascii="宋体" w:hAnsi="宋体" w:eastAsia="宋体" w:cs="Times New Roman"/>
                <w:color w:val="auto"/>
                <w:szCs w:val="21"/>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szCs w:val="21"/>
                <w:highlight w:val="none"/>
                <w:lang w:eastAsia="zh-CN"/>
              </w:rPr>
              <w:t>5</w:t>
            </w:r>
            <w:r>
              <w:rPr>
                <w:rFonts w:hint="eastAsia" w:ascii="宋体" w:hAnsi="宋体" w:eastAsia="宋体" w:cs="宋体"/>
                <w:color w:val="auto"/>
                <w:szCs w:val="21"/>
                <w:highlight w:val="none"/>
                <w:lang w:val="en-US" w:eastAsia="zh-CN"/>
              </w:rPr>
              <w:t>3</w:t>
            </w:r>
          </w:p>
        </w:tc>
        <w:tc>
          <w:tcPr>
            <w:tcW w:w="1248" w:type="dxa"/>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szCs w:val="21"/>
                <w:highlight w:val="none"/>
              </w:rPr>
            </w:pPr>
            <w:r>
              <w:rPr>
                <w:rFonts w:hint="eastAsia" w:ascii="宋体" w:hAnsi="宋体" w:eastAsia="宋体" w:cs="Times New Roman"/>
                <w:b/>
                <w:bCs/>
                <w:color w:val="auto"/>
                <w:szCs w:val="21"/>
                <w:highlight w:val="none"/>
              </w:rPr>
              <w:t>附录</w:t>
            </w:r>
            <w:r>
              <w:rPr>
                <w:rFonts w:hint="default" w:ascii="宋体" w:hAnsi="宋体" w:eastAsia="宋体" w:cs="Times New Roman"/>
                <w:b/>
                <w:bCs/>
                <w:color w:val="auto"/>
                <w:szCs w:val="21"/>
                <w:highlight w:val="none"/>
              </w:rPr>
              <w:t>1</w:t>
            </w:r>
            <w:r>
              <w:rPr>
                <w:rFonts w:hint="eastAsia" w:ascii="宋体" w:hAnsi="宋体" w:eastAsia="宋体" w:cs="Times New Roman"/>
                <w:b/>
                <w:bCs/>
                <w:color w:val="auto"/>
                <w:szCs w:val="21"/>
                <w:highlight w:val="none"/>
                <w:lang w:val="en-US" w:eastAsia="zh-CN"/>
              </w:rPr>
              <w:t>5</w:t>
            </w:r>
            <w:r>
              <w:rPr>
                <w:rFonts w:hint="default" w:ascii="宋体" w:hAnsi="宋体" w:eastAsia="宋体" w:cs="Times New Roman"/>
                <w:b/>
                <w:bCs/>
                <w:color w:val="auto"/>
                <w:szCs w:val="21"/>
                <w:highlight w:val="none"/>
              </w:rPr>
              <w:t>-</w:t>
            </w:r>
            <w:r>
              <w:rPr>
                <w:rFonts w:hint="eastAsia" w:ascii="宋体" w:hAnsi="宋体" w:eastAsia="宋体" w:cs="Times New Roman"/>
                <w:b/>
                <w:bCs/>
                <w:color w:val="auto"/>
                <w:szCs w:val="21"/>
                <w:highlight w:val="none"/>
                <w:lang w:val="en-US" w:eastAsia="zh-CN"/>
              </w:rPr>
              <w:t>2</w:t>
            </w:r>
          </w:p>
        </w:tc>
        <w:tc>
          <w:tcPr>
            <w:tcW w:w="3610" w:type="dxa"/>
            <w:vAlign w:val="center"/>
          </w:tcPr>
          <w:p>
            <w:pPr>
              <w:keepNext w:val="0"/>
              <w:keepLines w:val="0"/>
              <w:suppressLineNumbers w:val="0"/>
              <w:spacing w:before="0" w:beforeAutospacing="0" w:after="0" w:afterAutospacing="0" w:line="276" w:lineRule="auto"/>
              <w:ind w:left="0" w:leftChars="0" w:right="0" w:rightChars="0"/>
              <w:jc w:val="center"/>
              <w:rPr>
                <w:rFonts w:hint="default" w:ascii="宋体" w:hAnsi="宋体" w:eastAsia="宋体" w:cs="宋体"/>
                <w:color w:val="auto"/>
                <w:szCs w:val="21"/>
                <w:highlight w:val="none"/>
              </w:rPr>
            </w:pPr>
            <w:r>
              <w:rPr>
                <w:rFonts w:hint="eastAsia" w:ascii="宋体" w:hAnsi="宋体" w:eastAsia="宋体" w:cs="Times New Roman"/>
                <w:color w:val="auto"/>
                <w:szCs w:val="21"/>
                <w:highlight w:val="none"/>
              </w:rPr>
              <w:t>增加</w:t>
            </w:r>
          </w:p>
        </w:tc>
        <w:tc>
          <w:tcPr>
            <w:tcW w:w="3717" w:type="dxa"/>
            <w:vAlign w:val="center"/>
          </w:tcPr>
          <w:p>
            <w:pPr>
              <w:keepNext w:val="0"/>
              <w:keepLines w:val="0"/>
              <w:suppressLineNumbers w:val="0"/>
              <w:spacing w:before="0" w:beforeAutospacing="0" w:after="0" w:afterAutospacing="0" w:line="276" w:lineRule="auto"/>
              <w:ind w:left="0" w:leftChars="0" w:right="0" w:rightChars="0"/>
              <w:jc w:val="left"/>
              <w:rPr>
                <w:rFonts w:hint="default" w:ascii="宋体" w:hAnsi="宋体" w:eastAsia="宋体" w:cs="Times New Roman"/>
                <w:b/>
                <w:bCs/>
                <w:color w:val="auto"/>
                <w:szCs w:val="21"/>
                <w:highlight w:val="none"/>
              </w:rPr>
            </w:pPr>
            <w:r>
              <w:rPr>
                <w:rFonts w:hint="eastAsia" w:ascii="宋体" w:hAnsi="宋体" w:eastAsia="宋体" w:cs="Times New Roman"/>
                <w:b/>
                <w:bCs/>
                <w:color w:val="auto"/>
                <w:szCs w:val="21"/>
                <w:highlight w:val="none"/>
                <w:u w:val="single"/>
              </w:rPr>
              <w:t>附录</w:t>
            </w:r>
            <w:r>
              <w:rPr>
                <w:rFonts w:hint="default" w:ascii="宋体" w:hAnsi="宋体" w:eastAsia="宋体" w:cs="Times New Roman"/>
                <w:b/>
                <w:bCs/>
                <w:color w:val="auto"/>
                <w:szCs w:val="21"/>
                <w:highlight w:val="none"/>
                <w:u w:val="single"/>
              </w:rPr>
              <w:t>1</w:t>
            </w:r>
            <w:r>
              <w:rPr>
                <w:rFonts w:hint="eastAsia" w:ascii="宋体" w:hAnsi="宋体" w:eastAsia="宋体" w:cs="Times New Roman"/>
                <w:b/>
                <w:bCs/>
                <w:color w:val="auto"/>
                <w:szCs w:val="21"/>
                <w:highlight w:val="none"/>
                <w:u w:val="single"/>
                <w:lang w:val="en-US" w:eastAsia="zh-CN"/>
              </w:rPr>
              <w:t>5</w:t>
            </w:r>
            <w:r>
              <w:rPr>
                <w:rFonts w:hint="default" w:ascii="宋体" w:hAnsi="宋体" w:eastAsia="宋体" w:cs="Times New Roman"/>
                <w:b/>
                <w:bCs/>
                <w:color w:val="auto"/>
                <w:szCs w:val="21"/>
                <w:highlight w:val="none"/>
                <w:u w:val="single"/>
              </w:rPr>
              <w:t>-2</w:t>
            </w:r>
            <w:r>
              <w:rPr>
                <w:rFonts w:hint="eastAsia" w:ascii="宋体" w:hAnsi="宋体" w:eastAsia="宋体" w:cs="宋体"/>
                <w:b/>
                <w:bCs/>
                <w:color w:val="auto"/>
                <w:szCs w:val="21"/>
                <w:highlight w:val="none"/>
                <w:u w:val="single"/>
              </w:rPr>
              <w:t>《</w:t>
            </w:r>
            <w:r>
              <w:rPr>
                <w:rFonts w:hint="eastAsia" w:ascii="宋体" w:hAnsi="宋体" w:eastAsia="宋体" w:cs="宋体"/>
                <w:b/>
                <w:bCs/>
                <w:color w:val="auto"/>
                <w:szCs w:val="21"/>
                <w:highlight w:val="none"/>
                <w:u w:val="single"/>
                <w:lang w:val="en-US" w:eastAsia="zh-CN"/>
              </w:rPr>
              <w:t>定标因素</w:t>
            </w:r>
            <w:r>
              <w:rPr>
                <w:rFonts w:hint="eastAsia" w:ascii="宋体" w:hAnsi="宋体" w:eastAsia="宋体" w:cs="宋体"/>
                <w:b/>
                <w:bCs/>
                <w:color w:val="auto"/>
                <w:szCs w:val="21"/>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szCs w:val="21"/>
                <w:highlight w:val="none"/>
                <w:lang w:eastAsia="zh-CN"/>
              </w:rPr>
              <w:t>5</w:t>
            </w:r>
            <w:r>
              <w:rPr>
                <w:rFonts w:hint="eastAsia" w:ascii="宋体" w:hAnsi="宋体" w:eastAsia="宋体" w:cs="宋体"/>
                <w:color w:val="auto"/>
                <w:szCs w:val="21"/>
                <w:highlight w:val="none"/>
                <w:lang w:val="en-US" w:eastAsia="zh-CN"/>
              </w:rPr>
              <w:t>4</w:t>
            </w:r>
          </w:p>
        </w:tc>
        <w:tc>
          <w:tcPr>
            <w:tcW w:w="1248" w:type="dxa"/>
            <w:vAlign w:val="center"/>
          </w:tcPr>
          <w:p>
            <w:pPr>
              <w:keepNext w:val="0"/>
              <w:keepLines w:val="0"/>
              <w:suppressLineNumbers w:val="0"/>
              <w:spacing w:before="0" w:beforeAutospacing="0" w:after="0" w:afterAutospacing="0" w:line="360" w:lineRule="auto"/>
              <w:ind w:left="2" w:right="0"/>
              <w:jc w:val="center"/>
              <w:rPr>
                <w:rFonts w:hint="default" w:ascii="宋体" w:hAnsi="宋体" w:eastAsia="宋体" w:cs="宋体"/>
                <w:color w:val="auto"/>
                <w:szCs w:val="21"/>
                <w:highlight w:val="none"/>
                <w:lang w:eastAsia="zh-CN"/>
              </w:rPr>
            </w:pPr>
            <w:r>
              <w:rPr>
                <w:rFonts w:hint="eastAsia" w:ascii="宋体" w:hAnsi="宋体" w:eastAsia="宋体" w:cs="宋体"/>
                <w:color w:val="auto"/>
                <w:szCs w:val="21"/>
                <w:highlight w:val="none"/>
              </w:rPr>
              <w:t>附录</w:t>
            </w:r>
            <w:r>
              <w:rPr>
                <w:rFonts w:hint="default"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p>
        </w:tc>
        <w:tc>
          <w:tcPr>
            <w:tcW w:w="3610" w:type="dxa"/>
            <w:vAlign w:val="center"/>
          </w:tcPr>
          <w:p>
            <w:pPr>
              <w:keepNext w:val="0"/>
              <w:keepLines w:val="0"/>
              <w:suppressLineNumbers w:val="0"/>
              <w:spacing w:before="0" w:beforeAutospacing="0" w:after="0" w:afterAutospacing="0" w:line="360" w:lineRule="auto"/>
              <w:ind w:left="2"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基础资料和勘察设计任务书</w:t>
            </w:r>
          </w:p>
        </w:tc>
        <w:tc>
          <w:tcPr>
            <w:tcW w:w="3717" w:type="dxa"/>
            <w:vAlign w:val="center"/>
          </w:tcPr>
          <w:p>
            <w:pPr>
              <w:keepNext w:val="0"/>
              <w:keepLines w:val="0"/>
              <w:suppressLineNumbers w:val="0"/>
              <w:spacing w:before="0" w:beforeAutospacing="0" w:after="0" w:afterAutospacing="0" w:line="360" w:lineRule="auto"/>
              <w:ind w:left="0" w:right="0"/>
              <w:rPr>
                <w:rFonts w:hint="default" w:ascii="宋体" w:hAnsi="宋体" w:eastAsia="宋体" w:cs="Times New Roman"/>
                <w:color w:val="auto"/>
                <w:szCs w:val="21"/>
                <w:highlight w:val="none"/>
              </w:rPr>
            </w:pPr>
            <w:r>
              <w:rPr>
                <w:rFonts w:hint="eastAsia" w:ascii="宋体" w:hAnsi="宋体" w:eastAsia="宋体" w:cs="Times New Roman"/>
                <w:b/>
                <w:bCs/>
                <w:color w:val="auto"/>
                <w:szCs w:val="21"/>
                <w:highlight w:val="none"/>
              </w:rPr>
              <w:t>修改：</w:t>
            </w:r>
            <w:r>
              <w:rPr>
                <w:rFonts w:hint="eastAsia" w:ascii="宋体" w:hAnsi="宋体" w:eastAsia="宋体" w:cs="宋体"/>
                <w:color w:val="auto"/>
                <w:szCs w:val="21"/>
                <w:highlight w:val="none"/>
              </w:rPr>
              <w:t>附录</w:t>
            </w:r>
            <w:r>
              <w:rPr>
                <w:rFonts w:hint="default"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Times New Roman"/>
                <w:color w:val="auto"/>
                <w:szCs w:val="21"/>
                <w:highlight w:val="none"/>
              </w:rPr>
              <w:t>投标方案评语</w:t>
            </w:r>
            <w:r>
              <w:rPr>
                <w:rFonts w:hint="eastAsia" w:ascii="宋体" w:hAnsi="宋体" w:eastAsia="宋体" w:cs="Times New Roman"/>
                <w:color w:val="auto"/>
                <w:szCs w:val="21"/>
                <w:highlight w:val="none"/>
                <w:u w:val="single"/>
              </w:rPr>
              <w:t>（见招标文件附录</w:t>
            </w:r>
            <w:r>
              <w:rPr>
                <w:rFonts w:hint="default" w:ascii="宋体" w:hAnsi="宋体" w:eastAsia="宋体" w:cs="Times New Roman"/>
                <w:color w:val="auto"/>
                <w:szCs w:val="21"/>
                <w:highlight w:val="none"/>
                <w:u w:val="single"/>
              </w:rPr>
              <w:t>1</w:t>
            </w:r>
            <w:r>
              <w:rPr>
                <w:rFonts w:hint="eastAsia" w:ascii="宋体" w:hAnsi="宋体" w:eastAsia="宋体" w:cs="Times New Roman"/>
                <w:color w:val="auto"/>
                <w:szCs w:val="21"/>
                <w:highlight w:val="none"/>
                <w:u w:val="single"/>
                <w:lang w:val="en-US" w:eastAsia="zh-CN"/>
              </w:rPr>
              <w:t>6</w:t>
            </w:r>
            <w:r>
              <w:rPr>
                <w:rFonts w:hint="eastAsia" w:ascii="宋体" w:hAnsi="宋体" w:eastAsia="宋体" w:cs="Times New Roman"/>
                <w:color w:val="auto"/>
                <w:szCs w:val="21"/>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szCs w:val="21"/>
                <w:highlight w:val="none"/>
                <w:lang w:eastAsia="zh-CN"/>
              </w:rPr>
              <w:t>5</w:t>
            </w:r>
            <w:r>
              <w:rPr>
                <w:rFonts w:hint="eastAsia" w:ascii="宋体" w:hAnsi="宋体" w:eastAsia="宋体" w:cs="宋体"/>
                <w:color w:val="auto"/>
                <w:szCs w:val="21"/>
                <w:highlight w:val="none"/>
                <w:lang w:val="en-US" w:eastAsia="zh-CN"/>
              </w:rPr>
              <w:t>5</w:t>
            </w:r>
          </w:p>
        </w:tc>
        <w:tc>
          <w:tcPr>
            <w:tcW w:w="1248" w:type="dxa"/>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szCs w:val="21"/>
                <w:highlight w:val="none"/>
                <w:lang w:eastAsia="zh-CN"/>
              </w:rPr>
            </w:pPr>
            <w:r>
              <w:rPr>
                <w:rFonts w:hint="eastAsia" w:ascii="宋体" w:hAnsi="宋体" w:eastAsia="宋体" w:cs="Times New Roman"/>
                <w:b/>
                <w:bCs/>
                <w:color w:val="auto"/>
                <w:szCs w:val="21"/>
                <w:highlight w:val="none"/>
              </w:rPr>
              <w:t>附录</w:t>
            </w:r>
            <w:r>
              <w:rPr>
                <w:rFonts w:hint="default" w:ascii="宋体" w:hAnsi="宋体" w:eastAsia="宋体" w:cs="Times New Roman"/>
                <w:b/>
                <w:bCs/>
                <w:color w:val="auto"/>
                <w:szCs w:val="21"/>
                <w:highlight w:val="none"/>
              </w:rPr>
              <w:t>16-</w:t>
            </w:r>
            <w:r>
              <w:rPr>
                <w:rFonts w:hint="eastAsia" w:ascii="宋体" w:hAnsi="宋体" w:eastAsia="宋体" w:cs="Times New Roman"/>
                <w:b/>
                <w:bCs/>
                <w:color w:val="auto"/>
                <w:szCs w:val="21"/>
                <w:highlight w:val="none"/>
                <w:lang w:val="en-US" w:eastAsia="zh-CN"/>
              </w:rPr>
              <w:t>1</w:t>
            </w:r>
          </w:p>
        </w:tc>
        <w:tc>
          <w:tcPr>
            <w:tcW w:w="3610" w:type="dxa"/>
            <w:vAlign w:val="center"/>
          </w:tcPr>
          <w:p>
            <w:pPr>
              <w:keepNext w:val="0"/>
              <w:keepLines w:val="0"/>
              <w:suppressLineNumbers w:val="0"/>
              <w:spacing w:before="0" w:beforeAutospacing="0" w:after="0" w:afterAutospacing="0" w:line="276" w:lineRule="auto"/>
              <w:ind w:left="0" w:leftChars="0" w:right="0" w:rightChars="0"/>
              <w:jc w:val="center"/>
              <w:rPr>
                <w:rFonts w:hint="default" w:ascii="宋体" w:hAnsi="宋体" w:eastAsia="宋体" w:cs="宋体"/>
                <w:color w:val="auto"/>
                <w:szCs w:val="21"/>
                <w:highlight w:val="none"/>
              </w:rPr>
            </w:pPr>
            <w:r>
              <w:rPr>
                <w:rFonts w:hint="eastAsia" w:ascii="宋体" w:hAnsi="宋体" w:eastAsia="宋体" w:cs="Times New Roman"/>
                <w:color w:val="auto"/>
                <w:szCs w:val="21"/>
                <w:highlight w:val="none"/>
              </w:rPr>
              <w:t>增加</w:t>
            </w:r>
          </w:p>
        </w:tc>
        <w:tc>
          <w:tcPr>
            <w:tcW w:w="3717" w:type="dxa"/>
            <w:vAlign w:val="center"/>
          </w:tcPr>
          <w:p>
            <w:pPr>
              <w:keepNext w:val="0"/>
              <w:keepLines w:val="0"/>
              <w:suppressLineNumbers w:val="0"/>
              <w:spacing w:before="0" w:beforeAutospacing="0" w:after="0" w:afterAutospacing="0" w:line="276" w:lineRule="auto"/>
              <w:ind w:left="0" w:leftChars="0" w:right="0" w:rightChars="0"/>
              <w:jc w:val="left"/>
              <w:rPr>
                <w:rFonts w:hint="default"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附录</w:t>
            </w:r>
            <w:r>
              <w:rPr>
                <w:rFonts w:hint="default" w:ascii="宋体" w:hAnsi="宋体" w:eastAsia="宋体" w:cs="Times New Roman"/>
                <w:b/>
                <w:bCs/>
                <w:color w:val="auto"/>
                <w:szCs w:val="21"/>
                <w:highlight w:val="none"/>
              </w:rPr>
              <w:t>16-</w:t>
            </w:r>
            <w:r>
              <w:rPr>
                <w:rFonts w:hint="eastAsia" w:ascii="宋体" w:hAnsi="宋体" w:eastAsia="宋体" w:cs="Times New Roman"/>
                <w:b/>
                <w:bCs/>
                <w:color w:val="auto"/>
                <w:szCs w:val="21"/>
                <w:highlight w:val="none"/>
                <w:lang w:val="en-US" w:eastAsia="zh-CN"/>
              </w:rPr>
              <w:t>1</w:t>
            </w:r>
            <w:r>
              <w:rPr>
                <w:rFonts w:hint="eastAsia" w:ascii="宋体" w:hAnsi="宋体" w:eastAsia="宋体" w:cs="宋体"/>
                <w:b/>
                <w:bCs/>
                <w:color w:val="auto"/>
                <w:szCs w:val="21"/>
                <w:highlight w:val="none"/>
                <w:u w:val="single"/>
              </w:rPr>
              <w:t>《投票表格》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szCs w:val="21"/>
                <w:highlight w:val="none"/>
                <w:lang w:eastAsia="zh-CN"/>
              </w:rPr>
              <w:t>5</w:t>
            </w:r>
            <w:r>
              <w:rPr>
                <w:rFonts w:hint="eastAsia" w:ascii="宋体" w:hAnsi="宋体" w:eastAsia="宋体" w:cs="宋体"/>
                <w:color w:val="auto"/>
                <w:szCs w:val="21"/>
                <w:highlight w:val="none"/>
                <w:lang w:val="en-US" w:eastAsia="zh-CN"/>
              </w:rPr>
              <w:t>6</w:t>
            </w:r>
          </w:p>
        </w:tc>
        <w:tc>
          <w:tcPr>
            <w:tcW w:w="124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b/>
                <w:bCs/>
                <w:color w:val="auto"/>
                <w:szCs w:val="21"/>
                <w:highlight w:val="none"/>
                <w:lang w:eastAsia="zh-CN"/>
              </w:rPr>
            </w:pPr>
            <w:r>
              <w:rPr>
                <w:rFonts w:hint="eastAsia" w:ascii="宋体" w:hAnsi="宋体" w:eastAsia="宋体" w:cs="Times New Roman"/>
                <w:b/>
                <w:bCs/>
                <w:color w:val="auto"/>
                <w:szCs w:val="21"/>
                <w:highlight w:val="none"/>
              </w:rPr>
              <w:t>附录</w:t>
            </w:r>
            <w:r>
              <w:rPr>
                <w:rFonts w:hint="default" w:ascii="宋体" w:hAnsi="宋体" w:eastAsia="宋体" w:cs="Times New Roman"/>
                <w:b/>
                <w:bCs/>
                <w:color w:val="auto"/>
                <w:szCs w:val="21"/>
                <w:highlight w:val="none"/>
              </w:rPr>
              <w:t>16-</w:t>
            </w:r>
            <w:r>
              <w:rPr>
                <w:rFonts w:hint="eastAsia" w:ascii="宋体" w:hAnsi="宋体" w:eastAsia="宋体" w:cs="Times New Roman"/>
                <w:b/>
                <w:bCs/>
                <w:color w:val="auto"/>
                <w:szCs w:val="21"/>
                <w:highlight w:val="none"/>
                <w:lang w:val="en-US" w:eastAsia="zh-CN"/>
              </w:rPr>
              <w:t>2</w:t>
            </w:r>
          </w:p>
        </w:tc>
        <w:tc>
          <w:tcPr>
            <w:tcW w:w="3610" w:type="dxa"/>
            <w:vAlign w:val="center"/>
          </w:tcPr>
          <w:p>
            <w:pPr>
              <w:keepNext w:val="0"/>
              <w:keepLines w:val="0"/>
              <w:suppressLineNumbers w:val="0"/>
              <w:spacing w:before="0" w:beforeAutospacing="0" w:after="0" w:afterAutospacing="0" w:line="276" w:lineRule="auto"/>
              <w:ind w:left="0" w:right="0"/>
              <w:jc w:val="center"/>
              <w:rPr>
                <w:rFonts w:hint="default" w:ascii="宋体" w:hAnsi="宋体" w:eastAsia="宋体" w:cs="宋体"/>
                <w:color w:val="auto"/>
                <w:szCs w:val="21"/>
                <w:highlight w:val="none"/>
              </w:rPr>
            </w:pPr>
            <w:r>
              <w:rPr>
                <w:rFonts w:hint="eastAsia" w:ascii="宋体" w:hAnsi="宋体" w:eastAsia="宋体" w:cs="Times New Roman"/>
                <w:color w:val="auto"/>
                <w:szCs w:val="21"/>
                <w:highlight w:val="none"/>
              </w:rPr>
              <w:t>增加</w:t>
            </w:r>
          </w:p>
        </w:tc>
        <w:tc>
          <w:tcPr>
            <w:tcW w:w="3717" w:type="dxa"/>
            <w:vAlign w:val="center"/>
          </w:tcPr>
          <w:p>
            <w:pPr>
              <w:keepNext w:val="0"/>
              <w:keepLines w:val="0"/>
              <w:suppressLineNumbers w:val="0"/>
              <w:spacing w:before="0" w:beforeAutospacing="0" w:after="0" w:afterAutospacing="0" w:line="276" w:lineRule="auto"/>
              <w:ind w:left="0" w:right="0"/>
              <w:jc w:val="left"/>
              <w:rPr>
                <w:rFonts w:hint="default" w:ascii="宋体" w:hAnsi="宋体" w:eastAsia="宋体" w:cs="宋体"/>
                <w:color w:val="auto"/>
                <w:szCs w:val="21"/>
                <w:highlight w:val="none"/>
                <w:lang w:eastAsia="zh-CN"/>
              </w:rPr>
            </w:pPr>
            <w:r>
              <w:rPr>
                <w:rFonts w:hint="eastAsia" w:ascii="宋体" w:hAnsi="宋体" w:eastAsia="宋体" w:cs="Times New Roman"/>
                <w:b/>
                <w:bCs/>
                <w:color w:val="auto"/>
                <w:szCs w:val="21"/>
                <w:highlight w:val="none"/>
              </w:rPr>
              <w:t>附录</w:t>
            </w:r>
            <w:r>
              <w:rPr>
                <w:rFonts w:hint="default" w:ascii="宋体" w:hAnsi="宋体" w:eastAsia="宋体" w:cs="Times New Roman"/>
                <w:b/>
                <w:bCs/>
                <w:color w:val="auto"/>
                <w:szCs w:val="21"/>
                <w:highlight w:val="none"/>
              </w:rPr>
              <w:t>16-</w:t>
            </w:r>
            <w:r>
              <w:rPr>
                <w:rFonts w:hint="eastAsia" w:ascii="宋体" w:hAnsi="宋体" w:eastAsia="宋体" w:cs="Times New Roman"/>
                <w:b/>
                <w:bCs/>
                <w:color w:val="auto"/>
                <w:szCs w:val="21"/>
                <w:highlight w:val="none"/>
                <w:lang w:val="en-US" w:eastAsia="zh-CN"/>
              </w:rPr>
              <w:t>2</w:t>
            </w:r>
            <w:r>
              <w:rPr>
                <w:rFonts w:hint="eastAsia" w:ascii="宋体" w:hAnsi="宋体" w:eastAsia="宋体" w:cs="宋体"/>
                <w:b/>
                <w:bCs/>
                <w:color w:val="auto"/>
                <w:szCs w:val="21"/>
                <w:highlight w:val="none"/>
                <w:u w:val="single"/>
              </w:rPr>
              <w:t>《定标评语》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2"/>
                <w:sz w:val="21"/>
                <w:szCs w:val="21"/>
                <w:highlight w:val="none"/>
                <w:lang w:val="en-US" w:eastAsia="zh-CN" w:bidi="ar-SA"/>
              </w:rPr>
            </w:pPr>
            <w:bookmarkStart w:id="9" w:name="OLE_LINK20" w:colFirst="1" w:colLast="3"/>
            <w:r>
              <w:rPr>
                <w:rFonts w:hint="default" w:ascii="宋体" w:hAnsi="宋体" w:eastAsia="宋体" w:cs="宋体"/>
                <w:color w:val="auto"/>
                <w:szCs w:val="21"/>
                <w:highlight w:val="none"/>
                <w:lang w:eastAsia="zh-CN"/>
              </w:rPr>
              <w:t>5</w:t>
            </w:r>
            <w:r>
              <w:rPr>
                <w:rFonts w:hint="eastAsia" w:ascii="宋体" w:hAnsi="宋体" w:eastAsia="宋体" w:cs="宋体"/>
                <w:color w:val="auto"/>
                <w:szCs w:val="21"/>
                <w:highlight w:val="none"/>
                <w:lang w:val="en-US" w:eastAsia="zh-CN"/>
              </w:rPr>
              <w:t>7</w:t>
            </w:r>
          </w:p>
        </w:tc>
        <w:tc>
          <w:tcPr>
            <w:tcW w:w="1248" w:type="dxa"/>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b/>
                <w:bCs/>
                <w:color w:val="auto"/>
                <w:szCs w:val="21"/>
                <w:highlight w:val="none"/>
              </w:rPr>
              <w:t>附录</w:t>
            </w:r>
            <w:r>
              <w:rPr>
                <w:rFonts w:hint="default" w:ascii="宋体" w:hAnsi="宋体" w:eastAsia="宋体" w:cs="Times New Roman"/>
                <w:b/>
                <w:bCs/>
                <w:color w:val="auto"/>
                <w:szCs w:val="21"/>
                <w:highlight w:val="none"/>
              </w:rPr>
              <w:t>16-</w:t>
            </w:r>
            <w:r>
              <w:rPr>
                <w:rFonts w:hint="eastAsia" w:ascii="宋体" w:hAnsi="宋体" w:eastAsia="宋体" w:cs="Times New Roman"/>
                <w:b/>
                <w:bCs/>
                <w:color w:val="auto"/>
                <w:szCs w:val="21"/>
                <w:highlight w:val="none"/>
                <w:lang w:val="en-US" w:eastAsia="zh-CN"/>
              </w:rPr>
              <w:t>3</w:t>
            </w:r>
          </w:p>
        </w:tc>
        <w:tc>
          <w:tcPr>
            <w:tcW w:w="3610" w:type="dxa"/>
            <w:vAlign w:val="center"/>
          </w:tcPr>
          <w:p>
            <w:pPr>
              <w:keepNext w:val="0"/>
              <w:keepLines w:val="0"/>
              <w:suppressLineNumbers w:val="0"/>
              <w:spacing w:before="0" w:beforeAutospacing="0" w:after="0" w:afterAutospacing="0" w:line="276" w:lineRule="auto"/>
              <w:ind w:left="0" w:leftChars="0" w:right="0" w:rightChars="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增加</w:t>
            </w:r>
          </w:p>
        </w:tc>
        <w:tc>
          <w:tcPr>
            <w:tcW w:w="3717" w:type="dxa"/>
            <w:vAlign w:val="center"/>
          </w:tcPr>
          <w:p>
            <w:pPr>
              <w:keepNext w:val="0"/>
              <w:keepLines w:val="0"/>
              <w:suppressLineNumbers w:val="0"/>
              <w:spacing w:before="0" w:beforeAutospacing="0" w:after="0" w:afterAutospacing="0" w:line="276" w:lineRule="auto"/>
              <w:ind w:left="0" w:leftChars="0" w:right="0" w:rightChars="0"/>
              <w:jc w:val="left"/>
              <w:rPr>
                <w:rFonts w:hint="default" w:ascii="宋体" w:hAnsi="宋体" w:eastAsia="宋体" w:cs="Times New Roman"/>
                <w:b/>
                <w:bCs/>
                <w:color w:val="auto"/>
                <w:szCs w:val="21"/>
                <w:highlight w:val="none"/>
                <w:lang w:eastAsia="zh-CN"/>
              </w:rPr>
            </w:pPr>
            <w:r>
              <w:rPr>
                <w:rFonts w:hint="eastAsia" w:ascii="宋体" w:hAnsi="宋体" w:eastAsia="宋体" w:cs="Times New Roman"/>
                <w:b/>
                <w:bCs/>
                <w:color w:val="auto"/>
                <w:szCs w:val="21"/>
                <w:highlight w:val="none"/>
              </w:rPr>
              <w:t>附录</w:t>
            </w:r>
            <w:r>
              <w:rPr>
                <w:rFonts w:hint="default" w:ascii="宋体" w:hAnsi="宋体" w:eastAsia="宋体" w:cs="Times New Roman"/>
                <w:b/>
                <w:bCs/>
                <w:color w:val="auto"/>
                <w:szCs w:val="21"/>
                <w:highlight w:val="none"/>
              </w:rPr>
              <w:t>16-</w:t>
            </w:r>
            <w:r>
              <w:rPr>
                <w:rFonts w:hint="eastAsia" w:ascii="宋体" w:hAnsi="宋体" w:eastAsia="宋体" w:cs="Times New Roman"/>
                <w:b/>
                <w:bCs/>
                <w:color w:val="auto"/>
                <w:szCs w:val="21"/>
                <w:highlight w:val="none"/>
                <w:lang w:val="en-US" w:eastAsia="zh-CN"/>
              </w:rPr>
              <w:t>3</w:t>
            </w:r>
            <w:r>
              <w:rPr>
                <w:rFonts w:hint="eastAsia" w:ascii="宋体" w:hAnsi="宋体" w:eastAsia="宋体" w:cs="宋体"/>
                <w:b/>
                <w:bCs/>
                <w:color w:val="auto"/>
                <w:szCs w:val="21"/>
                <w:highlight w:val="none"/>
                <w:u w:val="single"/>
              </w:rPr>
              <w:t>《投票表格》</w:t>
            </w:r>
          </w:p>
        </w:tc>
      </w:tr>
      <w:bookmark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szCs w:val="21"/>
                <w:highlight w:val="none"/>
                <w:lang w:eastAsia="zh-CN"/>
              </w:rPr>
              <w:t>5</w:t>
            </w:r>
            <w:r>
              <w:rPr>
                <w:rFonts w:hint="eastAsia" w:ascii="宋体" w:hAnsi="宋体" w:eastAsia="宋体" w:cs="宋体"/>
                <w:color w:val="auto"/>
                <w:szCs w:val="21"/>
                <w:highlight w:val="none"/>
                <w:lang w:val="en-US" w:eastAsia="zh-CN"/>
              </w:rPr>
              <w:t>8</w:t>
            </w:r>
          </w:p>
        </w:tc>
        <w:tc>
          <w:tcPr>
            <w:tcW w:w="1248" w:type="dxa"/>
            <w:vAlign w:val="center"/>
          </w:tcPr>
          <w:p>
            <w:pPr>
              <w:keepNext w:val="0"/>
              <w:keepLines w:val="0"/>
              <w:widowControl/>
              <w:suppressLineNumbers w:val="0"/>
              <w:snapToGrid w:val="0"/>
              <w:spacing w:before="0" w:beforeAutospacing="0" w:after="0" w:afterAutospacing="0" w:line="360" w:lineRule="auto"/>
              <w:ind w:left="0" w:right="0"/>
              <w:jc w:val="center"/>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附录</w:t>
            </w:r>
            <w:r>
              <w:rPr>
                <w:rFonts w:hint="default" w:ascii="宋体" w:hAnsi="宋体" w:eastAsia="宋体" w:cs="Times New Roman"/>
                <w:color w:val="auto"/>
                <w:kern w:val="0"/>
                <w:sz w:val="21"/>
                <w:szCs w:val="21"/>
                <w:highlight w:val="none"/>
                <w:lang w:val="en-US" w:eastAsia="zh-CN" w:bidi="ar-SA"/>
              </w:rPr>
              <w:t>17</w:t>
            </w:r>
          </w:p>
        </w:tc>
        <w:tc>
          <w:tcPr>
            <w:tcW w:w="3610" w:type="dxa"/>
            <w:vAlign w:val="center"/>
          </w:tcPr>
          <w:p>
            <w:pPr>
              <w:keepNext w:val="0"/>
              <w:keepLines w:val="0"/>
              <w:suppressLineNumbers w:val="0"/>
              <w:spacing w:before="0" w:beforeAutospacing="0" w:after="0" w:afterAutospacing="0" w:line="276" w:lineRule="auto"/>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增加</w:t>
            </w:r>
          </w:p>
        </w:tc>
        <w:tc>
          <w:tcPr>
            <w:tcW w:w="3717" w:type="dxa"/>
            <w:vAlign w:val="center"/>
          </w:tcPr>
          <w:p>
            <w:pPr>
              <w:keepNext w:val="0"/>
              <w:keepLines w:val="0"/>
              <w:suppressLineNumbers w:val="0"/>
              <w:spacing w:before="0" w:beforeAutospacing="0" w:after="0" w:afterAutospacing="0" w:line="276" w:lineRule="auto"/>
              <w:ind w:left="0" w:right="0"/>
              <w:jc w:val="left"/>
              <w:rPr>
                <w:rFonts w:hint="default"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附录</w:t>
            </w:r>
            <w:r>
              <w:rPr>
                <w:rFonts w:hint="default" w:ascii="宋体" w:hAnsi="宋体" w:eastAsia="宋体" w:cs="Times New Roman"/>
                <w:b/>
                <w:bCs/>
                <w:color w:val="auto"/>
                <w:szCs w:val="21"/>
                <w:highlight w:val="none"/>
              </w:rPr>
              <w:t>17</w:t>
            </w:r>
            <w:r>
              <w:rPr>
                <w:rFonts w:hint="eastAsia" w:ascii="宋体" w:hAnsi="宋体" w:eastAsia="宋体" w:cs="Times New Roman"/>
                <w:color w:val="auto"/>
                <w:szCs w:val="21"/>
                <w:highlight w:val="none"/>
              </w:rPr>
              <w:t>拟投入的人员基本情况及主要负责人简历表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szCs w:val="21"/>
                <w:highlight w:val="none"/>
                <w:lang w:eastAsia="zh-CN"/>
              </w:rPr>
              <w:t>5</w:t>
            </w:r>
            <w:r>
              <w:rPr>
                <w:rFonts w:hint="eastAsia" w:ascii="宋体" w:hAnsi="宋体" w:eastAsia="宋体" w:cs="宋体"/>
                <w:color w:val="auto"/>
                <w:szCs w:val="21"/>
                <w:highlight w:val="none"/>
                <w:lang w:val="en-US" w:eastAsia="zh-CN"/>
              </w:rPr>
              <w:t>9</w:t>
            </w:r>
          </w:p>
        </w:tc>
        <w:tc>
          <w:tcPr>
            <w:tcW w:w="1248" w:type="dxa"/>
            <w:vAlign w:val="center"/>
          </w:tcPr>
          <w:p>
            <w:pPr>
              <w:keepNext w:val="0"/>
              <w:keepLines w:val="0"/>
              <w:widowControl/>
              <w:suppressLineNumbers w:val="0"/>
              <w:snapToGrid w:val="0"/>
              <w:spacing w:before="0" w:beforeAutospacing="0" w:after="0" w:afterAutospacing="0" w:line="360" w:lineRule="auto"/>
              <w:ind w:left="0" w:right="0"/>
              <w:jc w:val="center"/>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附录</w:t>
            </w:r>
            <w:r>
              <w:rPr>
                <w:rFonts w:hint="default" w:ascii="宋体" w:hAnsi="宋体" w:eastAsia="宋体" w:cs="Times New Roman"/>
                <w:color w:val="auto"/>
                <w:kern w:val="0"/>
                <w:sz w:val="21"/>
                <w:szCs w:val="21"/>
                <w:highlight w:val="none"/>
                <w:lang w:val="en-US" w:eastAsia="zh-CN" w:bidi="ar-SA"/>
              </w:rPr>
              <w:t>18</w:t>
            </w:r>
          </w:p>
        </w:tc>
        <w:tc>
          <w:tcPr>
            <w:tcW w:w="3610" w:type="dxa"/>
            <w:vAlign w:val="center"/>
          </w:tcPr>
          <w:p>
            <w:pPr>
              <w:keepNext w:val="0"/>
              <w:keepLines w:val="0"/>
              <w:suppressLineNumbers w:val="0"/>
              <w:spacing w:before="0" w:beforeAutospacing="0" w:after="0" w:afterAutospacing="0" w:line="276" w:lineRule="auto"/>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增加</w:t>
            </w:r>
          </w:p>
        </w:tc>
        <w:tc>
          <w:tcPr>
            <w:tcW w:w="3717" w:type="dxa"/>
            <w:vAlign w:val="center"/>
          </w:tcPr>
          <w:p>
            <w:pPr>
              <w:keepNext w:val="0"/>
              <w:keepLines w:val="0"/>
              <w:suppressLineNumbers w:val="0"/>
              <w:spacing w:before="0" w:beforeAutospacing="0" w:after="0" w:afterAutospacing="0" w:line="276" w:lineRule="auto"/>
              <w:ind w:left="0" w:right="0"/>
              <w:jc w:val="left"/>
              <w:rPr>
                <w:rFonts w:hint="default"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附录</w:t>
            </w:r>
            <w:r>
              <w:rPr>
                <w:rFonts w:hint="default" w:ascii="宋体" w:hAnsi="宋体" w:eastAsia="宋体" w:cs="Times New Roman"/>
                <w:b/>
                <w:bCs/>
                <w:color w:val="auto"/>
                <w:szCs w:val="21"/>
                <w:highlight w:val="none"/>
              </w:rPr>
              <w:t>18</w:t>
            </w:r>
            <w:r>
              <w:rPr>
                <w:rFonts w:hint="eastAsia" w:ascii="宋体" w:hAnsi="宋体" w:eastAsia="宋体" w:cs="Times New Roman"/>
                <w:color w:val="auto"/>
                <w:szCs w:val="21"/>
                <w:highlight w:val="none"/>
              </w:rPr>
              <w:t>投标人已完成项目及获奖情况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60</w:t>
            </w:r>
          </w:p>
        </w:tc>
        <w:tc>
          <w:tcPr>
            <w:tcW w:w="1248" w:type="dxa"/>
            <w:vAlign w:val="center"/>
          </w:tcPr>
          <w:p>
            <w:pPr>
              <w:keepNext w:val="0"/>
              <w:keepLines w:val="0"/>
              <w:widowControl/>
              <w:suppressLineNumbers w:val="0"/>
              <w:snapToGrid w:val="0"/>
              <w:spacing w:before="0" w:beforeAutospacing="0" w:after="0" w:afterAutospacing="0" w:line="360" w:lineRule="auto"/>
              <w:ind w:left="0" w:right="0"/>
              <w:jc w:val="center"/>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附录</w:t>
            </w:r>
            <w:r>
              <w:rPr>
                <w:rFonts w:hint="default" w:ascii="宋体" w:hAnsi="宋体" w:eastAsia="宋体" w:cs="Times New Roman"/>
                <w:color w:val="auto"/>
                <w:kern w:val="0"/>
                <w:sz w:val="21"/>
                <w:szCs w:val="21"/>
                <w:highlight w:val="none"/>
                <w:lang w:val="en-US" w:eastAsia="zh-CN" w:bidi="ar-SA"/>
              </w:rPr>
              <w:t>19</w:t>
            </w:r>
          </w:p>
        </w:tc>
        <w:tc>
          <w:tcPr>
            <w:tcW w:w="3610" w:type="dxa"/>
            <w:vAlign w:val="center"/>
          </w:tcPr>
          <w:p>
            <w:pPr>
              <w:keepNext w:val="0"/>
              <w:keepLines w:val="0"/>
              <w:suppressLineNumbers w:val="0"/>
              <w:spacing w:before="0" w:beforeAutospacing="0" w:after="0" w:afterAutospacing="0" w:line="276" w:lineRule="auto"/>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增加</w:t>
            </w:r>
          </w:p>
        </w:tc>
        <w:tc>
          <w:tcPr>
            <w:tcW w:w="3717" w:type="dxa"/>
            <w:vAlign w:val="center"/>
          </w:tcPr>
          <w:p>
            <w:pPr>
              <w:keepNext w:val="0"/>
              <w:keepLines w:val="0"/>
              <w:suppressLineNumbers w:val="0"/>
              <w:spacing w:before="0" w:beforeAutospacing="0" w:after="0" w:afterAutospacing="0" w:line="276" w:lineRule="auto"/>
              <w:ind w:left="0" w:right="0"/>
              <w:jc w:val="left"/>
              <w:rPr>
                <w:rFonts w:hint="default"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附录</w:t>
            </w:r>
            <w:r>
              <w:rPr>
                <w:rFonts w:hint="default" w:ascii="宋体" w:hAnsi="宋体" w:eastAsia="宋体" w:cs="Times New Roman"/>
                <w:b/>
                <w:bCs/>
                <w:color w:val="auto"/>
                <w:szCs w:val="21"/>
                <w:highlight w:val="none"/>
              </w:rPr>
              <w:t xml:space="preserve">19 </w:t>
            </w:r>
            <w:r>
              <w:rPr>
                <w:rFonts w:hint="eastAsia" w:ascii="宋体" w:hAnsi="宋体" w:eastAsia="宋体" w:cs="Times New Roman"/>
                <w:b/>
                <w:bCs/>
                <w:color w:val="auto"/>
                <w:szCs w:val="21"/>
                <w:highlight w:val="none"/>
              </w:rPr>
              <w:t>基础资料和勘察设计任务书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61</w:t>
            </w:r>
          </w:p>
        </w:tc>
        <w:tc>
          <w:tcPr>
            <w:tcW w:w="1248" w:type="dxa"/>
            <w:vAlign w:val="center"/>
          </w:tcPr>
          <w:p>
            <w:pPr>
              <w:keepNext w:val="0"/>
              <w:keepLines w:val="0"/>
              <w:widowControl/>
              <w:suppressLineNumbers w:val="0"/>
              <w:snapToGrid w:val="0"/>
              <w:spacing w:before="0" w:beforeAutospacing="0" w:after="0" w:afterAutospacing="0" w:line="360" w:lineRule="auto"/>
              <w:ind w:left="0" w:right="0"/>
              <w:jc w:val="center"/>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附录20</w:t>
            </w:r>
          </w:p>
        </w:tc>
        <w:tc>
          <w:tcPr>
            <w:tcW w:w="3610" w:type="dxa"/>
            <w:vAlign w:val="center"/>
          </w:tcPr>
          <w:p>
            <w:pPr>
              <w:keepNext w:val="0"/>
              <w:keepLines w:val="0"/>
              <w:suppressLineNumbers w:val="0"/>
              <w:spacing w:before="0" w:beforeAutospacing="0" w:after="0" w:afterAutospacing="0" w:line="273" w:lineRule="auto"/>
              <w:ind w:left="0" w:right="0"/>
              <w:jc w:val="center"/>
              <w:rPr>
                <w:rFonts w:hint="default" w:ascii="宋体" w:hAnsi="宋体" w:eastAsia="宋体" w:cs="Times New Roman"/>
                <w:color w:val="auto"/>
                <w:szCs w:val="21"/>
                <w:highlight w:val="none"/>
              </w:rPr>
            </w:pPr>
            <w:r>
              <w:rPr>
                <w:rFonts w:hint="eastAsia" w:ascii="宋体" w:hAnsi="宋体" w:eastAsia="宋体" w:cs="宋体"/>
                <w:color w:val="auto"/>
                <w:kern w:val="2"/>
                <w:sz w:val="21"/>
                <w:szCs w:val="21"/>
                <w:highlight w:val="none"/>
                <w:lang w:val="en-US" w:eastAsia="zh-CN" w:bidi="ar"/>
              </w:rPr>
              <w:t>增加</w:t>
            </w:r>
          </w:p>
        </w:tc>
        <w:tc>
          <w:tcPr>
            <w:tcW w:w="3717" w:type="dxa"/>
            <w:vAlign w:val="center"/>
          </w:tcPr>
          <w:p>
            <w:pPr>
              <w:keepNext w:val="0"/>
              <w:keepLines w:val="0"/>
              <w:suppressLineNumbers w:val="0"/>
              <w:spacing w:before="0" w:beforeAutospacing="0" w:after="0" w:afterAutospacing="0" w:line="273" w:lineRule="auto"/>
              <w:ind w:left="0" w:right="0"/>
              <w:jc w:val="left"/>
              <w:rPr>
                <w:rFonts w:hint="default" w:ascii="宋体" w:hAnsi="宋体" w:eastAsia="宋体" w:cs="Times New Roman"/>
                <w:b/>
                <w:bCs/>
                <w:color w:val="auto"/>
                <w:szCs w:val="21"/>
                <w:highlight w:val="none"/>
              </w:rPr>
            </w:pPr>
            <w:r>
              <w:rPr>
                <w:rFonts w:hint="eastAsia" w:ascii="宋体" w:hAnsi="宋体" w:eastAsia="宋体" w:cs="宋体"/>
                <w:b/>
                <w:color w:val="auto"/>
                <w:kern w:val="2"/>
                <w:sz w:val="21"/>
                <w:szCs w:val="21"/>
                <w:highlight w:val="none"/>
                <w:lang w:val="en-US" w:eastAsia="zh-CN" w:bidi="ar"/>
              </w:rPr>
              <w:t>附录20</w:t>
            </w:r>
            <w:r>
              <w:rPr>
                <w:rFonts w:hint="eastAsia" w:ascii="宋体" w:hAnsi="宋体" w:eastAsia="宋体" w:cs="Times New Roman"/>
                <w:b/>
                <w:color w:val="auto"/>
                <w:kern w:val="2"/>
                <w:sz w:val="21"/>
                <w:szCs w:val="21"/>
                <w:highlight w:val="none"/>
                <w:lang w:val="en-US" w:eastAsia="zh-CN" w:bidi="ar"/>
              </w:rPr>
              <w:t xml:space="preserve"> </w:t>
            </w:r>
            <w:r>
              <w:rPr>
                <w:rFonts w:hint="eastAsia" w:ascii="宋体" w:hAnsi="宋体" w:eastAsia="宋体" w:cs="宋体"/>
                <w:b/>
                <w:color w:val="auto"/>
                <w:kern w:val="2"/>
                <w:sz w:val="21"/>
                <w:szCs w:val="21"/>
                <w:highlight w:val="none"/>
                <w:lang w:val="en-US" w:eastAsia="zh-CN" w:bidi="ar"/>
              </w:rPr>
              <w:t>优胜设计方案奖励协议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62</w:t>
            </w:r>
          </w:p>
        </w:tc>
        <w:tc>
          <w:tcPr>
            <w:tcW w:w="124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szCs w:val="21"/>
                <w:highlight w:val="none"/>
                <w:lang w:val="en-US" w:eastAsia="zh-CN" w:bidi="ar"/>
              </w:rPr>
              <w:t>附录21</w:t>
            </w:r>
          </w:p>
        </w:tc>
        <w:tc>
          <w:tcPr>
            <w:tcW w:w="361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增加</w:t>
            </w:r>
          </w:p>
        </w:tc>
        <w:tc>
          <w:tcPr>
            <w:tcW w:w="3717" w:type="dxa"/>
            <w:vAlign w:val="center"/>
          </w:tcPr>
          <w:p>
            <w:pPr>
              <w:keepNext w:val="0"/>
              <w:keepLines w:val="0"/>
              <w:suppressLineNumbers w:val="0"/>
              <w:spacing w:before="0" w:beforeAutospacing="0" w:after="0" w:afterAutospacing="0"/>
              <w:ind w:left="0" w:right="0"/>
              <w:rPr>
                <w:rFonts w:hint="eastAsia" w:ascii="宋体" w:hAnsi="宋体" w:eastAsia="宋体" w:cs="宋体"/>
                <w:b/>
                <w:color w:val="auto"/>
                <w:kern w:val="2"/>
                <w:sz w:val="21"/>
                <w:szCs w:val="21"/>
                <w:highlight w:val="none"/>
                <w:lang w:val="en-US" w:eastAsia="zh-CN" w:bidi="ar"/>
              </w:rPr>
            </w:pPr>
            <w:r>
              <w:rPr>
                <w:rFonts w:hint="eastAsia" w:ascii="宋体" w:hAnsi="宋体"/>
                <w:b/>
                <w:bCs/>
                <w:color w:val="auto"/>
                <w:highlight w:val="none"/>
                <w:u w:val="single"/>
                <w:lang w:val="en-US" w:eastAsia="zh-CN"/>
              </w:rPr>
              <w:t>附录21：</w:t>
            </w:r>
            <w:r>
              <w:rPr>
                <w:rFonts w:hint="eastAsia" w:ascii="宋体" w:hAnsi="宋体" w:cs="宋体"/>
                <w:b/>
                <w:bCs/>
                <w:color w:val="auto"/>
                <w:szCs w:val="21"/>
                <w:highlight w:val="none"/>
                <w:u w:val="single"/>
              </w:rPr>
              <w:t>《评标委员会成员声明》</w:t>
            </w:r>
          </w:p>
        </w:tc>
      </w:tr>
    </w:tbl>
    <w:p>
      <w:pPr>
        <w:rPr>
          <w:rFonts w:ascii="宋体" w:hAnsi="宋体" w:eastAsia="宋体" w:cs="Times New Roman"/>
          <w:color w:val="auto"/>
          <w:highlight w:val="none"/>
        </w:rPr>
      </w:pPr>
    </w:p>
    <w:p>
      <w:pPr>
        <w:jc w:val="center"/>
        <w:outlineLvl w:val="9"/>
        <w:rPr>
          <w:rFonts w:ascii="Calibri" w:hAnsi="Calibri" w:eastAsia="宋体" w:cs="Times New Roman"/>
          <w:b/>
          <w:color w:val="auto"/>
          <w:sz w:val="32"/>
          <w:szCs w:val="32"/>
          <w:highlight w:val="none"/>
          <w:lang w:val="zh-CN"/>
        </w:rPr>
      </w:pPr>
      <w:r>
        <w:rPr>
          <w:rFonts w:ascii="宋体" w:hAnsi="宋体" w:eastAsia="宋体" w:cs="Times New Roman"/>
          <w:color w:val="auto"/>
          <w:highlight w:val="none"/>
        </w:rPr>
        <w:br w:type="page"/>
      </w:r>
    </w:p>
    <w:p>
      <w:pPr>
        <w:jc w:val="center"/>
        <w:outlineLvl w:val="1"/>
        <w:rPr>
          <w:rFonts w:ascii="Calibri" w:hAnsi="Calibri" w:eastAsia="宋体" w:cs="Times New Roman"/>
          <w:b/>
          <w:color w:val="auto"/>
          <w:sz w:val="32"/>
          <w:szCs w:val="32"/>
          <w:highlight w:val="none"/>
          <w:lang w:val="zh-CN"/>
        </w:rPr>
      </w:pPr>
      <w:bookmarkStart w:id="10" w:name="_Toc32063"/>
      <w:r>
        <w:rPr>
          <w:rFonts w:hint="eastAsia" w:ascii="Calibri" w:hAnsi="Calibri" w:eastAsia="宋体" w:cs="Times New Roman"/>
          <w:b/>
          <w:color w:val="auto"/>
          <w:sz w:val="24"/>
          <w:highlight w:val="none"/>
          <w:lang w:val="zh-CN"/>
        </w:rPr>
        <w:t>目</w:t>
      </w:r>
      <w:r>
        <w:rPr>
          <w:rFonts w:ascii="Calibri" w:hAnsi="Calibri" w:eastAsia="宋体" w:cs="Times New Roman"/>
          <w:b/>
          <w:color w:val="auto"/>
          <w:sz w:val="24"/>
          <w:highlight w:val="none"/>
          <w:lang w:val="zh-CN"/>
        </w:rPr>
        <w:t xml:space="preserve"> </w:t>
      </w:r>
      <w:r>
        <w:rPr>
          <w:rFonts w:hint="eastAsia" w:ascii="Calibri" w:hAnsi="Calibri" w:eastAsia="宋体" w:cs="Times New Roman"/>
          <w:b/>
          <w:color w:val="auto"/>
          <w:sz w:val="24"/>
          <w:highlight w:val="none"/>
          <w:lang w:val="zh-CN"/>
        </w:rPr>
        <w:t>录</w:t>
      </w:r>
      <w:bookmarkEnd w:id="10"/>
    </w:p>
    <w:p>
      <w:pPr>
        <w:pStyle w:val="8"/>
        <w:tabs>
          <w:tab w:val="right" w:leader="dot" w:pos="9026"/>
        </w:tabs>
        <w:rPr>
          <w:color w:val="auto"/>
          <w:highlight w:val="none"/>
        </w:rPr>
      </w:pPr>
      <w:r>
        <w:rPr>
          <w:rFonts w:ascii="Times New Roman" w:hAnsi="Times New Roman" w:eastAsia="宋体" w:cs="Times New Roman"/>
          <w:color w:val="auto"/>
          <w:kern w:val="2"/>
          <w:sz w:val="21"/>
          <w:szCs w:val="24"/>
          <w:highlight w:val="none"/>
          <w:lang w:val="en-US" w:eastAsia="zh-CN" w:bidi="ar-SA"/>
        </w:rPr>
        <w:fldChar w:fldCharType="begin"/>
      </w:r>
      <w:r>
        <w:rPr>
          <w:rFonts w:ascii="Times New Roman" w:hAnsi="Times New Roman" w:eastAsia="宋体" w:cs="Times New Roman"/>
          <w:color w:val="auto"/>
          <w:kern w:val="2"/>
          <w:sz w:val="21"/>
          <w:szCs w:val="24"/>
          <w:highlight w:val="none"/>
          <w:lang w:val="en-US" w:eastAsia="zh-CN" w:bidi="ar-SA"/>
        </w:rPr>
        <w:instrText xml:space="preserve"> TOC \o "1-3" \h \z \u </w:instrText>
      </w:r>
      <w:r>
        <w:rPr>
          <w:rFonts w:ascii="Times New Roman" w:hAnsi="Times New Roman" w:eastAsia="宋体" w:cs="Times New Roman"/>
          <w:color w:val="auto"/>
          <w:kern w:val="2"/>
          <w:sz w:val="21"/>
          <w:szCs w:val="24"/>
          <w:highlight w:val="none"/>
          <w:lang w:val="en-US" w:eastAsia="zh-CN" w:bidi="ar-SA"/>
        </w:rPr>
        <w:fldChar w:fldCharType="separate"/>
      </w:r>
    </w:p>
    <w:p>
      <w:pPr>
        <w:pStyle w:val="9"/>
        <w:tabs>
          <w:tab w:val="right" w:leader="dot" w:pos="9026"/>
        </w:tabs>
        <w:rPr>
          <w:color w:val="auto"/>
          <w:highlight w:val="none"/>
        </w:rPr>
      </w:pPr>
      <w:r>
        <w:rPr>
          <w:rFonts w:ascii="Times New Roman" w:hAnsi="Times New Roman" w:eastAsia="宋体" w:cs="Times New Roman"/>
          <w:color w:val="auto"/>
          <w:kern w:val="2"/>
          <w:szCs w:val="24"/>
          <w:highlight w:val="none"/>
          <w:lang w:val="en-US" w:eastAsia="zh-CN" w:bidi="ar-SA"/>
        </w:rPr>
        <w:fldChar w:fldCharType="begin"/>
      </w:r>
      <w:r>
        <w:rPr>
          <w:rFonts w:ascii="Times New Roman" w:hAnsi="Times New Roman" w:eastAsia="宋体" w:cs="Times New Roman"/>
          <w:color w:val="auto"/>
          <w:kern w:val="2"/>
          <w:szCs w:val="24"/>
          <w:highlight w:val="none"/>
          <w:lang w:val="en-US" w:eastAsia="zh-CN" w:bidi="ar-SA"/>
        </w:rPr>
        <w:instrText xml:space="preserve"> HYPERLINK \l _Toc21674 </w:instrText>
      </w:r>
      <w:r>
        <w:rPr>
          <w:rFonts w:ascii="Times New Roman" w:hAnsi="Times New Roman" w:eastAsia="宋体" w:cs="Times New Roman"/>
          <w:color w:val="auto"/>
          <w:kern w:val="2"/>
          <w:szCs w:val="24"/>
          <w:highlight w:val="none"/>
          <w:lang w:val="en-US" w:eastAsia="zh-CN" w:bidi="ar-SA"/>
        </w:rPr>
        <w:fldChar w:fldCharType="separate"/>
      </w:r>
      <w:r>
        <w:rPr>
          <w:rFonts w:hint="eastAsia" w:ascii="宋体" w:hAnsi="宋体" w:eastAsia="宋体" w:cs="Times New Roman"/>
          <w:color w:val="auto"/>
          <w:szCs w:val="32"/>
          <w:highlight w:val="none"/>
        </w:rPr>
        <w:t>招标文件修改表</w:t>
      </w:r>
      <w:r>
        <w:rPr>
          <w:color w:val="auto"/>
          <w:highlight w:val="none"/>
        </w:rPr>
        <w:tab/>
      </w:r>
      <w:r>
        <w:rPr>
          <w:color w:val="auto"/>
          <w:highlight w:val="none"/>
        </w:rPr>
        <w:fldChar w:fldCharType="begin"/>
      </w:r>
      <w:r>
        <w:rPr>
          <w:color w:val="auto"/>
          <w:highlight w:val="none"/>
        </w:rPr>
        <w:instrText xml:space="preserve"> PAGEREF _Toc21674 \h </w:instrText>
      </w:r>
      <w:r>
        <w:rPr>
          <w:color w:val="auto"/>
          <w:highlight w:val="none"/>
        </w:rPr>
        <w:fldChar w:fldCharType="separate"/>
      </w:r>
      <w:r>
        <w:rPr>
          <w:color w:val="auto"/>
          <w:highlight w:val="none"/>
        </w:rPr>
        <w:t>1</w:t>
      </w:r>
      <w:r>
        <w:rPr>
          <w:color w:val="auto"/>
          <w:highlight w:val="none"/>
        </w:rPr>
        <w:fldChar w:fldCharType="end"/>
      </w:r>
      <w:r>
        <w:rPr>
          <w:rFonts w:ascii="Times New Roman" w:hAnsi="Times New Roman" w:eastAsia="宋体" w:cs="Times New Roman"/>
          <w:color w:val="auto"/>
          <w:kern w:val="2"/>
          <w:szCs w:val="24"/>
          <w:highlight w:val="none"/>
          <w:lang w:val="en-US" w:eastAsia="zh-CN" w:bidi="ar-SA"/>
        </w:rPr>
        <w:fldChar w:fldCharType="end"/>
      </w:r>
    </w:p>
    <w:p>
      <w:pPr>
        <w:pStyle w:val="9"/>
        <w:tabs>
          <w:tab w:val="right" w:leader="dot" w:pos="9026"/>
        </w:tabs>
        <w:rPr>
          <w:color w:val="auto"/>
          <w:highlight w:val="none"/>
        </w:rPr>
      </w:pPr>
      <w:r>
        <w:rPr>
          <w:rFonts w:ascii="Times New Roman" w:hAnsi="Times New Roman" w:eastAsia="宋体" w:cs="Times New Roman"/>
          <w:color w:val="auto"/>
          <w:kern w:val="2"/>
          <w:szCs w:val="24"/>
          <w:highlight w:val="none"/>
          <w:lang w:val="en-US" w:eastAsia="zh-CN" w:bidi="ar-SA"/>
        </w:rPr>
        <w:fldChar w:fldCharType="begin"/>
      </w:r>
      <w:r>
        <w:rPr>
          <w:rFonts w:ascii="Times New Roman" w:hAnsi="Times New Roman" w:eastAsia="宋体" w:cs="Times New Roman"/>
          <w:color w:val="auto"/>
          <w:kern w:val="2"/>
          <w:szCs w:val="24"/>
          <w:highlight w:val="none"/>
          <w:lang w:val="en-US" w:eastAsia="zh-CN" w:bidi="ar-SA"/>
        </w:rPr>
        <w:instrText xml:space="preserve"> HYPERLINK \l _Toc32063 </w:instrText>
      </w:r>
      <w:r>
        <w:rPr>
          <w:rFonts w:ascii="Times New Roman" w:hAnsi="Times New Roman" w:eastAsia="宋体" w:cs="Times New Roman"/>
          <w:color w:val="auto"/>
          <w:kern w:val="2"/>
          <w:szCs w:val="24"/>
          <w:highlight w:val="none"/>
          <w:lang w:val="en-US" w:eastAsia="zh-CN" w:bidi="ar-SA"/>
        </w:rPr>
        <w:fldChar w:fldCharType="separate"/>
      </w:r>
      <w:r>
        <w:rPr>
          <w:rFonts w:hint="eastAsia" w:ascii="Calibri" w:hAnsi="Calibri" w:eastAsia="宋体" w:cs="Times New Roman"/>
          <w:color w:val="auto"/>
          <w:highlight w:val="none"/>
          <w:lang w:val="zh-CN"/>
        </w:rPr>
        <w:t>目</w:t>
      </w:r>
      <w:r>
        <w:rPr>
          <w:rFonts w:ascii="Calibri" w:hAnsi="Calibri" w:eastAsia="宋体" w:cs="Times New Roman"/>
          <w:color w:val="auto"/>
          <w:highlight w:val="none"/>
          <w:lang w:val="zh-CN"/>
        </w:rPr>
        <w:t xml:space="preserve"> </w:t>
      </w:r>
      <w:r>
        <w:rPr>
          <w:rFonts w:hint="eastAsia" w:ascii="Calibri" w:hAnsi="Calibri" w:eastAsia="宋体" w:cs="Times New Roman"/>
          <w:color w:val="auto"/>
          <w:highlight w:val="none"/>
          <w:lang w:val="zh-CN"/>
        </w:rPr>
        <w:t>录</w:t>
      </w:r>
      <w:r>
        <w:rPr>
          <w:color w:val="auto"/>
          <w:highlight w:val="none"/>
        </w:rPr>
        <w:tab/>
      </w:r>
      <w:r>
        <w:rPr>
          <w:color w:val="auto"/>
          <w:highlight w:val="none"/>
        </w:rPr>
        <w:fldChar w:fldCharType="begin"/>
      </w:r>
      <w:r>
        <w:rPr>
          <w:color w:val="auto"/>
          <w:highlight w:val="none"/>
        </w:rPr>
        <w:instrText xml:space="preserve"> PAGEREF _Toc32063 \h </w:instrText>
      </w:r>
      <w:r>
        <w:rPr>
          <w:color w:val="auto"/>
          <w:highlight w:val="none"/>
        </w:rPr>
        <w:fldChar w:fldCharType="separate"/>
      </w:r>
      <w:r>
        <w:rPr>
          <w:color w:val="auto"/>
          <w:highlight w:val="none"/>
        </w:rPr>
        <w:t>14</w:t>
      </w:r>
      <w:r>
        <w:rPr>
          <w:color w:val="auto"/>
          <w:highlight w:val="none"/>
        </w:rPr>
        <w:fldChar w:fldCharType="end"/>
      </w:r>
      <w:r>
        <w:rPr>
          <w:rFonts w:ascii="Times New Roman" w:hAnsi="Times New Roman" w:eastAsia="宋体" w:cs="Times New Roman"/>
          <w:color w:val="auto"/>
          <w:kern w:val="2"/>
          <w:szCs w:val="24"/>
          <w:highlight w:val="none"/>
          <w:lang w:val="en-US" w:eastAsia="zh-CN" w:bidi="ar-SA"/>
        </w:rPr>
        <w:fldChar w:fldCharType="end"/>
      </w:r>
    </w:p>
    <w:p>
      <w:pPr>
        <w:pStyle w:val="9"/>
        <w:tabs>
          <w:tab w:val="right" w:leader="dot" w:pos="9026"/>
        </w:tabs>
        <w:rPr>
          <w:color w:val="auto"/>
          <w:highlight w:val="none"/>
        </w:rPr>
      </w:pPr>
      <w:r>
        <w:rPr>
          <w:rFonts w:ascii="Times New Roman" w:hAnsi="Times New Roman" w:eastAsia="宋体" w:cs="Times New Roman"/>
          <w:color w:val="auto"/>
          <w:kern w:val="2"/>
          <w:szCs w:val="24"/>
          <w:highlight w:val="none"/>
          <w:lang w:val="en-US" w:eastAsia="zh-CN" w:bidi="ar-SA"/>
        </w:rPr>
        <w:fldChar w:fldCharType="begin"/>
      </w:r>
      <w:r>
        <w:rPr>
          <w:rFonts w:ascii="Times New Roman" w:hAnsi="Times New Roman" w:eastAsia="宋体" w:cs="Times New Roman"/>
          <w:color w:val="auto"/>
          <w:kern w:val="2"/>
          <w:szCs w:val="24"/>
          <w:highlight w:val="none"/>
          <w:lang w:val="en-US" w:eastAsia="zh-CN" w:bidi="ar-SA"/>
        </w:rPr>
        <w:instrText xml:space="preserve"> HYPERLINK \l _Toc10198 </w:instrText>
      </w:r>
      <w:r>
        <w:rPr>
          <w:rFonts w:ascii="Times New Roman" w:hAnsi="Times New Roman" w:eastAsia="宋体" w:cs="Times New Roman"/>
          <w:color w:val="auto"/>
          <w:kern w:val="2"/>
          <w:szCs w:val="24"/>
          <w:highlight w:val="none"/>
          <w:lang w:val="en-US" w:eastAsia="zh-CN" w:bidi="ar-SA"/>
        </w:rPr>
        <w:fldChar w:fldCharType="separate"/>
      </w:r>
      <w:r>
        <w:rPr>
          <w:rFonts w:hint="eastAsia" w:ascii="Times New Roman" w:hAnsi="Times New Roman" w:eastAsia="宋体" w:cs="Times New Roman"/>
          <w:bCs/>
          <w:color w:val="auto"/>
          <w:kern w:val="44"/>
          <w:szCs w:val="36"/>
          <w:highlight w:val="none"/>
          <w:lang w:val="en-US" w:eastAsia="zh-CN" w:bidi="ar-SA"/>
        </w:rPr>
        <w:t>第一章</w:t>
      </w:r>
      <w:r>
        <w:rPr>
          <w:rFonts w:ascii="Times New Roman" w:hAnsi="Times New Roman" w:eastAsia="宋体" w:cs="Times New Roman"/>
          <w:bCs/>
          <w:color w:val="auto"/>
          <w:kern w:val="44"/>
          <w:szCs w:val="36"/>
          <w:highlight w:val="none"/>
          <w:lang w:val="en-US" w:eastAsia="zh-CN" w:bidi="ar-SA"/>
        </w:rPr>
        <w:t xml:space="preserve">  </w:t>
      </w:r>
      <w:r>
        <w:rPr>
          <w:rFonts w:hint="eastAsia" w:ascii="Times New Roman" w:hAnsi="Times New Roman" w:eastAsia="宋体" w:cs="Times New Roman"/>
          <w:bCs/>
          <w:color w:val="auto"/>
          <w:kern w:val="44"/>
          <w:szCs w:val="36"/>
          <w:highlight w:val="none"/>
          <w:lang w:val="en-US" w:eastAsia="zh-CN" w:bidi="ar-SA"/>
        </w:rPr>
        <w:t>招标公告</w:t>
      </w:r>
      <w:r>
        <w:rPr>
          <w:color w:val="auto"/>
          <w:highlight w:val="none"/>
        </w:rPr>
        <w:tab/>
      </w:r>
      <w:r>
        <w:rPr>
          <w:color w:val="auto"/>
          <w:highlight w:val="none"/>
        </w:rPr>
        <w:fldChar w:fldCharType="begin"/>
      </w:r>
      <w:r>
        <w:rPr>
          <w:color w:val="auto"/>
          <w:highlight w:val="none"/>
        </w:rPr>
        <w:instrText xml:space="preserve"> PAGEREF _Toc10198 \h </w:instrText>
      </w:r>
      <w:r>
        <w:rPr>
          <w:color w:val="auto"/>
          <w:highlight w:val="none"/>
        </w:rPr>
        <w:fldChar w:fldCharType="separate"/>
      </w:r>
      <w:r>
        <w:rPr>
          <w:color w:val="auto"/>
          <w:highlight w:val="none"/>
        </w:rPr>
        <w:t>15</w:t>
      </w:r>
      <w:r>
        <w:rPr>
          <w:color w:val="auto"/>
          <w:highlight w:val="none"/>
        </w:rPr>
        <w:fldChar w:fldCharType="end"/>
      </w:r>
      <w:r>
        <w:rPr>
          <w:rFonts w:ascii="Times New Roman" w:hAnsi="Times New Roman" w:eastAsia="宋体" w:cs="Times New Roman"/>
          <w:color w:val="auto"/>
          <w:kern w:val="2"/>
          <w:szCs w:val="24"/>
          <w:highlight w:val="none"/>
          <w:lang w:val="en-US" w:eastAsia="zh-CN" w:bidi="ar-SA"/>
        </w:rPr>
        <w:fldChar w:fldCharType="end"/>
      </w:r>
    </w:p>
    <w:p>
      <w:pPr>
        <w:pStyle w:val="9"/>
        <w:tabs>
          <w:tab w:val="right" w:leader="dot" w:pos="9026"/>
        </w:tabs>
        <w:rPr>
          <w:color w:val="auto"/>
          <w:highlight w:val="none"/>
        </w:rPr>
      </w:pPr>
      <w:r>
        <w:rPr>
          <w:rFonts w:ascii="Times New Roman" w:hAnsi="Times New Roman" w:eastAsia="宋体" w:cs="Times New Roman"/>
          <w:color w:val="auto"/>
          <w:kern w:val="2"/>
          <w:szCs w:val="24"/>
          <w:highlight w:val="none"/>
          <w:lang w:val="en-US" w:eastAsia="zh-CN" w:bidi="ar-SA"/>
        </w:rPr>
        <w:fldChar w:fldCharType="begin"/>
      </w:r>
      <w:r>
        <w:rPr>
          <w:rFonts w:ascii="Times New Roman" w:hAnsi="Times New Roman" w:eastAsia="宋体" w:cs="Times New Roman"/>
          <w:color w:val="auto"/>
          <w:kern w:val="2"/>
          <w:szCs w:val="24"/>
          <w:highlight w:val="none"/>
          <w:lang w:val="en-US" w:eastAsia="zh-CN" w:bidi="ar-SA"/>
        </w:rPr>
        <w:instrText xml:space="preserve"> HYPERLINK \l _Toc23613 </w:instrText>
      </w:r>
      <w:r>
        <w:rPr>
          <w:rFonts w:ascii="Times New Roman" w:hAnsi="Times New Roman" w:eastAsia="宋体" w:cs="Times New Roman"/>
          <w:color w:val="auto"/>
          <w:kern w:val="2"/>
          <w:szCs w:val="24"/>
          <w:highlight w:val="none"/>
          <w:lang w:val="en-US" w:eastAsia="zh-CN" w:bidi="ar-SA"/>
        </w:rPr>
        <w:fldChar w:fldCharType="separate"/>
      </w:r>
      <w:r>
        <w:rPr>
          <w:rFonts w:hint="eastAsia" w:ascii="宋体" w:hAnsi="宋体" w:eastAsia="宋体" w:cs="宋体"/>
          <w:bCs/>
          <w:color w:val="auto"/>
          <w:kern w:val="44"/>
          <w:szCs w:val="36"/>
          <w:highlight w:val="none"/>
        </w:rPr>
        <w:t>第二章</w:t>
      </w:r>
      <w:r>
        <w:rPr>
          <w:rFonts w:ascii="宋体" w:hAnsi="宋体" w:eastAsia="宋体" w:cs="宋体"/>
          <w:bCs/>
          <w:color w:val="auto"/>
          <w:kern w:val="44"/>
          <w:szCs w:val="36"/>
          <w:highlight w:val="none"/>
        </w:rPr>
        <w:t xml:space="preserve">  </w:t>
      </w:r>
      <w:r>
        <w:rPr>
          <w:rFonts w:hint="eastAsia" w:ascii="宋体" w:hAnsi="宋体" w:eastAsia="宋体" w:cs="宋体"/>
          <w:bCs/>
          <w:color w:val="auto"/>
          <w:kern w:val="44"/>
          <w:szCs w:val="36"/>
          <w:highlight w:val="none"/>
        </w:rPr>
        <w:t>招标（范本原文）</w:t>
      </w:r>
      <w:r>
        <w:rPr>
          <w:color w:val="auto"/>
          <w:highlight w:val="none"/>
        </w:rPr>
        <w:tab/>
      </w:r>
      <w:r>
        <w:rPr>
          <w:color w:val="auto"/>
          <w:highlight w:val="none"/>
        </w:rPr>
        <w:fldChar w:fldCharType="begin"/>
      </w:r>
      <w:r>
        <w:rPr>
          <w:color w:val="auto"/>
          <w:highlight w:val="none"/>
        </w:rPr>
        <w:instrText xml:space="preserve"> PAGEREF _Toc23613 \h </w:instrText>
      </w:r>
      <w:r>
        <w:rPr>
          <w:color w:val="auto"/>
          <w:highlight w:val="none"/>
        </w:rPr>
        <w:fldChar w:fldCharType="separate"/>
      </w:r>
      <w:r>
        <w:rPr>
          <w:color w:val="auto"/>
          <w:highlight w:val="none"/>
        </w:rPr>
        <w:t>16</w:t>
      </w:r>
      <w:r>
        <w:rPr>
          <w:color w:val="auto"/>
          <w:highlight w:val="none"/>
        </w:rPr>
        <w:fldChar w:fldCharType="end"/>
      </w:r>
      <w:r>
        <w:rPr>
          <w:rFonts w:ascii="Times New Roman" w:hAnsi="Times New Roman" w:eastAsia="宋体" w:cs="Times New Roman"/>
          <w:color w:val="auto"/>
          <w:kern w:val="2"/>
          <w:szCs w:val="24"/>
          <w:highlight w:val="none"/>
          <w:lang w:val="en-US" w:eastAsia="zh-CN" w:bidi="ar-SA"/>
        </w:rPr>
        <w:fldChar w:fldCharType="end"/>
      </w:r>
    </w:p>
    <w:p>
      <w:pPr>
        <w:pStyle w:val="9"/>
        <w:tabs>
          <w:tab w:val="right" w:leader="dot" w:pos="9026"/>
        </w:tabs>
        <w:rPr>
          <w:color w:val="auto"/>
          <w:highlight w:val="none"/>
        </w:rPr>
      </w:pPr>
      <w:r>
        <w:rPr>
          <w:rFonts w:ascii="Times New Roman" w:hAnsi="Times New Roman" w:eastAsia="宋体" w:cs="Times New Roman"/>
          <w:color w:val="auto"/>
          <w:kern w:val="2"/>
          <w:szCs w:val="24"/>
          <w:highlight w:val="none"/>
          <w:lang w:val="en-US" w:eastAsia="zh-CN" w:bidi="ar-SA"/>
        </w:rPr>
        <w:fldChar w:fldCharType="begin"/>
      </w:r>
      <w:r>
        <w:rPr>
          <w:rFonts w:ascii="Times New Roman" w:hAnsi="Times New Roman" w:eastAsia="宋体" w:cs="Times New Roman"/>
          <w:color w:val="auto"/>
          <w:kern w:val="2"/>
          <w:szCs w:val="24"/>
          <w:highlight w:val="none"/>
          <w:lang w:val="en-US" w:eastAsia="zh-CN" w:bidi="ar-SA"/>
        </w:rPr>
        <w:instrText xml:space="preserve"> HYPERLINK \l _Toc32498 </w:instrText>
      </w:r>
      <w:r>
        <w:rPr>
          <w:rFonts w:ascii="Times New Roman" w:hAnsi="Times New Roman" w:eastAsia="宋体" w:cs="Times New Roman"/>
          <w:color w:val="auto"/>
          <w:kern w:val="2"/>
          <w:szCs w:val="24"/>
          <w:highlight w:val="none"/>
          <w:lang w:val="en-US" w:eastAsia="zh-CN" w:bidi="ar-SA"/>
        </w:rPr>
        <w:fldChar w:fldCharType="separate"/>
      </w:r>
      <w:r>
        <w:rPr>
          <w:rFonts w:hint="eastAsia" w:ascii="宋体" w:hAnsi="宋体" w:eastAsia="宋体" w:cs="宋体"/>
          <w:bCs/>
          <w:color w:val="auto"/>
          <w:kern w:val="44"/>
          <w:szCs w:val="36"/>
          <w:highlight w:val="none"/>
        </w:rPr>
        <w:t>第三章</w:t>
      </w:r>
      <w:r>
        <w:rPr>
          <w:rFonts w:ascii="宋体" w:hAnsi="宋体" w:eastAsia="宋体" w:cs="宋体"/>
          <w:bCs/>
          <w:color w:val="auto"/>
          <w:kern w:val="44"/>
          <w:szCs w:val="36"/>
          <w:highlight w:val="none"/>
        </w:rPr>
        <w:t xml:space="preserve">  </w:t>
      </w:r>
      <w:r>
        <w:rPr>
          <w:rFonts w:hint="eastAsia" w:ascii="宋体" w:hAnsi="宋体" w:eastAsia="宋体" w:cs="宋体"/>
          <w:bCs/>
          <w:color w:val="auto"/>
          <w:kern w:val="44"/>
          <w:szCs w:val="36"/>
          <w:highlight w:val="none"/>
        </w:rPr>
        <w:t>投标（范本原文）</w:t>
      </w:r>
      <w:r>
        <w:rPr>
          <w:color w:val="auto"/>
          <w:highlight w:val="none"/>
        </w:rPr>
        <w:tab/>
      </w:r>
      <w:r>
        <w:rPr>
          <w:color w:val="auto"/>
          <w:highlight w:val="none"/>
        </w:rPr>
        <w:fldChar w:fldCharType="begin"/>
      </w:r>
      <w:r>
        <w:rPr>
          <w:color w:val="auto"/>
          <w:highlight w:val="none"/>
        </w:rPr>
        <w:instrText xml:space="preserve"> PAGEREF _Toc32498 \h </w:instrText>
      </w:r>
      <w:r>
        <w:rPr>
          <w:color w:val="auto"/>
          <w:highlight w:val="none"/>
        </w:rPr>
        <w:fldChar w:fldCharType="separate"/>
      </w:r>
      <w:r>
        <w:rPr>
          <w:color w:val="auto"/>
          <w:highlight w:val="none"/>
        </w:rPr>
        <w:t>18</w:t>
      </w:r>
      <w:r>
        <w:rPr>
          <w:color w:val="auto"/>
          <w:highlight w:val="none"/>
        </w:rPr>
        <w:fldChar w:fldCharType="end"/>
      </w:r>
      <w:r>
        <w:rPr>
          <w:rFonts w:ascii="Times New Roman" w:hAnsi="Times New Roman" w:eastAsia="宋体" w:cs="Times New Roman"/>
          <w:color w:val="auto"/>
          <w:kern w:val="2"/>
          <w:szCs w:val="24"/>
          <w:highlight w:val="none"/>
          <w:lang w:val="en-US" w:eastAsia="zh-CN" w:bidi="ar-SA"/>
        </w:rPr>
        <w:fldChar w:fldCharType="end"/>
      </w:r>
    </w:p>
    <w:p>
      <w:pPr>
        <w:pStyle w:val="9"/>
        <w:tabs>
          <w:tab w:val="right" w:leader="dot" w:pos="9026"/>
        </w:tabs>
        <w:rPr>
          <w:color w:val="auto"/>
          <w:highlight w:val="none"/>
        </w:rPr>
      </w:pPr>
      <w:r>
        <w:rPr>
          <w:rFonts w:ascii="Times New Roman" w:hAnsi="Times New Roman" w:eastAsia="宋体" w:cs="Times New Roman"/>
          <w:color w:val="auto"/>
          <w:kern w:val="2"/>
          <w:szCs w:val="24"/>
          <w:highlight w:val="none"/>
          <w:lang w:val="en-US" w:eastAsia="zh-CN" w:bidi="ar-SA"/>
        </w:rPr>
        <w:fldChar w:fldCharType="begin"/>
      </w:r>
      <w:r>
        <w:rPr>
          <w:rFonts w:ascii="Times New Roman" w:hAnsi="Times New Roman" w:eastAsia="宋体" w:cs="Times New Roman"/>
          <w:color w:val="auto"/>
          <w:kern w:val="2"/>
          <w:szCs w:val="24"/>
          <w:highlight w:val="none"/>
          <w:lang w:val="en-US" w:eastAsia="zh-CN" w:bidi="ar-SA"/>
        </w:rPr>
        <w:instrText xml:space="preserve"> HYPERLINK \l _Toc450 </w:instrText>
      </w:r>
      <w:r>
        <w:rPr>
          <w:rFonts w:ascii="Times New Roman" w:hAnsi="Times New Roman" w:eastAsia="宋体" w:cs="Times New Roman"/>
          <w:color w:val="auto"/>
          <w:kern w:val="2"/>
          <w:szCs w:val="24"/>
          <w:highlight w:val="none"/>
          <w:lang w:val="en-US" w:eastAsia="zh-CN" w:bidi="ar-SA"/>
        </w:rPr>
        <w:fldChar w:fldCharType="separate"/>
      </w:r>
      <w:r>
        <w:rPr>
          <w:rFonts w:hint="eastAsia" w:ascii="宋体" w:hAnsi="宋体" w:eastAsia="宋体" w:cs="宋体"/>
          <w:bCs/>
          <w:color w:val="auto"/>
          <w:kern w:val="44"/>
          <w:szCs w:val="36"/>
          <w:highlight w:val="none"/>
        </w:rPr>
        <w:t>第四章</w:t>
      </w:r>
      <w:r>
        <w:rPr>
          <w:rFonts w:ascii="宋体" w:hAnsi="宋体" w:eastAsia="宋体" w:cs="宋体"/>
          <w:bCs/>
          <w:color w:val="auto"/>
          <w:kern w:val="44"/>
          <w:szCs w:val="36"/>
          <w:highlight w:val="none"/>
        </w:rPr>
        <w:t xml:space="preserve">  </w:t>
      </w:r>
      <w:r>
        <w:rPr>
          <w:rFonts w:hint="eastAsia" w:ascii="宋体" w:hAnsi="宋体" w:eastAsia="宋体" w:cs="宋体"/>
          <w:bCs/>
          <w:color w:val="auto"/>
          <w:kern w:val="44"/>
          <w:szCs w:val="36"/>
          <w:highlight w:val="none"/>
        </w:rPr>
        <w:t>评标（范本原文）</w:t>
      </w:r>
      <w:r>
        <w:rPr>
          <w:color w:val="auto"/>
          <w:highlight w:val="none"/>
        </w:rPr>
        <w:tab/>
      </w:r>
      <w:r>
        <w:rPr>
          <w:color w:val="auto"/>
          <w:highlight w:val="none"/>
        </w:rPr>
        <w:fldChar w:fldCharType="begin"/>
      </w:r>
      <w:r>
        <w:rPr>
          <w:color w:val="auto"/>
          <w:highlight w:val="none"/>
        </w:rPr>
        <w:instrText xml:space="preserve"> PAGEREF _Toc450 \h </w:instrText>
      </w:r>
      <w:r>
        <w:rPr>
          <w:color w:val="auto"/>
          <w:highlight w:val="none"/>
        </w:rPr>
        <w:fldChar w:fldCharType="separate"/>
      </w:r>
      <w:r>
        <w:rPr>
          <w:color w:val="auto"/>
          <w:highlight w:val="none"/>
        </w:rPr>
        <w:t>24</w:t>
      </w:r>
      <w:r>
        <w:rPr>
          <w:color w:val="auto"/>
          <w:highlight w:val="none"/>
        </w:rPr>
        <w:fldChar w:fldCharType="end"/>
      </w:r>
      <w:r>
        <w:rPr>
          <w:rFonts w:ascii="Times New Roman" w:hAnsi="Times New Roman" w:eastAsia="宋体" w:cs="Times New Roman"/>
          <w:color w:val="auto"/>
          <w:kern w:val="2"/>
          <w:szCs w:val="24"/>
          <w:highlight w:val="none"/>
          <w:lang w:val="en-US" w:eastAsia="zh-CN" w:bidi="ar-SA"/>
        </w:rPr>
        <w:fldChar w:fldCharType="end"/>
      </w:r>
    </w:p>
    <w:p>
      <w:pPr>
        <w:pStyle w:val="9"/>
        <w:tabs>
          <w:tab w:val="right" w:leader="dot" w:pos="9026"/>
        </w:tabs>
        <w:rPr>
          <w:color w:val="auto"/>
          <w:highlight w:val="none"/>
        </w:rPr>
      </w:pPr>
      <w:r>
        <w:rPr>
          <w:rFonts w:ascii="Times New Roman" w:hAnsi="Times New Roman" w:eastAsia="宋体" w:cs="Times New Roman"/>
          <w:color w:val="auto"/>
          <w:kern w:val="2"/>
          <w:szCs w:val="24"/>
          <w:highlight w:val="none"/>
          <w:lang w:val="en-US" w:eastAsia="zh-CN" w:bidi="ar-SA"/>
        </w:rPr>
        <w:fldChar w:fldCharType="begin"/>
      </w:r>
      <w:r>
        <w:rPr>
          <w:rFonts w:ascii="Times New Roman" w:hAnsi="Times New Roman" w:eastAsia="宋体" w:cs="Times New Roman"/>
          <w:color w:val="auto"/>
          <w:kern w:val="2"/>
          <w:szCs w:val="24"/>
          <w:highlight w:val="none"/>
          <w:lang w:val="en-US" w:eastAsia="zh-CN" w:bidi="ar-SA"/>
        </w:rPr>
        <w:instrText xml:space="preserve"> HYPERLINK \l _Toc30837 </w:instrText>
      </w:r>
      <w:r>
        <w:rPr>
          <w:rFonts w:ascii="Times New Roman" w:hAnsi="Times New Roman" w:eastAsia="宋体" w:cs="Times New Roman"/>
          <w:color w:val="auto"/>
          <w:kern w:val="2"/>
          <w:szCs w:val="24"/>
          <w:highlight w:val="none"/>
          <w:lang w:val="en-US" w:eastAsia="zh-CN" w:bidi="ar-SA"/>
        </w:rPr>
        <w:fldChar w:fldCharType="separate"/>
      </w:r>
      <w:r>
        <w:rPr>
          <w:rFonts w:hint="eastAsia" w:ascii="宋体" w:hAnsi="宋体" w:eastAsia="宋体" w:cs="宋体"/>
          <w:bCs/>
          <w:color w:val="auto"/>
          <w:kern w:val="44"/>
          <w:szCs w:val="36"/>
          <w:highlight w:val="none"/>
        </w:rPr>
        <w:t>第五章</w:t>
      </w:r>
      <w:r>
        <w:rPr>
          <w:rFonts w:ascii="宋体" w:hAnsi="宋体" w:eastAsia="宋体" w:cs="宋体"/>
          <w:bCs/>
          <w:color w:val="auto"/>
          <w:kern w:val="44"/>
          <w:szCs w:val="36"/>
          <w:highlight w:val="none"/>
        </w:rPr>
        <w:t xml:space="preserve">  </w:t>
      </w:r>
      <w:r>
        <w:rPr>
          <w:rFonts w:hint="eastAsia" w:ascii="宋体" w:hAnsi="宋体" w:eastAsia="宋体" w:cs="宋体"/>
          <w:bCs/>
          <w:color w:val="auto"/>
          <w:kern w:val="44"/>
          <w:szCs w:val="36"/>
          <w:highlight w:val="none"/>
        </w:rPr>
        <w:t>定标（范本原文）</w:t>
      </w:r>
      <w:r>
        <w:rPr>
          <w:color w:val="auto"/>
          <w:highlight w:val="none"/>
        </w:rPr>
        <w:tab/>
      </w:r>
      <w:r>
        <w:rPr>
          <w:color w:val="auto"/>
          <w:highlight w:val="none"/>
        </w:rPr>
        <w:fldChar w:fldCharType="begin"/>
      </w:r>
      <w:r>
        <w:rPr>
          <w:color w:val="auto"/>
          <w:highlight w:val="none"/>
        </w:rPr>
        <w:instrText xml:space="preserve"> PAGEREF _Toc30837 \h </w:instrText>
      </w:r>
      <w:r>
        <w:rPr>
          <w:color w:val="auto"/>
          <w:highlight w:val="none"/>
        </w:rPr>
        <w:fldChar w:fldCharType="separate"/>
      </w:r>
      <w:r>
        <w:rPr>
          <w:color w:val="auto"/>
          <w:highlight w:val="none"/>
        </w:rPr>
        <w:t>30</w:t>
      </w:r>
      <w:r>
        <w:rPr>
          <w:color w:val="auto"/>
          <w:highlight w:val="none"/>
        </w:rPr>
        <w:fldChar w:fldCharType="end"/>
      </w:r>
      <w:r>
        <w:rPr>
          <w:rFonts w:ascii="Times New Roman" w:hAnsi="Times New Roman" w:eastAsia="宋体" w:cs="Times New Roman"/>
          <w:color w:val="auto"/>
          <w:kern w:val="2"/>
          <w:szCs w:val="24"/>
          <w:highlight w:val="none"/>
          <w:lang w:val="en-US" w:eastAsia="zh-CN" w:bidi="ar-SA"/>
        </w:rPr>
        <w:fldChar w:fldCharType="end"/>
      </w:r>
    </w:p>
    <w:p>
      <w:pPr>
        <w:pStyle w:val="9"/>
        <w:tabs>
          <w:tab w:val="right" w:leader="dot" w:pos="9026"/>
        </w:tabs>
        <w:rPr>
          <w:color w:val="auto"/>
          <w:highlight w:val="none"/>
        </w:rPr>
      </w:pPr>
      <w:r>
        <w:rPr>
          <w:rFonts w:ascii="Times New Roman" w:hAnsi="Times New Roman" w:eastAsia="宋体" w:cs="Times New Roman"/>
          <w:color w:val="auto"/>
          <w:kern w:val="2"/>
          <w:szCs w:val="24"/>
          <w:highlight w:val="none"/>
          <w:lang w:val="en-US" w:eastAsia="zh-CN" w:bidi="ar-SA"/>
        </w:rPr>
        <w:fldChar w:fldCharType="begin"/>
      </w:r>
      <w:r>
        <w:rPr>
          <w:rFonts w:ascii="Times New Roman" w:hAnsi="Times New Roman" w:eastAsia="宋体" w:cs="Times New Roman"/>
          <w:color w:val="auto"/>
          <w:kern w:val="2"/>
          <w:szCs w:val="24"/>
          <w:highlight w:val="none"/>
          <w:lang w:val="en-US" w:eastAsia="zh-CN" w:bidi="ar-SA"/>
        </w:rPr>
        <w:instrText xml:space="preserve"> HYPERLINK \l _Toc5926 </w:instrText>
      </w:r>
      <w:r>
        <w:rPr>
          <w:rFonts w:ascii="Times New Roman" w:hAnsi="Times New Roman" w:eastAsia="宋体" w:cs="Times New Roman"/>
          <w:color w:val="auto"/>
          <w:kern w:val="2"/>
          <w:szCs w:val="24"/>
          <w:highlight w:val="none"/>
          <w:lang w:val="en-US" w:eastAsia="zh-CN" w:bidi="ar-SA"/>
        </w:rPr>
        <w:fldChar w:fldCharType="separate"/>
      </w:r>
      <w:r>
        <w:rPr>
          <w:rFonts w:hint="eastAsia" w:ascii="宋体" w:hAnsi="宋体" w:eastAsia="宋体" w:cs="宋体"/>
          <w:bCs/>
          <w:color w:val="auto"/>
          <w:kern w:val="44"/>
          <w:szCs w:val="36"/>
          <w:highlight w:val="none"/>
        </w:rPr>
        <w:t>第六章</w:t>
      </w:r>
      <w:r>
        <w:rPr>
          <w:rFonts w:ascii="宋体" w:hAnsi="宋体" w:eastAsia="宋体" w:cs="宋体"/>
          <w:bCs/>
          <w:color w:val="auto"/>
          <w:kern w:val="44"/>
          <w:szCs w:val="36"/>
          <w:highlight w:val="none"/>
        </w:rPr>
        <w:t xml:space="preserve">  </w:t>
      </w:r>
      <w:r>
        <w:rPr>
          <w:rFonts w:hint="eastAsia" w:ascii="宋体" w:hAnsi="宋体" w:eastAsia="宋体" w:cs="宋体"/>
          <w:bCs/>
          <w:color w:val="auto"/>
          <w:kern w:val="44"/>
          <w:szCs w:val="36"/>
          <w:highlight w:val="none"/>
        </w:rPr>
        <w:t>授予合同（范本原文）</w:t>
      </w:r>
      <w:r>
        <w:rPr>
          <w:color w:val="auto"/>
          <w:highlight w:val="none"/>
        </w:rPr>
        <w:tab/>
      </w:r>
      <w:r>
        <w:rPr>
          <w:color w:val="auto"/>
          <w:highlight w:val="none"/>
        </w:rPr>
        <w:fldChar w:fldCharType="begin"/>
      </w:r>
      <w:r>
        <w:rPr>
          <w:color w:val="auto"/>
          <w:highlight w:val="none"/>
        </w:rPr>
        <w:instrText xml:space="preserve"> PAGEREF _Toc5926 \h </w:instrText>
      </w:r>
      <w:r>
        <w:rPr>
          <w:color w:val="auto"/>
          <w:highlight w:val="none"/>
        </w:rPr>
        <w:fldChar w:fldCharType="separate"/>
      </w:r>
      <w:r>
        <w:rPr>
          <w:color w:val="auto"/>
          <w:highlight w:val="none"/>
        </w:rPr>
        <w:t>33</w:t>
      </w:r>
      <w:r>
        <w:rPr>
          <w:color w:val="auto"/>
          <w:highlight w:val="none"/>
        </w:rPr>
        <w:fldChar w:fldCharType="end"/>
      </w:r>
      <w:r>
        <w:rPr>
          <w:rFonts w:ascii="Times New Roman" w:hAnsi="Times New Roman" w:eastAsia="宋体" w:cs="Times New Roman"/>
          <w:color w:val="auto"/>
          <w:kern w:val="2"/>
          <w:szCs w:val="24"/>
          <w:highlight w:val="none"/>
          <w:lang w:val="en-US" w:eastAsia="zh-CN" w:bidi="ar-SA"/>
        </w:rPr>
        <w:fldChar w:fldCharType="end"/>
      </w:r>
    </w:p>
    <w:p>
      <w:pPr>
        <w:pStyle w:val="9"/>
        <w:tabs>
          <w:tab w:val="right" w:leader="dot" w:pos="9026"/>
        </w:tabs>
        <w:rPr>
          <w:color w:val="auto"/>
          <w:highlight w:val="none"/>
        </w:rPr>
      </w:pPr>
      <w:r>
        <w:rPr>
          <w:rFonts w:ascii="Times New Roman" w:hAnsi="Times New Roman" w:eastAsia="宋体" w:cs="Times New Roman"/>
          <w:color w:val="auto"/>
          <w:kern w:val="2"/>
          <w:szCs w:val="24"/>
          <w:highlight w:val="none"/>
          <w:lang w:val="en-US" w:eastAsia="zh-CN" w:bidi="ar-SA"/>
        </w:rPr>
        <w:fldChar w:fldCharType="begin"/>
      </w:r>
      <w:r>
        <w:rPr>
          <w:rFonts w:ascii="Times New Roman" w:hAnsi="Times New Roman" w:eastAsia="宋体" w:cs="Times New Roman"/>
          <w:color w:val="auto"/>
          <w:kern w:val="2"/>
          <w:szCs w:val="24"/>
          <w:highlight w:val="none"/>
          <w:lang w:val="en-US" w:eastAsia="zh-CN" w:bidi="ar-SA"/>
        </w:rPr>
        <w:instrText xml:space="preserve"> HYPERLINK \l _Toc29222 </w:instrText>
      </w:r>
      <w:r>
        <w:rPr>
          <w:rFonts w:ascii="Times New Roman" w:hAnsi="Times New Roman" w:eastAsia="宋体" w:cs="Times New Roman"/>
          <w:color w:val="auto"/>
          <w:kern w:val="2"/>
          <w:szCs w:val="24"/>
          <w:highlight w:val="none"/>
          <w:lang w:val="en-US" w:eastAsia="zh-CN" w:bidi="ar-SA"/>
        </w:rPr>
        <w:fldChar w:fldCharType="separate"/>
      </w:r>
      <w:r>
        <w:rPr>
          <w:rFonts w:hint="eastAsia" w:ascii="宋体" w:hAnsi="宋体" w:eastAsia="宋体" w:cs="宋体"/>
          <w:bCs/>
          <w:color w:val="auto"/>
          <w:kern w:val="44"/>
          <w:szCs w:val="36"/>
          <w:highlight w:val="none"/>
        </w:rPr>
        <w:t>第七章</w:t>
      </w:r>
      <w:r>
        <w:rPr>
          <w:rFonts w:ascii="宋体" w:hAnsi="宋体" w:eastAsia="宋体" w:cs="宋体"/>
          <w:bCs/>
          <w:color w:val="auto"/>
          <w:kern w:val="44"/>
          <w:szCs w:val="36"/>
          <w:highlight w:val="none"/>
        </w:rPr>
        <w:t xml:space="preserve">  </w:t>
      </w:r>
      <w:r>
        <w:rPr>
          <w:rFonts w:hint="eastAsia" w:ascii="宋体" w:hAnsi="宋体" w:eastAsia="宋体" w:cs="宋体"/>
          <w:bCs/>
          <w:color w:val="auto"/>
          <w:kern w:val="44"/>
          <w:szCs w:val="36"/>
          <w:highlight w:val="none"/>
        </w:rPr>
        <w:t>知识产权（范本原文）</w:t>
      </w:r>
      <w:r>
        <w:rPr>
          <w:color w:val="auto"/>
          <w:highlight w:val="none"/>
        </w:rPr>
        <w:tab/>
      </w:r>
      <w:r>
        <w:rPr>
          <w:color w:val="auto"/>
          <w:highlight w:val="none"/>
        </w:rPr>
        <w:fldChar w:fldCharType="begin"/>
      </w:r>
      <w:r>
        <w:rPr>
          <w:color w:val="auto"/>
          <w:highlight w:val="none"/>
        </w:rPr>
        <w:instrText xml:space="preserve"> PAGEREF _Toc29222 \h </w:instrText>
      </w:r>
      <w:r>
        <w:rPr>
          <w:color w:val="auto"/>
          <w:highlight w:val="none"/>
        </w:rPr>
        <w:fldChar w:fldCharType="separate"/>
      </w:r>
      <w:r>
        <w:rPr>
          <w:color w:val="auto"/>
          <w:highlight w:val="none"/>
        </w:rPr>
        <w:t>34</w:t>
      </w:r>
      <w:r>
        <w:rPr>
          <w:color w:val="auto"/>
          <w:highlight w:val="none"/>
        </w:rPr>
        <w:fldChar w:fldCharType="end"/>
      </w:r>
      <w:r>
        <w:rPr>
          <w:rFonts w:ascii="Times New Roman" w:hAnsi="Times New Roman" w:eastAsia="宋体" w:cs="Times New Roman"/>
          <w:color w:val="auto"/>
          <w:kern w:val="2"/>
          <w:szCs w:val="24"/>
          <w:highlight w:val="none"/>
          <w:lang w:val="en-US" w:eastAsia="zh-CN" w:bidi="ar-SA"/>
        </w:rPr>
        <w:fldChar w:fldCharType="end"/>
      </w:r>
    </w:p>
    <w:p>
      <w:pPr>
        <w:pStyle w:val="9"/>
        <w:tabs>
          <w:tab w:val="right" w:leader="dot" w:pos="9026"/>
        </w:tabs>
        <w:rPr>
          <w:color w:val="auto"/>
          <w:highlight w:val="none"/>
        </w:rPr>
      </w:pPr>
      <w:r>
        <w:rPr>
          <w:rFonts w:ascii="Times New Roman" w:hAnsi="Times New Roman" w:eastAsia="宋体" w:cs="Times New Roman"/>
          <w:color w:val="auto"/>
          <w:kern w:val="2"/>
          <w:szCs w:val="24"/>
          <w:highlight w:val="none"/>
          <w:lang w:val="en-US" w:eastAsia="zh-CN" w:bidi="ar-SA"/>
        </w:rPr>
        <w:fldChar w:fldCharType="begin"/>
      </w:r>
      <w:r>
        <w:rPr>
          <w:rFonts w:ascii="Times New Roman" w:hAnsi="Times New Roman" w:eastAsia="宋体" w:cs="Times New Roman"/>
          <w:color w:val="auto"/>
          <w:kern w:val="2"/>
          <w:szCs w:val="24"/>
          <w:highlight w:val="none"/>
          <w:lang w:val="en-US" w:eastAsia="zh-CN" w:bidi="ar-SA"/>
        </w:rPr>
        <w:instrText xml:space="preserve"> HYPERLINK \l _Toc15768 </w:instrText>
      </w:r>
      <w:r>
        <w:rPr>
          <w:rFonts w:ascii="Times New Roman" w:hAnsi="Times New Roman" w:eastAsia="宋体" w:cs="Times New Roman"/>
          <w:color w:val="auto"/>
          <w:kern w:val="2"/>
          <w:szCs w:val="24"/>
          <w:highlight w:val="none"/>
          <w:lang w:val="en-US" w:eastAsia="zh-CN" w:bidi="ar-SA"/>
        </w:rPr>
        <w:fldChar w:fldCharType="separate"/>
      </w:r>
      <w:r>
        <w:rPr>
          <w:rFonts w:hint="eastAsia" w:ascii="Calibri" w:hAnsi="Calibri" w:eastAsia="宋体" w:cs="Times New Roman"/>
          <w:bCs/>
          <w:color w:val="auto"/>
          <w:kern w:val="44"/>
          <w:szCs w:val="36"/>
          <w:highlight w:val="none"/>
        </w:rPr>
        <w:t>第八章</w:t>
      </w:r>
      <w:r>
        <w:rPr>
          <w:rFonts w:ascii="Calibri" w:hAnsi="Calibri" w:eastAsia="宋体" w:cs="Times New Roman"/>
          <w:bCs/>
          <w:color w:val="auto"/>
          <w:kern w:val="44"/>
          <w:szCs w:val="36"/>
          <w:highlight w:val="none"/>
        </w:rPr>
        <w:t xml:space="preserve">  </w:t>
      </w:r>
      <w:r>
        <w:rPr>
          <w:rFonts w:hint="eastAsia" w:ascii="Calibri" w:hAnsi="Calibri" w:eastAsia="宋体" w:cs="Times New Roman"/>
          <w:bCs/>
          <w:color w:val="auto"/>
          <w:kern w:val="44"/>
          <w:szCs w:val="36"/>
          <w:highlight w:val="none"/>
        </w:rPr>
        <w:t>合同条款</w:t>
      </w:r>
      <w:r>
        <w:rPr>
          <w:color w:val="auto"/>
          <w:highlight w:val="none"/>
        </w:rPr>
        <w:tab/>
      </w:r>
      <w:r>
        <w:rPr>
          <w:color w:val="auto"/>
          <w:highlight w:val="none"/>
        </w:rPr>
        <w:fldChar w:fldCharType="begin"/>
      </w:r>
      <w:r>
        <w:rPr>
          <w:color w:val="auto"/>
          <w:highlight w:val="none"/>
        </w:rPr>
        <w:instrText xml:space="preserve"> PAGEREF _Toc15768 \h </w:instrText>
      </w:r>
      <w:r>
        <w:rPr>
          <w:color w:val="auto"/>
          <w:highlight w:val="none"/>
        </w:rPr>
        <w:fldChar w:fldCharType="separate"/>
      </w:r>
      <w:r>
        <w:rPr>
          <w:color w:val="auto"/>
          <w:highlight w:val="none"/>
        </w:rPr>
        <w:t>36</w:t>
      </w:r>
      <w:r>
        <w:rPr>
          <w:color w:val="auto"/>
          <w:highlight w:val="none"/>
        </w:rPr>
        <w:fldChar w:fldCharType="end"/>
      </w:r>
      <w:r>
        <w:rPr>
          <w:rFonts w:ascii="Times New Roman" w:hAnsi="Times New Roman" w:eastAsia="宋体" w:cs="Times New Roman"/>
          <w:color w:val="auto"/>
          <w:kern w:val="2"/>
          <w:szCs w:val="24"/>
          <w:highlight w:val="none"/>
          <w:lang w:val="en-US" w:eastAsia="zh-CN" w:bidi="ar-SA"/>
        </w:rPr>
        <w:fldChar w:fldCharType="end"/>
      </w:r>
    </w:p>
    <w:p>
      <w:pPr>
        <w:pStyle w:val="9"/>
        <w:tabs>
          <w:tab w:val="right" w:leader="dot" w:pos="9026"/>
        </w:tabs>
        <w:rPr>
          <w:color w:val="auto"/>
          <w:highlight w:val="none"/>
        </w:rPr>
      </w:pPr>
      <w:r>
        <w:rPr>
          <w:rFonts w:ascii="Times New Roman" w:hAnsi="Times New Roman" w:eastAsia="宋体" w:cs="Times New Roman"/>
          <w:color w:val="auto"/>
          <w:kern w:val="2"/>
          <w:szCs w:val="24"/>
          <w:highlight w:val="none"/>
          <w:lang w:val="en-US" w:eastAsia="zh-CN" w:bidi="ar-SA"/>
        </w:rPr>
        <w:fldChar w:fldCharType="begin"/>
      </w:r>
      <w:r>
        <w:rPr>
          <w:rFonts w:ascii="Times New Roman" w:hAnsi="Times New Roman" w:eastAsia="宋体" w:cs="Times New Roman"/>
          <w:color w:val="auto"/>
          <w:kern w:val="2"/>
          <w:szCs w:val="24"/>
          <w:highlight w:val="none"/>
          <w:lang w:val="en-US" w:eastAsia="zh-CN" w:bidi="ar-SA"/>
        </w:rPr>
        <w:instrText xml:space="preserve"> HYPERLINK \l _Toc221 </w:instrText>
      </w:r>
      <w:r>
        <w:rPr>
          <w:rFonts w:ascii="Times New Roman" w:hAnsi="Times New Roman" w:eastAsia="宋体" w:cs="Times New Roman"/>
          <w:color w:val="auto"/>
          <w:kern w:val="2"/>
          <w:szCs w:val="24"/>
          <w:highlight w:val="none"/>
          <w:lang w:val="en-US" w:eastAsia="zh-CN" w:bidi="ar-SA"/>
        </w:rPr>
        <w:fldChar w:fldCharType="separate"/>
      </w:r>
      <w:r>
        <w:rPr>
          <w:rFonts w:hint="eastAsia" w:ascii="宋体" w:hAnsi="宋体" w:eastAsia="宋体" w:cs="Times New Roman"/>
          <w:bCs/>
          <w:strike/>
          <w:color w:val="auto"/>
          <w:kern w:val="44"/>
          <w:szCs w:val="21"/>
          <w:highlight w:val="none"/>
        </w:rPr>
        <w:t>附录</w:t>
      </w:r>
      <w:r>
        <w:rPr>
          <w:rFonts w:ascii="宋体" w:hAnsi="宋体" w:eastAsia="宋体" w:cs="Times New Roman"/>
          <w:bCs/>
          <w:strike/>
          <w:color w:val="auto"/>
          <w:kern w:val="44"/>
          <w:szCs w:val="21"/>
          <w:highlight w:val="none"/>
        </w:rPr>
        <w:t xml:space="preserve">1 </w:t>
      </w:r>
      <w:r>
        <w:rPr>
          <w:rFonts w:hint="eastAsia" w:ascii="宋体" w:hAnsi="宋体" w:eastAsia="宋体" w:cs="Times New Roman"/>
          <w:bCs/>
          <w:strike/>
          <w:color w:val="auto"/>
          <w:kern w:val="44"/>
          <w:szCs w:val="21"/>
          <w:highlight w:val="none"/>
        </w:rPr>
        <w:t>投标申请表（投入人员承诺）</w:t>
      </w:r>
      <w:r>
        <w:rPr>
          <w:color w:val="auto"/>
          <w:highlight w:val="none"/>
        </w:rPr>
        <w:tab/>
      </w:r>
      <w:r>
        <w:rPr>
          <w:color w:val="auto"/>
          <w:highlight w:val="none"/>
        </w:rPr>
        <w:fldChar w:fldCharType="begin"/>
      </w:r>
      <w:r>
        <w:rPr>
          <w:color w:val="auto"/>
          <w:highlight w:val="none"/>
        </w:rPr>
        <w:instrText xml:space="preserve"> PAGEREF _Toc221 \h </w:instrText>
      </w:r>
      <w:r>
        <w:rPr>
          <w:color w:val="auto"/>
          <w:highlight w:val="none"/>
        </w:rPr>
        <w:fldChar w:fldCharType="separate"/>
      </w:r>
      <w:r>
        <w:rPr>
          <w:color w:val="auto"/>
          <w:highlight w:val="none"/>
        </w:rPr>
        <w:t>37</w:t>
      </w:r>
      <w:r>
        <w:rPr>
          <w:color w:val="auto"/>
          <w:highlight w:val="none"/>
        </w:rPr>
        <w:fldChar w:fldCharType="end"/>
      </w:r>
      <w:r>
        <w:rPr>
          <w:rFonts w:ascii="Times New Roman" w:hAnsi="Times New Roman" w:eastAsia="宋体" w:cs="Times New Roman"/>
          <w:color w:val="auto"/>
          <w:kern w:val="2"/>
          <w:szCs w:val="24"/>
          <w:highlight w:val="none"/>
          <w:lang w:val="en-US" w:eastAsia="zh-CN" w:bidi="ar-SA"/>
        </w:rPr>
        <w:fldChar w:fldCharType="end"/>
      </w:r>
    </w:p>
    <w:p>
      <w:pPr>
        <w:pStyle w:val="9"/>
        <w:tabs>
          <w:tab w:val="right" w:leader="dot" w:pos="9026"/>
        </w:tabs>
        <w:rPr>
          <w:color w:val="auto"/>
          <w:highlight w:val="none"/>
        </w:rPr>
      </w:pPr>
      <w:r>
        <w:rPr>
          <w:rFonts w:ascii="Times New Roman" w:hAnsi="Times New Roman" w:eastAsia="宋体" w:cs="Times New Roman"/>
          <w:color w:val="auto"/>
          <w:kern w:val="2"/>
          <w:szCs w:val="24"/>
          <w:highlight w:val="none"/>
          <w:lang w:val="en-US" w:eastAsia="zh-CN" w:bidi="ar-SA"/>
        </w:rPr>
        <w:fldChar w:fldCharType="begin"/>
      </w:r>
      <w:r>
        <w:rPr>
          <w:rFonts w:ascii="Times New Roman" w:hAnsi="Times New Roman" w:eastAsia="宋体" w:cs="Times New Roman"/>
          <w:color w:val="auto"/>
          <w:kern w:val="2"/>
          <w:szCs w:val="24"/>
          <w:highlight w:val="none"/>
          <w:lang w:val="en-US" w:eastAsia="zh-CN" w:bidi="ar-SA"/>
        </w:rPr>
        <w:instrText xml:space="preserve"> HYPERLINK \l _Toc21872 </w:instrText>
      </w:r>
      <w:r>
        <w:rPr>
          <w:rFonts w:ascii="Times New Roman" w:hAnsi="Times New Roman" w:eastAsia="宋体" w:cs="Times New Roman"/>
          <w:color w:val="auto"/>
          <w:kern w:val="2"/>
          <w:szCs w:val="24"/>
          <w:highlight w:val="none"/>
          <w:lang w:val="en-US" w:eastAsia="zh-CN" w:bidi="ar-SA"/>
        </w:rPr>
        <w:fldChar w:fldCharType="separate"/>
      </w:r>
      <w:r>
        <w:rPr>
          <w:rFonts w:hint="eastAsia" w:ascii="宋体" w:hAnsi="宋体" w:eastAsia="宋体" w:cs="Times New Roman"/>
          <w:bCs/>
          <w:color w:val="auto"/>
          <w:kern w:val="44"/>
          <w:szCs w:val="21"/>
          <w:highlight w:val="none"/>
          <w:lang w:val="en-US" w:eastAsia="zh-CN" w:bidi="ar-SA"/>
        </w:rPr>
        <w:t>附件</w:t>
      </w:r>
      <w:r>
        <w:rPr>
          <w:rFonts w:ascii="宋体" w:hAnsi="宋体" w:eastAsia="宋体" w:cs="Times New Roman"/>
          <w:bCs/>
          <w:color w:val="auto"/>
          <w:kern w:val="44"/>
          <w:szCs w:val="21"/>
          <w:highlight w:val="none"/>
          <w:lang w:val="en-US" w:eastAsia="zh-CN" w:bidi="ar-SA"/>
        </w:rPr>
        <w:t>2设计投标文件编制要求</w:t>
      </w:r>
      <w:r>
        <w:rPr>
          <w:color w:val="auto"/>
          <w:highlight w:val="none"/>
        </w:rPr>
        <w:tab/>
      </w:r>
      <w:r>
        <w:rPr>
          <w:color w:val="auto"/>
          <w:highlight w:val="none"/>
        </w:rPr>
        <w:fldChar w:fldCharType="begin"/>
      </w:r>
      <w:r>
        <w:rPr>
          <w:color w:val="auto"/>
          <w:highlight w:val="none"/>
        </w:rPr>
        <w:instrText xml:space="preserve"> PAGEREF _Toc21872 \h </w:instrText>
      </w:r>
      <w:r>
        <w:rPr>
          <w:color w:val="auto"/>
          <w:highlight w:val="none"/>
        </w:rPr>
        <w:fldChar w:fldCharType="separate"/>
      </w:r>
      <w:r>
        <w:rPr>
          <w:color w:val="auto"/>
          <w:highlight w:val="none"/>
        </w:rPr>
        <w:t>38</w:t>
      </w:r>
      <w:r>
        <w:rPr>
          <w:color w:val="auto"/>
          <w:highlight w:val="none"/>
        </w:rPr>
        <w:fldChar w:fldCharType="end"/>
      </w:r>
      <w:r>
        <w:rPr>
          <w:rFonts w:ascii="Times New Roman" w:hAnsi="Times New Roman" w:eastAsia="宋体" w:cs="Times New Roman"/>
          <w:color w:val="auto"/>
          <w:kern w:val="2"/>
          <w:szCs w:val="24"/>
          <w:highlight w:val="none"/>
          <w:lang w:val="en-US" w:eastAsia="zh-CN" w:bidi="ar-SA"/>
        </w:rPr>
        <w:fldChar w:fldCharType="end"/>
      </w:r>
    </w:p>
    <w:p>
      <w:pPr>
        <w:pStyle w:val="9"/>
        <w:tabs>
          <w:tab w:val="right" w:leader="dot" w:pos="9026"/>
        </w:tabs>
        <w:rPr>
          <w:color w:val="auto"/>
          <w:highlight w:val="none"/>
        </w:rPr>
      </w:pPr>
      <w:r>
        <w:rPr>
          <w:rFonts w:ascii="Times New Roman" w:hAnsi="Times New Roman" w:eastAsia="宋体" w:cs="Times New Roman"/>
          <w:color w:val="auto"/>
          <w:kern w:val="2"/>
          <w:szCs w:val="24"/>
          <w:highlight w:val="none"/>
          <w:lang w:val="en-US" w:eastAsia="zh-CN" w:bidi="ar-SA"/>
        </w:rPr>
        <w:fldChar w:fldCharType="begin"/>
      </w:r>
      <w:r>
        <w:rPr>
          <w:rFonts w:ascii="Times New Roman" w:hAnsi="Times New Roman" w:eastAsia="宋体" w:cs="Times New Roman"/>
          <w:color w:val="auto"/>
          <w:kern w:val="2"/>
          <w:szCs w:val="24"/>
          <w:highlight w:val="none"/>
          <w:lang w:val="en-US" w:eastAsia="zh-CN" w:bidi="ar-SA"/>
        </w:rPr>
        <w:instrText xml:space="preserve"> HYPERLINK \l _Toc3842 </w:instrText>
      </w:r>
      <w:r>
        <w:rPr>
          <w:rFonts w:ascii="Times New Roman" w:hAnsi="Times New Roman" w:eastAsia="宋体" w:cs="Times New Roman"/>
          <w:color w:val="auto"/>
          <w:kern w:val="2"/>
          <w:szCs w:val="24"/>
          <w:highlight w:val="none"/>
          <w:lang w:val="en-US" w:eastAsia="zh-CN" w:bidi="ar-SA"/>
        </w:rPr>
        <w:fldChar w:fldCharType="separate"/>
      </w:r>
      <w:r>
        <w:rPr>
          <w:rFonts w:hint="default" w:ascii="宋体" w:hAnsi="宋体" w:eastAsia="宋体" w:cs="Times New Roman"/>
          <w:bCs/>
          <w:color w:val="auto"/>
          <w:kern w:val="44"/>
          <w:szCs w:val="21"/>
          <w:highlight w:val="none"/>
          <w:lang w:val="en-US" w:eastAsia="zh-CN" w:bidi="ar-SA"/>
        </w:rPr>
        <w:t>附件</w:t>
      </w:r>
      <w:r>
        <w:rPr>
          <w:rFonts w:ascii="宋体" w:hAnsi="宋体" w:eastAsia="宋体" w:cs="Times New Roman"/>
          <w:bCs/>
          <w:color w:val="auto"/>
          <w:kern w:val="44"/>
          <w:szCs w:val="21"/>
          <w:highlight w:val="none"/>
          <w:lang w:val="en-US" w:eastAsia="zh-CN" w:bidi="ar-SA"/>
        </w:rPr>
        <w:t>3（工程勘察设计费报价汇总表）</w:t>
      </w:r>
      <w:r>
        <w:rPr>
          <w:color w:val="auto"/>
          <w:highlight w:val="none"/>
        </w:rPr>
        <w:tab/>
      </w:r>
      <w:r>
        <w:rPr>
          <w:color w:val="auto"/>
          <w:highlight w:val="none"/>
        </w:rPr>
        <w:fldChar w:fldCharType="begin"/>
      </w:r>
      <w:r>
        <w:rPr>
          <w:color w:val="auto"/>
          <w:highlight w:val="none"/>
        </w:rPr>
        <w:instrText xml:space="preserve"> PAGEREF _Toc3842 \h </w:instrText>
      </w:r>
      <w:r>
        <w:rPr>
          <w:color w:val="auto"/>
          <w:highlight w:val="none"/>
        </w:rPr>
        <w:fldChar w:fldCharType="separate"/>
      </w:r>
      <w:r>
        <w:rPr>
          <w:color w:val="auto"/>
          <w:highlight w:val="none"/>
        </w:rPr>
        <w:t>47</w:t>
      </w:r>
      <w:r>
        <w:rPr>
          <w:color w:val="auto"/>
          <w:highlight w:val="none"/>
        </w:rPr>
        <w:fldChar w:fldCharType="end"/>
      </w:r>
      <w:r>
        <w:rPr>
          <w:rFonts w:ascii="Times New Roman" w:hAnsi="Times New Roman" w:eastAsia="宋体" w:cs="Times New Roman"/>
          <w:color w:val="auto"/>
          <w:kern w:val="2"/>
          <w:szCs w:val="24"/>
          <w:highlight w:val="none"/>
          <w:lang w:val="en-US" w:eastAsia="zh-CN" w:bidi="ar-SA"/>
        </w:rPr>
        <w:fldChar w:fldCharType="end"/>
      </w:r>
    </w:p>
    <w:p>
      <w:pPr>
        <w:pStyle w:val="9"/>
        <w:tabs>
          <w:tab w:val="right" w:leader="dot" w:pos="9026"/>
        </w:tabs>
        <w:rPr>
          <w:color w:val="auto"/>
          <w:highlight w:val="none"/>
        </w:rPr>
      </w:pPr>
      <w:r>
        <w:rPr>
          <w:rFonts w:ascii="Times New Roman" w:hAnsi="Times New Roman" w:eastAsia="宋体" w:cs="Times New Roman"/>
          <w:color w:val="auto"/>
          <w:kern w:val="2"/>
          <w:szCs w:val="24"/>
          <w:highlight w:val="none"/>
          <w:lang w:val="en-US" w:eastAsia="zh-CN" w:bidi="ar-SA"/>
        </w:rPr>
        <w:fldChar w:fldCharType="begin"/>
      </w:r>
      <w:r>
        <w:rPr>
          <w:rFonts w:ascii="Times New Roman" w:hAnsi="Times New Roman" w:eastAsia="宋体" w:cs="Times New Roman"/>
          <w:color w:val="auto"/>
          <w:kern w:val="2"/>
          <w:szCs w:val="24"/>
          <w:highlight w:val="none"/>
          <w:lang w:val="en-US" w:eastAsia="zh-CN" w:bidi="ar-SA"/>
        </w:rPr>
        <w:instrText xml:space="preserve"> HYPERLINK \l _Toc17691 </w:instrText>
      </w:r>
      <w:r>
        <w:rPr>
          <w:rFonts w:ascii="Times New Roman" w:hAnsi="Times New Roman" w:eastAsia="宋体" w:cs="Times New Roman"/>
          <w:color w:val="auto"/>
          <w:kern w:val="2"/>
          <w:szCs w:val="24"/>
          <w:highlight w:val="none"/>
          <w:lang w:val="en-US" w:eastAsia="zh-CN" w:bidi="ar-SA"/>
        </w:rPr>
        <w:fldChar w:fldCharType="separate"/>
      </w:r>
      <w:r>
        <w:rPr>
          <w:rFonts w:hint="eastAsia" w:ascii="宋体" w:hAnsi="宋体" w:eastAsia="宋体" w:cs="Times New Roman"/>
          <w:bCs/>
          <w:color w:val="auto"/>
          <w:kern w:val="44"/>
          <w:szCs w:val="21"/>
          <w:highlight w:val="none"/>
          <w:lang w:val="en-US" w:eastAsia="zh-CN" w:bidi="ar-SA"/>
        </w:rPr>
        <w:t>附件</w:t>
      </w:r>
      <w:r>
        <w:rPr>
          <w:rFonts w:hint="default" w:ascii="宋体" w:hAnsi="宋体" w:eastAsia="宋体" w:cs="Times New Roman"/>
          <w:bCs/>
          <w:color w:val="auto"/>
          <w:kern w:val="44"/>
          <w:szCs w:val="21"/>
          <w:highlight w:val="none"/>
          <w:lang w:val="en-US" w:eastAsia="zh-CN" w:bidi="ar-SA"/>
        </w:rPr>
        <w:t>3</w:t>
      </w:r>
      <w:r>
        <w:rPr>
          <w:rFonts w:hint="eastAsia" w:ascii="宋体" w:hAnsi="宋体" w:eastAsia="宋体" w:cs="Times New Roman"/>
          <w:bCs/>
          <w:color w:val="auto"/>
          <w:kern w:val="44"/>
          <w:szCs w:val="21"/>
          <w:highlight w:val="none"/>
          <w:lang w:val="en-US" w:eastAsia="zh-CN" w:bidi="ar-SA"/>
        </w:rPr>
        <w:t>－</w:t>
      </w:r>
      <w:r>
        <w:rPr>
          <w:rFonts w:hint="default" w:ascii="宋体" w:hAnsi="宋体" w:eastAsia="宋体" w:cs="Times New Roman"/>
          <w:bCs/>
          <w:color w:val="auto"/>
          <w:kern w:val="44"/>
          <w:szCs w:val="21"/>
          <w:highlight w:val="none"/>
          <w:lang w:val="en-US" w:eastAsia="zh-CN" w:bidi="ar-SA"/>
        </w:rPr>
        <w:t>1</w:t>
      </w:r>
      <w:r>
        <w:rPr>
          <w:rFonts w:hint="eastAsia" w:ascii="宋体" w:hAnsi="宋体" w:eastAsia="宋体" w:cs="Times New Roman"/>
          <w:bCs/>
          <w:color w:val="auto"/>
          <w:kern w:val="44"/>
          <w:szCs w:val="21"/>
          <w:highlight w:val="none"/>
          <w:lang w:val="en-US" w:eastAsia="zh-CN" w:bidi="ar-SA"/>
        </w:rPr>
        <w:t>：工程设计费计算表</w:t>
      </w:r>
      <w:r>
        <w:rPr>
          <w:color w:val="auto"/>
          <w:highlight w:val="none"/>
        </w:rPr>
        <w:tab/>
      </w:r>
      <w:r>
        <w:rPr>
          <w:color w:val="auto"/>
          <w:highlight w:val="none"/>
        </w:rPr>
        <w:fldChar w:fldCharType="begin"/>
      </w:r>
      <w:r>
        <w:rPr>
          <w:color w:val="auto"/>
          <w:highlight w:val="none"/>
        </w:rPr>
        <w:instrText xml:space="preserve"> PAGEREF _Toc17691 \h </w:instrText>
      </w:r>
      <w:r>
        <w:rPr>
          <w:color w:val="auto"/>
          <w:highlight w:val="none"/>
        </w:rPr>
        <w:fldChar w:fldCharType="separate"/>
      </w:r>
      <w:r>
        <w:rPr>
          <w:color w:val="auto"/>
          <w:highlight w:val="none"/>
        </w:rPr>
        <w:t>48</w:t>
      </w:r>
      <w:r>
        <w:rPr>
          <w:color w:val="auto"/>
          <w:highlight w:val="none"/>
        </w:rPr>
        <w:fldChar w:fldCharType="end"/>
      </w:r>
      <w:r>
        <w:rPr>
          <w:rFonts w:ascii="Times New Roman" w:hAnsi="Times New Roman" w:eastAsia="宋体" w:cs="Times New Roman"/>
          <w:color w:val="auto"/>
          <w:kern w:val="2"/>
          <w:szCs w:val="24"/>
          <w:highlight w:val="none"/>
          <w:lang w:val="en-US" w:eastAsia="zh-CN" w:bidi="ar-SA"/>
        </w:rPr>
        <w:fldChar w:fldCharType="end"/>
      </w:r>
    </w:p>
    <w:p>
      <w:pPr>
        <w:pStyle w:val="9"/>
        <w:tabs>
          <w:tab w:val="right" w:leader="dot" w:pos="9026"/>
        </w:tabs>
        <w:rPr>
          <w:color w:val="auto"/>
          <w:highlight w:val="none"/>
        </w:rPr>
      </w:pPr>
      <w:r>
        <w:rPr>
          <w:rFonts w:ascii="Times New Roman" w:hAnsi="Times New Roman" w:eastAsia="宋体" w:cs="Times New Roman"/>
          <w:color w:val="auto"/>
          <w:kern w:val="2"/>
          <w:szCs w:val="24"/>
          <w:highlight w:val="none"/>
          <w:lang w:val="en-US" w:eastAsia="zh-CN" w:bidi="ar-SA"/>
        </w:rPr>
        <w:fldChar w:fldCharType="begin"/>
      </w:r>
      <w:r>
        <w:rPr>
          <w:rFonts w:ascii="Times New Roman" w:hAnsi="Times New Roman" w:eastAsia="宋体" w:cs="Times New Roman"/>
          <w:color w:val="auto"/>
          <w:kern w:val="2"/>
          <w:szCs w:val="24"/>
          <w:highlight w:val="none"/>
          <w:lang w:val="en-US" w:eastAsia="zh-CN" w:bidi="ar-SA"/>
        </w:rPr>
        <w:instrText xml:space="preserve"> HYPERLINK \l _Toc8271 </w:instrText>
      </w:r>
      <w:r>
        <w:rPr>
          <w:rFonts w:ascii="Times New Roman" w:hAnsi="Times New Roman" w:eastAsia="宋体" w:cs="Times New Roman"/>
          <w:color w:val="auto"/>
          <w:kern w:val="2"/>
          <w:szCs w:val="24"/>
          <w:highlight w:val="none"/>
          <w:lang w:val="en-US" w:eastAsia="zh-CN" w:bidi="ar-SA"/>
        </w:rPr>
        <w:fldChar w:fldCharType="separate"/>
      </w:r>
      <w:r>
        <w:rPr>
          <w:rFonts w:hint="eastAsia" w:ascii="宋体" w:hAnsi="宋体" w:eastAsia="宋体" w:cs="Times New Roman"/>
          <w:bCs/>
          <w:color w:val="auto"/>
          <w:kern w:val="44"/>
          <w:szCs w:val="21"/>
          <w:highlight w:val="none"/>
          <w:lang w:val="en-US" w:eastAsia="zh-CN" w:bidi="ar-SA"/>
        </w:rPr>
        <w:t>附件3－2（工程勘察费计算表）</w:t>
      </w:r>
      <w:r>
        <w:rPr>
          <w:color w:val="auto"/>
          <w:highlight w:val="none"/>
        </w:rPr>
        <w:tab/>
      </w:r>
      <w:r>
        <w:rPr>
          <w:color w:val="auto"/>
          <w:highlight w:val="none"/>
        </w:rPr>
        <w:fldChar w:fldCharType="begin"/>
      </w:r>
      <w:r>
        <w:rPr>
          <w:color w:val="auto"/>
          <w:highlight w:val="none"/>
        </w:rPr>
        <w:instrText xml:space="preserve"> PAGEREF _Toc8271 \h </w:instrText>
      </w:r>
      <w:r>
        <w:rPr>
          <w:color w:val="auto"/>
          <w:highlight w:val="none"/>
        </w:rPr>
        <w:fldChar w:fldCharType="separate"/>
      </w:r>
      <w:r>
        <w:rPr>
          <w:color w:val="auto"/>
          <w:highlight w:val="none"/>
        </w:rPr>
        <w:t>49</w:t>
      </w:r>
      <w:r>
        <w:rPr>
          <w:color w:val="auto"/>
          <w:highlight w:val="none"/>
        </w:rPr>
        <w:fldChar w:fldCharType="end"/>
      </w:r>
      <w:r>
        <w:rPr>
          <w:rFonts w:ascii="Times New Roman" w:hAnsi="Times New Roman" w:eastAsia="宋体" w:cs="Times New Roman"/>
          <w:color w:val="auto"/>
          <w:kern w:val="2"/>
          <w:szCs w:val="24"/>
          <w:highlight w:val="none"/>
          <w:lang w:val="en-US" w:eastAsia="zh-CN" w:bidi="ar-SA"/>
        </w:rPr>
        <w:fldChar w:fldCharType="end"/>
      </w:r>
    </w:p>
    <w:p>
      <w:pPr>
        <w:pStyle w:val="9"/>
        <w:tabs>
          <w:tab w:val="right" w:leader="dot" w:pos="9026"/>
        </w:tabs>
        <w:rPr>
          <w:color w:val="auto"/>
          <w:highlight w:val="none"/>
        </w:rPr>
      </w:pPr>
      <w:r>
        <w:rPr>
          <w:rFonts w:ascii="Times New Roman" w:hAnsi="Times New Roman" w:eastAsia="宋体" w:cs="Times New Roman"/>
          <w:color w:val="auto"/>
          <w:kern w:val="2"/>
          <w:szCs w:val="24"/>
          <w:highlight w:val="none"/>
          <w:lang w:val="en-US" w:eastAsia="zh-CN" w:bidi="ar-SA"/>
        </w:rPr>
        <w:fldChar w:fldCharType="begin"/>
      </w:r>
      <w:r>
        <w:rPr>
          <w:rFonts w:ascii="Times New Roman" w:hAnsi="Times New Roman" w:eastAsia="宋体" w:cs="Times New Roman"/>
          <w:color w:val="auto"/>
          <w:kern w:val="2"/>
          <w:szCs w:val="24"/>
          <w:highlight w:val="none"/>
          <w:lang w:val="en-US" w:eastAsia="zh-CN" w:bidi="ar-SA"/>
        </w:rPr>
        <w:instrText xml:space="preserve"> HYPERLINK \l _Toc25707 </w:instrText>
      </w:r>
      <w:r>
        <w:rPr>
          <w:rFonts w:ascii="Times New Roman" w:hAnsi="Times New Roman" w:eastAsia="宋体" w:cs="Times New Roman"/>
          <w:color w:val="auto"/>
          <w:kern w:val="2"/>
          <w:szCs w:val="24"/>
          <w:highlight w:val="none"/>
          <w:lang w:val="en-US" w:eastAsia="zh-CN" w:bidi="ar-SA"/>
        </w:rPr>
        <w:fldChar w:fldCharType="separate"/>
      </w:r>
      <w:r>
        <w:rPr>
          <w:rFonts w:hint="eastAsia" w:ascii="宋体" w:hAnsi="宋体" w:eastAsia="宋体" w:cs="Times New Roman"/>
          <w:bCs/>
          <w:color w:val="auto"/>
          <w:kern w:val="44"/>
          <w:szCs w:val="21"/>
          <w:highlight w:val="none"/>
          <w:lang w:val="en-US" w:eastAsia="zh-CN" w:bidi="ar-SA"/>
        </w:rPr>
        <w:t>附件3－3（BIM正向设计技术应用费计算表）</w:t>
      </w:r>
      <w:r>
        <w:rPr>
          <w:color w:val="auto"/>
          <w:highlight w:val="none"/>
        </w:rPr>
        <w:tab/>
      </w:r>
      <w:r>
        <w:rPr>
          <w:color w:val="auto"/>
          <w:highlight w:val="none"/>
        </w:rPr>
        <w:fldChar w:fldCharType="begin"/>
      </w:r>
      <w:r>
        <w:rPr>
          <w:color w:val="auto"/>
          <w:highlight w:val="none"/>
        </w:rPr>
        <w:instrText xml:space="preserve"> PAGEREF _Toc25707 \h </w:instrText>
      </w:r>
      <w:r>
        <w:rPr>
          <w:color w:val="auto"/>
          <w:highlight w:val="none"/>
        </w:rPr>
        <w:fldChar w:fldCharType="separate"/>
      </w:r>
      <w:r>
        <w:rPr>
          <w:color w:val="auto"/>
          <w:highlight w:val="none"/>
        </w:rPr>
        <w:t>50</w:t>
      </w:r>
      <w:r>
        <w:rPr>
          <w:color w:val="auto"/>
          <w:highlight w:val="none"/>
        </w:rPr>
        <w:fldChar w:fldCharType="end"/>
      </w:r>
      <w:r>
        <w:rPr>
          <w:rFonts w:ascii="Times New Roman" w:hAnsi="Times New Roman" w:eastAsia="宋体" w:cs="Times New Roman"/>
          <w:color w:val="auto"/>
          <w:kern w:val="2"/>
          <w:szCs w:val="24"/>
          <w:highlight w:val="none"/>
          <w:lang w:val="en-US" w:eastAsia="zh-CN" w:bidi="ar-SA"/>
        </w:rPr>
        <w:fldChar w:fldCharType="end"/>
      </w:r>
    </w:p>
    <w:p>
      <w:pPr>
        <w:pStyle w:val="9"/>
        <w:tabs>
          <w:tab w:val="right" w:leader="dot" w:pos="9026"/>
        </w:tabs>
        <w:rPr>
          <w:color w:val="auto"/>
          <w:highlight w:val="none"/>
        </w:rPr>
      </w:pPr>
      <w:r>
        <w:rPr>
          <w:rFonts w:ascii="Times New Roman" w:hAnsi="Times New Roman" w:eastAsia="宋体" w:cs="Times New Roman"/>
          <w:color w:val="auto"/>
          <w:kern w:val="2"/>
          <w:szCs w:val="24"/>
          <w:highlight w:val="none"/>
          <w:lang w:val="en-US" w:eastAsia="zh-CN" w:bidi="ar-SA"/>
        </w:rPr>
        <w:fldChar w:fldCharType="begin"/>
      </w:r>
      <w:r>
        <w:rPr>
          <w:rFonts w:ascii="Times New Roman" w:hAnsi="Times New Roman" w:eastAsia="宋体" w:cs="Times New Roman"/>
          <w:color w:val="auto"/>
          <w:kern w:val="2"/>
          <w:szCs w:val="24"/>
          <w:highlight w:val="none"/>
          <w:lang w:val="en-US" w:eastAsia="zh-CN" w:bidi="ar-SA"/>
        </w:rPr>
        <w:instrText xml:space="preserve"> HYPERLINK \l _Toc27746 </w:instrText>
      </w:r>
      <w:r>
        <w:rPr>
          <w:rFonts w:ascii="Times New Roman" w:hAnsi="Times New Roman" w:eastAsia="宋体" w:cs="Times New Roman"/>
          <w:color w:val="auto"/>
          <w:kern w:val="2"/>
          <w:szCs w:val="24"/>
          <w:highlight w:val="none"/>
          <w:lang w:val="en-US" w:eastAsia="zh-CN" w:bidi="ar-SA"/>
        </w:rPr>
        <w:fldChar w:fldCharType="separate"/>
      </w:r>
      <w:r>
        <w:rPr>
          <w:rFonts w:hint="eastAsia" w:ascii="宋体" w:hAnsi="宋体" w:eastAsia="宋体" w:cs="Times New Roman"/>
          <w:bCs/>
          <w:color w:val="auto"/>
          <w:kern w:val="44"/>
          <w:szCs w:val="21"/>
          <w:highlight w:val="none"/>
          <w:lang w:val="en-US" w:eastAsia="zh-CN" w:bidi="ar-SA"/>
        </w:rPr>
        <w:t>附件3－4（设计方案报审（含修建性详细规划编制）费计算表）</w:t>
      </w:r>
      <w:r>
        <w:rPr>
          <w:color w:val="auto"/>
          <w:highlight w:val="none"/>
        </w:rPr>
        <w:tab/>
      </w:r>
      <w:r>
        <w:rPr>
          <w:color w:val="auto"/>
          <w:highlight w:val="none"/>
        </w:rPr>
        <w:fldChar w:fldCharType="begin"/>
      </w:r>
      <w:r>
        <w:rPr>
          <w:color w:val="auto"/>
          <w:highlight w:val="none"/>
        </w:rPr>
        <w:instrText xml:space="preserve"> PAGEREF _Toc27746 \h </w:instrText>
      </w:r>
      <w:r>
        <w:rPr>
          <w:color w:val="auto"/>
          <w:highlight w:val="none"/>
        </w:rPr>
        <w:fldChar w:fldCharType="separate"/>
      </w:r>
      <w:r>
        <w:rPr>
          <w:color w:val="auto"/>
          <w:highlight w:val="none"/>
        </w:rPr>
        <w:t>51</w:t>
      </w:r>
      <w:r>
        <w:rPr>
          <w:color w:val="auto"/>
          <w:highlight w:val="none"/>
        </w:rPr>
        <w:fldChar w:fldCharType="end"/>
      </w:r>
      <w:r>
        <w:rPr>
          <w:rFonts w:ascii="Times New Roman" w:hAnsi="Times New Roman" w:eastAsia="宋体" w:cs="Times New Roman"/>
          <w:color w:val="auto"/>
          <w:kern w:val="2"/>
          <w:szCs w:val="24"/>
          <w:highlight w:val="none"/>
          <w:lang w:val="en-US" w:eastAsia="zh-CN" w:bidi="ar-SA"/>
        </w:rPr>
        <w:fldChar w:fldCharType="end"/>
      </w:r>
    </w:p>
    <w:p>
      <w:pPr>
        <w:pStyle w:val="9"/>
        <w:tabs>
          <w:tab w:val="right" w:leader="dot" w:pos="9026"/>
        </w:tabs>
        <w:rPr>
          <w:color w:val="auto"/>
          <w:highlight w:val="none"/>
        </w:rPr>
      </w:pPr>
      <w:r>
        <w:rPr>
          <w:rFonts w:ascii="Times New Roman" w:hAnsi="Times New Roman" w:eastAsia="宋体" w:cs="Times New Roman"/>
          <w:color w:val="auto"/>
          <w:kern w:val="2"/>
          <w:szCs w:val="24"/>
          <w:highlight w:val="none"/>
          <w:lang w:val="en-US" w:eastAsia="zh-CN" w:bidi="ar-SA"/>
        </w:rPr>
        <w:fldChar w:fldCharType="begin"/>
      </w:r>
      <w:r>
        <w:rPr>
          <w:rFonts w:ascii="Times New Roman" w:hAnsi="Times New Roman" w:eastAsia="宋体" w:cs="Times New Roman"/>
          <w:color w:val="auto"/>
          <w:kern w:val="2"/>
          <w:szCs w:val="24"/>
          <w:highlight w:val="none"/>
          <w:lang w:val="en-US" w:eastAsia="zh-CN" w:bidi="ar-SA"/>
        </w:rPr>
        <w:instrText xml:space="preserve"> HYPERLINK \l _Toc5961 </w:instrText>
      </w:r>
      <w:r>
        <w:rPr>
          <w:rFonts w:ascii="Times New Roman" w:hAnsi="Times New Roman" w:eastAsia="宋体" w:cs="Times New Roman"/>
          <w:color w:val="auto"/>
          <w:kern w:val="2"/>
          <w:szCs w:val="24"/>
          <w:highlight w:val="none"/>
          <w:lang w:val="en-US" w:eastAsia="zh-CN" w:bidi="ar-SA"/>
        </w:rPr>
        <w:fldChar w:fldCharType="separate"/>
      </w:r>
      <w:r>
        <w:rPr>
          <w:rFonts w:hint="eastAsia" w:ascii="宋体" w:hAnsi="宋体" w:eastAsia="宋体" w:cs="Times New Roman"/>
          <w:bCs/>
          <w:strike/>
          <w:color w:val="auto"/>
          <w:kern w:val="44"/>
          <w:szCs w:val="21"/>
          <w:highlight w:val="none"/>
          <w:lang w:val="en-US" w:eastAsia="zh-CN" w:bidi="ar-SA"/>
        </w:rPr>
        <w:t>附件</w:t>
      </w:r>
      <w:r>
        <w:rPr>
          <w:rFonts w:ascii="宋体" w:hAnsi="宋体" w:eastAsia="宋体" w:cs="Times New Roman"/>
          <w:bCs/>
          <w:strike/>
          <w:color w:val="auto"/>
          <w:kern w:val="44"/>
          <w:szCs w:val="21"/>
          <w:highlight w:val="none"/>
          <w:lang w:val="en-US" w:eastAsia="zh-CN" w:bidi="ar-SA"/>
        </w:rPr>
        <w:t>5勘察投标文件编制要求</w:t>
      </w:r>
      <w:r>
        <w:rPr>
          <w:color w:val="auto"/>
          <w:highlight w:val="none"/>
        </w:rPr>
        <w:tab/>
      </w:r>
      <w:r>
        <w:rPr>
          <w:color w:val="auto"/>
          <w:highlight w:val="none"/>
        </w:rPr>
        <w:fldChar w:fldCharType="begin"/>
      </w:r>
      <w:r>
        <w:rPr>
          <w:color w:val="auto"/>
          <w:highlight w:val="none"/>
        </w:rPr>
        <w:instrText xml:space="preserve"> PAGEREF _Toc5961 \h </w:instrText>
      </w:r>
      <w:r>
        <w:rPr>
          <w:color w:val="auto"/>
          <w:highlight w:val="none"/>
        </w:rPr>
        <w:fldChar w:fldCharType="separate"/>
      </w:r>
      <w:r>
        <w:rPr>
          <w:color w:val="auto"/>
          <w:highlight w:val="none"/>
        </w:rPr>
        <w:t>52</w:t>
      </w:r>
      <w:r>
        <w:rPr>
          <w:color w:val="auto"/>
          <w:highlight w:val="none"/>
        </w:rPr>
        <w:fldChar w:fldCharType="end"/>
      </w:r>
      <w:r>
        <w:rPr>
          <w:rFonts w:ascii="Times New Roman" w:hAnsi="Times New Roman" w:eastAsia="宋体" w:cs="Times New Roman"/>
          <w:color w:val="auto"/>
          <w:kern w:val="2"/>
          <w:szCs w:val="24"/>
          <w:highlight w:val="none"/>
          <w:lang w:val="en-US" w:eastAsia="zh-CN" w:bidi="ar-SA"/>
        </w:rPr>
        <w:fldChar w:fldCharType="end"/>
      </w:r>
    </w:p>
    <w:p>
      <w:pPr>
        <w:pStyle w:val="9"/>
        <w:tabs>
          <w:tab w:val="right" w:leader="dot" w:pos="9026"/>
        </w:tabs>
        <w:rPr>
          <w:color w:val="auto"/>
          <w:highlight w:val="none"/>
        </w:rPr>
      </w:pPr>
      <w:r>
        <w:rPr>
          <w:rFonts w:ascii="Times New Roman" w:hAnsi="Times New Roman" w:eastAsia="宋体" w:cs="Times New Roman"/>
          <w:color w:val="auto"/>
          <w:kern w:val="2"/>
          <w:szCs w:val="24"/>
          <w:highlight w:val="none"/>
          <w:lang w:val="en-US" w:eastAsia="zh-CN" w:bidi="ar-SA"/>
        </w:rPr>
        <w:fldChar w:fldCharType="begin"/>
      </w:r>
      <w:r>
        <w:rPr>
          <w:rFonts w:ascii="Times New Roman" w:hAnsi="Times New Roman" w:eastAsia="宋体" w:cs="Times New Roman"/>
          <w:color w:val="auto"/>
          <w:kern w:val="2"/>
          <w:szCs w:val="24"/>
          <w:highlight w:val="none"/>
          <w:lang w:val="en-US" w:eastAsia="zh-CN" w:bidi="ar-SA"/>
        </w:rPr>
        <w:instrText xml:space="preserve"> HYPERLINK \l _Toc20258 </w:instrText>
      </w:r>
      <w:r>
        <w:rPr>
          <w:rFonts w:ascii="Times New Roman" w:hAnsi="Times New Roman" w:eastAsia="宋体" w:cs="Times New Roman"/>
          <w:color w:val="auto"/>
          <w:kern w:val="2"/>
          <w:szCs w:val="24"/>
          <w:highlight w:val="none"/>
          <w:lang w:val="en-US" w:eastAsia="zh-CN" w:bidi="ar-SA"/>
        </w:rPr>
        <w:fldChar w:fldCharType="separate"/>
      </w:r>
      <w:r>
        <w:rPr>
          <w:rFonts w:hint="eastAsia" w:ascii="宋体" w:hAnsi="宋体" w:eastAsia="宋体" w:cs="Times New Roman"/>
          <w:strike/>
          <w:dstrike w:val="0"/>
          <w:color w:val="auto"/>
          <w:kern w:val="2"/>
          <w:szCs w:val="21"/>
          <w:highlight w:val="none"/>
          <w:lang w:val="en-US" w:eastAsia="zh-CN" w:bidi="ar"/>
        </w:rPr>
        <w:t>附录4建筑工程设计方案测试记录表</w:t>
      </w:r>
      <w:r>
        <w:rPr>
          <w:color w:val="auto"/>
          <w:highlight w:val="none"/>
        </w:rPr>
        <w:tab/>
      </w:r>
      <w:r>
        <w:rPr>
          <w:color w:val="auto"/>
          <w:highlight w:val="none"/>
        </w:rPr>
        <w:fldChar w:fldCharType="begin"/>
      </w:r>
      <w:r>
        <w:rPr>
          <w:color w:val="auto"/>
          <w:highlight w:val="none"/>
        </w:rPr>
        <w:instrText xml:space="preserve"> PAGEREF _Toc20258 \h </w:instrText>
      </w:r>
      <w:r>
        <w:rPr>
          <w:color w:val="auto"/>
          <w:highlight w:val="none"/>
        </w:rPr>
        <w:fldChar w:fldCharType="separate"/>
      </w:r>
      <w:r>
        <w:rPr>
          <w:color w:val="auto"/>
          <w:highlight w:val="none"/>
        </w:rPr>
        <w:t>55</w:t>
      </w:r>
      <w:r>
        <w:rPr>
          <w:color w:val="auto"/>
          <w:highlight w:val="none"/>
        </w:rPr>
        <w:fldChar w:fldCharType="end"/>
      </w:r>
      <w:r>
        <w:rPr>
          <w:rFonts w:ascii="Times New Roman" w:hAnsi="Times New Roman" w:eastAsia="宋体" w:cs="Times New Roman"/>
          <w:color w:val="auto"/>
          <w:kern w:val="2"/>
          <w:szCs w:val="24"/>
          <w:highlight w:val="none"/>
          <w:lang w:val="en-US" w:eastAsia="zh-CN" w:bidi="ar-SA"/>
        </w:rPr>
        <w:fldChar w:fldCharType="end"/>
      </w:r>
    </w:p>
    <w:p>
      <w:pPr>
        <w:pStyle w:val="9"/>
        <w:tabs>
          <w:tab w:val="right" w:leader="dot" w:pos="9026"/>
        </w:tabs>
        <w:rPr>
          <w:color w:val="auto"/>
          <w:highlight w:val="none"/>
        </w:rPr>
      </w:pPr>
      <w:r>
        <w:rPr>
          <w:rFonts w:ascii="Times New Roman" w:hAnsi="Times New Roman" w:eastAsia="宋体" w:cs="Times New Roman"/>
          <w:color w:val="auto"/>
          <w:kern w:val="2"/>
          <w:szCs w:val="24"/>
          <w:highlight w:val="none"/>
          <w:lang w:val="en-US" w:eastAsia="zh-CN" w:bidi="ar-SA"/>
        </w:rPr>
        <w:fldChar w:fldCharType="begin"/>
      </w:r>
      <w:r>
        <w:rPr>
          <w:rFonts w:ascii="Times New Roman" w:hAnsi="Times New Roman" w:eastAsia="宋体" w:cs="Times New Roman"/>
          <w:color w:val="auto"/>
          <w:kern w:val="2"/>
          <w:szCs w:val="24"/>
          <w:highlight w:val="none"/>
          <w:lang w:val="en-US" w:eastAsia="zh-CN" w:bidi="ar-SA"/>
        </w:rPr>
        <w:instrText xml:space="preserve"> HYPERLINK \l _Toc15134 </w:instrText>
      </w:r>
      <w:r>
        <w:rPr>
          <w:rFonts w:ascii="Times New Roman" w:hAnsi="Times New Roman" w:eastAsia="宋体" w:cs="Times New Roman"/>
          <w:color w:val="auto"/>
          <w:kern w:val="2"/>
          <w:szCs w:val="24"/>
          <w:highlight w:val="none"/>
          <w:lang w:val="en-US" w:eastAsia="zh-CN" w:bidi="ar-SA"/>
        </w:rPr>
        <w:fldChar w:fldCharType="separate"/>
      </w:r>
      <w:r>
        <w:rPr>
          <w:rFonts w:hint="eastAsia" w:ascii="宋体" w:hAnsi="宋体" w:eastAsia="宋体" w:cs="Times New Roman"/>
          <w:bCs/>
          <w:color w:val="auto"/>
          <w:kern w:val="44"/>
          <w:szCs w:val="21"/>
          <w:highlight w:val="none"/>
        </w:rPr>
        <w:t>附录</w:t>
      </w:r>
      <w:r>
        <w:rPr>
          <w:rFonts w:ascii="宋体" w:hAnsi="宋体" w:eastAsia="宋体" w:cs="Times New Roman"/>
          <w:bCs/>
          <w:color w:val="auto"/>
          <w:kern w:val="44"/>
          <w:szCs w:val="21"/>
          <w:highlight w:val="none"/>
        </w:rPr>
        <w:t xml:space="preserve">6 </w:t>
      </w:r>
      <w:r>
        <w:rPr>
          <w:rFonts w:hint="eastAsia" w:ascii="宋体" w:hAnsi="宋体" w:eastAsia="宋体" w:cs="Times New Roman"/>
          <w:bCs/>
          <w:color w:val="auto"/>
          <w:kern w:val="44"/>
          <w:szCs w:val="21"/>
          <w:highlight w:val="none"/>
        </w:rPr>
        <w:t>投标书</w:t>
      </w:r>
      <w:r>
        <w:rPr>
          <w:color w:val="auto"/>
          <w:highlight w:val="none"/>
        </w:rPr>
        <w:tab/>
      </w:r>
      <w:r>
        <w:rPr>
          <w:color w:val="auto"/>
          <w:highlight w:val="none"/>
        </w:rPr>
        <w:fldChar w:fldCharType="begin"/>
      </w:r>
      <w:r>
        <w:rPr>
          <w:color w:val="auto"/>
          <w:highlight w:val="none"/>
        </w:rPr>
        <w:instrText xml:space="preserve"> PAGEREF _Toc15134 \h </w:instrText>
      </w:r>
      <w:r>
        <w:rPr>
          <w:color w:val="auto"/>
          <w:highlight w:val="none"/>
        </w:rPr>
        <w:fldChar w:fldCharType="separate"/>
      </w:r>
      <w:r>
        <w:rPr>
          <w:color w:val="auto"/>
          <w:highlight w:val="none"/>
        </w:rPr>
        <w:t>56</w:t>
      </w:r>
      <w:r>
        <w:rPr>
          <w:color w:val="auto"/>
          <w:highlight w:val="none"/>
        </w:rPr>
        <w:fldChar w:fldCharType="end"/>
      </w:r>
      <w:r>
        <w:rPr>
          <w:rFonts w:ascii="Times New Roman" w:hAnsi="Times New Roman" w:eastAsia="宋体" w:cs="Times New Roman"/>
          <w:color w:val="auto"/>
          <w:kern w:val="2"/>
          <w:szCs w:val="24"/>
          <w:highlight w:val="none"/>
          <w:lang w:val="en-US" w:eastAsia="zh-CN" w:bidi="ar-SA"/>
        </w:rPr>
        <w:fldChar w:fldCharType="end"/>
      </w:r>
    </w:p>
    <w:p>
      <w:pPr>
        <w:pStyle w:val="9"/>
        <w:tabs>
          <w:tab w:val="right" w:leader="dot" w:pos="9026"/>
        </w:tabs>
        <w:rPr>
          <w:color w:val="auto"/>
          <w:highlight w:val="none"/>
        </w:rPr>
      </w:pPr>
      <w:r>
        <w:rPr>
          <w:rFonts w:ascii="Times New Roman" w:hAnsi="Times New Roman" w:eastAsia="宋体" w:cs="Times New Roman"/>
          <w:color w:val="auto"/>
          <w:kern w:val="2"/>
          <w:szCs w:val="24"/>
          <w:highlight w:val="none"/>
          <w:lang w:val="en-US" w:eastAsia="zh-CN" w:bidi="ar-SA"/>
        </w:rPr>
        <w:fldChar w:fldCharType="begin"/>
      </w:r>
      <w:r>
        <w:rPr>
          <w:rFonts w:ascii="Times New Roman" w:hAnsi="Times New Roman" w:eastAsia="宋体" w:cs="Times New Roman"/>
          <w:color w:val="auto"/>
          <w:kern w:val="2"/>
          <w:szCs w:val="24"/>
          <w:highlight w:val="none"/>
          <w:lang w:val="en-US" w:eastAsia="zh-CN" w:bidi="ar-SA"/>
        </w:rPr>
        <w:instrText xml:space="preserve"> HYPERLINK \l _Toc17668 </w:instrText>
      </w:r>
      <w:r>
        <w:rPr>
          <w:rFonts w:ascii="Times New Roman" w:hAnsi="Times New Roman" w:eastAsia="宋体" w:cs="Times New Roman"/>
          <w:color w:val="auto"/>
          <w:kern w:val="2"/>
          <w:szCs w:val="24"/>
          <w:highlight w:val="none"/>
          <w:lang w:val="en-US" w:eastAsia="zh-CN" w:bidi="ar-SA"/>
        </w:rPr>
        <w:fldChar w:fldCharType="separate"/>
      </w:r>
      <w:r>
        <w:rPr>
          <w:rFonts w:hint="eastAsia" w:ascii="宋体" w:hAnsi="宋体" w:eastAsia="宋体" w:cs="Times New Roman"/>
          <w:bCs/>
          <w:color w:val="auto"/>
          <w:kern w:val="44"/>
          <w:szCs w:val="21"/>
          <w:highlight w:val="none"/>
          <w:lang w:val="en-US" w:eastAsia="zh-CN" w:bidi="ar-SA"/>
        </w:rPr>
        <w:t>附录</w:t>
      </w:r>
      <w:r>
        <w:rPr>
          <w:rFonts w:ascii="宋体" w:hAnsi="宋体" w:eastAsia="宋体" w:cs="Times New Roman"/>
          <w:bCs/>
          <w:color w:val="auto"/>
          <w:kern w:val="44"/>
          <w:szCs w:val="21"/>
          <w:highlight w:val="none"/>
          <w:lang w:val="en-US" w:eastAsia="zh-CN" w:bidi="ar-SA"/>
        </w:rPr>
        <w:t xml:space="preserve">7 </w:t>
      </w:r>
      <w:r>
        <w:rPr>
          <w:rFonts w:hint="eastAsia" w:ascii="宋体" w:hAnsi="宋体" w:eastAsia="宋体" w:cs="Times New Roman"/>
          <w:bCs/>
          <w:color w:val="auto"/>
          <w:kern w:val="44"/>
          <w:szCs w:val="21"/>
          <w:highlight w:val="none"/>
          <w:lang w:val="en-US" w:eastAsia="zh-CN" w:bidi="ar-SA"/>
        </w:rPr>
        <w:t>联合体共同投标协议</w:t>
      </w:r>
      <w:r>
        <w:rPr>
          <w:color w:val="auto"/>
          <w:highlight w:val="none"/>
        </w:rPr>
        <w:tab/>
      </w:r>
      <w:r>
        <w:rPr>
          <w:color w:val="auto"/>
          <w:highlight w:val="none"/>
        </w:rPr>
        <w:fldChar w:fldCharType="begin"/>
      </w:r>
      <w:r>
        <w:rPr>
          <w:color w:val="auto"/>
          <w:highlight w:val="none"/>
        </w:rPr>
        <w:instrText xml:space="preserve"> PAGEREF _Toc17668 \h </w:instrText>
      </w:r>
      <w:r>
        <w:rPr>
          <w:color w:val="auto"/>
          <w:highlight w:val="none"/>
        </w:rPr>
        <w:fldChar w:fldCharType="separate"/>
      </w:r>
      <w:r>
        <w:rPr>
          <w:color w:val="auto"/>
          <w:highlight w:val="none"/>
        </w:rPr>
        <w:t>58</w:t>
      </w:r>
      <w:r>
        <w:rPr>
          <w:color w:val="auto"/>
          <w:highlight w:val="none"/>
        </w:rPr>
        <w:fldChar w:fldCharType="end"/>
      </w:r>
      <w:r>
        <w:rPr>
          <w:rFonts w:ascii="Times New Roman" w:hAnsi="Times New Roman" w:eastAsia="宋体" w:cs="Times New Roman"/>
          <w:color w:val="auto"/>
          <w:kern w:val="2"/>
          <w:szCs w:val="24"/>
          <w:highlight w:val="none"/>
          <w:lang w:val="en-US" w:eastAsia="zh-CN" w:bidi="ar-SA"/>
        </w:rPr>
        <w:fldChar w:fldCharType="end"/>
      </w:r>
    </w:p>
    <w:p>
      <w:pPr>
        <w:pStyle w:val="9"/>
        <w:tabs>
          <w:tab w:val="right" w:leader="dot" w:pos="9026"/>
        </w:tabs>
        <w:rPr>
          <w:color w:val="auto"/>
          <w:highlight w:val="none"/>
        </w:rPr>
      </w:pPr>
      <w:r>
        <w:rPr>
          <w:rFonts w:ascii="Times New Roman" w:hAnsi="Times New Roman" w:eastAsia="宋体" w:cs="Times New Roman"/>
          <w:color w:val="auto"/>
          <w:kern w:val="2"/>
          <w:szCs w:val="24"/>
          <w:highlight w:val="none"/>
          <w:lang w:val="en-US" w:eastAsia="zh-CN" w:bidi="ar-SA"/>
        </w:rPr>
        <w:fldChar w:fldCharType="begin"/>
      </w:r>
      <w:r>
        <w:rPr>
          <w:rFonts w:ascii="Times New Roman" w:hAnsi="Times New Roman" w:eastAsia="宋体" w:cs="Times New Roman"/>
          <w:color w:val="auto"/>
          <w:kern w:val="2"/>
          <w:szCs w:val="24"/>
          <w:highlight w:val="none"/>
          <w:lang w:val="en-US" w:eastAsia="zh-CN" w:bidi="ar-SA"/>
        </w:rPr>
        <w:instrText xml:space="preserve"> HYPERLINK \l _Toc25716 </w:instrText>
      </w:r>
      <w:r>
        <w:rPr>
          <w:rFonts w:ascii="Times New Roman" w:hAnsi="Times New Roman" w:eastAsia="宋体" w:cs="Times New Roman"/>
          <w:color w:val="auto"/>
          <w:kern w:val="2"/>
          <w:szCs w:val="24"/>
          <w:highlight w:val="none"/>
          <w:lang w:val="en-US" w:eastAsia="zh-CN" w:bidi="ar-SA"/>
        </w:rPr>
        <w:fldChar w:fldCharType="separate"/>
      </w:r>
      <w:r>
        <w:rPr>
          <w:rFonts w:hint="eastAsia" w:ascii="宋体" w:hAnsi="宋体" w:eastAsia="宋体" w:cs="Times New Roman"/>
          <w:bCs/>
          <w:color w:val="auto"/>
          <w:kern w:val="44"/>
          <w:szCs w:val="21"/>
          <w:highlight w:val="none"/>
          <w:lang w:val="en-US" w:eastAsia="zh-CN" w:bidi="ar-SA"/>
        </w:rPr>
        <w:t>附录</w:t>
      </w:r>
      <w:r>
        <w:rPr>
          <w:rFonts w:ascii="宋体" w:hAnsi="宋体" w:eastAsia="宋体" w:cs="Times New Roman"/>
          <w:bCs/>
          <w:color w:val="auto"/>
          <w:kern w:val="44"/>
          <w:szCs w:val="21"/>
          <w:highlight w:val="none"/>
          <w:lang w:val="en-US" w:eastAsia="zh-CN" w:bidi="ar-SA"/>
        </w:rPr>
        <w:t xml:space="preserve">8 </w:t>
      </w:r>
      <w:r>
        <w:rPr>
          <w:rFonts w:hint="eastAsia" w:ascii="宋体" w:hAnsi="宋体" w:eastAsia="宋体" w:cs="Times New Roman"/>
          <w:bCs/>
          <w:color w:val="auto"/>
          <w:kern w:val="44"/>
          <w:szCs w:val="21"/>
          <w:highlight w:val="none"/>
          <w:lang w:val="en-US" w:eastAsia="zh-CN" w:bidi="ar-SA"/>
        </w:rPr>
        <w:t>投标人声明</w:t>
      </w:r>
      <w:r>
        <w:rPr>
          <w:color w:val="auto"/>
          <w:highlight w:val="none"/>
        </w:rPr>
        <w:tab/>
      </w:r>
      <w:r>
        <w:rPr>
          <w:color w:val="auto"/>
          <w:highlight w:val="none"/>
        </w:rPr>
        <w:fldChar w:fldCharType="begin"/>
      </w:r>
      <w:r>
        <w:rPr>
          <w:color w:val="auto"/>
          <w:highlight w:val="none"/>
        </w:rPr>
        <w:instrText xml:space="preserve"> PAGEREF _Toc25716 \h </w:instrText>
      </w:r>
      <w:r>
        <w:rPr>
          <w:color w:val="auto"/>
          <w:highlight w:val="none"/>
        </w:rPr>
        <w:fldChar w:fldCharType="separate"/>
      </w:r>
      <w:r>
        <w:rPr>
          <w:color w:val="auto"/>
          <w:highlight w:val="none"/>
        </w:rPr>
        <w:t>60</w:t>
      </w:r>
      <w:r>
        <w:rPr>
          <w:color w:val="auto"/>
          <w:highlight w:val="none"/>
        </w:rPr>
        <w:fldChar w:fldCharType="end"/>
      </w:r>
      <w:r>
        <w:rPr>
          <w:rFonts w:ascii="Times New Roman" w:hAnsi="Times New Roman" w:eastAsia="宋体" w:cs="Times New Roman"/>
          <w:color w:val="auto"/>
          <w:kern w:val="2"/>
          <w:szCs w:val="24"/>
          <w:highlight w:val="none"/>
          <w:lang w:val="en-US" w:eastAsia="zh-CN" w:bidi="ar-SA"/>
        </w:rPr>
        <w:fldChar w:fldCharType="end"/>
      </w:r>
    </w:p>
    <w:p>
      <w:pPr>
        <w:pStyle w:val="9"/>
        <w:tabs>
          <w:tab w:val="right" w:leader="dot" w:pos="9026"/>
        </w:tabs>
        <w:rPr>
          <w:color w:val="auto"/>
          <w:highlight w:val="none"/>
        </w:rPr>
      </w:pPr>
      <w:r>
        <w:rPr>
          <w:rFonts w:ascii="Times New Roman" w:hAnsi="Times New Roman" w:eastAsia="宋体" w:cs="Times New Roman"/>
          <w:color w:val="auto"/>
          <w:kern w:val="2"/>
          <w:szCs w:val="24"/>
          <w:highlight w:val="none"/>
          <w:lang w:val="en-US" w:eastAsia="zh-CN" w:bidi="ar-SA"/>
        </w:rPr>
        <w:fldChar w:fldCharType="begin"/>
      </w:r>
      <w:r>
        <w:rPr>
          <w:rFonts w:ascii="Times New Roman" w:hAnsi="Times New Roman" w:eastAsia="宋体" w:cs="Times New Roman"/>
          <w:color w:val="auto"/>
          <w:kern w:val="2"/>
          <w:szCs w:val="24"/>
          <w:highlight w:val="none"/>
          <w:lang w:val="en-US" w:eastAsia="zh-CN" w:bidi="ar-SA"/>
        </w:rPr>
        <w:instrText xml:space="preserve"> HYPERLINK \l _Toc6829 </w:instrText>
      </w:r>
      <w:r>
        <w:rPr>
          <w:rFonts w:ascii="Times New Roman" w:hAnsi="Times New Roman" w:eastAsia="宋体" w:cs="Times New Roman"/>
          <w:color w:val="auto"/>
          <w:kern w:val="2"/>
          <w:szCs w:val="24"/>
          <w:highlight w:val="none"/>
          <w:lang w:val="en-US" w:eastAsia="zh-CN" w:bidi="ar-SA"/>
        </w:rPr>
        <w:fldChar w:fldCharType="separate"/>
      </w:r>
      <w:r>
        <w:rPr>
          <w:rFonts w:hint="eastAsia" w:ascii="宋体" w:hAnsi="宋体" w:eastAsia="宋体" w:cs="Times New Roman"/>
          <w:bCs/>
          <w:color w:val="auto"/>
          <w:kern w:val="44"/>
          <w:szCs w:val="21"/>
          <w:highlight w:val="none"/>
        </w:rPr>
        <w:t>附录</w:t>
      </w:r>
      <w:r>
        <w:rPr>
          <w:rFonts w:ascii="宋体" w:hAnsi="宋体" w:eastAsia="宋体" w:cs="Times New Roman"/>
          <w:bCs/>
          <w:color w:val="auto"/>
          <w:kern w:val="44"/>
          <w:szCs w:val="21"/>
          <w:highlight w:val="none"/>
        </w:rPr>
        <w:t xml:space="preserve">9 </w:t>
      </w:r>
      <w:r>
        <w:rPr>
          <w:rFonts w:hint="eastAsia" w:ascii="宋体" w:hAnsi="宋体" w:eastAsia="宋体" w:cs="Times New Roman"/>
          <w:bCs/>
          <w:color w:val="auto"/>
          <w:kern w:val="44"/>
          <w:szCs w:val="21"/>
          <w:highlight w:val="none"/>
        </w:rPr>
        <w:t>资格审查表</w:t>
      </w:r>
      <w:r>
        <w:rPr>
          <w:color w:val="auto"/>
          <w:highlight w:val="none"/>
        </w:rPr>
        <w:tab/>
      </w:r>
      <w:r>
        <w:rPr>
          <w:color w:val="auto"/>
          <w:highlight w:val="none"/>
        </w:rPr>
        <w:fldChar w:fldCharType="begin"/>
      </w:r>
      <w:r>
        <w:rPr>
          <w:color w:val="auto"/>
          <w:highlight w:val="none"/>
        </w:rPr>
        <w:instrText xml:space="preserve"> PAGEREF _Toc6829 \h </w:instrText>
      </w:r>
      <w:r>
        <w:rPr>
          <w:color w:val="auto"/>
          <w:highlight w:val="none"/>
        </w:rPr>
        <w:fldChar w:fldCharType="separate"/>
      </w:r>
      <w:r>
        <w:rPr>
          <w:color w:val="auto"/>
          <w:highlight w:val="none"/>
        </w:rPr>
        <w:t>62</w:t>
      </w:r>
      <w:r>
        <w:rPr>
          <w:color w:val="auto"/>
          <w:highlight w:val="none"/>
        </w:rPr>
        <w:fldChar w:fldCharType="end"/>
      </w:r>
      <w:r>
        <w:rPr>
          <w:rFonts w:ascii="Times New Roman" w:hAnsi="Times New Roman" w:eastAsia="宋体" w:cs="Times New Roman"/>
          <w:color w:val="auto"/>
          <w:kern w:val="2"/>
          <w:szCs w:val="24"/>
          <w:highlight w:val="none"/>
          <w:lang w:val="en-US" w:eastAsia="zh-CN" w:bidi="ar-SA"/>
        </w:rPr>
        <w:fldChar w:fldCharType="end"/>
      </w:r>
    </w:p>
    <w:p>
      <w:pPr>
        <w:pStyle w:val="9"/>
        <w:tabs>
          <w:tab w:val="right" w:leader="dot" w:pos="9026"/>
        </w:tabs>
        <w:rPr>
          <w:color w:val="auto"/>
          <w:highlight w:val="none"/>
        </w:rPr>
      </w:pPr>
      <w:r>
        <w:rPr>
          <w:rFonts w:ascii="Times New Roman" w:hAnsi="Times New Roman" w:eastAsia="宋体" w:cs="Times New Roman"/>
          <w:color w:val="auto"/>
          <w:kern w:val="2"/>
          <w:szCs w:val="24"/>
          <w:highlight w:val="none"/>
          <w:lang w:val="en-US" w:eastAsia="zh-CN" w:bidi="ar-SA"/>
        </w:rPr>
        <w:fldChar w:fldCharType="begin"/>
      </w:r>
      <w:r>
        <w:rPr>
          <w:rFonts w:ascii="Times New Roman" w:hAnsi="Times New Roman" w:eastAsia="宋体" w:cs="Times New Roman"/>
          <w:color w:val="auto"/>
          <w:kern w:val="2"/>
          <w:szCs w:val="24"/>
          <w:highlight w:val="none"/>
          <w:lang w:val="en-US" w:eastAsia="zh-CN" w:bidi="ar-SA"/>
        </w:rPr>
        <w:instrText xml:space="preserve"> HYPERLINK \l _Toc5782 </w:instrText>
      </w:r>
      <w:r>
        <w:rPr>
          <w:rFonts w:ascii="Times New Roman" w:hAnsi="Times New Roman" w:eastAsia="宋体" w:cs="Times New Roman"/>
          <w:color w:val="auto"/>
          <w:kern w:val="2"/>
          <w:szCs w:val="24"/>
          <w:highlight w:val="none"/>
          <w:lang w:val="en-US" w:eastAsia="zh-CN" w:bidi="ar-SA"/>
        </w:rPr>
        <w:fldChar w:fldCharType="separate"/>
      </w:r>
      <w:r>
        <w:rPr>
          <w:rFonts w:hint="eastAsia" w:ascii="宋体" w:hAnsi="宋体" w:eastAsia="宋体" w:cs="Times New Roman"/>
          <w:bCs/>
          <w:strike/>
          <w:color w:val="auto"/>
          <w:kern w:val="44"/>
          <w:szCs w:val="21"/>
          <w:highlight w:val="none"/>
          <w:lang w:val="en-US" w:eastAsia="zh-CN" w:bidi="ar-SA"/>
        </w:rPr>
        <w:t>附件</w:t>
      </w:r>
      <w:r>
        <w:rPr>
          <w:rFonts w:ascii="宋体" w:hAnsi="宋体" w:eastAsia="宋体" w:cs="Times New Roman"/>
          <w:bCs/>
          <w:strike/>
          <w:color w:val="auto"/>
          <w:kern w:val="44"/>
          <w:szCs w:val="21"/>
          <w:highlight w:val="none"/>
          <w:lang w:val="en-US" w:eastAsia="zh-CN" w:bidi="ar-SA"/>
        </w:rPr>
        <w:t xml:space="preserve">10 </w:t>
      </w:r>
      <w:r>
        <w:rPr>
          <w:rFonts w:hint="eastAsia" w:ascii="宋体" w:hAnsi="宋体" w:eastAsia="宋体" w:cs="Times New Roman"/>
          <w:bCs/>
          <w:strike/>
          <w:color w:val="auto"/>
          <w:kern w:val="44"/>
          <w:szCs w:val="21"/>
          <w:highlight w:val="none"/>
          <w:lang w:val="en-US" w:eastAsia="zh-CN" w:bidi="ar-SA"/>
        </w:rPr>
        <w:t>投票表格</w:t>
      </w:r>
      <w:r>
        <w:rPr>
          <w:color w:val="auto"/>
          <w:highlight w:val="none"/>
        </w:rPr>
        <w:tab/>
      </w:r>
      <w:r>
        <w:rPr>
          <w:color w:val="auto"/>
          <w:highlight w:val="none"/>
        </w:rPr>
        <w:fldChar w:fldCharType="begin"/>
      </w:r>
      <w:r>
        <w:rPr>
          <w:color w:val="auto"/>
          <w:highlight w:val="none"/>
        </w:rPr>
        <w:instrText xml:space="preserve"> PAGEREF _Toc5782 \h </w:instrText>
      </w:r>
      <w:r>
        <w:rPr>
          <w:color w:val="auto"/>
          <w:highlight w:val="none"/>
        </w:rPr>
        <w:fldChar w:fldCharType="separate"/>
      </w:r>
      <w:r>
        <w:rPr>
          <w:color w:val="auto"/>
          <w:highlight w:val="none"/>
        </w:rPr>
        <w:t>64</w:t>
      </w:r>
      <w:r>
        <w:rPr>
          <w:color w:val="auto"/>
          <w:highlight w:val="none"/>
        </w:rPr>
        <w:fldChar w:fldCharType="end"/>
      </w:r>
      <w:r>
        <w:rPr>
          <w:rFonts w:ascii="Times New Roman" w:hAnsi="Times New Roman" w:eastAsia="宋体" w:cs="Times New Roman"/>
          <w:color w:val="auto"/>
          <w:kern w:val="2"/>
          <w:szCs w:val="24"/>
          <w:highlight w:val="none"/>
          <w:lang w:val="en-US" w:eastAsia="zh-CN" w:bidi="ar-SA"/>
        </w:rPr>
        <w:fldChar w:fldCharType="end"/>
      </w:r>
    </w:p>
    <w:p>
      <w:pPr>
        <w:pStyle w:val="9"/>
        <w:tabs>
          <w:tab w:val="right" w:leader="dot" w:pos="9026"/>
        </w:tabs>
        <w:rPr>
          <w:color w:val="auto"/>
          <w:highlight w:val="none"/>
        </w:rPr>
      </w:pPr>
      <w:r>
        <w:rPr>
          <w:rFonts w:ascii="Times New Roman" w:hAnsi="Times New Roman" w:eastAsia="宋体" w:cs="Times New Roman"/>
          <w:color w:val="auto"/>
          <w:kern w:val="2"/>
          <w:szCs w:val="24"/>
          <w:highlight w:val="none"/>
          <w:lang w:val="en-US" w:eastAsia="zh-CN" w:bidi="ar-SA"/>
        </w:rPr>
        <w:fldChar w:fldCharType="begin"/>
      </w:r>
      <w:r>
        <w:rPr>
          <w:rFonts w:ascii="Times New Roman" w:hAnsi="Times New Roman" w:eastAsia="宋体" w:cs="Times New Roman"/>
          <w:color w:val="auto"/>
          <w:kern w:val="2"/>
          <w:szCs w:val="24"/>
          <w:highlight w:val="none"/>
          <w:lang w:val="en-US" w:eastAsia="zh-CN" w:bidi="ar-SA"/>
        </w:rPr>
        <w:instrText xml:space="preserve"> HYPERLINK \l _Toc29326 </w:instrText>
      </w:r>
      <w:r>
        <w:rPr>
          <w:rFonts w:ascii="Times New Roman" w:hAnsi="Times New Roman" w:eastAsia="宋体" w:cs="Times New Roman"/>
          <w:color w:val="auto"/>
          <w:kern w:val="2"/>
          <w:szCs w:val="24"/>
          <w:highlight w:val="none"/>
          <w:lang w:val="en-US" w:eastAsia="zh-CN" w:bidi="ar-SA"/>
        </w:rPr>
        <w:fldChar w:fldCharType="separate"/>
      </w:r>
      <w:r>
        <w:rPr>
          <w:rFonts w:hint="eastAsia" w:ascii="宋体" w:hAnsi="宋体" w:eastAsia="宋体" w:cs="Times New Roman"/>
          <w:bCs/>
          <w:strike/>
          <w:color w:val="auto"/>
          <w:kern w:val="44"/>
          <w:szCs w:val="21"/>
          <w:highlight w:val="none"/>
          <w:lang w:val="en-US" w:eastAsia="zh-CN" w:bidi="ar-SA"/>
        </w:rPr>
        <w:t>附录</w:t>
      </w:r>
      <w:r>
        <w:rPr>
          <w:rFonts w:ascii="宋体" w:hAnsi="宋体" w:eastAsia="宋体" w:cs="Times New Roman"/>
          <w:bCs/>
          <w:strike/>
          <w:color w:val="auto"/>
          <w:kern w:val="44"/>
          <w:szCs w:val="21"/>
          <w:highlight w:val="none"/>
          <w:lang w:val="en-US" w:eastAsia="zh-CN" w:bidi="ar-SA"/>
        </w:rPr>
        <w:t xml:space="preserve">11 </w:t>
      </w:r>
      <w:r>
        <w:rPr>
          <w:rFonts w:hint="eastAsia" w:ascii="宋体" w:hAnsi="宋体" w:eastAsia="宋体" w:cs="Times New Roman"/>
          <w:bCs/>
          <w:strike/>
          <w:color w:val="auto"/>
          <w:kern w:val="44"/>
          <w:szCs w:val="21"/>
          <w:highlight w:val="none"/>
          <w:lang w:val="en-US" w:eastAsia="zh-CN" w:bidi="ar-SA"/>
        </w:rPr>
        <w:t>投标汇总表格</w:t>
      </w:r>
      <w:r>
        <w:rPr>
          <w:color w:val="auto"/>
          <w:highlight w:val="none"/>
        </w:rPr>
        <w:tab/>
      </w:r>
      <w:r>
        <w:rPr>
          <w:color w:val="auto"/>
          <w:highlight w:val="none"/>
        </w:rPr>
        <w:fldChar w:fldCharType="begin"/>
      </w:r>
      <w:r>
        <w:rPr>
          <w:color w:val="auto"/>
          <w:highlight w:val="none"/>
        </w:rPr>
        <w:instrText xml:space="preserve"> PAGEREF _Toc29326 \h </w:instrText>
      </w:r>
      <w:r>
        <w:rPr>
          <w:color w:val="auto"/>
          <w:highlight w:val="none"/>
        </w:rPr>
        <w:fldChar w:fldCharType="separate"/>
      </w:r>
      <w:r>
        <w:rPr>
          <w:color w:val="auto"/>
          <w:highlight w:val="none"/>
        </w:rPr>
        <w:t>65</w:t>
      </w:r>
      <w:r>
        <w:rPr>
          <w:color w:val="auto"/>
          <w:highlight w:val="none"/>
        </w:rPr>
        <w:fldChar w:fldCharType="end"/>
      </w:r>
      <w:r>
        <w:rPr>
          <w:rFonts w:ascii="Times New Roman" w:hAnsi="Times New Roman" w:eastAsia="宋体" w:cs="Times New Roman"/>
          <w:color w:val="auto"/>
          <w:kern w:val="2"/>
          <w:szCs w:val="24"/>
          <w:highlight w:val="none"/>
          <w:lang w:val="en-US" w:eastAsia="zh-CN" w:bidi="ar-SA"/>
        </w:rPr>
        <w:fldChar w:fldCharType="end"/>
      </w:r>
    </w:p>
    <w:p>
      <w:pPr>
        <w:pStyle w:val="9"/>
        <w:tabs>
          <w:tab w:val="right" w:leader="dot" w:pos="9026"/>
        </w:tabs>
        <w:rPr>
          <w:color w:val="auto"/>
          <w:highlight w:val="none"/>
        </w:rPr>
      </w:pPr>
      <w:r>
        <w:rPr>
          <w:rFonts w:ascii="Times New Roman" w:hAnsi="Times New Roman" w:eastAsia="宋体" w:cs="Times New Roman"/>
          <w:color w:val="auto"/>
          <w:kern w:val="2"/>
          <w:szCs w:val="24"/>
          <w:highlight w:val="none"/>
          <w:lang w:val="en-US" w:eastAsia="zh-CN" w:bidi="ar-SA"/>
        </w:rPr>
        <w:fldChar w:fldCharType="begin"/>
      </w:r>
      <w:r>
        <w:rPr>
          <w:rFonts w:ascii="Times New Roman" w:hAnsi="Times New Roman" w:eastAsia="宋体" w:cs="Times New Roman"/>
          <w:color w:val="auto"/>
          <w:kern w:val="2"/>
          <w:szCs w:val="24"/>
          <w:highlight w:val="none"/>
          <w:lang w:val="en-US" w:eastAsia="zh-CN" w:bidi="ar-SA"/>
        </w:rPr>
        <w:instrText xml:space="preserve"> HYPERLINK \l _Toc11578 </w:instrText>
      </w:r>
      <w:r>
        <w:rPr>
          <w:rFonts w:ascii="Times New Roman" w:hAnsi="Times New Roman" w:eastAsia="宋体" w:cs="Times New Roman"/>
          <w:color w:val="auto"/>
          <w:kern w:val="2"/>
          <w:szCs w:val="24"/>
          <w:highlight w:val="none"/>
          <w:lang w:val="en-US" w:eastAsia="zh-CN" w:bidi="ar-SA"/>
        </w:rPr>
        <w:fldChar w:fldCharType="separate"/>
      </w:r>
      <w:r>
        <w:rPr>
          <w:rFonts w:hint="eastAsia" w:ascii="宋体" w:hAnsi="宋体" w:eastAsia="宋体" w:cs="Times New Roman"/>
          <w:bCs/>
          <w:color w:val="auto"/>
          <w:kern w:val="44"/>
          <w:szCs w:val="21"/>
          <w:highlight w:val="none"/>
          <w:lang w:val="en-US" w:eastAsia="zh-CN" w:bidi="ar-SA"/>
        </w:rPr>
        <w:t>附录</w:t>
      </w:r>
      <w:r>
        <w:rPr>
          <w:rFonts w:ascii="宋体" w:hAnsi="宋体" w:eastAsia="宋体" w:cs="Times New Roman"/>
          <w:bCs/>
          <w:color w:val="auto"/>
          <w:kern w:val="44"/>
          <w:szCs w:val="21"/>
          <w:highlight w:val="none"/>
          <w:lang w:val="en-US" w:eastAsia="zh-CN" w:bidi="ar-SA"/>
        </w:rPr>
        <w:t>12有效性审查表</w:t>
      </w:r>
      <w:r>
        <w:rPr>
          <w:color w:val="auto"/>
          <w:highlight w:val="none"/>
        </w:rPr>
        <w:tab/>
      </w:r>
      <w:r>
        <w:rPr>
          <w:color w:val="auto"/>
          <w:highlight w:val="none"/>
        </w:rPr>
        <w:fldChar w:fldCharType="begin"/>
      </w:r>
      <w:r>
        <w:rPr>
          <w:color w:val="auto"/>
          <w:highlight w:val="none"/>
        </w:rPr>
        <w:instrText xml:space="preserve"> PAGEREF _Toc11578 \h </w:instrText>
      </w:r>
      <w:r>
        <w:rPr>
          <w:color w:val="auto"/>
          <w:highlight w:val="none"/>
        </w:rPr>
        <w:fldChar w:fldCharType="separate"/>
      </w:r>
      <w:r>
        <w:rPr>
          <w:color w:val="auto"/>
          <w:highlight w:val="none"/>
        </w:rPr>
        <w:t>66</w:t>
      </w:r>
      <w:r>
        <w:rPr>
          <w:color w:val="auto"/>
          <w:highlight w:val="none"/>
        </w:rPr>
        <w:fldChar w:fldCharType="end"/>
      </w:r>
      <w:r>
        <w:rPr>
          <w:rFonts w:ascii="Times New Roman" w:hAnsi="Times New Roman" w:eastAsia="宋体" w:cs="Times New Roman"/>
          <w:color w:val="auto"/>
          <w:kern w:val="2"/>
          <w:szCs w:val="24"/>
          <w:highlight w:val="none"/>
          <w:lang w:val="en-US" w:eastAsia="zh-CN" w:bidi="ar-SA"/>
        </w:rPr>
        <w:fldChar w:fldCharType="end"/>
      </w:r>
    </w:p>
    <w:p>
      <w:pPr>
        <w:pStyle w:val="9"/>
        <w:tabs>
          <w:tab w:val="right" w:leader="dot" w:pos="9026"/>
        </w:tabs>
        <w:rPr>
          <w:color w:val="auto"/>
          <w:highlight w:val="none"/>
        </w:rPr>
      </w:pPr>
      <w:r>
        <w:rPr>
          <w:rFonts w:ascii="Times New Roman" w:hAnsi="Times New Roman" w:eastAsia="宋体" w:cs="Times New Roman"/>
          <w:color w:val="auto"/>
          <w:kern w:val="2"/>
          <w:szCs w:val="24"/>
          <w:highlight w:val="none"/>
          <w:lang w:val="en-US" w:eastAsia="zh-CN" w:bidi="ar-SA"/>
        </w:rPr>
        <w:fldChar w:fldCharType="begin"/>
      </w:r>
      <w:r>
        <w:rPr>
          <w:rFonts w:ascii="Times New Roman" w:hAnsi="Times New Roman" w:eastAsia="宋体" w:cs="Times New Roman"/>
          <w:color w:val="auto"/>
          <w:kern w:val="2"/>
          <w:szCs w:val="24"/>
          <w:highlight w:val="none"/>
          <w:lang w:val="en-US" w:eastAsia="zh-CN" w:bidi="ar-SA"/>
        </w:rPr>
        <w:instrText xml:space="preserve"> HYPERLINK \l _Toc6247 </w:instrText>
      </w:r>
      <w:r>
        <w:rPr>
          <w:rFonts w:ascii="Times New Roman" w:hAnsi="Times New Roman" w:eastAsia="宋体" w:cs="Times New Roman"/>
          <w:color w:val="auto"/>
          <w:kern w:val="2"/>
          <w:szCs w:val="24"/>
          <w:highlight w:val="none"/>
          <w:lang w:val="en-US" w:eastAsia="zh-CN" w:bidi="ar-SA"/>
        </w:rPr>
        <w:fldChar w:fldCharType="separate"/>
      </w:r>
      <w:r>
        <w:rPr>
          <w:rFonts w:hint="eastAsia" w:ascii="宋体" w:hAnsi="宋体" w:eastAsia="宋体" w:cs="Times New Roman"/>
          <w:bCs/>
          <w:color w:val="auto"/>
          <w:kern w:val="44"/>
          <w:szCs w:val="21"/>
          <w:highlight w:val="none"/>
          <w:lang w:val="en-US" w:eastAsia="zh-CN" w:bidi="ar-SA"/>
        </w:rPr>
        <w:t>附录</w:t>
      </w:r>
      <w:r>
        <w:rPr>
          <w:rFonts w:ascii="宋体" w:hAnsi="宋体" w:eastAsia="宋体" w:cs="Times New Roman"/>
          <w:bCs/>
          <w:color w:val="auto"/>
          <w:kern w:val="44"/>
          <w:szCs w:val="21"/>
          <w:highlight w:val="none"/>
          <w:lang w:val="en-US" w:eastAsia="zh-CN" w:bidi="ar-SA"/>
        </w:rPr>
        <w:t xml:space="preserve">12-1 </w:t>
      </w:r>
      <w:r>
        <w:rPr>
          <w:rFonts w:hint="eastAsia" w:ascii="宋体" w:hAnsi="宋体" w:eastAsia="宋体" w:cs="Times New Roman"/>
          <w:bCs/>
          <w:color w:val="auto"/>
          <w:kern w:val="44"/>
          <w:szCs w:val="21"/>
          <w:highlight w:val="none"/>
          <w:lang w:val="en-US" w:eastAsia="zh-CN" w:bidi="ar-SA"/>
        </w:rPr>
        <w:t>投标报价算术复核表</w:t>
      </w:r>
      <w:r>
        <w:rPr>
          <w:color w:val="auto"/>
          <w:highlight w:val="none"/>
        </w:rPr>
        <w:tab/>
      </w:r>
      <w:r>
        <w:rPr>
          <w:color w:val="auto"/>
          <w:highlight w:val="none"/>
        </w:rPr>
        <w:fldChar w:fldCharType="begin"/>
      </w:r>
      <w:r>
        <w:rPr>
          <w:color w:val="auto"/>
          <w:highlight w:val="none"/>
        </w:rPr>
        <w:instrText xml:space="preserve"> PAGEREF _Toc6247 \h </w:instrText>
      </w:r>
      <w:r>
        <w:rPr>
          <w:color w:val="auto"/>
          <w:highlight w:val="none"/>
        </w:rPr>
        <w:fldChar w:fldCharType="separate"/>
      </w:r>
      <w:r>
        <w:rPr>
          <w:color w:val="auto"/>
          <w:highlight w:val="none"/>
        </w:rPr>
        <w:t>69</w:t>
      </w:r>
      <w:r>
        <w:rPr>
          <w:color w:val="auto"/>
          <w:highlight w:val="none"/>
        </w:rPr>
        <w:fldChar w:fldCharType="end"/>
      </w:r>
      <w:r>
        <w:rPr>
          <w:rFonts w:ascii="Times New Roman" w:hAnsi="Times New Roman" w:eastAsia="宋体" w:cs="Times New Roman"/>
          <w:color w:val="auto"/>
          <w:kern w:val="2"/>
          <w:szCs w:val="24"/>
          <w:highlight w:val="none"/>
          <w:lang w:val="en-US" w:eastAsia="zh-CN" w:bidi="ar-SA"/>
        </w:rPr>
        <w:fldChar w:fldCharType="end"/>
      </w:r>
    </w:p>
    <w:p>
      <w:pPr>
        <w:pStyle w:val="9"/>
        <w:tabs>
          <w:tab w:val="right" w:leader="dot" w:pos="9026"/>
        </w:tabs>
        <w:rPr>
          <w:color w:val="auto"/>
          <w:highlight w:val="none"/>
        </w:rPr>
      </w:pPr>
      <w:r>
        <w:rPr>
          <w:rFonts w:ascii="Times New Roman" w:hAnsi="Times New Roman" w:eastAsia="宋体" w:cs="Times New Roman"/>
          <w:color w:val="auto"/>
          <w:kern w:val="2"/>
          <w:szCs w:val="24"/>
          <w:highlight w:val="none"/>
          <w:lang w:val="en-US" w:eastAsia="zh-CN" w:bidi="ar-SA"/>
        </w:rPr>
        <w:fldChar w:fldCharType="begin"/>
      </w:r>
      <w:r>
        <w:rPr>
          <w:rFonts w:ascii="Times New Roman" w:hAnsi="Times New Roman" w:eastAsia="宋体" w:cs="Times New Roman"/>
          <w:color w:val="auto"/>
          <w:kern w:val="2"/>
          <w:szCs w:val="24"/>
          <w:highlight w:val="none"/>
          <w:lang w:val="en-US" w:eastAsia="zh-CN" w:bidi="ar-SA"/>
        </w:rPr>
        <w:instrText xml:space="preserve"> HYPERLINK \l _Toc12414 </w:instrText>
      </w:r>
      <w:r>
        <w:rPr>
          <w:rFonts w:ascii="Times New Roman" w:hAnsi="Times New Roman" w:eastAsia="宋体" w:cs="Times New Roman"/>
          <w:color w:val="auto"/>
          <w:kern w:val="2"/>
          <w:szCs w:val="24"/>
          <w:highlight w:val="none"/>
          <w:lang w:val="en-US" w:eastAsia="zh-CN" w:bidi="ar-SA"/>
        </w:rPr>
        <w:fldChar w:fldCharType="separate"/>
      </w:r>
      <w:r>
        <w:rPr>
          <w:rFonts w:hint="eastAsia" w:ascii="宋体" w:hAnsi="宋体" w:eastAsia="宋体" w:cs="Times New Roman"/>
          <w:bCs/>
          <w:color w:val="auto"/>
          <w:kern w:val="44"/>
          <w:szCs w:val="21"/>
          <w:highlight w:val="none"/>
          <w:lang w:val="en-US" w:eastAsia="zh-CN" w:bidi="ar-SA"/>
        </w:rPr>
        <w:t>附录</w:t>
      </w:r>
      <w:r>
        <w:rPr>
          <w:rFonts w:ascii="宋体" w:hAnsi="宋体" w:eastAsia="宋体" w:cs="Times New Roman"/>
          <w:bCs/>
          <w:color w:val="auto"/>
          <w:kern w:val="44"/>
          <w:szCs w:val="21"/>
          <w:highlight w:val="none"/>
          <w:lang w:val="en-US" w:eastAsia="zh-CN" w:bidi="ar-SA"/>
        </w:rPr>
        <w:t>1</w:t>
      </w:r>
      <w:r>
        <w:rPr>
          <w:rFonts w:hint="eastAsia" w:ascii="宋体" w:hAnsi="宋体" w:eastAsia="宋体" w:cs="Times New Roman"/>
          <w:bCs/>
          <w:color w:val="auto"/>
          <w:kern w:val="44"/>
          <w:szCs w:val="21"/>
          <w:highlight w:val="none"/>
          <w:lang w:val="en-US" w:eastAsia="zh-CN" w:bidi="ar-SA"/>
        </w:rPr>
        <w:t>3</w:t>
      </w:r>
      <w:r>
        <w:rPr>
          <w:rFonts w:ascii="宋体" w:hAnsi="宋体" w:eastAsia="宋体" w:cs="Times New Roman"/>
          <w:bCs/>
          <w:color w:val="auto"/>
          <w:kern w:val="44"/>
          <w:szCs w:val="21"/>
          <w:highlight w:val="none"/>
          <w:lang w:val="en-US" w:eastAsia="zh-CN" w:bidi="ar-SA"/>
        </w:rPr>
        <w:t xml:space="preserve"> </w:t>
      </w:r>
      <w:r>
        <w:rPr>
          <w:rFonts w:hint="eastAsia" w:ascii="宋体" w:hAnsi="宋体" w:eastAsia="宋体" w:cs="Times New Roman"/>
          <w:bCs/>
          <w:color w:val="auto"/>
          <w:kern w:val="44"/>
          <w:szCs w:val="21"/>
          <w:highlight w:val="none"/>
          <w:lang w:val="en-US" w:eastAsia="zh-CN" w:bidi="ar-SA"/>
        </w:rPr>
        <w:t>定标委员会的组成</w:t>
      </w:r>
      <w:r>
        <w:rPr>
          <w:color w:val="auto"/>
          <w:highlight w:val="none"/>
        </w:rPr>
        <w:tab/>
      </w:r>
      <w:r>
        <w:rPr>
          <w:color w:val="auto"/>
          <w:highlight w:val="none"/>
        </w:rPr>
        <w:fldChar w:fldCharType="begin"/>
      </w:r>
      <w:r>
        <w:rPr>
          <w:color w:val="auto"/>
          <w:highlight w:val="none"/>
        </w:rPr>
        <w:instrText xml:space="preserve"> PAGEREF _Toc12414 \h </w:instrText>
      </w:r>
      <w:r>
        <w:rPr>
          <w:color w:val="auto"/>
          <w:highlight w:val="none"/>
        </w:rPr>
        <w:fldChar w:fldCharType="separate"/>
      </w:r>
      <w:r>
        <w:rPr>
          <w:color w:val="auto"/>
          <w:highlight w:val="none"/>
        </w:rPr>
        <w:t>70</w:t>
      </w:r>
      <w:r>
        <w:rPr>
          <w:color w:val="auto"/>
          <w:highlight w:val="none"/>
        </w:rPr>
        <w:fldChar w:fldCharType="end"/>
      </w:r>
      <w:r>
        <w:rPr>
          <w:rFonts w:ascii="Times New Roman" w:hAnsi="Times New Roman" w:eastAsia="宋体" w:cs="Times New Roman"/>
          <w:color w:val="auto"/>
          <w:kern w:val="2"/>
          <w:szCs w:val="24"/>
          <w:highlight w:val="none"/>
          <w:lang w:val="en-US" w:eastAsia="zh-CN" w:bidi="ar-SA"/>
        </w:rPr>
        <w:fldChar w:fldCharType="end"/>
      </w:r>
    </w:p>
    <w:p>
      <w:pPr>
        <w:pStyle w:val="9"/>
        <w:tabs>
          <w:tab w:val="right" w:leader="dot" w:pos="9026"/>
        </w:tabs>
        <w:rPr>
          <w:color w:val="auto"/>
          <w:highlight w:val="none"/>
        </w:rPr>
      </w:pPr>
      <w:r>
        <w:rPr>
          <w:rFonts w:ascii="Times New Roman" w:hAnsi="Times New Roman" w:eastAsia="宋体" w:cs="Times New Roman"/>
          <w:color w:val="auto"/>
          <w:kern w:val="2"/>
          <w:szCs w:val="24"/>
          <w:highlight w:val="none"/>
          <w:lang w:val="en-US" w:eastAsia="zh-CN" w:bidi="ar-SA"/>
        </w:rPr>
        <w:fldChar w:fldCharType="begin"/>
      </w:r>
      <w:r>
        <w:rPr>
          <w:rFonts w:ascii="Times New Roman" w:hAnsi="Times New Roman" w:eastAsia="宋体" w:cs="Times New Roman"/>
          <w:color w:val="auto"/>
          <w:kern w:val="2"/>
          <w:szCs w:val="24"/>
          <w:highlight w:val="none"/>
          <w:lang w:val="en-US" w:eastAsia="zh-CN" w:bidi="ar-SA"/>
        </w:rPr>
        <w:instrText xml:space="preserve"> HYPERLINK \l _Toc6611 </w:instrText>
      </w:r>
      <w:r>
        <w:rPr>
          <w:rFonts w:ascii="Times New Roman" w:hAnsi="Times New Roman" w:eastAsia="宋体" w:cs="Times New Roman"/>
          <w:color w:val="auto"/>
          <w:kern w:val="2"/>
          <w:szCs w:val="24"/>
          <w:highlight w:val="none"/>
          <w:lang w:val="en-US" w:eastAsia="zh-CN" w:bidi="ar-SA"/>
        </w:rPr>
        <w:fldChar w:fldCharType="separate"/>
      </w:r>
      <w:r>
        <w:rPr>
          <w:rFonts w:hint="eastAsia" w:ascii="宋体" w:hAnsi="宋体" w:eastAsia="宋体" w:cs="Times New Roman"/>
          <w:bCs/>
          <w:color w:val="auto"/>
          <w:kern w:val="44"/>
          <w:szCs w:val="21"/>
          <w:highlight w:val="none"/>
          <w:lang w:val="en-US" w:eastAsia="zh-CN" w:bidi="ar-SA"/>
        </w:rPr>
        <w:t>附录</w:t>
      </w:r>
      <w:r>
        <w:rPr>
          <w:rFonts w:ascii="宋体" w:hAnsi="宋体" w:eastAsia="宋体" w:cs="Times New Roman"/>
          <w:bCs/>
          <w:color w:val="auto"/>
          <w:kern w:val="44"/>
          <w:szCs w:val="21"/>
          <w:highlight w:val="none"/>
          <w:lang w:val="en-US" w:eastAsia="zh-CN" w:bidi="ar-SA"/>
        </w:rPr>
        <w:t>1</w:t>
      </w:r>
      <w:r>
        <w:rPr>
          <w:rFonts w:hint="eastAsia" w:ascii="宋体" w:hAnsi="宋体" w:eastAsia="宋体" w:cs="Times New Roman"/>
          <w:bCs/>
          <w:color w:val="auto"/>
          <w:kern w:val="44"/>
          <w:szCs w:val="21"/>
          <w:highlight w:val="none"/>
          <w:lang w:val="en-US" w:eastAsia="zh-CN" w:bidi="ar-SA"/>
        </w:rPr>
        <w:t>4</w:t>
      </w:r>
      <w:r>
        <w:rPr>
          <w:rFonts w:ascii="宋体" w:hAnsi="宋体" w:eastAsia="宋体" w:cs="Times New Roman"/>
          <w:bCs/>
          <w:color w:val="auto"/>
          <w:kern w:val="44"/>
          <w:szCs w:val="21"/>
          <w:highlight w:val="none"/>
          <w:lang w:val="en-US" w:eastAsia="zh-CN" w:bidi="ar-SA"/>
        </w:rPr>
        <w:t xml:space="preserve"> </w:t>
      </w:r>
      <w:r>
        <w:rPr>
          <w:rFonts w:hint="eastAsia" w:ascii="宋体" w:hAnsi="宋体" w:eastAsia="宋体" w:cs="Times New Roman"/>
          <w:bCs/>
          <w:color w:val="auto"/>
          <w:kern w:val="44"/>
          <w:szCs w:val="21"/>
          <w:highlight w:val="none"/>
          <w:lang w:val="en-US" w:eastAsia="zh-CN" w:bidi="ar-SA"/>
        </w:rPr>
        <w:t>定标原则</w:t>
      </w:r>
      <w:r>
        <w:rPr>
          <w:color w:val="auto"/>
          <w:highlight w:val="none"/>
        </w:rPr>
        <w:tab/>
      </w:r>
      <w:r>
        <w:rPr>
          <w:color w:val="auto"/>
          <w:highlight w:val="none"/>
        </w:rPr>
        <w:fldChar w:fldCharType="begin"/>
      </w:r>
      <w:r>
        <w:rPr>
          <w:color w:val="auto"/>
          <w:highlight w:val="none"/>
        </w:rPr>
        <w:instrText xml:space="preserve"> PAGEREF _Toc6611 \h </w:instrText>
      </w:r>
      <w:r>
        <w:rPr>
          <w:color w:val="auto"/>
          <w:highlight w:val="none"/>
        </w:rPr>
        <w:fldChar w:fldCharType="separate"/>
      </w:r>
      <w:r>
        <w:rPr>
          <w:color w:val="auto"/>
          <w:highlight w:val="none"/>
        </w:rPr>
        <w:t>71</w:t>
      </w:r>
      <w:r>
        <w:rPr>
          <w:color w:val="auto"/>
          <w:highlight w:val="none"/>
        </w:rPr>
        <w:fldChar w:fldCharType="end"/>
      </w:r>
      <w:r>
        <w:rPr>
          <w:rFonts w:ascii="Times New Roman" w:hAnsi="Times New Roman" w:eastAsia="宋体" w:cs="Times New Roman"/>
          <w:color w:val="auto"/>
          <w:kern w:val="2"/>
          <w:szCs w:val="24"/>
          <w:highlight w:val="none"/>
          <w:lang w:val="en-US" w:eastAsia="zh-CN" w:bidi="ar-SA"/>
        </w:rPr>
        <w:fldChar w:fldCharType="end"/>
      </w:r>
    </w:p>
    <w:p>
      <w:pPr>
        <w:pStyle w:val="9"/>
        <w:tabs>
          <w:tab w:val="right" w:leader="dot" w:pos="9026"/>
        </w:tabs>
        <w:rPr>
          <w:color w:val="auto"/>
          <w:highlight w:val="none"/>
        </w:rPr>
      </w:pPr>
      <w:r>
        <w:rPr>
          <w:rFonts w:ascii="Times New Roman" w:hAnsi="Times New Roman" w:eastAsia="宋体" w:cs="Times New Roman"/>
          <w:color w:val="auto"/>
          <w:kern w:val="2"/>
          <w:szCs w:val="24"/>
          <w:highlight w:val="none"/>
          <w:lang w:val="en-US" w:eastAsia="zh-CN" w:bidi="ar-SA"/>
        </w:rPr>
        <w:fldChar w:fldCharType="begin"/>
      </w:r>
      <w:r>
        <w:rPr>
          <w:rFonts w:ascii="Times New Roman" w:hAnsi="Times New Roman" w:eastAsia="宋体" w:cs="Times New Roman"/>
          <w:color w:val="auto"/>
          <w:kern w:val="2"/>
          <w:szCs w:val="24"/>
          <w:highlight w:val="none"/>
          <w:lang w:val="en-US" w:eastAsia="zh-CN" w:bidi="ar-SA"/>
        </w:rPr>
        <w:instrText xml:space="preserve"> HYPERLINK \l _Toc19896 </w:instrText>
      </w:r>
      <w:r>
        <w:rPr>
          <w:rFonts w:ascii="Times New Roman" w:hAnsi="Times New Roman" w:eastAsia="宋体" w:cs="Times New Roman"/>
          <w:color w:val="auto"/>
          <w:kern w:val="2"/>
          <w:szCs w:val="24"/>
          <w:highlight w:val="none"/>
          <w:lang w:val="en-US" w:eastAsia="zh-CN" w:bidi="ar-SA"/>
        </w:rPr>
        <w:fldChar w:fldCharType="separate"/>
      </w:r>
      <w:r>
        <w:rPr>
          <w:rFonts w:hint="eastAsia" w:ascii="宋体" w:hAnsi="宋体" w:eastAsia="宋体" w:cs="Times New Roman"/>
          <w:bCs/>
          <w:color w:val="auto"/>
          <w:kern w:val="44"/>
          <w:szCs w:val="21"/>
          <w:highlight w:val="none"/>
          <w:lang w:val="en-US" w:eastAsia="zh-CN" w:bidi="ar-SA"/>
        </w:rPr>
        <w:t>附录14-1  定标前准备工作</w:t>
      </w:r>
      <w:r>
        <w:rPr>
          <w:color w:val="auto"/>
          <w:highlight w:val="none"/>
        </w:rPr>
        <w:tab/>
      </w:r>
      <w:r>
        <w:rPr>
          <w:color w:val="auto"/>
          <w:highlight w:val="none"/>
        </w:rPr>
        <w:fldChar w:fldCharType="begin"/>
      </w:r>
      <w:r>
        <w:rPr>
          <w:color w:val="auto"/>
          <w:highlight w:val="none"/>
        </w:rPr>
        <w:instrText xml:space="preserve"> PAGEREF _Toc19896 \h </w:instrText>
      </w:r>
      <w:r>
        <w:rPr>
          <w:color w:val="auto"/>
          <w:highlight w:val="none"/>
        </w:rPr>
        <w:fldChar w:fldCharType="separate"/>
      </w:r>
      <w:r>
        <w:rPr>
          <w:color w:val="auto"/>
          <w:highlight w:val="none"/>
        </w:rPr>
        <w:t>74</w:t>
      </w:r>
      <w:r>
        <w:rPr>
          <w:color w:val="auto"/>
          <w:highlight w:val="none"/>
        </w:rPr>
        <w:fldChar w:fldCharType="end"/>
      </w:r>
      <w:r>
        <w:rPr>
          <w:rFonts w:ascii="Times New Roman" w:hAnsi="Times New Roman" w:eastAsia="宋体" w:cs="Times New Roman"/>
          <w:color w:val="auto"/>
          <w:kern w:val="2"/>
          <w:szCs w:val="24"/>
          <w:highlight w:val="none"/>
          <w:lang w:val="en-US" w:eastAsia="zh-CN" w:bidi="ar-SA"/>
        </w:rPr>
        <w:fldChar w:fldCharType="end"/>
      </w:r>
    </w:p>
    <w:p>
      <w:pPr>
        <w:pStyle w:val="9"/>
        <w:tabs>
          <w:tab w:val="right" w:leader="dot" w:pos="9026"/>
        </w:tabs>
        <w:rPr>
          <w:color w:val="auto"/>
          <w:highlight w:val="none"/>
        </w:rPr>
      </w:pPr>
      <w:r>
        <w:rPr>
          <w:rFonts w:ascii="Times New Roman" w:hAnsi="Times New Roman" w:eastAsia="宋体" w:cs="Times New Roman"/>
          <w:color w:val="auto"/>
          <w:kern w:val="2"/>
          <w:szCs w:val="24"/>
          <w:highlight w:val="none"/>
          <w:lang w:val="en-US" w:eastAsia="zh-CN" w:bidi="ar-SA"/>
        </w:rPr>
        <w:fldChar w:fldCharType="begin"/>
      </w:r>
      <w:r>
        <w:rPr>
          <w:rFonts w:ascii="Times New Roman" w:hAnsi="Times New Roman" w:eastAsia="宋体" w:cs="Times New Roman"/>
          <w:color w:val="auto"/>
          <w:kern w:val="2"/>
          <w:szCs w:val="24"/>
          <w:highlight w:val="none"/>
          <w:lang w:val="en-US" w:eastAsia="zh-CN" w:bidi="ar-SA"/>
        </w:rPr>
        <w:instrText xml:space="preserve"> HYPERLINK \l _Toc5197 </w:instrText>
      </w:r>
      <w:r>
        <w:rPr>
          <w:rFonts w:ascii="Times New Roman" w:hAnsi="Times New Roman" w:eastAsia="宋体" w:cs="Times New Roman"/>
          <w:color w:val="auto"/>
          <w:kern w:val="2"/>
          <w:szCs w:val="24"/>
          <w:highlight w:val="none"/>
          <w:lang w:val="en-US" w:eastAsia="zh-CN" w:bidi="ar-SA"/>
        </w:rPr>
        <w:fldChar w:fldCharType="separate"/>
      </w:r>
      <w:r>
        <w:rPr>
          <w:rFonts w:hint="eastAsia" w:ascii="宋体" w:hAnsi="宋体" w:eastAsia="宋体" w:cs="Times New Roman"/>
          <w:bCs/>
          <w:color w:val="auto"/>
          <w:kern w:val="44"/>
          <w:szCs w:val="21"/>
          <w:highlight w:val="none"/>
          <w:lang w:val="en-US" w:eastAsia="zh-CN" w:bidi="ar-SA"/>
        </w:rPr>
        <w:t>附录15-1 勘察设计</w:t>
      </w:r>
      <w:r>
        <w:rPr>
          <w:rFonts w:hint="default" w:ascii="宋体" w:hAnsi="宋体" w:eastAsia="宋体" w:cs="Times New Roman"/>
          <w:bCs/>
          <w:color w:val="auto"/>
          <w:kern w:val="44"/>
          <w:szCs w:val="21"/>
          <w:highlight w:val="none"/>
          <w:lang w:val="en-US" w:eastAsia="zh-CN" w:bidi="ar-SA"/>
        </w:rPr>
        <w:t>工作</w:t>
      </w:r>
      <w:r>
        <w:rPr>
          <w:rFonts w:hint="eastAsia" w:ascii="宋体" w:hAnsi="宋体" w:eastAsia="宋体" w:cs="Times New Roman"/>
          <w:bCs/>
          <w:color w:val="auto"/>
          <w:kern w:val="44"/>
          <w:szCs w:val="21"/>
          <w:highlight w:val="none"/>
          <w:lang w:val="en-US" w:eastAsia="zh-CN" w:bidi="ar-SA"/>
        </w:rPr>
        <w:t>方案评审记录表</w:t>
      </w:r>
      <w:r>
        <w:rPr>
          <w:color w:val="auto"/>
          <w:highlight w:val="none"/>
        </w:rPr>
        <w:tab/>
      </w:r>
      <w:r>
        <w:rPr>
          <w:color w:val="auto"/>
          <w:highlight w:val="none"/>
        </w:rPr>
        <w:fldChar w:fldCharType="begin"/>
      </w:r>
      <w:r>
        <w:rPr>
          <w:color w:val="auto"/>
          <w:highlight w:val="none"/>
        </w:rPr>
        <w:instrText xml:space="preserve"> PAGEREF _Toc5197 \h </w:instrText>
      </w:r>
      <w:r>
        <w:rPr>
          <w:color w:val="auto"/>
          <w:highlight w:val="none"/>
        </w:rPr>
        <w:fldChar w:fldCharType="separate"/>
      </w:r>
      <w:r>
        <w:rPr>
          <w:color w:val="auto"/>
          <w:highlight w:val="none"/>
        </w:rPr>
        <w:t>75</w:t>
      </w:r>
      <w:r>
        <w:rPr>
          <w:color w:val="auto"/>
          <w:highlight w:val="none"/>
        </w:rPr>
        <w:fldChar w:fldCharType="end"/>
      </w:r>
      <w:r>
        <w:rPr>
          <w:rFonts w:ascii="Times New Roman" w:hAnsi="Times New Roman" w:eastAsia="宋体" w:cs="Times New Roman"/>
          <w:color w:val="auto"/>
          <w:kern w:val="2"/>
          <w:szCs w:val="24"/>
          <w:highlight w:val="none"/>
          <w:lang w:val="en-US" w:eastAsia="zh-CN" w:bidi="ar-SA"/>
        </w:rPr>
        <w:fldChar w:fldCharType="end"/>
      </w:r>
    </w:p>
    <w:p>
      <w:pPr>
        <w:pStyle w:val="9"/>
        <w:tabs>
          <w:tab w:val="right" w:leader="dot" w:pos="9026"/>
        </w:tabs>
        <w:rPr>
          <w:color w:val="auto"/>
          <w:highlight w:val="none"/>
        </w:rPr>
      </w:pPr>
      <w:r>
        <w:rPr>
          <w:rFonts w:ascii="Times New Roman" w:hAnsi="Times New Roman" w:eastAsia="宋体" w:cs="Times New Roman"/>
          <w:color w:val="auto"/>
          <w:kern w:val="2"/>
          <w:szCs w:val="24"/>
          <w:highlight w:val="none"/>
          <w:lang w:val="en-US" w:eastAsia="zh-CN" w:bidi="ar-SA"/>
        </w:rPr>
        <w:fldChar w:fldCharType="begin"/>
      </w:r>
      <w:r>
        <w:rPr>
          <w:rFonts w:ascii="Times New Roman" w:hAnsi="Times New Roman" w:eastAsia="宋体" w:cs="Times New Roman"/>
          <w:color w:val="auto"/>
          <w:kern w:val="2"/>
          <w:szCs w:val="24"/>
          <w:highlight w:val="none"/>
          <w:lang w:val="en-US" w:eastAsia="zh-CN" w:bidi="ar-SA"/>
        </w:rPr>
        <w:instrText xml:space="preserve"> HYPERLINK \l _Toc17392 </w:instrText>
      </w:r>
      <w:r>
        <w:rPr>
          <w:rFonts w:ascii="Times New Roman" w:hAnsi="Times New Roman" w:eastAsia="宋体" w:cs="Times New Roman"/>
          <w:color w:val="auto"/>
          <w:kern w:val="2"/>
          <w:szCs w:val="24"/>
          <w:highlight w:val="none"/>
          <w:lang w:val="en-US" w:eastAsia="zh-CN" w:bidi="ar-SA"/>
        </w:rPr>
        <w:fldChar w:fldCharType="separate"/>
      </w:r>
      <w:r>
        <w:rPr>
          <w:rFonts w:hint="eastAsia" w:ascii="宋体" w:hAnsi="宋体" w:eastAsia="宋体" w:cs="Times New Roman"/>
          <w:bCs/>
          <w:color w:val="auto"/>
          <w:kern w:val="44"/>
          <w:szCs w:val="21"/>
          <w:highlight w:val="none"/>
          <w:lang w:val="en-US" w:eastAsia="zh-CN" w:bidi="ar-SA"/>
        </w:rPr>
        <w:t>附录15-2 定标因素</w:t>
      </w:r>
      <w:r>
        <w:rPr>
          <w:color w:val="auto"/>
          <w:highlight w:val="none"/>
        </w:rPr>
        <w:tab/>
      </w:r>
      <w:r>
        <w:rPr>
          <w:color w:val="auto"/>
          <w:highlight w:val="none"/>
        </w:rPr>
        <w:fldChar w:fldCharType="begin"/>
      </w:r>
      <w:r>
        <w:rPr>
          <w:color w:val="auto"/>
          <w:highlight w:val="none"/>
        </w:rPr>
        <w:instrText xml:space="preserve"> PAGEREF _Toc17392 \h </w:instrText>
      </w:r>
      <w:r>
        <w:rPr>
          <w:color w:val="auto"/>
          <w:highlight w:val="none"/>
        </w:rPr>
        <w:fldChar w:fldCharType="separate"/>
      </w:r>
      <w:r>
        <w:rPr>
          <w:color w:val="auto"/>
          <w:highlight w:val="none"/>
        </w:rPr>
        <w:t>79</w:t>
      </w:r>
      <w:r>
        <w:rPr>
          <w:color w:val="auto"/>
          <w:highlight w:val="none"/>
        </w:rPr>
        <w:fldChar w:fldCharType="end"/>
      </w:r>
      <w:r>
        <w:rPr>
          <w:rFonts w:ascii="Times New Roman" w:hAnsi="Times New Roman" w:eastAsia="宋体" w:cs="Times New Roman"/>
          <w:color w:val="auto"/>
          <w:kern w:val="2"/>
          <w:szCs w:val="24"/>
          <w:highlight w:val="none"/>
          <w:lang w:val="en-US" w:eastAsia="zh-CN" w:bidi="ar-SA"/>
        </w:rPr>
        <w:fldChar w:fldCharType="end"/>
      </w:r>
    </w:p>
    <w:p>
      <w:pPr>
        <w:pStyle w:val="9"/>
        <w:tabs>
          <w:tab w:val="right" w:leader="dot" w:pos="9026"/>
        </w:tabs>
        <w:rPr>
          <w:color w:val="auto"/>
          <w:highlight w:val="none"/>
        </w:rPr>
      </w:pPr>
      <w:r>
        <w:rPr>
          <w:rFonts w:ascii="Times New Roman" w:hAnsi="Times New Roman" w:eastAsia="宋体" w:cs="Times New Roman"/>
          <w:color w:val="auto"/>
          <w:kern w:val="2"/>
          <w:szCs w:val="24"/>
          <w:highlight w:val="none"/>
          <w:lang w:val="en-US" w:eastAsia="zh-CN" w:bidi="ar-SA"/>
        </w:rPr>
        <w:fldChar w:fldCharType="begin"/>
      </w:r>
      <w:r>
        <w:rPr>
          <w:rFonts w:ascii="Times New Roman" w:hAnsi="Times New Roman" w:eastAsia="宋体" w:cs="Times New Roman"/>
          <w:color w:val="auto"/>
          <w:kern w:val="2"/>
          <w:szCs w:val="24"/>
          <w:highlight w:val="none"/>
          <w:lang w:val="en-US" w:eastAsia="zh-CN" w:bidi="ar-SA"/>
        </w:rPr>
        <w:instrText xml:space="preserve"> HYPERLINK \l _Toc27730 </w:instrText>
      </w:r>
      <w:r>
        <w:rPr>
          <w:rFonts w:ascii="Times New Roman" w:hAnsi="Times New Roman" w:eastAsia="宋体" w:cs="Times New Roman"/>
          <w:color w:val="auto"/>
          <w:kern w:val="2"/>
          <w:szCs w:val="24"/>
          <w:highlight w:val="none"/>
          <w:lang w:val="en-US" w:eastAsia="zh-CN" w:bidi="ar-SA"/>
        </w:rPr>
        <w:fldChar w:fldCharType="separate"/>
      </w:r>
      <w:r>
        <w:rPr>
          <w:rFonts w:hint="eastAsia" w:ascii="宋体" w:hAnsi="宋体" w:eastAsia="宋体" w:cs="Times New Roman"/>
          <w:bCs/>
          <w:color w:val="auto"/>
          <w:kern w:val="44"/>
          <w:szCs w:val="21"/>
          <w:highlight w:val="none"/>
          <w:lang w:val="en-US" w:eastAsia="zh-CN" w:bidi="ar-SA"/>
        </w:rPr>
        <w:t>附录</w:t>
      </w:r>
      <w:r>
        <w:rPr>
          <w:rFonts w:ascii="宋体" w:hAnsi="宋体" w:eastAsia="宋体" w:cs="Times New Roman"/>
          <w:bCs/>
          <w:color w:val="auto"/>
          <w:kern w:val="44"/>
          <w:szCs w:val="21"/>
          <w:highlight w:val="none"/>
          <w:lang w:val="en-US" w:eastAsia="zh-CN" w:bidi="ar-SA"/>
        </w:rPr>
        <w:t>1</w:t>
      </w:r>
      <w:r>
        <w:rPr>
          <w:rFonts w:hint="eastAsia" w:ascii="宋体" w:hAnsi="宋体" w:eastAsia="宋体" w:cs="Times New Roman"/>
          <w:bCs/>
          <w:color w:val="auto"/>
          <w:kern w:val="44"/>
          <w:szCs w:val="21"/>
          <w:highlight w:val="none"/>
          <w:lang w:val="en-US" w:eastAsia="zh-CN" w:bidi="ar-SA"/>
        </w:rPr>
        <w:t>6</w:t>
      </w:r>
      <w:r>
        <w:rPr>
          <w:rFonts w:ascii="宋体" w:hAnsi="宋体" w:eastAsia="宋体" w:cs="Times New Roman"/>
          <w:bCs/>
          <w:color w:val="auto"/>
          <w:kern w:val="44"/>
          <w:szCs w:val="21"/>
          <w:highlight w:val="none"/>
          <w:lang w:val="en-US" w:eastAsia="zh-CN" w:bidi="ar-SA"/>
        </w:rPr>
        <w:t xml:space="preserve"> </w:t>
      </w:r>
      <w:r>
        <w:rPr>
          <w:rFonts w:hint="eastAsia" w:ascii="宋体" w:hAnsi="宋体" w:eastAsia="宋体" w:cs="Times New Roman"/>
          <w:bCs/>
          <w:color w:val="auto"/>
          <w:kern w:val="44"/>
          <w:szCs w:val="21"/>
          <w:highlight w:val="none"/>
          <w:lang w:val="en-US" w:eastAsia="zh-CN" w:bidi="ar-SA"/>
        </w:rPr>
        <w:t>投标方案评语</w:t>
      </w:r>
      <w:r>
        <w:rPr>
          <w:color w:val="auto"/>
          <w:highlight w:val="none"/>
        </w:rPr>
        <w:tab/>
      </w:r>
      <w:r>
        <w:rPr>
          <w:color w:val="auto"/>
          <w:highlight w:val="none"/>
        </w:rPr>
        <w:fldChar w:fldCharType="begin"/>
      </w:r>
      <w:r>
        <w:rPr>
          <w:color w:val="auto"/>
          <w:highlight w:val="none"/>
        </w:rPr>
        <w:instrText xml:space="preserve"> PAGEREF _Toc27730 \h </w:instrText>
      </w:r>
      <w:r>
        <w:rPr>
          <w:color w:val="auto"/>
          <w:highlight w:val="none"/>
        </w:rPr>
        <w:fldChar w:fldCharType="separate"/>
      </w:r>
      <w:r>
        <w:rPr>
          <w:color w:val="auto"/>
          <w:highlight w:val="none"/>
        </w:rPr>
        <w:t>86</w:t>
      </w:r>
      <w:r>
        <w:rPr>
          <w:color w:val="auto"/>
          <w:highlight w:val="none"/>
        </w:rPr>
        <w:fldChar w:fldCharType="end"/>
      </w:r>
      <w:r>
        <w:rPr>
          <w:rFonts w:ascii="Times New Roman" w:hAnsi="Times New Roman" w:eastAsia="宋体" w:cs="Times New Roman"/>
          <w:color w:val="auto"/>
          <w:kern w:val="2"/>
          <w:szCs w:val="24"/>
          <w:highlight w:val="none"/>
          <w:lang w:val="en-US" w:eastAsia="zh-CN" w:bidi="ar-SA"/>
        </w:rPr>
        <w:fldChar w:fldCharType="end"/>
      </w:r>
    </w:p>
    <w:p>
      <w:pPr>
        <w:pStyle w:val="9"/>
        <w:tabs>
          <w:tab w:val="right" w:leader="dot" w:pos="9026"/>
        </w:tabs>
        <w:rPr>
          <w:color w:val="auto"/>
          <w:highlight w:val="none"/>
        </w:rPr>
      </w:pPr>
      <w:r>
        <w:rPr>
          <w:rFonts w:ascii="Times New Roman" w:hAnsi="Times New Roman" w:eastAsia="宋体" w:cs="Times New Roman"/>
          <w:color w:val="auto"/>
          <w:kern w:val="2"/>
          <w:szCs w:val="24"/>
          <w:highlight w:val="none"/>
          <w:lang w:val="en-US" w:eastAsia="zh-CN" w:bidi="ar-SA"/>
        </w:rPr>
        <w:fldChar w:fldCharType="begin"/>
      </w:r>
      <w:r>
        <w:rPr>
          <w:rFonts w:ascii="Times New Roman" w:hAnsi="Times New Roman" w:eastAsia="宋体" w:cs="Times New Roman"/>
          <w:color w:val="auto"/>
          <w:kern w:val="2"/>
          <w:szCs w:val="24"/>
          <w:highlight w:val="none"/>
          <w:lang w:val="en-US" w:eastAsia="zh-CN" w:bidi="ar-SA"/>
        </w:rPr>
        <w:instrText xml:space="preserve"> HYPERLINK \l _Toc18683 </w:instrText>
      </w:r>
      <w:r>
        <w:rPr>
          <w:rFonts w:ascii="Times New Roman" w:hAnsi="Times New Roman" w:eastAsia="宋体" w:cs="Times New Roman"/>
          <w:color w:val="auto"/>
          <w:kern w:val="2"/>
          <w:szCs w:val="24"/>
          <w:highlight w:val="none"/>
          <w:lang w:val="en-US" w:eastAsia="zh-CN" w:bidi="ar-SA"/>
        </w:rPr>
        <w:fldChar w:fldCharType="separate"/>
      </w:r>
      <w:r>
        <w:rPr>
          <w:rFonts w:hint="eastAsia" w:ascii="宋体" w:hAnsi="宋体" w:eastAsia="宋体" w:cs="Times New Roman"/>
          <w:bCs/>
          <w:color w:val="auto"/>
          <w:kern w:val="44"/>
          <w:szCs w:val="21"/>
          <w:highlight w:val="none"/>
          <w:lang w:val="en-US" w:eastAsia="zh-CN" w:bidi="ar-SA"/>
        </w:rPr>
        <w:t>附录</w:t>
      </w:r>
      <w:r>
        <w:rPr>
          <w:rFonts w:ascii="宋体" w:hAnsi="宋体" w:eastAsia="宋体" w:cs="Times New Roman"/>
          <w:bCs/>
          <w:color w:val="auto"/>
          <w:kern w:val="44"/>
          <w:szCs w:val="21"/>
          <w:highlight w:val="none"/>
          <w:lang w:val="en-US" w:eastAsia="zh-CN" w:bidi="ar-SA"/>
        </w:rPr>
        <w:t>16-</w:t>
      </w:r>
      <w:r>
        <w:rPr>
          <w:rFonts w:hint="eastAsia" w:ascii="宋体" w:hAnsi="宋体" w:eastAsia="宋体" w:cs="Times New Roman"/>
          <w:bCs/>
          <w:color w:val="auto"/>
          <w:kern w:val="44"/>
          <w:szCs w:val="21"/>
          <w:highlight w:val="none"/>
          <w:lang w:val="en-US" w:eastAsia="zh-CN" w:bidi="ar-SA"/>
        </w:rPr>
        <w:t>1投票表格</w:t>
      </w:r>
      <w:r>
        <w:rPr>
          <w:color w:val="auto"/>
          <w:highlight w:val="none"/>
        </w:rPr>
        <w:tab/>
      </w:r>
      <w:r>
        <w:rPr>
          <w:color w:val="auto"/>
          <w:highlight w:val="none"/>
        </w:rPr>
        <w:fldChar w:fldCharType="begin"/>
      </w:r>
      <w:r>
        <w:rPr>
          <w:color w:val="auto"/>
          <w:highlight w:val="none"/>
        </w:rPr>
        <w:instrText xml:space="preserve"> PAGEREF _Toc18683 \h </w:instrText>
      </w:r>
      <w:r>
        <w:rPr>
          <w:color w:val="auto"/>
          <w:highlight w:val="none"/>
        </w:rPr>
        <w:fldChar w:fldCharType="separate"/>
      </w:r>
      <w:r>
        <w:rPr>
          <w:color w:val="auto"/>
          <w:highlight w:val="none"/>
        </w:rPr>
        <w:t>87</w:t>
      </w:r>
      <w:r>
        <w:rPr>
          <w:color w:val="auto"/>
          <w:highlight w:val="none"/>
        </w:rPr>
        <w:fldChar w:fldCharType="end"/>
      </w:r>
      <w:r>
        <w:rPr>
          <w:rFonts w:ascii="Times New Roman" w:hAnsi="Times New Roman" w:eastAsia="宋体" w:cs="Times New Roman"/>
          <w:color w:val="auto"/>
          <w:kern w:val="2"/>
          <w:szCs w:val="24"/>
          <w:highlight w:val="none"/>
          <w:lang w:val="en-US" w:eastAsia="zh-CN" w:bidi="ar-SA"/>
        </w:rPr>
        <w:fldChar w:fldCharType="end"/>
      </w:r>
    </w:p>
    <w:p>
      <w:pPr>
        <w:pStyle w:val="9"/>
        <w:tabs>
          <w:tab w:val="right" w:leader="dot" w:pos="9026"/>
        </w:tabs>
        <w:rPr>
          <w:color w:val="auto"/>
          <w:highlight w:val="none"/>
        </w:rPr>
      </w:pPr>
      <w:r>
        <w:rPr>
          <w:rFonts w:ascii="Times New Roman" w:hAnsi="Times New Roman" w:eastAsia="宋体" w:cs="Times New Roman"/>
          <w:color w:val="auto"/>
          <w:kern w:val="2"/>
          <w:szCs w:val="24"/>
          <w:highlight w:val="none"/>
          <w:lang w:val="en-US" w:eastAsia="zh-CN" w:bidi="ar-SA"/>
        </w:rPr>
        <w:fldChar w:fldCharType="begin"/>
      </w:r>
      <w:r>
        <w:rPr>
          <w:rFonts w:ascii="Times New Roman" w:hAnsi="Times New Roman" w:eastAsia="宋体" w:cs="Times New Roman"/>
          <w:color w:val="auto"/>
          <w:kern w:val="2"/>
          <w:szCs w:val="24"/>
          <w:highlight w:val="none"/>
          <w:lang w:val="en-US" w:eastAsia="zh-CN" w:bidi="ar-SA"/>
        </w:rPr>
        <w:instrText xml:space="preserve"> HYPERLINK \l _Toc32388 </w:instrText>
      </w:r>
      <w:r>
        <w:rPr>
          <w:rFonts w:ascii="Times New Roman" w:hAnsi="Times New Roman" w:eastAsia="宋体" w:cs="Times New Roman"/>
          <w:color w:val="auto"/>
          <w:kern w:val="2"/>
          <w:szCs w:val="24"/>
          <w:highlight w:val="none"/>
          <w:lang w:val="en-US" w:eastAsia="zh-CN" w:bidi="ar-SA"/>
        </w:rPr>
        <w:fldChar w:fldCharType="separate"/>
      </w:r>
      <w:r>
        <w:rPr>
          <w:rFonts w:hint="eastAsia" w:ascii="宋体" w:hAnsi="宋体" w:eastAsia="宋体" w:cs="Times New Roman"/>
          <w:bCs/>
          <w:color w:val="auto"/>
          <w:kern w:val="44"/>
          <w:szCs w:val="21"/>
          <w:highlight w:val="none"/>
          <w:lang w:val="en-US" w:eastAsia="zh-CN" w:bidi="ar-SA"/>
        </w:rPr>
        <w:t>附录</w:t>
      </w:r>
      <w:r>
        <w:rPr>
          <w:rFonts w:ascii="宋体" w:hAnsi="宋体" w:eastAsia="宋体" w:cs="Times New Roman"/>
          <w:bCs/>
          <w:color w:val="auto"/>
          <w:kern w:val="44"/>
          <w:szCs w:val="21"/>
          <w:highlight w:val="none"/>
          <w:lang w:val="en-US" w:eastAsia="zh-CN" w:bidi="ar-SA"/>
        </w:rPr>
        <w:t>16-</w:t>
      </w:r>
      <w:r>
        <w:rPr>
          <w:rFonts w:hint="eastAsia" w:ascii="宋体" w:hAnsi="宋体" w:eastAsia="宋体" w:cs="Times New Roman"/>
          <w:bCs/>
          <w:color w:val="auto"/>
          <w:kern w:val="44"/>
          <w:szCs w:val="21"/>
          <w:highlight w:val="none"/>
          <w:lang w:val="en-US" w:eastAsia="zh-CN" w:bidi="ar-SA"/>
        </w:rPr>
        <w:t>2</w:t>
      </w:r>
      <w:r>
        <w:rPr>
          <w:rFonts w:ascii="宋体" w:hAnsi="宋体" w:eastAsia="宋体" w:cs="Times New Roman"/>
          <w:bCs/>
          <w:color w:val="auto"/>
          <w:kern w:val="44"/>
          <w:szCs w:val="21"/>
          <w:highlight w:val="none"/>
          <w:lang w:val="en-US" w:eastAsia="zh-CN" w:bidi="ar-SA"/>
        </w:rPr>
        <w:t xml:space="preserve"> </w:t>
      </w:r>
      <w:r>
        <w:rPr>
          <w:rFonts w:hint="eastAsia" w:ascii="宋体" w:hAnsi="宋体" w:eastAsia="宋体" w:cs="Times New Roman"/>
          <w:bCs/>
          <w:color w:val="auto"/>
          <w:kern w:val="44"/>
          <w:szCs w:val="21"/>
          <w:highlight w:val="none"/>
          <w:lang w:val="en-US" w:eastAsia="zh-CN" w:bidi="ar-SA"/>
        </w:rPr>
        <w:t>定标评语</w:t>
      </w:r>
      <w:r>
        <w:rPr>
          <w:color w:val="auto"/>
          <w:highlight w:val="none"/>
        </w:rPr>
        <w:tab/>
      </w:r>
      <w:r>
        <w:rPr>
          <w:color w:val="auto"/>
          <w:highlight w:val="none"/>
        </w:rPr>
        <w:fldChar w:fldCharType="begin"/>
      </w:r>
      <w:r>
        <w:rPr>
          <w:color w:val="auto"/>
          <w:highlight w:val="none"/>
        </w:rPr>
        <w:instrText xml:space="preserve"> PAGEREF _Toc32388 \h </w:instrText>
      </w:r>
      <w:r>
        <w:rPr>
          <w:color w:val="auto"/>
          <w:highlight w:val="none"/>
        </w:rPr>
        <w:fldChar w:fldCharType="separate"/>
      </w:r>
      <w:r>
        <w:rPr>
          <w:color w:val="auto"/>
          <w:highlight w:val="none"/>
        </w:rPr>
        <w:t>88</w:t>
      </w:r>
      <w:r>
        <w:rPr>
          <w:color w:val="auto"/>
          <w:highlight w:val="none"/>
        </w:rPr>
        <w:fldChar w:fldCharType="end"/>
      </w:r>
      <w:r>
        <w:rPr>
          <w:rFonts w:ascii="Times New Roman" w:hAnsi="Times New Roman" w:eastAsia="宋体" w:cs="Times New Roman"/>
          <w:color w:val="auto"/>
          <w:kern w:val="2"/>
          <w:szCs w:val="24"/>
          <w:highlight w:val="none"/>
          <w:lang w:val="en-US" w:eastAsia="zh-CN" w:bidi="ar-SA"/>
        </w:rPr>
        <w:fldChar w:fldCharType="end"/>
      </w:r>
    </w:p>
    <w:p>
      <w:pPr>
        <w:pStyle w:val="9"/>
        <w:tabs>
          <w:tab w:val="right" w:leader="dot" w:pos="9026"/>
        </w:tabs>
        <w:rPr>
          <w:color w:val="auto"/>
          <w:highlight w:val="none"/>
        </w:rPr>
      </w:pPr>
      <w:r>
        <w:rPr>
          <w:rFonts w:ascii="Times New Roman" w:hAnsi="Times New Roman" w:eastAsia="宋体" w:cs="Times New Roman"/>
          <w:color w:val="auto"/>
          <w:kern w:val="2"/>
          <w:szCs w:val="24"/>
          <w:highlight w:val="none"/>
          <w:lang w:val="en-US" w:eastAsia="zh-CN" w:bidi="ar-SA"/>
        </w:rPr>
        <w:fldChar w:fldCharType="begin"/>
      </w:r>
      <w:r>
        <w:rPr>
          <w:rFonts w:ascii="Times New Roman" w:hAnsi="Times New Roman" w:eastAsia="宋体" w:cs="Times New Roman"/>
          <w:color w:val="auto"/>
          <w:kern w:val="2"/>
          <w:szCs w:val="24"/>
          <w:highlight w:val="none"/>
          <w:lang w:val="en-US" w:eastAsia="zh-CN" w:bidi="ar-SA"/>
        </w:rPr>
        <w:instrText xml:space="preserve"> HYPERLINK \l _Toc21643 </w:instrText>
      </w:r>
      <w:r>
        <w:rPr>
          <w:rFonts w:ascii="Times New Roman" w:hAnsi="Times New Roman" w:eastAsia="宋体" w:cs="Times New Roman"/>
          <w:color w:val="auto"/>
          <w:kern w:val="2"/>
          <w:szCs w:val="24"/>
          <w:highlight w:val="none"/>
          <w:lang w:val="en-US" w:eastAsia="zh-CN" w:bidi="ar-SA"/>
        </w:rPr>
        <w:fldChar w:fldCharType="separate"/>
      </w:r>
      <w:r>
        <w:rPr>
          <w:rFonts w:hint="eastAsia" w:ascii="宋体" w:hAnsi="宋体" w:eastAsia="宋体" w:cs="Times New Roman"/>
          <w:bCs/>
          <w:color w:val="auto"/>
          <w:kern w:val="44"/>
          <w:szCs w:val="21"/>
          <w:highlight w:val="none"/>
          <w:lang w:val="en-US" w:eastAsia="zh-CN" w:bidi="ar-SA"/>
        </w:rPr>
        <w:t>附录</w:t>
      </w:r>
      <w:r>
        <w:rPr>
          <w:rFonts w:ascii="宋体" w:hAnsi="宋体" w:eastAsia="宋体" w:cs="Times New Roman"/>
          <w:bCs/>
          <w:color w:val="auto"/>
          <w:kern w:val="44"/>
          <w:szCs w:val="21"/>
          <w:highlight w:val="none"/>
          <w:lang w:val="en-US" w:eastAsia="zh-CN" w:bidi="ar-SA"/>
        </w:rPr>
        <w:t>16-</w:t>
      </w:r>
      <w:r>
        <w:rPr>
          <w:rFonts w:hint="eastAsia" w:ascii="宋体" w:hAnsi="宋体" w:eastAsia="宋体" w:cs="Times New Roman"/>
          <w:bCs/>
          <w:color w:val="auto"/>
          <w:kern w:val="44"/>
          <w:szCs w:val="21"/>
          <w:highlight w:val="none"/>
          <w:lang w:val="en-US" w:eastAsia="zh-CN" w:bidi="ar-SA"/>
        </w:rPr>
        <w:t>3</w:t>
      </w:r>
      <w:r>
        <w:rPr>
          <w:rFonts w:ascii="宋体" w:hAnsi="宋体" w:eastAsia="宋体" w:cs="Times New Roman"/>
          <w:bCs/>
          <w:color w:val="auto"/>
          <w:kern w:val="44"/>
          <w:szCs w:val="21"/>
          <w:highlight w:val="none"/>
          <w:lang w:val="en-US" w:eastAsia="zh-CN" w:bidi="ar-SA"/>
        </w:rPr>
        <w:t xml:space="preserve"> </w:t>
      </w:r>
      <w:r>
        <w:rPr>
          <w:rFonts w:hint="eastAsia" w:ascii="宋体" w:hAnsi="宋体" w:eastAsia="宋体" w:cs="Times New Roman"/>
          <w:bCs/>
          <w:color w:val="auto"/>
          <w:kern w:val="44"/>
          <w:szCs w:val="21"/>
          <w:highlight w:val="none"/>
          <w:lang w:val="en-US" w:eastAsia="zh-CN" w:bidi="ar-SA"/>
        </w:rPr>
        <w:t>投票表格</w:t>
      </w:r>
      <w:r>
        <w:rPr>
          <w:color w:val="auto"/>
          <w:highlight w:val="none"/>
        </w:rPr>
        <w:tab/>
      </w:r>
      <w:r>
        <w:rPr>
          <w:color w:val="auto"/>
          <w:highlight w:val="none"/>
        </w:rPr>
        <w:fldChar w:fldCharType="begin"/>
      </w:r>
      <w:r>
        <w:rPr>
          <w:color w:val="auto"/>
          <w:highlight w:val="none"/>
        </w:rPr>
        <w:instrText xml:space="preserve"> PAGEREF _Toc21643 \h </w:instrText>
      </w:r>
      <w:r>
        <w:rPr>
          <w:color w:val="auto"/>
          <w:highlight w:val="none"/>
        </w:rPr>
        <w:fldChar w:fldCharType="separate"/>
      </w:r>
      <w:r>
        <w:rPr>
          <w:color w:val="auto"/>
          <w:highlight w:val="none"/>
        </w:rPr>
        <w:t>89</w:t>
      </w:r>
      <w:r>
        <w:rPr>
          <w:color w:val="auto"/>
          <w:highlight w:val="none"/>
        </w:rPr>
        <w:fldChar w:fldCharType="end"/>
      </w:r>
      <w:r>
        <w:rPr>
          <w:rFonts w:ascii="Times New Roman" w:hAnsi="Times New Roman" w:eastAsia="宋体" w:cs="Times New Roman"/>
          <w:color w:val="auto"/>
          <w:kern w:val="2"/>
          <w:szCs w:val="24"/>
          <w:highlight w:val="none"/>
          <w:lang w:val="en-US" w:eastAsia="zh-CN" w:bidi="ar-SA"/>
        </w:rPr>
        <w:fldChar w:fldCharType="end"/>
      </w:r>
    </w:p>
    <w:p>
      <w:pPr>
        <w:pStyle w:val="9"/>
        <w:tabs>
          <w:tab w:val="right" w:leader="dot" w:pos="9026"/>
        </w:tabs>
        <w:rPr>
          <w:color w:val="auto"/>
          <w:highlight w:val="none"/>
        </w:rPr>
      </w:pPr>
      <w:r>
        <w:rPr>
          <w:rFonts w:ascii="Times New Roman" w:hAnsi="Times New Roman" w:eastAsia="宋体" w:cs="Times New Roman"/>
          <w:color w:val="auto"/>
          <w:kern w:val="2"/>
          <w:szCs w:val="24"/>
          <w:highlight w:val="none"/>
          <w:lang w:val="en-US" w:eastAsia="zh-CN" w:bidi="ar-SA"/>
        </w:rPr>
        <w:fldChar w:fldCharType="begin"/>
      </w:r>
      <w:r>
        <w:rPr>
          <w:rFonts w:ascii="Times New Roman" w:hAnsi="Times New Roman" w:eastAsia="宋体" w:cs="Times New Roman"/>
          <w:color w:val="auto"/>
          <w:kern w:val="2"/>
          <w:szCs w:val="24"/>
          <w:highlight w:val="none"/>
          <w:lang w:val="en-US" w:eastAsia="zh-CN" w:bidi="ar-SA"/>
        </w:rPr>
        <w:instrText xml:space="preserve"> HYPERLINK \l _Toc8959 </w:instrText>
      </w:r>
      <w:r>
        <w:rPr>
          <w:rFonts w:ascii="Times New Roman" w:hAnsi="Times New Roman" w:eastAsia="宋体" w:cs="Times New Roman"/>
          <w:color w:val="auto"/>
          <w:kern w:val="2"/>
          <w:szCs w:val="24"/>
          <w:highlight w:val="none"/>
          <w:lang w:val="en-US" w:eastAsia="zh-CN" w:bidi="ar-SA"/>
        </w:rPr>
        <w:fldChar w:fldCharType="separate"/>
      </w:r>
      <w:r>
        <w:rPr>
          <w:rFonts w:hint="eastAsia" w:ascii="宋体" w:hAnsi="宋体" w:eastAsia="宋体" w:cs="Times New Roman"/>
          <w:bCs/>
          <w:color w:val="auto"/>
          <w:kern w:val="44"/>
          <w:szCs w:val="21"/>
          <w:highlight w:val="none"/>
          <w:lang w:val="en-US" w:eastAsia="zh-CN" w:bidi="ar-SA"/>
        </w:rPr>
        <w:t>附录</w:t>
      </w:r>
      <w:r>
        <w:rPr>
          <w:rFonts w:ascii="宋体" w:hAnsi="宋体" w:eastAsia="宋体" w:cs="Times New Roman"/>
          <w:bCs/>
          <w:color w:val="auto"/>
          <w:kern w:val="44"/>
          <w:szCs w:val="21"/>
          <w:highlight w:val="none"/>
          <w:lang w:val="en-US" w:eastAsia="zh-CN" w:bidi="ar-SA"/>
        </w:rPr>
        <w:t>17</w:t>
      </w:r>
      <w:r>
        <w:rPr>
          <w:rFonts w:hint="eastAsia" w:ascii="宋体" w:hAnsi="宋体" w:eastAsia="宋体" w:cs="Times New Roman"/>
          <w:bCs/>
          <w:color w:val="auto"/>
          <w:kern w:val="44"/>
          <w:szCs w:val="21"/>
          <w:highlight w:val="none"/>
          <w:lang w:val="en-US" w:eastAsia="zh-CN" w:bidi="ar-SA"/>
        </w:rPr>
        <w:t>拟投入的人员基本情况及主要负责人简历表</w:t>
      </w:r>
      <w:r>
        <w:rPr>
          <w:color w:val="auto"/>
          <w:highlight w:val="none"/>
        </w:rPr>
        <w:tab/>
      </w:r>
      <w:r>
        <w:rPr>
          <w:color w:val="auto"/>
          <w:highlight w:val="none"/>
        </w:rPr>
        <w:fldChar w:fldCharType="begin"/>
      </w:r>
      <w:r>
        <w:rPr>
          <w:color w:val="auto"/>
          <w:highlight w:val="none"/>
        </w:rPr>
        <w:instrText xml:space="preserve"> PAGEREF _Toc8959 \h </w:instrText>
      </w:r>
      <w:r>
        <w:rPr>
          <w:color w:val="auto"/>
          <w:highlight w:val="none"/>
        </w:rPr>
        <w:fldChar w:fldCharType="separate"/>
      </w:r>
      <w:r>
        <w:rPr>
          <w:color w:val="auto"/>
          <w:highlight w:val="none"/>
        </w:rPr>
        <w:t>90</w:t>
      </w:r>
      <w:r>
        <w:rPr>
          <w:color w:val="auto"/>
          <w:highlight w:val="none"/>
        </w:rPr>
        <w:fldChar w:fldCharType="end"/>
      </w:r>
      <w:r>
        <w:rPr>
          <w:rFonts w:ascii="Times New Roman" w:hAnsi="Times New Roman" w:eastAsia="宋体" w:cs="Times New Roman"/>
          <w:color w:val="auto"/>
          <w:kern w:val="2"/>
          <w:szCs w:val="24"/>
          <w:highlight w:val="none"/>
          <w:lang w:val="en-US" w:eastAsia="zh-CN" w:bidi="ar-SA"/>
        </w:rPr>
        <w:fldChar w:fldCharType="end"/>
      </w:r>
    </w:p>
    <w:p>
      <w:pPr>
        <w:pStyle w:val="9"/>
        <w:tabs>
          <w:tab w:val="right" w:leader="dot" w:pos="9026"/>
        </w:tabs>
        <w:rPr>
          <w:color w:val="auto"/>
          <w:highlight w:val="none"/>
        </w:rPr>
      </w:pPr>
      <w:r>
        <w:rPr>
          <w:rFonts w:ascii="Times New Roman" w:hAnsi="Times New Roman" w:eastAsia="宋体" w:cs="Times New Roman"/>
          <w:color w:val="auto"/>
          <w:kern w:val="2"/>
          <w:szCs w:val="24"/>
          <w:highlight w:val="none"/>
          <w:lang w:val="en-US" w:eastAsia="zh-CN" w:bidi="ar-SA"/>
        </w:rPr>
        <w:fldChar w:fldCharType="begin"/>
      </w:r>
      <w:r>
        <w:rPr>
          <w:rFonts w:ascii="Times New Roman" w:hAnsi="Times New Roman" w:eastAsia="宋体" w:cs="Times New Roman"/>
          <w:color w:val="auto"/>
          <w:kern w:val="2"/>
          <w:szCs w:val="24"/>
          <w:highlight w:val="none"/>
          <w:lang w:val="en-US" w:eastAsia="zh-CN" w:bidi="ar-SA"/>
        </w:rPr>
        <w:instrText xml:space="preserve"> HYPERLINK \l _Toc26807 </w:instrText>
      </w:r>
      <w:r>
        <w:rPr>
          <w:rFonts w:ascii="Times New Roman" w:hAnsi="Times New Roman" w:eastAsia="宋体" w:cs="Times New Roman"/>
          <w:color w:val="auto"/>
          <w:kern w:val="2"/>
          <w:szCs w:val="24"/>
          <w:highlight w:val="none"/>
          <w:lang w:val="en-US" w:eastAsia="zh-CN" w:bidi="ar-SA"/>
        </w:rPr>
        <w:fldChar w:fldCharType="separate"/>
      </w:r>
      <w:r>
        <w:rPr>
          <w:rFonts w:hint="eastAsia" w:ascii="宋体" w:hAnsi="宋体" w:eastAsia="宋体" w:cs="Times New Roman"/>
          <w:bCs/>
          <w:color w:val="auto"/>
          <w:kern w:val="44"/>
          <w:szCs w:val="21"/>
          <w:highlight w:val="none"/>
          <w:lang w:val="en-US" w:eastAsia="zh-CN" w:bidi="ar-SA"/>
        </w:rPr>
        <w:t>附录</w:t>
      </w:r>
      <w:r>
        <w:rPr>
          <w:rFonts w:ascii="宋体" w:hAnsi="宋体" w:eastAsia="宋体" w:cs="Times New Roman"/>
          <w:bCs/>
          <w:color w:val="auto"/>
          <w:kern w:val="44"/>
          <w:szCs w:val="21"/>
          <w:highlight w:val="none"/>
          <w:lang w:val="en-US" w:eastAsia="zh-CN" w:bidi="ar-SA"/>
        </w:rPr>
        <w:t xml:space="preserve">18 </w:t>
      </w:r>
      <w:r>
        <w:rPr>
          <w:rFonts w:hint="eastAsia" w:ascii="宋体" w:hAnsi="宋体" w:eastAsia="宋体" w:cs="Times New Roman"/>
          <w:bCs/>
          <w:color w:val="auto"/>
          <w:kern w:val="44"/>
          <w:szCs w:val="21"/>
          <w:highlight w:val="none"/>
          <w:lang w:val="en-US" w:eastAsia="zh-CN" w:bidi="ar-SA"/>
        </w:rPr>
        <w:t>投标人已完成项目及获奖情况</w:t>
      </w:r>
      <w:r>
        <w:rPr>
          <w:color w:val="auto"/>
          <w:highlight w:val="none"/>
        </w:rPr>
        <w:tab/>
      </w:r>
      <w:r>
        <w:rPr>
          <w:color w:val="auto"/>
          <w:highlight w:val="none"/>
        </w:rPr>
        <w:fldChar w:fldCharType="begin"/>
      </w:r>
      <w:r>
        <w:rPr>
          <w:color w:val="auto"/>
          <w:highlight w:val="none"/>
        </w:rPr>
        <w:instrText xml:space="preserve"> PAGEREF _Toc26807 \h </w:instrText>
      </w:r>
      <w:r>
        <w:rPr>
          <w:color w:val="auto"/>
          <w:highlight w:val="none"/>
        </w:rPr>
        <w:fldChar w:fldCharType="separate"/>
      </w:r>
      <w:r>
        <w:rPr>
          <w:color w:val="auto"/>
          <w:highlight w:val="none"/>
        </w:rPr>
        <w:t>96</w:t>
      </w:r>
      <w:r>
        <w:rPr>
          <w:color w:val="auto"/>
          <w:highlight w:val="none"/>
        </w:rPr>
        <w:fldChar w:fldCharType="end"/>
      </w:r>
      <w:r>
        <w:rPr>
          <w:rFonts w:ascii="Times New Roman" w:hAnsi="Times New Roman" w:eastAsia="宋体" w:cs="Times New Roman"/>
          <w:color w:val="auto"/>
          <w:kern w:val="2"/>
          <w:szCs w:val="24"/>
          <w:highlight w:val="none"/>
          <w:lang w:val="en-US" w:eastAsia="zh-CN" w:bidi="ar-SA"/>
        </w:rPr>
        <w:fldChar w:fldCharType="end"/>
      </w:r>
    </w:p>
    <w:p>
      <w:pPr>
        <w:pStyle w:val="9"/>
        <w:tabs>
          <w:tab w:val="right" w:leader="dot" w:pos="9026"/>
        </w:tabs>
        <w:rPr>
          <w:color w:val="auto"/>
          <w:highlight w:val="none"/>
        </w:rPr>
      </w:pPr>
      <w:r>
        <w:rPr>
          <w:rFonts w:ascii="Times New Roman" w:hAnsi="Times New Roman" w:eastAsia="宋体" w:cs="Times New Roman"/>
          <w:color w:val="auto"/>
          <w:kern w:val="2"/>
          <w:szCs w:val="24"/>
          <w:highlight w:val="none"/>
          <w:lang w:val="en-US" w:eastAsia="zh-CN" w:bidi="ar-SA"/>
        </w:rPr>
        <w:fldChar w:fldCharType="begin"/>
      </w:r>
      <w:r>
        <w:rPr>
          <w:rFonts w:ascii="Times New Roman" w:hAnsi="Times New Roman" w:eastAsia="宋体" w:cs="Times New Roman"/>
          <w:color w:val="auto"/>
          <w:kern w:val="2"/>
          <w:szCs w:val="24"/>
          <w:highlight w:val="none"/>
          <w:lang w:val="en-US" w:eastAsia="zh-CN" w:bidi="ar-SA"/>
        </w:rPr>
        <w:instrText xml:space="preserve"> HYPERLINK \l _Toc23616 </w:instrText>
      </w:r>
      <w:r>
        <w:rPr>
          <w:rFonts w:ascii="Times New Roman" w:hAnsi="Times New Roman" w:eastAsia="宋体" w:cs="Times New Roman"/>
          <w:color w:val="auto"/>
          <w:kern w:val="2"/>
          <w:szCs w:val="24"/>
          <w:highlight w:val="none"/>
          <w:lang w:val="en-US" w:eastAsia="zh-CN" w:bidi="ar-SA"/>
        </w:rPr>
        <w:fldChar w:fldCharType="separate"/>
      </w:r>
      <w:r>
        <w:rPr>
          <w:rFonts w:hint="eastAsia" w:ascii="宋体" w:hAnsi="宋体" w:eastAsia="宋体" w:cs="Times New Roman"/>
          <w:bCs/>
          <w:color w:val="auto"/>
          <w:kern w:val="44"/>
          <w:szCs w:val="21"/>
          <w:highlight w:val="none"/>
          <w:lang w:val="en-US" w:eastAsia="zh-CN" w:bidi="ar-SA"/>
        </w:rPr>
        <w:t>附录</w:t>
      </w:r>
      <w:r>
        <w:rPr>
          <w:rFonts w:ascii="宋体" w:hAnsi="宋体" w:eastAsia="宋体" w:cs="Times New Roman"/>
          <w:bCs/>
          <w:color w:val="auto"/>
          <w:kern w:val="44"/>
          <w:szCs w:val="21"/>
          <w:highlight w:val="none"/>
          <w:lang w:val="en-US" w:eastAsia="zh-CN" w:bidi="ar-SA"/>
        </w:rPr>
        <w:t xml:space="preserve">19 </w:t>
      </w:r>
      <w:r>
        <w:rPr>
          <w:rFonts w:ascii="宋体" w:hAnsi="宋体" w:eastAsia="宋体" w:cs="Times New Roman"/>
          <w:bCs/>
          <w:color w:val="auto"/>
          <w:kern w:val="44"/>
          <w:szCs w:val="21"/>
          <w:highlight w:val="none"/>
          <w:lang w:eastAsia="zh-CN" w:bidi="ar-SA"/>
        </w:rPr>
        <w:t>基础资料和</w:t>
      </w:r>
      <w:r>
        <w:rPr>
          <w:rFonts w:hint="eastAsia" w:ascii="宋体" w:hAnsi="宋体" w:eastAsia="宋体" w:cs="Times New Roman"/>
          <w:bCs/>
          <w:color w:val="auto"/>
          <w:kern w:val="44"/>
          <w:szCs w:val="21"/>
          <w:highlight w:val="none"/>
          <w:lang w:val="en-US" w:eastAsia="zh-CN" w:bidi="ar-SA"/>
        </w:rPr>
        <w:t>勘察设计任务书</w:t>
      </w:r>
      <w:r>
        <w:rPr>
          <w:color w:val="auto"/>
          <w:highlight w:val="none"/>
        </w:rPr>
        <w:tab/>
      </w:r>
      <w:r>
        <w:rPr>
          <w:color w:val="auto"/>
          <w:highlight w:val="none"/>
        </w:rPr>
        <w:fldChar w:fldCharType="begin"/>
      </w:r>
      <w:r>
        <w:rPr>
          <w:color w:val="auto"/>
          <w:highlight w:val="none"/>
        </w:rPr>
        <w:instrText xml:space="preserve"> PAGEREF _Toc23616 \h </w:instrText>
      </w:r>
      <w:r>
        <w:rPr>
          <w:color w:val="auto"/>
          <w:highlight w:val="none"/>
        </w:rPr>
        <w:fldChar w:fldCharType="separate"/>
      </w:r>
      <w:r>
        <w:rPr>
          <w:color w:val="auto"/>
          <w:highlight w:val="none"/>
        </w:rPr>
        <w:t>97</w:t>
      </w:r>
      <w:r>
        <w:rPr>
          <w:color w:val="auto"/>
          <w:highlight w:val="none"/>
        </w:rPr>
        <w:fldChar w:fldCharType="end"/>
      </w:r>
      <w:r>
        <w:rPr>
          <w:rFonts w:ascii="Times New Roman" w:hAnsi="Times New Roman" w:eastAsia="宋体" w:cs="Times New Roman"/>
          <w:color w:val="auto"/>
          <w:kern w:val="2"/>
          <w:szCs w:val="24"/>
          <w:highlight w:val="none"/>
          <w:lang w:val="en-US" w:eastAsia="zh-CN" w:bidi="ar-SA"/>
        </w:rPr>
        <w:fldChar w:fldCharType="end"/>
      </w:r>
    </w:p>
    <w:p>
      <w:pPr>
        <w:pStyle w:val="9"/>
        <w:tabs>
          <w:tab w:val="right" w:leader="dot" w:pos="9026"/>
        </w:tabs>
        <w:rPr>
          <w:color w:val="auto"/>
          <w:highlight w:val="none"/>
        </w:rPr>
      </w:pPr>
      <w:r>
        <w:rPr>
          <w:rFonts w:ascii="Times New Roman" w:hAnsi="Times New Roman" w:eastAsia="宋体" w:cs="Times New Roman"/>
          <w:color w:val="auto"/>
          <w:kern w:val="2"/>
          <w:szCs w:val="24"/>
          <w:highlight w:val="none"/>
          <w:lang w:val="en-US" w:eastAsia="zh-CN" w:bidi="ar-SA"/>
        </w:rPr>
        <w:fldChar w:fldCharType="begin"/>
      </w:r>
      <w:r>
        <w:rPr>
          <w:rFonts w:ascii="Times New Roman" w:hAnsi="Times New Roman" w:eastAsia="宋体" w:cs="Times New Roman"/>
          <w:color w:val="auto"/>
          <w:kern w:val="2"/>
          <w:szCs w:val="24"/>
          <w:highlight w:val="none"/>
          <w:lang w:val="en-US" w:eastAsia="zh-CN" w:bidi="ar-SA"/>
        </w:rPr>
        <w:instrText xml:space="preserve"> HYPERLINK \l _Toc27590 </w:instrText>
      </w:r>
      <w:r>
        <w:rPr>
          <w:rFonts w:ascii="Times New Roman" w:hAnsi="Times New Roman" w:eastAsia="宋体" w:cs="Times New Roman"/>
          <w:color w:val="auto"/>
          <w:kern w:val="2"/>
          <w:szCs w:val="24"/>
          <w:highlight w:val="none"/>
          <w:lang w:val="en-US" w:eastAsia="zh-CN" w:bidi="ar-SA"/>
        </w:rPr>
        <w:fldChar w:fldCharType="separate"/>
      </w:r>
      <w:r>
        <w:rPr>
          <w:rFonts w:hint="eastAsia" w:ascii="宋体" w:hAnsi="宋体" w:eastAsia="宋体" w:cs="宋体"/>
          <w:color w:val="auto"/>
          <w:kern w:val="44"/>
          <w:szCs w:val="21"/>
          <w:highlight w:val="none"/>
          <w:lang w:val="en-US" w:eastAsia="zh-CN" w:bidi="ar"/>
        </w:rPr>
        <w:t>附录20</w:t>
      </w:r>
      <w:r>
        <w:rPr>
          <w:rFonts w:hint="eastAsia" w:ascii="宋体" w:hAnsi="宋体" w:eastAsia="宋体" w:cs="Times New Roman"/>
          <w:color w:val="auto"/>
          <w:kern w:val="44"/>
          <w:szCs w:val="21"/>
          <w:highlight w:val="none"/>
          <w:lang w:val="en-US" w:eastAsia="zh-CN" w:bidi="ar"/>
        </w:rPr>
        <w:t xml:space="preserve"> </w:t>
      </w:r>
      <w:r>
        <w:rPr>
          <w:rFonts w:hint="eastAsia" w:ascii="宋体" w:hAnsi="宋体" w:eastAsia="宋体" w:cs="宋体"/>
          <w:color w:val="auto"/>
          <w:kern w:val="44"/>
          <w:szCs w:val="21"/>
          <w:highlight w:val="none"/>
          <w:lang w:val="en-US" w:eastAsia="zh-CN" w:bidi="ar"/>
        </w:rPr>
        <w:t>优胜设计方案奖励协议</w:t>
      </w:r>
      <w:r>
        <w:rPr>
          <w:color w:val="auto"/>
          <w:highlight w:val="none"/>
        </w:rPr>
        <w:tab/>
      </w:r>
      <w:r>
        <w:rPr>
          <w:color w:val="auto"/>
          <w:highlight w:val="none"/>
        </w:rPr>
        <w:fldChar w:fldCharType="begin"/>
      </w:r>
      <w:r>
        <w:rPr>
          <w:color w:val="auto"/>
          <w:highlight w:val="none"/>
        </w:rPr>
        <w:instrText xml:space="preserve"> PAGEREF _Toc27590 \h </w:instrText>
      </w:r>
      <w:r>
        <w:rPr>
          <w:color w:val="auto"/>
          <w:highlight w:val="none"/>
        </w:rPr>
        <w:fldChar w:fldCharType="separate"/>
      </w:r>
      <w:r>
        <w:rPr>
          <w:color w:val="auto"/>
          <w:highlight w:val="none"/>
        </w:rPr>
        <w:t>98</w:t>
      </w:r>
      <w:r>
        <w:rPr>
          <w:color w:val="auto"/>
          <w:highlight w:val="none"/>
        </w:rPr>
        <w:fldChar w:fldCharType="end"/>
      </w:r>
      <w:r>
        <w:rPr>
          <w:rFonts w:ascii="Times New Roman" w:hAnsi="Times New Roman" w:eastAsia="宋体" w:cs="Times New Roman"/>
          <w:color w:val="auto"/>
          <w:kern w:val="2"/>
          <w:szCs w:val="24"/>
          <w:highlight w:val="none"/>
          <w:lang w:val="en-US" w:eastAsia="zh-CN" w:bidi="ar-SA"/>
        </w:rPr>
        <w:fldChar w:fldCharType="end"/>
      </w:r>
    </w:p>
    <w:p>
      <w:pPr>
        <w:pStyle w:val="9"/>
        <w:tabs>
          <w:tab w:val="right" w:leader="dot" w:pos="9026"/>
        </w:tabs>
        <w:rPr>
          <w:color w:val="auto"/>
          <w:highlight w:val="none"/>
        </w:rPr>
      </w:pPr>
      <w:r>
        <w:rPr>
          <w:rFonts w:ascii="Times New Roman" w:hAnsi="Times New Roman" w:eastAsia="宋体" w:cs="Times New Roman"/>
          <w:color w:val="auto"/>
          <w:kern w:val="2"/>
          <w:szCs w:val="24"/>
          <w:highlight w:val="none"/>
          <w:lang w:val="en-US" w:eastAsia="zh-CN" w:bidi="ar-SA"/>
        </w:rPr>
        <w:fldChar w:fldCharType="begin"/>
      </w:r>
      <w:r>
        <w:rPr>
          <w:rFonts w:ascii="Times New Roman" w:hAnsi="Times New Roman" w:eastAsia="宋体" w:cs="Times New Roman"/>
          <w:color w:val="auto"/>
          <w:kern w:val="2"/>
          <w:szCs w:val="24"/>
          <w:highlight w:val="none"/>
          <w:lang w:val="en-US" w:eastAsia="zh-CN" w:bidi="ar-SA"/>
        </w:rPr>
        <w:instrText xml:space="preserve"> HYPERLINK \l _Toc5703 </w:instrText>
      </w:r>
      <w:r>
        <w:rPr>
          <w:rFonts w:ascii="Times New Roman" w:hAnsi="Times New Roman" w:eastAsia="宋体" w:cs="Times New Roman"/>
          <w:color w:val="auto"/>
          <w:kern w:val="2"/>
          <w:szCs w:val="24"/>
          <w:highlight w:val="none"/>
          <w:lang w:val="en-US" w:eastAsia="zh-CN" w:bidi="ar-SA"/>
        </w:rPr>
        <w:fldChar w:fldCharType="separate"/>
      </w:r>
      <w:r>
        <w:rPr>
          <w:rFonts w:hint="eastAsia" w:ascii="宋体" w:hAnsi="宋体" w:eastAsia="宋体" w:cs="宋体"/>
          <w:color w:val="auto"/>
          <w:kern w:val="44"/>
          <w:szCs w:val="21"/>
          <w:highlight w:val="none"/>
          <w:lang w:val="en-US" w:eastAsia="zh-CN" w:bidi="ar"/>
        </w:rPr>
        <w:t>附录21</w:t>
      </w:r>
      <w:r>
        <w:rPr>
          <w:rFonts w:hint="eastAsia" w:ascii="宋体" w:hAnsi="宋体" w:eastAsia="宋体" w:cs="Times New Roman"/>
          <w:color w:val="auto"/>
          <w:kern w:val="44"/>
          <w:szCs w:val="21"/>
          <w:highlight w:val="none"/>
          <w:lang w:val="en-US" w:eastAsia="zh-CN" w:bidi="ar"/>
        </w:rPr>
        <w:t xml:space="preserve"> </w:t>
      </w:r>
      <w:r>
        <w:rPr>
          <w:rFonts w:hint="eastAsia" w:ascii="宋体" w:hAnsi="宋体" w:eastAsia="宋体" w:cs="宋体"/>
          <w:color w:val="auto"/>
          <w:kern w:val="44"/>
          <w:szCs w:val="21"/>
          <w:highlight w:val="none"/>
          <w:lang w:val="en-US" w:eastAsia="zh-CN" w:bidi="ar"/>
        </w:rPr>
        <w:t>评标委员会成员声明</w:t>
      </w:r>
      <w:r>
        <w:rPr>
          <w:color w:val="auto"/>
          <w:highlight w:val="none"/>
        </w:rPr>
        <w:tab/>
      </w:r>
      <w:r>
        <w:rPr>
          <w:color w:val="auto"/>
          <w:highlight w:val="none"/>
        </w:rPr>
        <w:fldChar w:fldCharType="begin"/>
      </w:r>
      <w:r>
        <w:rPr>
          <w:color w:val="auto"/>
          <w:highlight w:val="none"/>
        </w:rPr>
        <w:instrText xml:space="preserve"> PAGEREF _Toc5703 \h </w:instrText>
      </w:r>
      <w:r>
        <w:rPr>
          <w:color w:val="auto"/>
          <w:highlight w:val="none"/>
        </w:rPr>
        <w:fldChar w:fldCharType="separate"/>
      </w:r>
      <w:r>
        <w:rPr>
          <w:color w:val="auto"/>
          <w:highlight w:val="none"/>
        </w:rPr>
        <w:t>110</w:t>
      </w:r>
      <w:r>
        <w:rPr>
          <w:color w:val="auto"/>
          <w:highlight w:val="none"/>
        </w:rPr>
        <w:fldChar w:fldCharType="end"/>
      </w:r>
      <w:r>
        <w:rPr>
          <w:rFonts w:ascii="Times New Roman" w:hAnsi="Times New Roman" w:eastAsia="宋体" w:cs="Times New Roman"/>
          <w:color w:val="auto"/>
          <w:kern w:val="2"/>
          <w:szCs w:val="24"/>
          <w:highlight w:val="none"/>
          <w:lang w:val="en-US" w:eastAsia="zh-CN" w:bidi="ar-SA"/>
        </w:rPr>
        <w:fldChar w:fldCharType="end"/>
      </w:r>
    </w:p>
    <w:p>
      <w:pPr>
        <w:keepNext w:val="0"/>
        <w:keepLines w:val="0"/>
        <w:widowControl w:val="0"/>
        <w:suppressLineNumbers w:val="0"/>
        <w:spacing w:before="0" w:beforeAutospacing="0" w:after="0" w:afterAutospacing="0" w:line="360" w:lineRule="auto"/>
        <w:ind w:left="0" w:right="0"/>
        <w:jc w:val="both"/>
        <w:rPr>
          <w:rFonts w:ascii="Times New Roman" w:hAnsi="Times New Roman" w:eastAsia="宋体" w:cs="Times New Roman"/>
          <w:color w:val="auto"/>
          <w:kern w:val="0"/>
          <w:sz w:val="20"/>
          <w:szCs w:val="24"/>
          <w:highlight w:val="none"/>
          <w:lang w:val="en-US" w:eastAsia="zh-CN" w:bidi="ar-SA"/>
        </w:rPr>
      </w:pPr>
      <w:r>
        <w:rPr>
          <w:rFonts w:ascii="Times New Roman" w:hAnsi="Times New Roman" w:eastAsia="宋体" w:cs="Times New Roman"/>
          <w:color w:val="auto"/>
          <w:kern w:val="2"/>
          <w:szCs w:val="24"/>
          <w:highlight w:val="none"/>
          <w:lang w:val="en-US" w:eastAsia="zh-CN" w:bidi="ar-SA"/>
        </w:rPr>
        <w:fldChar w:fldCharType="end"/>
      </w:r>
      <w:r>
        <w:rPr>
          <w:rFonts w:ascii="Times New Roman" w:hAnsi="Times New Roman" w:eastAsia="宋体" w:cs="Times New Roman"/>
          <w:color w:val="auto"/>
          <w:kern w:val="0"/>
          <w:sz w:val="20"/>
          <w:szCs w:val="20"/>
          <w:highlight w:val="none"/>
          <w:lang w:val="en-US" w:eastAsia="zh-CN" w:bidi="ar-SA"/>
        </w:rPr>
        <w:br w:type="page"/>
      </w:r>
    </w:p>
    <w:p>
      <w:pPr>
        <w:keepNext/>
        <w:keepLines/>
        <w:widowControl w:val="0"/>
        <w:spacing w:before="340" w:after="330" w:line="578" w:lineRule="auto"/>
        <w:jc w:val="center"/>
        <w:outlineLvl w:val="1"/>
        <w:rPr>
          <w:rFonts w:ascii="Times New Roman" w:hAnsi="Times New Roman" w:eastAsia="宋体" w:cs="Times New Roman"/>
          <w:b/>
          <w:bCs/>
          <w:color w:val="auto"/>
          <w:kern w:val="44"/>
          <w:sz w:val="36"/>
          <w:szCs w:val="36"/>
          <w:highlight w:val="none"/>
          <w:lang w:val="en-US" w:eastAsia="zh-CN" w:bidi="ar-SA"/>
        </w:rPr>
      </w:pPr>
      <w:bookmarkStart w:id="11" w:name="_Toc10198"/>
      <w:r>
        <w:rPr>
          <w:rFonts w:hint="eastAsia" w:ascii="Times New Roman" w:hAnsi="Times New Roman" w:eastAsia="宋体" w:cs="Times New Roman"/>
          <w:b/>
          <w:bCs/>
          <w:color w:val="auto"/>
          <w:kern w:val="44"/>
          <w:sz w:val="36"/>
          <w:szCs w:val="36"/>
          <w:highlight w:val="none"/>
          <w:lang w:val="en-US" w:eastAsia="zh-CN" w:bidi="ar-SA"/>
        </w:rPr>
        <w:t>第一章</w:t>
      </w:r>
      <w:r>
        <w:rPr>
          <w:rFonts w:ascii="Times New Roman" w:hAnsi="Times New Roman" w:eastAsia="宋体" w:cs="Times New Roman"/>
          <w:b/>
          <w:bCs/>
          <w:color w:val="auto"/>
          <w:kern w:val="44"/>
          <w:sz w:val="36"/>
          <w:szCs w:val="36"/>
          <w:highlight w:val="none"/>
          <w:lang w:val="en-US" w:eastAsia="zh-CN" w:bidi="ar-SA"/>
        </w:rPr>
        <w:t xml:space="preserve">  </w:t>
      </w:r>
      <w:r>
        <w:rPr>
          <w:rFonts w:hint="eastAsia" w:ascii="Times New Roman" w:hAnsi="Times New Roman" w:eastAsia="宋体" w:cs="Times New Roman"/>
          <w:b/>
          <w:bCs/>
          <w:color w:val="auto"/>
          <w:kern w:val="44"/>
          <w:sz w:val="36"/>
          <w:szCs w:val="36"/>
          <w:highlight w:val="none"/>
          <w:lang w:val="en-US" w:eastAsia="zh-CN" w:bidi="ar-SA"/>
        </w:rPr>
        <w:t>招标公告</w:t>
      </w:r>
      <w:bookmarkEnd w:id="11"/>
    </w:p>
    <w:p>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u w:val="single"/>
          <w:lang w:eastAsia="zh-CN"/>
        </w:rPr>
        <w:t>（另册）</w:t>
      </w:r>
      <w:r>
        <w:rPr>
          <w:rFonts w:ascii="宋体" w:hAnsi="宋体" w:eastAsia="宋体" w:cs="Times New Roman"/>
          <w:color w:val="auto"/>
          <w:szCs w:val="21"/>
          <w:highlight w:val="none"/>
        </w:rPr>
        <w:t xml:space="preserve">   </w:t>
      </w:r>
    </w:p>
    <w:p>
      <w:pPr>
        <w:keepNext/>
        <w:keepLines/>
        <w:spacing w:before="340" w:after="330" w:line="578" w:lineRule="auto"/>
        <w:jc w:val="center"/>
        <w:outlineLvl w:val="1"/>
        <w:rPr>
          <w:rFonts w:ascii="宋体" w:hAnsi="宋体" w:eastAsia="宋体" w:cs="宋体"/>
          <w:bCs/>
          <w:color w:val="auto"/>
          <w:kern w:val="44"/>
          <w:sz w:val="24"/>
          <w:highlight w:val="none"/>
        </w:rPr>
      </w:pPr>
      <w:r>
        <w:rPr>
          <w:rFonts w:ascii="宋体" w:hAnsi="宋体" w:eastAsia="宋体" w:cs="Times New Roman"/>
          <w:b/>
          <w:color w:val="auto"/>
          <w:sz w:val="36"/>
          <w:szCs w:val="36"/>
          <w:highlight w:val="none"/>
        </w:rPr>
        <w:br w:type="page"/>
      </w:r>
      <w:bookmarkStart w:id="12" w:name="_Toc97803958"/>
      <w:bookmarkStart w:id="13" w:name="_Toc23613"/>
      <w:r>
        <w:rPr>
          <w:rFonts w:hint="eastAsia" w:ascii="宋体" w:hAnsi="宋体" w:eastAsia="宋体" w:cs="宋体"/>
          <w:b/>
          <w:bCs/>
          <w:color w:val="auto"/>
          <w:kern w:val="44"/>
          <w:sz w:val="36"/>
          <w:szCs w:val="36"/>
          <w:highlight w:val="none"/>
        </w:rPr>
        <w:t>第二章</w:t>
      </w:r>
      <w:r>
        <w:rPr>
          <w:rFonts w:ascii="宋体" w:hAnsi="宋体" w:eastAsia="宋体" w:cs="宋体"/>
          <w:b/>
          <w:bCs/>
          <w:color w:val="auto"/>
          <w:kern w:val="44"/>
          <w:sz w:val="36"/>
          <w:szCs w:val="36"/>
          <w:highlight w:val="none"/>
        </w:rPr>
        <w:t xml:space="preserve">  </w:t>
      </w:r>
      <w:r>
        <w:rPr>
          <w:rFonts w:hint="eastAsia" w:ascii="宋体" w:hAnsi="宋体" w:eastAsia="宋体" w:cs="宋体"/>
          <w:b/>
          <w:bCs/>
          <w:color w:val="auto"/>
          <w:kern w:val="44"/>
          <w:sz w:val="36"/>
          <w:szCs w:val="36"/>
          <w:highlight w:val="none"/>
        </w:rPr>
        <w:t>招标</w:t>
      </w:r>
      <w:bookmarkStart w:id="14" w:name="_Hlk114498133"/>
      <w:r>
        <w:rPr>
          <w:rFonts w:hint="eastAsia" w:ascii="宋体" w:hAnsi="宋体" w:eastAsia="宋体" w:cs="宋体"/>
          <w:b/>
          <w:bCs/>
          <w:color w:val="auto"/>
          <w:kern w:val="44"/>
          <w:sz w:val="36"/>
          <w:szCs w:val="36"/>
          <w:highlight w:val="none"/>
          <w:u w:val="single"/>
        </w:rPr>
        <w:t>（范本原文）</w:t>
      </w:r>
      <w:bookmarkEnd w:id="12"/>
      <w:bookmarkEnd w:id="13"/>
    </w:p>
    <w:bookmarkEnd w:id="14"/>
    <w:p>
      <w:pPr>
        <w:rPr>
          <w:rFonts w:ascii="宋体" w:hAnsi="宋体" w:eastAsia="宋体" w:cs="宋体"/>
          <w:color w:val="auto"/>
          <w:sz w:val="24"/>
          <w:highlight w:val="none"/>
        </w:rPr>
      </w:pPr>
    </w:p>
    <w:p>
      <w:pPr>
        <w:spacing w:line="360" w:lineRule="auto"/>
        <w:ind w:left="824" w:hanging="820" w:hangingChars="342"/>
        <w:rPr>
          <w:rFonts w:ascii="宋体" w:hAnsi="宋体" w:eastAsia="宋体" w:cs="宋体"/>
          <w:b/>
          <w:color w:val="auto"/>
          <w:sz w:val="24"/>
          <w:highlight w:val="none"/>
        </w:rPr>
      </w:pPr>
      <w:r>
        <w:rPr>
          <w:rFonts w:ascii="宋体" w:hAnsi="宋体" w:eastAsia="宋体" w:cs="宋体"/>
          <w:b/>
          <w:color w:val="auto"/>
          <w:sz w:val="24"/>
          <w:highlight w:val="none"/>
        </w:rPr>
        <w:t xml:space="preserve">2.1    </w:t>
      </w:r>
      <w:r>
        <w:rPr>
          <w:rFonts w:hint="eastAsia" w:ascii="宋体" w:hAnsi="宋体" w:eastAsia="宋体" w:cs="宋体"/>
          <w:b/>
          <w:color w:val="auto"/>
          <w:sz w:val="24"/>
          <w:highlight w:val="none"/>
        </w:rPr>
        <w:t>释义</w:t>
      </w:r>
    </w:p>
    <w:p>
      <w:pPr>
        <w:spacing w:line="360" w:lineRule="auto"/>
        <w:ind w:left="821" w:hanging="820" w:hangingChars="342"/>
        <w:rPr>
          <w:rFonts w:ascii="宋体" w:hAnsi="宋体" w:eastAsia="宋体" w:cs="宋体"/>
          <w:color w:val="auto"/>
          <w:sz w:val="24"/>
          <w:highlight w:val="none"/>
        </w:rPr>
      </w:pPr>
    </w:p>
    <w:p>
      <w:pPr>
        <w:spacing w:line="360" w:lineRule="auto"/>
        <w:ind w:left="821" w:hanging="820" w:hangingChars="342"/>
        <w:rPr>
          <w:rFonts w:ascii="宋体" w:hAnsi="宋体" w:eastAsia="宋体" w:cs="宋体"/>
          <w:color w:val="auto"/>
          <w:sz w:val="24"/>
          <w:highlight w:val="none"/>
        </w:rPr>
      </w:pPr>
      <w:r>
        <w:rPr>
          <w:rFonts w:ascii="宋体" w:hAnsi="宋体" w:eastAsia="宋体" w:cs="宋体"/>
          <w:color w:val="auto"/>
          <w:sz w:val="24"/>
          <w:highlight w:val="none"/>
        </w:rPr>
        <w:t xml:space="preserve">2.1.1  </w:t>
      </w:r>
      <w:r>
        <w:rPr>
          <w:rFonts w:hint="eastAsia" w:ascii="宋体" w:hAnsi="宋体" w:eastAsia="宋体" w:cs="宋体"/>
          <w:color w:val="auto"/>
          <w:sz w:val="24"/>
          <w:highlight w:val="none"/>
        </w:rPr>
        <w:t>“设计”是指根据建设工程的要求，对建设工程所需的技术、经济、资源、环境等条件进行综合分析、论证，编制建设工程设计文件的活动。</w:t>
      </w:r>
    </w:p>
    <w:p>
      <w:pPr>
        <w:spacing w:line="360" w:lineRule="auto"/>
        <w:ind w:left="821" w:hanging="820" w:hangingChars="342"/>
        <w:rPr>
          <w:rFonts w:ascii="宋体" w:hAnsi="宋体" w:eastAsia="宋体" w:cs="宋体"/>
          <w:color w:val="auto"/>
          <w:sz w:val="24"/>
          <w:highlight w:val="none"/>
        </w:rPr>
      </w:pPr>
      <w:r>
        <w:rPr>
          <w:rFonts w:ascii="宋体" w:hAnsi="宋体" w:eastAsia="宋体" w:cs="宋体"/>
          <w:color w:val="auto"/>
          <w:sz w:val="24"/>
          <w:highlight w:val="none"/>
        </w:rPr>
        <w:t xml:space="preserve">2.1.2  </w:t>
      </w:r>
      <w:r>
        <w:rPr>
          <w:rFonts w:hint="eastAsia" w:ascii="宋体" w:hAnsi="宋体" w:eastAsia="宋体" w:cs="宋体"/>
          <w:color w:val="auto"/>
          <w:sz w:val="24"/>
          <w:highlight w:val="none"/>
        </w:rPr>
        <w:t>“勘察”是指根据建设工程的要求，查明、分析、评价建设场地的地质地理环境特征和岩土工程条件，编制建设工程勘察文件的活动。</w:t>
      </w:r>
    </w:p>
    <w:p>
      <w:pPr>
        <w:spacing w:line="360" w:lineRule="auto"/>
        <w:ind w:left="821" w:hanging="820" w:hangingChars="342"/>
        <w:rPr>
          <w:rFonts w:ascii="宋体" w:hAnsi="宋体" w:eastAsia="宋体" w:cs="宋体"/>
          <w:color w:val="auto"/>
          <w:sz w:val="24"/>
          <w:highlight w:val="none"/>
        </w:rPr>
      </w:pPr>
      <w:r>
        <w:rPr>
          <w:rFonts w:ascii="宋体" w:hAnsi="宋体" w:eastAsia="宋体" w:cs="宋体"/>
          <w:color w:val="auto"/>
          <w:sz w:val="24"/>
          <w:highlight w:val="none"/>
        </w:rPr>
        <w:t xml:space="preserve">2.1.3  </w:t>
      </w:r>
      <w:r>
        <w:rPr>
          <w:rFonts w:hint="eastAsia" w:ascii="宋体" w:hAnsi="宋体" w:eastAsia="宋体" w:cs="宋体"/>
          <w:color w:val="auto"/>
          <w:sz w:val="24"/>
          <w:highlight w:val="none"/>
        </w:rPr>
        <w:t>“招标”是指发包人通过建设工程的勘察、设计等方案招标，将工程相应的任务发包给符合勘察设计资质条件的建设工程承包单位的行为。</w:t>
      </w:r>
    </w:p>
    <w:p>
      <w:pPr>
        <w:spacing w:line="360" w:lineRule="auto"/>
        <w:ind w:left="821" w:hanging="820" w:hangingChars="342"/>
        <w:rPr>
          <w:rFonts w:ascii="宋体" w:hAnsi="宋体" w:eastAsia="宋体" w:cs="宋体"/>
          <w:color w:val="auto"/>
          <w:sz w:val="24"/>
          <w:highlight w:val="none"/>
        </w:rPr>
      </w:pPr>
      <w:r>
        <w:rPr>
          <w:rFonts w:ascii="宋体" w:hAnsi="宋体" w:eastAsia="宋体" w:cs="宋体"/>
          <w:color w:val="auto"/>
          <w:sz w:val="24"/>
          <w:highlight w:val="none"/>
        </w:rPr>
        <w:t xml:space="preserve">2.1.4  </w:t>
      </w:r>
      <w:r>
        <w:rPr>
          <w:rFonts w:hint="eastAsia" w:ascii="宋体" w:hAnsi="宋体" w:eastAsia="宋体" w:cs="宋体"/>
          <w:color w:val="auto"/>
          <w:sz w:val="24"/>
          <w:highlight w:val="none"/>
        </w:rPr>
        <w:t>“招标人”是指提出招标项目、进行招标的法人或者其他组织。</w:t>
      </w:r>
    </w:p>
    <w:p>
      <w:pPr>
        <w:spacing w:line="360" w:lineRule="auto"/>
        <w:ind w:left="821" w:hanging="820" w:hangingChars="342"/>
        <w:rPr>
          <w:rFonts w:ascii="宋体" w:hAnsi="宋体" w:eastAsia="宋体" w:cs="宋体"/>
          <w:color w:val="auto"/>
          <w:sz w:val="24"/>
          <w:highlight w:val="none"/>
        </w:rPr>
      </w:pPr>
      <w:r>
        <w:rPr>
          <w:rFonts w:ascii="宋体" w:hAnsi="宋体" w:eastAsia="宋体" w:cs="宋体"/>
          <w:color w:val="auto"/>
          <w:sz w:val="24"/>
          <w:highlight w:val="none"/>
        </w:rPr>
        <w:t xml:space="preserve">2.1.5  </w:t>
      </w:r>
      <w:r>
        <w:rPr>
          <w:rFonts w:hint="eastAsia" w:ascii="宋体" w:hAnsi="宋体" w:eastAsia="宋体" w:cs="宋体"/>
          <w:color w:val="auto"/>
          <w:sz w:val="24"/>
          <w:highlight w:val="none"/>
        </w:rPr>
        <w:t>“招标代理机构”是指从事招标代理业务并提供相关服务的社会中介组织。</w:t>
      </w:r>
    </w:p>
    <w:p>
      <w:pPr>
        <w:spacing w:line="360" w:lineRule="auto"/>
        <w:ind w:left="821" w:hanging="820" w:hangingChars="342"/>
        <w:rPr>
          <w:rFonts w:ascii="宋体" w:hAnsi="宋体" w:eastAsia="宋体" w:cs="宋体"/>
          <w:color w:val="auto"/>
          <w:sz w:val="24"/>
          <w:highlight w:val="none"/>
        </w:rPr>
      </w:pPr>
      <w:r>
        <w:rPr>
          <w:rFonts w:ascii="宋体" w:hAnsi="宋体" w:eastAsia="宋体" w:cs="宋体"/>
          <w:color w:val="auto"/>
          <w:sz w:val="24"/>
          <w:highlight w:val="none"/>
        </w:rPr>
        <w:t xml:space="preserve">2.1.6  </w:t>
      </w:r>
      <w:r>
        <w:rPr>
          <w:rFonts w:hint="eastAsia" w:ascii="宋体" w:hAnsi="宋体" w:eastAsia="宋体" w:cs="宋体"/>
          <w:color w:val="auto"/>
          <w:sz w:val="24"/>
          <w:highlight w:val="none"/>
        </w:rPr>
        <w:t>“投标人”是指响应招标、参加投标竞争的法人或者其他组织。</w:t>
      </w:r>
    </w:p>
    <w:p>
      <w:pPr>
        <w:spacing w:line="360" w:lineRule="auto"/>
        <w:ind w:left="821" w:hanging="820" w:hangingChars="342"/>
        <w:rPr>
          <w:rFonts w:ascii="宋体" w:hAnsi="宋体" w:eastAsia="宋体" w:cs="宋体"/>
          <w:color w:val="auto"/>
          <w:sz w:val="24"/>
          <w:highlight w:val="none"/>
        </w:rPr>
      </w:pPr>
      <w:r>
        <w:rPr>
          <w:rFonts w:ascii="宋体" w:hAnsi="宋体" w:eastAsia="宋体" w:cs="宋体"/>
          <w:color w:val="auto"/>
          <w:sz w:val="24"/>
          <w:highlight w:val="none"/>
        </w:rPr>
        <w:t xml:space="preserve">2.1.7  </w:t>
      </w:r>
      <w:r>
        <w:rPr>
          <w:rFonts w:hint="eastAsia" w:ascii="宋体" w:hAnsi="宋体" w:eastAsia="宋体" w:cs="宋体"/>
          <w:color w:val="auto"/>
          <w:sz w:val="24"/>
          <w:highlight w:val="none"/>
        </w:rPr>
        <w:t>“监督机构”是指招标活动的监督机构。</w:t>
      </w:r>
    </w:p>
    <w:p>
      <w:pPr>
        <w:spacing w:line="360" w:lineRule="auto"/>
        <w:ind w:left="821" w:hanging="820" w:hangingChars="342"/>
        <w:rPr>
          <w:rFonts w:ascii="宋体" w:hAnsi="宋体" w:eastAsia="宋体" w:cs="宋体"/>
          <w:color w:val="auto"/>
          <w:sz w:val="24"/>
          <w:highlight w:val="none"/>
        </w:rPr>
      </w:pPr>
      <w:r>
        <w:rPr>
          <w:rFonts w:ascii="宋体" w:hAnsi="宋体" w:eastAsia="宋体" w:cs="宋体"/>
          <w:color w:val="auto"/>
          <w:sz w:val="24"/>
          <w:highlight w:val="none"/>
        </w:rPr>
        <w:t xml:space="preserve">2.1.8 </w:t>
      </w:r>
      <w:r>
        <w:rPr>
          <w:rFonts w:hint="eastAsia" w:ascii="宋体" w:hAnsi="宋体" w:eastAsia="宋体" w:cs="宋体"/>
          <w:color w:val="auto"/>
          <w:sz w:val="24"/>
          <w:highlight w:val="none"/>
        </w:rPr>
        <w:t>“招标管理机构”是指受监督机构委托管理招标活动的机构。</w:t>
      </w:r>
    </w:p>
    <w:p>
      <w:pPr>
        <w:spacing w:line="360" w:lineRule="auto"/>
        <w:ind w:left="821" w:hanging="820" w:hangingChars="342"/>
        <w:rPr>
          <w:rFonts w:ascii="宋体" w:hAnsi="宋体" w:eastAsia="宋体" w:cs="宋体"/>
          <w:color w:val="auto"/>
          <w:sz w:val="24"/>
          <w:highlight w:val="none"/>
        </w:rPr>
      </w:pPr>
      <w:r>
        <w:rPr>
          <w:rFonts w:ascii="宋体" w:hAnsi="宋体" w:eastAsia="宋体" w:cs="宋体"/>
          <w:color w:val="auto"/>
          <w:sz w:val="24"/>
          <w:highlight w:val="none"/>
        </w:rPr>
        <w:t xml:space="preserve">2.1.9 </w:t>
      </w:r>
      <w:r>
        <w:rPr>
          <w:rFonts w:hint="eastAsia" w:ascii="宋体" w:hAnsi="宋体" w:eastAsia="宋体" w:cs="宋体"/>
          <w:color w:val="auto"/>
          <w:sz w:val="24"/>
          <w:highlight w:val="none"/>
        </w:rPr>
        <w:t>“交易服务机构”是指为招标人和投标人提供场所、信息和咨询服务，见证招标过程，确认中标通知书的服务机构。</w:t>
      </w:r>
    </w:p>
    <w:p>
      <w:pPr>
        <w:spacing w:line="360" w:lineRule="auto"/>
        <w:ind w:left="821" w:hanging="820" w:hangingChars="342"/>
        <w:rPr>
          <w:rFonts w:ascii="宋体" w:hAnsi="宋体" w:eastAsia="宋体" w:cs="宋体"/>
          <w:color w:val="auto"/>
          <w:sz w:val="24"/>
          <w:highlight w:val="none"/>
        </w:rPr>
      </w:pPr>
      <w:r>
        <w:rPr>
          <w:rFonts w:ascii="宋体" w:hAnsi="宋体" w:eastAsia="宋体" w:cs="宋体"/>
          <w:color w:val="auto"/>
          <w:sz w:val="24"/>
          <w:highlight w:val="none"/>
        </w:rPr>
        <w:t xml:space="preserve">2.1.10 </w:t>
      </w:r>
      <w:r>
        <w:rPr>
          <w:rFonts w:hint="eastAsia" w:ascii="宋体" w:hAnsi="宋体" w:eastAsia="宋体" w:cs="宋体"/>
          <w:color w:val="auto"/>
          <w:sz w:val="24"/>
          <w:highlight w:val="none"/>
        </w:rPr>
        <w:t>“招标文件”是指招标人（招标代理机构）发出的包括招标预告、招标公告、招标程序和规则、技术规范、合同条件、附件、图表、说明、投资立项批准文件、建设用地批准文件及其它一切补充资料的书面文件和电子文件。</w:t>
      </w:r>
    </w:p>
    <w:p>
      <w:pPr>
        <w:spacing w:line="360" w:lineRule="auto"/>
        <w:rPr>
          <w:rFonts w:ascii="宋体" w:hAnsi="宋体" w:eastAsia="宋体" w:cs="宋体"/>
          <w:color w:val="auto"/>
          <w:sz w:val="24"/>
          <w:highlight w:val="none"/>
        </w:rPr>
      </w:pPr>
    </w:p>
    <w:p>
      <w:pPr>
        <w:spacing w:line="360" w:lineRule="auto"/>
        <w:jc w:val="left"/>
        <w:rPr>
          <w:rFonts w:ascii="宋体" w:hAnsi="宋体" w:eastAsia="宋体" w:cs="宋体"/>
          <w:b/>
          <w:bCs/>
          <w:color w:val="auto"/>
          <w:sz w:val="24"/>
          <w:highlight w:val="none"/>
        </w:rPr>
      </w:pPr>
      <w:r>
        <w:rPr>
          <w:rFonts w:ascii="宋体" w:hAnsi="宋体" w:eastAsia="宋体" w:cs="宋体"/>
          <w:b/>
          <w:bCs/>
          <w:color w:val="auto"/>
          <w:sz w:val="24"/>
          <w:highlight w:val="none"/>
        </w:rPr>
        <w:t xml:space="preserve">2.2    </w:t>
      </w:r>
      <w:r>
        <w:rPr>
          <w:rFonts w:hint="eastAsia" w:ascii="宋体" w:hAnsi="宋体" w:eastAsia="宋体" w:cs="宋体"/>
          <w:b/>
          <w:bCs/>
          <w:color w:val="auto"/>
          <w:sz w:val="24"/>
          <w:highlight w:val="none"/>
        </w:rPr>
        <w:t>免责条款</w:t>
      </w:r>
    </w:p>
    <w:p>
      <w:pPr>
        <w:spacing w:line="360" w:lineRule="auto"/>
        <w:rPr>
          <w:rFonts w:ascii="宋体" w:hAnsi="宋体" w:eastAsia="宋体" w:cs="宋体"/>
          <w:color w:val="auto"/>
          <w:sz w:val="24"/>
          <w:highlight w:val="none"/>
        </w:rPr>
      </w:pPr>
    </w:p>
    <w:p>
      <w:pPr>
        <w:spacing w:line="360" w:lineRule="auto"/>
        <w:ind w:left="821" w:hanging="820" w:hangingChars="342"/>
        <w:jc w:val="left"/>
        <w:rPr>
          <w:rFonts w:ascii="宋体" w:hAnsi="宋体" w:eastAsia="宋体" w:cs="宋体"/>
          <w:color w:val="auto"/>
          <w:sz w:val="24"/>
          <w:highlight w:val="none"/>
        </w:rPr>
      </w:pPr>
      <w:r>
        <w:rPr>
          <w:rFonts w:ascii="宋体" w:hAnsi="宋体" w:eastAsia="宋体" w:cs="宋体"/>
          <w:color w:val="auto"/>
          <w:sz w:val="24"/>
          <w:highlight w:val="none"/>
        </w:rPr>
        <w:t xml:space="preserve">2.2.1  </w:t>
      </w:r>
      <w:r>
        <w:rPr>
          <w:rFonts w:hint="eastAsia" w:ascii="宋体" w:hAnsi="宋体" w:eastAsia="宋体" w:cs="宋体"/>
          <w:color w:val="auto"/>
          <w:sz w:val="24"/>
          <w:highlight w:val="none"/>
        </w:rPr>
        <w:t>招标文件的解释权归招标人所有，招标人有权在法律允许范围内调整本次招标活动的细节及保留最终解释权。</w:t>
      </w:r>
    </w:p>
    <w:p>
      <w:pPr>
        <w:spacing w:line="360" w:lineRule="auto"/>
        <w:ind w:left="821" w:hanging="820" w:hangingChars="342"/>
        <w:jc w:val="left"/>
        <w:rPr>
          <w:rFonts w:ascii="宋体" w:hAnsi="宋体" w:eastAsia="宋体" w:cs="宋体"/>
          <w:color w:val="auto"/>
          <w:sz w:val="24"/>
          <w:highlight w:val="none"/>
        </w:rPr>
      </w:pPr>
      <w:r>
        <w:rPr>
          <w:rFonts w:ascii="宋体" w:hAnsi="宋体" w:eastAsia="宋体" w:cs="宋体"/>
          <w:color w:val="auto"/>
          <w:sz w:val="24"/>
          <w:highlight w:val="none"/>
        </w:rPr>
        <w:t xml:space="preserve">2.2.2  </w:t>
      </w:r>
      <w:r>
        <w:rPr>
          <w:rFonts w:hint="eastAsia" w:ascii="宋体" w:hAnsi="宋体" w:eastAsia="宋体" w:cs="宋体"/>
          <w:color w:val="auto"/>
          <w:sz w:val="24"/>
          <w:highlight w:val="none"/>
        </w:rPr>
        <w:t>招标人不受将合同授予任何投标人的约束，招标人有权接受任何一份投标文件的全部或部分内容。</w:t>
      </w:r>
    </w:p>
    <w:p>
      <w:pPr>
        <w:spacing w:line="360" w:lineRule="auto"/>
        <w:ind w:left="821" w:hanging="820" w:hangingChars="342"/>
        <w:jc w:val="left"/>
        <w:rPr>
          <w:rFonts w:ascii="宋体" w:hAnsi="宋体" w:eastAsia="宋体" w:cs="宋体"/>
          <w:color w:val="auto"/>
          <w:sz w:val="24"/>
          <w:highlight w:val="none"/>
        </w:rPr>
      </w:pPr>
      <w:r>
        <w:rPr>
          <w:rFonts w:ascii="宋体" w:hAnsi="宋体" w:eastAsia="宋体" w:cs="宋体"/>
          <w:color w:val="auto"/>
          <w:sz w:val="24"/>
          <w:highlight w:val="none"/>
        </w:rPr>
        <w:t xml:space="preserve">2.2.3  </w:t>
      </w:r>
      <w:r>
        <w:rPr>
          <w:rFonts w:hint="eastAsia" w:ascii="宋体" w:hAnsi="宋体" w:eastAsia="宋体" w:cs="宋体"/>
          <w:color w:val="auto"/>
          <w:sz w:val="24"/>
          <w:highlight w:val="none"/>
        </w:rPr>
        <w:t>招标人向投标人提供的资料和数据，是招标人现有的能使投标人利用的资料，招标人对投标人由此而作出的推论、理解和结论概不负责。</w:t>
      </w:r>
    </w:p>
    <w:p>
      <w:pPr>
        <w:spacing w:line="360" w:lineRule="auto"/>
        <w:ind w:left="821" w:hanging="820" w:hangingChars="342"/>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 xml:space="preserve">2.2.4  </w:t>
      </w:r>
      <w:r>
        <w:rPr>
          <w:rFonts w:hint="eastAsia" w:ascii="宋体" w:hAnsi="宋体" w:eastAsia="宋体" w:cs="宋体"/>
          <w:color w:val="auto"/>
          <w:kern w:val="0"/>
          <w:sz w:val="24"/>
          <w:highlight w:val="none"/>
        </w:rPr>
        <w:t>投标人应承担其现场考察、编制和提交投标文件有关的一切费用、损害和人身伤亡事故责任，不管投标结果如何，招标人对上述费用不负任何责任。</w:t>
      </w:r>
    </w:p>
    <w:p>
      <w:pPr>
        <w:spacing w:line="360" w:lineRule="auto"/>
        <w:ind w:left="821" w:hanging="820" w:hangingChars="342"/>
        <w:rPr>
          <w:rFonts w:ascii="宋体" w:hAnsi="宋体" w:eastAsia="宋体" w:cs="宋体"/>
          <w:color w:val="auto"/>
          <w:sz w:val="24"/>
          <w:highlight w:val="none"/>
        </w:rPr>
      </w:pPr>
      <w:r>
        <w:rPr>
          <w:rFonts w:ascii="宋体" w:hAnsi="宋体" w:eastAsia="宋体" w:cs="宋体"/>
          <w:color w:val="auto"/>
          <w:sz w:val="24"/>
          <w:highlight w:val="none"/>
        </w:rPr>
        <w:t xml:space="preserve">2.2.5  </w:t>
      </w:r>
      <w:r>
        <w:rPr>
          <w:rFonts w:hint="eastAsia" w:ascii="宋体" w:hAnsi="宋体" w:eastAsia="宋体" w:cs="宋体"/>
          <w:color w:val="auto"/>
          <w:sz w:val="24"/>
          <w:highlight w:val="none"/>
        </w:rPr>
        <w:t>招标人对投标人的失误不负任何责任，投标人应指定一名投标事务负责人，专门负责跟踪、接收、阅读和理解招标文件及随后收到的有关资料，向招标人发出质疑，检查投标文件，协助有关人员尽力克服各种投标失误。</w:t>
      </w:r>
    </w:p>
    <w:p>
      <w:pPr>
        <w:spacing w:line="360" w:lineRule="auto"/>
        <w:ind w:left="821" w:hanging="820" w:hangingChars="342"/>
        <w:jc w:val="left"/>
        <w:rPr>
          <w:rFonts w:ascii="宋体" w:hAnsi="宋体" w:eastAsia="宋体" w:cs="宋体"/>
          <w:color w:val="auto"/>
          <w:sz w:val="24"/>
          <w:highlight w:val="none"/>
        </w:rPr>
      </w:pPr>
      <w:r>
        <w:rPr>
          <w:rFonts w:ascii="宋体" w:hAnsi="宋体" w:eastAsia="宋体" w:cs="宋体"/>
          <w:color w:val="auto"/>
          <w:sz w:val="24"/>
          <w:highlight w:val="none"/>
        </w:rPr>
        <w:t xml:space="preserve">2.2.6  </w:t>
      </w:r>
      <w:r>
        <w:rPr>
          <w:rFonts w:hint="eastAsia" w:ascii="宋体" w:hAnsi="宋体" w:eastAsia="宋体" w:cs="宋体"/>
          <w:color w:val="auto"/>
          <w:sz w:val="24"/>
          <w:highlight w:val="none"/>
        </w:rPr>
        <w:t>评标委员会成员应承担其参加评标有关的一切费用、损害和人身伤亡事故责任，招标人除提供评标酬金和差旅费用外，对其他费用不负任何责任。</w:t>
      </w:r>
    </w:p>
    <w:p>
      <w:pPr>
        <w:spacing w:line="360" w:lineRule="auto"/>
        <w:ind w:left="821" w:hanging="820" w:hangingChars="342"/>
        <w:rPr>
          <w:rFonts w:ascii="宋体" w:hAnsi="宋体" w:eastAsia="宋体" w:cs="宋体"/>
          <w:color w:val="auto"/>
          <w:sz w:val="24"/>
          <w:highlight w:val="none"/>
        </w:rPr>
      </w:pPr>
      <w:r>
        <w:rPr>
          <w:rFonts w:ascii="宋体" w:hAnsi="宋体" w:eastAsia="宋体" w:cs="宋体"/>
          <w:color w:val="auto"/>
          <w:sz w:val="24"/>
          <w:highlight w:val="none"/>
        </w:rPr>
        <w:t xml:space="preserve">2.2.7  </w:t>
      </w:r>
      <w:r>
        <w:rPr>
          <w:rFonts w:hint="eastAsia" w:ascii="宋体" w:hAnsi="宋体" w:eastAsia="宋体" w:cs="宋体"/>
          <w:color w:val="auto"/>
          <w:sz w:val="24"/>
          <w:highlight w:val="none"/>
        </w:rPr>
        <w:t>如果投标人实质上不符合投标资格，即使已购买招标文件、参加投标并缴纳各种费用，招标人可以随时取消其投标或中标资格，招标人对该投标人的一切损失不负任何责任。</w:t>
      </w:r>
    </w:p>
    <w:p>
      <w:pPr>
        <w:spacing w:line="360" w:lineRule="auto"/>
        <w:ind w:left="821" w:hanging="820" w:hangingChars="342"/>
        <w:rPr>
          <w:rFonts w:ascii="宋体" w:hAnsi="宋体" w:eastAsia="宋体" w:cs="宋体"/>
          <w:color w:val="auto"/>
          <w:sz w:val="24"/>
          <w:highlight w:val="none"/>
        </w:rPr>
      </w:pPr>
    </w:p>
    <w:p>
      <w:pPr>
        <w:spacing w:line="360" w:lineRule="auto"/>
        <w:rPr>
          <w:rFonts w:ascii="宋体" w:hAnsi="宋体" w:eastAsia="宋体" w:cs="宋体"/>
          <w:b/>
          <w:color w:val="auto"/>
          <w:sz w:val="24"/>
          <w:highlight w:val="none"/>
        </w:rPr>
      </w:pPr>
      <w:r>
        <w:rPr>
          <w:rFonts w:ascii="宋体" w:hAnsi="宋体" w:eastAsia="宋体" w:cs="宋体"/>
          <w:b/>
          <w:color w:val="auto"/>
          <w:sz w:val="24"/>
          <w:highlight w:val="none"/>
        </w:rPr>
        <w:t xml:space="preserve">2.3    </w:t>
      </w:r>
      <w:r>
        <w:rPr>
          <w:rFonts w:hint="eastAsia" w:ascii="宋体" w:hAnsi="宋体" w:eastAsia="宋体" w:cs="宋体"/>
          <w:b/>
          <w:color w:val="auto"/>
          <w:sz w:val="24"/>
          <w:highlight w:val="none"/>
        </w:rPr>
        <w:t>招标文件效力</w:t>
      </w:r>
    </w:p>
    <w:p>
      <w:pPr>
        <w:spacing w:line="360" w:lineRule="auto"/>
        <w:rPr>
          <w:rFonts w:ascii="宋体" w:hAnsi="宋体" w:eastAsia="宋体" w:cs="宋体"/>
          <w:color w:val="auto"/>
          <w:sz w:val="24"/>
          <w:highlight w:val="none"/>
        </w:rPr>
      </w:pPr>
    </w:p>
    <w:p>
      <w:pPr>
        <w:spacing w:line="360" w:lineRule="auto"/>
        <w:ind w:left="821" w:hanging="820" w:hangingChars="342"/>
        <w:jc w:val="left"/>
        <w:rPr>
          <w:rFonts w:ascii="宋体" w:hAnsi="宋体" w:eastAsia="宋体" w:cs="宋体"/>
          <w:color w:val="auto"/>
          <w:sz w:val="24"/>
          <w:highlight w:val="none"/>
        </w:rPr>
      </w:pPr>
      <w:r>
        <w:rPr>
          <w:rFonts w:ascii="宋体" w:hAnsi="宋体" w:eastAsia="宋体" w:cs="宋体"/>
          <w:color w:val="auto"/>
          <w:sz w:val="24"/>
          <w:highlight w:val="none"/>
        </w:rPr>
        <w:t xml:space="preserve">2.3.1  </w:t>
      </w:r>
      <w:r>
        <w:rPr>
          <w:rFonts w:hint="eastAsia" w:ascii="宋体" w:hAnsi="宋体" w:eastAsia="宋体" w:cs="宋体"/>
          <w:color w:val="auto"/>
          <w:sz w:val="24"/>
          <w:highlight w:val="none"/>
        </w:rPr>
        <w:t>招标文件是招标人发出的要约寻求，投标人参加投标均视为承认招标公告、招标文件及附件的所有条款</w:t>
      </w:r>
      <w:r>
        <w:rPr>
          <w:rFonts w:ascii="宋体" w:hAnsi="宋体" w:eastAsia="宋体" w:cs="宋体"/>
          <w:color w:val="auto"/>
          <w:sz w:val="24"/>
          <w:highlight w:val="none"/>
        </w:rPr>
        <w:t>,并承诺一旦中标将按招标文件、投标文件、合同条款、技术规范要求的质量和进度完成全部委托任务。</w:t>
      </w:r>
    </w:p>
    <w:p>
      <w:pPr>
        <w:spacing w:line="360" w:lineRule="auto"/>
        <w:ind w:left="821" w:hanging="820" w:hangingChars="342"/>
        <w:rPr>
          <w:rFonts w:ascii="宋体" w:hAnsi="宋体" w:eastAsia="宋体" w:cs="宋体"/>
          <w:color w:val="auto"/>
          <w:sz w:val="24"/>
          <w:highlight w:val="none"/>
        </w:rPr>
      </w:pPr>
      <w:r>
        <w:rPr>
          <w:rFonts w:ascii="宋体" w:hAnsi="宋体" w:eastAsia="宋体" w:cs="宋体"/>
          <w:color w:val="auto"/>
          <w:sz w:val="24"/>
          <w:highlight w:val="none"/>
        </w:rPr>
        <w:t xml:space="preserve">2.3.2  </w:t>
      </w:r>
      <w:r>
        <w:rPr>
          <w:rFonts w:hint="eastAsia" w:ascii="宋体" w:hAnsi="宋体" w:eastAsia="宋体" w:cs="宋体"/>
          <w:color w:val="auto"/>
          <w:sz w:val="24"/>
          <w:highlight w:val="none"/>
        </w:rPr>
        <w:t>招标人或招标代理机构与投标人之间使用电子邮箱传送的文件，与公开登载的文件或者盖章发出的文件一样具有同等效力。</w:t>
      </w:r>
    </w:p>
    <w:p>
      <w:pPr>
        <w:spacing w:line="360" w:lineRule="auto"/>
        <w:ind w:left="850" w:hanging="849" w:hangingChars="354"/>
        <w:rPr>
          <w:rFonts w:ascii="宋体" w:hAnsi="宋体" w:eastAsia="宋体" w:cs="宋体"/>
          <w:color w:val="auto"/>
          <w:sz w:val="24"/>
          <w:highlight w:val="none"/>
        </w:rPr>
      </w:pPr>
      <w:r>
        <w:rPr>
          <w:rFonts w:ascii="宋体" w:hAnsi="宋体" w:eastAsia="宋体" w:cs="宋体"/>
          <w:color w:val="auto"/>
          <w:sz w:val="24"/>
          <w:highlight w:val="none"/>
        </w:rPr>
        <w:t xml:space="preserve">2.3.3  </w:t>
      </w:r>
      <w:r>
        <w:rPr>
          <w:rFonts w:hint="eastAsia" w:ascii="宋体" w:hAnsi="宋体" w:eastAsia="宋体" w:cs="宋体"/>
          <w:color w:val="auto"/>
          <w:sz w:val="24"/>
          <w:highlight w:val="none"/>
        </w:rPr>
        <w:t>招标人通过交易服务机构公开登载的文件，与盖章发出的文件一样具有同等效力。</w:t>
      </w:r>
    </w:p>
    <w:p>
      <w:pPr>
        <w:keepNext/>
        <w:keepLines/>
        <w:spacing w:before="340" w:after="330" w:line="578" w:lineRule="auto"/>
        <w:jc w:val="center"/>
        <w:outlineLvl w:val="1"/>
        <w:rPr>
          <w:rFonts w:ascii="宋体" w:hAnsi="宋体" w:eastAsia="宋体" w:cs="宋体"/>
          <w:bCs/>
          <w:color w:val="auto"/>
          <w:kern w:val="44"/>
          <w:sz w:val="24"/>
          <w:highlight w:val="none"/>
        </w:rPr>
      </w:pPr>
      <w:r>
        <w:rPr>
          <w:rFonts w:ascii="宋体" w:hAnsi="宋体" w:eastAsia="宋体" w:cs="宋体"/>
          <w:b/>
          <w:bCs/>
          <w:color w:val="auto"/>
          <w:kern w:val="44"/>
          <w:sz w:val="24"/>
          <w:highlight w:val="none"/>
        </w:rPr>
        <w:br w:type="page"/>
      </w:r>
      <w:bookmarkStart w:id="15" w:name="_Toc97803959"/>
      <w:bookmarkStart w:id="16" w:name="_Toc32498"/>
      <w:r>
        <w:rPr>
          <w:rFonts w:hint="eastAsia" w:ascii="宋体" w:hAnsi="宋体" w:eastAsia="宋体" w:cs="宋体"/>
          <w:b/>
          <w:bCs/>
          <w:color w:val="auto"/>
          <w:kern w:val="44"/>
          <w:sz w:val="36"/>
          <w:szCs w:val="36"/>
          <w:highlight w:val="none"/>
        </w:rPr>
        <w:t>第三章</w:t>
      </w:r>
      <w:r>
        <w:rPr>
          <w:rFonts w:ascii="宋体" w:hAnsi="宋体" w:eastAsia="宋体" w:cs="宋体"/>
          <w:b/>
          <w:bCs/>
          <w:color w:val="auto"/>
          <w:kern w:val="44"/>
          <w:sz w:val="36"/>
          <w:szCs w:val="36"/>
          <w:highlight w:val="none"/>
        </w:rPr>
        <w:t xml:space="preserve">  </w:t>
      </w:r>
      <w:r>
        <w:rPr>
          <w:rFonts w:hint="eastAsia" w:ascii="宋体" w:hAnsi="宋体" w:eastAsia="宋体" w:cs="宋体"/>
          <w:b/>
          <w:bCs/>
          <w:color w:val="auto"/>
          <w:kern w:val="44"/>
          <w:sz w:val="36"/>
          <w:szCs w:val="36"/>
          <w:highlight w:val="none"/>
        </w:rPr>
        <w:t>投标</w:t>
      </w:r>
      <w:bookmarkEnd w:id="15"/>
      <w:r>
        <w:rPr>
          <w:rFonts w:hint="eastAsia" w:ascii="宋体" w:hAnsi="宋体" w:eastAsia="宋体" w:cs="宋体"/>
          <w:b/>
          <w:bCs/>
          <w:color w:val="auto"/>
          <w:kern w:val="44"/>
          <w:sz w:val="36"/>
          <w:szCs w:val="36"/>
          <w:highlight w:val="none"/>
          <w:u w:val="single"/>
        </w:rPr>
        <w:t>（范本原文）</w:t>
      </w:r>
      <w:bookmarkEnd w:id="16"/>
    </w:p>
    <w:p>
      <w:pPr>
        <w:spacing w:line="360" w:lineRule="auto"/>
        <w:ind w:left="850" w:hanging="849" w:hangingChars="354"/>
        <w:rPr>
          <w:rFonts w:ascii="宋体" w:hAnsi="宋体" w:eastAsia="宋体" w:cs="宋体"/>
          <w:color w:val="auto"/>
          <w:sz w:val="24"/>
          <w:highlight w:val="none"/>
        </w:rPr>
      </w:pPr>
    </w:p>
    <w:p>
      <w:pPr>
        <w:spacing w:line="360" w:lineRule="auto"/>
        <w:ind w:left="853" w:hanging="849" w:hangingChars="354"/>
        <w:jc w:val="left"/>
        <w:rPr>
          <w:rFonts w:ascii="宋体" w:hAnsi="宋体" w:eastAsia="宋体" w:cs="宋体"/>
          <w:b/>
          <w:color w:val="auto"/>
          <w:sz w:val="24"/>
          <w:highlight w:val="none"/>
        </w:rPr>
      </w:pPr>
      <w:r>
        <w:rPr>
          <w:rFonts w:ascii="宋体" w:hAnsi="宋体" w:eastAsia="宋体" w:cs="宋体"/>
          <w:b/>
          <w:color w:val="auto"/>
          <w:sz w:val="24"/>
          <w:highlight w:val="none"/>
        </w:rPr>
        <w:t xml:space="preserve">3.1    </w:t>
      </w:r>
      <w:r>
        <w:rPr>
          <w:rFonts w:hint="eastAsia" w:ascii="宋体" w:hAnsi="宋体" w:eastAsia="宋体" w:cs="宋体"/>
          <w:b/>
          <w:color w:val="auto"/>
          <w:sz w:val="24"/>
          <w:highlight w:val="none"/>
        </w:rPr>
        <w:t>现场考察</w:t>
      </w:r>
    </w:p>
    <w:p>
      <w:pPr>
        <w:spacing w:line="360" w:lineRule="auto"/>
        <w:ind w:left="850" w:hanging="849" w:hangingChars="354"/>
        <w:jc w:val="left"/>
        <w:rPr>
          <w:rFonts w:ascii="宋体" w:hAnsi="宋体" w:eastAsia="宋体" w:cs="宋体"/>
          <w:color w:val="auto"/>
          <w:sz w:val="24"/>
          <w:highlight w:val="none"/>
        </w:rPr>
      </w:pPr>
    </w:p>
    <w:p>
      <w:pPr>
        <w:spacing w:line="360" w:lineRule="auto"/>
        <w:ind w:left="850" w:hanging="849" w:hangingChars="354"/>
        <w:jc w:val="left"/>
        <w:rPr>
          <w:rFonts w:ascii="宋体" w:hAnsi="宋体" w:eastAsia="宋体" w:cs="宋体"/>
          <w:color w:val="auto"/>
          <w:sz w:val="24"/>
          <w:highlight w:val="none"/>
        </w:rPr>
      </w:pPr>
      <w:r>
        <w:rPr>
          <w:rFonts w:ascii="宋体" w:hAnsi="宋体" w:eastAsia="宋体" w:cs="宋体"/>
          <w:color w:val="auto"/>
          <w:sz w:val="24"/>
          <w:highlight w:val="none"/>
        </w:rPr>
        <w:t xml:space="preserve">3.1.1  </w:t>
      </w:r>
      <w:r>
        <w:rPr>
          <w:rFonts w:hint="eastAsia" w:ascii="宋体" w:hAnsi="宋体" w:eastAsia="宋体" w:cs="宋体"/>
          <w:color w:val="auto"/>
          <w:sz w:val="24"/>
          <w:highlight w:val="none"/>
        </w:rPr>
        <w:t>招标人安排投标人代表对工程现场进行考察，目的是使每个投标人查看现场并获得编制投标文件所需要的一切资料。</w:t>
      </w:r>
    </w:p>
    <w:p>
      <w:pPr>
        <w:spacing w:line="360" w:lineRule="auto"/>
        <w:ind w:left="850" w:hanging="849" w:hangingChars="354"/>
        <w:jc w:val="left"/>
        <w:rPr>
          <w:rFonts w:ascii="宋体" w:hAnsi="宋体" w:eastAsia="宋体" w:cs="宋体"/>
          <w:color w:val="auto"/>
          <w:sz w:val="24"/>
          <w:highlight w:val="none"/>
        </w:rPr>
      </w:pPr>
      <w:r>
        <w:rPr>
          <w:rFonts w:ascii="宋体" w:hAnsi="宋体" w:eastAsia="宋体" w:cs="宋体"/>
          <w:color w:val="auto"/>
          <w:sz w:val="24"/>
          <w:highlight w:val="none"/>
        </w:rPr>
        <w:t xml:space="preserve">3.1.2  </w:t>
      </w:r>
      <w:r>
        <w:rPr>
          <w:rFonts w:hint="eastAsia" w:ascii="宋体" w:hAnsi="宋体" w:eastAsia="宋体" w:cs="宋体"/>
          <w:color w:val="auto"/>
          <w:sz w:val="24"/>
          <w:highlight w:val="none"/>
        </w:rPr>
        <w:t>每个投标人参加现场考察的人数不宜超过</w:t>
      </w:r>
      <w:r>
        <w:rPr>
          <w:rFonts w:ascii="宋体" w:hAnsi="宋体" w:eastAsia="宋体" w:cs="宋体"/>
          <w:color w:val="auto"/>
          <w:sz w:val="24"/>
          <w:highlight w:val="none"/>
        </w:rPr>
        <w:t>3人，外国投标人代表应自带中文翻译。</w:t>
      </w:r>
    </w:p>
    <w:p>
      <w:pPr>
        <w:spacing w:line="360" w:lineRule="auto"/>
        <w:ind w:left="850" w:hanging="849" w:hangingChars="354"/>
        <w:jc w:val="left"/>
        <w:rPr>
          <w:rFonts w:ascii="宋体" w:hAnsi="宋体" w:eastAsia="宋体" w:cs="宋体"/>
          <w:color w:val="auto"/>
          <w:sz w:val="24"/>
          <w:highlight w:val="none"/>
        </w:rPr>
      </w:pPr>
      <w:r>
        <w:rPr>
          <w:rFonts w:ascii="宋体" w:hAnsi="宋体" w:eastAsia="宋体" w:cs="宋体"/>
          <w:color w:val="auto"/>
          <w:sz w:val="24"/>
          <w:highlight w:val="none"/>
        </w:rPr>
        <w:t xml:space="preserve">3.1.3  </w:t>
      </w:r>
      <w:r>
        <w:rPr>
          <w:rFonts w:hint="eastAsia" w:ascii="宋体" w:hAnsi="宋体" w:eastAsia="宋体" w:cs="宋体"/>
          <w:color w:val="auto"/>
          <w:sz w:val="24"/>
          <w:highlight w:val="none"/>
        </w:rPr>
        <w:t>现场考察期间招标人将召开一次会议，接受投标人代表的提问。</w:t>
      </w:r>
    </w:p>
    <w:p>
      <w:pPr>
        <w:spacing w:line="360" w:lineRule="auto"/>
        <w:ind w:left="850" w:hanging="849" w:hangingChars="354"/>
        <w:jc w:val="left"/>
        <w:rPr>
          <w:rFonts w:ascii="宋体" w:hAnsi="宋体" w:eastAsia="宋体" w:cs="宋体"/>
          <w:color w:val="auto"/>
          <w:sz w:val="24"/>
          <w:highlight w:val="none"/>
        </w:rPr>
      </w:pPr>
    </w:p>
    <w:p>
      <w:pPr>
        <w:spacing w:line="360" w:lineRule="auto"/>
        <w:ind w:left="853" w:hanging="849" w:hangingChars="354"/>
        <w:rPr>
          <w:rFonts w:ascii="宋体" w:hAnsi="宋体" w:eastAsia="宋体" w:cs="宋体"/>
          <w:color w:val="auto"/>
          <w:sz w:val="24"/>
          <w:highlight w:val="none"/>
        </w:rPr>
      </w:pPr>
      <w:r>
        <w:rPr>
          <w:rFonts w:ascii="宋体" w:hAnsi="宋体" w:eastAsia="宋体" w:cs="宋体"/>
          <w:b/>
          <w:bCs/>
          <w:color w:val="auto"/>
          <w:sz w:val="24"/>
          <w:highlight w:val="none"/>
        </w:rPr>
        <w:t xml:space="preserve">3.2    </w:t>
      </w:r>
      <w:r>
        <w:rPr>
          <w:rFonts w:hint="eastAsia" w:ascii="宋体" w:hAnsi="宋体" w:eastAsia="宋体" w:cs="宋体"/>
          <w:b/>
          <w:bCs/>
          <w:color w:val="auto"/>
          <w:sz w:val="24"/>
          <w:highlight w:val="none"/>
        </w:rPr>
        <w:t>质疑和澄清</w:t>
      </w:r>
    </w:p>
    <w:p>
      <w:pPr>
        <w:spacing w:line="360" w:lineRule="auto"/>
        <w:ind w:left="850" w:hanging="849" w:hangingChars="354"/>
        <w:jc w:val="left"/>
        <w:rPr>
          <w:rFonts w:ascii="宋体" w:hAnsi="宋体" w:eastAsia="宋体" w:cs="宋体"/>
          <w:color w:val="auto"/>
          <w:sz w:val="24"/>
          <w:highlight w:val="none"/>
        </w:rPr>
      </w:pPr>
    </w:p>
    <w:p>
      <w:pPr>
        <w:spacing w:line="360" w:lineRule="auto"/>
        <w:ind w:left="850" w:hanging="849" w:hangingChars="354"/>
        <w:jc w:val="left"/>
        <w:rPr>
          <w:rFonts w:ascii="宋体" w:hAnsi="宋体" w:eastAsia="宋体" w:cs="宋体"/>
          <w:color w:val="auto"/>
          <w:sz w:val="24"/>
          <w:highlight w:val="none"/>
        </w:rPr>
      </w:pPr>
      <w:r>
        <w:rPr>
          <w:rFonts w:ascii="宋体" w:hAnsi="宋体" w:eastAsia="宋体" w:cs="宋体"/>
          <w:color w:val="auto"/>
          <w:sz w:val="24"/>
          <w:highlight w:val="none"/>
        </w:rPr>
        <w:t xml:space="preserve">3.2.1  </w:t>
      </w:r>
      <w:r>
        <w:rPr>
          <w:rFonts w:hint="eastAsia" w:ascii="宋体" w:hAnsi="宋体" w:eastAsia="宋体" w:cs="宋体"/>
          <w:color w:val="auto"/>
          <w:sz w:val="24"/>
          <w:highlight w:val="none"/>
        </w:rPr>
        <w:t>投标人应认真审阅招标文件和有关资料，尽力澄清一切疑点，对工程现场和周围环境进行勘察，以获取编制投标文件和签署合同所需的所有资料。</w:t>
      </w:r>
    </w:p>
    <w:p>
      <w:pPr>
        <w:spacing w:line="360" w:lineRule="auto"/>
        <w:ind w:left="850" w:hanging="849" w:hangingChars="354"/>
        <w:jc w:val="left"/>
        <w:rPr>
          <w:rFonts w:ascii="宋体" w:hAnsi="宋体" w:eastAsia="宋体" w:cs="宋体"/>
          <w:color w:val="auto"/>
          <w:sz w:val="24"/>
          <w:highlight w:val="none"/>
        </w:rPr>
      </w:pPr>
      <w:r>
        <w:rPr>
          <w:rFonts w:ascii="宋体" w:hAnsi="宋体" w:eastAsia="宋体" w:cs="宋体"/>
          <w:color w:val="auto"/>
          <w:sz w:val="24"/>
          <w:highlight w:val="none"/>
        </w:rPr>
        <w:t xml:space="preserve">3.2.2  </w:t>
      </w:r>
      <w:r>
        <w:rPr>
          <w:rFonts w:hint="eastAsia" w:ascii="宋体" w:hAnsi="宋体" w:eastAsia="宋体" w:cs="宋体"/>
          <w:color w:val="auto"/>
          <w:sz w:val="24"/>
          <w:highlight w:val="none"/>
        </w:rPr>
        <w:t>投标人和其他利害关系人如对招标文件及随后收到的有关资料有任何异议的，应当在投标截止时间</w:t>
      </w:r>
      <w:r>
        <w:rPr>
          <w:rFonts w:ascii="宋体" w:hAnsi="宋体" w:eastAsia="宋体" w:cs="宋体"/>
          <w:color w:val="auto"/>
          <w:sz w:val="24"/>
          <w:highlight w:val="none"/>
        </w:rPr>
        <w:t>10日前向招标人提出。招标人应当自收到异议之日起3日内作出答复；作出答复前，应当暂停招标投标活动。</w:t>
      </w:r>
    </w:p>
    <w:p>
      <w:pPr>
        <w:spacing w:line="360" w:lineRule="auto"/>
        <w:ind w:left="850" w:hanging="849" w:hangingChars="354"/>
        <w:rPr>
          <w:rFonts w:ascii="宋体" w:hAnsi="宋体" w:eastAsia="宋体" w:cs="宋体"/>
          <w:color w:val="auto"/>
          <w:sz w:val="24"/>
          <w:highlight w:val="none"/>
        </w:rPr>
      </w:pPr>
      <w:r>
        <w:rPr>
          <w:rFonts w:ascii="宋体" w:hAnsi="宋体" w:eastAsia="宋体" w:cs="宋体"/>
          <w:color w:val="auto"/>
          <w:sz w:val="24"/>
          <w:highlight w:val="none"/>
        </w:rPr>
        <w:t xml:space="preserve">3.2.3  </w:t>
      </w:r>
      <w:r>
        <w:rPr>
          <w:rFonts w:hint="eastAsia" w:ascii="宋体" w:hAnsi="宋体" w:eastAsia="宋体" w:cs="宋体"/>
          <w:color w:val="auto"/>
          <w:sz w:val="24"/>
          <w:highlight w:val="none"/>
        </w:rPr>
        <w:t>投标人需要澄清的问题应在规定的时间内，按交易平台的操作指引上传至交易平台网站。招标人应在递交投标文件截止时间</w:t>
      </w:r>
      <w:r>
        <w:rPr>
          <w:rFonts w:ascii="宋体" w:hAnsi="宋体" w:eastAsia="宋体" w:cs="宋体"/>
          <w:color w:val="auto"/>
          <w:sz w:val="24"/>
          <w:highlight w:val="none"/>
        </w:rPr>
        <w:t>15日前解答投标人对招标文件提出的疑问，形成澄清或答疑纪要在交易平台发布。不足15日的，招标人应当顺延投标文件的截止时间。</w:t>
      </w:r>
    </w:p>
    <w:p>
      <w:pPr>
        <w:spacing w:line="360" w:lineRule="auto"/>
        <w:ind w:left="850" w:hanging="849" w:hangingChars="354"/>
        <w:jc w:val="left"/>
        <w:rPr>
          <w:rFonts w:ascii="宋体" w:hAnsi="宋体" w:eastAsia="宋体" w:cs="宋体"/>
          <w:color w:val="auto"/>
          <w:sz w:val="24"/>
          <w:highlight w:val="none"/>
        </w:rPr>
      </w:pPr>
      <w:r>
        <w:rPr>
          <w:rFonts w:ascii="宋体" w:hAnsi="宋体" w:eastAsia="宋体" w:cs="宋体"/>
          <w:color w:val="auto"/>
          <w:sz w:val="24"/>
          <w:highlight w:val="none"/>
        </w:rPr>
        <w:t xml:space="preserve">3.2.4  </w:t>
      </w:r>
      <w:r>
        <w:rPr>
          <w:rFonts w:hint="eastAsia" w:ascii="宋体" w:hAnsi="宋体" w:eastAsia="宋体" w:cs="宋体"/>
          <w:color w:val="auto"/>
          <w:sz w:val="24"/>
          <w:highlight w:val="none"/>
        </w:rPr>
        <w:t>澄清或答疑纪要是招标文件的组成部分，对投标人起约束作用。若招标答疑纪要或澄清与招标文件有矛盾时，以交易平台网站最后发布的答疑纪要或澄清为准。</w:t>
      </w:r>
    </w:p>
    <w:p>
      <w:pPr>
        <w:spacing w:line="360" w:lineRule="auto"/>
        <w:ind w:left="850" w:hanging="849" w:hangingChars="354"/>
        <w:jc w:val="left"/>
        <w:rPr>
          <w:rFonts w:ascii="宋体" w:hAnsi="宋体" w:eastAsia="宋体" w:cs="宋体"/>
          <w:color w:val="auto"/>
          <w:sz w:val="24"/>
          <w:highlight w:val="none"/>
        </w:rPr>
      </w:pPr>
      <w:r>
        <w:rPr>
          <w:rFonts w:ascii="宋体" w:hAnsi="宋体" w:eastAsia="宋体" w:cs="宋体"/>
          <w:color w:val="auto"/>
          <w:sz w:val="24"/>
          <w:highlight w:val="none"/>
        </w:rPr>
        <w:t xml:space="preserve">3.2.5  </w:t>
      </w:r>
      <w:r>
        <w:rPr>
          <w:rFonts w:hint="eastAsia" w:ascii="宋体" w:hAnsi="宋体" w:eastAsia="宋体" w:cs="宋体"/>
          <w:color w:val="auto"/>
          <w:sz w:val="24"/>
          <w:highlight w:val="none"/>
        </w:rPr>
        <w:t>网上答疑的具体操作详见交易平台发布的相关操作指引。</w:t>
      </w:r>
    </w:p>
    <w:p>
      <w:pPr>
        <w:spacing w:line="360" w:lineRule="auto"/>
        <w:ind w:left="850" w:hanging="849" w:hangingChars="354"/>
        <w:rPr>
          <w:rFonts w:ascii="宋体" w:hAnsi="宋体" w:eastAsia="宋体" w:cs="宋体"/>
          <w:color w:val="auto"/>
          <w:sz w:val="24"/>
          <w:highlight w:val="none"/>
        </w:rPr>
      </w:pPr>
    </w:p>
    <w:p>
      <w:pPr>
        <w:spacing w:line="360" w:lineRule="auto"/>
        <w:ind w:left="853" w:hanging="849" w:hangingChars="354"/>
        <w:rPr>
          <w:rFonts w:ascii="宋体" w:hAnsi="宋体" w:eastAsia="宋体" w:cs="宋体"/>
          <w:color w:val="auto"/>
          <w:sz w:val="24"/>
          <w:highlight w:val="none"/>
        </w:rPr>
      </w:pPr>
      <w:r>
        <w:rPr>
          <w:rFonts w:ascii="宋体" w:hAnsi="宋体" w:eastAsia="宋体" w:cs="宋体"/>
          <w:b/>
          <w:bCs/>
          <w:color w:val="auto"/>
          <w:sz w:val="24"/>
          <w:highlight w:val="none"/>
        </w:rPr>
        <w:t xml:space="preserve">3.3    </w:t>
      </w:r>
      <w:r>
        <w:rPr>
          <w:rFonts w:hint="eastAsia" w:ascii="宋体" w:hAnsi="宋体" w:eastAsia="宋体" w:cs="宋体"/>
          <w:b/>
          <w:bCs/>
          <w:color w:val="auto"/>
          <w:sz w:val="24"/>
          <w:highlight w:val="none"/>
        </w:rPr>
        <w:t>投标文件编制要求</w:t>
      </w:r>
    </w:p>
    <w:p>
      <w:pPr>
        <w:spacing w:line="360" w:lineRule="auto"/>
        <w:ind w:left="850" w:hanging="849" w:hangingChars="354"/>
        <w:rPr>
          <w:rFonts w:ascii="宋体" w:hAnsi="宋体" w:eastAsia="宋体" w:cs="宋体"/>
          <w:color w:val="auto"/>
          <w:sz w:val="24"/>
          <w:highlight w:val="none"/>
        </w:rPr>
      </w:pPr>
    </w:p>
    <w:p>
      <w:pPr>
        <w:spacing w:line="360" w:lineRule="auto"/>
        <w:ind w:left="850" w:hanging="849" w:hangingChars="354"/>
        <w:rPr>
          <w:rFonts w:ascii="宋体" w:hAnsi="宋体" w:eastAsia="宋体" w:cs="宋体"/>
          <w:color w:val="auto"/>
          <w:sz w:val="24"/>
          <w:highlight w:val="none"/>
        </w:rPr>
      </w:pPr>
      <w:r>
        <w:rPr>
          <w:rFonts w:ascii="宋体" w:hAnsi="宋体" w:eastAsia="宋体" w:cs="宋体"/>
          <w:color w:val="auto"/>
          <w:sz w:val="24"/>
          <w:highlight w:val="none"/>
        </w:rPr>
        <w:t xml:space="preserve">3.3.1  </w:t>
      </w:r>
      <w:r>
        <w:rPr>
          <w:rFonts w:hint="eastAsia" w:ascii="宋体" w:hAnsi="宋体" w:eastAsia="宋体" w:cs="宋体"/>
          <w:color w:val="auto"/>
          <w:sz w:val="24"/>
          <w:highlight w:val="none"/>
        </w:rPr>
        <w:t>投标文件应做到清晰、完整，文本、图纸文件大小应满足交易平台的要求。除非另有规定，否则投标文件的计量单位宜采用国际标准计量单位，尺寸齐全、准确，所有文字说明和文字标注以中文为准，报价均为人民币，时间均为北京时间。</w:t>
      </w:r>
    </w:p>
    <w:p>
      <w:pPr>
        <w:spacing w:line="360" w:lineRule="auto"/>
        <w:ind w:left="850" w:hanging="849" w:hangingChars="354"/>
        <w:rPr>
          <w:rFonts w:ascii="宋体" w:hAnsi="宋体" w:eastAsia="宋体" w:cs="宋体"/>
          <w:color w:val="auto"/>
          <w:sz w:val="24"/>
          <w:highlight w:val="none"/>
        </w:rPr>
      </w:pPr>
      <w:r>
        <w:rPr>
          <w:rFonts w:ascii="宋体" w:hAnsi="宋体" w:eastAsia="宋体" w:cs="宋体"/>
          <w:color w:val="auto"/>
          <w:sz w:val="24"/>
          <w:highlight w:val="none"/>
        </w:rPr>
        <w:t xml:space="preserve">3.3.2  </w:t>
      </w:r>
      <w:r>
        <w:rPr>
          <w:rFonts w:hint="eastAsia" w:ascii="宋体" w:hAnsi="宋体" w:eastAsia="宋体" w:cs="宋体"/>
          <w:color w:val="auto"/>
          <w:sz w:val="24"/>
          <w:highlight w:val="none"/>
        </w:rPr>
        <w:t>每个投标人报送一个投标方案，投标文件应达到招标文件规定的深度，满足评审需要。不响应招标文件要求的投标文件可能被拒绝，责任由投标人自负。</w:t>
      </w:r>
    </w:p>
    <w:p>
      <w:pPr>
        <w:spacing w:line="360" w:lineRule="auto"/>
        <w:ind w:left="850" w:hanging="849" w:hangingChars="354"/>
        <w:jc w:val="left"/>
        <w:rPr>
          <w:rFonts w:ascii="宋体" w:hAnsi="宋体" w:eastAsia="宋体" w:cs="宋体"/>
          <w:color w:val="auto"/>
          <w:kern w:val="0"/>
          <w:sz w:val="24"/>
          <w:highlight w:val="none"/>
        </w:rPr>
      </w:pPr>
      <w:r>
        <w:rPr>
          <w:rFonts w:ascii="宋体" w:hAnsi="宋体" w:eastAsia="宋体" w:cs="宋体"/>
          <w:color w:val="auto"/>
          <w:sz w:val="24"/>
          <w:highlight w:val="none"/>
        </w:rPr>
        <w:t xml:space="preserve">3.3.3  </w:t>
      </w:r>
      <w:r>
        <w:rPr>
          <w:rFonts w:hint="eastAsia" w:ascii="宋体" w:hAnsi="宋体" w:eastAsia="宋体" w:cs="宋体"/>
          <w:color w:val="auto"/>
          <w:sz w:val="24"/>
          <w:highlight w:val="none"/>
        </w:rPr>
        <w:t>投标文件全部采用电子文档，投标文件所附证书证件均为原件扫描件或电子证书，并采用单位数字证书，按招标文件要求在相应位置加盖电子印章，投标文件中需个人签字或盖章的，应手签后扫描上传，具体操作详见交易平台发布的相关操作指引。</w:t>
      </w:r>
    </w:p>
    <w:p>
      <w:pPr>
        <w:spacing w:line="360" w:lineRule="auto"/>
        <w:ind w:left="850" w:hanging="849" w:hangingChars="354"/>
        <w:rPr>
          <w:rFonts w:ascii="宋体" w:hAnsi="宋体" w:eastAsia="宋体" w:cs="宋体"/>
          <w:color w:val="auto"/>
          <w:sz w:val="24"/>
          <w:highlight w:val="none"/>
        </w:rPr>
      </w:pPr>
      <w:r>
        <w:rPr>
          <w:rFonts w:ascii="宋体" w:hAnsi="宋体" w:eastAsia="宋体" w:cs="宋体"/>
          <w:color w:val="auto"/>
          <w:sz w:val="24"/>
          <w:highlight w:val="none"/>
        </w:rPr>
        <w:t xml:space="preserve">3.3.4  </w:t>
      </w:r>
      <w:r>
        <w:rPr>
          <w:rFonts w:hint="eastAsia" w:ascii="宋体" w:hAnsi="宋体" w:eastAsia="宋体" w:cs="宋体"/>
          <w:color w:val="auto"/>
          <w:sz w:val="24"/>
          <w:highlight w:val="none"/>
        </w:rPr>
        <w:t>投标文件加密要求</w:t>
      </w:r>
    </w:p>
    <w:p>
      <w:pPr>
        <w:spacing w:line="360" w:lineRule="auto"/>
        <w:ind w:left="850" w:hanging="849" w:hangingChars="354"/>
        <w:rPr>
          <w:rFonts w:ascii="宋体" w:hAnsi="宋体" w:eastAsia="宋体" w:cs="宋体"/>
          <w:color w:val="auto"/>
          <w:sz w:val="24"/>
          <w:highlight w:val="none"/>
        </w:rPr>
      </w:pPr>
      <w:r>
        <w:rPr>
          <w:rFonts w:ascii="宋体" w:hAnsi="宋体" w:eastAsia="宋体" w:cs="宋体"/>
          <w:color w:val="auto"/>
          <w:sz w:val="24"/>
          <w:highlight w:val="none"/>
        </w:rPr>
        <w:t>3.3.4.1递交的电子投标文件必须进行加密。具体操作详见交易平台发布的相关操作指引。</w:t>
      </w:r>
    </w:p>
    <w:p>
      <w:pPr>
        <w:spacing w:line="360" w:lineRule="auto"/>
        <w:ind w:left="850" w:hanging="849" w:hangingChars="354"/>
        <w:rPr>
          <w:rFonts w:ascii="宋体" w:hAnsi="宋体" w:eastAsia="宋体" w:cs="宋体"/>
          <w:color w:val="auto"/>
          <w:sz w:val="24"/>
          <w:highlight w:val="none"/>
        </w:rPr>
      </w:pPr>
      <w:r>
        <w:rPr>
          <w:rFonts w:ascii="宋体" w:hAnsi="宋体" w:eastAsia="宋体" w:cs="宋体"/>
          <w:color w:val="auto"/>
          <w:sz w:val="24"/>
          <w:highlight w:val="none"/>
        </w:rPr>
        <w:t xml:space="preserve">3.3.4.2 </w:t>
      </w:r>
      <w:r>
        <w:rPr>
          <w:rFonts w:hint="eastAsia" w:ascii="宋体" w:hAnsi="宋体" w:eastAsia="宋体" w:cs="宋体"/>
          <w:color w:val="auto"/>
          <w:sz w:val="24"/>
          <w:highlight w:val="none"/>
        </w:rPr>
        <w:t>未按要求加密的投标文件，交易平台将予以拒收。</w:t>
      </w:r>
    </w:p>
    <w:p>
      <w:pPr>
        <w:spacing w:line="360" w:lineRule="auto"/>
        <w:ind w:left="850" w:hanging="849" w:hangingChars="354"/>
        <w:rPr>
          <w:rFonts w:ascii="宋体" w:hAnsi="宋体" w:eastAsia="宋体" w:cs="宋体"/>
          <w:color w:val="auto"/>
          <w:sz w:val="24"/>
          <w:highlight w:val="none"/>
        </w:rPr>
      </w:pPr>
    </w:p>
    <w:p>
      <w:pPr>
        <w:spacing w:line="360" w:lineRule="auto"/>
        <w:ind w:left="853" w:hanging="849" w:hangingChars="354"/>
        <w:rPr>
          <w:rFonts w:ascii="宋体" w:hAnsi="宋体" w:eastAsia="宋体" w:cs="宋体"/>
          <w:b/>
          <w:bCs/>
          <w:color w:val="auto"/>
          <w:kern w:val="0"/>
          <w:sz w:val="24"/>
          <w:highlight w:val="none"/>
        </w:rPr>
      </w:pPr>
      <w:r>
        <w:rPr>
          <w:rFonts w:ascii="宋体" w:hAnsi="宋体" w:eastAsia="宋体" w:cs="宋体"/>
          <w:b/>
          <w:bCs/>
          <w:color w:val="auto"/>
          <w:kern w:val="0"/>
          <w:sz w:val="24"/>
          <w:highlight w:val="none"/>
        </w:rPr>
        <w:t xml:space="preserve">3.4    </w:t>
      </w:r>
      <w:r>
        <w:rPr>
          <w:rFonts w:hint="eastAsia" w:ascii="宋体" w:hAnsi="宋体" w:eastAsia="宋体" w:cs="宋体"/>
          <w:b/>
          <w:bCs/>
          <w:color w:val="auto"/>
          <w:kern w:val="0"/>
          <w:sz w:val="24"/>
          <w:highlight w:val="none"/>
        </w:rPr>
        <w:t>延期</w:t>
      </w:r>
    </w:p>
    <w:p>
      <w:pPr>
        <w:spacing w:line="360" w:lineRule="auto"/>
        <w:ind w:left="850" w:hanging="849" w:hangingChars="354"/>
        <w:rPr>
          <w:rFonts w:ascii="宋体" w:hAnsi="宋体" w:eastAsia="宋体" w:cs="宋体"/>
          <w:color w:val="auto"/>
          <w:sz w:val="24"/>
          <w:highlight w:val="none"/>
        </w:rPr>
      </w:pPr>
    </w:p>
    <w:p>
      <w:pPr>
        <w:spacing w:line="360" w:lineRule="auto"/>
        <w:ind w:left="850" w:hanging="849" w:hangingChars="354"/>
        <w:rPr>
          <w:rFonts w:ascii="宋体" w:hAnsi="宋体" w:eastAsia="宋体" w:cs="宋体"/>
          <w:color w:val="auto"/>
          <w:kern w:val="0"/>
          <w:sz w:val="24"/>
          <w:highlight w:val="none"/>
        </w:rPr>
      </w:pPr>
      <w:r>
        <w:rPr>
          <w:rFonts w:ascii="宋体" w:hAnsi="宋体" w:eastAsia="宋体" w:cs="宋体"/>
          <w:color w:val="auto"/>
          <w:kern w:val="0"/>
          <w:sz w:val="24"/>
          <w:highlight w:val="none"/>
        </w:rPr>
        <w:t xml:space="preserve">3.4.1  </w:t>
      </w:r>
      <w:r>
        <w:rPr>
          <w:rFonts w:hint="eastAsia" w:ascii="宋体" w:hAnsi="宋体" w:eastAsia="宋体" w:cs="宋体"/>
          <w:color w:val="auto"/>
          <w:kern w:val="0"/>
          <w:sz w:val="24"/>
          <w:highlight w:val="none"/>
        </w:rPr>
        <w:t>如果招标过程出现监督机构、招标管理机构要求暂停、重新评标等意外情形，招标投标各项期限相应延长。</w:t>
      </w:r>
    </w:p>
    <w:p>
      <w:pPr>
        <w:spacing w:line="360" w:lineRule="auto"/>
        <w:ind w:left="850" w:hanging="849" w:hangingChars="354"/>
        <w:jc w:val="left"/>
        <w:rPr>
          <w:rFonts w:ascii="宋体" w:hAnsi="宋体" w:eastAsia="宋体" w:cs="宋体"/>
          <w:color w:val="auto"/>
          <w:sz w:val="24"/>
          <w:highlight w:val="none"/>
        </w:rPr>
      </w:pPr>
      <w:r>
        <w:rPr>
          <w:rFonts w:ascii="宋体" w:hAnsi="宋体" w:eastAsia="宋体" w:cs="宋体"/>
          <w:color w:val="auto"/>
          <w:sz w:val="24"/>
          <w:highlight w:val="none"/>
        </w:rPr>
        <w:t xml:space="preserve">3.4.2  </w:t>
      </w:r>
      <w:r>
        <w:rPr>
          <w:rFonts w:hint="eastAsia" w:ascii="宋体" w:hAnsi="宋体" w:eastAsia="宋体" w:cs="宋体"/>
          <w:color w:val="auto"/>
          <w:sz w:val="24"/>
          <w:highlight w:val="none"/>
        </w:rPr>
        <w:t>为使投标人在编制投标文件时把</w:t>
      </w:r>
      <w:r>
        <w:rPr>
          <w:rFonts w:hint="eastAsia" w:ascii="宋体" w:hAnsi="宋体" w:eastAsia="宋体" w:cs="宋体"/>
          <w:color w:val="auto"/>
          <w:kern w:val="0"/>
          <w:sz w:val="24"/>
          <w:highlight w:val="none"/>
        </w:rPr>
        <w:t>招标人对招标文件的澄清、修改和</w:t>
      </w:r>
      <w:r>
        <w:rPr>
          <w:rFonts w:hint="eastAsia" w:ascii="宋体" w:hAnsi="宋体" w:eastAsia="宋体" w:cs="宋体"/>
          <w:color w:val="auto"/>
          <w:sz w:val="24"/>
          <w:highlight w:val="none"/>
        </w:rPr>
        <w:t>补充内容考虑进去，招标人可以酌情延长提交投标文件的截止日期。</w:t>
      </w:r>
    </w:p>
    <w:p>
      <w:pPr>
        <w:spacing w:line="360" w:lineRule="auto"/>
        <w:ind w:left="850" w:hanging="849" w:hangingChars="354"/>
        <w:rPr>
          <w:rFonts w:ascii="宋体" w:hAnsi="宋体" w:eastAsia="宋体" w:cs="宋体"/>
          <w:color w:val="auto"/>
          <w:kern w:val="0"/>
          <w:sz w:val="24"/>
          <w:highlight w:val="none"/>
        </w:rPr>
      </w:pPr>
      <w:r>
        <w:rPr>
          <w:rFonts w:ascii="宋体" w:hAnsi="宋体" w:eastAsia="宋体" w:cs="宋体"/>
          <w:color w:val="auto"/>
          <w:kern w:val="0"/>
          <w:sz w:val="24"/>
          <w:highlight w:val="none"/>
        </w:rPr>
        <w:t xml:space="preserve">3.4.3  </w:t>
      </w:r>
      <w:r>
        <w:rPr>
          <w:rFonts w:hint="eastAsia" w:ascii="宋体" w:hAnsi="宋体" w:eastAsia="宋体" w:cs="宋体"/>
          <w:color w:val="auto"/>
          <w:kern w:val="0"/>
          <w:sz w:val="24"/>
          <w:highlight w:val="none"/>
        </w:rPr>
        <w:t>某几个投标人因无法控制的原因不能如期提交投标文件，影响到提交投标文件的人数少于三人，招标人可以决定展延截止日期。延长提交投标文件截标日期和截止时间的决定由招标人作出。</w:t>
      </w:r>
    </w:p>
    <w:p>
      <w:pPr>
        <w:spacing w:line="360" w:lineRule="auto"/>
        <w:ind w:left="850" w:hanging="849" w:hangingChars="354"/>
        <w:rPr>
          <w:rFonts w:ascii="宋体" w:hAnsi="宋体" w:eastAsia="宋体" w:cs="宋体"/>
          <w:color w:val="auto"/>
          <w:sz w:val="24"/>
          <w:highlight w:val="none"/>
        </w:rPr>
      </w:pPr>
    </w:p>
    <w:p>
      <w:pPr>
        <w:spacing w:line="360" w:lineRule="auto"/>
        <w:ind w:left="853" w:hanging="849" w:hangingChars="354"/>
        <w:rPr>
          <w:rFonts w:ascii="宋体" w:hAnsi="宋体" w:eastAsia="宋体" w:cs="宋体"/>
          <w:b/>
          <w:bCs/>
          <w:color w:val="auto"/>
          <w:sz w:val="24"/>
          <w:highlight w:val="none"/>
        </w:rPr>
      </w:pPr>
      <w:r>
        <w:rPr>
          <w:rFonts w:ascii="宋体" w:hAnsi="宋体" w:eastAsia="宋体" w:cs="宋体"/>
          <w:b/>
          <w:bCs/>
          <w:color w:val="auto"/>
          <w:sz w:val="24"/>
          <w:highlight w:val="none"/>
        </w:rPr>
        <w:t xml:space="preserve">3.5    </w:t>
      </w:r>
      <w:r>
        <w:rPr>
          <w:rFonts w:hint="eastAsia" w:ascii="宋体" w:hAnsi="宋体" w:eastAsia="宋体" w:cs="宋体"/>
          <w:b/>
          <w:bCs/>
          <w:color w:val="auto"/>
          <w:sz w:val="24"/>
          <w:highlight w:val="none"/>
        </w:rPr>
        <w:t>投标时间</w:t>
      </w:r>
    </w:p>
    <w:p>
      <w:pPr>
        <w:spacing w:line="360" w:lineRule="auto"/>
        <w:ind w:left="850" w:hanging="849" w:hangingChars="354"/>
        <w:rPr>
          <w:rFonts w:ascii="宋体" w:hAnsi="宋体" w:eastAsia="宋体" w:cs="宋体"/>
          <w:color w:val="auto"/>
          <w:sz w:val="24"/>
          <w:highlight w:val="none"/>
        </w:rPr>
      </w:pPr>
    </w:p>
    <w:p>
      <w:pPr>
        <w:spacing w:line="360" w:lineRule="auto"/>
        <w:ind w:left="850" w:hanging="849" w:hangingChars="354"/>
        <w:jc w:val="left"/>
        <w:rPr>
          <w:rFonts w:ascii="宋体" w:hAnsi="宋体" w:eastAsia="宋体" w:cs="宋体"/>
          <w:color w:val="auto"/>
          <w:sz w:val="24"/>
          <w:highlight w:val="none"/>
        </w:rPr>
      </w:pPr>
      <w:r>
        <w:rPr>
          <w:rFonts w:ascii="宋体" w:hAnsi="宋体" w:eastAsia="宋体" w:cs="宋体"/>
          <w:color w:val="auto"/>
          <w:sz w:val="24"/>
          <w:highlight w:val="none"/>
        </w:rPr>
        <w:t xml:space="preserve">3.5.1  </w:t>
      </w:r>
      <w:r>
        <w:rPr>
          <w:rFonts w:hint="eastAsia" w:ascii="宋体" w:hAnsi="宋体" w:eastAsia="宋体" w:cs="宋体"/>
          <w:color w:val="auto"/>
          <w:sz w:val="24"/>
          <w:highlight w:val="none"/>
        </w:rPr>
        <w:t>投标截止时间自本工程招标公告发布之日起计。</w:t>
      </w:r>
    </w:p>
    <w:p>
      <w:pPr>
        <w:spacing w:line="360" w:lineRule="auto"/>
        <w:ind w:left="850" w:hanging="849" w:hangingChars="354"/>
        <w:rPr>
          <w:rFonts w:ascii="宋体" w:hAnsi="宋体" w:eastAsia="宋体" w:cs="宋体"/>
          <w:color w:val="auto"/>
          <w:sz w:val="24"/>
          <w:highlight w:val="none"/>
        </w:rPr>
      </w:pPr>
      <w:r>
        <w:rPr>
          <w:rFonts w:ascii="宋体" w:hAnsi="宋体" w:eastAsia="宋体" w:cs="宋体"/>
          <w:color w:val="auto"/>
          <w:sz w:val="24"/>
          <w:highlight w:val="none"/>
        </w:rPr>
        <w:t xml:space="preserve">3.5.2  </w:t>
      </w:r>
      <w:r>
        <w:rPr>
          <w:rFonts w:hint="eastAsia" w:ascii="宋体" w:hAnsi="宋体" w:eastAsia="宋体" w:cs="宋体"/>
          <w:color w:val="auto"/>
          <w:sz w:val="24"/>
          <w:highlight w:val="none"/>
        </w:rPr>
        <w:t>具体投标截止时间以招标人（招标代理机构）的最新通知为准，请各投标人留意交易平台网站发布的本工程相关信息。</w:t>
      </w:r>
    </w:p>
    <w:p>
      <w:pPr>
        <w:spacing w:line="360" w:lineRule="auto"/>
        <w:ind w:left="850" w:hanging="849" w:hangingChars="354"/>
        <w:rPr>
          <w:rFonts w:ascii="宋体" w:hAnsi="宋体" w:eastAsia="宋体" w:cs="宋体"/>
          <w:color w:val="auto"/>
          <w:sz w:val="24"/>
          <w:highlight w:val="none"/>
        </w:rPr>
      </w:pPr>
      <w:r>
        <w:rPr>
          <w:rFonts w:ascii="宋体" w:hAnsi="宋体" w:eastAsia="宋体" w:cs="宋体"/>
          <w:color w:val="auto"/>
          <w:sz w:val="24"/>
          <w:highlight w:val="none"/>
        </w:rPr>
        <w:t xml:space="preserve">3.5.3  </w:t>
      </w:r>
      <w:r>
        <w:rPr>
          <w:rFonts w:hint="eastAsia" w:ascii="宋体" w:hAnsi="宋体" w:eastAsia="宋体" w:cs="宋体"/>
          <w:color w:val="auto"/>
          <w:sz w:val="24"/>
          <w:highlight w:val="none"/>
        </w:rPr>
        <w:t>到投标截止时间止，招标人收到的投标文件少于</w:t>
      </w:r>
      <w:r>
        <w:rPr>
          <w:rFonts w:ascii="宋体" w:hAnsi="宋体" w:eastAsia="宋体" w:cs="宋体"/>
          <w:color w:val="auto"/>
          <w:sz w:val="24"/>
          <w:highlight w:val="none"/>
        </w:rPr>
        <w:t>3家的，招标人将重新组织招标（当N个标段同时招标且不允许兼中时，若有效投标人不足N+2家，则重新组织招标）。</w:t>
      </w:r>
    </w:p>
    <w:p>
      <w:pPr>
        <w:spacing w:line="360" w:lineRule="auto"/>
        <w:ind w:left="850" w:hanging="849" w:hangingChars="354"/>
        <w:rPr>
          <w:rFonts w:ascii="宋体" w:hAnsi="宋体" w:eastAsia="宋体" w:cs="宋体"/>
          <w:color w:val="auto"/>
          <w:sz w:val="24"/>
          <w:highlight w:val="none"/>
        </w:rPr>
      </w:pPr>
    </w:p>
    <w:p>
      <w:pPr>
        <w:spacing w:line="360" w:lineRule="auto"/>
        <w:ind w:left="853" w:hanging="849" w:hangingChars="354"/>
        <w:rPr>
          <w:rFonts w:ascii="宋体" w:hAnsi="宋体" w:eastAsia="宋体" w:cs="宋体"/>
          <w:b/>
          <w:bCs/>
          <w:color w:val="auto"/>
          <w:sz w:val="24"/>
          <w:highlight w:val="none"/>
        </w:rPr>
      </w:pPr>
      <w:r>
        <w:rPr>
          <w:rFonts w:ascii="宋体" w:hAnsi="宋体" w:eastAsia="宋体" w:cs="宋体"/>
          <w:b/>
          <w:bCs/>
          <w:color w:val="auto"/>
          <w:sz w:val="24"/>
          <w:highlight w:val="none"/>
        </w:rPr>
        <w:t xml:space="preserve">3.6    </w:t>
      </w:r>
      <w:r>
        <w:rPr>
          <w:rFonts w:hint="eastAsia" w:ascii="宋体" w:hAnsi="宋体" w:eastAsia="宋体" w:cs="宋体"/>
          <w:b/>
          <w:bCs/>
          <w:color w:val="auto"/>
          <w:sz w:val="24"/>
          <w:highlight w:val="none"/>
        </w:rPr>
        <w:t>投标文件的递交和接受</w:t>
      </w:r>
    </w:p>
    <w:p>
      <w:pPr>
        <w:spacing w:line="360" w:lineRule="auto"/>
        <w:ind w:left="850" w:hanging="849" w:hangingChars="354"/>
        <w:rPr>
          <w:rFonts w:ascii="宋体" w:hAnsi="宋体" w:eastAsia="宋体" w:cs="宋体"/>
          <w:color w:val="auto"/>
          <w:sz w:val="24"/>
          <w:highlight w:val="none"/>
        </w:rPr>
      </w:pPr>
    </w:p>
    <w:p>
      <w:pPr>
        <w:spacing w:line="360" w:lineRule="auto"/>
        <w:ind w:left="850" w:hanging="849" w:hangingChars="354"/>
        <w:jc w:val="left"/>
        <w:rPr>
          <w:rFonts w:ascii="宋体" w:hAnsi="宋体" w:eastAsia="宋体" w:cs="宋体"/>
          <w:color w:val="auto"/>
          <w:sz w:val="24"/>
          <w:highlight w:val="none"/>
        </w:rPr>
      </w:pPr>
      <w:r>
        <w:rPr>
          <w:rFonts w:ascii="宋体" w:hAnsi="宋体" w:eastAsia="宋体" w:cs="宋体"/>
          <w:color w:val="auto"/>
          <w:sz w:val="24"/>
          <w:highlight w:val="none"/>
        </w:rPr>
        <w:t xml:space="preserve">3.6.1  </w:t>
      </w:r>
      <w:r>
        <w:rPr>
          <w:rFonts w:hint="eastAsia" w:ascii="宋体" w:hAnsi="宋体" w:eastAsia="宋体" w:cs="宋体"/>
          <w:color w:val="auto"/>
          <w:sz w:val="24"/>
          <w:highlight w:val="none"/>
        </w:rPr>
        <w:t>投标人通过下载招标文件的交易平台递交电子投标文件。</w:t>
      </w:r>
    </w:p>
    <w:p>
      <w:pPr>
        <w:spacing w:line="360" w:lineRule="auto"/>
        <w:ind w:left="850" w:hanging="849" w:hangingChars="354"/>
        <w:jc w:val="left"/>
        <w:rPr>
          <w:rFonts w:ascii="宋体" w:hAnsi="宋体" w:eastAsia="宋体" w:cs="宋体"/>
          <w:color w:val="auto"/>
          <w:sz w:val="24"/>
          <w:highlight w:val="none"/>
        </w:rPr>
      </w:pPr>
      <w:r>
        <w:rPr>
          <w:rFonts w:ascii="宋体" w:hAnsi="宋体" w:eastAsia="宋体" w:cs="宋体"/>
          <w:color w:val="auto"/>
          <w:sz w:val="24"/>
          <w:highlight w:val="none"/>
        </w:rPr>
        <w:t xml:space="preserve">3.6.2  </w:t>
      </w:r>
      <w:r>
        <w:rPr>
          <w:rFonts w:hint="eastAsia" w:ascii="宋体" w:hAnsi="宋体" w:eastAsia="宋体" w:cs="宋体"/>
          <w:color w:val="auto"/>
          <w:sz w:val="24"/>
          <w:highlight w:val="none"/>
        </w:rPr>
        <w:t>投标人完成电子投标文件上传后，交易平台即时向投标人发出递交回执通知。递交时间以递交回执通知载明的传输完成时间为准。</w:t>
      </w:r>
    </w:p>
    <w:p>
      <w:pPr>
        <w:spacing w:line="360" w:lineRule="auto"/>
        <w:ind w:left="850" w:hanging="849" w:hangingChars="354"/>
        <w:jc w:val="left"/>
        <w:rPr>
          <w:rFonts w:ascii="宋体" w:hAnsi="宋体" w:eastAsia="宋体" w:cs="宋体"/>
          <w:color w:val="auto"/>
          <w:sz w:val="24"/>
          <w:highlight w:val="none"/>
        </w:rPr>
      </w:pPr>
      <w:r>
        <w:rPr>
          <w:rFonts w:ascii="宋体" w:hAnsi="宋体" w:eastAsia="宋体" w:cs="宋体"/>
          <w:color w:val="auto"/>
          <w:sz w:val="24"/>
          <w:highlight w:val="none"/>
        </w:rPr>
        <w:t xml:space="preserve">3.6.3  </w:t>
      </w:r>
      <w:r>
        <w:rPr>
          <w:rFonts w:hint="eastAsia" w:ascii="宋体" w:hAnsi="宋体" w:eastAsia="宋体" w:cs="宋体"/>
          <w:color w:val="auto"/>
          <w:sz w:val="24"/>
          <w:highlight w:val="none"/>
        </w:rPr>
        <w:t>如按招标公告要求需要提交投标文件光盘（备用），备用光盘不得加密。如使用投标文件光盘（备用）时无法读取或导入的，则视为未提交投标文件。</w:t>
      </w:r>
    </w:p>
    <w:p>
      <w:pPr>
        <w:spacing w:line="360" w:lineRule="auto"/>
        <w:ind w:left="850" w:hanging="849" w:hangingChars="354"/>
        <w:jc w:val="left"/>
        <w:rPr>
          <w:rFonts w:ascii="宋体" w:hAnsi="宋体" w:eastAsia="宋体" w:cs="宋体"/>
          <w:color w:val="auto"/>
          <w:sz w:val="24"/>
          <w:highlight w:val="none"/>
        </w:rPr>
      </w:pPr>
      <w:r>
        <w:rPr>
          <w:rFonts w:ascii="宋体" w:hAnsi="宋体" w:eastAsia="宋体" w:cs="宋体"/>
          <w:color w:val="auto"/>
          <w:sz w:val="24"/>
          <w:highlight w:val="none"/>
        </w:rPr>
        <w:t xml:space="preserve">3.6.4  </w:t>
      </w:r>
      <w:r>
        <w:rPr>
          <w:rFonts w:hint="eastAsia" w:ascii="宋体" w:hAnsi="宋体" w:eastAsia="宋体" w:cs="宋体"/>
          <w:color w:val="auto"/>
          <w:sz w:val="24"/>
          <w:highlight w:val="none"/>
        </w:rPr>
        <w:t>逾期送达的投标文件，交易平台将予以拒收。</w:t>
      </w:r>
    </w:p>
    <w:p>
      <w:pPr>
        <w:spacing w:line="360" w:lineRule="auto"/>
        <w:ind w:left="850" w:hanging="849" w:hangingChars="354"/>
        <w:jc w:val="left"/>
        <w:rPr>
          <w:rFonts w:ascii="宋体" w:hAnsi="宋体" w:eastAsia="宋体" w:cs="宋体"/>
          <w:color w:val="auto"/>
          <w:sz w:val="24"/>
          <w:highlight w:val="none"/>
        </w:rPr>
      </w:pPr>
    </w:p>
    <w:p>
      <w:pPr>
        <w:spacing w:line="360" w:lineRule="auto"/>
        <w:ind w:left="853" w:hanging="849" w:hangingChars="354"/>
        <w:jc w:val="left"/>
        <w:rPr>
          <w:rFonts w:ascii="宋体" w:hAnsi="宋体" w:eastAsia="宋体" w:cs="宋体"/>
          <w:b/>
          <w:color w:val="auto"/>
          <w:sz w:val="24"/>
          <w:highlight w:val="none"/>
        </w:rPr>
      </w:pPr>
      <w:r>
        <w:rPr>
          <w:rFonts w:ascii="宋体" w:hAnsi="宋体" w:eastAsia="宋体" w:cs="宋体"/>
          <w:b/>
          <w:color w:val="auto"/>
          <w:sz w:val="24"/>
          <w:highlight w:val="none"/>
        </w:rPr>
        <w:t xml:space="preserve">3.7    </w:t>
      </w:r>
      <w:r>
        <w:rPr>
          <w:rFonts w:hint="eastAsia" w:ascii="宋体" w:hAnsi="宋体" w:eastAsia="宋体" w:cs="宋体"/>
          <w:b/>
          <w:color w:val="auto"/>
          <w:sz w:val="24"/>
          <w:highlight w:val="none"/>
        </w:rPr>
        <w:t>投标文件的修改与撤回</w:t>
      </w:r>
    </w:p>
    <w:p>
      <w:pPr>
        <w:spacing w:line="360" w:lineRule="auto"/>
        <w:ind w:left="853" w:hanging="849" w:hangingChars="354"/>
        <w:jc w:val="left"/>
        <w:rPr>
          <w:rFonts w:ascii="宋体" w:hAnsi="宋体" w:eastAsia="宋体" w:cs="宋体"/>
          <w:b/>
          <w:color w:val="auto"/>
          <w:sz w:val="24"/>
          <w:highlight w:val="none"/>
        </w:rPr>
      </w:pPr>
    </w:p>
    <w:p>
      <w:pPr>
        <w:spacing w:line="360" w:lineRule="auto"/>
        <w:ind w:left="850" w:hanging="849" w:hangingChars="354"/>
        <w:jc w:val="left"/>
        <w:rPr>
          <w:rFonts w:ascii="宋体" w:hAnsi="宋体" w:eastAsia="宋体" w:cs="宋体"/>
          <w:color w:val="auto"/>
          <w:sz w:val="24"/>
          <w:highlight w:val="none"/>
        </w:rPr>
      </w:pPr>
      <w:r>
        <w:rPr>
          <w:rFonts w:ascii="宋体" w:hAnsi="宋体" w:eastAsia="宋体" w:cs="宋体"/>
          <w:color w:val="auto"/>
          <w:sz w:val="24"/>
          <w:highlight w:val="none"/>
        </w:rPr>
        <w:t xml:space="preserve">3.7.1  </w:t>
      </w:r>
      <w:r>
        <w:rPr>
          <w:rFonts w:hint="eastAsia" w:ascii="宋体" w:hAnsi="宋体" w:eastAsia="宋体" w:cs="宋体"/>
          <w:color w:val="auto"/>
          <w:sz w:val="24"/>
          <w:highlight w:val="none"/>
        </w:rPr>
        <w:t>在规定的投标截止时间前，投标人可以修改或撤回已递交的投标文件。</w:t>
      </w:r>
    </w:p>
    <w:p>
      <w:pPr>
        <w:spacing w:line="360" w:lineRule="auto"/>
        <w:ind w:left="850" w:hanging="849" w:hangingChars="354"/>
        <w:jc w:val="left"/>
        <w:rPr>
          <w:rFonts w:ascii="宋体" w:hAnsi="宋体" w:eastAsia="宋体" w:cs="宋体"/>
          <w:color w:val="auto"/>
          <w:sz w:val="24"/>
          <w:highlight w:val="none"/>
        </w:rPr>
      </w:pPr>
      <w:r>
        <w:rPr>
          <w:rFonts w:ascii="宋体" w:hAnsi="宋体" w:eastAsia="宋体" w:cs="宋体"/>
          <w:color w:val="auto"/>
          <w:sz w:val="24"/>
          <w:highlight w:val="none"/>
        </w:rPr>
        <w:t xml:space="preserve">3.7.2  </w:t>
      </w:r>
      <w:r>
        <w:rPr>
          <w:rFonts w:hint="eastAsia" w:ascii="宋体" w:hAnsi="宋体" w:eastAsia="宋体" w:cs="宋体"/>
          <w:color w:val="auto"/>
          <w:sz w:val="24"/>
          <w:highlight w:val="none"/>
        </w:rPr>
        <w:t>投标人修改或撤回已递交的投标文件，需在交易平台发出撤回通知，并按要求加盖电子印章。电子招标投标交易平台收到通知后，即时向投标人发布确认回执通知。</w:t>
      </w:r>
    </w:p>
    <w:p>
      <w:pPr>
        <w:spacing w:line="360" w:lineRule="auto"/>
        <w:ind w:left="850" w:hanging="849" w:hangingChars="354"/>
        <w:jc w:val="left"/>
        <w:rPr>
          <w:rFonts w:ascii="宋体" w:hAnsi="宋体" w:eastAsia="宋体" w:cs="宋体"/>
          <w:color w:val="auto"/>
          <w:sz w:val="24"/>
          <w:highlight w:val="none"/>
        </w:rPr>
      </w:pPr>
      <w:r>
        <w:rPr>
          <w:rFonts w:ascii="宋体" w:hAnsi="宋体" w:eastAsia="宋体" w:cs="宋体"/>
          <w:color w:val="auto"/>
          <w:sz w:val="24"/>
          <w:highlight w:val="none"/>
        </w:rPr>
        <w:t xml:space="preserve">3.7.3  </w:t>
      </w:r>
      <w:r>
        <w:rPr>
          <w:rFonts w:hint="eastAsia" w:ascii="宋体" w:hAnsi="宋体" w:eastAsia="宋体" w:cs="宋体"/>
          <w:color w:val="auto"/>
          <w:sz w:val="24"/>
          <w:highlight w:val="none"/>
        </w:rPr>
        <w:t>修改后再次递交的，按</w:t>
      </w:r>
      <w:r>
        <w:rPr>
          <w:rFonts w:ascii="宋体" w:hAnsi="宋体" w:eastAsia="宋体" w:cs="宋体"/>
          <w:color w:val="auto"/>
          <w:sz w:val="24"/>
          <w:highlight w:val="none"/>
        </w:rPr>
        <w:t>3.6的规定执行。</w:t>
      </w:r>
    </w:p>
    <w:p>
      <w:pPr>
        <w:spacing w:line="360" w:lineRule="auto"/>
        <w:ind w:left="850" w:hanging="849" w:hangingChars="354"/>
        <w:jc w:val="left"/>
        <w:rPr>
          <w:rFonts w:ascii="宋体" w:hAnsi="宋体" w:eastAsia="宋体" w:cs="宋体"/>
          <w:color w:val="auto"/>
          <w:sz w:val="24"/>
          <w:highlight w:val="none"/>
        </w:rPr>
      </w:pPr>
      <w:r>
        <w:rPr>
          <w:rFonts w:ascii="宋体" w:hAnsi="宋体" w:eastAsia="宋体" w:cs="宋体"/>
          <w:color w:val="auto"/>
          <w:sz w:val="24"/>
          <w:highlight w:val="none"/>
        </w:rPr>
        <w:t xml:space="preserve">3.7.4  </w:t>
      </w:r>
      <w:r>
        <w:rPr>
          <w:rFonts w:hint="eastAsia" w:ascii="宋体" w:hAnsi="宋体" w:eastAsia="宋体" w:cs="宋体"/>
          <w:color w:val="auto"/>
          <w:sz w:val="24"/>
          <w:highlight w:val="none"/>
        </w:rPr>
        <w:t>在投标截止时间后，投标人不得补充、修改或更换投标文件。</w:t>
      </w:r>
    </w:p>
    <w:p>
      <w:pPr>
        <w:spacing w:line="360" w:lineRule="auto"/>
        <w:ind w:left="850" w:hanging="849" w:hangingChars="354"/>
        <w:jc w:val="left"/>
        <w:rPr>
          <w:rFonts w:ascii="宋体" w:hAnsi="宋体" w:eastAsia="宋体" w:cs="宋体"/>
          <w:color w:val="auto"/>
          <w:sz w:val="24"/>
          <w:highlight w:val="none"/>
        </w:rPr>
      </w:pPr>
    </w:p>
    <w:p>
      <w:pPr>
        <w:spacing w:line="360" w:lineRule="auto"/>
        <w:ind w:left="853" w:hanging="849" w:hangingChars="354"/>
        <w:jc w:val="left"/>
        <w:rPr>
          <w:rFonts w:ascii="宋体" w:hAnsi="宋体" w:eastAsia="宋体" w:cs="宋体"/>
          <w:b/>
          <w:color w:val="auto"/>
          <w:sz w:val="24"/>
          <w:highlight w:val="none"/>
        </w:rPr>
      </w:pPr>
      <w:r>
        <w:rPr>
          <w:rFonts w:ascii="宋体" w:hAnsi="宋体" w:eastAsia="宋体" w:cs="宋体"/>
          <w:b/>
          <w:color w:val="auto"/>
          <w:sz w:val="24"/>
          <w:highlight w:val="none"/>
        </w:rPr>
        <w:t xml:space="preserve">3.8    </w:t>
      </w:r>
      <w:r>
        <w:rPr>
          <w:rFonts w:hint="eastAsia" w:ascii="宋体" w:hAnsi="宋体" w:eastAsia="宋体" w:cs="宋体"/>
          <w:b/>
          <w:color w:val="auto"/>
          <w:sz w:val="24"/>
          <w:highlight w:val="none"/>
        </w:rPr>
        <w:t>电子招标投标解密失败及突发状况的补救</w:t>
      </w:r>
    </w:p>
    <w:p>
      <w:pPr>
        <w:spacing w:line="360" w:lineRule="auto"/>
        <w:ind w:left="853" w:hanging="849" w:hangingChars="354"/>
        <w:jc w:val="left"/>
        <w:rPr>
          <w:rFonts w:ascii="宋体" w:hAnsi="宋体" w:eastAsia="宋体" w:cs="宋体"/>
          <w:b/>
          <w:color w:val="auto"/>
          <w:sz w:val="24"/>
          <w:highlight w:val="none"/>
        </w:rPr>
      </w:pPr>
    </w:p>
    <w:p>
      <w:pPr>
        <w:spacing w:line="360" w:lineRule="auto"/>
        <w:ind w:left="850" w:hanging="849" w:hangingChars="354"/>
        <w:jc w:val="left"/>
        <w:rPr>
          <w:rFonts w:ascii="宋体" w:hAnsi="宋体" w:eastAsia="宋体" w:cs="宋体"/>
          <w:color w:val="auto"/>
          <w:sz w:val="24"/>
          <w:highlight w:val="none"/>
        </w:rPr>
      </w:pPr>
      <w:r>
        <w:rPr>
          <w:rFonts w:ascii="宋体" w:hAnsi="宋体" w:eastAsia="宋体" w:cs="宋体"/>
          <w:color w:val="auto"/>
          <w:sz w:val="24"/>
          <w:highlight w:val="none"/>
        </w:rPr>
        <w:t xml:space="preserve">3.8.1  </w:t>
      </w:r>
      <w:r>
        <w:rPr>
          <w:rFonts w:hint="eastAsia" w:ascii="宋体" w:hAnsi="宋体" w:eastAsia="宋体" w:cs="宋体"/>
          <w:color w:val="auto"/>
          <w:sz w:val="24"/>
          <w:highlight w:val="none"/>
        </w:rPr>
        <w:t>提交投标文件光盘备用</w:t>
      </w:r>
    </w:p>
    <w:p>
      <w:pPr>
        <w:spacing w:line="360" w:lineRule="auto"/>
        <w:ind w:left="850" w:hanging="849" w:hangingChars="354"/>
        <w:jc w:val="left"/>
        <w:rPr>
          <w:rFonts w:ascii="宋体" w:hAnsi="宋体" w:eastAsia="宋体" w:cs="宋体"/>
          <w:color w:val="auto"/>
          <w:sz w:val="24"/>
          <w:highlight w:val="none"/>
        </w:rPr>
      </w:pPr>
      <w:r>
        <w:rPr>
          <w:rFonts w:ascii="宋体" w:hAnsi="宋体" w:eastAsia="宋体" w:cs="宋体"/>
          <w:color w:val="auto"/>
          <w:sz w:val="24"/>
          <w:highlight w:val="none"/>
        </w:rPr>
        <w:t xml:space="preserve">       投标人可制作非加密的电子投标文件刻入光盘（1份），在招标公告规定的时间、地点提交备用。刻录好的投标文件光盘密封在密封袋中，并在封口处加盖投标人单位公章。密封袋上应写明项目名称和招标人名称。递交的投标文</w:t>
      </w:r>
      <w:r>
        <w:rPr>
          <w:rFonts w:hint="eastAsia" w:ascii="宋体" w:hAnsi="宋体" w:eastAsia="宋体" w:cs="宋体"/>
          <w:color w:val="auto"/>
          <w:sz w:val="24"/>
          <w:highlight w:val="none"/>
        </w:rPr>
        <w:t>件光盘（备用）不得加密。备用光盘无法读取或导入的，则视为未提交投标文件光盘（备用）。如果投标人没有按规定通过交易平台网上递交电子投标文件的，不再读取提交的光盘。投标人也可不提交投标文件光盘（备用）。</w:t>
      </w:r>
    </w:p>
    <w:p>
      <w:pPr>
        <w:spacing w:line="360" w:lineRule="auto"/>
        <w:ind w:left="850" w:hanging="849" w:hangingChars="354"/>
        <w:jc w:val="left"/>
        <w:rPr>
          <w:rFonts w:ascii="宋体" w:hAnsi="宋体" w:eastAsia="宋体" w:cs="宋体"/>
          <w:color w:val="auto"/>
          <w:sz w:val="24"/>
          <w:highlight w:val="none"/>
        </w:rPr>
      </w:pPr>
      <w:r>
        <w:rPr>
          <w:rFonts w:ascii="宋体" w:hAnsi="宋体" w:eastAsia="宋体" w:cs="宋体"/>
          <w:color w:val="auto"/>
          <w:sz w:val="24"/>
          <w:highlight w:val="none"/>
        </w:rPr>
        <w:t xml:space="preserve">3.8.2  </w:t>
      </w:r>
      <w:r>
        <w:rPr>
          <w:rFonts w:hint="eastAsia" w:ascii="宋体" w:hAnsi="宋体" w:eastAsia="宋体" w:cs="宋体"/>
          <w:color w:val="auto"/>
          <w:sz w:val="24"/>
          <w:highlight w:val="none"/>
        </w:rPr>
        <w:t>补救方案</w:t>
      </w:r>
    </w:p>
    <w:p>
      <w:pPr>
        <w:spacing w:line="360" w:lineRule="auto"/>
        <w:ind w:left="850" w:hanging="849" w:hangingChars="354"/>
        <w:jc w:val="left"/>
        <w:rPr>
          <w:rFonts w:ascii="宋体" w:hAnsi="宋体" w:eastAsia="宋体" w:cs="宋体"/>
          <w:color w:val="auto"/>
          <w:sz w:val="24"/>
          <w:highlight w:val="none"/>
        </w:rPr>
      </w:pPr>
      <w:r>
        <w:rPr>
          <w:rFonts w:ascii="宋体" w:hAnsi="宋体" w:eastAsia="宋体" w:cs="宋体"/>
          <w:color w:val="auto"/>
          <w:sz w:val="24"/>
          <w:highlight w:val="none"/>
        </w:rPr>
        <w:t>3.8.2.1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spacing w:line="360" w:lineRule="auto"/>
        <w:ind w:left="850" w:hanging="849" w:hangingChars="354"/>
        <w:jc w:val="left"/>
        <w:rPr>
          <w:rFonts w:ascii="宋体" w:hAnsi="宋体" w:eastAsia="宋体" w:cs="宋体"/>
          <w:color w:val="auto"/>
          <w:sz w:val="24"/>
          <w:highlight w:val="none"/>
        </w:rPr>
      </w:pPr>
      <w:r>
        <w:rPr>
          <w:rFonts w:ascii="宋体" w:hAnsi="宋体" w:eastAsia="宋体" w:cs="宋体"/>
          <w:color w:val="auto"/>
          <w:sz w:val="24"/>
          <w:highlight w:val="none"/>
        </w:rPr>
        <w:t>3.8.2.2评标时突发情况的补救方案：若遇不可抗力发生（如：网络瘫痪、服务器损坏、交易系统故障短期无法恢复等因素），由评标委员会开启现场递交的全部投标文件光盘，并按光盘内容进行评审。投标人未递交投标文件光盘（备用）的，视为撤回投标文件。</w:t>
      </w:r>
    </w:p>
    <w:p>
      <w:pPr>
        <w:spacing w:line="360" w:lineRule="auto"/>
        <w:ind w:left="850" w:hanging="849" w:hangingChars="354"/>
        <w:jc w:val="left"/>
        <w:rPr>
          <w:rFonts w:ascii="宋体" w:hAnsi="宋体" w:eastAsia="宋体" w:cs="宋体"/>
          <w:color w:val="auto"/>
          <w:sz w:val="24"/>
          <w:highlight w:val="none"/>
        </w:rPr>
      </w:pPr>
      <w:r>
        <w:rPr>
          <w:rFonts w:ascii="宋体" w:hAnsi="宋体" w:eastAsia="宋体" w:cs="宋体"/>
          <w:color w:val="auto"/>
          <w:sz w:val="24"/>
          <w:highlight w:val="none"/>
        </w:rPr>
        <w:t>3.8.2.3除发生上述情况外，开标评标均以投标人通过交易平台网上递交的电子投标文件为准。</w:t>
      </w:r>
    </w:p>
    <w:p>
      <w:pPr>
        <w:spacing w:line="360" w:lineRule="auto"/>
        <w:ind w:left="850" w:hanging="849" w:hangingChars="354"/>
        <w:jc w:val="left"/>
        <w:rPr>
          <w:rFonts w:ascii="宋体" w:hAnsi="宋体" w:eastAsia="宋体" w:cs="宋体"/>
          <w:color w:val="auto"/>
          <w:sz w:val="24"/>
          <w:highlight w:val="none"/>
        </w:rPr>
      </w:pPr>
    </w:p>
    <w:p>
      <w:pPr>
        <w:spacing w:line="360" w:lineRule="auto"/>
        <w:ind w:left="853" w:hanging="849" w:hangingChars="354"/>
        <w:rPr>
          <w:rFonts w:ascii="宋体" w:hAnsi="宋体" w:eastAsia="宋体" w:cs="宋体"/>
          <w:b/>
          <w:bCs/>
          <w:color w:val="auto"/>
          <w:sz w:val="24"/>
          <w:highlight w:val="none"/>
        </w:rPr>
      </w:pPr>
      <w:r>
        <w:rPr>
          <w:rFonts w:ascii="宋体" w:hAnsi="宋体" w:eastAsia="宋体" w:cs="宋体"/>
          <w:b/>
          <w:bCs/>
          <w:color w:val="auto"/>
          <w:sz w:val="24"/>
          <w:highlight w:val="none"/>
        </w:rPr>
        <w:t xml:space="preserve">3.9    </w:t>
      </w:r>
      <w:r>
        <w:rPr>
          <w:rFonts w:hint="eastAsia" w:ascii="宋体" w:hAnsi="宋体" w:eastAsia="宋体" w:cs="宋体"/>
          <w:b/>
          <w:bCs/>
          <w:color w:val="auto"/>
          <w:sz w:val="24"/>
          <w:highlight w:val="none"/>
        </w:rPr>
        <w:t>开标及投标文件编号</w:t>
      </w:r>
    </w:p>
    <w:p>
      <w:pPr>
        <w:spacing w:line="360" w:lineRule="auto"/>
        <w:ind w:left="850" w:hanging="849" w:hangingChars="354"/>
        <w:jc w:val="left"/>
        <w:rPr>
          <w:rFonts w:ascii="宋体" w:hAnsi="宋体" w:eastAsia="宋体" w:cs="宋体"/>
          <w:color w:val="auto"/>
          <w:sz w:val="24"/>
          <w:highlight w:val="none"/>
        </w:rPr>
      </w:pPr>
    </w:p>
    <w:p>
      <w:pPr>
        <w:spacing w:line="360" w:lineRule="auto"/>
        <w:ind w:left="850" w:hanging="849" w:hangingChars="354"/>
        <w:rPr>
          <w:rFonts w:ascii="宋体" w:hAnsi="宋体" w:eastAsia="宋体" w:cs="宋体"/>
          <w:color w:val="auto"/>
          <w:sz w:val="24"/>
          <w:highlight w:val="none"/>
        </w:rPr>
      </w:pPr>
      <w:r>
        <w:rPr>
          <w:rFonts w:ascii="宋体" w:hAnsi="宋体" w:eastAsia="宋体" w:cs="宋体"/>
          <w:color w:val="auto"/>
          <w:sz w:val="24"/>
          <w:highlight w:val="none"/>
        </w:rPr>
        <w:t xml:space="preserve">3.9.1  </w:t>
      </w:r>
      <w:r>
        <w:rPr>
          <w:rFonts w:hint="eastAsia" w:ascii="宋体" w:hAnsi="宋体" w:eastAsia="宋体" w:cs="宋体"/>
          <w:color w:val="auto"/>
          <w:sz w:val="24"/>
          <w:highlight w:val="none"/>
        </w:rPr>
        <w:t>在投标截止时间后半小时内，投标人通过递交投标文件的交易平台对已递交的电子投标文件进行解密。投标人完成解密后，再由招标人进行解密。解密完成后，公布招标项目名称、投标人名称、开标信封文件和资格审查文件（如有）。未在规定时间内解密的投标文件不参与开标、评标。</w:t>
      </w:r>
    </w:p>
    <w:p>
      <w:pPr>
        <w:spacing w:line="360" w:lineRule="auto"/>
        <w:ind w:left="850" w:hanging="849" w:hangingChars="354"/>
        <w:rPr>
          <w:rFonts w:ascii="宋体" w:hAnsi="宋体" w:eastAsia="宋体" w:cs="宋体"/>
          <w:color w:val="auto"/>
          <w:sz w:val="24"/>
          <w:highlight w:val="none"/>
        </w:rPr>
      </w:pPr>
      <w:r>
        <w:rPr>
          <w:rFonts w:ascii="宋体" w:hAnsi="宋体" w:eastAsia="宋体" w:cs="宋体"/>
          <w:color w:val="auto"/>
          <w:sz w:val="24"/>
          <w:highlight w:val="none"/>
        </w:rPr>
        <w:t xml:space="preserve">3.9.2  </w:t>
      </w:r>
      <w:r>
        <w:rPr>
          <w:rFonts w:hint="eastAsia" w:ascii="宋体" w:hAnsi="宋体" w:eastAsia="宋体" w:cs="宋体"/>
          <w:color w:val="auto"/>
          <w:sz w:val="24"/>
          <w:highlight w:val="none"/>
        </w:rPr>
        <w:t>截标后，开标开始时间因故推迟的，相关评标信息仍以原定的开标开始时间的信息为准。</w:t>
      </w:r>
    </w:p>
    <w:p>
      <w:pPr>
        <w:spacing w:line="360" w:lineRule="auto"/>
        <w:ind w:left="850" w:hanging="849" w:hangingChars="354"/>
        <w:rPr>
          <w:rFonts w:ascii="宋体" w:hAnsi="宋体" w:eastAsia="宋体" w:cs="宋体"/>
          <w:color w:val="auto"/>
          <w:sz w:val="24"/>
          <w:highlight w:val="none"/>
        </w:rPr>
      </w:pPr>
      <w:r>
        <w:rPr>
          <w:rFonts w:ascii="宋体" w:hAnsi="宋体" w:eastAsia="宋体" w:cs="宋体"/>
          <w:color w:val="auto"/>
          <w:sz w:val="24"/>
          <w:highlight w:val="none"/>
        </w:rPr>
        <w:t xml:space="preserve">3.9.3  </w:t>
      </w:r>
      <w:r>
        <w:rPr>
          <w:rFonts w:hint="eastAsia" w:ascii="宋体" w:hAnsi="宋体" w:eastAsia="宋体" w:cs="宋体"/>
          <w:color w:val="auto"/>
          <w:sz w:val="24"/>
          <w:highlight w:val="none"/>
        </w:rPr>
        <w:t>备用光盘的读取按</w:t>
      </w:r>
      <w:r>
        <w:rPr>
          <w:rFonts w:ascii="宋体" w:hAnsi="宋体" w:eastAsia="宋体" w:cs="宋体"/>
          <w:color w:val="auto"/>
          <w:sz w:val="24"/>
          <w:highlight w:val="none"/>
        </w:rPr>
        <w:t>3.8.2的规定执行。</w:t>
      </w:r>
    </w:p>
    <w:p>
      <w:pPr>
        <w:spacing w:line="360" w:lineRule="auto"/>
        <w:ind w:left="850" w:hanging="849" w:hangingChars="354"/>
        <w:rPr>
          <w:rFonts w:ascii="宋体" w:hAnsi="宋体" w:eastAsia="宋体" w:cs="宋体"/>
          <w:color w:val="auto"/>
          <w:sz w:val="24"/>
          <w:highlight w:val="none"/>
        </w:rPr>
      </w:pPr>
      <w:r>
        <w:rPr>
          <w:rFonts w:ascii="宋体" w:hAnsi="宋体" w:eastAsia="宋体" w:cs="宋体"/>
          <w:color w:val="auto"/>
          <w:sz w:val="24"/>
          <w:highlight w:val="none"/>
        </w:rPr>
        <w:t xml:space="preserve">3.9.4  </w:t>
      </w:r>
      <w:r>
        <w:rPr>
          <w:rFonts w:hint="eastAsia" w:ascii="宋体" w:hAnsi="宋体" w:eastAsia="宋体" w:cs="宋体"/>
          <w:color w:val="auto"/>
          <w:sz w:val="24"/>
          <w:highlight w:val="none"/>
        </w:rPr>
        <w:t>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left="850" w:hanging="849" w:hangingChars="354"/>
        <w:rPr>
          <w:rFonts w:ascii="宋体" w:hAnsi="宋体" w:eastAsia="宋体" w:cs="宋体"/>
          <w:color w:val="auto"/>
          <w:sz w:val="24"/>
          <w:highlight w:val="none"/>
        </w:rPr>
      </w:pPr>
      <w:r>
        <w:rPr>
          <w:rFonts w:ascii="宋体" w:hAnsi="宋体" w:eastAsia="宋体" w:cs="宋体"/>
          <w:color w:val="auto"/>
          <w:sz w:val="24"/>
          <w:highlight w:val="none"/>
        </w:rPr>
        <w:t xml:space="preserve">3.9.5  </w:t>
      </w:r>
      <w:r>
        <w:rPr>
          <w:rFonts w:hint="eastAsia" w:ascii="宋体" w:hAnsi="宋体" w:eastAsia="宋体" w:cs="宋体"/>
          <w:color w:val="auto"/>
          <w:sz w:val="24"/>
          <w:highlight w:val="none"/>
        </w:rPr>
        <w:t>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pPr>
        <w:spacing w:line="360" w:lineRule="auto"/>
        <w:ind w:left="850" w:hanging="849" w:hangingChars="354"/>
        <w:rPr>
          <w:rFonts w:ascii="宋体" w:hAnsi="宋体" w:eastAsia="宋体" w:cs="宋体"/>
          <w:color w:val="auto"/>
          <w:sz w:val="24"/>
          <w:highlight w:val="none"/>
        </w:rPr>
      </w:pPr>
      <w:r>
        <w:rPr>
          <w:rFonts w:ascii="宋体" w:hAnsi="宋体" w:eastAsia="宋体" w:cs="宋体"/>
          <w:color w:val="auto"/>
          <w:sz w:val="24"/>
          <w:highlight w:val="none"/>
        </w:rPr>
        <w:t xml:space="preserve">3.9.6  </w:t>
      </w:r>
      <w:r>
        <w:rPr>
          <w:rFonts w:hint="eastAsia" w:ascii="宋体" w:hAnsi="宋体" w:eastAsia="宋体" w:cs="宋体"/>
          <w:color w:val="auto"/>
          <w:sz w:val="24"/>
          <w:highlight w:val="none"/>
        </w:rPr>
        <w:t>参加现场开标的投标人对开标结果有异议的，应当在开标现场提出，招标人应当当场作出答复，并制作记录。</w:t>
      </w:r>
    </w:p>
    <w:p>
      <w:pPr>
        <w:spacing w:line="360" w:lineRule="auto"/>
        <w:ind w:left="850" w:hanging="849" w:hangingChars="354"/>
        <w:rPr>
          <w:rFonts w:ascii="宋体" w:hAnsi="宋体" w:eastAsia="宋体" w:cs="宋体"/>
          <w:color w:val="auto"/>
          <w:sz w:val="24"/>
          <w:highlight w:val="none"/>
        </w:rPr>
      </w:pPr>
      <w:r>
        <w:rPr>
          <w:rFonts w:ascii="宋体" w:hAnsi="宋体" w:eastAsia="宋体" w:cs="宋体"/>
          <w:color w:val="auto"/>
          <w:sz w:val="24"/>
          <w:highlight w:val="none"/>
        </w:rPr>
        <w:t xml:space="preserve">3.9.7  </w:t>
      </w:r>
      <w:r>
        <w:rPr>
          <w:rFonts w:hint="eastAsia" w:ascii="宋体" w:hAnsi="宋体" w:eastAsia="宋体" w:cs="宋体"/>
          <w:color w:val="auto"/>
          <w:sz w:val="24"/>
          <w:highlight w:val="none"/>
        </w:rPr>
        <w:t>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pPr>
        <w:spacing w:line="360" w:lineRule="auto"/>
        <w:ind w:left="850" w:hanging="849" w:hangingChars="354"/>
        <w:rPr>
          <w:rFonts w:ascii="宋体" w:hAnsi="宋体" w:eastAsia="宋体" w:cs="宋体"/>
          <w:color w:val="auto"/>
          <w:sz w:val="24"/>
          <w:highlight w:val="none"/>
        </w:rPr>
      </w:pPr>
      <w:r>
        <w:rPr>
          <w:rFonts w:ascii="宋体" w:hAnsi="宋体" w:eastAsia="宋体" w:cs="宋体"/>
          <w:color w:val="auto"/>
          <w:sz w:val="24"/>
          <w:highlight w:val="none"/>
        </w:rPr>
        <w:t xml:space="preserve">3.9.8  </w:t>
      </w:r>
      <w:r>
        <w:rPr>
          <w:rFonts w:hint="eastAsia" w:ascii="宋体" w:hAnsi="宋体" w:eastAsia="宋体" w:cs="宋体"/>
          <w:color w:val="auto"/>
          <w:sz w:val="24"/>
          <w:highlight w:val="none"/>
        </w:rPr>
        <w:t>投标人未参加开标或在规定的时间内未提出异议的，视为对开标无异议。</w:t>
      </w:r>
    </w:p>
    <w:p>
      <w:pPr>
        <w:spacing w:line="360" w:lineRule="auto"/>
        <w:ind w:left="850" w:hanging="849" w:hangingChars="354"/>
        <w:rPr>
          <w:rFonts w:ascii="宋体" w:hAnsi="宋体" w:eastAsia="宋体" w:cs="宋体"/>
          <w:color w:val="auto"/>
          <w:sz w:val="24"/>
          <w:highlight w:val="none"/>
        </w:rPr>
      </w:pPr>
      <w:r>
        <w:rPr>
          <w:rFonts w:ascii="宋体" w:hAnsi="宋体" w:eastAsia="宋体" w:cs="宋体"/>
          <w:color w:val="auto"/>
          <w:sz w:val="24"/>
          <w:highlight w:val="none"/>
        </w:rPr>
        <w:t xml:space="preserve">3.9.9  </w:t>
      </w:r>
      <w:r>
        <w:rPr>
          <w:rFonts w:hint="eastAsia" w:ascii="宋体" w:hAnsi="宋体" w:eastAsia="宋体" w:cs="宋体"/>
          <w:color w:val="auto"/>
          <w:sz w:val="24"/>
          <w:highlight w:val="none"/>
        </w:rPr>
        <w:t>开标时，两个（含两个）以上的投标人加密打包投标文件电脑机器特征码一致的，不参与下一程序，并由评标委员会否决其投标。</w:t>
      </w:r>
    </w:p>
    <w:p>
      <w:pPr>
        <w:spacing w:line="360" w:lineRule="auto"/>
        <w:ind w:left="850" w:hanging="849" w:hangingChars="354"/>
        <w:rPr>
          <w:rFonts w:ascii="宋体" w:hAnsi="宋体" w:eastAsia="宋体" w:cs="宋体"/>
          <w:color w:val="auto"/>
          <w:sz w:val="24"/>
          <w:highlight w:val="none"/>
        </w:rPr>
      </w:pPr>
      <w:r>
        <w:rPr>
          <w:rFonts w:ascii="宋体" w:hAnsi="宋体" w:eastAsia="宋体" w:cs="宋体"/>
          <w:color w:val="auto"/>
          <w:sz w:val="24"/>
          <w:highlight w:val="none"/>
        </w:rPr>
        <w:t xml:space="preserve">3.9.10 </w:t>
      </w:r>
      <w:r>
        <w:rPr>
          <w:rFonts w:hint="eastAsia" w:ascii="宋体" w:hAnsi="宋体" w:eastAsia="宋体" w:cs="宋体"/>
          <w:color w:val="auto"/>
          <w:sz w:val="24"/>
          <w:highlight w:val="none"/>
        </w:rPr>
        <w:t>投标文件（设计方案）开标时不得开启，在评标时由交易平台随机编号后开启，交由评标委员会进行评审。编号所对应的投标人在投票结束前不得告知评标委员会、交易平台工作人员、招标人或招标代理机构。</w:t>
      </w:r>
    </w:p>
    <w:p>
      <w:pPr>
        <w:spacing w:line="360" w:lineRule="auto"/>
        <w:ind w:left="850" w:hanging="849" w:hangingChars="354"/>
        <w:jc w:val="left"/>
        <w:rPr>
          <w:rFonts w:ascii="宋体" w:hAnsi="宋体" w:eastAsia="宋体" w:cs="宋体"/>
          <w:color w:val="auto"/>
          <w:sz w:val="24"/>
          <w:highlight w:val="none"/>
        </w:rPr>
      </w:pPr>
    </w:p>
    <w:p>
      <w:pPr>
        <w:spacing w:line="360" w:lineRule="auto"/>
        <w:ind w:left="853" w:hanging="849" w:hangingChars="354"/>
        <w:rPr>
          <w:rFonts w:ascii="宋体" w:hAnsi="宋体" w:eastAsia="宋体" w:cs="宋体"/>
          <w:b/>
          <w:bCs/>
          <w:color w:val="auto"/>
          <w:sz w:val="24"/>
          <w:highlight w:val="none"/>
        </w:rPr>
      </w:pPr>
      <w:r>
        <w:rPr>
          <w:rFonts w:ascii="宋体" w:hAnsi="宋体" w:eastAsia="宋体" w:cs="宋体"/>
          <w:b/>
          <w:bCs/>
          <w:color w:val="auto"/>
          <w:sz w:val="24"/>
          <w:highlight w:val="none"/>
        </w:rPr>
        <w:t xml:space="preserve">3.10   </w:t>
      </w:r>
      <w:r>
        <w:rPr>
          <w:rFonts w:hint="eastAsia" w:ascii="宋体" w:hAnsi="宋体" w:eastAsia="宋体" w:cs="宋体"/>
          <w:b/>
          <w:bCs/>
          <w:color w:val="auto"/>
          <w:sz w:val="24"/>
          <w:highlight w:val="none"/>
        </w:rPr>
        <w:t>投标保证</w:t>
      </w:r>
    </w:p>
    <w:p>
      <w:pPr>
        <w:spacing w:line="360" w:lineRule="auto"/>
        <w:ind w:left="850" w:hanging="849" w:hangingChars="354"/>
        <w:rPr>
          <w:rFonts w:ascii="宋体" w:hAnsi="宋体" w:eastAsia="宋体" w:cs="宋体"/>
          <w:color w:val="auto"/>
          <w:sz w:val="24"/>
          <w:highlight w:val="none"/>
        </w:rPr>
      </w:pPr>
    </w:p>
    <w:p>
      <w:pPr>
        <w:spacing w:line="360" w:lineRule="auto"/>
        <w:ind w:left="850" w:hanging="849" w:hangingChars="354"/>
        <w:rPr>
          <w:rFonts w:ascii="宋体" w:hAnsi="宋体" w:eastAsia="宋体" w:cs="宋体"/>
          <w:color w:val="auto"/>
          <w:sz w:val="24"/>
          <w:highlight w:val="none"/>
        </w:rPr>
      </w:pPr>
      <w:r>
        <w:rPr>
          <w:rFonts w:ascii="宋体" w:hAnsi="宋体" w:eastAsia="宋体" w:cs="宋体"/>
          <w:color w:val="auto"/>
          <w:sz w:val="24"/>
          <w:highlight w:val="none"/>
        </w:rPr>
        <w:t xml:space="preserve">3.10.1 </w:t>
      </w:r>
      <w:r>
        <w:rPr>
          <w:rFonts w:hint="eastAsia" w:ascii="宋体" w:hAnsi="宋体" w:eastAsia="宋体" w:cs="宋体"/>
          <w:color w:val="auto"/>
          <w:sz w:val="24"/>
          <w:highlight w:val="none"/>
        </w:rPr>
        <w:t>投标人不需要提交投标保证金，评标结果揭晓后，中标候选人所得投标补偿转作保证金，确定中标人后立即返还，其中中标人的保证金待签订合同后立即返还。如果重新招标，保证金立即返还。</w:t>
      </w:r>
    </w:p>
    <w:p>
      <w:pPr>
        <w:spacing w:line="360" w:lineRule="auto"/>
        <w:ind w:left="850" w:hanging="849" w:hangingChars="354"/>
        <w:rPr>
          <w:rFonts w:ascii="宋体" w:hAnsi="宋体" w:eastAsia="宋体" w:cs="宋体"/>
          <w:color w:val="auto"/>
          <w:sz w:val="24"/>
          <w:highlight w:val="none"/>
        </w:rPr>
      </w:pPr>
      <w:r>
        <w:rPr>
          <w:rFonts w:ascii="宋体" w:hAnsi="宋体" w:eastAsia="宋体" w:cs="宋体"/>
          <w:color w:val="auto"/>
          <w:sz w:val="24"/>
          <w:highlight w:val="none"/>
        </w:rPr>
        <w:t xml:space="preserve">3.10.2 </w:t>
      </w:r>
      <w:r>
        <w:rPr>
          <w:rFonts w:hint="eastAsia" w:ascii="宋体" w:hAnsi="宋体" w:eastAsia="宋体" w:cs="宋体"/>
          <w:color w:val="auto"/>
          <w:kern w:val="0"/>
          <w:sz w:val="24"/>
          <w:highlight w:val="none"/>
        </w:rPr>
        <w:t>投标有效期</w:t>
      </w:r>
      <w:r>
        <w:rPr>
          <w:rFonts w:ascii="宋体" w:hAnsi="宋体" w:eastAsia="宋体" w:cs="宋体"/>
          <w:color w:val="auto"/>
          <w:kern w:val="0"/>
          <w:sz w:val="24"/>
          <w:highlight w:val="none"/>
        </w:rPr>
        <w:t>90天，</w:t>
      </w:r>
      <w:r>
        <w:rPr>
          <w:rFonts w:hint="eastAsia" w:ascii="宋体" w:hAnsi="宋体" w:eastAsia="宋体" w:cs="宋体"/>
          <w:color w:val="auto"/>
          <w:sz w:val="24"/>
          <w:highlight w:val="none"/>
        </w:rPr>
        <w:t>从提交投标文件截止日起计算。在提交投标文件截止时间后到招标文件规定的投标有效期终止之前，投标人不得补充、修改或者撤回其投标文件，否则其保证金将被没收。</w:t>
      </w:r>
    </w:p>
    <w:p>
      <w:pPr>
        <w:spacing w:line="360" w:lineRule="auto"/>
        <w:ind w:left="850" w:hanging="849" w:hangingChars="354"/>
        <w:jc w:val="left"/>
        <w:rPr>
          <w:rFonts w:ascii="宋体" w:hAnsi="宋体" w:eastAsia="宋体" w:cs="宋体"/>
          <w:color w:val="auto"/>
          <w:sz w:val="24"/>
          <w:highlight w:val="none"/>
        </w:rPr>
      </w:pPr>
      <w:r>
        <w:rPr>
          <w:rFonts w:ascii="宋体" w:hAnsi="宋体" w:eastAsia="宋体" w:cs="宋体"/>
          <w:color w:val="auto"/>
          <w:sz w:val="24"/>
          <w:highlight w:val="none"/>
        </w:rPr>
        <w:t xml:space="preserve">3.10.3 </w:t>
      </w:r>
      <w:r>
        <w:rPr>
          <w:rFonts w:hint="eastAsia" w:ascii="宋体" w:hAnsi="宋体" w:eastAsia="宋体" w:cs="宋体"/>
          <w:color w:val="auto"/>
          <w:sz w:val="24"/>
          <w:highlight w:val="none"/>
        </w:rPr>
        <w:t>招标人因特殊情况需要延长提交投标文件截止时间，投标人可以拒绝投标，招标人对退出的投标人不作任何经济补偿。同意延长投标有效期的投标人，在延长期内本招标文件的规定仍然适用。</w:t>
      </w:r>
    </w:p>
    <w:p>
      <w:pPr>
        <w:spacing w:line="360" w:lineRule="auto"/>
        <w:ind w:left="850" w:hanging="849" w:hangingChars="354"/>
        <w:rPr>
          <w:rFonts w:ascii="宋体" w:hAnsi="宋体" w:eastAsia="宋体" w:cs="宋体"/>
          <w:color w:val="auto"/>
          <w:kern w:val="0"/>
          <w:sz w:val="24"/>
          <w:highlight w:val="none"/>
        </w:rPr>
      </w:pPr>
    </w:p>
    <w:p>
      <w:pPr>
        <w:spacing w:line="360" w:lineRule="auto"/>
        <w:ind w:left="853" w:hanging="849" w:hangingChars="354"/>
        <w:rPr>
          <w:rFonts w:ascii="宋体" w:hAnsi="宋体" w:eastAsia="宋体" w:cs="宋体"/>
          <w:b/>
          <w:bCs/>
          <w:color w:val="auto"/>
          <w:kern w:val="0"/>
          <w:sz w:val="24"/>
          <w:highlight w:val="none"/>
        </w:rPr>
      </w:pPr>
      <w:r>
        <w:rPr>
          <w:rFonts w:ascii="宋体" w:hAnsi="宋体" w:eastAsia="宋体" w:cs="宋体"/>
          <w:b/>
          <w:bCs/>
          <w:color w:val="auto"/>
          <w:kern w:val="0"/>
          <w:sz w:val="24"/>
          <w:highlight w:val="none"/>
        </w:rPr>
        <w:t xml:space="preserve">3.11    </w:t>
      </w:r>
      <w:r>
        <w:rPr>
          <w:rFonts w:hint="eastAsia" w:ascii="宋体" w:hAnsi="宋体" w:eastAsia="宋体" w:cs="宋体"/>
          <w:b/>
          <w:bCs/>
          <w:color w:val="auto"/>
          <w:kern w:val="0"/>
          <w:sz w:val="24"/>
          <w:highlight w:val="none"/>
        </w:rPr>
        <w:t>投标人不得存在下列情形之一：</w:t>
      </w:r>
    </w:p>
    <w:p>
      <w:pPr>
        <w:spacing w:line="360" w:lineRule="auto"/>
        <w:ind w:left="850" w:hanging="849" w:hangingChars="354"/>
        <w:rPr>
          <w:rFonts w:ascii="宋体" w:hAnsi="宋体" w:eastAsia="宋体" w:cs="宋体"/>
          <w:color w:val="auto"/>
          <w:kern w:val="0"/>
          <w:sz w:val="24"/>
          <w:highlight w:val="none"/>
        </w:rPr>
      </w:pPr>
    </w:p>
    <w:p>
      <w:pPr>
        <w:spacing w:line="360" w:lineRule="auto"/>
        <w:ind w:left="850" w:hanging="849" w:hangingChars="354"/>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ascii="宋体" w:hAnsi="宋体" w:eastAsia="宋体" w:cs="宋体"/>
          <w:color w:val="auto"/>
          <w:kern w:val="0"/>
          <w:sz w:val="24"/>
          <w:highlight w:val="none"/>
        </w:rPr>
        <w:t>1）为招标人不具有独立法人资格的附属机构（单位）；</w:t>
      </w:r>
    </w:p>
    <w:p>
      <w:pPr>
        <w:spacing w:line="360" w:lineRule="auto"/>
        <w:ind w:left="850" w:hanging="849" w:hangingChars="354"/>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ascii="宋体" w:hAnsi="宋体" w:eastAsia="宋体" w:cs="宋体"/>
          <w:color w:val="auto"/>
          <w:kern w:val="0"/>
          <w:sz w:val="24"/>
          <w:highlight w:val="none"/>
        </w:rPr>
        <w:t>2）与招标人存在利害关系且可能影响招标公正性；</w:t>
      </w:r>
    </w:p>
    <w:p>
      <w:pPr>
        <w:spacing w:line="360" w:lineRule="auto"/>
        <w:ind w:left="850" w:hanging="849" w:hangingChars="354"/>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ascii="宋体" w:hAnsi="宋体" w:eastAsia="宋体" w:cs="宋体"/>
          <w:color w:val="auto"/>
          <w:kern w:val="0"/>
          <w:sz w:val="24"/>
          <w:highlight w:val="none"/>
        </w:rPr>
        <w:t>3）与本招标项目的其他投标人为同一个单位负责人；</w:t>
      </w:r>
    </w:p>
    <w:p>
      <w:pPr>
        <w:spacing w:line="360" w:lineRule="auto"/>
        <w:ind w:left="850" w:hanging="849" w:hangingChars="354"/>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ascii="宋体" w:hAnsi="宋体" w:eastAsia="宋体" w:cs="宋体"/>
          <w:color w:val="auto"/>
          <w:kern w:val="0"/>
          <w:sz w:val="24"/>
          <w:highlight w:val="none"/>
        </w:rPr>
        <w:t>4）与本招标项目的其他投标人存在控股、管理关系；</w:t>
      </w:r>
    </w:p>
    <w:p>
      <w:pPr>
        <w:spacing w:line="360" w:lineRule="auto"/>
        <w:ind w:left="850" w:hanging="849" w:hangingChars="354"/>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ascii="宋体" w:hAnsi="宋体" w:eastAsia="宋体" w:cs="宋体"/>
          <w:color w:val="auto"/>
          <w:kern w:val="0"/>
          <w:sz w:val="24"/>
          <w:highlight w:val="none"/>
        </w:rPr>
        <w:t>5）为本招标项目的代建人；</w:t>
      </w:r>
    </w:p>
    <w:p>
      <w:pPr>
        <w:spacing w:line="360" w:lineRule="auto"/>
        <w:ind w:left="850" w:hanging="849" w:hangingChars="354"/>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ascii="宋体" w:hAnsi="宋体" w:eastAsia="宋体" w:cs="宋体"/>
          <w:color w:val="auto"/>
          <w:kern w:val="0"/>
          <w:sz w:val="24"/>
          <w:highlight w:val="none"/>
        </w:rPr>
        <w:t>6）为本招标项目的招标代理机构；</w:t>
      </w:r>
    </w:p>
    <w:p>
      <w:pPr>
        <w:spacing w:line="360" w:lineRule="auto"/>
        <w:ind w:left="850" w:hanging="849" w:hangingChars="354"/>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ascii="宋体" w:hAnsi="宋体" w:eastAsia="宋体" w:cs="宋体"/>
          <w:color w:val="auto"/>
          <w:kern w:val="0"/>
          <w:sz w:val="24"/>
          <w:highlight w:val="none"/>
        </w:rPr>
        <w:t>7）与本招标项目的代建人或招标代理机构同为一个法定代表人；</w:t>
      </w:r>
    </w:p>
    <w:p>
      <w:pPr>
        <w:spacing w:line="360" w:lineRule="auto"/>
        <w:ind w:left="850" w:hanging="849" w:hangingChars="354"/>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ascii="宋体" w:hAnsi="宋体" w:eastAsia="宋体" w:cs="宋体"/>
          <w:color w:val="auto"/>
          <w:kern w:val="0"/>
          <w:sz w:val="24"/>
          <w:highlight w:val="none"/>
        </w:rPr>
        <w:t>8）与本招标项目的代建人或招标代理机构存在控股或参股关系；</w:t>
      </w:r>
    </w:p>
    <w:p>
      <w:pPr>
        <w:spacing w:line="360" w:lineRule="auto"/>
        <w:ind w:left="850" w:hanging="849" w:hangingChars="354"/>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ascii="宋体" w:hAnsi="宋体" w:eastAsia="宋体" w:cs="宋体"/>
          <w:color w:val="auto"/>
          <w:kern w:val="0"/>
          <w:sz w:val="24"/>
          <w:highlight w:val="none"/>
        </w:rPr>
        <w:t>9）被依法暂停或者取消投标资格；</w:t>
      </w:r>
    </w:p>
    <w:p>
      <w:pPr>
        <w:spacing w:line="360" w:lineRule="auto"/>
        <w:ind w:left="850" w:hanging="849" w:hangingChars="354"/>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ascii="宋体" w:hAnsi="宋体" w:eastAsia="宋体" w:cs="宋体"/>
          <w:color w:val="auto"/>
          <w:kern w:val="0"/>
          <w:sz w:val="24"/>
          <w:highlight w:val="none"/>
        </w:rPr>
        <w:t>10）被责令停产停业、暂扣或者吊销许可证、暂扣或者吊销执照；</w:t>
      </w:r>
    </w:p>
    <w:p>
      <w:pPr>
        <w:spacing w:line="360" w:lineRule="auto"/>
        <w:ind w:left="850" w:hanging="849" w:hangingChars="354"/>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ascii="宋体" w:hAnsi="宋体" w:eastAsia="宋体" w:cs="宋体"/>
          <w:color w:val="auto"/>
          <w:kern w:val="0"/>
          <w:sz w:val="24"/>
          <w:highlight w:val="none"/>
        </w:rPr>
        <w:t>11）进入清算程序，或被宣告破产，或其他丧失履约能力的情形；</w:t>
      </w:r>
    </w:p>
    <w:p>
      <w:pPr>
        <w:spacing w:line="360" w:lineRule="auto"/>
        <w:ind w:left="850" w:hanging="849" w:hangingChars="354"/>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ascii="宋体" w:hAnsi="宋体" w:eastAsia="宋体" w:cs="宋体"/>
          <w:color w:val="auto"/>
          <w:kern w:val="0"/>
          <w:sz w:val="24"/>
          <w:highlight w:val="none"/>
        </w:rPr>
        <w:t>12）在最近三年内发生重大设计质量问题（以相关行业主管部门的行政处罚决定或司法机关出具的有关法律文书为准）；</w:t>
      </w:r>
    </w:p>
    <w:p>
      <w:pPr>
        <w:numPr>
          <w:ilvl w:val="0"/>
          <w:numId w:val="1"/>
        </w:numPr>
        <w:spacing w:line="360" w:lineRule="auto"/>
        <w:ind w:left="850" w:hanging="849" w:hangingChars="354"/>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被工商行政管理机关在全国企业信用信息公示系统中列入严重违法失信企业名单；</w:t>
      </w:r>
    </w:p>
    <w:p>
      <w:pPr>
        <w:spacing w:line="360" w:lineRule="auto"/>
        <w:ind w:left="850" w:hanging="849" w:hangingChars="354"/>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ascii="宋体" w:hAnsi="宋体" w:eastAsia="宋体" w:cs="宋体"/>
          <w:color w:val="auto"/>
          <w:kern w:val="0"/>
          <w:sz w:val="24"/>
          <w:highlight w:val="none"/>
        </w:rPr>
        <w:t>14）被最高人民法院在“信用中国”网站（www.creditchina.gov.cn）或各级信用信息共享平台中列入失信被执行人名单；</w:t>
      </w:r>
    </w:p>
    <w:p>
      <w:pPr>
        <w:spacing w:line="360" w:lineRule="auto"/>
        <w:ind w:left="850" w:hanging="849" w:hangingChars="354"/>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ascii="宋体" w:hAnsi="宋体" w:eastAsia="宋体" w:cs="宋体"/>
          <w:color w:val="auto"/>
          <w:kern w:val="0"/>
          <w:sz w:val="24"/>
          <w:highlight w:val="none"/>
        </w:rPr>
        <w:t>15）在近三年内投标人或其法定代表人、拟委任的项目负责人有行贿犯罪行为的。</w:t>
      </w:r>
    </w:p>
    <w:p>
      <w:pPr>
        <w:keepNext/>
        <w:keepLines/>
        <w:spacing w:before="340" w:after="330" w:line="578" w:lineRule="auto"/>
        <w:jc w:val="center"/>
        <w:outlineLvl w:val="1"/>
        <w:rPr>
          <w:rFonts w:ascii="宋体" w:hAnsi="宋体" w:eastAsia="宋体" w:cs="宋体"/>
          <w:b/>
          <w:bCs/>
          <w:color w:val="auto"/>
          <w:kern w:val="44"/>
          <w:sz w:val="24"/>
          <w:highlight w:val="none"/>
        </w:rPr>
      </w:pPr>
      <w:r>
        <w:rPr>
          <w:rFonts w:ascii="宋体" w:hAnsi="宋体" w:eastAsia="宋体" w:cs="宋体"/>
          <w:b/>
          <w:bCs/>
          <w:color w:val="auto"/>
          <w:kern w:val="44"/>
          <w:sz w:val="24"/>
          <w:highlight w:val="none"/>
        </w:rPr>
        <w:br w:type="page"/>
      </w:r>
      <w:bookmarkStart w:id="17" w:name="_Toc97803960"/>
      <w:bookmarkStart w:id="18" w:name="_Toc450"/>
      <w:r>
        <w:rPr>
          <w:rFonts w:hint="eastAsia" w:ascii="宋体" w:hAnsi="宋体" w:eastAsia="宋体" w:cs="宋体"/>
          <w:b/>
          <w:bCs/>
          <w:color w:val="auto"/>
          <w:kern w:val="44"/>
          <w:sz w:val="36"/>
          <w:szCs w:val="36"/>
          <w:highlight w:val="none"/>
        </w:rPr>
        <w:t>第四章</w:t>
      </w:r>
      <w:r>
        <w:rPr>
          <w:rFonts w:ascii="宋体" w:hAnsi="宋体" w:eastAsia="宋体" w:cs="宋体"/>
          <w:b/>
          <w:bCs/>
          <w:color w:val="auto"/>
          <w:kern w:val="44"/>
          <w:sz w:val="36"/>
          <w:szCs w:val="36"/>
          <w:highlight w:val="none"/>
        </w:rPr>
        <w:t xml:space="preserve">  </w:t>
      </w:r>
      <w:r>
        <w:rPr>
          <w:rFonts w:hint="eastAsia" w:ascii="宋体" w:hAnsi="宋体" w:eastAsia="宋体" w:cs="宋体"/>
          <w:b/>
          <w:bCs/>
          <w:color w:val="auto"/>
          <w:kern w:val="44"/>
          <w:sz w:val="36"/>
          <w:szCs w:val="36"/>
          <w:highlight w:val="none"/>
        </w:rPr>
        <w:t>评标</w:t>
      </w:r>
      <w:bookmarkEnd w:id="17"/>
      <w:r>
        <w:rPr>
          <w:rFonts w:hint="eastAsia" w:ascii="宋体" w:hAnsi="宋体" w:eastAsia="宋体" w:cs="宋体"/>
          <w:b/>
          <w:bCs/>
          <w:color w:val="auto"/>
          <w:kern w:val="44"/>
          <w:sz w:val="36"/>
          <w:szCs w:val="36"/>
          <w:highlight w:val="none"/>
          <w:u w:val="single"/>
        </w:rPr>
        <w:t>（范本原文）</w:t>
      </w:r>
      <w:bookmarkEnd w:id="18"/>
    </w:p>
    <w:p>
      <w:pPr>
        <w:spacing w:line="360" w:lineRule="auto"/>
        <w:ind w:left="425" w:hanging="424" w:hangingChars="177"/>
        <w:rPr>
          <w:rFonts w:ascii="宋体" w:hAnsi="宋体" w:eastAsia="宋体" w:cs="宋体"/>
          <w:color w:val="auto"/>
          <w:kern w:val="0"/>
          <w:sz w:val="24"/>
          <w:highlight w:val="none"/>
        </w:rPr>
      </w:pPr>
    </w:p>
    <w:p>
      <w:pPr>
        <w:spacing w:line="360" w:lineRule="auto"/>
        <w:ind w:left="426" w:hanging="424" w:hangingChars="177"/>
        <w:rPr>
          <w:rFonts w:ascii="宋体" w:hAnsi="宋体" w:eastAsia="宋体" w:cs="宋体"/>
          <w:b/>
          <w:bCs/>
          <w:color w:val="auto"/>
          <w:sz w:val="24"/>
          <w:highlight w:val="none"/>
        </w:rPr>
      </w:pPr>
      <w:r>
        <w:rPr>
          <w:rFonts w:ascii="宋体" w:hAnsi="宋体" w:eastAsia="宋体" w:cs="宋体"/>
          <w:b/>
          <w:bCs/>
          <w:color w:val="auto"/>
          <w:sz w:val="24"/>
          <w:highlight w:val="none"/>
        </w:rPr>
        <w:t xml:space="preserve">4.1    </w:t>
      </w:r>
      <w:r>
        <w:rPr>
          <w:rFonts w:hint="eastAsia" w:ascii="宋体" w:hAnsi="宋体" w:eastAsia="宋体" w:cs="宋体"/>
          <w:b/>
          <w:bCs/>
          <w:color w:val="auto"/>
          <w:sz w:val="24"/>
          <w:highlight w:val="none"/>
        </w:rPr>
        <w:t>否决投标</w:t>
      </w:r>
    </w:p>
    <w:p>
      <w:pPr>
        <w:spacing w:line="360" w:lineRule="auto"/>
        <w:ind w:left="425" w:hanging="424" w:hangingChars="177"/>
        <w:rPr>
          <w:rFonts w:ascii="宋体" w:hAnsi="宋体" w:eastAsia="宋体" w:cs="宋体"/>
          <w:color w:val="auto"/>
          <w:sz w:val="24"/>
          <w:highlight w:val="none"/>
        </w:rPr>
      </w:pPr>
    </w:p>
    <w:p>
      <w:pPr>
        <w:spacing w:line="360" w:lineRule="auto"/>
        <w:ind w:left="425" w:hanging="424" w:hangingChars="177"/>
        <w:rPr>
          <w:rFonts w:ascii="宋体" w:hAnsi="宋体" w:eastAsia="宋体" w:cs="宋体"/>
          <w:color w:val="auto"/>
          <w:sz w:val="24"/>
          <w:highlight w:val="none"/>
        </w:rPr>
      </w:pPr>
      <w:r>
        <w:rPr>
          <w:rFonts w:ascii="宋体" w:hAnsi="宋体" w:eastAsia="宋体" w:cs="宋体"/>
          <w:color w:val="auto"/>
          <w:sz w:val="24"/>
          <w:highlight w:val="none"/>
        </w:rPr>
        <w:t xml:space="preserve">4.1.1  </w:t>
      </w:r>
      <w:r>
        <w:rPr>
          <w:rFonts w:hint="eastAsia" w:ascii="宋体" w:hAnsi="宋体" w:eastAsia="宋体" w:cs="宋体"/>
          <w:color w:val="auto"/>
          <w:sz w:val="24"/>
          <w:highlight w:val="none"/>
        </w:rPr>
        <w:t>投标人有下列情况之一的，评标委员会应当否决其投标：</w:t>
      </w:r>
    </w:p>
    <w:p>
      <w:pPr>
        <w:spacing w:line="360" w:lineRule="auto"/>
        <w:ind w:left="425" w:hanging="424" w:hangingChars="177"/>
        <w:rPr>
          <w:rFonts w:ascii="宋体" w:hAnsi="宋体" w:eastAsia="宋体" w:cs="宋体"/>
          <w:color w:val="auto"/>
          <w:sz w:val="24"/>
          <w:highlight w:val="none"/>
        </w:rPr>
      </w:pPr>
      <w:r>
        <w:rPr>
          <w:rFonts w:ascii="宋体" w:hAnsi="宋体" w:eastAsia="宋体" w:cs="宋体"/>
          <w:color w:val="auto"/>
          <w:sz w:val="24"/>
          <w:highlight w:val="none"/>
        </w:rPr>
        <w:t xml:space="preserve">   (a) 投标人与招标人、评标委员会成员或者其他投标人串通投标；</w:t>
      </w:r>
    </w:p>
    <w:p>
      <w:pPr>
        <w:spacing w:line="360" w:lineRule="auto"/>
        <w:ind w:left="425" w:hanging="424" w:hangingChars="177"/>
        <w:rPr>
          <w:rFonts w:ascii="宋体" w:hAnsi="宋体" w:eastAsia="宋体" w:cs="宋体"/>
          <w:color w:val="auto"/>
          <w:sz w:val="24"/>
          <w:highlight w:val="none"/>
        </w:rPr>
      </w:pPr>
      <w:r>
        <w:rPr>
          <w:rFonts w:ascii="宋体" w:hAnsi="宋体" w:eastAsia="宋体" w:cs="宋体"/>
          <w:color w:val="auto"/>
          <w:sz w:val="24"/>
          <w:highlight w:val="none"/>
        </w:rPr>
        <w:t xml:space="preserve">   (b) 投标人之间存在《广东省实施&lt;</w:t>
      </w:r>
      <w:r>
        <w:rPr>
          <w:rFonts w:hint="eastAsia" w:ascii="宋体" w:hAnsi="宋体" w:eastAsia="宋体" w:cs="宋体"/>
          <w:color w:val="auto"/>
          <w:sz w:val="24"/>
          <w:highlight w:val="none"/>
        </w:rPr>
        <w:t>中华人民共和国招标投标法</w:t>
      </w:r>
      <w:r>
        <w:rPr>
          <w:rFonts w:ascii="宋体" w:hAnsi="宋体" w:eastAsia="宋体" w:cs="宋体"/>
          <w:color w:val="auto"/>
          <w:sz w:val="24"/>
          <w:highlight w:val="none"/>
        </w:rPr>
        <w:t>&gt;</w:t>
      </w:r>
      <w:r>
        <w:rPr>
          <w:rFonts w:hint="eastAsia" w:ascii="宋体" w:hAnsi="宋体" w:eastAsia="宋体" w:cs="宋体"/>
          <w:color w:val="auto"/>
          <w:sz w:val="24"/>
          <w:highlight w:val="none"/>
        </w:rPr>
        <w:t>》第十六条所禁止的情形的；</w:t>
      </w:r>
    </w:p>
    <w:p>
      <w:pPr>
        <w:spacing w:line="360" w:lineRule="auto"/>
        <w:ind w:left="425" w:hanging="424" w:hangingChars="177"/>
        <w:rPr>
          <w:rFonts w:ascii="宋体" w:hAnsi="宋体" w:eastAsia="宋体" w:cs="宋体"/>
          <w:color w:val="auto"/>
          <w:sz w:val="24"/>
          <w:highlight w:val="none"/>
        </w:rPr>
      </w:pPr>
      <w:r>
        <w:rPr>
          <w:rFonts w:ascii="宋体" w:hAnsi="宋体" w:eastAsia="宋体" w:cs="宋体"/>
          <w:color w:val="auto"/>
          <w:sz w:val="24"/>
          <w:highlight w:val="none"/>
        </w:rPr>
        <w:t xml:space="preserve">4.1.2  </w:t>
      </w:r>
      <w:r>
        <w:rPr>
          <w:rFonts w:hint="eastAsia" w:ascii="宋体" w:hAnsi="宋体" w:eastAsia="宋体" w:cs="宋体"/>
          <w:color w:val="auto"/>
          <w:sz w:val="24"/>
          <w:highlight w:val="none"/>
        </w:rPr>
        <w:t>有下列情况之一的，评标委员会应当否决其投标：</w:t>
      </w:r>
    </w:p>
    <w:p>
      <w:pPr>
        <w:spacing w:line="360" w:lineRule="auto"/>
        <w:ind w:left="425" w:hanging="424" w:hangingChars="177"/>
        <w:rPr>
          <w:rFonts w:ascii="宋体" w:hAnsi="宋体" w:eastAsia="宋体" w:cs="宋体"/>
          <w:color w:val="auto"/>
          <w:sz w:val="24"/>
          <w:highlight w:val="none"/>
        </w:rPr>
      </w:pPr>
      <w:r>
        <w:rPr>
          <w:rFonts w:ascii="宋体" w:hAnsi="宋体" w:eastAsia="宋体" w:cs="宋体"/>
          <w:color w:val="auto"/>
          <w:sz w:val="24"/>
          <w:highlight w:val="none"/>
        </w:rPr>
        <w:t xml:space="preserve">   (a) 《投标书》未加盖投标人公章，也未经法定代表人或者其授权代表签字；</w:t>
      </w:r>
    </w:p>
    <w:p>
      <w:pPr>
        <w:spacing w:line="360" w:lineRule="auto"/>
        <w:ind w:left="425" w:hanging="424" w:hangingChars="177"/>
        <w:rPr>
          <w:rFonts w:ascii="宋体" w:hAnsi="宋体" w:eastAsia="宋体" w:cs="宋体"/>
          <w:color w:val="auto"/>
          <w:sz w:val="24"/>
          <w:highlight w:val="none"/>
        </w:rPr>
      </w:pPr>
      <w:r>
        <w:rPr>
          <w:rFonts w:ascii="宋体" w:hAnsi="宋体" w:eastAsia="宋体" w:cs="宋体"/>
          <w:color w:val="auto"/>
          <w:sz w:val="24"/>
          <w:highlight w:val="none"/>
        </w:rPr>
        <w:t xml:space="preserve">   (b) 《投标书》包含有招标人不能接受的偏差，并且投标人拒绝书面撤回偏差；</w:t>
      </w:r>
    </w:p>
    <w:p>
      <w:pPr>
        <w:spacing w:line="360" w:lineRule="auto"/>
        <w:ind w:left="425" w:hanging="424" w:hangingChars="177"/>
        <w:rPr>
          <w:rFonts w:ascii="宋体" w:hAnsi="宋体" w:eastAsia="宋体" w:cs="宋体"/>
          <w:color w:val="auto"/>
          <w:sz w:val="24"/>
          <w:highlight w:val="none"/>
        </w:rPr>
      </w:pPr>
      <w:r>
        <w:rPr>
          <w:rFonts w:ascii="宋体" w:hAnsi="宋体" w:eastAsia="宋体" w:cs="宋体"/>
          <w:color w:val="auto"/>
          <w:sz w:val="24"/>
          <w:highlight w:val="none"/>
        </w:rPr>
        <w:t xml:space="preserve">   (c) 《投标人声明》未按规定格式填写或未加盖投标人公章（适用于未设资格审查环节的项目）；</w:t>
      </w:r>
    </w:p>
    <w:p>
      <w:pPr>
        <w:spacing w:line="360" w:lineRule="auto"/>
        <w:ind w:left="425" w:hanging="424" w:hangingChars="177"/>
        <w:rPr>
          <w:rFonts w:ascii="宋体" w:hAnsi="宋体" w:eastAsia="宋体" w:cs="宋体"/>
          <w:color w:val="auto"/>
          <w:sz w:val="24"/>
          <w:highlight w:val="none"/>
        </w:rPr>
      </w:pPr>
      <w:r>
        <w:rPr>
          <w:rFonts w:ascii="宋体" w:hAnsi="宋体" w:eastAsia="宋体" w:cs="宋体"/>
          <w:color w:val="auto"/>
          <w:sz w:val="24"/>
          <w:highlight w:val="none"/>
        </w:rPr>
        <w:t xml:space="preserve">4.1.3  </w:t>
      </w:r>
      <w:r>
        <w:rPr>
          <w:rFonts w:hint="eastAsia" w:ascii="宋体" w:hAnsi="宋体" w:eastAsia="宋体" w:cs="宋体"/>
          <w:color w:val="auto"/>
          <w:sz w:val="24"/>
          <w:highlight w:val="none"/>
        </w:rPr>
        <w:t>投标文件有下列情况之一的，评标委员会应当否决其投标：</w:t>
      </w:r>
    </w:p>
    <w:p>
      <w:pPr>
        <w:spacing w:line="360" w:lineRule="auto"/>
        <w:ind w:left="425" w:hanging="424" w:hangingChars="177"/>
        <w:jc w:val="left"/>
        <w:rPr>
          <w:rFonts w:ascii="宋体" w:hAnsi="宋体" w:eastAsia="宋体" w:cs="宋体"/>
          <w:color w:val="auto"/>
          <w:sz w:val="24"/>
          <w:highlight w:val="none"/>
        </w:rPr>
      </w:pPr>
      <w:r>
        <w:rPr>
          <w:rFonts w:ascii="宋体" w:hAnsi="宋体" w:eastAsia="宋体" w:cs="宋体"/>
          <w:color w:val="auto"/>
          <w:sz w:val="24"/>
          <w:highlight w:val="none"/>
        </w:rPr>
        <w:t xml:space="preserve">   (a) 投标人与其他投标人加密打包投标文件电脑机器特征码一致的；</w:t>
      </w:r>
    </w:p>
    <w:p>
      <w:pPr>
        <w:spacing w:line="360" w:lineRule="auto"/>
        <w:ind w:left="425" w:hanging="424" w:hangingChars="177"/>
        <w:rPr>
          <w:rFonts w:ascii="宋体" w:hAnsi="宋体" w:eastAsia="宋体" w:cs="宋体"/>
          <w:color w:val="auto"/>
          <w:sz w:val="24"/>
          <w:highlight w:val="none"/>
        </w:rPr>
      </w:pPr>
      <w:r>
        <w:rPr>
          <w:rFonts w:ascii="宋体" w:hAnsi="宋体" w:eastAsia="宋体" w:cs="宋体"/>
          <w:color w:val="auto"/>
          <w:sz w:val="24"/>
          <w:highlight w:val="none"/>
        </w:rPr>
        <w:t xml:space="preserve">   (b) 投标人在设计方案内标注名称、印章、商标、图形等记认符号，使人辨认出投标人或其专业技术人员的身份；</w:t>
      </w:r>
    </w:p>
    <w:p>
      <w:pPr>
        <w:spacing w:line="360" w:lineRule="auto"/>
        <w:ind w:left="425" w:hanging="424" w:hangingChars="177"/>
        <w:rPr>
          <w:rFonts w:ascii="宋体" w:hAnsi="宋体" w:eastAsia="宋体" w:cs="宋体"/>
          <w:color w:val="auto"/>
          <w:sz w:val="24"/>
          <w:highlight w:val="none"/>
        </w:rPr>
      </w:pPr>
      <w:r>
        <w:rPr>
          <w:rFonts w:ascii="宋体" w:hAnsi="宋体" w:eastAsia="宋体" w:cs="宋体"/>
          <w:color w:val="auto"/>
          <w:sz w:val="24"/>
          <w:highlight w:val="none"/>
        </w:rPr>
        <w:t xml:space="preserve">   (c)投标人之间存在《广东省实施&lt;</w:t>
      </w:r>
      <w:r>
        <w:rPr>
          <w:rFonts w:hint="eastAsia" w:ascii="宋体" w:hAnsi="宋体" w:eastAsia="宋体" w:cs="宋体"/>
          <w:color w:val="auto"/>
          <w:sz w:val="24"/>
          <w:highlight w:val="none"/>
        </w:rPr>
        <w:t>中华人民共和国招标投标法</w:t>
      </w:r>
      <w:r>
        <w:rPr>
          <w:rFonts w:ascii="宋体" w:hAnsi="宋体" w:eastAsia="宋体" w:cs="宋体"/>
          <w:color w:val="auto"/>
          <w:sz w:val="24"/>
          <w:highlight w:val="none"/>
        </w:rPr>
        <w:t>&gt;</w:t>
      </w:r>
      <w:r>
        <w:rPr>
          <w:rFonts w:hint="eastAsia" w:ascii="宋体" w:hAnsi="宋体" w:eastAsia="宋体" w:cs="宋体"/>
          <w:color w:val="auto"/>
          <w:sz w:val="24"/>
          <w:highlight w:val="none"/>
        </w:rPr>
        <w:t>》第十六条所禁止的情形的；</w:t>
      </w:r>
    </w:p>
    <w:p>
      <w:pPr>
        <w:spacing w:line="360" w:lineRule="auto"/>
        <w:ind w:left="425" w:hanging="424" w:hangingChars="177"/>
        <w:rPr>
          <w:rFonts w:ascii="宋体" w:hAnsi="宋体" w:eastAsia="宋体" w:cs="宋体"/>
          <w:color w:val="auto"/>
          <w:sz w:val="24"/>
          <w:highlight w:val="none"/>
        </w:rPr>
      </w:pPr>
      <w:r>
        <w:rPr>
          <w:rFonts w:ascii="宋体" w:hAnsi="宋体" w:eastAsia="宋体" w:cs="宋体"/>
          <w:color w:val="auto"/>
          <w:sz w:val="24"/>
          <w:highlight w:val="none"/>
        </w:rPr>
        <w:t xml:space="preserve">  （d）投标报价高于最高投标限价的。</w:t>
      </w:r>
    </w:p>
    <w:p>
      <w:pPr>
        <w:spacing w:line="360" w:lineRule="auto"/>
        <w:ind w:left="425" w:hanging="424" w:hangingChars="177"/>
        <w:rPr>
          <w:rFonts w:ascii="宋体" w:hAnsi="宋体" w:eastAsia="宋体" w:cs="宋体"/>
          <w:color w:val="auto"/>
          <w:sz w:val="24"/>
          <w:highlight w:val="none"/>
        </w:rPr>
      </w:pPr>
      <w:r>
        <w:rPr>
          <w:rFonts w:ascii="宋体" w:hAnsi="宋体" w:eastAsia="宋体" w:cs="宋体"/>
          <w:color w:val="auto"/>
          <w:sz w:val="24"/>
          <w:highlight w:val="none"/>
        </w:rPr>
        <w:t xml:space="preserve">4.1.4  </w:t>
      </w:r>
      <w:r>
        <w:rPr>
          <w:rFonts w:hint="eastAsia" w:ascii="宋体" w:hAnsi="宋体" w:eastAsia="宋体" w:cs="宋体"/>
          <w:color w:val="auto"/>
          <w:sz w:val="24"/>
          <w:highlight w:val="none"/>
        </w:rPr>
        <w:t>投标人有下列情况之一的，视为串通投标：</w:t>
      </w:r>
    </w:p>
    <w:p>
      <w:pPr>
        <w:spacing w:line="360" w:lineRule="auto"/>
        <w:ind w:left="425" w:hanging="424" w:hangingChars="177"/>
        <w:rPr>
          <w:rFonts w:ascii="宋体" w:hAnsi="宋体" w:eastAsia="宋体" w:cs="宋体"/>
          <w:color w:val="auto"/>
          <w:sz w:val="24"/>
          <w:highlight w:val="none"/>
        </w:rPr>
      </w:pPr>
      <w:r>
        <w:rPr>
          <w:rFonts w:ascii="宋体" w:hAnsi="宋体" w:eastAsia="宋体" w:cs="宋体"/>
          <w:color w:val="auto"/>
          <w:sz w:val="24"/>
          <w:highlight w:val="none"/>
        </w:rPr>
        <w:t xml:space="preserve">   (a) 递交投标文件前，投标人私下向招标人或其雇员出示或告知投标文件内容；</w:t>
      </w:r>
    </w:p>
    <w:p>
      <w:pPr>
        <w:spacing w:line="360" w:lineRule="auto"/>
        <w:ind w:left="425" w:hanging="424" w:hangingChars="177"/>
        <w:rPr>
          <w:rFonts w:ascii="宋体" w:hAnsi="宋体" w:eastAsia="宋体" w:cs="宋体"/>
          <w:color w:val="auto"/>
          <w:sz w:val="24"/>
          <w:highlight w:val="none"/>
        </w:rPr>
      </w:pPr>
      <w:r>
        <w:rPr>
          <w:rFonts w:ascii="宋体" w:hAnsi="宋体" w:eastAsia="宋体" w:cs="宋体"/>
          <w:color w:val="auto"/>
          <w:sz w:val="24"/>
          <w:highlight w:val="none"/>
        </w:rPr>
        <w:t xml:space="preserve">   (b) 评标表决结束前，投标人私下向评标委员会成员出示或告知投标文件内容；</w:t>
      </w:r>
    </w:p>
    <w:p>
      <w:pPr>
        <w:spacing w:line="360" w:lineRule="auto"/>
        <w:ind w:left="425" w:hanging="424" w:hangingChars="177"/>
        <w:rPr>
          <w:rFonts w:ascii="宋体" w:hAnsi="宋体" w:eastAsia="宋体" w:cs="宋体"/>
          <w:color w:val="auto"/>
          <w:sz w:val="24"/>
          <w:highlight w:val="none"/>
        </w:rPr>
      </w:pPr>
      <w:r>
        <w:rPr>
          <w:rFonts w:ascii="宋体" w:hAnsi="宋体" w:eastAsia="宋体" w:cs="宋体"/>
          <w:color w:val="auto"/>
          <w:sz w:val="24"/>
          <w:highlight w:val="none"/>
        </w:rPr>
        <w:t xml:space="preserve">   (c) 评标结果揭晓前，投标人与招标人就投标价格、投标方案等实质性内容进行谈判。</w:t>
      </w:r>
    </w:p>
    <w:p>
      <w:pPr>
        <w:spacing w:line="360" w:lineRule="auto"/>
        <w:ind w:left="425" w:hanging="424" w:hangingChars="177"/>
        <w:rPr>
          <w:rFonts w:ascii="宋体" w:hAnsi="宋体" w:eastAsia="宋体" w:cs="宋体"/>
          <w:color w:val="auto"/>
          <w:sz w:val="24"/>
          <w:highlight w:val="none"/>
        </w:rPr>
      </w:pPr>
      <w:r>
        <w:rPr>
          <w:rFonts w:ascii="宋体" w:hAnsi="宋体" w:eastAsia="宋体" w:cs="宋体"/>
          <w:color w:val="auto"/>
          <w:sz w:val="24"/>
          <w:highlight w:val="none"/>
        </w:rPr>
        <w:t xml:space="preserve">4.1.5  </w:t>
      </w:r>
      <w:r>
        <w:rPr>
          <w:rFonts w:hint="eastAsia" w:ascii="宋体" w:hAnsi="宋体" w:eastAsia="宋体" w:cs="宋体"/>
          <w:color w:val="auto"/>
          <w:sz w:val="24"/>
          <w:highlight w:val="none"/>
        </w:rPr>
        <w:t>发生下列情形之一的，招标人应当重新组织招标：</w:t>
      </w:r>
    </w:p>
    <w:p>
      <w:pPr>
        <w:spacing w:line="360" w:lineRule="auto"/>
        <w:ind w:left="425" w:hanging="424" w:hangingChars="177"/>
        <w:rPr>
          <w:rFonts w:ascii="宋体" w:hAnsi="宋体" w:eastAsia="宋体" w:cs="宋体"/>
          <w:color w:val="auto"/>
          <w:sz w:val="24"/>
          <w:highlight w:val="none"/>
        </w:rPr>
      </w:pPr>
      <w:r>
        <w:rPr>
          <w:rFonts w:ascii="宋体" w:hAnsi="宋体" w:eastAsia="宋体" w:cs="宋体"/>
          <w:color w:val="auto"/>
          <w:sz w:val="24"/>
          <w:highlight w:val="none"/>
        </w:rPr>
        <w:t xml:space="preserve">   (a) 递交投标文件或通过资格审查的投标人不足三人；</w:t>
      </w:r>
    </w:p>
    <w:p>
      <w:pPr>
        <w:spacing w:line="360" w:lineRule="auto"/>
        <w:ind w:left="425" w:hanging="424" w:hangingChars="177"/>
        <w:rPr>
          <w:rFonts w:ascii="宋体" w:hAnsi="宋体" w:eastAsia="宋体" w:cs="宋体"/>
          <w:color w:val="auto"/>
          <w:sz w:val="24"/>
          <w:highlight w:val="none"/>
        </w:rPr>
      </w:pPr>
      <w:r>
        <w:rPr>
          <w:rFonts w:ascii="宋体" w:hAnsi="宋体" w:eastAsia="宋体" w:cs="宋体"/>
          <w:color w:val="auto"/>
          <w:sz w:val="24"/>
          <w:highlight w:val="none"/>
        </w:rPr>
        <w:t xml:space="preserve">   (b) 所有投标被否决，或者经评议有效投标的投标人少于三人；</w:t>
      </w:r>
    </w:p>
    <w:p>
      <w:pPr>
        <w:spacing w:line="360" w:lineRule="auto"/>
        <w:ind w:left="425" w:hanging="424" w:hangingChars="177"/>
        <w:rPr>
          <w:rFonts w:ascii="宋体" w:hAnsi="宋体" w:eastAsia="宋体" w:cs="宋体"/>
          <w:color w:val="auto"/>
          <w:sz w:val="24"/>
          <w:highlight w:val="none"/>
        </w:rPr>
      </w:pPr>
      <w:r>
        <w:rPr>
          <w:rFonts w:ascii="宋体" w:hAnsi="宋体" w:eastAsia="宋体" w:cs="宋体"/>
          <w:color w:val="auto"/>
          <w:sz w:val="24"/>
          <w:highlight w:val="none"/>
        </w:rPr>
        <w:t xml:space="preserve">   (c) 经项目审批部门会同行业主管部门裁定招标投标结果无效；</w:t>
      </w:r>
    </w:p>
    <w:p>
      <w:pPr>
        <w:spacing w:line="360" w:lineRule="auto"/>
        <w:ind w:left="425" w:hanging="424" w:hangingChars="177"/>
        <w:rPr>
          <w:rFonts w:ascii="宋体" w:hAnsi="宋体" w:eastAsia="宋体" w:cs="宋体"/>
          <w:color w:val="auto"/>
          <w:sz w:val="24"/>
          <w:highlight w:val="none"/>
        </w:rPr>
      </w:pPr>
      <w:r>
        <w:rPr>
          <w:rFonts w:ascii="宋体" w:hAnsi="宋体" w:eastAsia="宋体" w:cs="宋体"/>
          <w:color w:val="auto"/>
          <w:sz w:val="24"/>
          <w:highlight w:val="none"/>
        </w:rPr>
        <w:t xml:space="preserve">4.1.6  </w:t>
      </w:r>
      <w:r>
        <w:rPr>
          <w:rFonts w:hint="eastAsia" w:ascii="宋体" w:hAnsi="宋体" w:eastAsia="宋体" w:cs="宋体"/>
          <w:color w:val="auto"/>
          <w:sz w:val="24"/>
          <w:highlight w:val="none"/>
        </w:rPr>
        <w:t>否决投标的决定由评标委员会作出，其他投标人无权干涉。</w:t>
      </w:r>
    </w:p>
    <w:p>
      <w:pPr>
        <w:spacing w:line="360" w:lineRule="auto"/>
        <w:ind w:left="425" w:hanging="424" w:hangingChars="177"/>
        <w:rPr>
          <w:rFonts w:ascii="宋体" w:hAnsi="宋体" w:eastAsia="宋体" w:cs="宋体"/>
          <w:color w:val="auto"/>
          <w:sz w:val="24"/>
          <w:highlight w:val="none"/>
        </w:rPr>
      </w:pPr>
      <w:r>
        <w:rPr>
          <w:rFonts w:ascii="宋体" w:hAnsi="宋体" w:eastAsia="宋体" w:cs="宋体"/>
          <w:color w:val="auto"/>
          <w:sz w:val="24"/>
          <w:highlight w:val="none"/>
        </w:rPr>
        <w:t xml:space="preserve">4.1.7  </w:t>
      </w:r>
      <w:r>
        <w:rPr>
          <w:rFonts w:hint="eastAsia" w:ascii="宋体" w:hAnsi="宋体" w:eastAsia="宋体" w:cs="宋体"/>
          <w:color w:val="auto"/>
          <w:sz w:val="24"/>
          <w:highlight w:val="none"/>
        </w:rPr>
        <w:t>投标文件如果隐瞒不符合评审标准的事实，一切法律责任由投标人承担。</w:t>
      </w:r>
    </w:p>
    <w:p>
      <w:pPr>
        <w:spacing w:line="360" w:lineRule="auto"/>
        <w:ind w:left="425" w:hanging="424" w:hangingChars="177"/>
        <w:rPr>
          <w:rFonts w:ascii="宋体" w:hAnsi="宋体" w:eastAsia="宋体" w:cs="宋体"/>
          <w:color w:val="auto"/>
          <w:sz w:val="24"/>
          <w:highlight w:val="none"/>
        </w:rPr>
      </w:pPr>
    </w:p>
    <w:p>
      <w:pPr>
        <w:spacing w:line="360" w:lineRule="auto"/>
        <w:ind w:left="426" w:hanging="424" w:hangingChars="177"/>
        <w:rPr>
          <w:rFonts w:ascii="宋体" w:hAnsi="宋体" w:eastAsia="宋体" w:cs="宋体"/>
          <w:b/>
          <w:bCs/>
          <w:color w:val="auto"/>
          <w:kern w:val="0"/>
          <w:sz w:val="24"/>
          <w:highlight w:val="none"/>
        </w:rPr>
      </w:pPr>
      <w:r>
        <w:rPr>
          <w:rFonts w:ascii="宋体" w:hAnsi="宋体" w:eastAsia="宋体" w:cs="宋体"/>
          <w:b/>
          <w:bCs/>
          <w:color w:val="auto"/>
          <w:kern w:val="0"/>
          <w:sz w:val="24"/>
          <w:highlight w:val="none"/>
        </w:rPr>
        <w:t xml:space="preserve">4.2    </w:t>
      </w:r>
      <w:r>
        <w:rPr>
          <w:rFonts w:hint="eastAsia" w:ascii="宋体" w:hAnsi="宋体" w:eastAsia="宋体" w:cs="宋体"/>
          <w:b/>
          <w:bCs/>
          <w:color w:val="auto"/>
          <w:kern w:val="0"/>
          <w:sz w:val="24"/>
          <w:highlight w:val="none"/>
        </w:rPr>
        <w:t>评标委员会</w:t>
      </w:r>
    </w:p>
    <w:p>
      <w:pPr>
        <w:spacing w:line="360" w:lineRule="auto"/>
        <w:ind w:left="425" w:hanging="424" w:hangingChars="177"/>
        <w:rPr>
          <w:rFonts w:ascii="宋体" w:hAnsi="宋体" w:eastAsia="宋体" w:cs="宋体"/>
          <w:color w:val="auto"/>
          <w:kern w:val="0"/>
          <w:sz w:val="24"/>
          <w:highlight w:val="none"/>
        </w:rPr>
      </w:pPr>
    </w:p>
    <w:p>
      <w:pPr>
        <w:spacing w:line="360" w:lineRule="auto"/>
        <w:ind w:left="850" w:hanging="849" w:hangingChars="354"/>
        <w:rPr>
          <w:rFonts w:ascii="宋体" w:hAnsi="宋体" w:eastAsia="宋体" w:cs="宋体"/>
          <w:color w:val="auto"/>
          <w:kern w:val="0"/>
          <w:sz w:val="24"/>
          <w:highlight w:val="none"/>
        </w:rPr>
      </w:pPr>
      <w:r>
        <w:rPr>
          <w:rFonts w:ascii="宋体" w:hAnsi="宋体" w:eastAsia="宋体" w:cs="宋体"/>
          <w:color w:val="auto"/>
          <w:kern w:val="0"/>
          <w:sz w:val="24"/>
          <w:highlight w:val="none"/>
        </w:rPr>
        <w:t xml:space="preserve">4.2.1  </w:t>
      </w:r>
      <w:r>
        <w:rPr>
          <w:rFonts w:hint="eastAsia" w:ascii="宋体" w:hAnsi="宋体" w:eastAsia="宋体" w:cs="宋体"/>
          <w:color w:val="auto"/>
          <w:kern w:val="0"/>
          <w:sz w:val="24"/>
          <w:highlight w:val="none"/>
        </w:rPr>
        <w:t>评标委员会由专家和业主代表组成，专家不得少于评标委员会成员总数的三分之二。专家一般从政府评标专家库随机抽取，技术特别复杂、专业性要求特别高或者国家有特别要求的项目，采取随机抽取方式确定的专家难以胜任的，可以由招标人直接确定。</w:t>
      </w:r>
    </w:p>
    <w:p>
      <w:pPr>
        <w:spacing w:line="360" w:lineRule="auto"/>
        <w:ind w:left="850" w:hanging="849" w:hangingChars="354"/>
        <w:rPr>
          <w:rFonts w:ascii="宋体" w:hAnsi="宋体" w:eastAsia="宋体" w:cs="宋体"/>
          <w:color w:val="auto"/>
          <w:kern w:val="0"/>
          <w:sz w:val="24"/>
          <w:highlight w:val="none"/>
        </w:rPr>
      </w:pPr>
      <w:r>
        <w:rPr>
          <w:rFonts w:ascii="宋体" w:hAnsi="宋体" w:eastAsia="宋体" w:cs="宋体"/>
          <w:color w:val="auto"/>
          <w:kern w:val="0"/>
          <w:sz w:val="24"/>
          <w:highlight w:val="none"/>
        </w:rPr>
        <w:t xml:space="preserve">4.2.2  </w:t>
      </w:r>
      <w:r>
        <w:rPr>
          <w:rFonts w:hint="eastAsia" w:ascii="宋体" w:hAnsi="宋体" w:eastAsia="宋体" w:cs="宋体"/>
          <w:color w:val="auto"/>
          <w:kern w:val="0"/>
          <w:sz w:val="24"/>
          <w:highlight w:val="none"/>
        </w:rPr>
        <w:t>评标委员会随机产生一名负责人，主持评审工作，在每一轮投票中，负责人与其他成员有同等表决权。每一轮投票结束后，如果有得票相同的投标方案，则评标委员会对得票相同的投标方案进行附加投票表决排序和取舍。</w:t>
      </w:r>
    </w:p>
    <w:p>
      <w:pPr>
        <w:spacing w:line="360" w:lineRule="auto"/>
        <w:ind w:left="850" w:hanging="849" w:hangingChars="354"/>
        <w:rPr>
          <w:rFonts w:ascii="宋体" w:hAnsi="宋体" w:eastAsia="宋体" w:cs="宋体"/>
          <w:color w:val="auto"/>
          <w:kern w:val="0"/>
          <w:sz w:val="24"/>
          <w:highlight w:val="none"/>
        </w:rPr>
      </w:pPr>
      <w:r>
        <w:rPr>
          <w:rFonts w:ascii="宋体" w:hAnsi="宋体" w:eastAsia="宋体" w:cs="宋体"/>
          <w:color w:val="auto"/>
          <w:kern w:val="0"/>
          <w:sz w:val="24"/>
          <w:highlight w:val="none"/>
        </w:rPr>
        <w:t xml:space="preserve">4.2.3  </w:t>
      </w:r>
      <w:r>
        <w:rPr>
          <w:rFonts w:hint="eastAsia" w:ascii="宋体" w:hAnsi="宋体" w:eastAsia="宋体" w:cs="宋体"/>
          <w:color w:val="auto"/>
          <w:kern w:val="0"/>
          <w:sz w:val="24"/>
          <w:highlight w:val="none"/>
        </w:rPr>
        <w:t>评标委员会成员至少应了解和熟悉招标的目标、范围、性质、主要技术要求和标准、商务条款、评标标准、评标方法和在评标过程中考虑的相关因素，并对所提出的评审意见承担个人责任。</w:t>
      </w:r>
    </w:p>
    <w:p>
      <w:pPr>
        <w:spacing w:line="360" w:lineRule="auto"/>
        <w:ind w:left="850" w:hanging="849" w:hangingChars="354"/>
        <w:rPr>
          <w:rFonts w:ascii="宋体" w:hAnsi="宋体" w:eastAsia="宋体" w:cs="宋体"/>
          <w:color w:val="auto"/>
          <w:kern w:val="0"/>
          <w:sz w:val="24"/>
          <w:highlight w:val="none"/>
        </w:rPr>
      </w:pPr>
      <w:r>
        <w:rPr>
          <w:rFonts w:ascii="宋体" w:hAnsi="宋体" w:eastAsia="宋体" w:cs="宋体"/>
          <w:color w:val="auto"/>
          <w:kern w:val="0"/>
          <w:sz w:val="24"/>
          <w:highlight w:val="none"/>
        </w:rPr>
        <w:t xml:space="preserve">4.2.4  </w:t>
      </w:r>
      <w:r>
        <w:rPr>
          <w:rFonts w:hint="eastAsia" w:ascii="宋体" w:hAnsi="宋体" w:eastAsia="宋体" w:cs="宋体"/>
          <w:color w:val="auto"/>
          <w:kern w:val="0"/>
          <w:sz w:val="24"/>
          <w:highlight w:val="none"/>
        </w:rPr>
        <w:t>下列人员不得担任评标委员会成员：</w:t>
      </w:r>
    </w:p>
    <w:p>
      <w:pPr>
        <w:spacing w:line="360" w:lineRule="auto"/>
        <w:ind w:left="850" w:hanging="849" w:hangingChars="354"/>
        <w:rPr>
          <w:rFonts w:ascii="宋体" w:hAnsi="宋体" w:eastAsia="宋体" w:cs="宋体"/>
          <w:color w:val="auto"/>
          <w:kern w:val="0"/>
          <w:sz w:val="24"/>
          <w:highlight w:val="none"/>
        </w:rPr>
      </w:pPr>
      <w:r>
        <w:rPr>
          <w:rFonts w:ascii="宋体" w:hAnsi="宋体" w:eastAsia="宋体" w:cs="宋体"/>
          <w:color w:val="auto"/>
          <w:kern w:val="0"/>
          <w:sz w:val="24"/>
          <w:highlight w:val="none"/>
        </w:rPr>
        <w:t xml:space="preserve">   (a) 从事相关领域工作不满八年（招标人代表除外）；</w:t>
      </w:r>
    </w:p>
    <w:p>
      <w:pPr>
        <w:spacing w:line="360" w:lineRule="auto"/>
        <w:ind w:left="850" w:hanging="849" w:hangingChars="354"/>
        <w:rPr>
          <w:rFonts w:ascii="宋体" w:hAnsi="宋体" w:eastAsia="宋体" w:cs="宋体"/>
          <w:color w:val="auto"/>
          <w:kern w:val="0"/>
          <w:sz w:val="24"/>
          <w:highlight w:val="none"/>
        </w:rPr>
      </w:pPr>
      <w:r>
        <w:rPr>
          <w:rFonts w:ascii="宋体" w:hAnsi="宋体" w:eastAsia="宋体" w:cs="宋体"/>
          <w:color w:val="auto"/>
          <w:kern w:val="0"/>
          <w:sz w:val="24"/>
          <w:highlight w:val="none"/>
        </w:rPr>
        <w:t xml:space="preserve">   (b) 不具有高级职称或者同等专业水平（招标人代表除外）；</w:t>
      </w:r>
    </w:p>
    <w:p>
      <w:pPr>
        <w:spacing w:line="360" w:lineRule="auto"/>
        <w:ind w:left="850" w:hanging="849" w:hangingChars="354"/>
        <w:rPr>
          <w:rFonts w:ascii="宋体" w:hAnsi="宋体" w:eastAsia="宋体" w:cs="宋体"/>
          <w:color w:val="auto"/>
          <w:kern w:val="0"/>
          <w:sz w:val="24"/>
          <w:highlight w:val="none"/>
        </w:rPr>
      </w:pPr>
      <w:r>
        <w:rPr>
          <w:rFonts w:ascii="宋体" w:hAnsi="宋体" w:eastAsia="宋体" w:cs="宋体"/>
          <w:color w:val="auto"/>
          <w:kern w:val="0"/>
          <w:sz w:val="24"/>
          <w:highlight w:val="none"/>
        </w:rPr>
        <w:t xml:space="preserve">   (c) 不熟悉评审本项目所必须的专业知识（招标人代表除外）；</w:t>
      </w:r>
    </w:p>
    <w:p>
      <w:pPr>
        <w:spacing w:line="360" w:lineRule="auto"/>
        <w:ind w:left="850" w:hanging="849" w:hangingChars="354"/>
        <w:rPr>
          <w:rFonts w:ascii="宋体" w:hAnsi="宋体" w:eastAsia="宋体" w:cs="宋体"/>
          <w:color w:val="auto"/>
          <w:kern w:val="0"/>
          <w:sz w:val="24"/>
          <w:highlight w:val="none"/>
        </w:rPr>
      </w:pPr>
      <w:r>
        <w:rPr>
          <w:rFonts w:ascii="宋体" w:hAnsi="宋体" w:eastAsia="宋体" w:cs="宋体"/>
          <w:color w:val="auto"/>
          <w:kern w:val="0"/>
          <w:sz w:val="24"/>
          <w:highlight w:val="none"/>
        </w:rPr>
        <w:t xml:space="preserve">   (d) 评标前浏览过本项目的某个投标文件；</w:t>
      </w:r>
    </w:p>
    <w:p>
      <w:pPr>
        <w:spacing w:line="360" w:lineRule="auto"/>
        <w:ind w:left="850" w:hanging="849" w:hangingChars="354"/>
        <w:rPr>
          <w:rFonts w:ascii="宋体" w:hAnsi="宋体" w:eastAsia="宋体" w:cs="宋体"/>
          <w:color w:val="auto"/>
          <w:kern w:val="0"/>
          <w:sz w:val="24"/>
          <w:highlight w:val="none"/>
        </w:rPr>
      </w:pPr>
      <w:r>
        <w:rPr>
          <w:rFonts w:ascii="宋体" w:hAnsi="宋体" w:eastAsia="宋体" w:cs="宋体"/>
          <w:color w:val="auto"/>
          <w:kern w:val="0"/>
          <w:sz w:val="24"/>
          <w:highlight w:val="none"/>
        </w:rPr>
        <w:t xml:space="preserve">   (e) 与投标人有利害关系；</w:t>
      </w:r>
    </w:p>
    <w:p>
      <w:pPr>
        <w:spacing w:line="360" w:lineRule="auto"/>
        <w:ind w:left="850" w:hanging="849" w:hangingChars="354"/>
        <w:rPr>
          <w:rFonts w:ascii="宋体" w:hAnsi="宋体" w:eastAsia="宋体" w:cs="宋体"/>
          <w:color w:val="auto"/>
          <w:kern w:val="0"/>
          <w:sz w:val="24"/>
          <w:highlight w:val="none"/>
        </w:rPr>
      </w:pPr>
      <w:r>
        <w:rPr>
          <w:rFonts w:ascii="宋体" w:hAnsi="宋体" w:eastAsia="宋体" w:cs="宋体"/>
          <w:color w:val="auto"/>
          <w:kern w:val="0"/>
          <w:sz w:val="24"/>
          <w:highlight w:val="none"/>
        </w:rPr>
        <w:t xml:space="preserve">   (f) 招标代理机构的工作人员。</w:t>
      </w:r>
    </w:p>
    <w:p>
      <w:pPr>
        <w:spacing w:line="360" w:lineRule="auto"/>
        <w:ind w:left="850" w:hanging="849" w:hangingChars="354"/>
        <w:rPr>
          <w:rFonts w:ascii="宋体" w:hAnsi="宋体" w:eastAsia="宋体" w:cs="宋体"/>
          <w:color w:val="auto"/>
          <w:kern w:val="0"/>
          <w:sz w:val="24"/>
          <w:highlight w:val="none"/>
        </w:rPr>
      </w:pPr>
      <w:r>
        <w:rPr>
          <w:rFonts w:ascii="宋体" w:hAnsi="宋体" w:eastAsia="宋体" w:cs="宋体"/>
          <w:color w:val="auto"/>
          <w:kern w:val="0"/>
          <w:sz w:val="24"/>
          <w:highlight w:val="none"/>
        </w:rPr>
        <w:t xml:space="preserve">4.2.5  </w:t>
      </w:r>
      <w:r>
        <w:rPr>
          <w:rFonts w:hint="eastAsia" w:ascii="宋体" w:hAnsi="宋体" w:eastAsia="宋体" w:cs="宋体"/>
          <w:color w:val="auto"/>
          <w:kern w:val="0"/>
          <w:sz w:val="24"/>
          <w:highlight w:val="none"/>
        </w:rPr>
        <w:t>如果评标专家到达评标地点后发现不符合本项目评标资格，酬金或交通费用按相关规定执行。</w:t>
      </w:r>
    </w:p>
    <w:p>
      <w:pPr>
        <w:spacing w:line="360" w:lineRule="auto"/>
        <w:ind w:left="850" w:hanging="849" w:hangingChars="354"/>
        <w:rPr>
          <w:rFonts w:ascii="宋体" w:hAnsi="宋体" w:eastAsia="宋体" w:cs="宋体"/>
          <w:color w:val="auto"/>
          <w:kern w:val="0"/>
          <w:sz w:val="24"/>
          <w:highlight w:val="none"/>
        </w:rPr>
      </w:pPr>
      <w:r>
        <w:rPr>
          <w:rFonts w:ascii="宋体" w:hAnsi="宋体" w:eastAsia="宋体" w:cs="宋体"/>
          <w:color w:val="auto"/>
          <w:kern w:val="0"/>
          <w:sz w:val="24"/>
          <w:highlight w:val="none"/>
        </w:rPr>
        <w:t xml:space="preserve">4.2.6  </w:t>
      </w:r>
      <w:r>
        <w:rPr>
          <w:rFonts w:hint="eastAsia" w:ascii="宋体" w:hAnsi="宋体" w:eastAsia="宋体" w:cs="宋体"/>
          <w:color w:val="auto"/>
          <w:kern w:val="0"/>
          <w:sz w:val="24"/>
          <w:highlight w:val="none"/>
        </w:rPr>
        <w:t>评标委员会成员不得私下接触投标人，不得收受投标人的财物或者其他好处。</w:t>
      </w:r>
    </w:p>
    <w:p>
      <w:pPr>
        <w:spacing w:line="360" w:lineRule="auto"/>
        <w:ind w:left="850" w:hanging="849" w:hangingChars="354"/>
        <w:rPr>
          <w:rFonts w:ascii="宋体" w:hAnsi="宋体" w:eastAsia="宋体" w:cs="宋体"/>
          <w:color w:val="auto"/>
          <w:sz w:val="24"/>
          <w:highlight w:val="none"/>
        </w:rPr>
      </w:pPr>
      <w:r>
        <w:rPr>
          <w:rFonts w:ascii="宋体" w:hAnsi="宋体" w:eastAsia="宋体" w:cs="宋体"/>
          <w:color w:val="auto"/>
          <w:sz w:val="24"/>
          <w:highlight w:val="none"/>
        </w:rPr>
        <w:t xml:space="preserve">4.2.7  </w:t>
      </w:r>
      <w:r>
        <w:rPr>
          <w:rFonts w:hint="eastAsia" w:ascii="宋体" w:hAnsi="宋体" w:eastAsia="宋体" w:cs="宋体"/>
          <w:color w:val="auto"/>
          <w:sz w:val="24"/>
          <w:highlight w:val="none"/>
        </w:rPr>
        <w:t>评标委员会开展工作期间发生的费用和劳务报酬由招标人承担，若招标人与招标代理机构另有协议，按协议执行。</w:t>
      </w:r>
    </w:p>
    <w:p>
      <w:pPr>
        <w:spacing w:line="360" w:lineRule="auto"/>
        <w:ind w:left="850" w:hanging="849" w:hangingChars="354"/>
        <w:rPr>
          <w:rFonts w:ascii="宋体" w:hAnsi="宋体" w:eastAsia="宋体" w:cs="宋体"/>
          <w:color w:val="auto"/>
          <w:kern w:val="0"/>
          <w:sz w:val="24"/>
          <w:highlight w:val="none"/>
        </w:rPr>
      </w:pPr>
      <w:r>
        <w:rPr>
          <w:rFonts w:ascii="宋体" w:hAnsi="宋体" w:eastAsia="宋体" w:cs="宋体"/>
          <w:color w:val="auto"/>
          <w:kern w:val="0"/>
          <w:sz w:val="24"/>
          <w:highlight w:val="none"/>
        </w:rPr>
        <w:t xml:space="preserve">4.2.8  </w:t>
      </w:r>
      <w:r>
        <w:rPr>
          <w:rFonts w:hint="eastAsia" w:ascii="宋体" w:hAnsi="宋体" w:eastAsia="宋体" w:cs="宋体"/>
          <w:color w:val="auto"/>
          <w:kern w:val="0"/>
          <w:sz w:val="24"/>
          <w:highlight w:val="none"/>
        </w:rPr>
        <w:t>评标结果在评标结束后公示，接受公众监督。</w:t>
      </w:r>
    </w:p>
    <w:p>
      <w:pPr>
        <w:spacing w:line="360" w:lineRule="auto"/>
        <w:ind w:left="850" w:hanging="849" w:hangingChars="354"/>
        <w:rPr>
          <w:rFonts w:ascii="宋体" w:hAnsi="宋体" w:eastAsia="宋体" w:cs="宋体"/>
          <w:color w:val="auto"/>
          <w:kern w:val="0"/>
          <w:sz w:val="24"/>
          <w:highlight w:val="none"/>
        </w:rPr>
      </w:pPr>
    </w:p>
    <w:p>
      <w:pPr>
        <w:spacing w:line="360" w:lineRule="auto"/>
        <w:ind w:left="853" w:hanging="849" w:hangingChars="354"/>
        <w:rPr>
          <w:rFonts w:ascii="宋体" w:hAnsi="宋体" w:eastAsia="宋体" w:cs="宋体"/>
          <w:b/>
          <w:color w:val="auto"/>
          <w:kern w:val="0"/>
          <w:sz w:val="24"/>
          <w:highlight w:val="none"/>
        </w:rPr>
      </w:pPr>
      <w:r>
        <w:rPr>
          <w:rFonts w:ascii="宋体" w:hAnsi="宋体" w:eastAsia="宋体" w:cs="宋体"/>
          <w:b/>
          <w:color w:val="auto"/>
          <w:kern w:val="0"/>
          <w:sz w:val="24"/>
          <w:highlight w:val="none"/>
        </w:rPr>
        <w:t xml:space="preserve">4.3    </w:t>
      </w:r>
      <w:r>
        <w:rPr>
          <w:rFonts w:hint="eastAsia" w:ascii="宋体" w:hAnsi="宋体" w:eastAsia="宋体" w:cs="宋体"/>
          <w:b/>
          <w:color w:val="auto"/>
          <w:kern w:val="0"/>
          <w:sz w:val="24"/>
          <w:highlight w:val="none"/>
        </w:rPr>
        <w:t>定标委员会（如有）</w:t>
      </w:r>
    </w:p>
    <w:p>
      <w:pPr>
        <w:spacing w:line="360" w:lineRule="auto"/>
        <w:ind w:left="850" w:hanging="849" w:hangingChars="354"/>
        <w:rPr>
          <w:rFonts w:ascii="宋体" w:hAnsi="宋体" w:eastAsia="宋体" w:cs="宋体"/>
          <w:color w:val="auto"/>
          <w:kern w:val="0"/>
          <w:sz w:val="24"/>
          <w:highlight w:val="none"/>
        </w:rPr>
      </w:pPr>
      <w:r>
        <w:rPr>
          <w:rFonts w:ascii="宋体" w:hAnsi="宋体" w:eastAsia="宋体" w:cs="宋体"/>
          <w:color w:val="auto"/>
          <w:kern w:val="0"/>
          <w:sz w:val="24"/>
          <w:highlight w:val="none"/>
        </w:rPr>
        <w:t xml:space="preserve">4.3.1  </w:t>
      </w:r>
      <w:r>
        <w:rPr>
          <w:rFonts w:hint="eastAsia" w:ascii="宋体" w:hAnsi="宋体" w:eastAsia="宋体" w:cs="宋体"/>
          <w:color w:val="auto"/>
          <w:kern w:val="0"/>
          <w:sz w:val="24"/>
          <w:highlight w:val="none"/>
        </w:rPr>
        <w:t>定标委员会由招标人组建。组建办法详见附表</w:t>
      </w:r>
      <w:r>
        <w:rPr>
          <w:rFonts w:ascii="宋体" w:hAnsi="宋体" w:eastAsia="宋体" w:cs="宋体"/>
          <w:color w:val="auto"/>
          <w:kern w:val="0"/>
          <w:sz w:val="24"/>
          <w:highlight w:val="none"/>
        </w:rPr>
        <w:t>13《定标委员会的组成》</w:t>
      </w:r>
    </w:p>
    <w:p>
      <w:pPr>
        <w:spacing w:line="360" w:lineRule="auto"/>
        <w:ind w:left="850" w:hanging="849" w:hangingChars="354"/>
        <w:rPr>
          <w:rFonts w:ascii="宋体" w:hAnsi="宋体" w:eastAsia="宋体" w:cs="宋体"/>
          <w:color w:val="auto"/>
          <w:kern w:val="0"/>
          <w:sz w:val="24"/>
          <w:highlight w:val="none"/>
        </w:rPr>
      </w:pPr>
    </w:p>
    <w:p>
      <w:pPr>
        <w:spacing w:line="360" w:lineRule="auto"/>
        <w:ind w:left="853" w:hanging="849" w:hangingChars="354"/>
        <w:rPr>
          <w:rFonts w:ascii="宋体" w:hAnsi="宋体" w:eastAsia="宋体" w:cs="宋体"/>
          <w:b/>
          <w:bCs/>
          <w:color w:val="auto"/>
          <w:sz w:val="24"/>
          <w:highlight w:val="none"/>
        </w:rPr>
      </w:pPr>
      <w:r>
        <w:rPr>
          <w:rFonts w:ascii="宋体" w:hAnsi="宋体" w:eastAsia="宋体" w:cs="宋体"/>
          <w:b/>
          <w:bCs/>
          <w:color w:val="auto"/>
          <w:sz w:val="24"/>
          <w:highlight w:val="none"/>
        </w:rPr>
        <w:t xml:space="preserve">4.4    </w:t>
      </w:r>
      <w:r>
        <w:rPr>
          <w:rFonts w:hint="eastAsia" w:ascii="宋体" w:hAnsi="宋体" w:eastAsia="宋体" w:cs="宋体"/>
          <w:b/>
          <w:bCs/>
          <w:color w:val="auto"/>
          <w:sz w:val="24"/>
          <w:highlight w:val="none"/>
        </w:rPr>
        <w:t>评标原则</w:t>
      </w:r>
    </w:p>
    <w:p>
      <w:pPr>
        <w:spacing w:line="360" w:lineRule="auto"/>
        <w:ind w:left="850" w:hanging="849" w:hangingChars="354"/>
        <w:rPr>
          <w:rFonts w:ascii="宋体" w:hAnsi="宋体" w:eastAsia="宋体" w:cs="宋体"/>
          <w:color w:val="auto"/>
          <w:sz w:val="24"/>
          <w:highlight w:val="none"/>
        </w:rPr>
      </w:pPr>
    </w:p>
    <w:p>
      <w:pPr>
        <w:spacing w:line="360" w:lineRule="auto"/>
        <w:ind w:left="850" w:hanging="849" w:hangingChars="354"/>
        <w:rPr>
          <w:rFonts w:ascii="宋体" w:hAnsi="宋体" w:eastAsia="宋体" w:cs="宋体"/>
          <w:color w:val="auto"/>
          <w:sz w:val="24"/>
          <w:highlight w:val="none"/>
        </w:rPr>
      </w:pPr>
      <w:r>
        <w:rPr>
          <w:rFonts w:ascii="宋体" w:hAnsi="宋体" w:eastAsia="宋体" w:cs="宋体"/>
          <w:color w:val="auto"/>
          <w:sz w:val="24"/>
          <w:highlight w:val="none"/>
        </w:rPr>
        <w:t xml:space="preserve">4.4.1  </w:t>
      </w:r>
      <w:r>
        <w:rPr>
          <w:rFonts w:hint="eastAsia" w:ascii="宋体" w:hAnsi="宋体" w:eastAsia="宋体" w:cs="宋体"/>
          <w:color w:val="auto"/>
          <w:sz w:val="24"/>
          <w:highlight w:val="none"/>
        </w:rPr>
        <w:t>评标委员会根据招标文件规定的评标标准和方法，对投标文件进行评审和比较，招标文件中没有规定的标准和方法不得作为评标的依据。</w:t>
      </w:r>
    </w:p>
    <w:p>
      <w:pPr>
        <w:spacing w:line="360" w:lineRule="auto"/>
        <w:ind w:left="850" w:hanging="849" w:hangingChars="354"/>
        <w:rPr>
          <w:rFonts w:ascii="宋体" w:hAnsi="宋体" w:eastAsia="宋体" w:cs="宋体"/>
          <w:color w:val="auto"/>
          <w:sz w:val="24"/>
          <w:highlight w:val="none"/>
        </w:rPr>
      </w:pPr>
      <w:r>
        <w:rPr>
          <w:rFonts w:ascii="宋体" w:hAnsi="宋体" w:eastAsia="宋体" w:cs="宋体"/>
          <w:color w:val="auto"/>
          <w:sz w:val="24"/>
          <w:highlight w:val="none"/>
        </w:rPr>
        <w:t xml:space="preserve">4.4.2  </w:t>
      </w:r>
      <w:r>
        <w:rPr>
          <w:rFonts w:hint="eastAsia" w:ascii="宋体" w:hAnsi="宋体" w:eastAsia="宋体" w:cs="宋体"/>
          <w:color w:val="auto"/>
          <w:sz w:val="24"/>
          <w:highlight w:val="none"/>
        </w:rPr>
        <w:t>在符合招标文件规定的前提下，评标委员会主要对投标方案的经济性、独创性、优越性、功能和造型、运行和维护费用、对环境的影响等进行比选、评价和裁定，确定方案的优劣。</w:t>
      </w:r>
    </w:p>
    <w:p>
      <w:pPr>
        <w:spacing w:line="360" w:lineRule="auto"/>
        <w:ind w:left="850" w:hanging="849" w:hangingChars="354"/>
        <w:jc w:val="left"/>
        <w:rPr>
          <w:rFonts w:ascii="宋体" w:hAnsi="宋体" w:eastAsia="宋体" w:cs="宋体"/>
          <w:color w:val="auto"/>
          <w:sz w:val="24"/>
          <w:highlight w:val="none"/>
        </w:rPr>
      </w:pPr>
      <w:r>
        <w:rPr>
          <w:rFonts w:ascii="宋体" w:hAnsi="宋体" w:eastAsia="宋体" w:cs="宋体"/>
          <w:color w:val="auto"/>
          <w:sz w:val="24"/>
          <w:highlight w:val="none"/>
        </w:rPr>
        <w:t xml:space="preserve">4.4.3  </w:t>
      </w:r>
      <w:r>
        <w:rPr>
          <w:rFonts w:hint="eastAsia" w:ascii="宋体" w:hAnsi="宋体" w:eastAsia="宋体" w:cs="宋体"/>
          <w:color w:val="auto"/>
          <w:sz w:val="24"/>
          <w:highlight w:val="none"/>
        </w:rPr>
        <w:t>开标、评标过程发现的问题和产生的纠纷，由评标委员会负责裁决。裁决前，评标委员会应认真阅读招标文件的规定，并征询招标人、招标代理机构、交易服务机构、招标管理机构、监督机构等各方代表的意见。除非符合否决投标的条件，否则投标文件存在的其他缺陷和失误，由评标委员会在评估时综合考虑，不作否决投标处理。</w:t>
      </w:r>
    </w:p>
    <w:p>
      <w:pPr>
        <w:spacing w:line="360" w:lineRule="auto"/>
        <w:ind w:left="850" w:hanging="849" w:hangingChars="354"/>
        <w:rPr>
          <w:rFonts w:ascii="宋体" w:hAnsi="宋体" w:eastAsia="宋体" w:cs="宋体"/>
          <w:bCs/>
          <w:color w:val="auto"/>
          <w:sz w:val="24"/>
          <w:highlight w:val="none"/>
        </w:rPr>
      </w:pPr>
      <w:r>
        <w:rPr>
          <w:rFonts w:ascii="宋体" w:hAnsi="宋体" w:eastAsia="宋体" w:cs="宋体"/>
          <w:color w:val="auto"/>
          <w:sz w:val="24"/>
          <w:highlight w:val="none"/>
        </w:rPr>
        <w:t xml:space="preserve">4.4.4  </w:t>
      </w:r>
      <w:r>
        <w:rPr>
          <w:rFonts w:hint="eastAsia" w:ascii="宋体" w:hAnsi="宋体" w:eastAsia="宋体" w:cs="宋体"/>
          <w:bCs/>
          <w:color w:val="auto"/>
          <w:sz w:val="24"/>
          <w:highlight w:val="none"/>
        </w:rPr>
        <w:t>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p>
      <w:pPr>
        <w:spacing w:line="360" w:lineRule="auto"/>
        <w:ind w:left="850" w:hanging="849" w:hangingChars="354"/>
        <w:rPr>
          <w:rFonts w:ascii="宋体" w:hAnsi="宋体" w:eastAsia="宋体" w:cs="宋体"/>
          <w:color w:val="auto"/>
          <w:sz w:val="24"/>
          <w:highlight w:val="none"/>
        </w:rPr>
      </w:pPr>
      <w:r>
        <w:rPr>
          <w:rFonts w:ascii="宋体" w:hAnsi="宋体" w:eastAsia="宋体" w:cs="宋体"/>
          <w:color w:val="auto"/>
          <w:sz w:val="24"/>
          <w:highlight w:val="none"/>
        </w:rPr>
        <w:t xml:space="preserve">4.4.5  </w:t>
      </w:r>
      <w:r>
        <w:rPr>
          <w:rFonts w:hint="eastAsia" w:ascii="宋体" w:hAnsi="宋体" w:eastAsia="宋体" w:cs="宋体"/>
          <w:color w:val="auto"/>
          <w:sz w:val="24"/>
          <w:highlight w:val="none"/>
        </w:rPr>
        <w:t>如果少数投标人超越招标文件要求提交了模型、演示动画或发生其他特殊情况，评标委员会对超越招标文件要求的内容不进行评审，只评审该投标文件符合要求的内容。</w:t>
      </w:r>
    </w:p>
    <w:p>
      <w:pPr>
        <w:spacing w:line="360" w:lineRule="auto"/>
        <w:ind w:left="850" w:hanging="849" w:hangingChars="354"/>
        <w:rPr>
          <w:rFonts w:ascii="宋体" w:hAnsi="宋体" w:eastAsia="宋体" w:cs="宋体"/>
          <w:color w:val="auto"/>
          <w:sz w:val="24"/>
          <w:highlight w:val="none"/>
        </w:rPr>
      </w:pPr>
      <w:r>
        <w:rPr>
          <w:rFonts w:ascii="宋体" w:hAnsi="宋体" w:eastAsia="宋体" w:cs="宋体"/>
          <w:color w:val="auto"/>
          <w:sz w:val="24"/>
          <w:highlight w:val="none"/>
        </w:rPr>
        <w:t xml:space="preserve">4.4.6  </w:t>
      </w:r>
      <w:r>
        <w:rPr>
          <w:rFonts w:hint="eastAsia" w:ascii="宋体" w:hAnsi="宋体" w:eastAsia="宋体" w:cs="宋体"/>
          <w:color w:val="auto"/>
          <w:sz w:val="24"/>
          <w:highlight w:val="none"/>
        </w:rPr>
        <w:t>评标委员会经评审，认为所有投标都不符合招标文件要求的，可以否决所有投标。如果所有投标被否决而重新招标，评标委员会成员及其从业机构不得参加投标。</w:t>
      </w:r>
    </w:p>
    <w:p>
      <w:pPr>
        <w:spacing w:line="360" w:lineRule="auto"/>
        <w:ind w:left="850" w:hanging="849" w:hangingChars="354"/>
        <w:rPr>
          <w:rFonts w:ascii="宋体" w:hAnsi="宋体" w:eastAsia="宋体" w:cs="宋体"/>
          <w:color w:val="auto"/>
          <w:sz w:val="24"/>
          <w:highlight w:val="none"/>
        </w:rPr>
      </w:pPr>
    </w:p>
    <w:p>
      <w:pPr>
        <w:spacing w:line="360" w:lineRule="auto"/>
        <w:ind w:left="853" w:hanging="849" w:hangingChars="354"/>
        <w:rPr>
          <w:rFonts w:ascii="宋体" w:hAnsi="宋体" w:eastAsia="宋体" w:cs="宋体"/>
          <w:b/>
          <w:bCs/>
          <w:color w:val="auto"/>
          <w:sz w:val="24"/>
          <w:highlight w:val="none"/>
        </w:rPr>
      </w:pPr>
      <w:r>
        <w:rPr>
          <w:rFonts w:ascii="宋体" w:hAnsi="宋体" w:eastAsia="宋体" w:cs="宋体"/>
          <w:b/>
          <w:bCs/>
          <w:color w:val="auto"/>
          <w:sz w:val="24"/>
          <w:highlight w:val="none"/>
        </w:rPr>
        <w:t xml:space="preserve">4.5    </w:t>
      </w:r>
      <w:r>
        <w:rPr>
          <w:rFonts w:hint="eastAsia" w:ascii="宋体" w:hAnsi="宋体" w:eastAsia="宋体" w:cs="宋体"/>
          <w:b/>
          <w:bCs/>
          <w:color w:val="auto"/>
          <w:sz w:val="24"/>
          <w:highlight w:val="none"/>
        </w:rPr>
        <w:t>评标办法</w:t>
      </w:r>
    </w:p>
    <w:p>
      <w:pPr>
        <w:spacing w:line="360" w:lineRule="auto"/>
        <w:ind w:left="850" w:hanging="849" w:hangingChars="354"/>
        <w:rPr>
          <w:rFonts w:ascii="宋体" w:hAnsi="宋体" w:eastAsia="宋体" w:cs="宋体"/>
          <w:b/>
          <w:bCs/>
          <w:color w:val="auto"/>
          <w:sz w:val="24"/>
          <w:highlight w:val="none"/>
        </w:rPr>
      </w:pPr>
      <w:r>
        <w:rPr>
          <w:rFonts w:ascii="宋体" w:hAnsi="宋体" w:eastAsia="宋体" w:cs="宋体"/>
          <w:color w:val="auto"/>
          <w:sz w:val="24"/>
          <w:highlight w:val="none"/>
        </w:rPr>
        <w:t xml:space="preserve">[注释] </w:t>
      </w:r>
      <w:r>
        <w:rPr>
          <w:rFonts w:hint="eastAsia" w:ascii="宋体" w:hAnsi="宋体" w:eastAsia="宋体" w:cs="宋体"/>
          <w:color w:val="auto"/>
          <w:sz w:val="24"/>
          <w:highlight w:val="none"/>
        </w:rPr>
        <w:t>招标人应在招标文件修改表中明确适用于本项目的评标方法。</w:t>
      </w:r>
    </w:p>
    <w:p>
      <w:pPr>
        <w:spacing w:line="360" w:lineRule="auto"/>
        <w:ind w:left="850" w:hanging="849" w:hangingChars="354"/>
        <w:rPr>
          <w:rFonts w:ascii="宋体" w:hAnsi="宋体" w:eastAsia="宋体" w:cs="宋体"/>
          <w:color w:val="auto"/>
          <w:sz w:val="24"/>
          <w:highlight w:val="none"/>
        </w:rPr>
      </w:pPr>
    </w:p>
    <w:p>
      <w:pPr>
        <w:spacing w:line="360" w:lineRule="auto"/>
        <w:ind w:left="850" w:hanging="849" w:hangingChars="354"/>
        <w:rPr>
          <w:rFonts w:ascii="宋体" w:hAnsi="宋体" w:eastAsia="宋体" w:cs="宋体"/>
          <w:color w:val="auto"/>
          <w:sz w:val="24"/>
          <w:highlight w:val="none"/>
        </w:rPr>
      </w:pPr>
      <w:r>
        <w:rPr>
          <w:rFonts w:ascii="宋体" w:hAnsi="宋体" w:eastAsia="宋体" w:cs="宋体"/>
          <w:color w:val="auto"/>
          <w:sz w:val="24"/>
          <w:highlight w:val="none"/>
        </w:rPr>
        <w:t xml:space="preserve">4.5.1  </w:t>
      </w:r>
      <w:r>
        <w:rPr>
          <w:rFonts w:hint="eastAsia" w:ascii="宋体" w:hAnsi="宋体" w:eastAsia="宋体" w:cs="宋体"/>
          <w:color w:val="auto"/>
          <w:sz w:val="24"/>
          <w:highlight w:val="none"/>
        </w:rPr>
        <w:t>是否采用评定分离：□是，入围定标环节的投标人家数：</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名；</w:t>
      </w:r>
      <w:r>
        <w:rPr>
          <w:rFonts w:ascii="宋体" w:hAnsi="宋体" w:eastAsia="宋体" w:cs="宋体"/>
          <w:color w:val="auto"/>
          <w:sz w:val="24"/>
          <w:highlight w:val="none"/>
        </w:rPr>
        <w:t xml:space="preserve"> </w:t>
      </w:r>
    </w:p>
    <w:p>
      <w:pPr>
        <w:spacing w:line="360" w:lineRule="auto"/>
        <w:ind w:left="850" w:hanging="849" w:hangingChars="354"/>
        <w:rPr>
          <w:rFonts w:ascii="宋体" w:hAnsi="宋体" w:eastAsia="宋体" w:cs="宋体"/>
          <w:color w:val="auto"/>
          <w:sz w:val="24"/>
          <w:highlight w:val="none"/>
        </w:rPr>
      </w:pPr>
      <w:r>
        <w:rPr>
          <w:rFonts w:ascii="宋体" w:hAnsi="宋体" w:eastAsia="宋体" w:cs="宋体"/>
          <w:color w:val="auto"/>
          <w:sz w:val="24"/>
          <w:highlight w:val="none"/>
        </w:rPr>
        <w:t xml:space="preserve">                         □否。</w:t>
      </w:r>
    </w:p>
    <w:p>
      <w:pPr>
        <w:spacing w:line="360" w:lineRule="auto"/>
        <w:ind w:left="850" w:hanging="849" w:hangingChars="354"/>
        <w:jc w:val="left"/>
        <w:rPr>
          <w:rFonts w:ascii="宋体" w:hAnsi="宋体" w:eastAsia="宋体" w:cs="宋体"/>
          <w:color w:val="auto"/>
          <w:sz w:val="24"/>
          <w:highlight w:val="none"/>
        </w:rPr>
      </w:pPr>
      <w:r>
        <w:rPr>
          <w:rFonts w:ascii="宋体" w:hAnsi="宋体" w:eastAsia="宋体" w:cs="宋体"/>
          <w:color w:val="auto"/>
          <w:sz w:val="24"/>
          <w:highlight w:val="none"/>
        </w:rPr>
        <w:t xml:space="preserve">4.5.2  </w:t>
      </w:r>
      <w:r>
        <w:rPr>
          <w:rFonts w:hint="eastAsia" w:ascii="宋体" w:hAnsi="宋体" w:eastAsia="宋体" w:cs="宋体"/>
          <w:color w:val="auto"/>
          <w:sz w:val="24"/>
          <w:highlight w:val="none"/>
        </w:rPr>
        <w:t>不采用评定分离项目的评标办法</w:t>
      </w:r>
    </w:p>
    <w:p>
      <w:pPr>
        <w:spacing w:line="360" w:lineRule="auto"/>
        <w:ind w:left="850" w:hanging="849" w:hangingChars="354"/>
        <w:jc w:val="left"/>
        <w:rPr>
          <w:rFonts w:ascii="宋体" w:hAnsi="宋体" w:eastAsia="宋体" w:cs="宋体"/>
          <w:color w:val="auto"/>
          <w:sz w:val="24"/>
          <w:highlight w:val="none"/>
        </w:rPr>
      </w:pPr>
      <w:r>
        <w:rPr>
          <w:rFonts w:ascii="宋体" w:hAnsi="宋体" w:eastAsia="宋体" w:cs="宋体"/>
          <w:color w:val="auto"/>
          <w:sz w:val="24"/>
          <w:highlight w:val="none"/>
        </w:rPr>
        <w:t>4.5.2.1招标人（招标代理机构）在不透露投标人身份的前提下（资格审查文件除外）将投标文件交给评标委员会，除4.5.2.2(g)中规定，不需要投标人派代表介绍投标方案。</w:t>
      </w:r>
    </w:p>
    <w:p>
      <w:pPr>
        <w:spacing w:line="360" w:lineRule="auto"/>
        <w:ind w:left="850" w:hanging="849" w:hangingChars="354"/>
        <w:jc w:val="left"/>
        <w:rPr>
          <w:rFonts w:ascii="宋体" w:hAnsi="宋体" w:eastAsia="宋体" w:cs="宋体"/>
          <w:color w:val="auto"/>
          <w:sz w:val="24"/>
          <w:highlight w:val="none"/>
        </w:rPr>
      </w:pPr>
      <w:r>
        <w:rPr>
          <w:rFonts w:ascii="宋体" w:hAnsi="宋体" w:eastAsia="宋体" w:cs="宋体"/>
          <w:color w:val="auto"/>
          <w:sz w:val="24"/>
          <w:highlight w:val="none"/>
        </w:rPr>
        <w:t>4.5.2.2如果评标委员会成员在交易服务机构评标，将按方法</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规定的步骤进行：</w:t>
      </w:r>
    </w:p>
    <w:p>
      <w:pPr>
        <w:spacing w:line="360" w:lineRule="auto"/>
        <w:ind w:left="850" w:hanging="849" w:hangingChars="354"/>
        <w:jc w:val="left"/>
        <w:rPr>
          <w:rFonts w:ascii="宋体" w:hAnsi="宋体" w:eastAsia="宋体" w:cs="宋体"/>
          <w:color w:val="auto"/>
          <w:sz w:val="24"/>
          <w:highlight w:val="none"/>
        </w:rPr>
      </w:pPr>
      <w:r>
        <w:rPr>
          <w:rFonts w:ascii="宋体" w:hAnsi="宋体" w:eastAsia="宋体" w:cs="宋体"/>
          <w:color w:val="auto"/>
          <w:sz w:val="24"/>
          <w:highlight w:val="none"/>
        </w:rPr>
        <w:t xml:space="preserve">       方法一（设有资格审查环节的一阶段评标法）：a、b、c、d、e、f、h、i、j</w:t>
      </w:r>
    </w:p>
    <w:p>
      <w:pPr>
        <w:spacing w:line="360" w:lineRule="auto"/>
        <w:ind w:left="850" w:hanging="849" w:hangingChars="354"/>
        <w:jc w:val="left"/>
        <w:rPr>
          <w:rFonts w:ascii="宋体" w:hAnsi="宋体" w:eastAsia="宋体" w:cs="宋体"/>
          <w:color w:val="auto"/>
          <w:sz w:val="24"/>
          <w:highlight w:val="none"/>
        </w:rPr>
      </w:pPr>
      <w:r>
        <w:rPr>
          <w:rFonts w:ascii="宋体" w:hAnsi="宋体" w:eastAsia="宋体" w:cs="宋体"/>
          <w:color w:val="auto"/>
          <w:sz w:val="24"/>
          <w:highlight w:val="none"/>
        </w:rPr>
        <w:t xml:space="preserve">       方法二（设有资格审查环节的二阶段评标法）：a、b、c、d、e、f、g、h、i、j</w:t>
      </w:r>
    </w:p>
    <w:p>
      <w:pPr>
        <w:spacing w:line="360" w:lineRule="auto"/>
        <w:ind w:left="850" w:hanging="849" w:hangingChars="354"/>
        <w:jc w:val="left"/>
        <w:rPr>
          <w:rFonts w:ascii="宋体" w:hAnsi="宋体" w:eastAsia="宋体" w:cs="宋体"/>
          <w:color w:val="auto"/>
          <w:sz w:val="24"/>
          <w:highlight w:val="none"/>
        </w:rPr>
      </w:pPr>
      <w:r>
        <w:rPr>
          <w:rFonts w:ascii="宋体" w:hAnsi="宋体" w:eastAsia="宋体" w:cs="宋体"/>
          <w:color w:val="auto"/>
          <w:sz w:val="24"/>
          <w:highlight w:val="none"/>
        </w:rPr>
        <w:t xml:space="preserve">       方法三（未设资格审查环节的一阶段评标法）：a、d、e、f、h、i、j</w:t>
      </w:r>
    </w:p>
    <w:p>
      <w:pPr>
        <w:spacing w:line="360" w:lineRule="auto"/>
        <w:ind w:left="850" w:hanging="849" w:hangingChars="354"/>
        <w:jc w:val="left"/>
        <w:rPr>
          <w:rFonts w:ascii="宋体" w:hAnsi="宋体" w:eastAsia="宋体" w:cs="宋体"/>
          <w:color w:val="auto"/>
          <w:sz w:val="24"/>
          <w:highlight w:val="none"/>
        </w:rPr>
      </w:pPr>
      <w:r>
        <w:rPr>
          <w:rFonts w:ascii="宋体" w:hAnsi="宋体" w:eastAsia="宋体" w:cs="宋体"/>
          <w:color w:val="auto"/>
          <w:sz w:val="24"/>
          <w:highlight w:val="none"/>
        </w:rPr>
        <w:t xml:space="preserve">       方法四（未设资格审查环节的二阶段评标法）：a、d、e、f、g、h、i、j</w:t>
      </w:r>
    </w:p>
    <w:p>
      <w:pPr>
        <w:spacing w:line="360" w:lineRule="auto"/>
        <w:ind w:left="846" w:leftChars="202" w:hanging="422" w:hangingChars="176"/>
        <w:jc w:val="left"/>
        <w:rPr>
          <w:rFonts w:ascii="宋体" w:hAnsi="宋体" w:eastAsia="宋体" w:cs="宋体"/>
          <w:color w:val="auto"/>
          <w:sz w:val="24"/>
          <w:highlight w:val="none"/>
        </w:rPr>
      </w:pPr>
      <w:r>
        <w:rPr>
          <w:rFonts w:ascii="宋体" w:hAnsi="宋体" w:eastAsia="宋体" w:cs="宋体"/>
          <w:color w:val="auto"/>
          <w:sz w:val="24"/>
          <w:highlight w:val="none"/>
        </w:rPr>
        <w:t xml:space="preserve">(a) </w:t>
      </w:r>
      <w:r>
        <w:rPr>
          <w:rFonts w:hint="eastAsia" w:ascii="宋体" w:hAnsi="宋体" w:eastAsia="宋体" w:cs="宋体"/>
          <w:color w:val="auto"/>
          <w:sz w:val="24"/>
          <w:highlight w:val="none"/>
        </w:rPr>
        <w:t>评标委员会成员依据招标文件规定，否决两个（含两个）以上的加密打包投标文件电脑机器特征码一致的投标人，不参与下一阶段评审。</w:t>
      </w:r>
    </w:p>
    <w:p>
      <w:pPr>
        <w:spacing w:line="360" w:lineRule="auto"/>
        <w:ind w:left="846" w:leftChars="202" w:hanging="422" w:hangingChars="176"/>
        <w:jc w:val="left"/>
        <w:rPr>
          <w:rFonts w:ascii="宋体" w:hAnsi="宋体" w:eastAsia="宋体" w:cs="宋体"/>
          <w:color w:val="auto"/>
          <w:sz w:val="24"/>
          <w:highlight w:val="none"/>
        </w:rPr>
      </w:pPr>
      <w:r>
        <w:rPr>
          <w:rFonts w:ascii="宋体" w:hAnsi="宋体" w:eastAsia="宋体" w:cs="宋体"/>
          <w:color w:val="auto"/>
          <w:sz w:val="24"/>
          <w:highlight w:val="none"/>
        </w:rPr>
        <w:t xml:space="preserve">(b) </w:t>
      </w:r>
      <w:r>
        <w:rPr>
          <w:rFonts w:hint="eastAsia" w:ascii="宋体" w:hAnsi="宋体" w:eastAsia="宋体" w:cs="宋体"/>
          <w:color w:val="auto"/>
          <w:sz w:val="24"/>
          <w:highlight w:val="none"/>
        </w:rPr>
        <w:t>评标委员会成员依据招标文件规定，按附录</w:t>
      </w:r>
      <w:r>
        <w:rPr>
          <w:rFonts w:ascii="宋体" w:hAnsi="宋体" w:eastAsia="宋体" w:cs="宋体"/>
          <w:color w:val="auto"/>
          <w:sz w:val="24"/>
          <w:highlight w:val="none"/>
        </w:rPr>
        <w:t>12《资格审查表》对各投标人递交的投标文件进行资格审查。</w:t>
      </w:r>
    </w:p>
    <w:p>
      <w:pPr>
        <w:spacing w:line="360" w:lineRule="auto"/>
        <w:ind w:left="846" w:leftChars="202" w:hanging="422" w:hangingChars="176"/>
        <w:jc w:val="left"/>
        <w:rPr>
          <w:rFonts w:ascii="宋体" w:hAnsi="宋体" w:eastAsia="宋体" w:cs="宋体"/>
          <w:color w:val="auto"/>
          <w:sz w:val="24"/>
          <w:highlight w:val="none"/>
        </w:rPr>
      </w:pPr>
      <w:r>
        <w:rPr>
          <w:rFonts w:ascii="宋体" w:hAnsi="宋体" w:eastAsia="宋体" w:cs="宋体"/>
          <w:color w:val="auto"/>
          <w:sz w:val="24"/>
          <w:highlight w:val="none"/>
        </w:rPr>
        <w:t xml:space="preserve">(c) </w:t>
      </w:r>
      <w:r>
        <w:rPr>
          <w:rFonts w:hint="eastAsia" w:ascii="宋体" w:hAnsi="宋体" w:eastAsia="宋体" w:cs="宋体"/>
          <w:color w:val="auto"/>
          <w:sz w:val="24"/>
          <w:highlight w:val="none"/>
        </w:rPr>
        <w:t>评标委员会成员汇总资格审查结果，编写资格审查报告。</w:t>
      </w:r>
    </w:p>
    <w:p>
      <w:pPr>
        <w:spacing w:line="360" w:lineRule="auto"/>
        <w:ind w:left="846" w:leftChars="202" w:hanging="422" w:hangingChars="176"/>
        <w:jc w:val="left"/>
        <w:rPr>
          <w:rFonts w:ascii="宋体" w:hAnsi="宋体" w:eastAsia="宋体" w:cs="宋体"/>
          <w:color w:val="auto"/>
          <w:sz w:val="24"/>
          <w:highlight w:val="none"/>
        </w:rPr>
      </w:pPr>
      <w:r>
        <w:rPr>
          <w:rFonts w:ascii="宋体" w:hAnsi="宋体" w:eastAsia="宋体" w:cs="宋体"/>
          <w:color w:val="auto"/>
          <w:sz w:val="24"/>
          <w:highlight w:val="none"/>
        </w:rPr>
        <w:t xml:space="preserve">(d) </w:t>
      </w:r>
      <w:r>
        <w:rPr>
          <w:rFonts w:hint="eastAsia" w:ascii="宋体" w:hAnsi="宋体" w:eastAsia="宋体" w:cs="宋体"/>
          <w:color w:val="auto"/>
          <w:sz w:val="24"/>
          <w:highlight w:val="none"/>
        </w:rPr>
        <w:t>评标委员会专家依据招标文件规定，按附录</w:t>
      </w:r>
      <w:r>
        <w:rPr>
          <w:rFonts w:ascii="宋体" w:hAnsi="宋体" w:eastAsia="宋体" w:cs="宋体"/>
          <w:color w:val="auto"/>
          <w:sz w:val="24"/>
          <w:highlight w:val="none"/>
        </w:rPr>
        <w:t>15《设计方案评审记录表》、附录17《投标方案评语》对各投标人递交的投标文件进行评审。如果有否决投标提议，则评标委员会成员共同表决，按照少数服从多数的原则决定是否否决。</w:t>
      </w:r>
    </w:p>
    <w:p>
      <w:pPr>
        <w:spacing w:line="360" w:lineRule="auto"/>
        <w:ind w:left="846" w:leftChars="202" w:hanging="422" w:hangingChars="176"/>
        <w:jc w:val="left"/>
        <w:rPr>
          <w:rFonts w:ascii="宋体" w:hAnsi="宋体" w:eastAsia="宋体" w:cs="宋体"/>
          <w:color w:val="auto"/>
          <w:sz w:val="24"/>
          <w:highlight w:val="none"/>
        </w:rPr>
      </w:pPr>
      <w:r>
        <w:rPr>
          <w:rFonts w:ascii="宋体" w:hAnsi="宋体" w:eastAsia="宋体" w:cs="宋体"/>
          <w:color w:val="auto"/>
          <w:sz w:val="24"/>
          <w:highlight w:val="none"/>
        </w:rPr>
        <w:t xml:space="preserve">(e) </w:t>
      </w:r>
      <w:r>
        <w:rPr>
          <w:rFonts w:hint="eastAsia" w:ascii="宋体" w:hAnsi="宋体" w:eastAsia="宋体" w:cs="宋体"/>
          <w:color w:val="auto"/>
          <w:sz w:val="24"/>
          <w:highlight w:val="none"/>
        </w:rPr>
        <w:t>以差额选举逐轮淘汰的记名投票方式选出所有投标方案的排序。（方案补偿费按</w:t>
      </w:r>
      <w:r>
        <w:rPr>
          <w:rFonts w:ascii="宋体" w:hAnsi="宋体" w:eastAsia="宋体" w:cs="宋体"/>
          <w:color w:val="auto"/>
          <w:sz w:val="24"/>
          <w:highlight w:val="none"/>
        </w:rPr>
        <w:t>(h)步骤确定的最终排序进行补偿）。</w:t>
      </w:r>
    </w:p>
    <w:p>
      <w:pPr>
        <w:spacing w:line="360" w:lineRule="auto"/>
        <w:ind w:left="846" w:leftChars="202" w:hanging="422" w:hangingChars="176"/>
        <w:jc w:val="left"/>
        <w:rPr>
          <w:rFonts w:ascii="宋体" w:hAnsi="宋体" w:eastAsia="宋体" w:cs="宋体"/>
          <w:color w:val="auto"/>
          <w:sz w:val="24"/>
          <w:highlight w:val="none"/>
        </w:rPr>
      </w:pPr>
      <w:r>
        <w:rPr>
          <w:rFonts w:ascii="宋体" w:hAnsi="宋体" w:eastAsia="宋体" w:cs="宋体"/>
          <w:color w:val="auto"/>
          <w:sz w:val="24"/>
          <w:highlight w:val="none"/>
        </w:rPr>
        <w:t xml:space="preserve">(f) </w:t>
      </w:r>
      <w:r>
        <w:rPr>
          <w:rFonts w:hint="eastAsia" w:ascii="宋体" w:hAnsi="宋体" w:eastAsia="宋体" w:cs="宋体"/>
          <w:color w:val="auto"/>
          <w:sz w:val="24"/>
          <w:highlight w:val="none"/>
        </w:rPr>
        <w:t>评标委员会揭晓投标人身份。</w:t>
      </w:r>
    </w:p>
    <w:p>
      <w:pPr>
        <w:spacing w:line="360" w:lineRule="auto"/>
        <w:ind w:left="846" w:leftChars="202" w:hanging="422" w:hangingChars="176"/>
        <w:jc w:val="left"/>
        <w:rPr>
          <w:rFonts w:ascii="宋体" w:hAnsi="宋体" w:eastAsia="宋体" w:cs="宋体"/>
          <w:color w:val="auto"/>
          <w:sz w:val="24"/>
          <w:highlight w:val="none"/>
        </w:rPr>
      </w:pPr>
      <w:r>
        <w:rPr>
          <w:rFonts w:ascii="宋体" w:hAnsi="宋体" w:eastAsia="宋体" w:cs="宋体"/>
          <w:color w:val="auto"/>
          <w:sz w:val="24"/>
          <w:highlight w:val="none"/>
        </w:rPr>
        <w:t xml:space="preserve">(g) </w:t>
      </w:r>
      <w:r>
        <w:rPr>
          <w:rFonts w:hint="eastAsia" w:ascii="宋体" w:hAnsi="宋体" w:eastAsia="宋体" w:cs="宋体"/>
          <w:color w:val="auto"/>
          <w:sz w:val="24"/>
          <w:highlight w:val="none"/>
        </w:rPr>
        <w:t>采用二阶段评标法的，由方案排序前</w:t>
      </w:r>
      <w:r>
        <w:rPr>
          <w:rFonts w:ascii="宋体" w:hAnsi="宋体" w:eastAsia="宋体" w:cs="宋体"/>
          <w:color w:val="auto"/>
          <w:sz w:val="24"/>
          <w:highlight w:val="none"/>
        </w:rPr>
        <w:t>3名的投标人讲解投标方案(如方案排序前3名的投标人均存在不通过资格审查（如有）或有效性审查的情形，则按方案从高到低的排序从资格审查（如有）及通过有效性审查的投标人中替补1名讲解；否则不替补)、解答疑问、介绍业绩、信誉和人员的能力，评标委员</w:t>
      </w:r>
      <w:r>
        <w:rPr>
          <w:rFonts w:hint="eastAsia" w:ascii="宋体" w:hAnsi="宋体" w:eastAsia="宋体" w:cs="宋体"/>
          <w:color w:val="auto"/>
          <w:sz w:val="24"/>
          <w:highlight w:val="none"/>
        </w:rPr>
        <w:t>会成员再次共同表决，以差额选举逐轮淘汰的记名投票方式选出投标方案的排序（讲解方案的人员在讲解前需提供投标人授权证明书及身份证原件给评标委员会确认其身份，未提供以上资料的不得进行讲解）。</w:t>
      </w:r>
    </w:p>
    <w:p>
      <w:pPr>
        <w:spacing w:line="360" w:lineRule="auto"/>
        <w:ind w:left="846" w:leftChars="202" w:hanging="422" w:hangingChars="176"/>
        <w:jc w:val="left"/>
        <w:rPr>
          <w:rFonts w:ascii="宋体" w:hAnsi="宋体" w:eastAsia="宋体" w:cs="宋体"/>
          <w:color w:val="auto"/>
          <w:sz w:val="24"/>
          <w:highlight w:val="none"/>
        </w:rPr>
      </w:pPr>
      <w:r>
        <w:rPr>
          <w:rFonts w:ascii="宋体" w:hAnsi="宋体" w:eastAsia="宋体" w:cs="宋体"/>
          <w:color w:val="auto"/>
          <w:sz w:val="24"/>
          <w:highlight w:val="none"/>
        </w:rPr>
        <w:t xml:space="preserve">(h) </w:t>
      </w:r>
      <w:r>
        <w:rPr>
          <w:rFonts w:hint="eastAsia" w:ascii="宋体" w:hAnsi="宋体" w:eastAsia="宋体" w:cs="宋体"/>
          <w:color w:val="auto"/>
          <w:sz w:val="24"/>
          <w:highlight w:val="none"/>
        </w:rPr>
        <w:t>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方案的排序，其余通过资格审查（如有）及有效性审查的投标人的投标方案的排序依次上升替补确定，以此类推。评标委员会按投标方案最终排序的先后，依次推荐</w:t>
      </w:r>
      <w:r>
        <w:rPr>
          <w:rFonts w:ascii="宋体" w:hAnsi="宋体" w:eastAsia="宋体" w:cs="宋体"/>
          <w:color w:val="auto"/>
          <w:sz w:val="24"/>
          <w:highlight w:val="none"/>
        </w:rPr>
        <w:t>3名中标候选人。投标经济补偿费按投标方案的最终排序确定进行补偿。</w:t>
      </w:r>
    </w:p>
    <w:p>
      <w:pPr>
        <w:spacing w:line="360" w:lineRule="auto"/>
        <w:ind w:left="846" w:leftChars="202" w:hanging="422" w:hangingChars="176"/>
        <w:jc w:val="left"/>
        <w:rPr>
          <w:rFonts w:ascii="宋体" w:hAnsi="宋体" w:eastAsia="宋体" w:cs="宋体"/>
          <w:color w:val="auto"/>
          <w:sz w:val="24"/>
          <w:highlight w:val="none"/>
        </w:rPr>
      </w:pPr>
      <w:r>
        <w:rPr>
          <w:rFonts w:ascii="宋体" w:hAnsi="宋体" w:eastAsia="宋体" w:cs="宋体"/>
          <w:color w:val="auto"/>
          <w:sz w:val="24"/>
          <w:highlight w:val="none"/>
        </w:rPr>
        <w:t xml:space="preserve">(i) </w:t>
      </w:r>
      <w:r>
        <w:rPr>
          <w:rFonts w:hint="eastAsia" w:ascii="宋体" w:hAnsi="宋体" w:eastAsia="宋体" w:cs="宋体"/>
          <w:color w:val="auto"/>
          <w:sz w:val="24"/>
          <w:highlight w:val="none"/>
        </w:rPr>
        <w:t>编写、签署评标报告，并标明最终中标候选人的排列顺序，评标报告由评标委员会全体成员签字，对评标结论持有异议的评标委员会成员可以书面方式阐述其不同意见和理由。</w:t>
      </w:r>
    </w:p>
    <w:p>
      <w:pPr>
        <w:spacing w:line="360" w:lineRule="auto"/>
        <w:ind w:left="846" w:leftChars="202" w:hanging="422" w:hangingChars="176"/>
        <w:jc w:val="left"/>
        <w:rPr>
          <w:rFonts w:ascii="宋体" w:hAnsi="宋体" w:eastAsia="宋体" w:cs="宋体"/>
          <w:color w:val="auto"/>
          <w:sz w:val="24"/>
          <w:highlight w:val="none"/>
        </w:rPr>
      </w:pPr>
      <w:r>
        <w:rPr>
          <w:rFonts w:ascii="宋体" w:hAnsi="宋体" w:eastAsia="宋体" w:cs="宋体"/>
          <w:color w:val="auto"/>
          <w:sz w:val="24"/>
          <w:highlight w:val="none"/>
        </w:rPr>
        <w:t xml:space="preserve">(j) </w:t>
      </w:r>
      <w:r>
        <w:rPr>
          <w:rFonts w:hint="eastAsia" w:ascii="宋体" w:hAnsi="宋体" w:eastAsia="宋体" w:cs="宋体"/>
          <w:color w:val="auto"/>
          <w:sz w:val="24"/>
          <w:highlight w:val="none"/>
        </w:rPr>
        <w:t>评标委员会向招标人提交书面评标报告后即告解散，评标过程中使用的文件、表格以及其他资料应当即时归还招标人（招标代理机构）。</w:t>
      </w:r>
    </w:p>
    <w:p>
      <w:pPr>
        <w:spacing w:line="360" w:lineRule="auto"/>
        <w:ind w:left="850" w:hanging="849" w:hangingChars="354"/>
        <w:jc w:val="left"/>
        <w:rPr>
          <w:rFonts w:ascii="宋体" w:hAnsi="宋体" w:eastAsia="宋体" w:cs="宋体"/>
          <w:color w:val="auto"/>
          <w:sz w:val="24"/>
          <w:highlight w:val="none"/>
        </w:rPr>
      </w:pPr>
      <w:r>
        <w:rPr>
          <w:rFonts w:ascii="宋体" w:hAnsi="宋体" w:eastAsia="宋体" w:cs="宋体"/>
          <w:color w:val="auto"/>
          <w:sz w:val="24"/>
          <w:highlight w:val="none"/>
        </w:rPr>
        <w:t xml:space="preserve"> </w:t>
      </w:r>
    </w:p>
    <w:p>
      <w:pPr>
        <w:spacing w:line="360" w:lineRule="auto"/>
        <w:ind w:left="850" w:hanging="849" w:hangingChars="354"/>
        <w:rPr>
          <w:rFonts w:ascii="宋体" w:hAnsi="宋体" w:eastAsia="宋体" w:cs="宋体"/>
          <w:b/>
          <w:bCs/>
          <w:color w:val="auto"/>
          <w:sz w:val="24"/>
          <w:highlight w:val="none"/>
        </w:rPr>
      </w:pPr>
      <w:r>
        <w:rPr>
          <w:rFonts w:ascii="宋体" w:hAnsi="宋体" w:eastAsia="宋体" w:cs="宋体"/>
          <w:bCs/>
          <w:color w:val="auto"/>
          <w:sz w:val="24"/>
          <w:highlight w:val="none"/>
        </w:rPr>
        <w:t>4.5.3</w:t>
      </w:r>
      <w:r>
        <w:rPr>
          <w:rFonts w:ascii="宋体" w:hAnsi="宋体" w:eastAsia="宋体" w:cs="宋体"/>
          <w:b/>
          <w:bCs/>
          <w:color w:val="auto"/>
          <w:sz w:val="24"/>
          <w:highlight w:val="none"/>
        </w:rPr>
        <w:t xml:space="preserve">    </w:t>
      </w:r>
      <w:r>
        <w:rPr>
          <w:rFonts w:hint="eastAsia" w:ascii="宋体" w:hAnsi="宋体" w:eastAsia="宋体" w:cs="宋体"/>
          <w:color w:val="auto"/>
          <w:sz w:val="24"/>
          <w:highlight w:val="none"/>
        </w:rPr>
        <w:t>采用评定分离项目的评标及定标办法</w:t>
      </w:r>
    </w:p>
    <w:p>
      <w:pPr>
        <w:spacing w:line="360" w:lineRule="auto"/>
        <w:ind w:left="850" w:hanging="849" w:hangingChars="354"/>
        <w:rPr>
          <w:rFonts w:ascii="宋体" w:hAnsi="宋体" w:eastAsia="宋体" w:cs="宋体"/>
          <w:color w:val="auto"/>
          <w:sz w:val="24"/>
          <w:highlight w:val="none"/>
        </w:rPr>
      </w:pPr>
      <w:r>
        <w:rPr>
          <w:rFonts w:ascii="宋体" w:hAnsi="宋体" w:eastAsia="宋体" w:cs="宋体"/>
          <w:color w:val="auto"/>
          <w:sz w:val="24"/>
          <w:highlight w:val="none"/>
        </w:rPr>
        <w:t>4.5.3.1招标人（招标代理机构）在不透露投标人身份的前提下（资格审查文件除外）将投标文件交给评标委员会，不需要投标人派代表介绍投标方案。</w:t>
      </w:r>
    </w:p>
    <w:p>
      <w:pPr>
        <w:spacing w:line="360" w:lineRule="auto"/>
        <w:ind w:left="850" w:hanging="849" w:hangingChars="354"/>
        <w:rPr>
          <w:rFonts w:ascii="宋体" w:hAnsi="宋体" w:eastAsia="宋体" w:cs="宋体"/>
          <w:color w:val="auto"/>
          <w:sz w:val="24"/>
          <w:highlight w:val="none"/>
        </w:rPr>
      </w:pPr>
      <w:r>
        <w:rPr>
          <w:rFonts w:ascii="宋体" w:hAnsi="宋体" w:eastAsia="宋体" w:cs="宋体"/>
          <w:color w:val="auto"/>
          <w:sz w:val="24"/>
          <w:highlight w:val="none"/>
        </w:rPr>
        <w:t>4.5.3.2如果评标委员会成员在交易服务机构评标，将按方法</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规定的步骤进行：</w:t>
      </w:r>
    </w:p>
    <w:p>
      <w:pPr>
        <w:spacing w:line="360" w:lineRule="auto"/>
        <w:ind w:left="850" w:hanging="849" w:hangingChars="354"/>
        <w:rPr>
          <w:rFonts w:ascii="宋体" w:hAnsi="宋体" w:eastAsia="宋体" w:cs="宋体"/>
          <w:color w:val="auto"/>
          <w:sz w:val="24"/>
          <w:highlight w:val="none"/>
        </w:rPr>
      </w:pPr>
      <w:r>
        <w:rPr>
          <w:rFonts w:ascii="宋体" w:hAnsi="宋体" w:eastAsia="宋体" w:cs="宋体"/>
          <w:color w:val="auto"/>
          <w:sz w:val="24"/>
          <w:highlight w:val="none"/>
        </w:rPr>
        <w:t xml:space="preserve">       方法一（设有资格审查环节的一阶段评标法）：a、b、c、d、e、f、g、h、i、j</w:t>
      </w:r>
    </w:p>
    <w:p>
      <w:pPr>
        <w:spacing w:line="360" w:lineRule="auto"/>
        <w:ind w:left="850" w:hanging="849" w:hangingChars="354"/>
        <w:rPr>
          <w:rFonts w:ascii="宋体" w:hAnsi="宋体" w:eastAsia="宋体" w:cs="宋体"/>
          <w:color w:val="auto"/>
          <w:sz w:val="24"/>
          <w:highlight w:val="none"/>
        </w:rPr>
      </w:pPr>
      <w:r>
        <w:rPr>
          <w:rFonts w:ascii="宋体" w:hAnsi="宋体" w:eastAsia="宋体" w:cs="宋体"/>
          <w:color w:val="auto"/>
          <w:sz w:val="24"/>
          <w:highlight w:val="none"/>
        </w:rPr>
        <w:t xml:space="preserve">       方法二（未设资格审查环节的一阶段评标法）：a、d、e、f、g、h、i、j</w:t>
      </w:r>
    </w:p>
    <w:p>
      <w:pPr>
        <w:spacing w:line="360" w:lineRule="auto"/>
        <w:ind w:left="850" w:hanging="849" w:hangingChars="354"/>
        <w:rPr>
          <w:rFonts w:ascii="宋体" w:hAnsi="宋体" w:eastAsia="宋体" w:cs="宋体"/>
          <w:color w:val="auto"/>
          <w:sz w:val="24"/>
          <w:highlight w:val="none"/>
        </w:rPr>
      </w:pPr>
      <w:r>
        <w:rPr>
          <w:rFonts w:ascii="宋体" w:hAnsi="宋体" w:eastAsia="宋体" w:cs="宋体"/>
          <w:color w:val="auto"/>
          <w:sz w:val="24"/>
          <w:highlight w:val="none"/>
        </w:rPr>
        <w:t xml:space="preserve">   (a)评标委员会成员依据招标文件规定，否决两个（含两个）以上的加密打包投标文件电脑机器特征码一致的投标人，不参与下一阶段评审。 </w:t>
      </w:r>
    </w:p>
    <w:p>
      <w:pPr>
        <w:spacing w:line="360" w:lineRule="auto"/>
        <w:ind w:left="844" w:leftChars="201" w:hanging="422" w:hangingChars="176"/>
        <w:rPr>
          <w:rFonts w:ascii="宋体" w:hAnsi="宋体" w:eastAsia="宋体" w:cs="宋体"/>
          <w:color w:val="auto"/>
          <w:sz w:val="24"/>
          <w:highlight w:val="none"/>
        </w:rPr>
      </w:pPr>
      <w:r>
        <w:rPr>
          <w:rFonts w:ascii="宋体" w:hAnsi="宋体" w:eastAsia="宋体" w:cs="宋体"/>
          <w:color w:val="auto"/>
          <w:sz w:val="24"/>
          <w:highlight w:val="none"/>
        </w:rPr>
        <w:t>(b)评标委员会成员业主代表及专家依据招标文件规定，按附录12《资格审查表》对各投标人递交的投标文件进行资格审查。</w:t>
      </w:r>
    </w:p>
    <w:p>
      <w:pPr>
        <w:spacing w:line="360" w:lineRule="auto"/>
        <w:ind w:left="844" w:leftChars="201" w:hanging="422" w:hangingChars="176"/>
        <w:rPr>
          <w:rFonts w:ascii="宋体" w:hAnsi="宋体" w:eastAsia="宋体" w:cs="宋体"/>
          <w:color w:val="auto"/>
          <w:sz w:val="24"/>
          <w:highlight w:val="none"/>
        </w:rPr>
      </w:pPr>
      <w:r>
        <w:rPr>
          <w:rFonts w:ascii="宋体" w:hAnsi="宋体" w:eastAsia="宋体" w:cs="宋体"/>
          <w:color w:val="auto"/>
          <w:sz w:val="24"/>
          <w:highlight w:val="none"/>
        </w:rPr>
        <w:t xml:space="preserve">(c) </w:t>
      </w:r>
      <w:r>
        <w:rPr>
          <w:rFonts w:hint="eastAsia" w:ascii="宋体" w:hAnsi="宋体" w:eastAsia="宋体" w:cs="宋体"/>
          <w:color w:val="auto"/>
          <w:sz w:val="24"/>
          <w:highlight w:val="none"/>
        </w:rPr>
        <w:t>评标委员会成员汇总资格审查结果，编写资格审查报告。</w:t>
      </w:r>
    </w:p>
    <w:p>
      <w:pPr>
        <w:spacing w:line="360" w:lineRule="auto"/>
        <w:ind w:left="844" w:leftChars="201" w:hanging="422" w:hangingChars="176"/>
        <w:rPr>
          <w:rFonts w:ascii="宋体" w:hAnsi="宋体" w:eastAsia="宋体" w:cs="宋体"/>
          <w:color w:val="auto"/>
          <w:sz w:val="24"/>
          <w:highlight w:val="none"/>
        </w:rPr>
      </w:pPr>
      <w:r>
        <w:rPr>
          <w:rFonts w:ascii="宋体" w:hAnsi="宋体" w:eastAsia="宋体" w:cs="宋体"/>
          <w:color w:val="auto"/>
          <w:sz w:val="24"/>
          <w:highlight w:val="none"/>
        </w:rPr>
        <w:t>(d)评标委员会专家依据招标文件规定，按附录15《设计方案评审记录表》、附录17</w:t>
      </w:r>
      <w:r>
        <w:rPr>
          <w:rFonts w:hint="eastAsia" w:ascii="宋体" w:hAnsi="宋体" w:eastAsia="宋体" w:cs="宋体"/>
          <w:color w:val="auto"/>
          <w:sz w:val="24"/>
          <w:highlight w:val="none"/>
        </w:rPr>
        <w:t>《投标方案评语》对各投标人递交的投标文件进行评审。如果有否决投标提议，则评标委员会成员共同表决，按照少数服从多数的原则决定是否否决。</w:t>
      </w:r>
    </w:p>
    <w:p>
      <w:pPr>
        <w:spacing w:line="360" w:lineRule="auto"/>
        <w:ind w:left="844" w:leftChars="201" w:hanging="422" w:hangingChars="176"/>
        <w:rPr>
          <w:rFonts w:ascii="宋体" w:hAnsi="宋体" w:eastAsia="宋体" w:cs="宋体"/>
          <w:color w:val="auto"/>
          <w:sz w:val="24"/>
          <w:highlight w:val="none"/>
        </w:rPr>
      </w:pPr>
      <w:r>
        <w:rPr>
          <w:rFonts w:ascii="宋体" w:hAnsi="宋体" w:eastAsia="宋体" w:cs="宋体"/>
          <w:color w:val="auto"/>
          <w:sz w:val="24"/>
          <w:highlight w:val="none"/>
        </w:rPr>
        <w:t xml:space="preserve">(e) </w:t>
      </w:r>
      <w:r>
        <w:rPr>
          <w:rFonts w:hint="eastAsia" w:ascii="宋体" w:hAnsi="宋体" w:eastAsia="宋体" w:cs="宋体"/>
          <w:color w:val="auto"/>
          <w:sz w:val="24"/>
          <w:highlight w:val="none"/>
        </w:rPr>
        <w:t>以差额选举逐轮淘汰的记名投票方式选出所有投标方案的排序，并按照</w:t>
      </w:r>
      <w:r>
        <w:rPr>
          <w:rFonts w:ascii="宋体" w:hAnsi="宋体" w:eastAsia="宋体" w:cs="宋体"/>
          <w:color w:val="auto"/>
          <w:sz w:val="24"/>
          <w:highlight w:val="none"/>
        </w:rPr>
        <w:t>4.5.1约定的家数入围定标阶段（该排序不作为定标的依据）；或以差额选举逐轮淘汰的记名投票方式直接确定入围定标阶段的投标人。（方案补偿费按(g)步骤确定的方式进行补偿）。</w:t>
      </w:r>
    </w:p>
    <w:p>
      <w:pPr>
        <w:spacing w:line="360" w:lineRule="auto"/>
        <w:ind w:left="844" w:leftChars="201" w:hanging="422" w:hangingChars="176"/>
        <w:rPr>
          <w:rFonts w:ascii="宋体" w:hAnsi="宋体" w:eastAsia="宋体" w:cs="宋体"/>
          <w:color w:val="auto"/>
          <w:sz w:val="24"/>
          <w:highlight w:val="none"/>
        </w:rPr>
      </w:pPr>
      <w:r>
        <w:rPr>
          <w:rFonts w:ascii="宋体" w:hAnsi="宋体" w:eastAsia="宋体" w:cs="宋体"/>
          <w:color w:val="auto"/>
          <w:sz w:val="24"/>
          <w:highlight w:val="none"/>
        </w:rPr>
        <w:t xml:space="preserve">(f) 评标委员会揭晓投标人身份。 </w:t>
      </w:r>
    </w:p>
    <w:p>
      <w:pPr>
        <w:spacing w:line="360" w:lineRule="auto"/>
        <w:ind w:left="844" w:leftChars="201" w:hanging="422" w:hangingChars="176"/>
        <w:rPr>
          <w:rFonts w:ascii="宋体" w:hAnsi="宋体" w:eastAsia="宋体" w:cs="宋体"/>
          <w:color w:val="auto"/>
          <w:sz w:val="24"/>
          <w:highlight w:val="none"/>
        </w:rPr>
      </w:pPr>
      <w:r>
        <w:rPr>
          <w:rFonts w:ascii="宋体" w:hAnsi="宋体" w:eastAsia="宋体" w:cs="宋体"/>
          <w:color w:val="auto"/>
          <w:sz w:val="24"/>
          <w:highlight w:val="none"/>
        </w:rPr>
        <w:t xml:space="preserve">(g) </w:t>
      </w:r>
      <w:r>
        <w:rPr>
          <w:rFonts w:hint="eastAsia" w:ascii="宋体" w:hAnsi="宋体" w:eastAsia="宋体" w:cs="宋体"/>
          <w:color w:val="auto"/>
          <w:sz w:val="24"/>
          <w:highlight w:val="none"/>
        </w:rPr>
        <w:t>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若采取排序方式确定入围单位的，其余通过资格审查（如有）及有效性审查的投标人按排序依次上升替补入围定标阶段，以此类推。若采取直接确定入围单位的，确定替补入围单位的方法为：</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。评标委员会按上述方式推荐入围定标阶段的投标人。投标经济补偿费按投标方案的最终排序（采取排序方式的）或</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（采取直接确定入围方式的）确定进行补偿。</w:t>
      </w:r>
    </w:p>
    <w:p>
      <w:pPr>
        <w:spacing w:line="360" w:lineRule="auto"/>
        <w:ind w:left="844" w:leftChars="201" w:hanging="422" w:hangingChars="176"/>
        <w:rPr>
          <w:rFonts w:ascii="宋体" w:hAnsi="宋体" w:eastAsia="宋体" w:cs="宋体"/>
          <w:color w:val="auto"/>
          <w:sz w:val="24"/>
          <w:highlight w:val="none"/>
        </w:rPr>
      </w:pPr>
      <w:r>
        <w:rPr>
          <w:rFonts w:ascii="宋体" w:hAnsi="宋体" w:eastAsia="宋体" w:cs="宋体"/>
          <w:color w:val="auto"/>
          <w:sz w:val="24"/>
          <w:highlight w:val="none"/>
        </w:rPr>
        <w:t xml:space="preserve">(h) </w:t>
      </w:r>
      <w:r>
        <w:rPr>
          <w:rFonts w:hint="eastAsia" w:ascii="宋体" w:hAnsi="宋体" w:eastAsia="宋体" w:cs="宋体"/>
          <w:color w:val="auto"/>
          <w:sz w:val="24"/>
          <w:highlight w:val="none"/>
        </w:rPr>
        <w:t>编写、签署评标报告，评标报告由评标委员会全体成员签字，对评标结论持有异议的评标委员会成员可以书面方式阐述其不同意见和理由。</w:t>
      </w:r>
    </w:p>
    <w:p>
      <w:pPr>
        <w:spacing w:line="360" w:lineRule="auto"/>
        <w:ind w:left="844" w:leftChars="201" w:hanging="422" w:hangingChars="176"/>
        <w:rPr>
          <w:rFonts w:ascii="宋体" w:hAnsi="宋体" w:eastAsia="宋体" w:cs="宋体"/>
          <w:color w:val="auto"/>
          <w:sz w:val="24"/>
          <w:highlight w:val="none"/>
        </w:rPr>
      </w:pPr>
      <w:r>
        <w:rPr>
          <w:rFonts w:ascii="宋体" w:hAnsi="宋体" w:eastAsia="宋体" w:cs="宋体"/>
          <w:color w:val="auto"/>
          <w:sz w:val="24"/>
          <w:highlight w:val="none"/>
        </w:rPr>
        <w:t xml:space="preserve">(i) </w:t>
      </w:r>
      <w:r>
        <w:rPr>
          <w:rFonts w:hint="eastAsia" w:ascii="宋体" w:hAnsi="宋体" w:eastAsia="宋体" w:cs="宋体"/>
          <w:color w:val="auto"/>
          <w:sz w:val="24"/>
          <w:highlight w:val="none"/>
        </w:rPr>
        <w:t>评标委员会向招标人提交书面评标报告后即告解散，评标过程中使用的文件、表格以及其他资料应当即时归还招标人（招标代理机构）。</w:t>
      </w:r>
    </w:p>
    <w:p>
      <w:pPr>
        <w:spacing w:line="360" w:lineRule="auto"/>
        <w:ind w:left="844" w:leftChars="201" w:hanging="422" w:hangingChars="176"/>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ascii="宋体" w:hAnsi="宋体" w:eastAsia="宋体" w:cs="宋体"/>
          <w:color w:val="auto"/>
          <w:sz w:val="24"/>
          <w:highlight w:val="none"/>
        </w:rPr>
        <w:t>j）定标委员会定标。定标委员会按附录16《定标原则》确定</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名（不多于</w:t>
      </w:r>
      <w:r>
        <w:rPr>
          <w:rFonts w:ascii="宋体" w:hAnsi="宋体" w:eastAsia="宋体" w:cs="宋体"/>
          <w:color w:val="auto"/>
          <w:sz w:val="24"/>
          <w:highlight w:val="none"/>
        </w:rPr>
        <w:t>3名）中标候选人（排序），也可直接确定中标人。</w:t>
      </w:r>
    </w:p>
    <w:p>
      <w:pPr>
        <w:spacing w:line="360" w:lineRule="auto"/>
        <w:ind w:left="844" w:leftChars="201" w:hanging="422" w:hangingChars="176"/>
        <w:rPr>
          <w:rFonts w:ascii="宋体" w:hAnsi="宋体" w:eastAsia="宋体" w:cs="宋体"/>
          <w:color w:val="auto"/>
          <w:sz w:val="24"/>
          <w:highlight w:val="none"/>
        </w:rPr>
      </w:pPr>
      <w:r>
        <w:rPr>
          <w:rFonts w:ascii="宋体" w:hAnsi="宋体" w:eastAsia="宋体" w:cs="宋体"/>
          <w:color w:val="auto"/>
          <w:sz w:val="24"/>
          <w:highlight w:val="none"/>
        </w:rPr>
        <w:t xml:space="preserve"> </w:t>
      </w:r>
    </w:p>
    <w:p>
      <w:pPr>
        <w:keepNext/>
        <w:keepLines/>
        <w:spacing w:before="340" w:after="330" w:line="360" w:lineRule="auto"/>
        <w:ind w:left="844" w:leftChars="201" w:hanging="422" w:hangingChars="176"/>
        <w:jc w:val="center"/>
        <w:outlineLvl w:val="1"/>
        <w:rPr>
          <w:rFonts w:ascii="宋体" w:hAnsi="宋体" w:eastAsia="宋体" w:cs="宋体"/>
          <w:b/>
          <w:bCs/>
          <w:color w:val="auto"/>
          <w:kern w:val="44"/>
          <w:sz w:val="24"/>
          <w:highlight w:val="none"/>
        </w:rPr>
      </w:pPr>
      <w:r>
        <w:rPr>
          <w:rFonts w:ascii="宋体" w:hAnsi="宋体" w:eastAsia="宋体" w:cs="宋体"/>
          <w:b/>
          <w:bCs/>
          <w:color w:val="auto"/>
          <w:kern w:val="44"/>
          <w:sz w:val="24"/>
          <w:highlight w:val="none"/>
        </w:rPr>
        <w:br w:type="page"/>
      </w:r>
      <w:bookmarkStart w:id="19" w:name="_Toc97803961"/>
      <w:bookmarkStart w:id="20" w:name="_Toc30837"/>
      <w:r>
        <w:rPr>
          <w:rFonts w:hint="eastAsia" w:ascii="宋体" w:hAnsi="宋体" w:eastAsia="宋体" w:cs="宋体"/>
          <w:b/>
          <w:bCs/>
          <w:color w:val="auto"/>
          <w:kern w:val="44"/>
          <w:sz w:val="36"/>
          <w:szCs w:val="36"/>
          <w:highlight w:val="none"/>
        </w:rPr>
        <w:t>第五章</w:t>
      </w:r>
      <w:r>
        <w:rPr>
          <w:rFonts w:ascii="宋体" w:hAnsi="宋体" w:eastAsia="宋体" w:cs="宋体"/>
          <w:b/>
          <w:bCs/>
          <w:color w:val="auto"/>
          <w:kern w:val="44"/>
          <w:sz w:val="36"/>
          <w:szCs w:val="36"/>
          <w:highlight w:val="none"/>
        </w:rPr>
        <w:t xml:space="preserve">  </w:t>
      </w:r>
      <w:r>
        <w:rPr>
          <w:rFonts w:hint="eastAsia" w:ascii="宋体" w:hAnsi="宋体" w:eastAsia="宋体" w:cs="宋体"/>
          <w:b/>
          <w:bCs/>
          <w:color w:val="auto"/>
          <w:kern w:val="44"/>
          <w:sz w:val="36"/>
          <w:szCs w:val="36"/>
          <w:highlight w:val="none"/>
        </w:rPr>
        <w:t>定标</w:t>
      </w:r>
      <w:r>
        <w:rPr>
          <w:rFonts w:hint="eastAsia" w:ascii="宋体" w:hAnsi="宋体" w:eastAsia="宋体" w:cs="宋体"/>
          <w:b/>
          <w:bCs/>
          <w:color w:val="auto"/>
          <w:kern w:val="44"/>
          <w:sz w:val="36"/>
          <w:szCs w:val="36"/>
          <w:highlight w:val="none"/>
          <w:u w:val="single"/>
        </w:rPr>
        <w:t>（范本原文）</w:t>
      </w:r>
      <w:bookmarkEnd w:id="19"/>
      <w:bookmarkEnd w:id="20"/>
    </w:p>
    <w:p>
      <w:pPr>
        <w:rPr>
          <w:rFonts w:ascii="宋体" w:hAnsi="宋体" w:eastAsia="宋体" w:cs="宋体"/>
          <w:color w:val="auto"/>
          <w:sz w:val="24"/>
          <w:highlight w:val="none"/>
        </w:rPr>
      </w:pPr>
    </w:p>
    <w:p>
      <w:pPr>
        <w:spacing w:line="360" w:lineRule="auto"/>
        <w:jc w:val="left"/>
        <w:rPr>
          <w:rFonts w:ascii="宋体" w:hAnsi="宋体" w:eastAsia="宋体" w:cs="宋体"/>
          <w:b/>
          <w:color w:val="auto"/>
          <w:sz w:val="24"/>
          <w:highlight w:val="none"/>
        </w:rPr>
      </w:pPr>
      <w:r>
        <w:rPr>
          <w:rFonts w:ascii="宋体" w:hAnsi="宋体" w:eastAsia="宋体" w:cs="宋体"/>
          <w:b/>
          <w:color w:val="auto"/>
          <w:sz w:val="24"/>
          <w:highlight w:val="none"/>
        </w:rPr>
        <w:t xml:space="preserve">5.1    </w:t>
      </w:r>
      <w:r>
        <w:rPr>
          <w:rFonts w:hint="eastAsia" w:ascii="宋体" w:hAnsi="宋体" w:eastAsia="宋体" w:cs="宋体"/>
          <w:b/>
          <w:color w:val="auto"/>
          <w:sz w:val="24"/>
          <w:highlight w:val="none"/>
        </w:rPr>
        <w:t>确定中标人</w:t>
      </w:r>
    </w:p>
    <w:p>
      <w:pPr>
        <w:spacing w:line="360" w:lineRule="auto"/>
        <w:jc w:val="left"/>
        <w:rPr>
          <w:rFonts w:ascii="宋体" w:hAnsi="宋体" w:eastAsia="宋体" w:cs="宋体"/>
          <w:color w:val="auto"/>
          <w:sz w:val="24"/>
          <w:highlight w:val="none"/>
        </w:rPr>
      </w:pPr>
    </w:p>
    <w:p>
      <w:pPr>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采用方式</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确定中标人：</w:t>
      </w:r>
    </w:p>
    <w:p>
      <w:pPr>
        <w:spacing w:line="360" w:lineRule="auto"/>
        <w:jc w:val="left"/>
        <w:rPr>
          <w:rFonts w:ascii="宋体" w:hAnsi="宋体" w:eastAsia="宋体" w:cs="宋体"/>
          <w:color w:val="auto"/>
          <w:sz w:val="24"/>
          <w:highlight w:val="none"/>
        </w:rPr>
      </w:pPr>
    </w:p>
    <w:p>
      <w:pPr>
        <w:spacing w:line="360" w:lineRule="auto"/>
        <w:jc w:val="left"/>
        <w:rPr>
          <w:rFonts w:ascii="宋体" w:hAnsi="宋体" w:eastAsia="宋体" w:cs="宋体"/>
          <w:b/>
          <w:color w:val="auto"/>
          <w:sz w:val="24"/>
          <w:highlight w:val="none"/>
        </w:rPr>
      </w:pPr>
      <w:r>
        <w:rPr>
          <w:rFonts w:hint="eastAsia" w:ascii="宋体" w:hAnsi="宋体" w:eastAsia="宋体" w:cs="宋体"/>
          <w:b/>
          <w:color w:val="auto"/>
          <w:sz w:val="24"/>
          <w:highlight w:val="none"/>
        </w:rPr>
        <w:t>方式一（适用于设置资格审查环节的项目）：</w:t>
      </w:r>
    </w:p>
    <w:p>
      <w:pPr>
        <w:spacing w:line="360" w:lineRule="auto"/>
        <w:ind w:left="821" w:hanging="820" w:hangingChars="342"/>
        <w:jc w:val="left"/>
        <w:rPr>
          <w:rFonts w:ascii="宋体" w:hAnsi="宋体" w:eastAsia="宋体" w:cs="宋体"/>
          <w:color w:val="auto"/>
          <w:sz w:val="24"/>
          <w:highlight w:val="none"/>
        </w:rPr>
      </w:pPr>
      <w:r>
        <w:rPr>
          <w:rFonts w:ascii="宋体" w:hAnsi="宋体" w:eastAsia="宋体" w:cs="宋体"/>
          <w:color w:val="auto"/>
          <w:sz w:val="24"/>
          <w:highlight w:val="none"/>
        </w:rPr>
        <w:t xml:space="preserve">5.1.1  </w:t>
      </w:r>
      <w:r>
        <w:rPr>
          <w:rFonts w:hint="eastAsia" w:ascii="宋体" w:hAnsi="宋体" w:eastAsia="宋体" w:cs="宋体"/>
          <w:color w:val="auto"/>
          <w:sz w:val="24"/>
          <w:highlight w:val="none"/>
        </w:rPr>
        <w:t>招标人在评标委员会或定标委员会推荐的中标候选人中确定中标人。</w:t>
      </w:r>
    </w:p>
    <w:p>
      <w:pPr>
        <w:spacing w:line="360" w:lineRule="auto"/>
        <w:ind w:left="821" w:hanging="820" w:hangingChars="342"/>
        <w:jc w:val="left"/>
        <w:rPr>
          <w:rFonts w:ascii="宋体" w:hAnsi="宋体" w:eastAsia="宋体" w:cs="宋体"/>
          <w:color w:val="auto"/>
          <w:sz w:val="24"/>
          <w:highlight w:val="none"/>
        </w:rPr>
      </w:pPr>
      <w:r>
        <w:rPr>
          <w:rFonts w:ascii="宋体" w:hAnsi="宋体" w:eastAsia="宋体" w:cs="宋体"/>
          <w:color w:val="auto"/>
          <w:sz w:val="24"/>
          <w:highlight w:val="none"/>
        </w:rPr>
        <w:t xml:space="preserve">5.1.2  </w:t>
      </w:r>
      <w:r>
        <w:rPr>
          <w:rFonts w:hint="eastAsia" w:ascii="宋体" w:hAnsi="宋体" w:eastAsia="宋体" w:cs="宋体"/>
          <w:color w:val="auto"/>
          <w:sz w:val="24"/>
          <w:highlight w:val="none"/>
        </w:rPr>
        <w:t>招标人确定中标人：</w:t>
      </w:r>
    </w:p>
    <w:p>
      <w:pPr>
        <w:spacing w:line="360" w:lineRule="auto"/>
        <w:ind w:left="735" w:leftChars="350"/>
        <w:jc w:val="left"/>
        <w:rPr>
          <w:rFonts w:ascii="宋体" w:hAnsi="宋体" w:eastAsia="宋体" w:cs="宋体"/>
          <w:color w:val="auto"/>
          <w:sz w:val="24"/>
          <w:highlight w:val="none"/>
        </w:rPr>
      </w:pPr>
      <w:r>
        <w:rPr>
          <w:rFonts w:hint="eastAsia" w:ascii="宋体" w:hAnsi="宋体" w:eastAsia="宋体" w:cs="宋体"/>
          <w:color w:val="auto"/>
          <w:sz w:val="24"/>
          <w:highlight w:val="none"/>
        </w:rPr>
        <w:t>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中标候选人为中标人，也可以重新招标。如定标委员会直接确定中标人的，可省略此步骤。</w:t>
      </w:r>
    </w:p>
    <w:p>
      <w:pPr>
        <w:spacing w:line="360" w:lineRule="auto"/>
        <w:ind w:left="720" w:hanging="720" w:hangingChars="300"/>
        <w:rPr>
          <w:rFonts w:ascii="宋体" w:hAnsi="宋体" w:eastAsia="宋体" w:cs="宋体"/>
          <w:color w:val="auto"/>
          <w:sz w:val="24"/>
          <w:highlight w:val="none"/>
        </w:rPr>
      </w:pPr>
      <w:r>
        <w:rPr>
          <w:rFonts w:ascii="宋体" w:hAnsi="宋体" w:eastAsia="宋体" w:cs="宋体"/>
          <w:color w:val="auto"/>
          <w:sz w:val="24"/>
          <w:highlight w:val="none"/>
        </w:rPr>
        <w:t xml:space="preserve">5.1.3 </w:t>
      </w:r>
      <w:r>
        <w:rPr>
          <w:rFonts w:hint="eastAsia" w:ascii="宋体" w:hAnsi="宋体" w:eastAsia="宋体" w:cs="宋体"/>
          <w:color w:val="auto"/>
          <w:sz w:val="24"/>
          <w:highlight w:val="none"/>
        </w:rPr>
        <w:t>在产生中标候选人后，招标人将中标候选人的投标文件商务部分（包括报价清单、人员、业绩、奖项等资料）在交易平台和广东省招标投标监管网公开。</w:t>
      </w:r>
    </w:p>
    <w:p>
      <w:pPr>
        <w:spacing w:line="360" w:lineRule="auto"/>
        <w:jc w:val="left"/>
        <w:rPr>
          <w:rFonts w:ascii="宋体" w:hAnsi="宋体" w:eastAsia="宋体" w:cs="宋体"/>
          <w:color w:val="auto"/>
          <w:sz w:val="24"/>
          <w:highlight w:val="none"/>
        </w:rPr>
      </w:pPr>
    </w:p>
    <w:p>
      <w:pPr>
        <w:spacing w:line="360" w:lineRule="auto"/>
        <w:rPr>
          <w:rFonts w:ascii="宋体" w:hAnsi="宋体" w:eastAsia="宋体" w:cs="宋体"/>
          <w:b/>
          <w:color w:val="auto"/>
          <w:sz w:val="24"/>
          <w:highlight w:val="none"/>
        </w:rPr>
      </w:pPr>
      <w:r>
        <w:rPr>
          <w:rFonts w:hint="eastAsia" w:ascii="宋体" w:hAnsi="宋体" w:eastAsia="宋体" w:cs="宋体"/>
          <w:b/>
          <w:color w:val="auto"/>
          <w:sz w:val="24"/>
          <w:highlight w:val="none"/>
        </w:rPr>
        <w:t>方式二（适用于未设资格审查环节的项目）：</w:t>
      </w:r>
    </w:p>
    <w:p>
      <w:pPr>
        <w:spacing w:line="360" w:lineRule="auto"/>
        <w:ind w:left="821" w:hanging="820" w:hangingChars="342"/>
        <w:jc w:val="left"/>
        <w:rPr>
          <w:rFonts w:ascii="宋体" w:hAnsi="宋体" w:eastAsia="宋体" w:cs="宋体"/>
          <w:color w:val="auto"/>
          <w:sz w:val="24"/>
          <w:highlight w:val="none"/>
        </w:rPr>
      </w:pPr>
      <w:r>
        <w:rPr>
          <w:rFonts w:ascii="宋体" w:hAnsi="宋体" w:eastAsia="宋体" w:cs="宋体"/>
          <w:color w:val="auto"/>
          <w:sz w:val="24"/>
          <w:highlight w:val="none"/>
        </w:rPr>
        <w:t xml:space="preserve">5.1.1  </w:t>
      </w:r>
      <w:r>
        <w:rPr>
          <w:rFonts w:hint="eastAsia" w:ascii="宋体" w:hAnsi="宋体" w:eastAsia="宋体" w:cs="宋体"/>
          <w:color w:val="auto"/>
          <w:sz w:val="24"/>
          <w:highlight w:val="none"/>
        </w:rPr>
        <w:t>招标人依据评标委员会或定标委员会推荐的中标候选人顺序，依次对中标候选人进行资格复核。如排名第一的中标候选人通过资格复核的，应确定排名第一的中标候选人为中标人。若排名第一的中标候选人未通过资格复核的，招标人可对排名第二的中标候选人进行资格复核，通过的，确定其为中标人，以此类推；也可以重新招标。</w:t>
      </w:r>
    </w:p>
    <w:p>
      <w:pPr>
        <w:spacing w:line="360" w:lineRule="auto"/>
        <w:ind w:left="821" w:hanging="820" w:hangingChars="342"/>
        <w:jc w:val="left"/>
        <w:rPr>
          <w:rFonts w:ascii="宋体" w:hAnsi="宋体" w:eastAsia="宋体" w:cs="宋体"/>
          <w:color w:val="auto"/>
          <w:sz w:val="24"/>
          <w:highlight w:val="none"/>
        </w:rPr>
      </w:pPr>
      <w:r>
        <w:rPr>
          <w:rFonts w:ascii="宋体" w:hAnsi="宋体" w:eastAsia="宋体" w:cs="宋体"/>
          <w:color w:val="auto"/>
          <w:sz w:val="24"/>
          <w:highlight w:val="none"/>
        </w:rPr>
        <w:t xml:space="preserve">5.1.2  </w:t>
      </w:r>
      <w:r>
        <w:rPr>
          <w:rFonts w:hint="eastAsia" w:ascii="宋体" w:hAnsi="宋体" w:eastAsia="宋体" w:cs="宋体"/>
          <w:color w:val="auto"/>
          <w:sz w:val="24"/>
          <w:highlight w:val="none"/>
        </w:rPr>
        <w:t>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通过资格复核的中标候选人为中标人，也可以重新招标。</w:t>
      </w:r>
    </w:p>
    <w:p>
      <w:pPr>
        <w:spacing w:line="360" w:lineRule="auto"/>
        <w:ind w:left="821" w:hanging="820" w:hangingChars="342"/>
        <w:jc w:val="left"/>
        <w:rPr>
          <w:rFonts w:ascii="宋体" w:hAnsi="宋体" w:eastAsia="宋体" w:cs="宋体"/>
          <w:color w:val="auto"/>
          <w:sz w:val="24"/>
          <w:highlight w:val="none"/>
        </w:rPr>
      </w:pPr>
      <w:r>
        <w:rPr>
          <w:rFonts w:ascii="宋体" w:hAnsi="宋体" w:eastAsia="宋体" w:cs="宋体"/>
          <w:color w:val="auto"/>
          <w:sz w:val="24"/>
          <w:highlight w:val="none"/>
        </w:rPr>
        <w:t xml:space="preserve">5.1.3  </w:t>
      </w:r>
      <w:r>
        <w:rPr>
          <w:rFonts w:hint="eastAsia" w:ascii="宋体" w:hAnsi="宋体" w:eastAsia="宋体" w:cs="宋体"/>
          <w:color w:val="auto"/>
          <w:sz w:val="24"/>
          <w:highlight w:val="none"/>
        </w:rPr>
        <w:t>定标委员会直接确定中标人，中标人未能通过资格复核的，招标失败。招标人应重新组织招标。</w:t>
      </w:r>
    </w:p>
    <w:p>
      <w:pPr>
        <w:spacing w:line="360" w:lineRule="auto"/>
        <w:ind w:left="840" w:hanging="840" w:hangingChars="350"/>
        <w:rPr>
          <w:rFonts w:ascii="宋体" w:hAnsi="宋体" w:eastAsia="宋体" w:cs="宋体"/>
          <w:color w:val="auto"/>
          <w:sz w:val="24"/>
          <w:highlight w:val="none"/>
        </w:rPr>
      </w:pPr>
      <w:r>
        <w:rPr>
          <w:rFonts w:ascii="宋体" w:hAnsi="宋体" w:eastAsia="宋体" w:cs="宋体"/>
          <w:color w:val="auto"/>
          <w:sz w:val="24"/>
          <w:highlight w:val="none"/>
        </w:rPr>
        <w:t xml:space="preserve">5.1.4  </w:t>
      </w:r>
      <w:r>
        <w:rPr>
          <w:rFonts w:hint="eastAsia" w:ascii="宋体" w:hAnsi="宋体" w:eastAsia="宋体" w:cs="宋体"/>
          <w:color w:val="auto"/>
          <w:sz w:val="24"/>
          <w:highlight w:val="none"/>
        </w:rPr>
        <w:t>在产生中标候选人后，招标人将中标候选人的投标文件商务部分（包括报价清单、人员、业绩、奖项等资料）在交易平台和广东省招标投标监管网公开。</w:t>
      </w:r>
    </w:p>
    <w:p>
      <w:pPr>
        <w:spacing w:line="360" w:lineRule="auto"/>
        <w:ind w:left="840" w:hanging="840" w:hangingChars="350"/>
        <w:rPr>
          <w:rFonts w:ascii="宋体" w:hAnsi="宋体" w:eastAsia="宋体" w:cs="宋体"/>
          <w:color w:val="auto"/>
          <w:sz w:val="24"/>
          <w:highlight w:val="none"/>
        </w:rPr>
      </w:pPr>
    </w:p>
    <w:p>
      <w:pPr>
        <w:spacing w:line="360" w:lineRule="auto"/>
        <w:jc w:val="left"/>
        <w:rPr>
          <w:rFonts w:ascii="宋体" w:hAnsi="宋体" w:eastAsia="宋体" w:cs="宋体"/>
          <w:b/>
          <w:color w:val="auto"/>
          <w:sz w:val="24"/>
          <w:highlight w:val="none"/>
        </w:rPr>
      </w:pPr>
      <w:r>
        <w:rPr>
          <w:rFonts w:ascii="宋体" w:hAnsi="宋体" w:eastAsia="宋体" w:cs="宋体"/>
          <w:b/>
          <w:color w:val="auto"/>
          <w:sz w:val="24"/>
          <w:highlight w:val="none"/>
        </w:rPr>
        <w:t xml:space="preserve">5.2    </w:t>
      </w:r>
      <w:r>
        <w:rPr>
          <w:rFonts w:hint="eastAsia" w:ascii="宋体" w:hAnsi="宋体" w:eastAsia="宋体" w:cs="宋体"/>
          <w:b/>
          <w:color w:val="auto"/>
          <w:sz w:val="24"/>
          <w:highlight w:val="none"/>
        </w:rPr>
        <w:t>中标资格审核及中标通知</w:t>
      </w:r>
    </w:p>
    <w:p>
      <w:pPr>
        <w:spacing w:line="360" w:lineRule="auto"/>
        <w:rPr>
          <w:rFonts w:ascii="宋体" w:hAnsi="宋体" w:eastAsia="宋体" w:cs="宋体"/>
          <w:color w:val="auto"/>
          <w:sz w:val="24"/>
          <w:highlight w:val="none"/>
        </w:rPr>
      </w:pPr>
    </w:p>
    <w:p>
      <w:pPr>
        <w:spacing w:line="360" w:lineRule="auto"/>
        <w:ind w:left="821" w:hanging="820" w:hangingChars="342"/>
        <w:jc w:val="left"/>
        <w:rPr>
          <w:rFonts w:ascii="宋体" w:hAnsi="宋体" w:eastAsia="宋体" w:cs="宋体"/>
          <w:color w:val="auto"/>
          <w:sz w:val="24"/>
          <w:highlight w:val="none"/>
        </w:rPr>
      </w:pPr>
      <w:r>
        <w:rPr>
          <w:rFonts w:ascii="宋体" w:hAnsi="宋体" w:eastAsia="宋体" w:cs="宋体"/>
          <w:color w:val="auto"/>
          <w:sz w:val="24"/>
          <w:highlight w:val="none"/>
        </w:rPr>
        <w:t xml:space="preserve">5.2.1  </w:t>
      </w:r>
      <w:r>
        <w:rPr>
          <w:rFonts w:hint="eastAsia" w:ascii="宋体" w:hAnsi="宋体" w:eastAsia="宋体" w:cs="宋体"/>
          <w:color w:val="auto"/>
          <w:sz w:val="24"/>
          <w:highlight w:val="none"/>
        </w:rPr>
        <w:t>招标人发出中标通知书前，与中标人落实以下事项：</w:t>
      </w:r>
    </w:p>
    <w:p>
      <w:pPr>
        <w:spacing w:line="360" w:lineRule="auto"/>
        <w:rPr>
          <w:rFonts w:ascii="宋体" w:hAnsi="宋体" w:eastAsia="宋体" w:cs="宋体"/>
          <w:color w:val="auto"/>
          <w:sz w:val="24"/>
          <w:highlight w:val="none"/>
        </w:rPr>
      </w:pPr>
      <w:r>
        <w:rPr>
          <w:rFonts w:ascii="宋体" w:hAnsi="宋体" w:eastAsia="宋体" w:cs="宋体"/>
          <w:color w:val="auto"/>
          <w:sz w:val="24"/>
          <w:highlight w:val="none"/>
        </w:rPr>
        <w:t xml:space="preserve">   (a) 投标文件是否有明显抄袭行为；</w:t>
      </w:r>
    </w:p>
    <w:p>
      <w:pPr>
        <w:spacing w:line="360" w:lineRule="auto"/>
        <w:ind w:firstLine="240" w:firstLineChars="100"/>
        <w:rPr>
          <w:rFonts w:ascii="宋体" w:hAnsi="宋体" w:eastAsia="宋体" w:cs="宋体"/>
          <w:color w:val="auto"/>
          <w:sz w:val="24"/>
          <w:highlight w:val="none"/>
        </w:rPr>
      </w:pPr>
      <w:r>
        <w:rPr>
          <w:rFonts w:ascii="宋体" w:hAnsi="宋体" w:eastAsia="宋体" w:cs="宋体"/>
          <w:color w:val="auto"/>
          <w:sz w:val="24"/>
          <w:highlight w:val="none"/>
        </w:rPr>
        <w:t xml:space="preserve"> (b) 投标文件是否有侵犯他人著作权和特许权；</w:t>
      </w:r>
    </w:p>
    <w:p>
      <w:pPr>
        <w:spacing w:line="360" w:lineRule="auto"/>
        <w:ind w:firstLine="240" w:firstLineChars="100"/>
        <w:rPr>
          <w:rFonts w:ascii="宋体" w:hAnsi="宋体" w:eastAsia="宋体" w:cs="宋体"/>
          <w:color w:val="auto"/>
          <w:sz w:val="24"/>
          <w:highlight w:val="none"/>
        </w:rPr>
      </w:pPr>
      <w:r>
        <w:rPr>
          <w:rFonts w:ascii="宋体" w:hAnsi="宋体" w:eastAsia="宋体" w:cs="宋体"/>
          <w:color w:val="auto"/>
          <w:sz w:val="24"/>
          <w:highlight w:val="none"/>
        </w:rPr>
        <w:t xml:space="preserve"> (c) 投标文件是否有参加过其他竞赛，或在其他竞赛中获奖的作品。</w:t>
      </w:r>
    </w:p>
    <w:p>
      <w:pPr>
        <w:spacing w:line="360" w:lineRule="auto"/>
        <w:ind w:left="849" w:leftChars="404" w:hanging="1"/>
        <w:rPr>
          <w:rFonts w:ascii="宋体" w:hAnsi="宋体" w:eastAsia="宋体" w:cs="宋体"/>
          <w:color w:val="auto"/>
          <w:sz w:val="24"/>
          <w:highlight w:val="none"/>
        </w:rPr>
      </w:pPr>
      <w:r>
        <w:rPr>
          <w:rFonts w:hint="eastAsia" w:ascii="宋体" w:hAnsi="宋体" w:eastAsia="宋体" w:cs="宋体"/>
          <w:color w:val="auto"/>
          <w:sz w:val="24"/>
          <w:highlight w:val="none"/>
        </w:rPr>
        <w:t>中标人出现以上情形的，中标无效。招标人按照《中华人民共和国招标投标法实施条例》第五十五条的规定依次确定中标人或重新招标。</w:t>
      </w:r>
    </w:p>
    <w:p>
      <w:pPr>
        <w:spacing w:line="360" w:lineRule="auto"/>
        <w:ind w:left="821" w:hanging="820" w:hangingChars="342"/>
        <w:rPr>
          <w:rFonts w:ascii="宋体" w:hAnsi="宋体" w:eastAsia="宋体" w:cs="宋体"/>
          <w:color w:val="auto"/>
          <w:sz w:val="24"/>
          <w:highlight w:val="none"/>
        </w:rPr>
      </w:pPr>
      <w:r>
        <w:rPr>
          <w:rFonts w:ascii="宋体" w:hAnsi="宋体" w:eastAsia="宋体" w:cs="宋体"/>
          <w:color w:val="auto"/>
          <w:sz w:val="24"/>
          <w:highlight w:val="none"/>
        </w:rPr>
        <w:t xml:space="preserve">5.2.2  </w:t>
      </w:r>
      <w:r>
        <w:rPr>
          <w:rFonts w:hint="eastAsia" w:ascii="宋体" w:hAnsi="宋体" w:eastAsia="宋体" w:cs="宋体"/>
          <w:color w:val="auto"/>
          <w:sz w:val="24"/>
          <w:highlight w:val="none"/>
        </w:rPr>
        <w:t>如果投标人不具备承接任务所需要的全部专业技能和资质，可以通过联合体投标或中标后分包的方式来获得全部专业技能和资质。联合体成员之间分工相同的，以资质等级低的单位业务许可范围核定资格；分工不同的，按各自业务许可范围核定资格。中标人可以将部分工程设计发包给具有相应资质条件的分包单位，但分包单位必须经招标人认可。</w:t>
      </w:r>
    </w:p>
    <w:p>
      <w:pPr>
        <w:spacing w:line="360" w:lineRule="auto"/>
        <w:ind w:left="821" w:hanging="820" w:hangingChars="342"/>
        <w:rPr>
          <w:rFonts w:ascii="宋体" w:hAnsi="宋体" w:eastAsia="宋体" w:cs="宋体"/>
          <w:color w:val="auto"/>
          <w:sz w:val="24"/>
          <w:highlight w:val="none"/>
        </w:rPr>
      </w:pPr>
      <w:r>
        <w:rPr>
          <w:rFonts w:ascii="宋体" w:hAnsi="宋体" w:eastAsia="宋体" w:cs="宋体"/>
          <w:color w:val="auto"/>
          <w:sz w:val="24"/>
          <w:highlight w:val="none"/>
        </w:rPr>
        <w:t xml:space="preserve">5.2.3  </w:t>
      </w:r>
      <w:r>
        <w:rPr>
          <w:rFonts w:hint="eastAsia" w:ascii="宋体" w:hAnsi="宋体" w:eastAsia="宋体" w:cs="宋体"/>
          <w:color w:val="auto"/>
          <w:sz w:val="24"/>
          <w:highlight w:val="none"/>
        </w:rPr>
        <w:t>如果中标候选人的报价不符合招标文件规定，招标人有权作出修正，招标人的修正备忘录在得到中标候选人的同意后向其颁发中标通知书。</w:t>
      </w:r>
    </w:p>
    <w:p>
      <w:pPr>
        <w:spacing w:line="360" w:lineRule="auto"/>
        <w:ind w:left="821" w:hanging="820" w:hangingChars="342"/>
        <w:jc w:val="left"/>
        <w:rPr>
          <w:rFonts w:ascii="宋体" w:hAnsi="宋体" w:eastAsia="宋体" w:cs="宋体"/>
          <w:color w:val="auto"/>
          <w:sz w:val="24"/>
          <w:highlight w:val="none"/>
        </w:rPr>
      </w:pPr>
      <w:r>
        <w:rPr>
          <w:rFonts w:ascii="宋体" w:hAnsi="宋体" w:eastAsia="宋体" w:cs="宋体"/>
          <w:color w:val="auto"/>
          <w:sz w:val="24"/>
          <w:highlight w:val="none"/>
        </w:rPr>
        <w:t xml:space="preserve">5.2.4  </w:t>
      </w:r>
      <w:r>
        <w:rPr>
          <w:rFonts w:hint="eastAsia" w:ascii="宋体" w:hAnsi="宋体" w:eastAsia="宋体" w:cs="宋体"/>
          <w:color w:val="auto"/>
          <w:sz w:val="24"/>
          <w:highlight w:val="none"/>
        </w:rPr>
        <w:t>中标人确定后，招标人（招标代理机构）通过交易平台和广东省招标投标监管网公示中标结果。</w:t>
      </w:r>
    </w:p>
    <w:p>
      <w:pPr>
        <w:spacing w:line="360" w:lineRule="auto"/>
        <w:ind w:left="821" w:hanging="820" w:hangingChars="342"/>
        <w:jc w:val="left"/>
        <w:rPr>
          <w:rFonts w:ascii="宋体" w:hAnsi="宋体" w:eastAsia="宋体" w:cs="宋体"/>
          <w:color w:val="auto"/>
          <w:sz w:val="24"/>
          <w:highlight w:val="none"/>
        </w:rPr>
      </w:pPr>
      <w:r>
        <w:rPr>
          <w:rFonts w:ascii="宋体" w:hAnsi="宋体" w:eastAsia="宋体" w:cs="宋体"/>
          <w:color w:val="auto"/>
          <w:sz w:val="24"/>
          <w:highlight w:val="none"/>
        </w:rPr>
        <w:t xml:space="preserve">5.2.5  </w:t>
      </w:r>
      <w:r>
        <w:rPr>
          <w:rFonts w:hint="eastAsia" w:ascii="宋体" w:hAnsi="宋体" w:eastAsia="宋体" w:cs="宋体"/>
          <w:color w:val="auto"/>
          <w:sz w:val="24"/>
          <w:highlight w:val="none"/>
        </w:rPr>
        <w:t>招标人自确定中标人之日起十五日内向招标管理机构提交招标投标情况的书面报告。</w:t>
      </w:r>
    </w:p>
    <w:p>
      <w:pPr>
        <w:spacing w:line="360" w:lineRule="auto"/>
        <w:rPr>
          <w:rFonts w:ascii="宋体" w:hAnsi="宋体" w:eastAsia="宋体" w:cs="宋体"/>
          <w:color w:val="auto"/>
          <w:sz w:val="24"/>
          <w:highlight w:val="none"/>
        </w:rPr>
      </w:pPr>
    </w:p>
    <w:p>
      <w:pPr>
        <w:spacing w:line="360" w:lineRule="auto"/>
        <w:rPr>
          <w:rFonts w:ascii="宋体" w:hAnsi="宋体" w:eastAsia="宋体" w:cs="宋体"/>
          <w:b/>
          <w:bCs/>
          <w:color w:val="auto"/>
          <w:sz w:val="24"/>
          <w:highlight w:val="none"/>
        </w:rPr>
      </w:pPr>
      <w:r>
        <w:rPr>
          <w:rFonts w:ascii="宋体" w:hAnsi="宋体" w:eastAsia="宋体" w:cs="宋体"/>
          <w:b/>
          <w:bCs/>
          <w:color w:val="auto"/>
          <w:sz w:val="24"/>
          <w:highlight w:val="none"/>
        </w:rPr>
        <w:t xml:space="preserve">5.3    </w:t>
      </w:r>
      <w:r>
        <w:rPr>
          <w:rFonts w:hint="eastAsia" w:ascii="宋体" w:hAnsi="宋体" w:eastAsia="宋体" w:cs="宋体"/>
          <w:b/>
          <w:bCs/>
          <w:color w:val="auto"/>
          <w:sz w:val="24"/>
          <w:highlight w:val="none"/>
        </w:rPr>
        <w:t>其他</w:t>
      </w:r>
    </w:p>
    <w:p>
      <w:pPr>
        <w:spacing w:line="360" w:lineRule="auto"/>
        <w:rPr>
          <w:rFonts w:ascii="宋体" w:hAnsi="宋体" w:eastAsia="宋体" w:cs="宋体"/>
          <w:color w:val="auto"/>
          <w:sz w:val="24"/>
          <w:highlight w:val="none"/>
        </w:rPr>
      </w:pPr>
    </w:p>
    <w:p>
      <w:pPr>
        <w:spacing w:line="360" w:lineRule="auto"/>
        <w:ind w:left="821" w:hanging="820" w:hangingChars="342"/>
        <w:rPr>
          <w:rFonts w:ascii="宋体" w:hAnsi="宋体" w:eastAsia="宋体" w:cs="宋体"/>
          <w:color w:val="auto"/>
          <w:sz w:val="24"/>
          <w:highlight w:val="none"/>
        </w:rPr>
      </w:pPr>
      <w:r>
        <w:rPr>
          <w:rFonts w:ascii="宋体" w:hAnsi="宋体" w:eastAsia="宋体" w:cs="宋体"/>
          <w:color w:val="auto"/>
          <w:sz w:val="24"/>
          <w:highlight w:val="none"/>
        </w:rPr>
        <w:t xml:space="preserve">5.3.1  </w:t>
      </w:r>
      <w:r>
        <w:rPr>
          <w:rFonts w:hint="eastAsia" w:ascii="宋体" w:hAnsi="宋体" w:eastAsia="宋体" w:cs="宋体"/>
          <w:color w:val="auto"/>
          <w:sz w:val="24"/>
          <w:highlight w:val="none"/>
        </w:rPr>
        <w:t>凡是以他人名义投标，或者投标人允许其他单位或者个人以投标人的名义投标承揽业务的，均属违法行为，招标人对这些单位或个人的损失概不负责，对这些单位或个人的投诉概不受理。</w:t>
      </w:r>
    </w:p>
    <w:p>
      <w:pPr>
        <w:spacing w:line="360" w:lineRule="auto"/>
        <w:ind w:left="821" w:hanging="820" w:hangingChars="342"/>
        <w:rPr>
          <w:rFonts w:ascii="宋体" w:hAnsi="宋体" w:eastAsia="宋体" w:cs="宋体"/>
          <w:color w:val="auto"/>
          <w:sz w:val="24"/>
          <w:highlight w:val="none"/>
        </w:rPr>
      </w:pPr>
      <w:r>
        <w:rPr>
          <w:rFonts w:ascii="宋体" w:hAnsi="宋体" w:eastAsia="宋体" w:cs="宋体"/>
          <w:color w:val="auto"/>
          <w:sz w:val="24"/>
          <w:highlight w:val="none"/>
        </w:rPr>
        <w:t xml:space="preserve">5.3.2  </w:t>
      </w:r>
      <w:r>
        <w:rPr>
          <w:rFonts w:hint="eastAsia" w:ascii="宋体" w:hAnsi="宋体" w:eastAsia="宋体" w:cs="宋体"/>
          <w:color w:val="auto"/>
          <w:sz w:val="24"/>
          <w:highlight w:val="none"/>
        </w:rPr>
        <w:t>本次招标由交易服务机构对各投标人提交的成果和评标过程、评标结果予以见证，若有纠纷，将按现行法律、法规通过友好协商或诉讼程序解决。</w:t>
      </w:r>
    </w:p>
    <w:p>
      <w:pPr>
        <w:spacing w:line="360" w:lineRule="auto"/>
        <w:ind w:left="821" w:hanging="820" w:hangingChars="342"/>
        <w:rPr>
          <w:rFonts w:ascii="宋体" w:hAnsi="宋体" w:eastAsia="宋体" w:cs="宋体"/>
          <w:color w:val="auto"/>
          <w:sz w:val="24"/>
          <w:highlight w:val="none"/>
        </w:rPr>
      </w:pPr>
      <w:r>
        <w:rPr>
          <w:rFonts w:ascii="宋体" w:hAnsi="宋体" w:eastAsia="宋体" w:cs="宋体"/>
          <w:color w:val="auto"/>
          <w:sz w:val="24"/>
          <w:highlight w:val="none"/>
        </w:rPr>
        <w:t xml:space="preserve">5.3.3  </w:t>
      </w:r>
      <w:r>
        <w:rPr>
          <w:rFonts w:hint="eastAsia" w:ascii="宋体" w:hAnsi="宋体" w:eastAsia="宋体" w:cs="宋体"/>
          <w:color w:val="auto"/>
          <w:sz w:val="24"/>
          <w:highlight w:val="none"/>
        </w:rPr>
        <w:t>腐败与欺诈行为</w:t>
      </w:r>
    </w:p>
    <w:p>
      <w:pPr>
        <w:spacing w:line="360" w:lineRule="auto"/>
        <w:ind w:left="821" w:hanging="820" w:hangingChars="342"/>
        <w:rPr>
          <w:rFonts w:ascii="宋体" w:hAnsi="宋体" w:eastAsia="宋体" w:cs="宋体"/>
          <w:color w:val="auto"/>
          <w:sz w:val="24"/>
          <w:highlight w:val="none"/>
        </w:rPr>
      </w:pPr>
      <w:r>
        <w:rPr>
          <w:rFonts w:ascii="宋体" w:hAnsi="宋体" w:eastAsia="宋体" w:cs="宋体"/>
          <w:color w:val="auto"/>
          <w:sz w:val="24"/>
          <w:highlight w:val="none"/>
        </w:rPr>
        <w:t xml:space="preserve">       在招标和合同实施期间，招标人要求投标人和承包人遵守最高的道德标准。</w:t>
      </w:r>
    </w:p>
    <w:p>
      <w:pPr>
        <w:spacing w:line="360" w:lineRule="auto"/>
        <w:ind w:left="821" w:hanging="820" w:hangingChars="342"/>
        <w:rPr>
          <w:rFonts w:ascii="宋体" w:hAnsi="宋体" w:eastAsia="宋体" w:cs="宋体"/>
          <w:color w:val="auto"/>
          <w:sz w:val="24"/>
          <w:highlight w:val="none"/>
        </w:rPr>
      </w:pPr>
      <w:r>
        <w:rPr>
          <w:rFonts w:ascii="宋体" w:hAnsi="宋体" w:eastAsia="宋体" w:cs="宋体"/>
          <w:color w:val="auto"/>
          <w:sz w:val="24"/>
          <w:highlight w:val="none"/>
        </w:rPr>
        <w:t>5.3.3.1对本条款的规定，特定义如下词汇：</w:t>
      </w:r>
    </w:p>
    <w:p>
      <w:pPr>
        <w:spacing w:line="360" w:lineRule="auto"/>
        <w:ind w:left="821" w:hanging="820" w:hangingChars="342"/>
        <w:rPr>
          <w:rFonts w:ascii="宋体" w:hAnsi="宋体" w:eastAsia="宋体" w:cs="宋体"/>
          <w:color w:val="auto"/>
          <w:sz w:val="24"/>
          <w:highlight w:val="none"/>
        </w:rPr>
      </w:pPr>
      <w:r>
        <w:rPr>
          <w:rFonts w:ascii="宋体" w:hAnsi="宋体" w:eastAsia="宋体" w:cs="宋体"/>
          <w:color w:val="auto"/>
          <w:sz w:val="24"/>
          <w:highlight w:val="none"/>
        </w:rPr>
        <w:t xml:space="preserve">       1）、“腐败行为”是指在招标或合同执行期间，通过提供、给予、接受或索要任何有价值的东西，从而影响招标人有关人员工作的行为；</w:t>
      </w:r>
    </w:p>
    <w:p>
      <w:pPr>
        <w:spacing w:line="360" w:lineRule="auto"/>
        <w:ind w:left="821" w:hanging="820" w:hangingChars="342"/>
        <w:rPr>
          <w:rFonts w:ascii="宋体" w:hAnsi="宋体" w:eastAsia="宋体" w:cs="宋体"/>
          <w:color w:val="auto"/>
          <w:sz w:val="24"/>
          <w:highlight w:val="none"/>
        </w:rPr>
      </w:pPr>
      <w:r>
        <w:rPr>
          <w:rFonts w:ascii="宋体" w:hAnsi="宋体" w:eastAsia="宋体" w:cs="宋体"/>
          <w:color w:val="auto"/>
          <w:sz w:val="24"/>
          <w:highlight w:val="none"/>
        </w:rPr>
        <w:t xml:space="preserve">       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spacing w:line="360" w:lineRule="auto"/>
        <w:ind w:left="821" w:hanging="820" w:hangingChars="342"/>
        <w:rPr>
          <w:rFonts w:ascii="宋体" w:hAnsi="宋体" w:eastAsia="宋体" w:cs="宋体"/>
          <w:color w:val="auto"/>
          <w:sz w:val="24"/>
          <w:highlight w:val="none"/>
        </w:rPr>
      </w:pPr>
      <w:r>
        <w:rPr>
          <w:rFonts w:ascii="宋体" w:hAnsi="宋体" w:eastAsia="宋体" w:cs="宋体"/>
          <w:color w:val="auto"/>
          <w:sz w:val="24"/>
          <w:highlight w:val="none"/>
        </w:rPr>
        <w:t>5.3.3.2如果投标人被认定在本招标的竞争中有腐败或欺诈行为，则会被取消投标资格。</w:t>
      </w:r>
    </w:p>
    <w:p>
      <w:pPr>
        <w:spacing w:line="360" w:lineRule="auto"/>
        <w:ind w:left="821" w:hanging="820" w:hangingChars="342"/>
        <w:rPr>
          <w:rFonts w:ascii="宋体" w:hAnsi="宋体" w:eastAsia="宋体" w:cs="宋体"/>
          <w:color w:val="auto"/>
          <w:sz w:val="24"/>
          <w:highlight w:val="none"/>
        </w:rPr>
      </w:pPr>
      <w:r>
        <w:rPr>
          <w:rFonts w:ascii="宋体" w:hAnsi="宋体" w:eastAsia="宋体" w:cs="宋体"/>
          <w:color w:val="auto"/>
          <w:sz w:val="24"/>
          <w:highlight w:val="none"/>
        </w:rPr>
        <w:t>5.3.3.3投标人如在本项目中存在串通投标、弄虚作假、行贿情形的，中标无效，行政监督部门将对其违法行为进行政处罚并通报。该投标人将被招标人列入黑名单并限制其参与招标人后续项目的投标。</w:t>
      </w:r>
    </w:p>
    <w:p>
      <w:pPr>
        <w:spacing w:line="360" w:lineRule="auto"/>
        <w:ind w:left="821" w:hanging="820" w:hangingChars="342"/>
        <w:rPr>
          <w:rFonts w:ascii="宋体" w:hAnsi="宋体" w:eastAsia="宋体" w:cs="宋体"/>
          <w:color w:val="auto"/>
          <w:sz w:val="24"/>
          <w:highlight w:val="none"/>
        </w:rPr>
      </w:pPr>
      <w:r>
        <w:rPr>
          <w:rFonts w:ascii="宋体" w:hAnsi="宋体" w:eastAsia="宋体" w:cs="宋体"/>
          <w:color w:val="auto"/>
          <w:sz w:val="24"/>
          <w:highlight w:val="none"/>
        </w:rPr>
        <w:t xml:space="preserve">5.3.4  </w:t>
      </w:r>
      <w:r>
        <w:rPr>
          <w:rFonts w:hint="eastAsia" w:ascii="宋体" w:hAnsi="宋体" w:eastAsia="宋体" w:cs="宋体"/>
          <w:color w:val="auto"/>
          <w:sz w:val="24"/>
          <w:highlight w:val="none"/>
        </w:rPr>
        <w:t>投标人如在本项目中存在串通投标、弄虚作假、行贿情形且在评标、定标过程中未被发现的，该投标不改变本项目评标、定标结果排序，其中标无效。招标人按照《中华人民共和国招标投标法实施条例》第五十五条的规定依次确定中标人或重新招标。</w:t>
      </w:r>
    </w:p>
    <w:p>
      <w:pPr>
        <w:keepNext/>
        <w:keepLines/>
        <w:spacing w:before="340" w:after="330" w:line="360" w:lineRule="auto"/>
        <w:jc w:val="center"/>
        <w:outlineLvl w:val="1"/>
        <w:rPr>
          <w:rFonts w:ascii="宋体" w:hAnsi="宋体" w:eastAsia="宋体" w:cs="宋体"/>
          <w:b/>
          <w:bCs/>
          <w:color w:val="auto"/>
          <w:kern w:val="44"/>
          <w:sz w:val="24"/>
          <w:highlight w:val="none"/>
        </w:rPr>
      </w:pPr>
      <w:r>
        <w:rPr>
          <w:rFonts w:ascii="宋体" w:hAnsi="宋体" w:eastAsia="宋体" w:cs="宋体"/>
          <w:b/>
          <w:bCs/>
          <w:color w:val="auto"/>
          <w:kern w:val="44"/>
          <w:sz w:val="24"/>
          <w:highlight w:val="none"/>
        </w:rPr>
        <w:br w:type="page"/>
      </w:r>
      <w:bookmarkStart w:id="21" w:name="_Toc5926"/>
      <w:bookmarkStart w:id="22" w:name="_Toc97803962"/>
      <w:r>
        <w:rPr>
          <w:rFonts w:hint="eastAsia" w:ascii="宋体" w:hAnsi="宋体" w:eastAsia="宋体" w:cs="宋体"/>
          <w:b/>
          <w:bCs/>
          <w:color w:val="auto"/>
          <w:kern w:val="44"/>
          <w:sz w:val="36"/>
          <w:szCs w:val="36"/>
          <w:highlight w:val="none"/>
        </w:rPr>
        <w:t>第六章</w:t>
      </w:r>
      <w:r>
        <w:rPr>
          <w:rFonts w:ascii="宋体" w:hAnsi="宋体" w:eastAsia="宋体" w:cs="宋体"/>
          <w:b/>
          <w:bCs/>
          <w:color w:val="auto"/>
          <w:kern w:val="44"/>
          <w:sz w:val="36"/>
          <w:szCs w:val="36"/>
          <w:highlight w:val="none"/>
        </w:rPr>
        <w:t xml:space="preserve">  </w:t>
      </w:r>
      <w:r>
        <w:rPr>
          <w:rFonts w:hint="eastAsia" w:ascii="宋体" w:hAnsi="宋体" w:eastAsia="宋体" w:cs="宋体"/>
          <w:b/>
          <w:bCs/>
          <w:color w:val="auto"/>
          <w:kern w:val="44"/>
          <w:sz w:val="36"/>
          <w:szCs w:val="36"/>
          <w:highlight w:val="none"/>
        </w:rPr>
        <w:t>授予合同</w:t>
      </w:r>
      <w:r>
        <w:rPr>
          <w:rFonts w:hint="eastAsia" w:ascii="宋体" w:hAnsi="宋体" w:eastAsia="宋体" w:cs="宋体"/>
          <w:b/>
          <w:bCs/>
          <w:color w:val="auto"/>
          <w:kern w:val="44"/>
          <w:sz w:val="36"/>
          <w:szCs w:val="36"/>
          <w:highlight w:val="none"/>
          <w:u w:val="single"/>
        </w:rPr>
        <w:t>（范本原文）</w:t>
      </w:r>
      <w:bookmarkEnd w:id="21"/>
      <w:bookmarkEnd w:id="22"/>
    </w:p>
    <w:p>
      <w:pPr>
        <w:spacing w:line="360" w:lineRule="auto"/>
        <w:rPr>
          <w:rFonts w:ascii="宋体" w:hAnsi="宋体" w:eastAsia="宋体" w:cs="宋体"/>
          <w:color w:val="auto"/>
          <w:sz w:val="24"/>
          <w:highlight w:val="none"/>
        </w:rPr>
      </w:pPr>
    </w:p>
    <w:p>
      <w:pPr>
        <w:spacing w:line="360" w:lineRule="auto"/>
        <w:rPr>
          <w:rFonts w:ascii="宋体" w:hAnsi="宋体" w:eastAsia="宋体" w:cs="宋体"/>
          <w:b/>
          <w:bCs/>
          <w:color w:val="auto"/>
          <w:sz w:val="24"/>
          <w:highlight w:val="none"/>
        </w:rPr>
      </w:pPr>
      <w:r>
        <w:rPr>
          <w:rFonts w:ascii="宋体" w:hAnsi="宋体" w:eastAsia="宋体" w:cs="宋体"/>
          <w:b/>
          <w:bCs/>
          <w:color w:val="auto"/>
          <w:sz w:val="24"/>
          <w:highlight w:val="none"/>
        </w:rPr>
        <w:t xml:space="preserve">6.1    </w:t>
      </w:r>
      <w:r>
        <w:rPr>
          <w:rFonts w:hint="eastAsia" w:ascii="宋体" w:hAnsi="宋体" w:eastAsia="宋体" w:cs="宋体"/>
          <w:b/>
          <w:bCs/>
          <w:color w:val="auto"/>
          <w:sz w:val="24"/>
          <w:highlight w:val="none"/>
        </w:rPr>
        <w:t>授予合同</w:t>
      </w:r>
    </w:p>
    <w:p>
      <w:pPr>
        <w:spacing w:line="360" w:lineRule="auto"/>
        <w:rPr>
          <w:rFonts w:ascii="宋体" w:hAnsi="宋体" w:eastAsia="宋体" w:cs="宋体"/>
          <w:color w:val="auto"/>
          <w:sz w:val="24"/>
          <w:highlight w:val="none"/>
        </w:rPr>
      </w:pPr>
    </w:p>
    <w:p>
      <w:pPr>
        <w:spacing w:line="360" w:lineRule="auto"/>
        <w:ind w:left="821" w:hanging="820" w:hangingChars="342"/>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 xml:space="preserve">6.1.1  </w:t>
      </w:r>
      <w:r>
        <w:rPr>
          <w:rFonts w:hint="eastAsia" w:ascii="宋体" w:hAnsi="宋体" w:eastAsia="宋体" w:cs="宋体"/>
          <w:color w:val="auto"/>
          <w:kern w:val="0"/>
          <w:sz w:val="24"/>
          <w:highlight w:val="none"/>
        </w:rPr>
        <w:t>招标人一般将合同授予中标人，合同必须在投标有效期或投标人接受的延长期内授出。</w:t>
      </w:r>
    </w:p>
    <w:p>
      <w:pPr>
        <w:spacing w:line="360" w:lineRule="auto"/>
        <w:ind w:left="821" w:hanging="820" w:hangingChars="342"/>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 xml:space="preserve">6.1.2  </w:t>
      </w:r>
      <w:r>
        <w:rPr>
          <w:rFonts w:hint="eastAsia" w:ascii="宋体" w:hAnsi="宋体" w:eastAsia="宋体" w:cs="宋体"/>
          <w:color w:val="auto"/>
          <w:kern w:val="0"/>
          <w:sz w:val="24"/>
          <w:highlight w:val="none"/>
        </w:rPr>
        <w:t>中标通知书是合同的组成部分，任何单位和个人不得采取有碍合同生效或履行的行动。</w:t>
      </w:r>
    </w:p>
    <w:p>
      <w:pPr>
        <w:spacing w:line="360" w:lineRule="auto"/>
        <w:ind w:left="821" w:hanging="820" w:hangingChars="342"/>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 xml:space="preserve">6.1.3  </w:t>
      </w:r>
      <w:r>
        <w:rPr>
          <w:rFonts w:hint="eastAsia" w:ascii="宋体" w:hAnsi="宋体" w:eastAsia="宋体" w:cs="宋体"/>
          <w:color w:val="auto"/>
          <w:kern w:val="0"/>
          <w:sz w:val="24"/>
          <w:highlight w:val="none"/>
        </w:rPr>
        <w:t>联合体中标的，由所有联合体成员法定代表人签署授权委托书，指定牵头人或代表，授权其代表所有联合体成员与招标人签订合同，负责整个合同实施阶段的协调工作。招标人认为必要时，联合体各方应当共同与招标人签订合同，为实施合同共同和分别承担责任。</w:t>
      </w:r>
    </w:p>
    <w:p>
      <w:pPr>
        <w:spacing w:line="360" w:lineRule="auto"/>
        <w:ind w:left="821" w:hanging="820" w:hangingChars="342"/>
        <w:jc w:val="left"/>
        <w:rPr>
          <w:rFonts w:ascii="宋体" w:hAnsi="宋体" w:eastAsia="宋体" w:cs="宋体"/>
          <w:color w:val="auto"/>
          <w:kern w:val="0"/>
          <w:sz w:val="24"/>
          <w:highlight w:val="none"/>
        </w:rPr>
      </w:pPr>
      <w:r>
        <w:rPr>
          <w:rFonts w:ascii="宋体" w:hAnsi="宋体" w:eastAsia="宋体" w:cs="宋体"/>
          <w:color w:val="auto"/>
          <w:kern w:val="0"/>
          <w:sz w:val="24"/>
          <w:highlight w:val="none"/>
        </w:rPr>
        <w:t xml:space="preserve">6.1.4  </w:t>
      </w:r>
      <w:r>
        <w:rPr>
          <w:rFonts w:hint="eastAsia" w:ascii="宋体" w:hAnsi="宋体" w:eastAsia="宋体" w:cs="宋体"/>
          <w:color w:val="auto"/>
          <w:kern w:val="0"/>
          <w:sz w:val="24"/>
          <w:highlight w:val="none"/>
        </w:rPr>
        <w:t>中标人必须签署并执行招标文件规定的合同条件，如中标人所提供的投标条件（报价、工期、估算工程造价）比其他投标异常低，招标人可要求中标人对遵守参加投标的各项条件和履行合同的能力作出保证。</w:t>
      </w:r>
    </w:p>
    <w:p>
      <w:pPr>
        <w:spacing w:line="360" w:lineRule="auto"/>
        <w:ind w:left="821" w:hanging="820" w:hangingChars="342"/>
        <w:jc w:val="left"/>
        <w:rPr>
          <w:rFonts w:ascii="宋体" w:hAnsi="宋体" w:eastAsia="宋体" w:cs="宋体"/>
          <w:color w:val="auto"/>
          <w:sz w:val="24"/>
          <w:highlight w:val="none"/>
        </w:rPr>
      </w:pPr>
      <w:r>
        <w:rPr>
          <w:rFonts w:ascii="宋体" w:hAnsi="宋体" w:eastAsia="宋体" w:cs="宋体"/>
          <w:color w:val="auto"/>
          <w:sz w:val="24"/>
          <w:highlight w:val="none"/>
        </w:rPr>
        <w:t xml:space="preserve">6.1.5  </w:t>
      </w:r>
      <w:r>
        <w:rPr>
          <w:rFonts w:hint="eastAsia" w:ascii="宋体" w:hAnsi="宋体" w:eastAsia="宋体" w:cs="宋体"/>
          <w:color w:val="auto"/>
          <w:sz w:val="24"/>
          <w:highlight w:val="none"/>
        </w:rPr>
        <w:t>招标人提供证据证明中标人有下列行为之一的，经有关行政监督部门确认，该中标无效，招标人不与中标人签订合同：</w:t>
      </w:r>
    </w:p>
    <w:p>
      <w:pPr>
        <w:spacing w:line="360" w:lineRule="auto"/>
        <w:rPr>
          <w:rFonts w:ascii="宋体" w:hAnsi="宋体" w:eastAsia="宋体" w:cs="宋体"/>
          <w:color w:val="auto"/>
          <w:sz w:val="24"/>
          <w:highlight w:val="none"/>
        </w:rPr>
      </w:pPr>
      <w:r>
        <w:rPr>
          <w:rFonts w:ascii="宋体" w:hAnsi="宋体" w:eastAsia="宋体" w:cs="宋体"/>
          <w:color w:val="auto"/>
          <w:sz w:val="24"/>
          <w:highlight w:val="none"/>
        </w:rPr>
        <w:t xml:space="preserve">      (a) 不能兑现投标承诺；</w:t>
      </w:r>
    </w:p>
    <w:p>
      <w:pPr>
        <w:spacing w:line="360" w:lineRule="auto"/>
        <w:rPr>
          <w:rFonts w:ascii="宋体" w:hAnsi="宋体" w:eastAsia="宋体" w:cs="宋体"/>
          <w:color w:val="auto"/>
          <w:sz w:val="24"/>
          <w:highlight w:val="none"/>
        </w:rPr>
      </w:pPr>
      <w:r>
        <w:rPr>
          <w:rFonts w:ascii="宋体" w:hAnsi="宋体" w:eastAsia="宋体" w:cs="宋体"/>
          <w:color w:val="auto"/>
          <w:sz w:val="24"/>
          <w:highlight w:val="none"/>
        </w:rPr>
        <w:t xml:space="preserve">      (b) 弄虚作假骗取中标；</w:t>
      </w:r>
    </w:p>
    <w:p>
      <w:pPr>
        <w:spacing w:line="360" w:lineRule="auto"/>
        <w:ind w:left="821" w:hanging="820" w:hangingChars="342"/>
        <w:rPr>
          <w:rFonts w:ascii="宋体" w:hAnsi="宋体" w:eastAsia="宋体" w:cs="宋体"/>
          <w:color w:val="auto"/>
          <w:sz w:val="24"/>
          <w:highlight w:val="none"/>
        </w:rPr>
      </w:pPr>
      <w:r>
        <w:rPr>
          <w:rFonts w:ascii="宋体" w:hAnsi="宋体" w:eastAsia="宋体" w:cs="宋体"/>
          <w:color w:val="auto"/>
          <w:sz w:val="24"/>
          <w:highlight w:val="none"/>
        </w:rPr>
        <w:t xml:space="preserve">     （c）在招标、投标、评标、定标以及授予合同过程中，对招标人、代理机构、其他投标人、评标委员会成员、</w:t>
      </w:r>
      <w:r>
        <w:rPr>
          <w:rFonts w:hint="eastAsia" w:ascii="宋体" w:hAnsi="宋体" w:eastAsia="宋体" w:cs="宋体"/>
          <w:color w:val="auto"/>
          <w:kern w:val="0"/>
          <w:sz w:val="24"/>
          <w:highlight w:val="none"/>
        </w:rPr>
        <w:t>交易服务机构的</w:t>
      </w:r>
      <w:r>
        <w:rPr>
          <w:rFonts w:hint="eastAsia" w:ascii="宋体" w:hAnsi="宋体" w:eastAsia="宋体" w:cs="宋体"/>
          <w:color w:val="auto"/>
          <w:sz w:val="24"/>
          <w:highlight w:val="none"/>
        </w:rPr>
        <w:t>工作人员行贿、</w:t>
      </w:r>
      <w:r>
        <w:rPr>
          <w:rFonts w:hint="eastAsia" w:ascii="宋体" w:hAnsi="宋体" w:eastAsia="宋体" w:cs="宋体"/>
          <w:color w:val="auto"/>
          <w:kern w:val="0"/>
          <w:sz w:val="24"/>
          <w:highlight w:val="none"/>
        </w:rPr>
        <w:t>利诱、</w:t>
      </w:r>
      <w:r>
        <w:rPr>
          <w:rFonts w:hint="eastAsia" w:ascii="宋体" w:hAnsi="宋体" w:eastAsia="宋体" w:cs="宋体"/>
          <w:color w:val="auto"/>
          <w:sz w:val="24"/>
          <w:highlight w:val="none"/>
        </w:rPr>
        <w:t>欺诈或者施加影响；</w:t>
      </w:r>
    </w:p>
    <w:p>
      <w:pPr>
        <w:spacing w:line="360" w:lineRule="auto"/>
        <w:rPr>
          <w:rFonts w:ascii="宋体" w:hAnsi="宋体" w:eastAsia="宋体" w:cs="宋体"/>
          <w:color w:val="auto"/>
          <w:sz w:val="24"/>
          <w:highlight w:val="none"/>
        </w:rPr>
      </w:pPr>
      <w:r>
        <w:rPr>
          <w:rFonts w:ascii="宋体" w:hAnsi="宋体" w:eastAsia="宋体" w:cs="宋体"/>
          <w:color w:val="auto"/>
          <w:sz w:val="24"/>
          <w:highlight w:val="none"/>
        </w:rPr>
        <w:t xml:space="preserve">      (d) 擅自将任务转包其他单位；</w:t>
      </w:r>
    </w:p>
    <w:p>
      <w:pPr>
        <w:spacing w:line="360" w:lineRule="auto"/>
        <w:rPr>
          <w:rFonts w:ascii="宋体" w:hAnsi="宋体" w:eastAsia="宋体" w:cs="宋体"/>
          <w:color w:val="auto"/>
          <w:sz w:val="24"/>
          <w:highlight w:val="none"/>
        </w:rPr>
      </w:pPr>
      <w:r>
        <w:rPr>
          <w:rFonts w:ascii="宋体" w:hAnsi="宋体" w:eastAsia="宋体" w:cs="宋体"/>
          <w:color w:val="auto"/>
          <w:sz w:val="24"/>
          <w:highlight w:val="none"/>
        </w:rPr>
        <w:t xml:space="preserve">      (e) 中标人实质上不符合投标资格；</w:t>
      </w:r>
    </w:p>
    <w:p>
      <w:pPr>
        <w:spacing w:line="360" w:lineRule="auto"/>
        <w:rPr>
          <w:rFonts w:ascii="宋体" w:hAnsi="宋体" w:eastAsia="宋体" w:cs="宋体"/>
          <w:color w:val="auto"/>
          <w:sz w:val="24"/>
          <w:highlight w:val="none"/>
        </w:rPr>
      </w:pPr>
      <w:r>
        <w:rPr>
          <w:rFonts w:ascii="宋体" w:hAnsi="宋体" w:eastAsia="宋体" w:cs="宋体"/>
          <w:color w:val="auto"/>
          <w:sz w:val="24"/>
          <w:highlight w:val="none"/>
        </w:rPr>
        <w:t xml:space="preserve">      (f) 法律、法规规定的其他损害招标人利益和社会公共利益的情形。</w:t>
      </w:r>
    </w:p>
    <w:p>
      <w:pPr>
        <w:keepNext/>
        <w:keepLines/>
        <w:spacing w:before="340" w:after="330" w:line="360" w:lineRule="auto"/>
        <w:jc w:val="center"/>
        <w:outlineLvl w:val="1"/>
        <w:rPr>
          <w:rFonts w:ascii="宋体" w:hAnsi="宋体" w:eastAsia="宋体" w:cs="宋体"/>
          <w:b/>
          <w:bCs/>
          <w:color w:val="auto"/>
          <w:kern w:val="44"/>
          <w:sz w:val="24"/>
          <w:highlight w:val="none"/>
        </w:rPr>
      </w:pPr>
      <w:r>
        <w:rPr>
          <w:rFonts w:ascii="宋体" w:hAnsi="宋体" w:eastAsia="宋体" w:cs="宋体"/>
          <w:b/>
          <w:bCs/>
          <w:color w:val="auto"/>
          <w:kern w:val="44"/>
          <w:sz w:val="24"/>
          <w:highlight w:val="none"/>
        </w:rPr>
        <w:br w:type="page"/>
      </w:r>
      <w:bookmarkStart w:id="23" w:name="_Toc97803963"/>
      <w:bookmarkStart w:id="24" w:name="_Toc29222"/>
      <w:r>
        <w:rPr>
          <w:rFonts w:hint="eastAsia" w:ascii="宋体" w:hAnsi="宋体" w:eastAsia="宋体" w:cs="宋体"/>
          <w:b/>
          <w:bCs/>
          <w:color w:val="auto"/>
          <w:kern w:val="44"/>
          <w:sz w:val="36"/>
          <w:szCs w:val="36"/>
          <w:highlight w:val="none"/>
        </w:rPr>
        <w:t>第七章</w:t>
      </w:r>
      <w:r>
        <w:rPr>
          <w:rFonts w:ascii="宋体" w:hAnsi="宋体" w:eastAsia="宋体" w:cs="宋体"/>
          <w:b/>
          <w:bCs/>
          <w:color w:val="auto"/>
          <w:kern w:val="44"/>
          <w:sz w:val="36"/>
          <w:szCs w:val="36"/>
          <w:highlight w:val="none"/>
        </w:rPr>
        <w:t xml:space="preserve">  </w:t>
      </w:r>
      <w:r>
        <w:rPr>
          <w:rFonts w:hint="eastAsia" w:ascii="宋体" w:hAnsi="宋体" w:eastAsia="宋体" w:cs="宋体"/>
          <w:b/>
          <w:bCs/>
          <w:color w:val="auto"/>
          <w:kern w:val="44"/>
          <w:sz w:val="36"/>
          <w:szCs w:val="36"/>
          <w:highlight w:val="none"/>
        </w:rPr>
        <w:t>知识产权</w:t>
      </w:r>
      <w:r>
        <w:rPr>
          <w:rFonts w:hint="eastAsia" w:ascii="宋体" w:hAnsi="宋体" w:eastAsia="宋体" w:cs="宋体"/>
          <w:b/>
          <w:bCs/>
          <w:color w:val="auto"/>
          <w:kern w:val="44"/>
          <w:sz w:val="36"/>
          <w:szCs w:val="36"/>
          <w:highlight w:val="none"/>
          <w:u w:val="single"/>
        </w:rPr>
        <w:t>（范本原文）</w:t>
      </w:r>
      <w:bookmarkEnd w:id="23"/>
      <w:bookmarkEnd w:id="24"/>
    </w:p>
    <w:p>
      <w:pPr>
        <w:spacing w:line="360" w:lineRule="auto"/>
        <w:rPr>
          <w:rFonts w:ascii="宋体" w:hAnsi="宋体" w:eastAsia="宋体" w:cs="宋体"/>
          <w:color w:val="auto"/>
          <w:sz w:val="24"/>
          <w:highlight w:val="none"/>
        </w:rPr>
      </w:pPr>
    </w:p>
    <w:p>
      <w:pPr>
        <w:spacing w:line="360" w:lineRule="auto"/>
        <w:rPr>
          <w:rFonts w:ascii="宋体" w:hAnsi="宋体" w:eastAsia="宋体" w:cs="宋体"/>
          <w:b/>
          <w:bCs/>
          <w:color w:val="auto"/>
          <w:sz w:val="24"/>
          <w:highlight w:val="none"/>
        </w:rPr>
      </w:pPr>
      <w:r>
        <w:rPr>
          <w:rFonts w:ascii="宋体" w:hAnsi="宋体" w:eastAsia="宋体" w:cs="宋体"/>
          <w:b/>
          <w:bCs/>
          <w:color w:val="auto"/>
          <w:sz w:val="24"/>
          <w:highlight w:val="none"/>
        </w:rPr>
        <w:t xml:space="preserve">7.1    </w:t>
      </w:r>
      <w:r>
        <w:rPr>
          <w:rFonts w:hint="eastAsia" w:ascii="宋体" w:hAnsi="宋体" w:eastAsia="宋体" w:cs="宋体"/>
          <w:b/>
          <w:bCs/>
          <w:color w:val="auto"/>
          <w:sz w:val="24"/>
          <w:highlight w:val="none"/>
        </w:rPr>
        <w:t>公开展示</w:t>
      </w:r>
    </w:p>
    <w:p>
      <w:pPr>
        <w:spacing w:line="360" w:lineRule="auto"/>
        <w:rPr>
          <w:rFonts w:ascii="宋体" w:hAnsi="宋体" w:eastAsia="宋体" w:cs="宋体"/>
          <w:color w:val="auto"/>
          <w:sz w:val="24"/>
          <w:highlight w:val="none"/>
        </w:rPr>
      </w:pPr>
    </w:p>
    <w:p>
      <w:pPr>
        <w:spacing w:line="360" w:lineRule="auto"/>
        <w:ind w:left="821" w:hanging="820" w:hangingChars="342"/>
        <w:rPr>
          <w:rFonts w:ascii="宋体" w:hAnsi="宋体" w:eastAsia="宋体" w:cs="宋体"/>
          <w:color w:val="auto"/>
          <w:sz w:val="24"/>
          <w:highlight w:val="none"/>
        </w:rPr>
      </w:pPr>
      <w:r>
        <w:rPr>
          <w:rFonts w:ascii="宋体" w:hAnsi="宋体" w:eastAsia="宋体" w:cs="宋体"/>
          <w:color w:val="auto"/>
          <w:sz w:val="24"/>
          <w:highlight w:val="none"/>
        </w:rPr>
        <w:t xml:space="preserve">7.1.1  </w:t>
      </w:r>
      <w:r>
        <w:rPr>
          <w:rFonts w:hint="eastAsia" w:ascii="宋体" w:hAnsi="宋体" w:eastAsia="宋体" w:cs="宋体"/>
          <w:color w:val="auto"/>
          <w:sz w:val="24"/>
          <w:highlight w:val="none"/>
        </w:rPr>
        <w:t>按招标文件规定获得补偿的投标文件，评标后不予退回。</w:t>
      </w:r>
    </w:p>
    <w:p>
      <w:pPr>
        <w:spacing w:line="360" w:lineRule="auto"/>
        <w:ind w:left="821" w:hanging="820" w:hangingChars="342"/>
        <w:jc w:val="left"/>
        <w:rPr>
          <w:rFonts w:ascii="宋体" w:hAnsi="宋体" w:eastAsia="宋体" w:cs="宋体"/>
          <w:color w:val="auto"/>
          <w:sz w:val="24"/>
          <w:highlight w:val="none"/>
        </w:rPr>
      </w:pPr>
      <w:r>
        <w:rPr>
          <w:rFonts w:ascii="宋体" w:hAnsi="宋体" w:eastAsia="宋体" w:cs="宋体"/>
          <w:color w:val="auto"/>
          <w:sz w:val="24"/>
          <w:highlight w:val="none"/>
        </w:rPr>
        <w:t xml:space="preserve">7.1.2  </w:t>
      </w:r>
      <w:r>
        <w:rPr>
          <w:rFonts w:hint="eastAsia" w:ascii="宋体" w:hAnsi="宋体" w:eastAsia="宋体" w:cs="宋体"/>
          <w:color w:val="auto"/>
          <w:sz w:val="24"/>
          <w:highlight w:val="none"/>
        </w:rPr>
        <w:t>招标人有权在评标结束后公开展示获得补偿费用的所有投标方案成果，并通过传播媒介、杂志、书刊或其它形式介绍、展示及评价该方案成果，所有展示、推介、广告均不再向投标人支付费用。</w:t>
      </w:r>
    </w:p>
    <w:p>
      <w:pPr>
        <w:spacing w:line="360" w:lineRule="auto"/>
        <w:ind w:left="821" w:hanging="820" w:hangingChars="342"/>
        <w:jc w:val="left"/>
        <w:rPr>
          <w:rFonts w:ascii="宋体" w:hAnsi="宋体" w:eastAsia="宋体" w:cs="宋体"/>
          <w:color w:val="auto"/>
          <w:sz w:val="24"/>
          <w:highlight w:val="none"/>
        </w:rPr>
      </w:pPr>
    </w:p>
    <w:p>
      <w:pPr>
        <w:spacing w:line="360" w:lineRule="auto"/>
        <w:rPr>
          <w:rFonts w:ascii="宋体" w:hAnsi="宋体" w:eastAsia="宋体" w:cs="宋体"/>
          <w:b/>
          <w:bCs/>
          <w:color w:val="auto"/>
          <w:sz w:val="24"/>
          <w:highlight w:val="none"/>
        </w:rPr>
      </w:pPr>
      <w:r>
        <w:rPr>
          <w:rFonts w:ascii="宋体" w:hAnsi="宋体" w:eastAsia="宋体" w:cs="宋体"/>
          <w:b/>
          <w:bCs/>
          <w:color w:val="auto"/>
          <w:sz w:val="24"/>
          <w:highlight w:val="none"/>
        </w:rPr>
        <w:t xml:space="preserve">7.2    </w:t>
      </w:r>
      <w:r>
        <w:rPr>
          <w:rFonts w:hint="eastAsia" w:ascii="宋体" w:hAnsi="宋体" w:eastAsia="宋体" w:cs="宋体"/>
          <w:b/>
          <w:bCs/>
          <w:color w:val="auto"/>
          <w:sz w:val="24"/>
          <w:highlight w:val="none"/>
        </w:rPr>
        <w:t>知识产权转移</w:t>
      </w:r>
    </w:p>
    <w:p>
      <w:pPr>
        <w:spacing w:line="360" w:lineRule="auto"/>
        <w:ind w:left="821" w:hanging="820" w:hangingChars="342"/>
        <w:jc w:val="left"/>
        <w:rPr>
          <w:rFonts w:ascii="宋体" w:hAnsi="宋体" w:eastAsia="宋体" w:cs="宋体"/>
          <w:color w:val="auto"/>
          <w:sz w:val="24"/>
          <w:highlight w:val="none"/>
        </w:rPr>
      </w:pPr>
    </w:p>
    <w:p>
      <w:pPr>
        <w:spacing w:line="360" w:lineRule="auto"/>
        <w:ind w:left="821" w:hanging="820" w:hangingChars="342"/>
        <w:jc w:val="left"/>
        <w:rPr>
          <w:rFonts w:ascii="宋体" w:hAnsi="宋体" w:eastAsia="宋体" w:cs="宋体"/>
          <w:color w:val="auto"/>
          <w:sz w:val="24"/>
          <w:highlight w:val="none"/>
        </w:rPr>
      </w:pPr>
      <w:r>
        <w:rPr>
          <w:rFonts w:ascii="宋体" w:hAnsi="宋体" w:eastAsia="宋体" w:cs="宋体"/>
          <w:color w:val="auto"/>
          <w:sz w:val="24"/>
          <w:highlight w:val="none"/>
        </w:rPr>
        <w:t xml:space="preserve">7.2.1  </w:t>
      </w:r>
      <w:r>
        <w:rPr>
          <w:rFonts w:hint="eastAsia" w:ascii="宋体" w:hAnsi="宋体" w:eastAsia="宋体" w:cs="宋体"/>
          <w:color w:val="auto"/>
          <w:sz w:val="24"/>
          <w:highlight w:val="none"/>
        </w:rPr>
        <w:t>授予合同并支付定金后，中标方案的发表权、展览权、使用权归招标人和中标人共有。</w:t>
      </w:r>
    </w:p>
    <w:p>
      <w:pPr>
        <w:spacing w:line="360" w:lineRule="auto"/>
        <w:ind w:left="821" w:hanging="820" w:hangingChars="342"/>
        <w:rPr>
          <w:rFonts w:ascii="宋体" w:hAnsi="宋体" w:eastAsia="宋体" w:cs="宋体"/>
          <w:color w:val="auto"/>
          <w:sz w:val="24"/>
          <w:highlight w:val="none"/>
        </w:rPr>
      </w:pPr>
      <w:r>
        <w:rPr>
          <w:rFonts w:ascii="宋体" w:hAnsi="宋体" w:eastAsia="宋体" w:cs="宋体"/>
          <w:color w:val="auto"/>
          <w:sz w:val="24"/>
          <w:highlight w:val="none"/>
        </w:rPr>
        <w:t xml:space="preserve">7.2.2  </w:t>
      </w:r>
      <w:r>
        <w:rPr>
          <w:rFonts w:hint="eastAsia" w:ascii="宋体" w:hAnsi="宋体" w:eastAsia="宋体" w:cs="宋体"/>
          <w:color w:val="auto"/>
          <w:sz w:val="24"/>
          <w:highlight w:val="none"/>
        </w:rPr>
        <w:t>授予合同并支付定金后，招标人有权在招标标的中使用中标方案中中标人享有合法权利的著作权、专利权，对于中标方案中涉及的他人所有的知识产权，中标人有义务获得许可，否则招标人有权解除合同并要求退还已支付的费用，招标人因此</w:t>
      </w:r>
      <w:r>
        <w:rPr>
          <w:rFonts w:hint="eastAsia" w:ascii="宋体" w:hAnsi="宋体" w:eastAsia="宋体" w:cs="宋体"/>
          <w:color w:val="auto"/>
          <w:sz w:val="24"/>
          <w:highlight w:val="none"/>
          <w:lang w:eastAsia="zh-CN"/>
        </w:rPr>
        <w:t>受到</w:t>
      </w:r>
      <w:r>
        <w:rPr>
          <w:rFonts w:hint="eastAsia" w:ascii="宋体" w:hAnsi="宋体" w:eastAsia="宋体" w:cs="宋体"/>
          <w:color w:val="auto"/>
          <w:sz w:val="24"/>
          <w:highlight w:val="none"/>
        </w:rPr>
        <w:t>损害的，有权要求中标人予以赔偿，如果招标人、中标人使用未中标方案作为本项目实施方案，招标人按招标文件规定向提交方案的投标人付给使用费后，该方案的发表权、展览权、使用权归招标人和中标人共有。</w:t>
      </w:r>
    </w:p>
    <w:p>
      <w:pPr>
        <w:spacing w:line="360" w:lineRule="auto"/>
        <w:ind w:left="821" w:hanging="820" w:hangingChars="342"/>
        <w:rPr>
          <w:rFonts w:ascii="宋体" w:hAnsi="宋体" w:eastAsia="宋体" w:cs="宋体"/>
          <w:color w:val="auto"/>
          <w:sz w:val="24"/>
          <w:highlight w:val="none"/>
        </w:rPr>
      </w:pPr>
    </w:p>
    <w:p>
      <w:pPr>
        <w:spacing w:line="360" w:lineRule="auto"/>
        <w:rPr>
          <w:rFonts w:ascii="宋体" w:hAnsi="宋体" w:eastAsia="宋体" w:cs="宋体"/>
          <w:b/>
          <w:bCs/>
          <w:color w:val="auto"/>
          <w:sz w:val="24"/>
          <w:highlight w:val="none"/>
        </w:rPr>
      </w:pPr>
      <w:r>
        <w:rPr>
          <w:rFonts w:ascii="宋体" w:hAnsi="宋体" w:eastAsia="宋体" w:cs="宋体"/>
          <w:b/>
          <w:bCs/>
          <w:color w:val="auto"/>
          <w:sz w:val="24"/>
          <w:highlight w:val="none"/>
        </w:rPr>
        <w:t xml:space="preserve">7.3    </w:t>
      </w:r>
      <w:r>
        <w:rPr>
          <w:rFonts w:hint="eastAsia" w:ascii="宋体" w:hAnsi="宋体" w:eastAsia="宋体" w:cs="宋体"/>
          <w:b/>
          <w:bCs/>
          <w:color w:val="auto"/>
          <w:sz w:val="24"/>
          <w:highlight w:val="none"/>
        </w:rPr>
        <w:t>其他</w:t>
      </w:r>
    </w:p>
    <w:p>
      <w:pPr>
        <w:spacing w:line="360" w:lineRule="auto"/>
        <w:ind w:left="821" w:hanging="820" w:hangingChars="342"/>
        <w:rPr>
          <w:rFonts w:ascii="宋体" w:hAnsi="宋体" w:eastAsia="宋体" w:cs="宋体"/>
          <w:color w:val="auto"/>
          <w:sz w:val="24"/>
          <w:highlight w:val="none"/>
        </w:rPr>
      </w:pPr>
    </w:p>
    <w:p>
      <w:pPr>
        <w:spacing w:line="360" w:lineRule="auto"/>
        <w:ind w:left="821" w:hanging="820" w:hangingChars="342"/>
        <w:rPr>
          <w:rFonts w:ascii="宋体" w:hAnsi="宋体" w:eastAsia="宋体" w:cs="宋体"/>
          <w:color w:val="auto"/>
          <w:sz w:val="24"/>
          <w:highlight w:val="none"/>
        </w:rPr>
      </w:pPr>
      <w:r>
        <w:rPr>
          <w:rFonts w:ascii="宋体" w:hAnsi="宋体" w:eastAsia="宋体" w:cs="宋体"/>
          <w:color w:val="auto"/>
          <w:sz w:val="24"/>
          <w:highlight w:val="none"/>
        </w:rPr>
        <w:t xml:space="preserve">7.3.1  </w:t>
      </w:r>
      <w:r>
        <w:rPr>
          <w:rFonts w:hint="eastAsia" w:ascii="宋体" w:hAnsi="宋体" w:eastAsia="宋体" w:cs="宋体"/>
          <w:color w:val="auto"/>
          <w:sz w:val="24"/>
          <w:highlight w:val="none"/>
        </w:rPr>
        <w:t>除特殊情况外，招标人有权在工程建设中根据需要对选定的实施方案进行调整和修改。招标人有权在实施方案中参考使用获得补偿费用的所有投标方案成果的部分内容，被使用部分的方案使用费按招标文件规定执行。</w:t>
      </w:r>
    </w:p>
    <w:p>
      <w:pPr>
        <w:spacing w:line="360" w:lineRule="auto"/>
        <w:ind w:left="821" w:hanging="820" w:hangingChars="342"/>
        <w:rPr>
          <w:rFonts w:ascii="宋体" w:hAnsi="宋体" w:eastAsia="宋体" w:cs="宋体"/>
          <w:color w:val="auto"/>
          <w:sz w:val="24"/>
          <w:highlight w:val="none"/>
        </w:rPr>
      </w:pPr>
      <w:r>
        <w:rPr>
          <w:rFonts w:ascii="宋体" w:hAnsi="宋体" w:eastAsia="宋体" w:cs="宋体"/>
          <w:color w:val="auto"/>
          <w:sz w:val="24"/>
          <w:highlight w:val="none"/>
        </w:rPr>
        <w:t xml:space="preserve">7.3.2  </w:t>
      </w:r>
      <w:r>
        <w:rPr>
          <w:rFonts w:hint="eastAsia" w:ascii="宋体" w:hAnsi="宋体" w:eastAsia="宋体" w:cs="宋体"/>
          <w:color w:val="auto"/>
          <w:sz w:val="24"/>
          <w:highlight w:val="none"/>
        </w:rPr>
        <w:t>投标人保证投标文件及资料均未侵犯他人的知识产权，否则必须承担全部责任。若投标人使用了他人的专利、专有技术，涉及的费用由投标人负责。</w:t>
      </w:r>
    </w:p>
    <w:p>
      <w:pPr>
        <w:spacing w:line="360" w:lineRule="auto"/>
        <w:ind w:left="821" w:hanging="820" w:hangingChars="342"/>
        <w:rPr>
          <w:rFonts w:ascii="宋体" w:hAnsi="宋体" w:eastAsia="宋体" w:cs="宋体"/>
          <w:color w:val="auto"/>
          <w:sz w:val="24"/>
          <w:highlight w:val="none"/>
        </w:rPr>
      </w:pPr>
      <w:r>
        <w:rPr>
          <w:rFonts w:ascii="宋体" w:hAnsi="宋体" w:eastAsia="宋体" w:cs="宋体"/>
          <w:color w:val="auto"/>
          <w:sz w:val="24"/>
          <w:highlight w:val="none"/>
        </w:rPr>
        <w:t xml:space="preserve">7.3.3  </w:t>
      </w:r>
      <w:r>
        <w:rPr>
          <w:rFonts w:hint="eastAsia" w:ascii="宋体" w:hAnsi="宋体" w:eastAsia="宋体" w:cs="宋体"/>
          <w:color w:val="auto"/>
          <w:sz w:val="24"/>
          <w:highlight w:val="none"/>
        </w:rPr>
        <w:t>中标人未经招标人许可，不得将中标方案成果整体用于其他相同或类似项目的投标和设计（专利权除外）。</w:t>
      </w:r>
    </w:p>
    <w:p>
      <w:pPr>
        <w:spacing w:line="360" w:lineRule="auto"/>
        <w:ind w:left="840" w:hanging="840" w:hangingChars="350"/>
        <w:rPr>
          <w:rFonts w:ascii="宋体" w:hAnsi="宋体" w:eastAsia="宋体" w:cs="宋体"/>
          <w:color w:val="auto"/>
          <w:sz w:val="24"/>
          <w:highlight w:val="none"/>
        </w:rPr>
      </w:pPr>
      <w:r>
        <w:rPr>
          <w:rFonts w:ascii="宋体" w:hAnsi="宋体" w:eastAsia="宋体" w:cs="宋体"/>
          <w:color w:val="auto"/>
          <w:sz w:val="24"/>
          <w:highlight w:val="none"/>
        </w:rPr>
        <w:t xml:space="preserve">7.3.4  </w:t>
      </w:r>
      <w:r>
        <w:rPr>
          <w:rFonts w:hint="eastAsia" w:ascii="宋体" w:hAnsi="宋体" w:eastAsia="宋体" w:cs="宋体"/>
          <w:color w:val="auto"/>
          <w:sz w:val="24"/>
          <w:highlight w:val="none"/>
        </w:rPr>
        <w:t>招标人有权无须事先征求中标人的同意而披露关于中标人的名称、地址、合同条款。</w:t>
      </w:r>
    </w:p>
    <w:p>
      <w:pPr>
        <w:spacing w:line="360" w:lineRule="auto"/>
        <w:rPr>
          <w:rFonts w:ascii="宋体" w:hAnsi="宋体" w:eastAsia="宋体" w:cs="Times New Roman"/>
          <w:color w:val="auto"/>
          <w:sz w:val="24"/>
          <w:highlight w:val="none"/>
        </w:rPr>
      </w:pPr>
    </w:p>
    <w:p>
      <w:pPr>
        <w:spacing w:line="360" w:lineRule="auto"/>
        <w:rPr>
          <w:rFonts w:ascii="宋体" w:hAnsi="宋体" w:eastAsia="宋体" w:cs="Times New Roman"/>
          <w:color w:val="auto"/>
          <w:sz w:val="24"/>
          <w:highlight w:val="none"/>
        </w:rPr>
      </w:pPr>
    </w:p>
    <w:p>
      <w:pPr>
        <w:rPr>
          <w:rFonts w:ascii="宋体" w:hAnsi="宋体" w:eastAsia="宋体" w:cs="Times New Roman"/>
          <w:color w:val="auto"/>
          <w:highlight w:val="none"/>
        </w:rPr>
      </w:pPr>
    </w:p>
    <w:p>
      <w:pPr>
        <w:keepNext/>
        <w:keepLines/>
        <w:spacing w:line="360" w:lineRule="auto"/>
        <w:jc w:val="center"/>
        <w:outlineLvl w:val="1"/>
        <w:rPr>
          <w:rFonts w:ascii="Calibri" w:hAnsi="Calibri" w:eastAsia="宋体" w:cs="Times New Roman"/>
          <w:b/>
          <w:bCs/>
          <w:color w:val="auto"/>
          <w:kern w:val="44"/>
          <w:sz w:val="36"/>
          <w:szCs w:val="36"/>
          <w:highlight w:val="none"/>
        </w:rPr>
      </w:pPr>
      <w:r>
        <w:rPr>
          <w:rFonts w:ascii="Calibri" w:hAnsi="Calibri" w:eastAsia="宋体" w:cs="Times New Roman"/>
          <w:color w:val="auto"/>
          <w:highlight w:val="none"/>
        </w:rPr>
        <w:br w:type="page"/>
      </w:r>
      <w:bookmarkStart w:id="25" w:name="_Toc15768"/>
      <w:bookmarkStart w:id="26" w:name="_Toc27067"/>
      <w:r>
        <w:rPr>
          <w:rFonts w:hint="eastAsia" w:ascii="Calibri" w:hAnsi="Calibri" w:eastAsia="宋体" w:cs="Times New Roman"/>
          <w:b/>
          <w:bCs/>
          <w:color w:val="auto"/>
          <w:kern w:val="44"/>
          <w:sz w:val="36"/>
          <w:szCs w:val="36"/>
          <w:highlight w:val="none"/>
        </w:rPr>
        <w:t>第八章</w:t>
      </w:r>
      <w:r>
        <w:rPr>
          <w:rFonts w:ascii="Calibri" w:hAnsi="Calibri" w:eastAsia="宋体" w:cs="Times New Roman"/>
          <w:b/>
          <w:bCs/>
          <w:color w:val="auto"/>
          <w:kern w:val="44"/>
          <w:sz w:val="36"/>
          <w:szCs w:val="36"/>
          <w:highlight w:val="none"/>
        </w:rPr>
        <w:t xml:space="preserve">  </w:t>
      </w:r>
      <w:r>
        <w:rPr>
          <w:rFonts w:hint="eastAsia" w:ascii="Calibri" w:hAnsi="Calibri" w:eastAsia="宋体" w:cs="Times New Roman"/>
          <w:b/>
          <w:bCs/>
          <w:color w:val="auto"/>
          <w:kern w:val="44"/>
          <w:sz w:val="36"/>
          <w:szCs w:val="36"/>
          <w:highlight w:val="none"/>
        </w:rPr>
        <w:t>合同条款</w:t>
      </w:r>
      <w:bookmarkEnd w:id="25"/>
      <w:bookmarkEnd w:id="26"/>
    </w:p>
    <w:p>
      <w:pPr>
        <w:spacing w:line="360" w:lineRule="auto"/>
        <w:jc w:val="center"/>
        <w:rPr>
          <w:rFonts w:ascii="宋体" w:hAnsi="宋体"/>
          <w:color w:val="auto"/>
          <w:szCs w:val="21"/>
          <w:highlight w:val="none"/>
        </w:rPr>
        <w:sectPr>
          <w:pgSz w:w="11906" w:h="16838"/>
          <w:pgMar w:top="1440" w:right="1440" w:bottom="1440" w:left="1440" w:header="851" w:footer="992" w:gutter="0"/>
          <w:pgBorders>
            <w:top w:val="none" w:sz="0" w:space="0"/>
            <w:left w:val="none" w:sz="0" w:space="0"/>
            <w:bottom w:val="none" w:sz="0" w:space="0"/>
            <w:right w:val="none" w:sz="0" w:space="0"/>
          </w:pgBorders>
          <w:pgNumType w:start="1"/>
          <w:cols w:space="720" w:num="1"/>
          <w:docGrid w:type="linesAndChars" w:linePitch="312" w:charSpace="0"/>
        </w:sectPr>
      </w:pPr>
      <w:r>
        <w:rPr>
          <w:rFonts w:hint="eastAsia" w:ascii="宋体" w:hAnsi="宋体" w:eastAsia="宋体" w:cs="宋体"/>
          <w:color w:val="auto"/>
          <w:szCs w:val="21"/>
          <w:highlight w:val="none"/>
        </w:rPr>
        <w:t>（另册）</w:t>
      </w:r>
    </w:p>
    <w:p>
      <w:pPr>
        <w:keepNext/>
        <w:keepLines/>
        <w:spacing w:line="360" w:lineRule="auto"/>
        <w:outlineLvl w:val="1"/>
        <w:rPr>
          <w:rFonts w:ascii="宋体" w:hAnsi="宋体" w:eastAsia="宋体" w:cs="Times New Roman"/>
          <w:b/>
          <w:bCs/>
          <w:strike/>
          <w:color w:val="auto"/>
          <w:kern w:val="44"/>
          <w:szCs w:val="21"/>
          <w:highlight w:val="none"/>
        </w:rPr>
      </w:pPr>
      <w:bookmarkStart w:id="27" w:name="_Toc9307"/>
      <w:bookmarkStart w:id="28" w:name="_Toc221"/>
      <w:r>
        <w:rPr>
          <w:rFonts w:hint="eastAsia" w:ascii="宋体" w:hAnsi="宋体" w:eastAsia="宋体" w:cs="Times New Roman"/>
          <w:b/>
          <w:bCs/>
          <w:strike/>
          <w:color w:val="auto"/>
          <w:kern w:val="44"/>
          <w:szCs w:val="21"/>
          <w:highlight w:val="none"/>
        </w:rPr>
        <w:t>附录</w:t>
      </w:r>
      <w:r>
        <w:rPr>
          <w:rFonts w:ascii="宋体" w:hAnsi="宋体" w:eastAsia="宋体" w:cs="Times New Roman"/>
          <w:b/>
          <w:bCs/>
          <w:strike/>
          <w:color w:val="auto"/>
          <w:kern w:val="44"/>
          <w:szCs w:val="21"/>
          <w:highlight w:val="none"/>
        </w:rPr>
        <w:t xml:space="preserve">1 </w:t>
      </w:r>
      <w:r>
        <w:rPr>
          <w:rFonts w:hint="eastAsia" w:ascii="宋体" w:hAnsi="宋体" w:eastAsia="宋体" w:cs="Times New Roman"/>
          <w:b/>
          <w:bCs/>
          <w:strike/>
          <w:color w:val="auto"/>
          <w:kern w:val="44"/>
          <w:szCs w:val="21"/>
          <w:highlight w:val="none"/>
        </w:rPr>
        <w:t>投标申请表（投入人员承诺）</w:t>
      </w:r>
      <w:bookmarkEnd w:id="27"/>
      <w:bookmarkEnd w:id="28"/>
    </w:p>
    <w:p>
      <w:pPr>
        <w:spacing w:line="360" w:lineRule="auto"/>
        <w:jc w:val="center"/>
        <w:rPr>
          <w:rFonts w:ascii="宋体" w:hAnsi="宋体" w:eastAsia="宋体" w:cs="Times New Roman"/>
          <w:b/>
          <w:strike/>
          <w:color w:val="auto"/>
          <w:sz w:val="36"/>
          <w:szCs w:val="36"/>
          <w:highlight w:val="none"/>
        </w:rPr>
      </w:pPr>
      <w:r>
        <w:rPr>
          <w:rFonts w:hint="eastAsia" w:ascii="宋体" w:hAnsi="宋体" w:eastAsia="宋体" w:cs="Times New Roman"/>
          <w:b/>
          <w:strike/>
          <w:color w:val="auto"/>
          <w:sz w:val="36"/>
          <w:szCs w:val="36"/>
          <w:highlight w:val="none"/>
        </w:rPr>
        <w:t>投标申请表</w:t>
      </w:r>
      <w:r>
        <w:rPr>
          <w:rFonts w:hint="eastAsia" w:ascii="宋体" w:hAnsi="宋体" w:eastAsia="宋体" w:cs="Times New Roman"/>
          <w:b/>
          <w:bCs/>
          <w:strike/>
          <w:color w:val="auto"/>
          <w:sz w:val="36"/>
          <w:szCs w:val="36"/>
          <w:highlight w:val="none"/>
        </w:rPr>
        <w:t>（投入人员承诺）</w:t>
      </w:r>
    </w:p>
    <w:tbl>
      <w:tblPr>
        <w:tblStyle w:val="11"/>
        <w:tblW w:w="14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74"/>
        <w:gridCol w:w="2748"/>
        <w:gridCol w:w="3013"/>
        <w:gridCol w:w="1221"/>
        <w:gridCol w:w="5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Cs w:val="21"/>
                <w:highlight w:val="none"/>
              </w:rPr>
            </w:pPr>
            <w:r>
              <w:rPr>
                <w:rFonts w:hint="eastAsia" w:ascii="宋体" w:hAnsi="宋体" w:eastAsia="宋体" w:cs="Times New Roman"/>
                <w:strike/>
                <w:color w:val="auto"/>
                <w:szCs w:val="21"/>
                <w:highlight w:val="none"/>
              </w:rPr>
              <w:t>序号</w:t>
            </w:r>
          </w:p>
        </w:tc>
        <w:tc>
          <w:tcPr>
            <w:tcW w:w="1074"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highlight w:val="none"/>
              </w:rPr>
            </w:pPr>
            <w:r>
              <w:rPr>
                <w:rFonts w:hint="eastAsia" w:ascii="宋体" w:hAnsi="宋体" w:eastAsia="宋体" w:cs="Times New Roman"/>
                <w:strike/>
                <w:color w:val="auto"/>
                <w:highlight w:val="none"/>
              </w:rPr>
              <w:t>姓名</w:t>
            </w:r>
          </w:p>
        </w:tc>
        <w:tc>
          <w:tcPr>
            <w:tcW w:w="274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highlight w:val="none"/>
              </w:rPr>
            </w:pPr>
            <w:r>
              <w:rPr>
                <w:rFonts w:hint="eastAsia" w:ascii="宋体" w:hAnsi="宋体" w:eastAsia="宋体" w:cs="Times New Roman"/>
                <w:strike/>
                <w:color w:val="auto"/>
                <w:highlight w:val="none"/>
              </w:rPr>
              <w:t>专业分工</w:t>
            </w:r>
          </w:p>
        </w:tc>
        <w:tc>
          <w:tcPr>
            <w:tcW w:w="3013"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highlight w:val="none"/>
              </w:rPr>
            </w:pPr>
            <w:r>
              <w:rPr>
                <w:rFonts w:hint="eastAsia" w:ascii="宋体" w:hAnsi="宋体" w:eastAsia="宋体" w:cs="Times New Roman"/>
                <w:strike/>
                <w:color w:val="auto"/>
                <w:highlight w:val="none"/>
              </w:rPr>
              <w:t>专业职称</w:t>
            </w:r>
          </w:p>
        </w:tc>
        <w:tc>
          <w:tcPr>
            <w:tcW w:w="1221"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highlight w:val="none"/>
              </w:rPr>
            </w:pPr>
            <w:r>
              <w:rPr>
                <w:rFonts w:hint="eastAsia" w:ascii="宋体" w:hAnsi="宋体" w:eastAsia="宋体" w:cs="Times New Roman"/>
                <w:strike/>
                <w:color w:val="auto"/>
                <w:highlight w:val="none"/>
              </w:rPr>
              <w:t>工龄（年）</w:t>
            </w:r>
          </w:p>
        </w:tc>
        <w:tc>
          <w:tcPr>
            <w:tcW w:w="5397"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highlight w:val="none"/>
              </w:rPr>
            </w:pPr>
            <w:r>
              <w:rPr>
                <w:rFonts w:hint="eastAsia" w:ascii="Calibri" w:hAnsi="宋体" w:eastAsia="宋体" w:cs="Times New Roman"/>
                <w:strike/>
                <w:color w:val="auto"/>
                <w:highlight w:val="none"/>
              </w:rPr>
              <w:t>主要作品、业绩、著作名称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Cs w:val="21"/>
                <w:highlight w:val="none"/>
              </w:rPr>
            </w:pPr>
          </w:p>
        </w:tc>
        <w:tc>
          <w:tcPr>
            <w:tcW w:w="1074"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highlight w:val="none"/>
              </w:rPr>
            </w:pPr>
          </w:p>
        </w:tc>
        <w:tc>
          <w:tcPr>
            <w:tcW w:w="274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highlight w:val="none"/>
              </w:rPr>
            </w:pPr>
            <w:r>
              <w:rPr>
                <w:rFonts w:hint="eastAsia" w:ascii="宋体" w:hAnsi="宋体" w:eastAsia="宋体" w:cs="Courier New"/>
                <w:strike/>
                <w:color w:val="auto"/>
                <w:sz w:val="24"/>
                <w:szCs w:val="21"/>
                <w:highlight w:val="none"/>
              </w:rPr>
              <w:t>总负责人</w:t>
            </w:r>
          </w:p>
        </w:tc>
        <w:tc>
          <w:tcPr>
            <w:tcW w:w="3013" w:type="dxa"/>
            <w:vAlign w:val="center"/>
          </w:tcPr>
          <w:p>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auto"/>
                <w:highlight w:val="none"/>
              </w:rPr>
            </w:pPr>
            <w:r>
              <w:rPr>
                <w:rFonts w:hint="eastAsia" w:ascii="宋体" w:hAnsi="宋体" w:eastAsia="宋体" w:cs="Times New Roman"/>
                <w:strike/>
                <w:color w:val="auto"/>
                <w:highlight w:val="none"/>
              </w:rPr>
              <w:t>职务：</w:t>
            </w:r>
          </w:p>
        </w:tc>
        <w:tc>
          <w:tcPr>
            <w:tcW w:w="1221"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highlight w:val="none"/>
              </w:rPr>
            </w:pPr>
          </w:p>
        </w:tc>
        <w:tc>
          <w:tcPr>
            <w:tcW w:w="5397" w:type="dxa"/>
            <w:vAlign w:val="center"/>
          </w:tcPr>
          <w:p>
            <w:pPr>
              <w:keepNext w:val="0"/>
              <w:keepLines w:val="0"/>
              <w:suppressLineNumbers w:val="0"/>
              <w:spacing w:before="0" w:beforeAutospacing="0" w:after="0" w:afterAutospacing="0" w:line="360" w:lineRule="auto"/>
              <w:ind w:left="0" w:right="0"/>
              <w:jc w:val="center"/>
              <w:rPr>
                <w:rFonts w:hint="default" w:ascii="Calibri" w:hAnsi="宋体" w:eastAsia="宋体" w:cs="Times New Roman"/>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vAlign w:val="center"/>
          </w:tcPr>
          <w:p>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strike/>
                <w:color w:val="auto"/>
                <w:sz w:val="32"/>
                <w:szCs w:val="21"/>
                <w:highlight w:val="none"/>
              </w:rPr>
            </w:pPr>
          </w:p>
        </w:tc>
        <w:tc>
          <w:tcPr>
            <w:tcW w:w="1074" w:type="dxa"/>
            <w:vAlign w:val="center"/>
          </w:tcPr>
          <w:p>
            <w:pPr>
              <w:keepNext w:val="0"/>
              <w:keepLines w:val="0"/>
              <w:suppressLineNumbers w:val="0"/>
              <w:spacing w:before="0" w:beforeAutospacing="0" w:after="0" w:afterAutospacing="0" w:line="360" w:lineRule="auto"/>
              <w:ind w:left="0" w:right="0"/>
              <w:jc w:val="center"/>
              <w:rPr>
                <w:rFonts w:hint="default" w:ascii="仿宋_GB2312" w:hAnsi="宋体" w:eastAsia="仿宋_GB2312" w:cs="Times New Roman"/>
                <w:strike/>
                <w:color w:val="auto"/>
                <w:sz w:val="32"/>
                <w:szCs w:val="21"/>
                <w:highlight w:val="none"/>
              </w:rPr>
            </w:pPr>
          </w:p>
        </w:tc>
        <w:tc>
          <w:tcPr>
            <w:tcW w:w="274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highlight w:val="none"/>
              </w:rPr>
            </w:pPr>
            <w:r>
              <w:rPr>
                <w:rFonts w:hint="eastAsia" w:ascii="宋体" w:hAnsi="宋体" w:eastAsia="宋体" w:cs="Courier New"/>
                <w:strike/>
                <w:color w:val="auto"/>
                <w:sz w:val="24"/>
                <w:szCs w:val="21"/>
                <w:highlight w:val="none"/>
              </w:rPr>
              <w:t>项目负责人</w:t>
            </w:r>
          </w:p>
        </w:tc>
        <w:tc>
          <w:tcPr>
            <w:tcW w:w="3013"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Cs w:val="21"/>
                <w:highlight w:val="none"/>
              </w:rPr>
            </w:pPr>
          </w:p>
        </w:tc>
        <w:tc>
          <w:tcPr>
            <w:tcW w:w="1221"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Cs w:val="21"/>
                <w:highlight w:val="none"/>
              </w:rPr>
            </w:pPr>
          </w:p>
        </w:tc>
        <w:tc>
          <w:tcPr>
            <w:tcW w:w="5397"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Cs w:val="21"/>
                <w:highlight w:val="none"/>
              </w:rPr>
            </w:pPr>
          </w:p>
        </w:tc>
        <w:tc>
          <w:tcPr>
            <w:tcW w:w="1074"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Cs w:val="21"/>
                <w:highlight w:val="none"/>
              </w:rPr>
            </w:pPr>
          </w:p>
        </w:tc>
        <w:tc>
          <w:tcPr>
            <w:tcW w:w="274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highlight w:val="none"/>
              </w:rPr>
            </w:pPr>
            <w:r>
              <w:rPr>
                <w:rFonts w:hint="eastAsia" w:ascii="宋体" w:hAnsi="宋体" w:eastAsia="宋体" w:cs="Courier New"/>
                <w:strike/>
                <w:color w:val="auto"/>
                <w:sz w:val="24"/>
                <w:szCs w:val="21"/>
                <w:highlight w:val="none"/>
              </w:rPr>
              <w:t>结构专业负责人</w:t>
            </w:r>
          </w:p>
        </w:tc>
        <w:tc>
          <w:tcPr>
            <w:tcW w:w="3013"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Cs w:val="21"/>
                <w:highlight w:val="none"/>
              </w:rPr>
            </w:pPr>
          </w:p>
        </w:tc>
        <w:tc>
          <w:tcPr>
            <w:tcW w:w="1221"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Cs w:val="21"/>
                <w:highlight w:val="none"/>
              </w:rPr>
            </w:pPr>
          </w:p>
        </w:tc>
        <w:tc>
          <w:tcPr>
            <w:tcW w:w="5397"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Cs w:val="21"/>
                <w:highlight w:val="none"/>
              </w:rPr>
            </w:pPr>
          </w:p>
        </w:tc>
        <w:tc>
          <w:tcPr>
            <w:tcW w:w="1074"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Cs w:val="21"/>
                <w:highlight w:val="none"/>
              </w:rPr>
            </w:pPr>
          </w:p>
        </w:tc>
        <w:tc>
          <w:tcPr>
            <w:tcW w:w="274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highlight w:val="none"/>
              </w:rPr>
            </w:pPr>
            <w:r>
              <w:rPr>
                <w:rFonts w:hint="eastAsia" w:ascii="宋体" w:hAnsi="宋体" w:eastAsia="宋体" w:cs="Courier New"/>
                <w:strike/>
                <w:color w:val="auto"/>
                <w:sz w:val="24"/>
                <w:szCs w:val="21"/>
                <w:highlight w:val="none"/>
              </w:rPr>
              <w:t>建筑专业负责人</w:t>
            </w:r>
          </w:p>
        </w:tc>
        <w:tc>
          <w:tcPr>
            <w:tcW w:w="3013"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Cs w:val="21"/>
                <w:highlight w:val="none"/>
              </w:rPr>
            </w:pPr>
          </w:p>
        </w:tc>
        <w:tc>
          <w:tcPr>
            <w:tcW w:w="1221"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Cs w:val="21"/>
                <w:highlight w:val="none"/>
              </w:rPr>
            </w:pPr>
          </w:p>
        </w:tc>
        <w:tc>
          <w:tcPr>
            <w:tcW w:w="5397"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Cs w:val="21"/>
                <w:highlight w:val="none"/>
              </w:rPr>
            </w:pPr>
          </w:p>
        </w:tc>
        <w:tc>
          <w:tcPr>
            <w:tcW w:w="1074"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Cs w:val="21"/>
                <w:highlight w:val="none"/>
              </w:rPr>
            </w:pPr>
          </w:p>
        </w:tc>
        <w:tc>
          <w:tcPr>
            <w:tcW w:w="274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highlight w:val="none"/>
              </w:rPr>
            </w:pPr>
            <w:r>
              <w:rPr>
                <w:rFonts w:hint="eastAsia" w:ascii="宋体" w:hAnsi="宋体" w:eastAsia="宋体" w:cs="Courier New"/>
                <w:strike/>
                <w:color w:val="auto"/>
                <w:sz w:val="24"/>
                <w:szCs w:val="21"/>
                <w:highlight w:val="none"/>
              </w:rPr>
              <w:t>暖通专业负责人</w:t>
            </w:r>
          </w:p>
        </w:tc>
        <w:tc>
          <w:tcPr>
            <w:tcW w:w="3013"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Cs w:val="21"/>
                <w:highlight w:val="none"/>
              </w:rPr>
            </w:pPr>
          </w:p>
        </w:tc>
        <w:tc>
          <w:tcPr>
            <w:tcW w:w="1221"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Cs w:val="21"/>
                <w:highlight w:val="none"/>
              </w:rPr>
            </w:pPr>
          </w:p>
        </w:tc>
        <w:tc>
          <w:tcPr>
            <w:tcW w:w="5397"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Cs w:val="21"/>
                <w:highlight w:val="none"/>
              </w:rPr>
            </w:pPr>
          </w:p>
        </w:tc>
        <w:tc>
          <w:tcPr>
            <w:tcW w:w="1074"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Cs w:val="21"/>
                <w:highlight w:val="none"/>
              </w:rPr>
            </w:pPr>
          </w:p>
        </w:tc>
        <w:tc>
          <w:tcPr>
            <w:tcW w:w="274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highlight w:val="none"/>
              </w:rPr>
            </w:pPr>
            <w:r>
              <w:rPr>
                <w:rFonts w:hint="eastAsia" w:ascii="宋体" w:hAnsi="宋体" w:eastAsia="宋体" w:cs="Courier New"/>
                <w:strike/>
                <w:color w:val="auto"/>
                <w:sz w:val="24"/>
                <w:szCs w:val="21"/>
                <w:highlight w:val="none"/>
              </w:rPr>
              <w:t>园林专业负责人</w:t>
            </w:r>
          </w:p>
        </w:tc>
        <w:tc>
          <w:tcPr>
            <w:tcW w:w="3013"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Cs w:val="21"/>
                <w:highlight w:val="none"/>
              </w:rPr>
            </w:pPr>
          </w:p>
        </w:tc>
        <w:tc>
          <w:tcPr>
            <w:tcW w:w="1221"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Cs w:val="21"/>
                <w:highlight w:val="none"/>
              </w:rPr>
            </w:pPr>
          </w:p>
        </w:tc>
        <w:tc>
          <w:tcPr>
            <w:tcW w:w="5397"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644"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Cs w:val="21"/>
                <w:highlight w:val="none"/>
              </w:rPr>
            </w:pPr>
          </w:p>
        </w:tc>
        <w:tc>
          <w:tcPr>
            <w:tcW w:w="1074"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Cs w:val="21"/>
                <w:highlight w:val="none"/>
              </w:rPr>
            </w:pPr>
          </w:p>
        </w:tc>
        <w:tc>
          <w:tcPr>
            <w:tcW w:w="274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Courier New"/>
                <w:strike/>
                <w:color w:val="auto"/>
                <w:sz w:val="24"/>
                <w:szCs w:val="21"/>
                <w:highlight w:val="none"/>
              </w:rPr>
            </w:pPr>
            <w:r>
              <w:rPr>
                <w:rFonts w:hint="eastAsia" w:ascii="宋体" w:hAnsi="宋体" w:eastAsia="宋体" w:cs="Courier New"/>
                <w:strike/>
                <w:color w:val="auto"/>
                <w:sz w:val="24"/>
                <w:szCs w:val="21"/>
                <w:highlight w:val="none"/>
              </w:rPr>
              <w:t>电气专业负责人</w:t>
            </w:r>
          </w:p>
        </w:tc>
        <w:tc>
          <w:tcPr>
            <w:tcW w:w="3013"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Cs w:val="21"/>
                <w:highlight w:val="none"/>
              </w:rPr>
            </w:pPr>
          </w:p>
        </w:tc>
        <w:tc>
          <w:tcPr>
            <w:tcW w:w="1221"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Cs w:val="21"/>
                <w:highlight w:val="none"/>
              </w:rPr>
            </w:pPr>
          </w:p>
        </w:tc>
        <w:tc>
          <w:tcPr>
            <w:tcW w:w="5397"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Cs w:val="21"/>
                <w:highlight w:val="none"/>
              </w:rPr>
            </w:pPr>
          </w:p>
        </w:tc>
        <w:tc>
          <w:tcPr>
            <w:tcW w:w="1074"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Cs w:val="21"/>
                <w:highlight w:val="none"/>
              </w:rPr>
            </w:pPr>
          </w:p>
        </w:tc>
        <w:tc>
          <w:tcPr>
            <w:tcW w:w="274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Courier New"/>
                <w:strike/>
                <w:color w:val="auto"/>
                <w:sz w:val="24"/>
                <w:szCs w:val="21"/>
                <w:highlight w:val="none"/>
              </w:rPr>
            </w:pPr>
            <w:r>
              <w:rPr>
                <w:rFonts w:hint="eastAsia" w:ascii="宋体" w:hAnsi="宋体" w:eastAsia="宋体" w:cs="Courier New"/>
                <w:strike/>
                <w:color w:val="auto"/>
                <w:sz w:val="24"/>
                <w:szCs w:val="21"/>
                <w:highlight w:val="none"/>
              </w:rPr>
              <w:t>智能化专业负责人</w:t>
            </w:r>
          </w:p>
        </w:tc>
        <w:tc>
          <w:tcPr>
            <w:tcW w:w="3013"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Cs w:val="21"/>
                <w:highlight w:val="none"/>
              </w:rPr>
            </w:pPr>
          </w:p>
        </w:tc>
        <w:tc>
          <w:tcPr>
            <w:tcW w:w="1221"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Cs w:val="21"/>
                <w:highlight w:val="none"/>
              </w:rPr>
            </w:pPr>
          </w:p>
        </w:tc>
        <w:tc>
          <w:tcPr>
            <w:tcW w:w="5397"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Cs w:val="21"/>
                <w:highlight w:val="none"/>
              </w:rPr>
            </w:pPr>
          </w:p>
        </w:tc>
        <w:tc>
          <w:tcPr>
            <w:tcW w:w="1074"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Cs w:val="21"/>
                <w:highlight w:val="none"/>
              </w:rPr>
            </w:pPr>
          </w:p>
        </w:tc>
        <w:tc>
          <w:tcPr>
            <w:tcW w:w="274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Courier New"/>
                <w:strike/>
                <w:color w:val="auto"/>
                <w:sz w:val="24"/>
                <w:szCs w:val="21"/>
                <w:highlight w:val="none"/>
              </w:rPr>
            </w:pPr>
            <w:r>
              <w:rPr>
                <w:rFonts w:hint="eastAsia" w:ascii="宋体" w:hAnsi="宋体" w:eastAsia="宋体" w:cs="Courier New"/>
                <w:strike/>
                <w:color w:val="auto"/>
                <w:sz w:val="24"/>
                <w:szCs w:val="21"/>
                <w:highlight w:val="none"/>
              </w:rPr>
              <w:t>给排水专业负责人</w:t>
            </w:r>
          </w:p>
        </w:tc>
        <w:tc>
          <w:tcPr>
            <w:tcW w:w="3013"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Cs w:val="21"/>
                <w:highlight w:val="none"/>
              </w:rPr>
            </w:pPr>
          </w:p>
        </w:tc>
        <w:tc>
          <w:tcPr>
            <w:tcW w:w="1221"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Cs w:val="21"/>
                <w:highlight w:val="none"/>
              </w:rPr>
            </w:pPr>
          </w:p>
        </w:tc>
        <w:tc>
          <w:tcPr>
            <w:tcW w:w="5397"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Cs w:val="21"/>
                <w:highlight w:val="none"/>
              </w:rPr>
            </w:pPr>
          </w:p>
        </w:tc>
        <w:tc>
          <w:tcPr>
            <w:tcW w:w="1074"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Cs w:val="21"/>
                <w:highlight w:val="none"/>
              </w:rPr>
            </w:pPr>
          </w:p>
        </w:tc>
        <w:tc>
          <w:tcPr>
            <w:tcW w:w="274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Courier New"/>
                <w:strike/>
                <w:color w:val="auto"/>
                <w:sz w:val="24"/>
                <w:szCs w:val="21"/>
                <w:highlight w:val="none"/>
              </w:rPr>
            </w:pPr>
            <w:r>
              <w:rPr>
                <w:rFonts w:hint="eastAsia" w:ascii="宋体" w:hAnsi="宋体" w:eastAsia="宋体" w:cs="Courier New"/>
                <w:strike/>
                <w:color w:val="auto"/>
                <w:sz w:val="24"/>
                <w:szCs w:val="21"/>
                <w:highlight w:val="none"/>
              </w:rPr>
              <w:t>概预算专业负责人</w:t>
            </w:r>
          </w:p>
        </w:tc>
        <w:tc>
          <w:tcPr>
            <w:tcW w:w="3013"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Cs w:val="21"/>
                <w:highlight w:val="none"/>
              </w:rPr>
            </w:pPr>
          </w:p>
        </w:tc>
        <w:tc>
          <w:tcPr>
            <w:tcW w:w="1221"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Cs w:val="21"/>
                <w:highlight w:val="none"/>
              </w:rPr>
            </w:pPr>
          </w:p>
        </w:tc>
        <w:tc>
          <w:tcPr>
            <w:tcW w:w="5397"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Cs w:val="21"/>
                <w:highlight w:val="none"/>
              </w:rPr>
            </w:pPr>
          </w:p>
        </w:tc>
        <w:tc>
          <w:tcPr>
            <w:tcW w:w="1074"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Cs w:val="21"/>
                <w:highlight w:val="none"/>
              </w:rPr>
            </w:pPr>
          </w:p>
        </w:tc>
        <w:tc>
          <w:tcPr>
            <w:tcW w:w="274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Courier New"/>
                <w:strike/>
                <w:color w:val="auto"/>
                <w:sz w:val="24"/>
                <w:szCs w:val="21"/>
                <w:highlight w:val="none"/>
              </w:rPr>
            </w:pPr>
            <w:r>
              <w:rPr>
                <w:rFonts w:hint="eastAsia" w:ascii="宋体" w:hAnsi="宋体" w:eastAsia="宋体" w:cs="Courier New"/>
                <w:strike/>
                <w:color w:val="auto"/>
                <w:sz w:val="24"/>
                <w:szCs w:val="21"/>
                <w:highlight w:val="none"/>
              </w:rPr>
              <w:t>勘察专业负责人</w:t>
            </w:r>
          </w:p>
        </w:tc>
        <w:tc>
          <w:tcPr>
            <w:tcW w:w="3013"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Cs w:val="21"/>
                <w:highlight w:val="none"/>
              </w:rPr>
            </w:pPr>
          </w:p>
        </w:tc>
        <w:tc>
          <w:tcPr>
            <w:tcW w:w="1221"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Cs w:val="21"/>
                <w:highlight w:val="none"/>
              </w:rPr>
            </w:pPr>
          </w:p>
        </w:tc>
        <w:tc>
          <w:tcPr>
            <w:tcW w:w="5397"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Cs w:val="21"/>
                <w:highlight w:val="none"/>
              </w:rPr>
            </w:pPr>
          </w:p>
        </w:tc>
        <w:tc>
          <w:tcPr>
            <w:tcW w:w="1074"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Cs w:val="21"/>
                <w:highlight w:val="none"/>
              </w:rPr>
            </w:pPr>
          </w:p>
        </w:tc>
        <w:tc>
          <w:tcPr>
            <w:tcW w:w="274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Courier New"/>
                <w:strike/>
                <w:color w:val="auto"/>
                <w:sz w:val="24"/>
                <w:szCs w:val="21"/>
                <w:highlight w:val="none"/>
              </w:rPr>
            </w:pPr>
            <w:r>
              <w:rPr>
                <w:rFonts w:hint="default" w:ascii="宋体" w:hAnsi="宋体" w:eastAsia="宋体" w:cs="Courier New"/>
                <w:strike/>
                <w:color w:val="auto"/>
                <w:sz w:val="24"/>
                <w:szCs w:val="21"/>
                <w:highlight w:val="none"/>
              </w:rPr>
              <w:t>……</w:t>
            </w:r>
          </w:p>
        </w:tc>
        <w:tc>
          <w:tcPr>
            <w:tcW w:w="3013"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Cs w:val="21"/>
                <w:highlight w:val="none"/>
              </w:rPr>
            </w:pPr>
          </w:p>
        </w:tc>
        <w:tc>
          <w:tcPr>
            <w:tcW w:w="1221"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Cs w:val="21"/>
                <w:highlight w:val="none"/>
              </w:rPr>
            </w:pPr>
          </w:p>
        </w:tc>
        <w:tc>
          <w:tcPr>
            <w:tcW w:w="5397"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Cs w:val="21"/>
                <w:highlight w:val="none"/>
              </w:rPr>
            </w:pPr>
          </w:p>
        </w:tc>
      </w:tr>
    </w:tbl>
    <w:p>
      <w:pPr>
        <w:spacing w:line="360" w:lineRule="auto"/>
        <w:jc w:val="left"/>
        <w:rPr>
          <w:rFonts w:ascii="宋体" w:hAnsi="宋体"/>
          <w:color w:val="auto"/>
          <w:highlight w:val="none"/>
        </w:rPr>
        <w:sectPr>
          <w:pgSz w:w="16838" w:h="11906" w:orient="landscape"/>
          <w:pgMar w:top="1440" w:right="1440" w:bottom="1466" w:left="1440" w:header="851" w:footer="992" w:gutter="0"/>
          <w:pgBorders>
            <w:top w:val="none" w:sz="0" w:space="0"/>
            <w:left w:val="none" w:sz="0" w:space="0"/>
            <w:bottom w:val="none" w:sz="0" w:space="0"/>
            <w:right w:val="none" w:sz="0" w:space="0"/>
          </w:pgBorders>
          <w:cols w:space="720" w:num="1"/>
          <w:docGrid w:type="linesAndChars" w:linePitch="312" w:charSpace="0"/>
        </w:sectPr>
      </w:pPr>
      <w:r>
        <w:rPr>
          <w:rFonts w:hint="eastAsia" w:ascii="宋体" w:hAnsi="宋体" w:eastAsia="宋体" w:cs="Courier New"/>
          <w:strike/>
          <w:color w:val="auto"/>
          <w:sz w:val="24"/>
          <w:szCs w:val="21"/>
          <w:highlight w:val="none"/>
        </w:rPr>
        <w:t>注：按“勘察设计任务书”表《各专业设计人员投入要求》要求进行配备；本表除项目负责人外，其他人员均不作为资格审查的条件。</w:t>
      </w:r>
      <w:r>
        <w:rPr>
          <w:rFonts w:ascii="宋体" w:hAnsi="宋体" w:eastAsia="宋体" w:cs="Times New Roman"/>
          <w:color w:val="auto"/>
          <w:highlight w:val="none"/>
        </w:rPr>
        <w:t xml:space="preserve"> </w:t>
      </w:r>
    </w:p>
    <w:p>
      <w:pPr>
        <w:keepNext/>
        <w:keepLines/>
        <w:widowControl w:val="0"/>
        <w:spacing w:before="340" w:after="330" w:line="578" w:lineRule="auto"/>
        <w:jc w:val="both"/>
        <w:outlineLvl w:val="1"/>
        <w:rPr>
          <w:rFonts w:ascii="宋体" w:hAnsi="宋体" w:eastAsia="宋体" w:cs="Times New Roman"/>
          <w:b/>
          <w:bCs/>
          <w:color w:val="auto"/>
          <w:kern w:val="44"/>
          <w:sz w:val="44"/>
          <w:szCs w:val="44"/>
          <w:highlight w:val="none"/>
          <w:lang w:val="en-US" w:eastAsia="zh-CN" w:bidi="ar-SA"/>
        </w:rPr>
      </w:pPr>
      <w:bookmarkStart w:id="29" w:name="_Toc21872"/>
      <w:r>
        <w:rPr>
          <w:rFonts w:hint="eastAsia" w:ascii="宋体" w:hAnsi="宋体" w:eastAsia="宋体" w:cs="Times New Roman"/>
          <w:b/>
          <w:bCs/>
          <w:color w:val="auto"/>
          <w:kern w:val="44"/>
          <w:sz w:val="21"/>
          <w:szCs w:val="21"/>
          <w:highlight w:val="none"/>
          <w:lang w:val="en-US" w:eastAsia="zh-CN" w:bidi="ar-SA"/>
        </w:rPr>
        <w:t>附件</w:t>
      </w:r>
      <w:r>
        <w:rPr>
          <w:rFonts w:ascii="宋体" w:hAnsi="宋体" w:eastAsia="宋体" w:cs="Times New Roman"/>
          <w:b/>
          <w:bCs/>
          <w:color w:val="auto"/>
          <w:kern w:val="44"/>
          <w:sz w:val="21"/>
          <w:szCs w:val="21"/>
          <w:highlight w:val="none"/>
          <w:lang w:val="en-US" w:eastAsia="zh-CN" w:bidi="ar-SA"/>
        </w:rPr>
        <w:t>2设计投标文件编制要求</w:t>
      </w:r>
      <w:bookmarkEnd w:id="29"/>
    </w:p>
    <w:p>
      <w:pPr>
        <w:jc w:val="center"/>
        <w:rPr>
          <w:rFonts w:ascii="宋体" w:hAnsi="宋体" w:eastAsia="宋体" w:cs="Times New Roman"/>
          <w:b/>
          <w:bCs/>
          <w:color w:val="auto"/>
          <w:sz w:val="32"/>
          <w:highlight w:val="none"/>
        </w:rPr>
      </w:pPr>
      <w:r>
        <w:rPr>
          <w:rFonts w:hint="eastAsia" w:ascii="宋体" w:hAnsi="宋体" w:eastAsia="宋体" w:cs="Times New Roman"/>
          <w:b/>
          <w:color w:val="auto"/>
          <w:sz w:val="32"/>
          <w:highlight w:val="none"/>
        </w:rPr>
        <w:t>设计</w:t>
      </w:r>
      <w:r>
        <w:rPr>
          <w:rFonts w:hint="eastAsia" w:ascii="宋体" w:hAnsi="宋体" w:eastAsia="宋体" w:cs="Times New Roman"/>
          <w:b/>
          <w:bCs/>
          <w:color w:val="auto"/>
          <w:sz w:val="32"/>
          <w:highlight w:val="none"/>
        </w:rPr>
        <w:t>投标文件编制要求</w:t>
      </w:r>
    </w:p>
    <w:p>
      <w:pPr>
        <w:spacing w:line="360" w:lineRule="auto"/>
        <w:jc w:val="center"/>
        <w:rPr>
          <w:rFonts w:ascii="宋体" w:hAnsi="宋体" w:eastAsia="宋体" w:cs="Times New Roman"/>
          <w:color w:val="auto"/>
          <w:sz w:val="24"/>
          <w:highlight w:val="none"/>
        </w:rPr>
      </w:pPr>
      <w:r>
        <w:rPr>
          <w:rFonts w:hint="eastAsia" w:ascii="宋体" w:hAnsi="宋体" w:eastAsia="宋体" w:cs="Times New Roman"/>
          <w:color w:val="auto"/>
          <w:sz w:val="24"/>
          <w:highlight w:val="none"/>
        </w:rPr>
        <w:t>（适用于设计和勘察设计投标）</w:t>
      </w:r>
    </w:p>
    <w:p>
      <w:pPr>
        <w:spacing w:line="360" w:lineRule="auto"/>
        <w:rPr>
          <w:rFonts w:ascii="宋体" w:hAnsi="宋体" w:eastAsia="宋体" w:cs="Times New Roman"/>
          <w:color w:val="auto"/>
          <w:sz w:val="24"/>
          <w:highlight w:val="none"/>
        </w:rPr>
      </w:pPr>
      <w:r>
        <w:rPr>
          <w:rFonts w:ascii="宋体" w:hAnsi="宋体" w:eastAsia="宋体" w:cs="Times New Roman"/>
          <w:b/>
          <w:bCs/>
          <w:color w:val="auto"/>
          <w:sz w:val="24"/>
          <w:highlight w:val="none"/>
        </w:rPr>
        <w:t xml:space="preserve">1   </w:t>
      </w:r>
      <w:r>
        <w:rPr>
          <w:rFonts w:hint="eastAsia" w:ascii="宋体" w:hAnsi="宋体" w:eastAsia="宋体" w:cs="Times New Roman"/>
          <w:b/>
          <w:bCs/>
          <w:color w:val="auto"/>
          <w:sz w:val="24"/>
          <w:highlight w:val="none"/>
        </w:rPr>
        <w:t>投标文件</w:t>
      </w:r>
    </w:p>
    <w:p>
      <w:pPr>
        <w:spacing w:line="360" w:lineRule="auto"/>
        <w:jc w:val="left"/>
        <w:rPr>
          <w:rFonts w:ascii="宋体" w:hAnsi="宋体" w:eastAsia="宋体" w:cs="Times New Roman"/>
          <w:color w:val="auto"/>
          <w:sz w:val="24"/>
          <w:highlight w:val="none"/>
        </w:rPr>
      </w:pPr>
    </w:p>
    <w:p>
      <w:pPr>
        <w:spacing w:line="360" w:lineRule="auto"/>
        <w:ind w:left="821" w:hanging="820" w:hangingChars="342"/>
        <w:rPr>
          <w:rFonts w:ascii="宋体" w:hAnsi="宋体" w:eastAsia="宋体" w:cs="Times New Roman"/>
          <w:color w:val="auto"/>
          <w:sz w:val="24"/>
          <w:highlight w:val="none"/>
        </w:rPr>
      </w:pPr>
      <w:r>
        <w:rPr>
          <w:rFonts w:ascii="宋体" w:hAnsi="宋体" w:eastAsia="宋体" w:cs="Times New Roman"/>
          <w:color w:val="auto"/>
          <w:sz w:val="24"/>
          <w:highlight w:val="none"/>
        </w:rPr>
        <w:t xml:space="preserve">1.1    </w:t>
      </w:r>
      <w:r>
        <w:rPr>
          <w:rFonts w:hint="eastAsia" w:ascii="宋体" w:hAnsi="宋体" w:eastAsia="宋体" w:cs="Times New Roman"/>
          <w:color w:val="auto"/>
          <w:sz w:val="24"/>
          <w:highlight w:val="none"/>
        </w:rPr>
        <w:t>投标文件由下列资料组成。</w:t>
      </w:r>
    </w:p>
    <w:p>
      <w:pPr>
        <w:spacing w:line="360" w:lineRule="auto"/>
        <w:jc w:val="left"/>
        <w:rPr>
          <w:rFonts w:ascii="宋体" w:hAnsi="宋体" w:eastAsia="宋体" w:cs="Times New Roman"/>
          <w:strike/>
          <w:dstrike w:val="0"/>
          <w:color w:val="auto"/>
          <w:sz w:val="24"/>
          <w:highlight w:val="none"/>
        </w:rPr>
      </w:pPr>
      <w:r>
        <w:rPr>
          <w:rFonts w:ascii="Calibri" w:hAnsi="宋体" w:eastAsia="宋体" w:cs="Times New Roman"/>
          <w:color w:val="auto"/>
          <w:sz w:val="24"/>
          <w:highlight w:val="none"/>
        </w:rPr>
        <w:t xml:space="preserve">   </w:t>
      </w:r>
      <w:r>
        <w:rPr>
          <w:rFonts w:ascii="宋体" w:hAnsi="宋体" w:eastAsia="宋体" w:cs="Times New Roman"/>
          <w:color w:val="auto"/>
          <w:sz w:val="24"/>
          <w:highlight w:val="none"/>
        </w:rPr>
        <w:t xml:space="preserve"> </w:t>
      </w:r>
      <w:r>
        <w:rPr>
          <w:rFonts w:ascii="宋体" w:hAnsi="宋体" w:eastAsia="宋体" w:cs="Times New Roman"/>
          <w:strike/>
          <w:dstrike w:val="0"/>
          <w:color w:val="auto"/>
          <w:sz w:val="24"/>
          <w:highlight w:val="none"/>
        </w:rPr>
        <w:t>(a) 开标信封。</w:t>
      </w:r>
    </w:p>
    <w:p>
      <w:pPr>
        <w:spacing w:line="360" w:lineRule="auto"/>
        <w:jc w:val="left"/>
        <w:rPr>
          <w:rFonts w:ascii="宋体" w:hAnsi="宋体" w:eastAsia="宋体" w:cs="Times New Roman"/>
          <w:color w:val="auto"/>
          <w:sz w:val="24"/>
          <w:highlight w:val="none"/>
        </w:rPr>
      </w:pPr>
      <w:r>
        <w:rPr>
          <w:rFonts w:ascii="Calibri" w:hAnsi="宋体" w:eastAsia="宋体" w:cs="Times New Roman"/>
          <w:color w:val="auto"/>
          <w:sz w:val="24"/>
          <w:highlight w:val="none"/>
        </w:rPr>
        <w:t xml:space="preserve"> </w:t>
      </w:r>
      <w:r>
        <w:rPr>
          <w:rFonts w:ascii="宋体" w:hAnsi="宋体" w:eastAsia="宋体" w:cs="Times New Roman"/>
          <w:color w:val="auto"/>
          <w:sz w:val="24"/>
          <w:highlight w:val="none"/>
        </w:rPr>
        <w:t xml:space="preserve">   (b) </w:t>
      </w:r>
      <w:r>
        <w:rPr>
          <w:rFonts w:hint="eastAsia" w:ascii="宋体" w:hAnsi="宋体" w:eastAsia="宋体" w:cs="Times New Roman"/>
          <w:color w:val="auto"/>
          <w:sz w:val="24"/>
          <w:highlight w:val="none"/>
        </w:rPr>
        <w:t>设计方案。</w:t>
      </w:r>
    </w:p>
    <w:p>
      <w:pPr>
        <w:spacing w:line="360" w:lineRule="auto"/>
        <w:jc w:val="left"/>
        <w:rPr>
          <w:rFonts w:ascii="宋体" w:hAnsi="宋体" w:eastAsia="宋体" w:cs="Times New Roman"/>
          <w:color w:val="auto"/>
          <w:sz w:val="24"/>
          <w:highlight w:val="none"/>
        </w:rPr>
      </w:pPr>
      <w:r>
        <w:rPr>
          <w:rFonts w:ascii="Calibri" w:hAnsi="宋体" w:eastAsia="宋体" w:cs="Times New Roman"/>
          <w:color w:val="auto"/>
          <w:sz w:val="24"/>
          <w:highlight w:val="none"/>
        </w:rPr>
        <w:t xml:space="preserve"> </w:t>
      </w:r>
      <w:r>
        <w:rPr>
          <w:rFonts w:ascii="宋体" w:hAnsi="宋体" w:eastAsia="宋体" w:cs="Times New Roman"/>
          <w:color w:val="auto"/>
          <w:sz w:val="24"/>
          <w:highlight w:val="none"/>
        </w:rPr>
        <w:t xml:space="preserve">   (c) </w:t>
      </w:r>
      <w:r>
        <w:rPr>
          <w:rFonts w:hint="eastAsia" w:ascii="宋体" w:hAnsi="宋体" w:eastAsia="宋体" w:cs="Times New Roman"/>
          <w:color w:val="auto"/>
          <w:sz w:val="24"/>
          <w:highlight w:val="none"/>
        </w:rPr>
        <w:t>资格审查文件</w:t>
      </w:r>
      <w:r>
        <w:rPr>
          <w:rFonts w:hint="eastAsia" w:ascii="宋体" w:hAnsi="宋体" w:eastAsia="宋体" w:cs="Times New Roman"/>
          <w:strike/>
          <w:color w:val="auto"/>
          <w:sz w:val="24"/>
          <w:highlight w:val="none"/>
        </w:rPr>
        <w:t>（如果招标人要求提供）</w:t>
      </w:r>
      <w:r>
        <w:rPr>
          <w:rFonts w:hint="eastAsia" w:ascii="宋体" w:hAnsi="宋体" w:eastAsia="宋体" w:cs="Times New Roman"/>
          <w:color w:val="auto"/>
          <w:sz w:val="24"/>
          <w:highlight w:val="none"/>
        </w:rPr>
        <w:t>。</w:t>
      </w:r>
    </w:p>
    <w:p>
      <w:pPr>
        <w:spacing w:line="360" w:lineRule="auto"/>
        <w:ind w:firstLine="480"/>
        <w:jc w:val="left"/>
        <w:rPr>
          <w:rFonts w:ascii="宋体" w:hAnsi="宋体" w:eastAsia="宋体" w:cs="Times New Roman"/>
          <w:color w:val="auto"/>
          <w:sz w:val="24"/>
          <w:highlight w:val="none"/>
        </w:rPr>
      </w:pPr>
      <w:r>
        <w:rPr>
          <w:rFonts w:ascii="宋体" w:hAnsi="宋体" w:eastAsia="宋体" w:cs="Times New Roman"/>
          <w:color w:val="auto"/>
          <w:sz w:val="24"/>
          <w:highlight w:val="none"/>
        </w:rPr>
        <w:t xml:space="preserve">(d) </w:t>
      </w:r>
      <w:r>
        <w:rPr>
          <w:rFonts w:hint="eastAsia" w:ascii="宋体" w:hAnsi="宋体" w:eastAsia="宋体" w:cs="Times New Roman"/>
          <w:color w:val="auto"/>
          <w:sz w:val="24"/>
          <w:highlight w:val="none"/>
          <w:u w:val="single"/>
        </w:rPr>
        <w:t>报价文件</w:t>
      </w:r>
      <w:r>
        <w:rPr>
          <w:rFonts w:hint="eastAsia" w:ascii="宋体" w:hAnsi="宋体" w:eastAsia="宋体" w:cs="Times New Roman"/>
          <w:color w:val="auto"/>
          <w:sz w:val="24"/>
          <w:highlight w:val="none"/>
        </w:rPr>
        <w:t>。</w:t>
      </w:r>
    </w:p>
    <w:p>
      <w:pPr>
        <w:keepNext w:val="0"/>
        <w:keepLines w:val="0"/>
        <w:widowControl w:val="0"/>
        <w:suppressLineNumbers w:val="0"/>
        <w:spacing w:before="0" w:beforeAutospacing="0" w:after="0" w:afterAutospacing="0" w:line="360" w:lineRule="auto"/>
        <w:ind w:left="0" w:right="0" w:firstLine="480"/>
        <w:jc w:val="both"/>
        <w:rPr>
          <w:rFonts w:ascii="宋体" w:hAnsi="宋体" w:eastAsia="宋体" w:cs="Times New Roman"/>
          <w:color w:val="auto"/>
          <w:sz w:val="24"/>
          <w:highlight w:val="none"/>
        </w:rPr>
      </w:pPr>
      <w:r>
        <w:rPr>
          <w:rFonts w:ascii="宋体" w:hAnsi="宋体" w:eastAsia="宋体" w:cs="Times New Roman"/>
          <w:color w:val="auto"/>
          <w:sz w:val="24"/>
          <w:highlight w:val="none"/>
        </w:rPr>
        <w:t xml:space="preserve">(e) </w:t>
      </w:r>
      <w:r>
        <w:rPr>
          <w:rFonts w:hint="eastAsia" w:ascii="宋体" w:hAnsi="宋体" w:eastAsia="宋体" w:cs="Times New Roman"/>
          <w:color w:val="auto"/>
          <w:sz w:val="24"/>
          <w:highlight w:val="none"/>
          <w:u w:val="single"/>
        </w:rPr>
        <w:t>定标文件</w:t>
      </w:r>
      <w:r>
        <w:rPr>
          <w:rFonts w:hint="eastAsia" w:ascii="宋体" w:hAnsi="宋体" w:eastAsia="宋体" w:cs="Times New Roman"/>
          <w:color w:val="auto"/>
          <w:kern w:val="2"/>
          <w:sz w:val="24"/>
          <w:szCs w:val="22"/>
          <w:highlight w:val="none"/>
          <w:u w:val="single"/>
          <w:lang w:val="en-US" w:eastAsia="zh-CN" w:bidi="ar"/>
        </w:rPr>
        <w:t>（定标文件无需重复提供设计方案）</w:t>
      </w:r>
      <w:r>
        <w:rPr>
          <w:rFonts w:hint="eastAsia" w:ascii="宋体" w:hAnsi="宋体" w:eastAsia="宋体" w:cs="Times New Roman"/>
          <w:color w:val="auto"/>
          <w:sz w:val="24"/>
          <w:highlight w:val="none"/>
        </w:rPr>
        <w:t>。</w:t>
      </w:r>
    </w:p>
    <w:p>
      <w:pPr>
        <w:spacing w:line="360" w:lineRule="auto"/>
        <w:jc w:val="left"/>
        <w:rPr>
          <w:rFonts w:ascii="宋体" w:hAnsi="宋体" w:eastAsia="宋体" w:cs="Times New Roman"/>
          <w:color w:val="auto"/>
          <w:sz w:val="24"/>
          <w:highlight w:val="none"/>
        </w:rPr>
      </w:pPr>
    </w:p>
    <w:p>
      <w:pPr>
        <w:spacing w:line="360" w:lineRule="auto"/>
        <w:jc w:val="left"/>
        <w:rPr>
          <w:rFonts w:ascii="Calibri" w:hAnsi="宋体" w:eastAsia="宋体" w:cs="Times New Roman"/>
          <w:color w:val="auto"/>
          <w:sz w:val="24"/>
          <w:highlight w:val="none"/>
        </w:rPr>
      </w:pPr>
    </w:p>
    <w:p>
      <w:pPr>
        <w:spacing w:line="360" w:lineRule="auto"/>
        <w:rPr>
          <w:rFonts w:ascii="宋体" w:hAnsi="宋体" w:eastAsia="宋体" w:cs="Times New Roman"/>
          <w:color w:val="auto"/>
          <w:sz w:val="24"/>
          <w:highlight w:val="none"/>
        </w:rPr>
      </w:pPr>
      <w:r>
        <w:rPr>
          <w:rFonts w:ascii="宋体" w:hAnsi="宋体" w:eastAsia="宋体" w:cs="Times New Roman"/>
          <w:b/>
          <w:bCs/>
          <w:color w:val="auto"/>
          <w:sz w:val="24"/>
          <w:highlight w:val="none"/>
        </w:rPr>
        <w:t xml:space="preserve">2    </w:t>
      </w:r>
      <w:r>
        <w:rPr>
          <w:rFonts w:hint="eastAsia" w:ascii="宋体" w:hAnsi="宋体" w:eastAsia="宋体" w:cs="Times New Roman"/>
          <w:b/>
          <w:bCs/>
          <w:color w:val="auto"/>
          <w:sz w:val="24"/>
          <w:highlight w:val="none"/>
        </w:rPr>
        <w:t>保密要求</w:t>
      </w:r>
    </w:p>
    <w:p>
      <w:pPr>
        <w:spacing w:line="360" w:lineRule="auto"/>
        <w:rPr>
          <w:rFonts w:ascii="宋体" w:hAnsi="宋体" w:eastAsia="宋体" w:cs="Times New Roman"/>
          <w:color w:val="auto"/>
          <w:sz w:val="24"/>
          <w:highlight w:val="none"/>
        </w:rPr>
      </w:pPr>
    </w:p>
    <w:p>
      <w:pPr>
        <w:spacing w:line="360" w:lineRule="auto"/>
        <w:ind w:left="570" w:leftChars="-5" w:hanging="580" w:hangingChars="242"/>
        <w:jc w:val="left"/>
        <w:rPr>
          <w:rFonts w:ascii="宋体" w:hAnsi="宋体" w:eastAsia="宋体" w:cs="Times New Roman"/>
          <w:strike w:val="0"/>
          <w:color w:val="auto"/>
          <w:sz w:val="24"/>
          <w:highlight w:val="none"/>
        </w:rPr>
      </w:pPr>
      <w:r>
        <w:rPr>
          <w:rFonts w:ascii="宋体" w:hAnsi="宋体" w:eastAsia="宋体" w:cs="Times New Roman"/>
          <w:strike w:val="0"/>
          <w:color w:val="auto"/>
          <w:sz w:val="24"/>
          <w:highlight w:val="none"/>
        </w:rPr>
        <w:t xml:space="preserve">2.1   </w:t>
      </w:r>
      <w:r>
        <w:rPr>
          <w:rFonts w:hint="eastAsia" w:ascii="宋体" w:hAnsi="宋体" w:eastAsia="宋体" w:cs="Times New Roman"/>
          <w:strike w:val="0"/>
          <w:color w:val="auto"/>
          <w:sz w:val="24"/>
          <w:highlight w:val="none"/>
        </w:rPr>
        <w:t>投标文件必须隐匿投标人及专业技术人员的名称，除了《投标书》（格式见附录</w:t>
      </w:r>
      <w:r>
        <w:rPr>
          <w:rFonts w:ascii="宋体" w:hAnsi="宋体" w:eastAsia="宋体" w:cs="Times New Roman"/>
          <w:strike w:val="0"/>
          <w:color w:val="auto"/>
          <w:sz w:val="24"/>
          <w:highlight w:val="none"/>
        </w:rPr>
        <w:t>6）、</w:t>
      </w:r>
      <w:r>
        <w:rPr>
          <w:rFonts w:hint="eastAsia" w:ascii="宋体" w:hAnsi="宋体" w:eastAsia="宋体" w:cs="Times New Roman"/>
          <w:strike w:val="0"/>
          <w:color w:val="auto"/>
          <w:sz w:val="24"/>
          <w:highlight w:val="none"/>
          <w:u w:val="single"/>
        </w:rPr>
        <w:t>《联合体共同投标协议》</w:t>
      </w:r>
      <w:r>
        <w:rPr>
          <w:rFonts w:hint="eastAsia" w:ascii="宋体" w:hAnsi="宋体" w:eastAsia="宋体" w:cs="Times New Roman"/>
          <w:strike w:val="0"/>
          <w:color w:val="auto"/>
          <w:sz w:val="24"/>
          <w:highlight w:val="none"/>
        </w:rPr>
        <w:t>（格式见附录</w:t>
      </w:r>
      <w:r>
        <w:rPr>
          <w:rFonts w:ascii="宋体" w:hAnsi="宋体" w:eastAsia="宋体" w:cs="Times New Roman"/>
          <w:strike w:val="0"/>
          <w:color w:val="auto"/>
          <w:sz w:val="24"/>
          <w:highlight w:val="none"/>
        </w:rPr>
        <w:t>7）、《投标人声明》（格式见附录8）和资格审查文件</w:t>
      </w:r>
      <w:r>
        <w:rPr>
          <w:rFonts w:ascii="宋体" w:hAnsi="宋体" w:eastAsia="宋体" w:cs="Times New Roman"/>
          <w:strike/>
          <w:dstrike w:val="0"/>
          <w:color w:val="auto"/>
          <w:sz w:val="24"/>
          <w:highlight w:val="none"/>
        </w:rPr>
        <w:t>（如有）</w:t>
      </w:r>
      <w:r>
        <w:rPr>
          <w:rFonts w:ascii="宋体" w:hAnsi="宋体" w:eastAsia="宋体" w:cs="Times New Roman"/>
          <w:strike w:val="0"/>
          <w:color w:val="auto"/>
          <w:sz w:val="24"/>
          <w:highlight w:val="none"/>
        </w:rPr>
        <w:t>、</w:t>
      </w:r>
      <w:r>
        <w:rPr>
          <w:rFonts w:hint="eastAsia" w:ascii="宋体" w:hAnsi="宋体" w:eastAsia="宋体" w:cs="Times New Roman"/>
          <w:strike w:val="0"/>
          <w:color w:val="auto"/>
          <w:sz w:val="24"/>
          <w:highlight w:val="none"/>
          <w:u w:val="single"/>
        </w:rPr>
        <w:t>定标文件</w:t>
      </w:r>
      <w:r>
        <w:rPr>
          <w:rFonts w:hint="eastAsia" w:ascii="宋体" w:hAnsi="宋体" w:eastAsia="宋体" w:cs="Times New Roman"/>
          <w:strike w:val="0"/>
          <w:color w:val="auto"/>
          <w:sz w:val="24"/>
          <w:highlight w:val="none"/>
        </w:rPr>
        <w:t>外，投标人不得在设计方案上标注或做任何可以辨认投标人及专业技术人员身份的名称、印章、商标、图形等。</w:t>
      </w:r>
    </w:p>
    <w:p>
      <w:pPr>
        <w:spacing w:line="360" w:lineRule="auto"/>
        <w:ind w:left="410" w:hanging="410" w:hangingChars="171"/>
        <w:rPr>
          <w:rFonts w:ascii="宋体" w:hAnsi="宋体" w:eastAsia="宋体" w:cs="Times New Roman"/>
          <w:color w:val="auto"/>
          <w:sz w:val="24"/>
          <w:highlight w:val="none"/>
        </w:rPr>
      </w:pPr>
    </w:p>
    <w:p>
      <w:pPr>
        <w:spacing w:line="360" w:lineRule="auto"/>
        <w:jc w:val="left"/>
        <w:rPr>
          <w:rFonts w:ascii="宋体" w:hAnsi="宋体" w:eastAsia="宋体" w:cs="Times New Roman"/>
          <w:b/>
          <w:bCs/>
          <w:strike/>
          <w:dstrike w:val="0"/>
          <w:color w:val="auto"/>
          <w:sz w:val="24"/>
          <w:highlight w:val="none"/>
        </w:rPr>
      </w:pPr>
      <w:r>
        <w:rPr>
          <w:rFonts w:ascii="宋体" w:hAnsi="宋体" w:eastAsia="宋体" w:cs="Times New Roman"/>
          <w:b/>
          <w:bCs/>
          <w:strike/>
          <w:dstrike w:val="0"/>
          <w:color w:val="auto"/>
          <w:sz w:val="24"/>
          <w:highlight w:val="none"/>
        </w:rPr>
        <w:t xml:space="preserve">3      </w:t>
      </w:r>
      <w:r>
        <w:rPr>
          <w:rFonts w:hint="eastAsia" w:ascii="宋体" w:hAnsi="宋体" w:eastAsia="宋体" w:cs="Times New Roman"/>
          <w:b/>
          <w:bCs/>
          <w:strike/>
          <w:dstrike w:val="0"/>
          <w:color w:val="auto"/>
          <w:sz w:val="24"/>
          <w:highlight w:val="none"/>
        </w:rPr>
        <w:t>开标信封</w:t>
      </w:r>
    </w:p>
    <w:p>
      <w:pPr>
        <w:spacing w:line="360" w:lineRule="auto"/>
        <w:rPr>
          <w:rFonts w:ascii="宋体" w:hAnsi="宋体" w:eastAsia="宋体" w:cs="Times New Roman"/>
          <w:strike/>
          <w:dstrike w:val="0"/>
          <w:color w:val="auto"/>
          <w:sz w:val="24"/>
          <w:highlight w:val="none"/>
        </w:rPr>
      </w:pPr>
    </w:p>
    <w:p>
      <w:pPr>
        <w:spacing w:line="360" w:lineRule="auto"/>
        <w:ind w:left="821" w:hanging="820" w:hangingChars="342"/>
        <w:rPr>
          <w:rFonts w:ascii="宋体" w:hAnsi="宋体" w:eastAsia="宋体" w:cs="Times New Roman"/>
          <w:strike/>
          <w:dstrike w:val="0"/>
          <w:color w:val="auto"/>
          <w:sz w:val="24"/>
          <w:highlight w:val="none"/>
        </w:rPr>
      </w:pPr>
      <w:r>
        <w:rPr>
          <w:rFonts w:ascii="宋体" w:hAnsi="宋体" w:eastAsia="宋体" w:cs="Times New Roman"/>
          <w:strike/>
          <w:dstrike w:val="0"/>
          <w:color w:val="auto"/>
          <w:sz w:val="24"/>
          <w:highlight w:val="none"/>
        </w:rPr>
        <w:t xml:space="preserve">3.1    </w:t>
      </w:r>
      <w:r>
        <w:rPr>
          <w:rFonts w:hint="eastAsia" w:ascii="宋体" w:hAnsi="宋体" w:eastAsia="宋体" w:cs="Times New Roman"/>
          <w:strike/>
          <w:dstrike w:val="0"/>
          <w:color w:val="auto"/>
          <w:sz w:val="24"/>
          <w:highlight w:val="none"/>
        </w:rPr>
        <w:t>开标信封内附填妥并签字盖章的《投标书》（格式见附录</w:t>
      </w:r>
      <w:r>
        <w:rPr>
          <w:rFonts w:ascii="宋体" w:hAnsi="宋体" w:eastAsia="宋体" w:cs="Times New Roman"/>
          <w:strike/>
          <w:dstrike w:val="0"/>
          <w:color w:val="auto"/>
          <w:sz w:val="24"/>
          <w:highlight w:val="none"/>
        </w:rPr>
        <w:t>6），联合体同时附填妥并签字盖章的</w:t>
      </w:r>
      <w:r>
        <w:rPr>
          <w:rFonts w:hint="eastAsia" w:ascii="宋体" w:hAnsi="宋体" w:eastAsia="宋体" w:cs="Times New Roman"/>
          <w:strike/>
          <w:dstrike w:val="0"/>
          <w:color w:val="auto"/>
          <w:sz w:val="24"/>
          <w:highlight w:val="none"/>
          <w:u w:val="single"/>
        </w:rPr>
        <w:t>《联合体共同投标协议》</w:t>
      </w:r>
      <w:r>
        <w:rPr>
          <w:rFonts w:hint="eastAsia" w:ascii="宋体" w:hAnsi="宋体" w:eastAsia="宋体" w:cs="Times New Roman"/>
          <w:strike/>
          <w:dstrike w:val="0"/>
          <w:color w:val="auto"/>
          <w:sz w:val="24"/>
          <w:highlight w:val="none"/>
        </w:rPr>
        <w:t>（格式见附录</w:t>
      </w:r>
      <w:r>
        <w:rPr>
          <w:rFonts w:ascii="宋体" w:hAnsi="宋体" w:eastAsia="宋体" w:cs="Times New Roman"/>
          <w:strike/>
          <w:dstrike w:val="0"/>
          <w:color w:val="auto"/>
          <w:sz w:val="24"/>
          <w:highlight w:val="none"/>
        </w:rPr>
        <w:t>7）。未设资格审查环节的项目，还应提供填妥并盖章的《投标人声明》（格式见附录8</w:t>
      </w:r>
      <w:r>
        <w:rPr>
          <w:rFonts w:hint="eastAsia" w:ascii="宋体" w:hAnsi="宋体" w:eastAsia="宋体" w:cs="Times New Roman"/>
          <w:strike/>
          <w:dstrike w:val="0"/>
          <w:color w:val="auto"/>
          <w:sz w:val="24"/>
          <w:highlight w:val="none"/>
        </w:rPr>
        <w:t>）。</w:t>
      </w:r>
    </w:p>
    <w:p>
      <w:pPr>
        <w:spacing w:line="360" w:lineRule="auto"/>
        <w:rPr>
          <w:rFonts w:ascii="宋体" w:hAnsi="宋体" w:eastAsia="宋体" w:cs="Times New Roman"/>
          <w:color w:val="auto"/>
          <w:sz w:val="24"/>
          <w:highlight w:val="none"/>
        </w:rPr>
      </w:pPr>
    </w:p>
    <w:p>
      <w:pPr>
        <w:keepNext w:val="0"/>
        <w:keepLines w:val="0"/>
        <w:widowControl w:val="0"/>
        <w:suppressLineNumbers w:val="0"/>
        <w:spacing w:before="0" w:beforeAutospacing="0" w:after="0" w:afterAutospacing="0" w:line="360" w:lineRule="auto"/>
        <w:ind w:left="0" w:right="0" w:hanging="964" w:hangingChars="400"/>
        <w:jc w:val="both"/>
        <w:rPr>
          <w:rFonts w:hint="eastAsia" w:ascii="宋体" w:hAnsi="宋体" w:eastAsia="宋体" w:cs="Times New Roman"/>
          <w:b/>
          <w:bCs/>
          <w:strike w:val="0"/>
          <w:dstrike w:val="0"/>
          <w:color w:val="auto"/>
          <w:sz w:val="24"/>
          <w:highlight w:val="none"/>
          <w:u w:val="single"/>
        </w:rPr>
      </w:pPr>
      <w:r>
        <w:rPr>
          <w:rFonts w:ascii="宋体" w:hAnsi="宋体" w:eastAsia="宋体" w:cs="Times New Roman"/>
          <w:b/>
          <w:color w:val="auto"/>
          <w:sz w:val="24"/>
          <w:highlight w:val="none"/>
        </w:rPr>
        <w:t xml:space="preserve">4      </w:t>
      </w:r>
      <w:r>
        <w:rPr>
          <w:rFonts w:hint="eastAsia" w:ascii="宋体" w:hAnsi="宋体" w:eastAsia="宋体" w:cs="Times New Roman"/>
          <w:b/>
          <w:bCs/>
          <w:strike w:val="0"/>
          <w:dstrike w:val="0"/>
          <w:color w:val="auto"/>
          <w:sz w:val="24"/>
          <w:highlight w:val="none"/>
        </w:rPr>
        <w:t>设计方案</w:t>
      </w:r>
      <w:r>
        <w:rPr>
          <w:rFonts w:hint="eastAsia" w:ascii="宋体" w:hAnsi="宋体" w:eastAsia="宋体" w:cs="Times New Roman"/>
          <w:b/>
          <w:bCs/>
          <w:strike w:val="0"/>
          <w:dstrike w:val="0"/>
          <w:color w:val="auto"/>
          <w:sz w:val="24"/>
          <w:highlight w:val="none"/>
          <w:u w:val="single"/>
        </w:rPr>
        <w:t>（暗标，不得标注或做任何可以辨认投标人及专业技术人员身份的名称、印章、商标、图形等），其包含：设计方案电子文件（上传交易平台网站）、展示文件（展板）、</w:t>
      </w:r>
      <w:r>
        <w:rPr>
          <w:rFonts w:hint="default" w:ascii="宋体" w:hAnsi="宋体" w:eastAsia="宋体" w:cs="Times New Roman"/>
          <w:b/>
          <w:bCs/>
          <w:strike w:val="0"/>
          <w:dstrike w:val="0"/>
          <w:color w:val="auto"/>
          <w:sz w:val="24"/>
          <w:highlight w:val="none"/>
          <w:u w:val="single"/>
        </w:rPr>
        <w:t>展示</w:t>
      </w:r>
      <w:r>
        <w:rPr>
          <w:rFonts w:hint="eastAsia" w:ascii="宋体" w:hAnsi="宋体" w:eastAsia="宋体" w:cs="Times New Roman"/>
          <w:b/>
          <w:bCs/>
          <w:strike w:val="0"/>
          <w:dstrike w:val="0"/>
          <w:color w:val="auto"/>
          <w:sz w:val="24"/>
          <w:highlight w:val="none"/>
          <w:u w:val="single"/>
        </w:rPr>
        <w:t>模型、多媒体演示文件（以光盘或者U盘为媒介）、设计方案文本</w:t>
      </w:r>
    </w:p>
    <w:p>
      <w:pPr>
        <w:widowControl w:val="0"/>
        <w:spacing w:line="360" w:lineRule="auto"/>
        <w:ind w:firstLine="0" w:firstLineChars="0"/>
        <w:jc w:val="both"/>
        <w:rPr>
          <w:rFonts w:ascii="宋体" w:hAnsi="宋体" w:eastAsia="宋体" w:cs="Times New Roman"/>
          <w:color w:val="auto"/>
          <w:kern w:val="0"/>
          <w:sz w:val="24"/>
          <w:szCs w:val="24"/>
          <w:highlight w:val="none"/>
          <w:lang w:val="en-US" w:eastAsia="zh-CN" w:bidi="ar-SA"/>
        </w:rPr>
      </w:pPr>
    </w:p>
    <w:p>
      <w:pPr>
        <w:widowControl w:val="0"/>
        <w:spacing w:line="360" w:lineRule="auto"/>
        <w:ind w:firstLine="0" w:firstLineChars="0"/>
        <w:jc w:val="both"/>
        <w:rPr>
          <w:rFonts w:ascii="宋体" w:hAnsi="宋体" w:eastAsia="宋体" w:cs="Times New Roman"/>
          <w:color w:val="auto"/>
          <w:kern w:val="0"/>
          <w:sz w:val="24"/>
          <w:szCs w:val="24"/>
          <w:highlight w:val="none"/>
          <w:lang w:val="en-US" w:eastAsia="zh-CN" w:bidi="ar-SA"/>
        </w:rPr>
      </w:pPr>
      <w:r>
        <w:rPr>
          <w:rFonts w:ascii="宋体" w:hAnsi="宋体" w:eastAsia="宋体" w:cs="Times New Roman"/>
          <w:color w:val="auto"/>
          <w:kern w:val="0"/>
          <w:sz w:val="24"/>
          <w:szCs w:val="24"/>
          <w:highlight w:val="none"/>
          <w:lang w:val="en-US" w:eastAsia="zh-CN" w:bidi="ar-SA"/>
        </w:rPr>
        <w:t xml:space="preserve">4.1    </w:t>
      </w:r>
      <w:r>
        <w:rPr>
          <w:rFonts w:hint="eastAsia" w:ascii="宋体" w:hAnsi="宋体" w:eastAsia="宋体" w:cs="Times New Roman"/>
          <w:color w:val="auto"/>
          <w:kern w:val="0"/>
          <w:sz w:val="24"/>
          <w:szCs w:val="24"/>
          <w:highlight w:val="none"/>
          <w:lang w:val="en-US" w:eastAsia="zh-CN" w:bidi="ar-SA"/>
        </w:rPr>
        <w:t>设计方案内容（文件</w:t>
      </w:r>
      <w:r>
        <w:rPr>
          <w:rFonts w:ascii="宋体" w:hAnsi="宋体" w:eastAsia="宋体" w:cs="Times New Roman"/>
          <w:color w:val="auto"/>
          <w:kern w:val="0"/>
          <w:sz w:val="24"/>
          <w:szCs w:val="24"/>
          <w:highlight w:val="none"/>
          <w:lang w:val="en-US" w:eastAsia="zh-CN" w:bidi="ar-SA"/>
        </w:rPr>
        <w:t>大小不得超过500M）：</w:t>
      </w:r>
    </w:p>
    <w:p>
      <w:pPr>
        <w:widowControl w:val="0"/>
        <w:spacing w:line="360" w:lineRule="auto"/>
        <w:ind w:firstLine="0" w:firstLineChars="0"/>
        <w:jc w:val="both"/>
        <w:rPr>
          <w:rFonts w:ascii="宋体" w:hAnsi="宋体" w:eastAsia="宋体" w:cs="Times New Roman"/>
          <w:color w:val="auto"/>
          <w:kern w:val="0"/>
          <w:sz w:val="24"/>
          <w:szCs w:val="24"/>
          <w:highlight w:val="none"/>
          <w:lang w:val="en-US" w:eastAsia="zh-CN" w:bidi="ar-SA"/>
        </w:rPr>
      </w:pPr>
      <w:r>
        <w:rPr>
          <w:rFonts w:ascii="宋体" w:hAnsi="宋体" w:eastAsia="宋体" w:cs="Times New Roman"/>
          <w:color w:val="auto"/>
          <w:kern w:val="0"/>
          <w:sz w:val="24"/>
          <w:szCs w:val="24"/>
          <w:highlight w:val="none"/>
          <w:lang w:val="en-US" w:eastAsia="zh-CN" w:bidi="ar-SA"/>
        </w:rPr>
        <w:t xml:space="preserve">   </w:t>
      </w:r>
      <w:r>
        <w:rPr>
          <w:rFonts w:ascii="宋体" w:hAnsi="宋体" w:eastAsia="宋体" w:cs="Times New Roman"/>
          <w:color w:val="auto"/>
          <w:kern w:val="0"/>
          <w:sz w:val="24"/>
          <w:szCs w:val="20"/>
          <w:highlight w:val="none"/>
          <w:lang w:val="en-US" w:eastAsia="zh-CN" w:bidi="ar-SA"/>
        </w:rPr>
        <w:t>(a)封面：写明项目名称、</w:t>
      </w:r>
      <w:bookmarkStart w:id="30" w:name="OLE_LINK26"/>
      <w:r>
        <w:rPr>
          <w:rFonts w:ascii="宋体" w:hAnsi="宋体" w:eastAsia="宋体" w:cs="Times New Roman"/>
          <w:color w:val="auto"/>
          <w:kern w:val="0"/>
          <w:sz w:val="24"/>
          <w:szCs w:val="20"/>
          <w:highlight w:val="none"/>
          <w:lang w:val="en-US" w:eastAsia="zh-CN" w:bidi="ar-SA"/>
        </w:rPr>
        <w:t>设计作品主题</w:t>
      </w:r>
      <w:bookmarkEnd w:id="30"/>
      <w:r>
        <w:rPr>
          <w:rFonts w:ascii="宋体" w:hAnsi="宋体" w:eastAsia="宋体" w:cs="Times New Roman"/>
          <w:color w:val="auto"/>
          <w:kern w:val="0"/>
          <w:sz w:val="24"/>
          <w:szCs w:val="20"/>
          <w:highlight w:val="none"/>
          <w:lang w:val="en-US" w:eastAsia="zh-CN" w:bidi="ar-SA"/>
        </w:rPr>
        <w:t>（不宜超过20个字）、编制年月。</w:t>
      </w:r>
    </w:p>
    <w:p>
      <w:pPr>
        <w:widowControl w:val="0"/>
        <w:spacing w:line="360" w:lineRule="auto"/>
        <w:ind w:firstLine="0" w:firstLineChars="0"/>
        <w:jc w:val="both"/>
        <w:rPr>
          <w:rFonts w:ascii="宋体" w:hAnsi="宋体" w:eastAsia="宋体" w:cs="Times New Roman"/>
          <w:color w:val="auto"/>
          <w:kern w:val="0"/>
          <w:sz w:val="24"/>
          <w:szCs w:val="24"/>
          <w:highlight w:val="none"/>
          <w:lang w:val="en-US" w:eastAsia="zh-CN" w:bidi="ar-SA"/>
        </w:rPr>
      </w:pPr>
      <w:r>
        <w:rPr>
          <w:rFonts w:ascii="宋体" w:hAnsi="宋体" w:eastAsia="宋体" w:cs="Times New Roman"/>
          <w:color w:val="auto"/>
          <w:kern w:val="0"/>
          <w:sz w:val="24"/>
          <w:szCs w:val="24"/>
          <w:highlight w:val="none"/>
          <w:lang w:val="en-US" w:eastAsia="zh-CN" w:bidi="ar-SA"/>
        </w:rPr>
        <w:t xml:space="preserve">   (b) 目录；</w:t>
      </w:r>
    </w:p>
    <w:p>
      <w:pPr>
        <w:keepNext w:val="0"/>
        <w:keepLines w:val="0"/>
        <w:widowControl w:val="0"/>
        <w:suppressLineNumbers w:val="0"/>
        <w:spacing w:before="0" w:beforeAutospacing="0" w:after="0" w:afterAutospacing="0" w:line="360" w:lineRule="auto"/>
        <w:ind w:left="0" w:right="0" w:firstLine="360" w:firstLineChars="15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(c)勘察设计文件：</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kern w:val="2"/>
          <w:sz w:val="24"/>
          <w:szCs w:val="24"/>
          <w:highlight w:val="none"/>
          <w:lang w:val="en-US" w:eastAsia="zh-CN" w:bidi="ar"/>
        </w:rPr>
        <w:t>设计说明书：</w:t>
      </w:r>
      <w:r>
        <w:rPr>
          <w:rFonts w:hint="eastAsia" w:hAnsi="宋体"/>
          <w:color w:val="auto"/>
          <w:sz w:val="24"/>
          <w:highlight w:val="none"/>
          <w:u w:val="single"/>
        </w:rPr>
        <w:t>项目概况；现状及存在问题的分析；</w:t>
      </w:r>
      <w:r>
        <w:rPr>
          <w:rFonts w:hint="eastAsia" w:ascii="宋体" w:hAnsi="宋体" w:eastAsia="宋体" w:cs="宋体"/>
          <w:color w:val="auto"/>
          <w:kern w:val="2"/>
          <w:sz w:val="24"/>
          <w:szCs w:val="24"/>
          <w:highlight w:val="none"/>
          <w:u w:val="single"/>
          <w:lang w:val="en-US" w:eastAsia="zh-CN" w:bidi="ar"/>
        </w:rPr>
        <w:t>方案设计理念及推导；</w:t>
      </w:r>
      <w:r>
        <w:rPr>
          <w:rFonts w:hint="eastAsia" w:hAnsi="宋体"/>
          <w:color w:val="auto"/>
          <w:sz w:val="24"/>
          <w:highlight w:val="none"/>
          <w:u w:val="single"/>
        </w:rPr>
        <w:t>设计总说明；</w:t>
      </w:r>
      <w:r>
        <w:rPr>
          <w:rFonts w:hint="eastAsia" w:hAnsi="宋体"/>
          <w:color w:val="auto"/>
          <w:sz w:val="24"/>
          <w:highlight w:val="none"/>
          <w:u w:val="single"/>
          <w:lang w:val="en-US" w:eastAsia="zh-CN"/>
        </w:rPr>
        <w:t>相关技术重点难点说明；</w:t>
      </w:r>
      <w:r>
        <w:rPr>
          <w:rFonts w:hint="eastAsia" w:hAnsi="宋体"/>
          <w:color w:val="auto"/>
          <w:sz w:val="24"/>
          <w:highlight w:val="none"/>
          <w:u w:val="single"/>
        </w:rPr>
        <w:t>分区总控管理策划说明；BIM技术正向设计说明；其他必要说明（含绿色建筑和节能专篇、海绵城市专篇、</w:t>
      </w:r>
      <w:r>
        <w:rPr>
          <w:rFonts w:hint="eastAsia" w:hAnsi="宋体"/>
          <w:strike w:val="0"/>
          <w:color w:val="auto"/>
          <w:sz w:val="24"/>
          <w:highlight w:val="none"/>
          <w:u w:val="single"/>
        </w:rPr>
        <w:t>古树名木及大树保护专篇、历史文化风貌保护专篇、</w:t>
      </w:r>
      <w:r>
        <w:rPr>
          <w:rFonts w:hint="eastAsia" w:hAnsi="宋体"/>
          <w:color w:val="auto"/>
          <w:sz w:val="24"/>
          <w:highlight w:val="none"/>
          <w:u w:val="single"/>
        </w:rPr>
        <w:t>防范大规模拆建专篇）；投资估算等。</w:t>
      </w:r>
      <w:r>
        <w:rPr>
          <w:rFonts w:hint="eastAsia" w:hAnsi="宋体"/>
          <w:color w:val="auto"/>
          <w:sz w:val="24"/>
          <w:highlight w:val="none"/>
          <w:u w:val="single"/>
          <w:lang w:val="en-US" w:eastAsia="zh-CN"/>
        </w:rPr>
        <w:t>要求</w:t>
      </w:r>
      <w:r>
        <w:rPr>
          <w:rFonts w:hint="eastAsia" w:hAnsi="宋体"/>
          <w:color w:val="auto"/>
          <w:sz w:val="24"/>
          <w:highlight w:val="none"/>
          <w:u w:val="single"/>
        </w:rPr>
        <w:t>清晰职责；明确工作内容</w:t>
      </w:r>
      <w:r>
        <w:rPr>
          <w:rFonts w:hint="eastAsia" w:ascii="宋体" w:hAnsi="宋体" w:eastAsia="宋体" w:cs="宋体"/>
          <w:color w:val="auto"/>
          <w:kern w:val="2"/>
          <w:sz w:val="24"/>
          <w:szCs w:val="24"/>
          <w:highlight w:val="none"/>
          <w:u w:val="single"/>
          <w:lang w:val="en-US" w:eastAsia="zh-CN" w:bidi="ar"/>
        </w:rPr>
        <w:t>。</w:t>
      </w:r>
    </w:p>
    <w:p>
      <w:pPr>
        <w:spacing w:line="360" w:lineRule="auto"/>
        <w:ind w:firstLine="482"/>
        <w:rPr>
          <w:rFonts w:ascii="宋体" w:hAnsi="宋体"/>
          <w:color w:val="auto"/>
          <w:sz w:val="24"/>
          <w:szCs w:val="24"/>
          <w:highlight w:val="none"/>
        </w:rPr>
      </w:pPr>
      <w:r>
        <w:rPr>
          <w:rFonts w:ascii="宋体" w:hAnsi="宋体"/>
          <w:color w:val="auto"/>
          <w:sz w:val="24"/>
          <w:szCs w:val="24"/>
          <w:highlight w:val="none"/>
        </w:rPr>
        <w:t>体现建筑的设计理念和构思、设计手法、方案特点亮点，建筑外形，功能分区，各功能分区之间的空间组织，与周边</w:t>
      </w:r>
      <w:r>
        <w:rPr>
          <w:rFonts w:ascii="宋体" w:hAnsi="宋体"/>
          <w:strike w:val="0"/>
          <w:color w:val="auto"/>
          <w:sz w:val="24"/>
          <w:szCs w:val="24"/>
          <w:highlight w:val="none"/>
        </w:rPr>
        <w:t>建筑、</w:t>
      </w:r>
      <w:r>
        <w:rPr>
          <w:rFonts w:ascii="宋体" w:hAnsi="宋体"/>
          <w:color w:val="auto"/>
          <w:sz w:val="24"/>
          <w:szCs w:val="24"/>
          <w:highlight w:val="none"/>
        </w:rPr>
        <w:t>景观的协调，主要材料的选择以及对消防、环保、卫生、公共配套等方面的考虑和要求等。</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spacing w:val="-6"/>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(d) </w:t>
      </w:r>
      <w:r>
        <w:rPr>
          <w:rFonts w:hint="eastAsia" w:ascii="宋体" w:hAnsi="宋体" w:eastAsia="宋体" w:cs="宋体"/>
          <w:color w:val="auto"/>
          <w:spacing w:val="-6"/>
          <w:kern w:val="2"/>
          <w:sz w:val="24"/>
          <w:szCs w:val="24"/>
          <w:highlight w:val="none"/>
          <w:lang w:val="en-US" w:eastAsia="zh-CN" w:bidi="ar"/>
        </w:rPr>
        <w:t>设计方案及图纸包括且不限于以下内容：（设计图纸应充分考虑可实施性）。</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建筑方案设计</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2"/>
          <w:sz w:val="24"/>
          <w:szCs w:val="24"/>
          <w:highlight w:val="none"/>
        </w:rPr>
      </w:pPr>
      <w:bookmarkStart w:id="31" w:name="OLE_LINK28"/>
      <w:r>
        <w:rPr>
          <w:rFonts w:hint="eastAsia" w:ascii="宋体" w:hAnsi="宋体" w:eastAsia="宋体" w:cs="宋体"/>
          <w:color w:val="auto"/>
          <w:kern w:val="2"/>
          <w:sz w:val="24"/>
          <w:szCs w:val="24"/>
          <w:highlight w:val="none"/>
          <w:lang w:val="en-US" w:eastAsia="zh-CN" w:bidi="ar"/>
        </w:rPr>
        <w:t>——总平面设计图</w:t>
      </w:r>
      <w:r>
        <w:rPr>
          <w:rFonts w:hint="eastAsia" w:ascii="宋体" w:hAnsi="宋体"/>
          <w:color w:val="auto"/>
          <w:sz w:val="24"/>
          <w:szCs w:val="24"/>
          <w:highlight w:val="none"/>
        </w:rPr>
        <w:t>（不少于</w:t>
      </w:r>
      <w:r>
        <w:rPr>
          <w:rFonts w:ascii="宋体" w:hAnsi="宋体"/>
          <w:color w:val="auto"/>
          <w:sz w:val="24"/>
          <w:szCs w:val="24"/>
          <w:highlight w:val="none"/>
        </w:rPr>
        <w:t>6张效果渲染图）</w:t>
      </w:r>
      <w:r>
        <w:rPr>
          <w:rFonts w:hint="eastAsia" w:ascii="宋体" w:hAnsi="宋体" w:eastAsia="宋体" w:cs="宋体"/>
          <w:color w:val="auto"/>
          <w:kern w:val="2"/>
          <w:sz w:val="24"/>
          <w:szCs w:val="24"/>
          <w:highlight w:val="none"/>
          <w:lang w:val="en-US" w:eastAsia="zh-CN" w:bidi="ar"/>
        </w:rPr>
        <w:t>；</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ascii="宋体" w:hAnsi="宋体"/>
          <w:color w:val="auto"/>
          <w:sz w:val="24"/>
          <w:szCs w:val="24"/>
          <w:highlight w:val="none"/>
        </w:rPr>
        <w:t>项目总平面图（包含容积率、建筑高度等总体规划技术经济指标表）</w:t>
      </w:r>
      <w:r>
        <w:rPr>
          <w:rFonts w:hint="eastAsia" w:ascii="宋体" w:hAnsi="宋体" w:eastAsia="宋体" w:cs="宋体"/>
          <w:color w:val="auto"/>
          <w:kern w:val="2"/>
          <w:sz w:val="24"/>
          <w:szCs w:val="24"/>
          <w:highlight w:val="none"/>
          <w:lang w:val="en-US" w:eastAsia="zh-CN" w:bidi="ar"/>
        </w:rPr>
        <w:t>；</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2"/>
          <w:sz w:val="24"/>
          <w:szCs w:val="24"/>
          <w:highlight w:val="none"/>
        </w:rPr>
      </w:pPr>
      <w:bookmarkStart w:id="32" w:name="OLE_LINK27"/>
      <w:r>
        <w:rPr>
          <w:rFonts w:hint="eastAsia" w:ascii="宋体" w:hAnsi="宋体" w:eastAsia="宋体" w:cs="宋体"/>
          <w:color w:val="auto"/>
          <w:kern w:val="2"/>
          <w:sz w:val="24"/>
          <w:szCs w:val="24"/>
          <w:highlight w:val="none"/>
          <w:lang w:val="en-US" w:eastAsia="zh-CN" w:bidi="ar"/>
        </w:rPr>
        <w:t>——</w:t>
      </w:r>
      <w:r>
        <w:rPr>
          <w:rFonts w:hint="eastAsia" w:ascii="宋体" w:hAnsi="宋体"/>
          <w:color w:val="auto"/>
          <w:sz w:val="24"/>
          <w:szCs w:val="24"/>
          <w:highlight w:val="none"/>
        </w:rPr>
        <w:t>整体鸟瞰图</w:t>
      </w:r>
      <w:r>
        <w:rPr>
          <w:rFonts w:hint="eastAsia" w:ascii="宋体" w:hAnsi="宋体" w:eastAsia="宋体" w:cs="宋体"/>
          <w:color w:val="auto"/>
          <w:kern w:val="2"/>
          <w:sz w:val="24"/>
          <w:szCs w:val="24"/>
          <w:highlight w:val="none"/>
          <w:lang w:val="en-US" w:eastAsia="zh-CN" w:bidi="ar"/>
        </w:rPr>
        <w:t>；</w:t>
      </w:r>
    </w:p>
    <w:bookmarkEnd w:id="32"/>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eastAsia" w:ascii="宋体" w:hAnsi="宋体"/>
          <w:color w:val="auto"/>
          <w:sz w:val="24"/>
          <w:szCs w:val="24"/>
          <w:highlight w:val="none"/>
        </w:rPr>
        <w:t>总体建筑平面顶视图</w:t>
      </w:r>
      <w:r>
        <w:rPr>
          <w:rFonts w:hint="eastAsia" w:ascii="宋体" w:hAnsi="宋体" w:eastAsia="宋体" w:cs="宋体"/>
          <w:color w:val="auto"/>
          <w:kern w:val="2"/>
          <w:sz w:val="24"/>
          <w:szCs w:val="24"/>
          <w:highlight w:val="none"/>
          <w:lang w:val="en-US" w:eastAsia="zh-CN" w:bidi="ar"/>
        </w:rPr>
        <w:t>；</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eastAsia" w:ascii="宋体" w:hAnsi="宋体"/>
          <w:color w:val="auto"/>
          <w:sz w:val="24"/>
          <w:szCs w:val="24"/>
          <w:highlight w:val="none"/>
        </w:rPr>
        <w:t>总图分析图有且不限于以下内容：规划功能分区图、人行和车行交通流线图、停车规划布置图、总图消防设计、总图竖向设计、地下空间范围及功能等</w:t>
      </w:r>
      <w:r>
        <w:rPr>
          <w:rFonts w:hint="eastAsia" w:ascii="宋体" w:hAnsi="宋体" w:eastAsia="宋体" w:cs="宋体"/>
          <w:color w:val="auto"/>
          <w:kern w:val="2"/>
          <w:sz w:val="24"/>
          <w:szCs w:val="24"/>
          <w:highlight w:val="none"/>
          <w:lang w:val="en-US" w:eastAsia="zh-CN" w:bidi="ar"/>
        </w:rPr>
        <w:t>；</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eastAsia" w:ascii="宋体" w:hAnsi="宋体"/>
          <w:color w:val="auto"/>
          <w:sz w:val="24"/>
          <w:szCs w:val="24"/>
          <w:highlight w:val="none"/>
        </w:rPr>
        <w:t>景观概念设计专篇。需明确室外开放空间营造路径，对重点景观空间设计，结合周边景观进行提升设计等</w:t>
      </w:r>
      <w:r>
        <w:rPr>
          <w:rFonts w:hint="eastAsia" w:ascii="宋体" w:hAnsi="宋体" w:eastAsia="宋体" w:cs="宋体"/>
          <w:color w:val="auto"/>
          <w:kern w:val="2"/>
          <w:sz w:val="24"/>
          <w:szCs w:val="24"/>
          <w:highlight w:val="none"/>
          <w:lang w:val="en-US" w:eastAsia="zh-CN" w:bidi="ar"/>
        </w:rPr>
        <w:t>；</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ascii="宋体" w:hAnsi="宋体"/>
          <w:color w:val="auto"/>
          <w:sz w:val="24"/>
          <w:szCs w:val="24"/>
          <w:highlight w:val="none"/>
        </w:rPr>
        <w:t>其他相关设计理念表达的图纸</w:t>
      </w:r>
      <w:r>
        <w:rPr>
          <w:rFonts w:hint="eastAsia" w:ascii="宋体" w:hAnsi="宋体" w:eastAsia="宋体" w:cs="宋体"/>
          <w:color w:val="auto"/>
          <w:kern w:val="2"/>
          <w:sz w:val="24"/>
          <w:szCs w:val="24"/>
          <w:highlight w:val="none"/>
          <w:lang w:val="en-US" w:eastAsia="zh-CN" w:bidi="ar"/>
        </w:rPr>
        <w:t>；</w:t>
      </w:r>
    </w:p>
    <w:bookmarkEnd w:id="31"/>
    <w:p>
      <w:pPr>
        <w:keepNext w:val="0"/>
        <w:keepLines w:val="0"/>
        <w:widowControl w:val="0"/>
        <w:suppressLineNumbers w:val="0"/>
        <w:spacing w:before="0" w:beforeAutospacing="0" w:after="0" w:afterAutospacing="0" w:line="360" w:lineRule="auto"/>
        <w:ind w:left="0" w:right="0"/>
        <w:jc w:val="both"/>
        <w:rPr>
          <w:rFonts w:hint="eastAsia" w:ascii="宋体" w:hAnsi="宋体"/>
          <w:color w:val="auto"/>
          <w:sz w:val="24"/>
          <w:szCs w:val="24"/>
          <w:highlight w:val="none"/>
        </w:rPr>
      </w:pPr>
      <w:r>
        <w:rPr>
          <w:rFonts w:hint="eastAsia" w:ascii="宋体" w:hAnsi="宋体" w:eastAsia="宋体" w:cs="Times New Roman"/>
          <w:color w:val="auto"/>
          <w:kern w:val="2"/>
          <w:sz w:val="24"/>
          <w:szCs w:val="24"/>
          <w:highlight w:val="none"/>
          <w:lang w:val="en-US" w:eastAsia="zh-CN" w:bidi="ar"/>
        </w:rPr>
        <w:t xml:space="preserve">    2）</w:t>
      </w:r>
      <w:r>
        <w:rPr>
          <w:rFonts w:hint="eastAsia" w:ascii="宋体" w:hAnsi="宋体"/>
          <w:color w:val="auto"/>
          <w:sz w:val="24"/>
          <w:szCs w:val="24"/>
          <w:highlight w:val="none"/>
        </w:rPr>
        <w:t>建筑设计</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——建筑立面、实景效果融入图、泛光照明效果、重要节点透视图、主要室内空间等效果图总计不少于8张；</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ascii="宋体" w:hAnsi="宋体"/>
          <w:color w:val="auto"/>
          <w:sz w:val="24"/>
          <w:szCs w:val="24"/>
          <w:highlight w:val="none"/>
        </w:rPr>
        <w:t>交通流线分析图：包括机动车、消防等流线规划，停车场（库）界线及出入口布局</w:t>
      </w:r>
      <w:r>
        <w:rPr>
          <w:rFonts w:hint="eastAsia" w:ascii="宋体" w:hAnsi="宋体" w:eastAsia="宋体" w:cs="宋体"/>
          <w:color w:val="auto"/>
          <w:kern w:val="2"/>
          <w:sz w:val="24"/>
          <w:szCs w:val="24"/>
          <w:highlight w:val="none"/>
          <w:lang w:val="en-US" w:eastAsia="zh-CN" w:bidi="ar"/>
        </w:rPr>
        <w:t>；</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ascii="宋体" w:hAnsi="宋体"/>
          <w:color w:val="auto"/>
          <w:sz w:val="24"/>
          <w:szCs w:val="24"/>
          <w:highlight w:val="none"/>
        </w:rPr>
        <w:t>立体步行系统分析图：包括地下、地面、与周边建筑等多层次的人行流线以及垂直转换点分布</w:t>
      </w:r>
      <w:r>
        <w:rPr>
          <w:rFonts w:hint="eastAsia" w:ascii="宋体" w:hAnsi="宋体" w:eastAsia="宋体" w:cs="宋体"/>
          <w:color w:val="auto"/>
          <w:kern w:val="2"/>
          <w:sz w:val="24"/>
          <w:szCs w:val="24"/>
          <w:highlight w:val="none"/>
          <w:lang w:val="en-US" w:eastAsia="zh-CN" w:bidi="ar"/>
        </w:rPr>
        <w:t>；</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eastAsia" w:ascii="宋体" w:hAnsi="宋体"/>
          <w:color w:val="auto"/>
          <w:sz w:val="24"/>
          <w:szCs w:val="24"/>
          <w:highlight w:val="none"/>
        </w:rPr>
        <w:t>建筑平面图：</w:t>
      </w:r>
      <w:r>
        <w:rPr>
          <w:rFonts w:hint="eastAsia" w:ascii="宋体" w:hAnsi="宋体"/>
          <w:color w:val="auto"/>
          <w:sz w:val="24"/>
          <w:szCs w:val="24"/>
          <w:highlight w:val="none"/>
          <w:lang w:val="en-US" w:eastAsia="zh-CN"/>
        </w:rPr>
        <w:t>各层总</w:t>
      </w:r>
      <w:r>
        <w:rPr>
          <w:rFonts w:hint="eastAsia" w:ascii="宋体" w:hAnsi="宋体"/>
          <w:color w:val="auto"/>
          <w:sz w:val="24"/>
          <w:szCs w:val="24"/>
          <w:highlight w:val="none"/>
        </w:rPr>
        <w:t>平面图纸和各层建筑面积</w:t>
      </w:r>
      <w:r>
        <w:rPr>
          <w:rFonts w:hint="eastAsia" w:ascii="宋体" w:hAnsi="宋体" w:eastAsia="宋体" w:cs="宋体"/>
          <w:color w:val="auto"/>
          <w:kern w:val="2"/>
          <w:sz w:val="24"/>
          <w:szCs w:val="24"/>
          <w:highlight w:val="none"/>
          <w:lang w:val="en-US" w:eastAsia="zh-CN" w:bidi="ar"/>
        </w:rPr>
        <w:t>；</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eastAsia" w:ascii="宋体" w:hAnsi="宋体"/>
          <w:color w:val="auto"/>
          <w:sz w:val="24"/>
          <w:szCs w:val="24"/>
          <w:highlight w:val="none"/>
        </w:rPr>
        <w:t>建筑立面图</w:t>
      </w:r>
      <w:r>
        <w:rPr>
          <w:rFonts w:hint="eastAsia" w:ascii="宋体" w:hAnsi="宋体" w:eastAsia="宋体" w:cs="宋体"/>
          <w:color w:val="auto"/>
          <w:kern w:val="2"/>
          <w:sz w:val="24"/>
          <w:szCs w:val="24"/>
          <w:highlight w:val="none"/>
          <w:lang w:val="en-US" w:eastAsia="zh-CN" w:bidi="ar"/>
        </w:rPr>
        <w:t>；</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2"/>
          <w:sz w:val="24"/>
          <w:szCs w:val="24"/>
          <w:highlight w:val="none"/>
        </w:rPr>
      </w:pPr>
      <w:bookmarkStart w:id="33" w:name="OLE_LINK29"/>
      <w:r>
        <w:rPr>
          <w:rFonts w:hint="eastAsia" w:ascii="宋体" w:hAnsi="宋体" w:eastAsia="宋体" w:cs="宋体"/>
          <w:color w:val="auto"/>
          <w:kern w:val="2"/>
          <w:sz w:val="24"/>
          <w:szCs w:val="24"/>
          <w:highlight w:val="none"/>
          <w:lang w:val="en-US" w:eastAsia="zh-CN" w:bidi="ar"/>
        </w:rPr>
        <w:t>——</w:t>
      </w:r>
      <w:bookmarkEnd w:id="33"/>
      <w:r>
        <w:rPr>
          <w:rFonts w:hint="eastAsia" w:ascii="宋体" w:hAnsi="宋体"/>
          <w:color w:val="auto"/>
          <w:sz w:val="24"/>
          <w:szCs w:val="24"/>
          <w:highlight w:val="none"/>
        </w:rPr>
        <w:t>建筑</w:t>
      </w:r>
      <w:r>
        <w:rPr>
          <w:rFonts w:hint="eastAsia" w:ascii="宋体" w:hAnsi="宋体"/>
          <w:color w:val="auto"/>
          <w:sz w:val="24"/>
          <w:szCs w:val="24"/>
          <w:highlight w:val="none"/>
          <w:lang w:val="en-US" w:eastAsia="zh-CN"/>
        </w:rPr>
        <w:t>剖</w:t>
      </w:r>
      <w:r>
        <w:rPr>
          <w:rFonts w:hint="eastAsia" w:ascii="宋体" w:hAnsi="宋体"/>
          <w:color w:val="auto"/>
          <w:sz w:val="24"/>
          <w:szCs w:val="24"/>
          <w:highlight w:val="none"/>
        </w:rPr>
        <w:t>面图</w:t>
      </w:r>
      <w:r>
        <w:rPr>
          <w:rFonts w:hint="eastAsia" w:ascii="宋体" w:hAnsi="宋体" w:eastAsia="宋体" w:cs="宋体"/>
          <w:color w:val="auto"/>
          <w:kern w:val="2"/>
          <w:sz w:val="24"/>
          <w:szCs w:val="24"/>
          <w:highlight w:val="none"/>
          <w:lang w:val="en-US" w:eastAsia="zh-CN" w:bidi="ar"/>
        </w:rPr>
        <w:t>；</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w:t>
      </w:r>
      <w:r>
        <w:rPr>
          <w:rFonts w:hint="eastAsia" w:ascii="宋体" w:hAnsi="宋体"/>
          <w:color w:val="auto"/>
          <w:sz w:val="24"/>
          <w:szCs w:val="24"/>
          <w:highlight w:val="none"/>
        </w:rPr>
        <w:t>公共空间分析图：表达景观设计概念、公共空间结构、形式及主要功能等。</w:t>
      </w:r>
      <w:r>
        <w:rPr>
          <w:rFonts w:hint="eastAsia" w:ascii="宋体" w:hAnsi="宋体" w:eastAsia="宋体" w:cs="宋体"/>
          <w:color w:val="auto"/>
          <w:kern w:val="2"/>
          <w:sz w:val="24"/>
          <w:szCs w:val="24"/>
          <w:highlight w:val="none"/>
          <w:lang w:val="en-US" w:eastAsia="zh-CN" w:bidi="ar"/>
        </w:rPr>
        <w:t>——</w:t>
      </w:r>
      <w:r>
        <w:rPr>
          <w:rFonts w:hint="eastAsia" w:ascii="宋体" w:hAnsi="宋体"/>
          <w:color w:val="auto"/>
          <w:sz w:val="24"/>
          <w:szCs w:val="24"/>
          <w:highlight w:val="none"/>
        </w:rPr>
        <w:t>可结合场地空间大剖面与重要楼层的总平面图布局阐述</w:t>
      </w:r>
      <w:r>
        <w:rPr>
          <w:rFonts w:hint="eastAsia" w:ascii="宋体" w:hAnsi="宋体" w:eastAsia="宋体" w:cs="宋体"/>
          <w:color w:val="auto"/>
          <w:kern w:val="2"/>
          <w:sz w:val="24"/>
          <w:szCs w:val="24"/>
          <w:highlight w:val="none"/>
          <w:lang w:val="en-US" w:eastAsia="zh-CN" w:bidi="ar"/>
        </w:rPr>
        <w:t>；</w:t>
      </w:r>
    </w:p>
    <w:p>
      <w:pPr>
        <w:keepNext w:val="0"/>
        <w:keepLines w:val="0"/>
        <w:widowControl w:val="0"/>
        <w:suppressLineNumbers w:val="0"/>
        <w:spacing w:before="0" w:beforeAutospacing="0" w:after="0" w:afterAutospacing="0" w:line="360" w:lineRule="auto"/>
        <w:ind w:left="0" w:right="0"/>
        <w:jc w:val="both"/>
        <w:rPr>
          <w:rFonts w:hint="eastAsia" w:ascii="宋体" w:hAnsi="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
        </w:rPr>
        <w:t>——</w:t>
      </w:r>
      <w:r>
        <w:rPr>
          <w:rFonts w:ascii="宋体" w:hAnsi="宋体"/>
          <w:color w:val="auto"/>
          <w:sz w:val="24"/>
          <w:szCs w:val="24"/>
          <w:highlight w:val="none"/>
        </w:rPr>
        <w:t>建筑技术经济指标表</w:t>
      </w:r>
      <w:r>
        <w:rPr>
          <w:rFonts w:hint="eastAsia" w:ascii="宋体" w:hAnsi="宋体"/>
          <w:color w:val="auto"/>
          <w:sz w:val="24"/>
          <w:szCs w:val="24"/>
          <w:highlight w:val="none"/>
          <w:lang w:eastAsia="zh-CN"/>
        </w:rPr>
        <w:t>；</w:t>
      </w:r>
    </w:p>
    <w:p>
      <w:pPr>
        <w:keepNext w:val="0"/>
        <w:keepLines w:val="0"/>
        <w:widowControl w:val="0"/>
        <w:suppressLineNumbers w:val="0"/>
        <w:spacing w:before="0" w:beforeAutospacing="0" w:after="0" w:afterAutospacing="0" w:line="360" w:lineRule="auto"/>
        <w:ind w:left="0" w:right="0"/>
        <w:jc w:val="both"/>
        <w:rPr>
          <w:rFonts w:hint="eastAsia" w:ascii="宋体" w:hAnsi="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
        </w:rPr>
        <w:t>——</w:t>
      </w:r>
      <w:r>
        <w:rPr>
          <w:rFonts w:hint="eastAsia" w:ascii="宋体" w:hAnsi="宋体"/>
          <w:color w:val="auto"/>
          <w:sz w:val="24"/>
          <w:szCs w:val="24"/>
          <w:highlight w:val="none"/>
        </w:rPr>
        <w:t>可根据设计表达需要增加若干图纸文件及必要文字说明</w:t>
      </w:r>
      <w:r>
        <w:rPr>
          <w:rFonts w:hint="eastAsia" w:ascii="宋体" w:hAnsi="宋体"/>
          <w:color w:val="auto"/>
          <w:sz w:val="24"/>
          <w:szCs w:val="24"/>
          <w:highlight w:val="none"/>
          <w:lang w:eastAsia="zh-CN"/>
        </w:rPr>
        <w:t>；</w:t>
      </w:r>
    </w:p>
    <w:p>
      <w:pPr>
        <w:spacing w:line="360" w:lineRule="auto"/>
        <w:ind w:firstLine="482"/>
        <w:rPr>
          <w:rFonts w:ascii="宋体" w:hAns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专项设计</w:t>
      </w:r>
    </w:p>
    <w:p>
      <w:pPr>
        <w:spacing w:line="360" w:lineRule="auto"/>
        <w:ind w:firstLine="0"/>
        <w:rPr>
          <w:rFonts w:ascii="宋体" w:hAnsi="宋体"/>
          <w:color w:val="auto"/>
          <w:sz w:val="24"/>
          <w:szCs w:val="24"/>
          <w:highlight w:val="none"/>
        </w:rPr>
      </w:pPr>
      <w:r>
        <w:rPr>
          <w:rFonts w:hint="eastAsia" w:ascii="宋体" w:hAnsi="宋体" w:eastAsia="宋体" w:cs="宋体"/>
          <w:color w:val="auto"/>
          <w:kern w:val="2"/>
          <w:sz w:val="24"/>
          <w:szCs w:val="24"/>
          <w:highlight w:val="none"/>
          <w:lang w:val="en-US" w:eastAsia="zh-CN" w:bidi="ar"/>
        </w:rPr>
        <w:t>——</w:t>
      </w:r>
      <w:r>
        <w:rPr>
          <w:rFonts w:ascii="宋体" w:hAnsi="宋体"/>
          <w:color w:val="auto"/>
          <w:sz w:val="24"/>
          <w:szCs w:val="24"/>
          <w:highlight w:val="none"/>
        </w:rPr>
        <w:t>结构设计专项：包括但不限于建筑结构体系、经济性、工程可行性、风荷载不利作用分析、结构难点亮点等内容。结构设计应满足建筑功能要求，符合规范要求，具有良好的经济性和可实现性。</w:t>
      </w:r>
    </w:p>
    <w:p>
      <w:pPr>
        <w:spacing w:line="360" w:lineRule="auto"/>
        <w:ind w:firstLine="0"/>
        <w:rPr>
          <w:rFonts w:ascii="宋体" w:hAnsi="宋体"/>
          <w:color w:val="auto"/>
          <w:sz w:val="24"/>
          <w:szCs w:val="24"/>
          <w:highlight w:val="none"/>
        </w:rPr>
      </w:pPr>
      <w:r>
        <w:rPr>
          <w:rFonts w:hint="eastAsia" w:ascii="宋体" w:hAnsi="宋体" w:eastAsia="宋体" w:cs="宋体"/>
          <w:color w:val="auto"/>
          <w:kern w:val="2"/>
          <w:sz w:val="24"/>
          <w:szCs w:val="24"/>
          <w:highlight w:val="none"/>
          <w:lang w:val="en-US" w:eastAsia="zh-CN" w:bidi="ar"/>
        </w:rPr>
        <w:t>——</w:t>
      </w:r>
      <w:r>
        <w:rPr>
          <w:rFonts w:ascii="宋体" w:hAnsi="宋体"/>
          <w:color w:val="auto"/>
          <w:sz w:val="24"/>
          <w:szCs w:val="24"/>
          <w:highlight w:val="none"/>
        </w:rPr>
        <w:t>机电专项方案：包括给排水、暖通空调、电气、智能化等专业设计的简要说明，应考虑超低能耗应用，以及考虑新能源使用说明。考虑如有创新性的方案，应重点说明。</w:t>
      </w:r>
    </w:p>
    <w:p>
      <w:pPr>
        <w:spacing w:line="360" w:lineRule="auto"/>
        <w:ind w:firstLine="0"/>
        <w:rPr>
          <w:rFonts w:hint="default" w:ascii="宋体" w:hAnsi="宋体"/>
          <w:strike w:val="0"/>
          <w:dstrike w:val="0"/>
          <w:color w:val="auto"/>
          <w:sz w:val="24"/>
          <w:szCs w:val="24"/>
          <w:highlight w:val="none"/>
        </w:rPr>
      </w:pPr>
      <w:r>
        <w:rPr>
          <w:rFonts w:hint="eastAsia" w:ascii="宋体" w:hAnsi="宋体" w:eastAsia="宋体" w:cs="宋体"/>
          <w:strike w:val="0"/>
          <w:dstrike w:val="0"/>
          <w:color w:val="auto"/>
          <w:kern w:val="2"/>
          <w:sz w:val="24"/>
          <w:szCs w:val="24"/>
          <w:highlight w:val="none"/>
          <w:lang w:val="en-US" w:eastAsia="zh-CN" w:bidi="ar"/>
        </w:rPr>
        <w:t>——</w:t>
      </w:r>
      <w:r>
        <w:rPr>
          <w:rFonts w:ascii="宋体" w:hAnsi="宋体"/>
          <w:strike w:val="0"/>
          <w:dstrike w:val="0"/>
          <w:color w:val="auto"/>
          <w:sz w:val="24"/>
          <w:szCs w:val="24"/>
          <w:highlight w:val="none"/>
        </w:rPr>
        <w:t>专项工艺专项，包含</w:t>
      </w:r>
      <w:r>
        <w:rPr>
          <w:rFonts w:ascii="宋体" w:hAnsi="宋体"/>
          <w:snapToGrid w:val="0"/>
          <w:color w:val="auto"/>
          <w:kern w:val="0"/>
          <w:sz w:val="24"/>
          <w:highlight w:val="none"/>
        </w:rPr>
        <w:t>灯光、声学</w:t>
      </w:r>
      <w:r>
        <w:rPr>
          <w:rFonts w:hint="default" w:ascii="宋体" w:hAnsi="宋体"/>
          <w:strike w:val="0"/>
          <w:dstrike w:val="0"/>
          <w:color w:val="auto"/>
          <w:sz w:val="24"/>
          <w:szCs w:val="24"/>
          <w:highlight w:val="none"/>
        </w:rPr>
        <w:t>等设计说明与相关图纸。</w:t>
      </w:r>
    </w:p>
    <w:p>
      <w:pPr>
        <w:spacing w:line="360" w:lineRule="auto"/>
        <w:ind w:firstLine="0"/>
        <w:rPr>
          <w:rFonts w:hint="eastAsia" w:ascii="宋体" w:hAnsi="宋体" w:eastAsiaTheme="minorEastAsia"/>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
        </w:rPr>
        <w:t>——</w:t>
      </w:r>
      <w:r>
        <w:rPr>
          <w:rFonts w:ascii="宋体" w:hAnsi="宋体"/>
          <w:color w:val="auto"/>
          <w:sz w:val="24"/>
          <w:szCs w:val="24"/>
          <w:highlight w:val="none"/>
        </w:rPr>
        <w:t>装配式建筑专篇</w:t>
      </w:r>
      <w:r>
        <w:rPr>
          <w:rFonts w:hint="eastAsia" w:ascii="宋体" w:hAnsi="宋体"/>
          <w:color w:val="auto"/>
          <w:sz w:val="24"/>
          <w:szCs w:val="24"/>
          <w:highlight w:val="none"/>
          <w:lang w:eastAsia="zh-CN"/>
        </w:rPr>
        <w:t>。</w:t>
      </w:r>
    </w:p>
    <w:p>
      <w:pPr>
        <w:spacing w:line="360" w:lineRule="auto"/>
        <w:ind w:firstLine="0"/>
        <w:rPr>
          <w:rFonts w:ascii="宋体" w:hAnsi="宋体"/>
          <w:color w:val="auto"/>
          <w:sz w:val="24"/>
          <w:szCs w:val="24"/>
          <w:highlight w:val="none"/>
        </w:rPr>
      </w:pPr>
      <w:r>
        <w:rPr>
          <w:rFonts w:hint="eastAsia" w:ascii="宋体" w:hAnsi="宋体" w:eastAsia="宋体" w:cs="宋体"/>
          <w:color w:val="auto"/>
          <w:kern w:val="2"/>
          <w:sz w:val="24"/>
          <w:szCs w:val="24"/>
          <w:highlight w:val="none"/>
          <w:lang w:val="en-US" w:eastAsia="zh-CN" w:bidi="ar"/>
        </w:rPr>
        <w:t>——</w:t>
      </w:r>
      <w:r>
        <w:rPr>
          <w:rFonts w:ascii="宋体" w:hAnsi="宋体"/>
          <w:color w:val="auto"/>
          <w:sz w:val="24"/>
          <w:szCs w:val="24"/>
          <w:highlight w:val="none"/>
        </w:rPr>
        <w:t>海绵城市专篇。</w:t>
      </w:r>
    </w:p>
    <w:p>
      <w:pPr>
        <w:spacing w:line="360" w:lineRule="auto"/>
        <w:ind w:firstLine="0"/>
        <w:rPr>
          <w:rFonts w:ascii="宋体" w:hAnsi="宋体"/>
          <w:color w:val="auto"/>
          <w:sz w:val="24"/>
          <w:szCs w:val="24"/>
          <w:highlight w:val="none"/>
        </w:rPr>
      </w:pPr>
      <w:r>
        <w:rPr>
          <w:rFonts w:hint="eastAsia" w:ascii="宋体" w:hAnsi="宋体" w:eastAsia="宋体" w:cs="宋体"/>
          <w:color w:val="auto"/>
          <w:kern w:val="2"/>
          <w:sz w:val="24"/>
          <w:szCs w:val="24"/>
          <w:highlight w:val="none"/>
          <w:lang w:val="en-US" w:eastAsia="zh-CN" w:bidi="ar"/>
        </w:rPr>
        <w:t>——</w:t>
      </w:r>
      <w:r>
        <w:rPr>
          <w:rFonts w:ascii="宋体" w:hAnsi="宋体"/>
          <w:color w:val="auto"/>
          <w:sz w:val="24"/>
          <w:szCs w:val="24"/>
          <w:highlight w:val="none"/>
        </w:rPr>
        <w:t>绿色节能专篇。</w:t>
      </w:r>
    </w:p>
    <w:p>
      <w:pPr>
        <w:spacing w:line="360" w:lineRule="auto"/>
        <w:ind w:firstLine="0"/>
        <w:rPr>
          <w:rFonts w:ascii="宋体" w:hAnsi="宋体"/>
          <w:color w:val="auto"/>
          <w:sz w:val="24"/>
          <w:szCs w:val="24"/>
          <w:highlight w:val="none"/>
        </w:rPr>
      </w:pPr>
      <w:r>
        <w:rPr>
          <w:rFonts w:hint="eastAsia" w:ascii="宋体" w:hAnsi="宋体" w:eastAsia="宋体" w:cs="宋体"/>
          <w:color w:val="auto"/>
          <w:kern w:val="2"/>
          <w:sz w:val="24"/>
          <w:szCs w:val="24"/>
          <w:highlight w:val="none"/>
          <w:lang w:val="en-US" w:eastAsia="zh-CN" w:bidi="ar"/>
        </w:rPr>
        <w:t>——</w:t>
      </w:r>
      <w:r>
        <w:rPr>
          <w:rFonts w:ascii="宋体" w:hAnsi="宋体"/>
          <w:color w:val="auto"/>
          <w:sz w:val="24"/>
          <w:szCs w:val="24"/>
          <w:highlight w:val="none"/>
        </w:rPr>
        <w:t>投资估算。包括投资估算表及编制说明。</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——其他投标人认为应该补充的图纸。</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(e) 《工期计划表》（方案修改、初步设计、施工图设计的总工时和工期）；</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(f) 投标人提出的建议、工程创新和替代方案（如果有）；</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(g) 完成本项目的难点，保障工期、质量的主要措施、方案计划；</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(h) 针对项目场地采用的原位试验种类。勘察方案（勘察手段、方法及工艺）及建议，本次勘察的难点及建议</w:t>
      </w:r>
      <w:r>
        <w:rPr>
          <w:rFonts w:hint="eastAsia" w:ascii="宋体" w:hAnsi="宋体" w:eastAsia="宋体" w:cs="宋体"/>
          <w:strike/>
          <w:color w:val="auto"/>
          <w:kern w:val="2"/>
          <w:sz w:val="24"/>
          <w:szCs w:val="24"/>
          <w:highlight w:val="none"/>
          <w:lang w:val="en-US" w:eastAsia="zh-CN" w:bidi="ar"/>
        </w:rPr>
        <w:t>(适用于含勘察内容的项目)</w:t>
      </w:r>
      <w:r>
        <w:rPr>
          <w:rFonts w:hint="eastAsia" w:ascii="宋体" w:hAnsi="宋体" w:eastAsia="宋体" w:cs="宋体"/>
          <w:color w:val="auto"/>
          <w:kern w:val="2"/>
          <w:sz w:val="24"/>
          <w:szCs w:val="24"/>
          <w:highlight w:val="none"/>
          <w:lang w:val="en-US" w:eastAsia="zh-CN" w:bidi="ar"/>
        </w:rPr>
        <w:t>；</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(i) 勘察工作流程和相应的工期进度计划</w:t>
      </w:r>
      <w:r>
        <w:rPr>
          <w:rFonts w:hint="eastAsia" w:ascii="宋体" w:hAnsi="宋体" w:eastAsia="宋体" w:cs="宋体"/>
          <w:strike/>
          <w:color w:val="auto"/>
          <w:kern w:val="2"/>
          <w:sz w:val="24"/>
          <w:szCs w:val="24"/>
          <w:highlight w:val="none"/>
          <w:lang w:val="en-US" w:eastAsia="zh-CN" w:bidi="ar"/>
        </w:rPr>
        <w:t>(适用于含勘察内容的项目)</w:t>
      </w:r>
      <w:r>
        <w:rPr>
          <w:rFonts w:hint="eastAsia" w:ascii="宋体" w:hAnsi="宋体" w:eastAsia="宋体" w:cs="宋体"/>
          <w:color w:val="auto"/>
          <w:kern w:val="2"/>
          <w:sz w:val="24"/>
          <w:szCs w:val="24"/>
          <w:highlight w:val="none"/>
          <w:lang w:val="en-US" w:eastAsia="zh-CN" w:bidi="ar"/>
        </w:rPr>
        <w:t>；</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(j) 投入本项目的人数、工种、设备</w:t>
      </w:r>
      <w:r>
        <w:rPr>
          <w:rFonts w:hint="eastAsia" w:ascii="宋体" w:hAnsi="宋体" w:eastAsia="宋体" w:cs="宋体"/>
          <w:strike/>
          <w:color w:val="auto"/>
          <w:kern w:val="2"/>
          <w:sz w:val="24"/>
          <w:szCs w:val="24"/>
          <w:highlight w:val="none"/>
          <w:lang w:val="en-US" w:eastAsia="zh-CN" w:bidi="ar"/>
        </w:rPr>
        <w:t>(适用于含勘察内容的项目)</w:t>
      </w:r>
      <w:r>
        <w:rPr>
          <w:rFonts w:hint="eastAsia" w:ascii="宋体" w:hAnsi="宋体" w:eastAsia="宋体" w:cs="宋体"/>
          <w:color w:val="auto"/>
          <w:kern w:val="2"/>
          <w:sz w:val="24"/>
          <w:szCs w:val="24"/>
          <w:highlight w:val="none"/>
          <w:lang w:val="en-US" w:eastAsia="zh-CN" w:bidi="ar"/>
        </w:rPr>
        <w:t>；</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(k) 勘察报告综合评价深度，勘察成果文件内容目录</w:t>
      </w:r>
      <w:r>
        <w:rPr>
          <w:rFonts w:hint="eastAsia" w:ascii="宋体" w:hAnsi="宋体" w:eastAsia="宋体" w:cs="宋体"/>
          <w:strike/>
          <w:color w:val="auto"/>
          <w:kern w:val="2"/>
          <w:sz w:val="24"/>
          <w:szCs w:val="24"/>
          <w:highlight w:val="none"/>
          <w:lang w:val="en-US" w:eastAsia="zh-CN" w:bidi="ar"/>
        </w:rPr>
        <w:t>(适用于含勘察内容的项目)</w:t>
      </w:r>
      <w:r>
        <w:rPr>
          <w:rFonts w:hint="eastAsia" w:ascii="宋体" w:hAnsi="宋体" w:eastAsia="宋体" w:cs="宋体"/>
          <w:color w:val="auto"/>
          <w:kern w:val="2"/>
          <w:sz w:val="24"/>
          <w:szCs w:val="24"/>
          <w:highlight w:val="none"/>
          <w:lang w:val="en-US" w:eastAsia="zh-CN" w:bidi="ar"/>
        </w:rPr>
        <w:t>；</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(l) 投标人掌握的勘察工作有关的法律法规、标准、规范一览表</w:t>
      </w:r>
      <w:r>
        <w:rPr>
          <w:rFonts w:hint="eastAsia" w:ascii="宋体" w:hAnsi="宋体" w:eastAsia="宋体" w:cs="宋体"/>
          <w:strike/>
          <w:color w:val="auto"/>
          <w:kern w:val="2"/>
          <w:sz w:val="24"/>
          <w:szCs w:val="24"/>
          <w:highlight w:val="none"/>
          <w:lang w:val="en-US" w:eastAsia="zh-CN" w:bidi="ar"/>
        </w:rPr>
        <w:t>(适用于含勘察内容的项目)</w:t>
      </w:r>
      <w:r>
        <w:rPr>
          <w:rFonts w:hint="eastAsia" w:ascii="宋体" w:hAnsi="宋体" w:eastAsia="宋体" w:cs="宋体"/>
          <w:color w:val="auto"/>
          <w:kern w:val="2"/>
          <w:sz w:val="24"/>
          <w:szCs w:val="24"/>
          <w:highlight w:val="none"/>
          <w:lang w:val="en-US" w:eastAsia="zh-CN" w:bidi="ar"/>
        </w:rPr>
        <w:t>；</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(m) 需要建设单位、设计单位配合的事项</w:t>
      </w:r>
      <w:r>
        <w:rPr>
          <w:rFonts w:hint="eastAsia" w:ascii="宋体" w:hAnsi="宋体" w:eastAsia="宋体" w:cs="宋体"/>
          <w:strike/>
          <w:color w:val="auto"/>
          <w:kern w:val="2"/>
          <w:sz w:val="24"/>
          <w:szCs w:val="24"/>
          <w:highlight w:val="none"/>
          <w:lang w:val="en-US" w:eastAsia="zh-CN" w:bidi="ar"/>
        </w:rPr>
        <w:t>(适用于含勘察内容的项目)</w:t>
      </w:r>
      <w:r>
        <w:rPr>
          <w:rFonts w:hint="eastAsia" w:ascii="宋体" w:hAnsi="宋体" w:eastAsia="宋体" w:cs="宋体"/>
          <w:color w:val="auto"/>
          <w:kern w:val="2"/>
          <w:sz w:val="24"/>
          <w:szCs w:val="24"/>
          <w:highlight w:val="none"/>
          <w:lang w:val="en-US" w:eastAsia="zh-CN" w:bidi="ar"/>
        </w:rPr>
        <w:t>；</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(n) 发生追记行为的相应赔偿办法</w:t>
      </w:r>
      <w:r>
        <w:rPr>
          <w:rFonts w:hint="eastAsia" w:ascii="宋体" w:hAnsi="宋体" w:eastAsia="宋体" w:cs="宋体"/>
          <w:strike/>
          <w:color w:val="auto"/>
          <w:kern w:val="2"/>
          <w:sz w:val="24"/>
          <w:szCs w:val="24"/>
          <w:highlight w:val="none"/>
          <w:lang w:val="en-US" w:eastAsia="zh-CN" w:bidi="ar"/>
        </w:rPr>
        <w:t>(适用于含勘察内容的项目)</w:t>
      </w:r>
      <w:r>
        <w:rPr>
          <w:rFonts w:hint="eastAsia" w:ascii="宋体" w:hAnsi="宋体" w:eastAsia="宋体" w:cs="宋体"/>
          <w:color w:val="auto"/>
          <w:kern w:val="2"/>
          <w:sz w:val="24"/>
          <w:szCs w:val="24"/>
          <w:highlight w:val="none"/>
          <w:lang w:val="en-US" w:eastAsia="zh-CN" w:bidi="ar"/>
        </w:rPr>
        <w:t>；</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(o) 投标人参与施工验槽，解决工程设计和施工中与勘察工作有关问题的服务承诺、响应时间、相关费用；</w:t>
      </w:r>
      <w:r>
        <w:rPr>
          <w:rFonts w:hint="eastAsia" w:ascii="宋体" w:hAnsi="宋体" w:eastAsia="宋体" w:cs="宋体"/>
          <w:strike/>
          <w:color w:val="auto"/>
          <w:kern w:val="2"/>
          <w:sz w:val="24"/>
          <w:szCs w:val="24"/>
          <w:highlight w:val="none"/>
          <w:lang w:val="en-US" w:eastAsia="zh-CN" w:bidi="ar"/>
        </w:rPr>
        <w:t>(适用于含勘察内容的项目)；</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(p) 技术培训和职业道德教育情况(</w:t>
      </w:r>
      <w:r>
        <w:rPr>
          <w:rFonts w:hint="eastAsia" w:ascii="宋体" w:hAnsi="宋体" w:eastAsia="宋体" w:cs="宋体"/>
          <w:strike/>
          <w:color w:val="auto"/>
          <w:kern w:val="2"/>
          <w:sz w:val="24"/>
          <w:szCs w:val="24"/>
          <w:highlight w:val="none"/>
          <w:lang w:val="en-US" w:eastAsia="zh-CN" w:bidi="ar"/>
        </w:rPr>
        <w:t>适用于含勘察内容的项目)</w:t>
      </w:r>
      <w:r>
        <w:rPr>
          <w:rFonts w:hint="eastAsia" w:ascii="宋体" w:hAnsi="宋体" w:eastAsia="宋体" w:cs="宋体"/>
          <w:color w:val="auto"/>
          <w:kern w:val="2"/>
          <w:sz w:val="24"/>
          <w:szCs w:val="24"/>
          <w:highlight w:val="none"/>
          <w:lang w:val="en-US" w:eastAsia="zh-CN" w:bidi="ar"/>
        </w:rPr>
        <w:t>；</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(q) 以往完工项目的资料分类编目、装订、归档保存的情况</w:t>
      </w:r>
      <w:r>
        <w:rPr>
          <w:rFonts w:hint="eastAsia" w:ascii="宋体" w:hAnsi="宋体" w:eastAsia="宋体" w:cs="宋体"/>
          <w:strike/>
          <w:color w:val="auto"/>
          <w:kern w:val="2"/>
          <w:sz w:val="24"/>
          <w:szCs w:val="24"/>
          <w:highlight w:val="none"/>
          <w:lang w:val="en-US" w:eastAsia="zh-CN" w:bidi="ar"/>
        </w:rPr>
        <w:t>(适用于含勘察内容的项目)</w:t>
      </w:r>
      <w:r>
        <w:rPr>
          <w:rFonts w:hint="eastAsia" w:ascii="宋体" w:hAnsi="宋体" w:eastAsia="宋体" w:cs="宋体"/>
          <w:color w:val="auto"/>
          <w:kern w:val="2"/>
          <w:sz w:val="24"/>
          <w:szCs w:val="24"/>
          <w:highlight w:val="none"/>
          <w:lang w:val="en-US" w:eastAsia="zh-CN" w:bidi="ar"/>
        </w:rPr>
        <w:t>；</w:t>
      </w:r>
    </w:p>
    <w:p>
      <w:pPr>
        <w:keepNext w:val="0"/>
        <w:keepLines w:val="0"/>
        <w:suppressLineNumbers w:val="0"/>
        <w:spacing w:before="0" w:beforeAutospacing="0" w:after="0" w:afterAutospacing="0" w:line="360" w:lineRule="auto"/>
        <w:ind w:left="0" w:right="0" w:firstLine="420" w:firstLineChars="0"/>
        <w:jc w:val="both"/>
        <w:rPr>
          <w:rFonts w:hint="eastAsia" w:ascii="宋体" w:hAnsi="宋体" w:eastAsia="宋体" w:cs="宋体"/>
          <w:b w:val="0"/>
          <w:bCs w:val="0"/>
          <w:color w:val="auto"/>
          <w:sz w:val="24"/>
          <w:szCs w:val="24"/>
          <w:highlight w:val="none"/>
          <w:lang w:val="en-US" w:eastAsia="zh-CN" w:bidi="ar"/>
        </w:rPr>
      </w:pPr>
      <w:r>
        <w:rPr>
          <w:rFonts w:hint="eastAsia" w:ascii="宋体" w:hAnsi="宋体" w:eastAsia="宋体" w:cs="宋体"/>
          <w:color w:val="auto"/>
          <w:kern w:val="2"/>
          <w:sz w:val="24"/>
          <w:szCs w:val="24"/>
          <w:highlight w:val="none"/>
          <w:lang w:eastAsia="zh-CN" w:bidi="ar"/>
        </w:rPr>
        <w:t>（r）</w:t>
      </w:r>
      <w:r>
        <w:rPr>
          <w:rFonts w:hint="eastAsia" w:ascii="宋体" w:hAnsi="宋体" w:eastAsia="宋体" w:cs="宋体"/>
          <w:b w:val="0"/>
          <w:bCs w:val="0"/>
          <w:color w:val="auto"/>
          <w:sz w:val="24"/>
          <w:szCs w:val="24"/>
          <w:highlight w:val="none"/>
          <w:lang w:val="en-US" w:eastAsia="zh-CN" w:bidi="ar"/>
        </w:rPr>
        <w:t>本项目的重点难点为：</w:t>
      </w:r>
    </w:p>
    <w:p>
      <w:pPr>
        <w:keepNext w:val="0"/>
        <w:keepLines w:val="0"/>
        <w:suppressLineNumbers w:val="0"/>
        <w:spacing w:before="0" w:beforeAutospacing="0" w:after="0" w:afterAutospacing="0" w:line="360" w:lineRule="auto"/>
        <w:ind w:left="0" w:right="0" w:firstLine="420" w:firstLineChars="0"/>
        <w:jc w:val="both"/>
        <w:rPr>
          <w:rFonts w:hint="eastAsia" w:ascii="宋体" w:hAnsi="宋体" w:eastAsia="宋体" w:cs="宋体"/>
          <w:b w:val="0"/>
          <w:bCs w:val="0"/>
          <w:color w:val="auto"/>
          <w:sz w:val="24"/>
          <w:szCs w:val="24"/>
          <w:highlight w:val="none"/>
          <w:lang w:val="en-US" w:eastAsia="zh-CN" w:bidi="ar"/>
        </w:rPr>
      </w:pPr>
      <w:r>
        <w:rPr>
          <w:rFonts w:hint="eastAsia" w:ascii="宋体" w:hAnsi="宋体" w:eastAsia="宋体" w:cs="宋体"/>
          <w:b w:val="0"/>
          <w:bCs w:val="0"/>
          <w:color w:val="auto"/>
          <w:sz w:val="24"/>
          <w:szCs w:val="24"/>
          <w:highlight w:val="none"/>
          <w:lang w:val="en-US" w:eastAsia="zh-CN" w:bidi="ar"/>
        </w:rPr>
        <w:t>（1）</w:t>
      </w:r>
      <w:r>
        <w:rPr>
          <w:rFonts w:hint="eastAsia" w:ascii="宋体" w:hAnsi="宋体" w:eastAsia="宋体" w:cs="宋体"/>
          <w:b w:val="0"/>
          <w:bCs w:val="0"/>
          <w:snapToGrid/>
          <w:color w:val="auto"/>
          <w:sz w:val="24"/>
          <w:szCs w:val="24"/>
          <w:highlight w:val="none"/>
          <w:lang w:val="en-US" w:eastAsia="zh-CN" w:bidi="ar"/>
        </w:rPr>
        <w:t>作为未来广州在粤港澳大湾区法治建设领域的标志性建筑，广州法治大厦</w:t>
      </w:r>
      <w:r>
        <w:rPr>
          <w:rFonts w:hint="eastAsia" w:ascii="宋体" w:hAnsi="宋体" w:eastAsia="宋体" w:cs="宋体"/>
          <w:b w:val="0"/>
          <w:bCs w:val="0"/>
          <w:dstrike w:val="0"/>
          <w:snapToGrid/>
          <w:color w:val="auto"/>
          <w:sz w:val="24"/>
          <w:szCs w:val="24"/>
          <w:highlight w:val="none"/>
          <w:lang w:val="en-US" w:eastAsia="zh-CN" w:bidi="ar"/>
        </w:rPr>
        <w:t>彰显广州在推动区域法治一体化进程中的标志性工程，</w:t>
      </w:r>
      <w:r>
        <w:rPr>
          <w:rFonts w:hint="default" w:ascii="宋体" w:hAnsi="宋体" w:eastAsia="宋体" w:cs="宋体"/>
          <w:b w:val="0"/>
          <w:bCs w:val="0"/>
          <w:dstrike w:val="0"/>
          <w:snapToGrid/>
          <w:color w:val="auto"/>
          <w:sz w:val="24"/>
          <w:szCs w:val="24"/>
          <w:highlight w:val="none"/>
          <w:lang w:eastAsia="zh-CN" w:bidi="ar"/>
        </w:rPr>
        <w:t>本项目</w:t>
      </w:r>
      <w:r>
        <w:rPr>
          <w:rFonts w:hint="default" w:ascii="宋体" w:hAnsi="宋体" w:eastAsia="宋体" w:cs="宋体"/>
          <w:b w:val="0"/>
          <w:bCs w:val="0"/>
          <w:snapToGrid/>
          <w:color w:val="auto"/>
          <w:sz w:val="24"/>
          <w:szCs w:val="24"/>
          <w:highlight w:val="none"/>
          <w:lang w:eastAsia="zh-CN" w:bidi="ar"/>
        </w:rPr>
        <w:t>将吸纳广州互联网法院和广州仲裁委员会等政法单位入驻，承担探索网络法治中国样本、打造国际仲裁中心等重要使命，</w:t>
      </w:r>
      <w:r>
        <w:rPr>
          <w:rFonts w:hint="eastAsia" w:ascii="宋体" w:hAnsi="宋体" w:eastAsia="宋体" w:cs="宋体"/>
          <w:b w:val="0"/>
          <w:bCs w:val="0"/>
          <w:snapToGrid/>
          <w:color w:val="auto"/>
          <w:sz w:val="24"/>
          <w:szCs w:val="24"/>
          <w:highlight w:val="none"/>
          <w:lang w:val="en-US" w:eastAsia="zh-CN" w:bidi="ar"/>
        </w:rPr>
        <w:t>项目整体设计特别是外立面设计需体现海珠云上片区法律服务业与数字经济产业集群融合互动的发展理念，并与琶洲西区整体城市设计相协调</w:t>
      </w:r>
      <w:r>
        <w:rPr>
          <w:rFonts w:hint="eastAsia" w:ascii="宋体" w:hAnsi="宋体" w:eastAsia="宋体" w:cs="宋体"/>
          <w:b w:val="0"/>
          <w:bCs w:val="0"/>
          <w:color w:val="auto"/>
          <w:sz w:val="24"/>
          <w:szCs w:val="24"/>
          <w:highlight w:val="none"/>
          <w:lang w:val="en-US" w:eastAsia="zh-CN" w:bidi="ar"/>
        </w:rPr>
        <w:t>；</w:t>
      </w:r>
    </w:p>
    <w:p>
      <w:pPr>
        <w:keepNext w:val="0"/>
        <w:keepLines w:val="0"/>
        <w:suppressLineNumbers w:val="0"/>
        <w:spacing w:before="0" w:beforeAutospacing="0" w:after="0" w:afterAutospacing="0" w:line="360" w:lineRule="auto"/>
        <w:ind w:left="0" w:right="0" w:firstLine="420" w:firstLineChars="0"/>
        <w:jc w:val="both"/>
        <w:rPr>
          <w:rFonts w:hint="eastAsia" w:ascii="宋体" w:hAnsi="宋体" w:eastAsia="宋体" w:cs="宋体"/>
          <w:b w:val="0"/>
          <w:bCs w:val="0"/>
          <w:snapToGrid/>
          <w:color w:val="auto"/>
          <w:sz w:val="24"/>
          <w:szCs w:val="24"/>
          <w:highlight w:val="none"/>
          <w:lang w:val="en-US" w:eastAsia="zh-CN" w:bidi="ar"/>
        </w:rPr>
      </w:pPr>
      <w:r>
        <w:rPr>
          <w:rFonts w:hint="eastAsia" w:ascii="宋体" w:hAnsi="宋体" w:eastAsia="宋体" w:cs="宋体"/>
          <w:b w:val="0"/>
          <w:bCs w:val="0"/>
          <w:snapToGrid/>
          <w:color w:val="auto"/>
          <w:sz w:val="24"/>
          <w:szCs w:val="24"/>
          <w:highlight w:val="none"/>
          <w:lang w:val="en-US" w:eastAsia="zh-CN" w:bidi="ar"/>
        </w:rPr>
        <w:t>（2）本项目精细化设计要求及投资控制要求较高，立项批复每平方工程费用少于同类型项目，设计单位需对落实限额设计要求作出分析论证，并着重就满足结构要求的基础上，分析项目装修、机电等内容的建设标准；</w:t>
      </w:r>
    </w:p>
    <w:p>
      <w:pPr>
        <w:keepNext w:val="0"/>
        <w:keepLines w:val="0"/>
        <w:suppressLineNumbers w:val="0"/>
        <w:spacing w:before="0" w:beforeAutospacing="0" w:after="0" w:afterAutospacing="0" w:line="360" w:lineRule="auto"/>
        <w:ind w:left="0" w:right="0" w:firstLine="420" w:firstLineChars="0"/>
        <w:jc w:val="both"/>
        <w:rPr>
          <w:rFonts w:hint="eastAsia" w:ascii="宋体" w:hAnsi="宋体" w:eastAsia="宋体" w:cs="宋体"/>
          <w:b w:val="0"/>
          <w:bCs w:val="0"/>
          <w:snapToGrid/>
          <w:color w:val="auto"/>
          <w:sz w:val="24"/>
          <w:szCs w:val="24"/>
          <w:highlight w:val="none"/>
          <w:lang w:val="en-US" w:eastAsia="zh-CN" w:bidi="ar"/>
        </w:rPr>
      </w:pPr>
      <w:r>
        <w:rPr>
          <w:rFonts w:hint="eastAsia" w:ascii="宋体" w:hAnsi="宋体" w:eastAsia="宋体" w:cs="宋体"/>
          <w:b w:val="0"/>
          <w:bCs w:val="0"/>
          <w:snapToGrid/>
          <w:color w:val="auto"/>
          <w:sz w:val="24"/>
          <w:szCs w:val="24"/>
          <w:highlight w:val="none"/>
          <w:lang w:val="en-US" w:eastAsia="zh-CN" w:bidi="ar"/>
        </w:rPr>
        <w:t>（3）本项目使用单位较多，使用需求、使用习惯差异较大，同时部分空间需面向群众开放，设计单位对项目竖向交通、楼宇自控系统、流线设置等作分析建议；</w:t>
      </w:r>
    </w:p>
    <w:p>
      <w:pPr>
        <w:widowControl w:val="0"/>
        <w:spacing w:after="0" w:line="360" w:lineRule="auto"/>
        <w:ind w:left="0" w:firstLine="420"/>
        <w:jc w:val="both"/>
        <w:rPr>
          <w:rFonts w:hint="eastAsia" w:ascii="宋体" w:hAnsi="宋体" w:eastAsia="宋体" w:cs="宋体"/>
          <w:color w:val="auto"/>
          <w:sz w:val="24"/>
          <w:szCs w:val="24"/>
          <w:highlight w:val="none"/>
          <w:lang w:val="en-US" w:bidi="ar"/>
        </w:rPr>
      </w:pPr>
      <w:r>
        <w:rPr>
          <w:rFonts w:hint="eastAsia" w:ascii="宋体" w:hAnsi="宋体" w:eastAsia="宋体" w:cs="宋体"/>
          <w:b w:val="0"/>
          <w:bCs w:val="0"/>
          <w:snapToGrid/>
          <w:color w:val="auto"/>
          <w:sz w:val="24"/>
          <w:szCs w:val="24"/>
          <w:highlight w:val="none"/>
          <w:lang w:val="en-US" w:eastAsia="zh-CN" w:bidi="ar"/>
        </w:rPr>
        <w:t>（4）AH040331地块建筑已基本结构封顶，根据控制性详细规划，本项目规划地下空间可不退让无缝衔接，设计单位根据现状条件，在满足停车位规划要求的前提下对项目地下空间建设方案开展分析建议。</w:t>
      </w:r>
    </w:p>
    <w:p>
      <w:pPr>
        <w:spacing w:line="360" w:lineRule="auto"/>
        <w:rPr>
          <w:rFonts w:ascii="宋体" w:hAnsi="宋体" w:eastAsia="宋体" w:cs="Times New Roman"/>
          <w:color w:val="auto"/>
          <w:sz w:val="24"/>
          <w:highlight w:val="none"/>
        </w:rPr>
      </w:pPr>
      <w:r>
        <w:rPr>
          <w:rFonts w:hint="eastAsia" w:ascii="宋体" w:hAnsi="宋体"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w:t>
      </w:r>
      <w:r>
        <w:rPr>
          <w:rFonts w:hint="default" w:ascii="宋体" w:hAnsi="宋体" w:eastAsia="宋体" w:cs="宋体"/>
          <w:color w:val="auto"/>
          <w:kern w:val="2"/>
          <w:sz w:val="24"/>
          <w:szCs w:val="24"/>
          <w:highlight w:val="none"/>
          <w:lang w:eastAsia="zh-CN" w:bidi="ar"/>
        </w:rPr>
        <w:t>s</w:t>
      </w:r>
      <w:r>
        <w:rPr>
          <w:rFonts w:hint="eastAsia" w:ascii="宋体" w:hAnsi="宋体" w:eastAsia="宋体" w:cs="宋体"/>
          <w:color w:val="auto"/>
          <w:kern w:val="2"/>
          <w:sz w:val="24"/>
          <w:szCs w:val="24"/>
          <w:highlight w:val="none"/>
          <w:lang w:val="en-US" w:eastAsia="zh-CN" w:bidi="ar"/>
        </w:rPr>
        <w:t>) 投标人认为有必要提供的其他资料；</w:t>
      </w:r>
    </w:p>
    <w:p>
      <w:pPr>
        <w:spacing w:line="360" w:lineRule="auto"/>
        <w:rPr>
          <w:rFonts w:ascii="宋体" w:hAnsi="宋体" w:eastAsia="宋体" w:cs="Times New Roman"/>
          <w:color w:val="auto"/>
          <w:sz w:val="24"/>
          <w:highlight w:val="none"/>
        </w:rPr>
      </w:pPr>
      <w:r>
        <w:rPr>
          <w:rFonts w:ascii="宋体" w:hAnsi="宋体" w:eastAsia="宋体" w:cs="Times New Roman"/>
          <w:color w:val="auto"/>
          <w:sz w:val="24"/>
          <w:highlight w:val="none"/>
        </w:rPr>
        <w:t xml:space="preserve">   注：</w:t>
      </w:r>
      <w:r>
        <w:rPr>
          <w:rFonts w:ascii="宋体" w:hAnsi="宋体" w:eastAsia="宋体" w:cs="Times New Roman"/>
          <w:color w:val="auto"/>
          <w:sz w:val="24"/>
          <w:highlight w:val="none"/>
          <w:u w:val="single"/>
        </w:rPr>
        <w:t>设计方案不能有涉及投标报价相关内容文件</w:t>
      </w:r>
      <w:r>
        <w:rPr>
          <w:rFonts w:ascii="宋体" w:hAnsi="宋体" w:eastAsia="宋体" w:cs="Times New Roman"/>
          <w:color w:val="auto"/>
          <w:sz w:val="24"/>
          <w:highlight w:val="none"/>
        </w:rPr>
        <w:t>。</w:t>
      </w:r>
    </w:p>
    <w:p>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4.2 设计方案展示文件</w:t>
      </w:r>
      <w:r>
        <w:rPr>
          <w:rFonts w:hint="default" w:ascii="宋体" w:hAnsi="宋体" w:eastAsia="宋体" w:cs="Times New Roman"/>
          <w:color w:val="auto"/>
          <w:sz w:val="24"/>
          <w:highlight w:val="none"/>
          <w:lang w:eastAsia="zh-CN"/>
        </w:rPr>
        <w:t>（展板）</w:t>
      </w:r>
      <w:r>
        <w:rPr>
          <w:rFonts w:hint="eastAsia" w:ascii="宋体" w:hAnsi="宋体" w:eastAsia="宋体" w:cs="Times New Roman"/>
          <w:color w:val="auto"/>
          <w:sz w:val="24"/>
          <w:highlight w:val="none"/>
          <w:lang w:val="en-US" w:eastAsia="zh-CN"/>
        </w:rPr>
        <w:t>、多媒体演示文件、</w:t>
      </w:r>
      <w:r>
        <w:rPr>
          <w:rFonts w:hint="default" w:ascii="宋体" w:hAnsi="宋体" w:eastAsia="宋体" w:cs="Times New Roman"/>
          <w:color w:val="auto"/>
          <w:sz w:val="24"/>
          <w:highlight w:val="none"/>
          <w:lang w:eastAsia="zh-CN"/>
        </w:rPr>
        <w:t>展示</w:t>
      </w:r>
      <w:r>
        <w:rPr>
          <w:rFonts w:hint="eastAsia" w:ascii="宋体" w:hAnsi="宋体" w:eastAsia="宋体" w:cs="Times New Roman"/>
          <w:color w:val="auto"/>
          <w:sz w:val="24"/>
          <w:highlight w:val="none"/>
          <w:lang w:val="en-US" w:eastAsia="zh-CN"/>
        </w:rPr>
        <w:t>模型制作要求</w:t>
      </w:r>
      <w:r>
        <w:rPr>
          <w:rFonts w:hint="default" w:ascii="宋体" w:hAnsi="宋体" w:eastAsia="宋体" w:cs="Times New Roman"/>
          <w:color w:val="auto"/>
          <w:sz w:val="24"/>
          <w:highlight w:val="none"/>
          <w:lang w:eastAsia="zh-CN"/>
        </w:rPr>
        <w:t>、</w:t>
      </w:r>
      <w:r>
        <w:rPr>
          <w:rFonts w:hint="default" w:ascii="宋体" w:hAnsi="宋体" w:eastAsia="宋体" w:cs="Times New Roman"/>
          <w:b/>
          <w:bCs/>
          <w:color w:val="auto"/>
          <w:sz w:val="24"/>
          <w:highlight w:val="none"/>
          <w:u w:val="single"/>
          <w:lang w:eastAsia="zh-CN"/>
        </w:rPr>
        <w:t>设计方案文本要求</w:t>
      </w:r>
      <w:r>
        <w:rPr>
          <w:rFonts w:hint="eastAsia" w:ascii="宋体" w:hAnsi="宋体" w:eastAsia="宋体" w:cs="Times New Roman"/>
          <w:color w:val="auto"/>
          <w:sz w:val="24"/>
          <w:highlight w:val="none"/>
          <w:lang w:val="en-US" w:eastAsia="zh-CN"/>
        </w:rPr>
        <w:t>详见“9展示文件</w:t>
      </w:r>
      <w:r>
        <w:rPr>
          <w:rFonts w:hint="default" w:ascii="宋体" w:hAnsi="宋体" w:eastAsia="宋体" w:cs="Times New Roman"/>
          <w:color w:val="auto"/>
          <w:sz w:val="24"/>
          <w:highlight w:val="none"/>
          <w:lang w:eastAsia="zh-CN"/>
        </w:rPr>
        <w:t>（展板）</w:t>
      </w:r>
      <w:r>
        <w:rPr>
          <w:rFonts w:hint="eastAsia" w:ascii="宋体" w:hAnsi="宋体" w:eastAsia="宋体" w:cs="Times New Roman"/>
          <w:color w:val="auto"/>
          <w:sz w:val="24"/>
          <w:highlight w:val="none"/>
          <w:lang w:val="en-US" w:eastAsia="zh-CN"/>
        </w:rPr>
        <w:t>”、“10多媒体演示文件”、“11</w:t>
      </w:r>
      <w:r>
        <w:rPr>
          <w:rFonts w:hint="default" w:ascii="宋体" w:hAnsi="宋体" w:eastAsia="宋体" w:cs="Times New Roman"/>
          <w:color w:val="auto"/>
          <w:sz w:val="24"/>
          <w:highlight w:val="none"/>
          <w:lang w:eastAsia="zh-CN"/>
        </w:rPr>
        <w:t>展示</w:t>
      </w:r>
      <w:r>
        <w:rPr>
          <w:rFonts w:hint="eastAsia" w:ascii="宋体" w:hAnsi="宋体" w:eastAsia="宋体" w:cs="Times New Roman"/>
          <w:color w:val="auto"/>
          <w:sz w:val="24"/>
          <w:highlight w:val="none"/>
          <w:lang w:val="en-US" w:eastAsia="zh-CN"/>
        </w:rPr>
        <w:t>模型”</w:t>
      </w:r>
      <w:r>
        <w:rPr>
          <w:rFonts w:hint="default"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w:t>
      </w:r>
      <w:r>
        <w:rPr>
          <w:rFonts w:hint="default" w:ascii="宋体" w:hAnsi="宋体" w:eastAsia="宋体" w:cs="Times New Roman"/>
          <w:b/>
          <w:bCs/>
          <w:color w:val="auto"/>
          <w:sz w:val="24"/>
          <w:highlight w:val="none"/>
          <w:u w:val="single"/>
          <w:lang w:val="en-US" w:eastAsia="zh-CN"/>
        </w:rPr>
        <w:t>1</w:t>
      </w:r>
      <w:r>
        <w:rPr>
          <w:rFonts w:hint="default" w:ascii="宋体" w:hAnsi="宋体" w:eastAsia="宋体" w:cs="Times New Roman"/>
          <w:b/>
          <w:bCs/>
          <w:color w:val="auto"/>
          <w:sz w:val="24"/>
          <w:highlight w:val="none"/>
          <w:u w:val="single"/>
          <w:lang w:eastAsia="zh-CN"/>
        </w:rPr>
        <w:t>2设计方案文本</w:t>
      </w:r>
      <w:r>
        <w:rPr>
          <w:rFonts w:hint="eastAsia" w:ascii="宋体" w:hAnsi="宋体" w:eastAsia="宋体" w:cs="Times New Roman"/>
          <w:color w:val="auto"/>
          <w:sz w:val="24"/>
          <w:highlight w:val="none"/>
          <w:lang w:val="en-US" w:eastAsia="zh-CN"/>
        </w:rPr>
        <w:t>”。</w:t>
      </w:r>
    </w:p>
    <w:p>
      <w:pPr>
        <w:widowControl w:val="0"/>
        <w:ind w:firstLine="200" w:firstLineChars="100"/>
        <w:jc w:val="both"/>
        <w:rPr>
          <w:rFonts w:ascii="Times New Roman" w:hAnsi="Times New Roman" w:eastAsia="宋体" w:cs="Times New Roman"/>
          <w:color w:val="auto"/>
          <w:kern w:val="2"/>
          <w:sz w:val="20"/>
          <w:szCs w:val="20"/>
          <w:highlight w:val="none"/>
          <w:lang w:val="en-US" w:eastAsia="zh-CN" w:bidi="ar-SA"/>
        </w:rPr>
      </w:pPr>
    </w:p>
    <w:p>
      <w:pPr>
        <w:spacing w:line="360" w:lineRule="auto"/>
        <w:rPr>
          <w:rFonts w:ascii="宋体" w:hAnsi="宋体" w:eastAsia="宋体" w:cs="Times New Roman"/>
          <w:b/>
          <w:color w:val="auto"/>
          <w:sz w:val="24"/>
          <w:highlight w:val="none"/>
        </w:rPr>
      </w:pPr>
      <w:r>
        <w:rPr>
          <w:rFonts w:ascii="宋体" w:hAnsi="宋体" w:eastAsia="宋体" w:cs="Times New Roman"/>
          <w:b/>
          <w:color w:val="auto"/>
          <w:sz w:val="24"/>
          <w:highlight w:val="none"/>
        </w:rPr>
        <w:t xml:space="preserve">5      </w:t>
      </w:r>
      <w:r>
        <w:rPr>
          <w:rFonts w:hint="eastAsia" w:ascii="宋体" w:hAnsi="宋体" w:eastAsia="宋体" w:cs="Times New Roman"/>
          <w:b/>
          <w:bCs/>
          <w:color w:val="auto"/>
          <w:sz w:val="24"/>
          <w:highlight w:val="none"/>
        </w:rPr>
        <w:t>深度要求</w:t>
      </w:r>
    </w:p>
    <w:p>
      <w:pPr>
        <w:spacing w:line="360" w:lineRule="auto"/>
        <w:ind w:left="821" w:hanging="820" w:hangingChars="342"/>
        <w:jc w:val="left"/>
        <w:rPr>
          <w:rFonts w:ascii="宋体" w:hAnsi="宋体" w:eastAsia="宋体" w:cs="Times New Roman"/>
          <w:color w:val="auto"/>
          <w:sz w:val="24"/>
          <w:highlight w:val="none"/>
        </w:rPr>
      </w:pPr>
      <w:r>
        <w:rPr>
          <w:rFonts w:ascii="宋体" w:hAnsi="宋体" w:eastAsia="宋体" w:cs="Times New Roman"/>
          <w:color w:val="auto"/>
          <w:sz w:val="24"/>
          <w:highlight w:val="none"/>
        </w:rPr>
        <w:t xml:space="preserve">5.1    </w:t>
      </w:r>
      <w:r>
        <w:rPr>
          <w:rFonts w:hint="eastAsia" w:ascii="宋体" w:hAnsi="宋体" w:eastAsia="宋体" w:cs="Times New Roman"/>
          <w:color w:val="auto"/>
          <w:sz w:val="24"/>
          <w:highlight w:val="none"/>
        </w:rPr>
        <w:t>投标深度要求：</w:t>
      </w:r>
    </w:p>
    <w:p>
      <w:pPr>
        <w:spacing w:line="360" w:lineRule="auto"/>
        <w:ind w:left="821" w:hanging="820" w:hangingChars="342"/>
        <w:jc w:val="left"/>
        <w:rPr>
          <w:rFonts w:ascii="宋体" w:hAnsi="宋体" w:eastAsia="宋体" w:cs="Times New Roman"/>
          <w:color w:val="auto"/>
          <w:sz w:val="24"/>
          <w:highlight w:val="none"/>
        </w:rPr>
      </w:pPr>
      <w:r>
        <w:rPr>
          <w:rFonts w:ascii="Calibri" w:hAnsi="宋体" w:eastAsia="宋体" w:cs="Times New Roman"/>
          <w:color w:val="auto"/>
          <w:sz w:val="24"/>
          <w:highlight w:val="none"/>
        </w:rPr>
        <w:t xml:space="preserve">   </w:t>
      </w:r>
      <w:r>
        <w:rPr>
          <w:rFonts w:ascii="宋体" w:hAnsi="宋体" w:eastAsia="宋体" w:cs="Times New Roman"/>
          <w:color w:val="auto"/>
          <w:sz w:val="24"/>
          <w:highlight w:val="none"/>
        </w:rPr>
        <w:t xml:space="preserve">(a) </w:t>
      </w:r>
      <w:r>
        <w:rPr>
          <w:rFonts w:hint="eastAsia" w:ascii="宋体" w:hAnsi="宋体" w:eastAsia="宋体" w:cs="Times New Roman"/>
          <w:color w:val="auto"/>
          <w:sz w:val="24"/>
          <w:highlight w:val="none"/>
        </w:rPr>
        <w:t>建筑工程设计投标文件宜达到建设部《建筑工程设计文件编制深度规定》（</w:t>
      </w:r>
      <w:r>
        <w:rPr>
          <w:rFonts w:ascii="宋体" w:hAnsi="宋体" w:eastAsia="宋体" w:cs="Times New Roman"/>
          <w:color w:val="auto"/>
          <w:sz w:val="24"/>
          <w:highlight w:val="none"/>
        </w:rPr>
        <w:t>2016年版）相应设计阶段的要求。</w:t>
      </w:r>
    </w:p>
    <w:p>
      <w:pPr>
        <w:spacing w:line="360" w:lineRule="auto"/>
        <w:ind w:left="821" w:hanging="820" w:hangingChars="342"/>
        <w:jc w:val="left"/>
        <w:rPr>
          <w:rFonts w:ascii="宋体" w:hAnsi="宋体" w:eastAsia="宋体" w:cs="Times New Roman"/>
          <w:strike/>
          <w:color w:val="auto"/>
          <w:sz w:val="24"/>
          <w:highlight w:val="none"/>
          <w:u w:val="single"/>
        </w:rPr>
      </w:pPr>
      <w:r>
        <w:rPr>
          <w:rFonts w:ascii="宋体" w:hAnsi="宋体" w:eastAsia="宋体" w:cs="Times New Roman"/>
          <w:color w:val="auto"/>
          <w:sz w:val="24"/>
          <w:highlight w:val="none"/>
        </w:rPr>
        <w:t xml:space="preserve">   </w:t>
      </w:r>
      <w:r>
        <w:rPr>
          <w:rFonts w:ascii="宋体" w:hAnsi="宋体" w:eastAsia="宋体" w:cs="Times New Roman"/>
          <w:strike/>
          <w:color w:val="auto"/>
          <w:sz w:val="24"/>
          <w:highlight w:val="none"/>
        </w:rPr>
        <w:t>(b)</w:t>
      </w:r>
      <w:r>
        <w:rPr>
          <w:rFonts w:ascii="宋体" w:hAnsi="宋体" w:eastAsia="宋体" w:cs="Times New Roman"/>
          <w:strike/>
          <w:color w:val="auto"/>
          <w:sz w:val="24"/>
          <w:highlight w:val="none"/>
          <w:u w:val="single"/>
        </w:rPr>
        <w:t xml:space="preserve"> 市政工程设计投标文件宜达到建设部《市政公用工程设计文件编制深度规定》相应设计阶段的要求。</w:t>
      </w:r>
    </w:p>
    <w:p>
      <w:pPr>
        <w:spacing w:line="360" w:lineRule="auto"/>
        <w:ind w:left="821" w:hanging="820" w:hangingChars="342"/>
        <w:jc w:val="left"/>
        <w:rPr>
          <w:rFonts w:ascii="宋体" w:hAnsi="宋体" w:eastAsia="宋体" w:cs="Times New Roman"/>
          <w:color w:val="auto"/>
          <w:sz w:val="24"/>
          <w:highlight w:val="none"/>
        </w:rPr>
      </w:pPr>
      <w:r>
        <w:rPr>
          <w:rFonts w:ascii="宋体" w:hAnsi="宋体" w:eastAsia="宋体" w:cs="Times New Roman"/>
          <w:color w:val="auto"/>
          <w:sz w:val="24"/>
          <w:highlight w:val="none"/>
        </w:rPr>
        <w:t xml:space="preserve">   (c) 装饰工程设计投标文件，应提供效果图、平面布置图、天花平面图、立面图，以及《材料表》和《投资估算表》。《投资估算表》应列出明细表，豪华灯具、地毯、洁具、重要设备应列出品牌、型号、数量和价格，所有活动家具不包括在工程造价估算以内。</w:t>
      </w:r>
    </w:p>
    <w:p>
      <w:pPr>
        <w:spacing w:line="360" w:lineRule="auto"/>
        <w:jc w:val="left"/>
        <w:rPr>
          <w:rFonts w:ascii="宋体" w:hAnsi="宋体" w:eastAsia="宋体" w:cs="Times New Roman"/>
          <w:color w:val="auto"/>
          <w:sz w:val="24"/>
          <w:highlight w:val="none"/>
        </w:rPr>
      </w:pPr>
      <w:r>
        <w:rPr>
          <w:rFonts w:ascii="宋体" w:hAnsi="宋体" w:eastAsia="宋体" w:cs="Times New Roman"/>
          <w:color w:val="auto"/>
          <w:sz w:val="24"/>
          <w:highlight w:val="none"/>
        </w:rPr>
        <w:t xml:space="preserve">   (d) 设计独特具有独创性的节点位置，应该提供示意图。</w:t>
      </w:r>
    </w:p>
    <w:p>
      <w:pPr>
        <w:widowControl w:val="0"/>
        <w:ind w:firstLine="200" w:firstLineChars="100"/>
        <w:jc w:val="both"/>
        <w:rPr>
          <w:rFonts w:ascii="Times New Roman" w:hAnsi="Times New Roman" w:eastAsia="宋体" w:cs="Times New Roman"/>
          <w:color w:val="auto"/>
          <w:kern w:val="2"/>
          <w:sz w:val="20"/>
          <w:szCs w:val="20"/>
          <w:highlight w:val="none"/>
          <w:lang w:val="en-US" w:eastAsia="zh-CN" w:bidi="ar-SA"/>
        </w:rPr>
      </w:pPr>
    </w:p>
    <w:p>
      <w:pPr>
        <w:spacing w:line="360" w:lineRule="auto"/>
        <w:jc w:val="left"/>
        <w:rPr>
          <w:rFonts w:ascii="宋体" w:hAnsi="宋体" w:eastAsia="宋体" w:cs="Times New Roman"/>
          <w:b/>
          <w:bCs/>
          <w:color w:val="auto"/>
          <w:sz w:val="24"/>
          <w:highlight w:val="none"/>
        </w:rPr>
      </w:pPr>
      <w:r>
        <w:rPr>
          <w:rFonts w:ascii="宋体" w:hAnsi="宋体" w:eastAsia="宋体" w:cs="Times New Roman"/>
          <w:b/>
          <w:bCs/>
          <w:color w:val="auto"/>
          <w:sz w:val="24"/>
          <w:highlight w:val="none"/>
        </w:rPr>
        <w:t>6    资格审查文件</w:t>
      </w:r>
      <w:r>
        <w:rPr>
          <w:rFonts w:hint="eastAsia" w:ascii="宋体" w:hAnsi="宋体" w:eastAsia="宋体" w:cs="Times New Roman"/>
          <w:b/>
          <w:bCs/>
          <w:strike/>
          <w:color w:val="auto"/>
          <w:sz w:val="24"/>
          <w:highlight w:val="none"/>
        </w:rPr>
        <w:t>（如有）</w:t>
      </w:r>
    </w:p>
    <w:p>
      <w:pPr>
        <w:widowControl w:val="0"/>
        <w:spacing w:line="360" w:lineRule="auto"/>
        <w:ind w:firstLine="0" w:firstLineChars="0"/>
        <w:jc w:val="both"/>
        <w:rPr>
          <w:rFonts w:ascii="宋体" w:hAnsi="宋体" w:eastAsia="宋体" w:cs="Times New Roman"/>
          <w:color w:val="auto"/>
          <w:kern w:val="0"/>
          <w:sz w:val="24"/>
          <w:szCs w:val="24"/>
          <w:highlight w:val="none"/>
          <w:lang w:val="en-US" w:eastAsia="zh-CN" w:bidi="ar-SA"/>
        </w:rPr>
      </w:pPr>
    </w:p>
    <w:p>
      <w:pPr>
        <w:spacing w:line="360" w:lineRule="auto"/>
        <w:rPr>
          <w:rFonts w:ascii="宋体" w:hAnsi="宋体" w:eastAsia="宋体" w:cs="Times New Roman"/>
          <w:color w:val="auto"/>
          <w:sz w:val="24"/>
          <w:highlight w:val="none"/>
        </w:rPr>
      </w:pPr>
      <w:bookmarkStart w:id="34" w:name="_Hlk114219858"/>
      <w:r>
        <w:rPr>
          <w:rFonts w:ascii="宋体" w:hAnsi="宋体" w:eastAsia="宋体" w:cs="Times New Roman"/>
          <w:color w:val="auto"/>
          <w:sz w:val="24"/>
          <w:highlight w:val="none"/>
        </w:rPr>
        <w:t xml:space="preserve">6.1   </w:t>
      </w:r>
      <w:r>
        <w:rPr>
          <w:rFonts w:hint="eastAsia" w:ascii="宋体" w:hAnsi="宋体" w:eastAsia="宋体" w:cs="Times New Roman"/>
          <w:color w:val="auto"/>
          <w:sz w:val="24"/>
          <w:highlight w:val="none"/>
        </w:rPr>
        <w:t>资格审查文件内容：</w:t>
      </w:r>
    </w:p>
    <w:bookmarkEnd w:id="34"/>
    <w:p>
      <w:pPr>
        <w:spacing w:line="360" w:lineRule="auto"/>
        <w:rPr>
          <w:rFonts w:ascii="宋体" w:hAnsi="宋体" w:eastAsia="宋体" w:cs="Times New Roman"/>
          <w:color w:val="auto"/>
          <w:sz w:val="24"/>
          <w:highlight w:val="none"/>
        </w:rPr>
      </w:pPr>
      <w:r>
        <w:rPr>
          <w:rFonts w:ascii="宋体" w:hAnsi="宋体" w:eastAsia="宋体" w:cs="Times New Roman"/>
          <w:color w:val="auto"/>
          <w:sz w:val="24"/>
          <w:highlight w:val="none"/>
        </w:rPr>
        <w:t xml:space="preserve">   (a) 目录；</w:t>
      </w:r>
    </w:p>
    <w:p>
      <w:pPr>
        <w:spacing w:line="360" w:lineRule="auto"/>
        <w:ind w:left="853" w:leftChars="-51" w:hanging="960" w:hangingChars="400"/>
        <w:rPr>
          <w:rFonts w:ascii="宋体" w:hAnsi="宋体" w:eastAsia="宋体" w:cs="Times New Roman"/>
          <w:color w:val="auto"/>
          <w:sz w:val="24"/>
          <w:highlight w:val="none"/>
        </w:rPr>
      </w:pPr>
      <w:r>
        <w:rPr>
          <w:rFonts w:ascii="宋体" w:hAnsi="宋体" w:eastAsia="宋体" w:cs="Times New Roman"/>
          <w:color w:val="auto"/>
          <w:sz w:val="24"/>
          <w:highlight w:val="none"/>
        </w:rPr>
        <w:t xml:space="preserve">    (b) </w:t>
      </w:r>
      <w:r>
        <w:rPr>
          <w:rFonts w:hint="eastAsia" w:ascii="宋体" w:hAnsi="宋体" w:eastAsia="宋体" w:cs="Times New Roman"/>
          <w:color w:val="auto"/>
          <w:sz w:val="24"/>
          <w:highlight w:val="none"/>
        </w:rPr>
        <w:t>填妥并签字盖章的《投标书》</w:t>
      </w:r>
      <w:r>
        <w:rPr>
          <w:rFonts w:hint="eastAsia" w:ascii="宋体" w:hAnsi="宋体" w:cs="宋体"/>
          <w:color w:val="auto"/>
          <w:sz w:val="24"/>
          <w:szCs w:val="24"/>
          <w:highlight w:val="none"/>
          <w:lang w:eastAsia="zh-CN"/>
        </w:rPr>
        <w:t>（</w:t>
      </w:r>
      <w:r>
        <w:rPr>
          <w:rFonts w:hint="eastAsia" w:ascii="宋体" w:hAnsi="宋体"/>
          <w:color w:val="auto"/>
          <w:sz w:val="24"/>
          <w:highlight w:val="none"/>
          <w:lang w:bidi="ar"/>
        </w:rPr>
        <w:t>如需使用投标文件光盘备用评审的，评标委员会根据投标文件光盘备用“③开标信封”中的《投标书》进行评审</w:t>
      </w:r>
      <w:r>
        <w:rPr>
          <w:rFonts w:hint="eastAsia" w:ascii="宋体" w:hAnsi="宋体" w:cs="宋体"/>
          <w:color w:val="auto"/>
          <w:sz w:val="24"/>
          <w:szCs w:val="24"/>
          <w:highlight w:val="none"/>
          <w:lang w:eastAsia="zh-CN"/>
        </w:rPr>
        <w:t>）</w:t>
      </w:r>
      <w:r>
        <w:rPr>
          <w:rFonts w:hint="eastAsia" w:ascii="宋体" w:hAnsi="宋体" w:eastAsia="宋体" w:cs="Times New Roman"/>
          <w:color w:val="auto"/>
          <w:sz w:val="24"/>
          <w:highlight w:val="none"/>
        </w:rPr>
        <w:t>；</w:t>
      </w:r>
    </w:p>
    <w:p>
      <w:pPr>
        <w:spacing w:line="360" w:lineRule="auto"/>
        <w:ind w:firstLine="360" w:firstLineChars="150"/>
        <w:rPr>
          <w:rFonts w:ascii="宋体" w:hAnsi="宋体" w:eastAsia="宋体" w:cs="Times New Roman"/>
          <w:color w:val="auto"/>
          <w:sz w:val="24"/>
          <w:highlight w:val="none"/>
        </w:rPr>
      </w:pPr>
      <w:r>
        <w:rPr>
          <w:rFonts w:ascii="宋体" w:hAnsi="宋体" w:eastAsia="宋体" w:cs="Times New Roman"/>
          <w:color w:val="auto"/>
          <w:sz w:val="24"/>
          <w:highlight w:val="none"/>
        </w:rPr>
        <w:t xml:space="preserve">(c) </w:t>
      </w:r>
      <w:r>
        <w:rPr>
          <w:rFonts w:hint="eastAsia" w:ascii="宋体" w:hAnsi="宋体" w:eastAsia="宋体" w:cs="Times New Roman"/>
          <w:color w:val="auto"/>
          <w:sz w:val="24"/>
          <w:highlight w:val="none"/>
        </w:rPr>
        <w:t>填妥</w:t>
      </w:r>
      <w:r>
        <w:rPr>
          <w:rFonts w:hint="eastAsia" w:ascii="Calibri" w:hAnsi="宋体" w:eastAsia="宋体" w:cs="Times New Roman"/>
          <w:dstrike/>
          <w:color w:val="auto"/>
          <w:sz w:val="24"/>
          <w:highlight w:val="none"/>
        </w:rPr>
        <w:t>并盖章</w:t>
      </w:r>
      <w:r>
        <w:rPr>
          <w:rFonts w:hint="eastAsia" w:ascii="宋体" w:hAnsi="宋体" w:eastAsia="宋体" w:cs="Times New Roman"/>
          <w:color w:val="auto"/>
          <w:sz w:val="24"/>
          <w:highlight w:val="none"/>
        </w:rPr>
        <w:t>的《投标人声明》（格式见附录</w:t>
      </w:r>
      <w:r>
        <w:rPr>
          <w:rFonts w:ascii="宋体" w:hAnsi="宋体" w:eastAsia="宋体" w:cs="Times New Roman"/>
          <w:color w:val="auto"/>
          <w:sz w:val="24"/>
          <w:highlight w:val="none"/>
        </w:rPr>
        <w:t>8）；</w:t>
      </w:r>
    </w:p>
    <w:p>
      <w:pPr>
        <w:spacing w:line="360" w:lineRule="auto"/>
        <w:ind w:left="821" w:hanging="820" w:hangingChars="342"/>
        <w:rPr>
          <w:rFonts w:ascii="宋体" w:hAnsi="宋体" w:eastAsia="宋体" w:cs="Times New Roman"/>
          <w:color w:val="auto"/>
          <w:sz w:val="24"/>
          <w:highlight w:val="none"/>
        </w:rPr>
      </w:pPr>
      <w:r>
        <w:rPr>
          <w:rFonts w:ascii="宋体" w:hAnsi="宋体" w:eastAsia="宋体" w:cs="Times New Roman"/>
          <w:color w:val="auto"/>
          <w:sz w:val="24"/>
          <w:highlight w:val="none"/>
        </w:rPr>
        <w:t xml:space="preserve">   (d) 填妥并签字盖章的《</w:t>
      </w:r>
      <w:r>
        <w:rPr>
          <w:rFonts w:hint="eastAsia" w:ascii="Calibri" w:hAnsi="宋体" w:eastAsia="宋体" w:cs="Times New Roman"/>
          <w:color w:val="auto"/>
          <w:sz w:val="24"/>
          <w:highlight w:val="none"/>
        </w:rPr>
        <w:t>联合体共同投标协议</w:t>
      </w:r>
      <w:r>
        <w:rPr>
          <w:rFonts w:hint="eastAsia" w:ascii="宋体" w:hAnsi="宋体" w:eastAsia="宋体" w:cs="Times New Roman"/>
          <w:color w:val="auto"/>
          <w:sz w:val="24"/>
          <w:highlight w:val="none"/>
        </w:rPr>
        <w:t>》（联合体投标人提供）</w:t>
      </w:r>
      <w:r>
        <w:rPr>
          <w:rFonts w:hint="eastAsia" w:ascii="宋体" w:hAnsi="宋体"/>
          <w:strike w:val="0"/>
          <w:color w:val="auto"/>
          <w:sz w:val="24"/>
          <w:highlight w:val="none"/>
          <w:lang w:bidi="ar"/>
        </w:rPr>
        <w:t>（如需使用投标文件光盘备用评审的，评标委员会根据投标文件光盘备用“③开标信封”中的《</w:t>
      </w:r>
      <w:r>
        <w:rPr>
          <w:rFonts w:hint="eastAsia" w:ascii="宋体" w:hAnsi="宋体"/>
          <w:strike w:val="0"/>
          <w:color w:val="auto"/>
          <w:sz w:val="24"/>
          <w:highlight w:val="none"/>
          <w:lang w:eastAsia="zh-CN" w:bidi="ar"/>
        </w:rPr>
        <w:t>联合体</w:t>
      </w:r>
      <w:r>
        <w:rPr>
          <w:rFonts w:hint="eastAsia" w:ascii="宋体" w:hAnsi="宋体"/>
          <w:strike w:val="0"/>
          <w:color w:val="auto"/>
          <w:sz w:val="24"/>
          <w:highlight w:val="none"/>
          <w:lang w:bidi="ar"/>
        </w:rPr>
        <w:t>共同投标协议》进行评审）</w:t>
      </w:r>
      <w:r>
        <w:rPr>
          <w:rFonts w:hint="eastAsia" w:ascii="宋体" w:hAnsi="宋体" w:eastAsia="宋体" w:cs="Times New Roman"/>
          <w:color w:val="auto"/>
          <w:sz w:val="24"/>
          <w:highlight w:val="none"/>
        </w:rPr>
        <w:t>；</w:t>
      </w:r>
    </w:p>
    <w:p>
      <w:pPr>
        <w:spacing w:line="360" w:lineRule="auto"/>
        <w:ind w:left="821" w:hanging="820" w:hangingChars="342"/>
        <w:rPr>
          <w:rFonts w:ascii="宋体" w:hAnsi="宋体" w:eastAsia="宋体" w:cs="Times New Roman"/>
          <w:color w:val="auto"/>
          <w:sz w:val="24"/>
          <w:highlight w:val="none"/>
        </w:rPr>
      </w:pPr>
      <w:r>
        <w:rPr>
          <w:rFonts w:ascii="宋体" w:hAnsi="宋体" w:eastAsia="宋体" w:cs="Times New Roman"/>
          <w:color w:val="auto"/>
          <w:sz w:val="24"/>
          <w:highlight w:val="none"/>
        </w:rPr>
        <w:t xml:space="preserve">   (e) 填妥并签字盖章的《合作设计协议</w:t>
      </w:r>
      <w:r>
        <w:rPr>
          <w:rFonts w:hint="eastAsia" w:ascii="宋体" w:hAnsi="宋体" w:eastAsia="宋体" w:cs="Times New Roman"/>
          <w:color w:val="auto"/>
          <w:sz w:val="24"/>
          <w:highlight w:val="none"/>
          <w:lang w:val="en-US" w:eastAsia="zh-CN"/>
        </w:rPr>
        <w:t>书</w:t>
      </w:r>
      <w:r>
        <w:rPr>
          <w:rFonts w:ascii="宋体" w:hAnsi="宋体" w:eastAsia="宋体" w:cs="Times New Roman"/>
          <w:color w:val="auto"/>
          <w:sz w:val="24"/>
          <w:highlight w:val="none"/>
        </w:rPr>
        <w:t>》（外国或香港、澳门、台湾的设计企业提供）（格式见附录 7-1）；</w:t>
      </w:r>
    </w:p>
    <w:p>
      <w:pPr>
        <w:spacing w:line="360" w:lineRule="auto"/>
        <w:ind w:left="821" w:hanging="820" w:hangingChars="342"/>
        <w:rPr>
          <w:rFonts w:ascii="宋体" w:hAnsi="宋体" w:eastAsia="宋体" w:cs="Times New Roman"/>
          <w:color w:val="auto"/>
          <w:sz w:val="24"/>
          <w:highlight w:val="none"/>
        </w:rPr>
      </w:pPr>
      <w:r>
        <w:rPr>
          <w:rFonts w:ascii="宋体" w:hAnsi="宋体" w:eastAsia="宋体" w:cs="Times New Roman"/>
          <w:color w:val="auto"/>
          <w:sz w:val="24"/>
          <w:highlight w:val="none"/>
        </w:rPr>
        <w:t xml:space="preserve">   (f)</w:t>
      </w:r>
      <w:r>
        <w:rPr>
          <w:rFonts w:hint="eastAsia" w:ascii="Calibri" w:hAnsi="宋体" w:eastAsia="宋体" w:cs="Times New Roman"/>
          <w:color w:val="auto"/>
          <w:sz w:val="24"/>
          <w:highlight w:val="none"/>
        </w:rPr>
        <w:t>投标人</w:t>
      </w:r>
      <w:r>
        <w:rPr>
          <w:rFonts w:hint="eastAsia" w:ascii="宋体" w:hAnsi="宋体" w:eastAsia="宋体" w:cs="Times New Roman"/>
          <w:color w:val="auto"/>
          <w:sz w:val="24"/>
          <w:highlight w:val="none"/>
        </w:rPr>
        <w:t>资质证书</w:t>
      </w:r>
      <w:r>
        <w:rPr>
          <w:rFonts w:hint="eastAsia" w:ascii="宋体" w:hAnsi="宋体" w:cs="宋体"/>
          <w:color w:val="auto"/>
          <w:sz w:val="24"/>
          <w:szCs w:val="24"/>
          <w:highlight w:val="none"/>
        </w:rPr>
        <w:t>扫描件或电子证照</w:t>
      </w:r>
      <w:r>
        <w:rPr>
          <w:rFonts w:hint="eastAsia" w:ascii="宋体" w:hAnsi="宋体" w:eastAsia="宋体" w:cs="Times New Roman"/>
          <w:color w:val="auto"/>
          <w:sz w:val="24"/>
          <w:highlight w:val="none"/>
        </w:rPr>
        <w:t>；</w:t>
      </w:r>
    </w:p>
    <w:p>
      <w:pPr>
        <w:spacing w:line="360" w:lineRule="auto"/>
        <w:ind w:left="789" w:leftChars="67" w:hanging="648" w:hangingChars="270"/>
        <w:rPr>
          <w:rFonts w:ascii="宋体" w:hAnsi="宋体" w:eastAsia="宋体" w:cs="Times New Roman"/>
          <w:color w:val="auto"/>
          <w:sz w:val="24"/>
          <w:highlight w:val="none"/>
        </w:rPr>
      </w:pPr>
      <w:r>
        <w:rPr>
          <w:rFonts w:ascii="Calibri" w:hAnsi="宋体" w:eastAsia="宋体" w:cs="Times New Roman"/>
          <w:color w:val="auto"/>
          <w:sz w:val="24"/>
          <w:highlight w:val="none"/>
        </w:rPr>
        <w:t xml:space="preserve">  (g) </w:t>
      </w:r>
      <w:r>
        <w:rPr>
          <w:rFonts w:hint="eastAsia" w:ascii="Calibri" w:hAnsi="宋体" w:eastAsia="宋体" w:cs="Times New Roman"/>
          <w:color w:val="auto"/>
          <w:sz w:val="24"/>
          <w:highlight w:val="none"/>
        </w:rPr>
        <w:t>申请人（如为联合体，则联合体各方）已在广州市住房和城乡建设局建立企业信用档案，拟委派的项目负责人须是本企业信用档案中的在册人员。</w:t>
      </w:r>
    </w:p>
    <w:p>
      <w:pPr>
        <w:spacing w:line="360" w:lineRule="auto"/>
        <w:ind w:left="759" w:leftChars="167" w:hanging="408" w:hangingChars="170"/>
        <w:rPr>
          <w:rFonts w:ascii="宋体" w:hAnsi="宋体" w:eastAsia="宋体" w:cs="Times New Roman"/>
          <w:dstrike/>
          <w:color w:val="auto"/>
          <w:sz w:val="24"/>
          <w:highlight w:val="none"/>
        </w:rPr>
      </w:pPr>
      <w:r>
        <w:rPr>
          <w:rFonts w:ascii="Calibri" w:hAnsi="宋体" w:eastAsia="宋体" w:cs="Times New Roman"/>
          <w:dstrike/>
          <w:color w:val="auto"/>
          <w:sz w:val="24"/>
          <w:highlight w:val="none"/>
        </w:rPr>
        <w:t xml:space="preserve">(h) </w:t>
      </w:r>
      <w:r>
        <w:rPr>
          <w:rFonts w:hint="eastAsia" w:ascii="Calibri" w:hAnsi="宋体" w:eastAsia="宋体" w:cs="Times New Roman"/>
          <w:dstrike/>
          <w:color w:val="auto"/>
          <w:sz w:val="24"/>
          <w:highlight w:val="none"/>
        </w:rPr>
        <w:t>投标申请表（附录</w:t>
      </w:r>
      <w:r>
        <w:rPr>
          <w:rFonts w:ascii="Calibri" w:hAnsi="宋体" w:eastAsia="宋体" w:cs="Times New Roman"/>
          <w:dstrike/>
          <w:color w:val="auto"/>
          <w:sz w:val="24"/>
          <w:highlight w:val="none"/>
        </w:rPr>
        <w:t>1</w:t>
      </w:r>
      <w:r>
        <w:rPr>
          <w:rFonts w:hint="eastAsia" w:ascii="Calibri" w:hAnsi="宋体" w:eastAsia="宋体" w:cs="Times New Roman"/>
          <w:dstrike/>
          <w:color w:val="auto"/>
          <w:sz w:val="24"/>
          <w:highlight w:val="none"/>
        </w:rPr>
        <w:t>）；</w:t>
      </w:r>
    </w:p>
    <w:p>
      <w:pPr>
        <w:spacing w:line="360" w:lineRule="auto"/>
        <w:rPr>
          <w:rFonts w:ascii="宋体" w:hAnsi="宋体" w:eastAsia="宋体" w:cs="Times New Roman"/>
          <w:color w:val="auto"/>
          <w:sz w:val="24"/>
          <w:highlight w:val="none"/>
        </w:rPr>
      </w:pPr>
      <w:r>
        <w:rPr>
          <w:rFonts w:ascii="Calibri" w:hAnsi="宋体" w:eastAsia="宋体" w:cs="Times New Roman"/>
          <w:color w:val="auto"/>
          <w:sz w:val="24"/>
          <w:highlight w:val="none"/>
        </w:rPr>
        <w:t xml:space="preserve">   (i) </w:t>
      </w:r>
      <w:r>
        <w:rPr>
          <w:rFonts w:hint="eastAsia" w:ascii="Calibri" w:hAnsi="宋体" w:eastAsia="宋体" w:cs="Times New Roman"/>
          <w:color w:val="auto"/>
          <w:sz w:val="24"/>
          <w:highlight w:val="none"/>
        </w:rPr>
        <w:t>拟派</w:t>
      </w:r>
      <w:r>
        <w:rPr>
          <w:rFonts w:hint="eastAsia" w:ascii="宋体" w:hAnsi="宋体" w:eastAsia="宋体" w:cs="Times New Roman"/>
          <w:color w:val="auto"/>
          <w:sz w:val="24"/>
          <w:highlight w:val="none"/>
        </w:rPr>
        <w:t>项目负责人注册执业资格证书</w:t>
      </w:r>
      <w:r>
        <w:rPr>
          <w:rFonts w:hint="eastAsia" w:ascii="宋体" w:hAnsi="宋体" w:eastAsia="宋体" w:cs="Times New Roman"/>
          <w:strike/>
          <w:color w:val="auto"/>
          <w:sz w:val="24"/>
          <w:highlight w:val="none"/>
        </w:rPr>
        <w:t>或职称证书</w:t>
      </w:r>
      <w:r>
        <w:rPr>
          <w:rFonts w:hint="eastAsia" w:ascii="宋体" w:hAnsi="宋体" w:eastAsia="宋体" w:cs="Times New Roman"/>
          <w:color w:val="auto"/>
          <w:sz w:val="24"/>
          <w:highlight w:val="none"/>
        </w:rPr>
        <w:t>或符合本招标项目对项目负责人要求的香港专业人士的相关证书；</w:t>
      </w:r>
    </w:p>
    <w:p>
      <w:pPr>
        <w:spacing w:line="360" w:lineRule="auto"/>
        <w:ind w:firstLine="480" w:firstLineChars="200"/>
        <w:rPr>
          <w:rFonts w:ascii="宋体" w:hAnsi="宋体" w:eastAsia="宋体" w:cs="Times New Roman"/>
          <w:strike/>
          <w:color w:val="auto"/>
          <w:sz w:val="24"/>
          <w:highlight w:val="none"/>
        </w:rPr>
      </w:pPr>
      <w:r>
        <w:rPr>
          <w:rFonts w:ascii="Calibri" w:hAnsi="宋体" w:eastAsia="宋体" w:cs="Times New Roman"/>
          <w:strike/>
          <w:color w:val="auto"/>
          <w:sz w:val="24"/>
          <w:highlight w:val="none"/>
        </w:rPr>
        <w:t xml:space="preserve">(j) </w:t>
      </w:r>
      <w:r>
        <w:rPr>
          <w:rFonts w:hint="eastAsia" w:ascii="Calibri" w:hAnsi="宋体" w:eastAsia="宋体" w:cs="Times New Roman"/>
          <w:strike/>
          <w:color w:val="auto"/>
          <w:sz w:val="24"/>
          <w:highlight w:val="none"/>
        </w:rPr>
        <w:t>拟派各专业负责人注册</w:t>
      </w:r>
      <w:r>
        <w:rPr>
          <w:rFonts w:hint="eastAsia" w:ascii="宋体" w:hAnsi="宋体" w:eastAsia="宋体" w:cs="Times New Roman"/>
          <w:strike/>
          <w:color w:val="auto"/>
          <w:sz w:val="24"/>
          <w:highlight w:val="none"/>
        </w:rPr>
        <w:t>执业资格证书或职称证书及工作简历；</w:t>
      </w:r>
    </w:p>
    <w:p>
      <w:pPr>
        <w:spacing w:line="360" w:lineRule="auto"/>
        <w:rPr>
          <w:rFonts w:ascii="宋体" w:hAnsi="宋体" w:eastAsia="宋体" w:cs="Times New Roman"/>
          <w:color w:val="auto"/>
          <w:sz w:val="24"/>
          <w:highlight w:val="none"/>
        </w:rPr>
      </w:pPr>
      <w:r>
        <w:rPr>
          <w:rFonts w:ascii="Calibri" w:hAnsi="宋体" w:eastAsia="宋体" w:cs="Times New Roman"/>
          <w:color w:val="auto"/>
          <w:sz w:val="24"/>
          <w:highlight w:val="none"/>
        </w:rPr>
        <w:t xml:space="preserve">    (k)</w:t>
      </w:r>
      <w:r>
        <w:rPr>
          <w:rFonts w:ascii="宋体" w:hAnsi="宋体" w:eastAsia="宋体" w:cs="Times New Roman"/>
          <w:color w:val="auto"/>
          <w:sz w:val="24"/>
          <w:highlight w:val="none"/>
        </w:rPr>
        <w:t xml:space="preserve"> 投标人认为有必要提供的其他资料。</w:t>
      </w:r>
    </w:p>
    <w:p>
      <w:pPr>
        <w:widowControl/>
        <w:spacing w:line="360" w:lineRule="auto"/>
        <w:ind w:left="1083" w:leftChars="229" w:hanging="602" w:hangingChars="25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注：1.相关电子注册证书按规定需打印后手写本人签名的，应按照规定手写本人签名后再扫描提交。</w:t>
      </w:r>
    </w:p>
    <w:p>
      <w:pPr>
        <w:widowControl/>
        <w:spacing w:line="360" w:lineRule="auto"/>
        <w:ind w:left="1080" w:leftChars="457" w:hanging="120" w:hangingChars="50"/>
        <w:jc w:val="left"/>
        <w:rPr>
          <w:rFonts w:ascii="宋体" w:hAnsi="宋体" w:eastAsia="宋体" w:cs="Times New Roman"/>
          <w:b/>
          <w:bCs/>
          <w:color w:val="auto"/>
          <w:sz w:val="24"/>
          <w:highlight w:val="none"/>
        </w:rPr>
      </w:pPr>
      <w:r>
        <w:rPr>
          <w:rFonts w:hint="eastAsia" w:ascii="宋体" w:hAnsi="宋体" w:eastAsia="宋体" w:cs="宋体"/>
          <w:b/>
          <w:bCs/>
          <w:color w:val="auto"/>
          <w:kern w:val="2"/>
          <w:sz w:val="24"/>
          <w:szCs w:val="24"/>
          <w:highlight w:val="none"/>
        </w:rPr>
        <w:t>2.</w:t>
      </w:r>
      <w:r>
        <w:rPr>
          <w:rFonts w:hint="eastAsia" w:ascii="宋体" w:hAnsi="宋体" w:eastAsia="宋体" w:cs="宋体"/>
          <w:b/>
          <w:bCs/>
          <w:color w:val="auto"/>
          <w:kern w:val="2"/>
          <w:sz w:val="24"/>
          <w:szCs w:val="24"/>
          <w:highlight w:val="none"/>
          <w:u w:val="single"/>
          <w:lang w:val="en-US" w:eastAsia="zh-CN"/>
        </w:rPr>
        <w:t>申请人</w:t>
      </w:r>
      <w:r>
        <w:rPr>
          <w:rFonts w:hint="eastAsia" w:ascii="宋体" w:hAnsi="宋体" w:eastAsia="宋体" w:cs="宋体"/>
          <w:b/>
          <w:bCs/>
          <w:color w:val="auto"/>
          <w:kern w:val="2"/>
          <w:sz w:val="24"/>
          <w:szCs w:val="24"/>
          <w:highlight w:val="none"/>
          <w:u w:val="single"/>
        </w:rPr>
        <w:t>在投标登记时选择了拟投入本项目的项目负责人即已满足</w:t>
      </w:r>
      <w:r>
        <w:rPr>
          <w:rFonts w:hint="eastAsia" w:ascii="宋体" w:hAnsi="宋体" w:eastAsia="宋体" w:cs="宋体"/>
          <w:b/>
          <w:bCs/>
          <w:color w:val="auto"/>
          <w:kern w:val="2"/>
          <w:sz w:val="24"/>
          <w:szCs w:val="24"/>
          <w:highlight w:val="none"/>
          <w:u w:val="single"/>
          <w:lang w:val="en-US" w:eastAsia="zh-CN"/>
        </w:rPr>
        <w:t>“申请人（如为联合体，则联合体各方）已在广州市住房和城乡建设局建立企业信用档案，拟委派的项目负责人须是本企业信用档案中的在册人员”</w:t>
      </w:r>
      <w:r>
        <w:rPr>
          <w:rFonts w:hint="eastAsia" w:ascii="宋体" w:hAnsi="宋体" w:eastAsia="宋体" w:cs="宋体"/>
          <w:b/>
          <w:bCs/>
          <w:color w:val="auto"/>
          <w:kern w:val="2"/>
          <w:sz w:val="24"/>
          <w:szCs w:val="24"/>
          <w:highlight w:val="none"/>
          <w:u w:val="single"/>
        </w:rPr>
        <w:t>的要求，</w:t>
      </w:r>
      <w:r>
        <w:rPr>
          <w:rFonts w:hint="eastAsia" w:ascii="宋体" w:hAnsi="宋体" w:eastAsia="宋体" w:cs="宋体"/>
          <w:b/>
          <w:bCs/>
          <w:color w:val="auto"/>
          <w:kern w:val="2"/>
          <w:sz w:val="24"/>
          <w:szCs w:val="24"/>
          <w:highlight w:val="none"/>
          <w:u w:val="single"/>
          <w:lang w:val="en-US" w:eastAsia="zh-CN"/>
        </w:rPr>
        <w:t>申请人</w:t>
      </w:r>
      <w:r>
        <w:rPr>
          <w:rFonts w:hint="eastAsia" w:ascii="宋体" w:hAnsi="宋体" w:eastAsia="宋体" w:cs="宋体"/>
          <w:b/>
          <w:bCs/>
          <w:color w:val="auto"/>
          <w:kern w:val="2"/>
          <w:sz w:val="24"/>
          <w:szCs w:val="24"/>
          <w:highlight w:val="none"/>
          <w:u w:val="single"/>
        </w:rPr>
        <w:t>无需提供证明材料。</w:t>
      </w:r>
    </w:p>
    <w:p>
      <w:pPr>
        <w:widowControl w:val="0"/>
        <w:ind w:firstLine="400" w:firstLineChars="200"/>
        <w:jc w:val="both"/>
        <w:rPr>
          <w:rFonts w:ascii="Times New Roman" w:hAnsi="Times New Roman" w:eastAsia="宋体" w:cs="Times New Roman"/>
          <w:color w:val="auto"/>
          <w:kern w:val="0"/>
          <w:sz w:val="20"/>
          <w:szCs w:val="20"/>
          <w:highlight w:val="none"/>
          <w:lang w:val="en-US" w:eastAsia="zh-CN" w:bidi="ar-SA"/>
        </w:rPr>
      </w:pPr>
    </w:p>
    <w:p>
      <w:pPr>
        <w:spacing w:line="360" w:lineRule="auto"/>
        <w:ind w:left="361" w:hanging="361" w:hangingChars="150"/>
        <w:rPr>
          <w:rFonts w:ascii="宋体" w:hAnsi="宋体" w:eastAsia="宋体" w:cs="Times New Roman"/>
          <w:b/>
          <w:bCs/>
          <w:color w:val="auto"/>
          <w:sz w:val="24"/>
          <w:highlight w:val="none"/>
        </w:rPr>
      </w:pPr>
      <w:r>
        <w:rPr>
          <w:rFonts w:ascii="宋体" w:hAnsi="宋体" w:eastAsia="宋体" w:cs="Times New Roman"/>
          <w:b/>
          <w:bCs/>
          <w:color w:val="auto"/>
          <w:sz w:val="24"/>
          <w:highlight w:val="none"/>
        </w:rPr>
        <w:t xml:space="preserve">7    </w:t>
      </w:r>
      <w:r>
        <w:rPr>
          <w:rFonts w:hint="eastAsia" w:ascii="宋体" w:hAnsi="宋体" w:eastAsia="宋体" w:cs="Times New Roman"/>
          <w:b/>
          <w:bCs/>
          <w:color w:val="auto"/>
          <w:sz w:val="24"/>
          <w:highlight w:val="none"/>
          <w:u w:val="single"/>
        </w:rPr>
        <w:t>报价文件</w:t>
      </w:r>
    </w:p>
    <w:p>
      <w:pPr>
        <w:spacing w:line="360" w:lineRule="auto"/>
        <w:rPr>
          <w:rFonts w:ascii="宋体" w:hAnsi="宋体" w:eastAsia="宋体" w:cs="Times New Roman"/>
          <w:color w:val="auto"/>
          <w:sz w:val="24"/>
          <w:highlight w:val="none"/>
        </w:rPr>
      </w:pPr>
    </w:p>
    <w:p>
      <w:pPr>
        <w:spacing w:line="360" w:lineRule="auto"/>
        <w:ind w:firstLine="600" w:firstLineChars="250"/>
        <w:rPr>
          <w:rFonts w:ascii="宋体" w:hAnsi="宋体" w:eastAsia="宋体" w:cs="Times New Roman"/>
          <w:color w:val="auto"/>
          <w:sz w:val="24"/>
          <w:highlight w:val="none"/>
          <w:u w:val="single"/>
        </w:rPr>
      </w:pPr>
      <w:r>
        <w:rPr>
          <w:rFonts w:ascii="宋体" w:hAnsi="宋体" w:eastAsia="宋体" w:cs="Times New Roman"/>
          <w:color w:val="auto"/>
          <w:sz w:val="24"/>
          <w:highlight w:val="none"/>
          <w:u w:val="single"/>
        </w:rPr>
        <w:t>(a)《工程勘察设计费报价汇总表》（见附件3）；</w:t>
      </w:r>
    </w:p>
    <w:p>
      <w:pPr>
        <w:spacing w:line="360" w:lineRule="auto"/>
        <w:ind w:firstLine="480" w:firstLineChars="200"/>
        <w:rPr>
          <w:rFonts w:ascii="宋体" w:hAnsi="宋体" w:eastAsia="宋体" w:cs="Times New Roman"/>
          <w:color w:val="auto"/>
          <w:sz w:val="24"/>
          <w:highlight w:val="none"/>
          <w:u w:val="single"/>
        </w:rPr>
      </w:pPr>
      <w:r>
        <w:rPr>
          <w:rFonts w:ascii="宋体" w:hAnsi="宋体" w:eastAsia="宋体" w:cs="Times New Roman"/>
          <w:color w:val="auto"/>
          <w:sz w:val="24"/>
          <w:highlight w:val="none"/>
        </w:rPr>
        <w:t xml:space="preserve"> </w:t>
      </w:r>
      <w:r>
        <w:rPr>
          <w:rFonts w:ascii="宋体" w:hAnsi="宋体" w:eastAsia="宋体" w:cs="Times New Roman"/>
          <w:color w:val="auto"/>
          <w:sz w:val="24"/>
          <w:highlight w:val="none"/>
          <w:u w:val="single"/>
        </w:rPr>
        <w:t>(b)《工程设计费计算表》（见附件3－1）；</w:t>
      </w:r>
    </w:p>
    <w:p>
      <w:pPr>
        <w:spacing w:line="360" w:lineRule="auto"/>
        <w:ind w:firstLine="480" w:firstLineChars="200"/>
        <w:rPr>
          <w:rFonts w:hint="eastAsia" w:ascii="宋体" w:hAnsi="宋体" w:eastAsia="宋体" w:cs="Times New Roman"/>
          <w:color w:val="auto"/>
          <w:sz w:val="24"/>
          <w:highlight w:val="none"/>
          <w:u w:val="single"/>
        </w:rPr>
      </w:pPr>
      <w:r>
        <w:rPr>
          <w:rFonts w:ascii="宋体" w:hAnsi="宋体" w:eastAsia="宋体" w:cs="Times New Roman"/>
          <w:color w:val="auto"/>
          <w:sz w:val="24"/>
          <w:highlight w:val="none"/>
        </w:rPr>
        <w:t xml:space="preserve"> </w:t>
      </w:r>
      <w:r>
        <w:rPr>
          <w:rFonts w:ascii="宋体" w:hAnsi="宋体" w:eastAsia="宋体" w:cs="Times New Roman"/>
          <w:color w:val="auto"/>
          <w:sz w:val="24"/>
          <w:highlight w:val="none"/>
          <w:u w:val="single"/>
        </w:rPr>
        <w:t>(c)《工程勘察费计算表》（见附件3－2）。岩土工程勘察综合单价应包含全</w:t>
      </w:r>
      <w:r>
        <w:rPr>
          <w:rFonts w:hint="eastAsia" w:ascii="宋体" w:hAnsi="宋体" w:eastAsia="宋体" w:cs="Times New Roman"/>
          <w:color w:val="auto"/>
          <w:sz w:val="24"/>
          <w:highlight w:val="none"/>
          <w:u w:val="single"/>
        </w:rPr>
        <w:t>部费用成本、利润和税金，包含全部实物工作和技术工作。发包人将按照承发包双方确认的实际工程量乘以综合单价进行结算，对于超过深度要求的超钻部分，其工程量不予计量。除上述报价外，如果有另需付费的项目，应详细列明勘察工作和收费标准（内容、数量、单价、合价）</w:t>
      </w:r>
      <w:r>
        <w:rPr>
          <w:rFonts w:hint="default" w:ascii="宋体" w:hAnsi="宋体" w:eastAsia="宋体" w:cs="Times New Roman"/>
          <w:color w:val="auto"/>
          <w:sz w:val="24"/>
          <w:highlight w:val="none"/>
          <w:u w:val="single"/>
        </w:rPr>
        <w:t>；</w:t>
      </w:r>
    </w:p>
    <w:p>
      <w:pPr>
        <w:spacing w:line="360" w:lineRule="auto"/>
        <w:ind w:firstLine="480" w:firstLineChars="200"/>
        <w:rPr>
          <w:rFonts w:hint="default" w:ascii="宋体" w:hAnsi="宋体" w:eastAsia="宋体" w:cs="Times New Roman"/>
          <w:color w:val="auto"/>
          <w:sz w:val="24"/>
          <w:highlight w:val="none"/>
          <w:u w:val="single"/>
        </w:rPr>
      </w:pPr>
      <w:r>
        <w:rPr>
          <w:rFonts w:ascii="宋体" w:hAnsi="宋体" w:eastAsia="宋体" w:cs="Times New Roman"/>
          <w:color w:val="auto"/>
          <w:sz w:val="24"/>
          <w:highlight w:val="none"/>
          <w:u w:val="single"/>
        </w:rPr>
        <w:t>（d）</w:t>
      </w:r>
      <w:r>
        <w:rPr>
          <w:rFonts w:hint="default" w:ascii="宋体" w:hAnsi="宋体" w:eastAsia="宋体" w:cs="Times New Roman"/>
          <w:color w:val="auto"/>
          <w:sz w:val="24"/>
          <w:highlight w:val="none"/>
          <w:u w:val="single"/>
        </w:rPr>
        <w:t>《BIM正向设计技术应用费计算表》（见附件3－3）。</w:t>
      </w:r>
    </w:p>
    <w:p>
      <w:pPr>
        <w:spacing w:line="360" w:lineRule="auto"/>
        <w:ind w:firstLine="480" w:firstLineChars="200"/>
        <w:rPr>
          <w:rFonts w:hint="default" w:ascii="宋体" w:hAnsi="宋体" w:eastAsia="宋体" w:cs="Times New Roman"/>
          <w:color w:val="auto"/>
          <w:sz w:val="24"/>
          <w:highlight w:val="none"/>
          <w:u w:val="single"/>
        </w:rPr>
      </w:pPr>
      <w:r>
        <w:rPr>
          <w:rFonts w:ascii="宋体" w:hAnsi="宋体" w:eastAsia="宋体" w:cs="Times New Roman"/>
          <w:color w:val="auto"/>
          <w:sz w:val="24"/>
          <w:highlight w:val="none"/>
          <w:u w:val="single"/>
        </w:rPr>
        <w:t>（</w:t>
      </w:r>
      <w:r>
        <w:rPr>
          <w:rFonts w:hint="eastAsia" w:ascii="宋体" w:hAnsi="宋体" w:eastAsia="宋体" w:cs="Times New Roman"/>
          <w:color w:val="auto"/>
          <w:sz w:val="24"/>
          <w:highlight w:val="none"/>
          <w:u w:val="single"/>
          <w:lang w:val="en-US" w:eastAsia="zh-CN"/>
        </w:rPr>
        <w:t>e</w:t>
      </w:r>
      <w:r>
        <w:rPr>
          <w:rFonts w:ascii="宋体" w:hAnsi="宋体" w:eastAsia="宋体" w:cs="Times New Roman"/>
          <w:color w:val="auto"/>
          <w:sz w:val="24"/>
          <w:highlight w:val="none"/>
          <w:u w:val="single"/>
        </w:rPr>
        <w:t>）</w:t>
      </w:r>
      <w:r>
        <w:rPr>
          <w:rFonts w:hint="default" w:ascii="宋体" w:hAnsi="宋体" w:eastAsia="宋体" w:cs="Times New Roman"/>
          <w:color w:val="auto"/>
          <w:sz w:val="24"/>
          <w:highlight w:val="none"/>
          <w:u w:val="single"/>
        </w:rPr>
        <w:t>《</w:t>
      </w:r>
      <w:r>
        <w:rPr>
          <w:rFonts w:hint="eastAsia" w:ascii="宋体" w:hAnsi="宋体" w:eastAsia="宋体" w:cs="Times New Roman"/>
          <w:color w:val="auto"/>
          <w:sz w:val="24"/>
          <w:highlight w:val="none"/>
          <w:u w:val="single"/>
        </w:rPr>
        <w:t>设计方案报审（含修建性详细规划编制）</w:t>
      </w:r>
      <w:r>
        <w:rPr>
          <w:rFonts w:hint="default" w:ascii="宋体" w:hAnsi="宋体" w:eastAsia="宋体" w:cs="Times New Roman"/>
          <w:color w:val="auto"/>
          <w:sz w:val="24"/>
          <w:highlight w:val="none"/>
          <w:u w:val="single"/>
        </w:rPr>
        <w:t>费计算表》（见附件3－</w:t>
      </w:r>
      <w:r>
        <w:rPr>
          <w:rFonts w:hint="eastAsia" w:ascii="宋体" w:hAnsi="宋体" w:eastAsia="宋体" w:cs="Times New Roman"/>
          <w:color w:val="auto"/>
          <w:sz w:val="24"/>
          <w:highlight w:val="none"/>
          <w:u w:val="single"/>
          <w:lang w:val="en-US" w:eastAsia="zh-CN"/>
        </w:rPr>
        <w:t>4</w:t>
      </w:r>
      <w:r>
        <w:rPr>
          <w:rFonts w:hint="default" w:ascii="宋体" w:hAnsi="宋体" w:eastAsia="宋体" w:cs="Times New Roman"/>
          <w:color w:val="auto"/>
          <w:sz w:val="24"/>
          <w:highlight w:val="none"/>
          <w:u w:val="single"/>
        </w:rPr>
        <w:t>）。</w:t>
      </w:r>
    </w:p>
    <w:p>
      <w:pPr>
        <w:pStyle w:val="2"/>
        <w:rPr>
          <w:rFonts w:hint="default"/>
          <w:color w:val="auto"/>
          <w:highlight w:val="none"/>
        </w:rPr>
      </w:pPr>
    </w:p>
    <w:p>
      <w:pPr>
        <w:rPr>
          <w:rFonts w:ascii="宋体" w:hAnsi="宋体" w:eastAsia="宋体" w:cs="Times New Roman"/>
          <w:color w:val="auto"/>
          <w:highlight w:val="none"/>
        </w:rPr>
      </w:pPr>
    </w:p>
    <w:p>
      <w:pPr>
        <w:rPr>
          <w:rFonts w:hint="eastAsia" w:ascii="宋体" w:hAnsi="宋体" w:eastAsia="宋体" w:cs="Times New Roman"/>
          <w:b/>
          <w:bCs/>
          <w:color w:val="auto"/>
          <w:sz w:val="24"/>
          <w:highlight w:val="none"/>
          <w:u w:val="single"/>
        </w:rPr>
      </w:pPr>
      <w:r>
        <w:rPr>
          <w:rFonts w:ascii="宋体" w:hAnsi="宋体" w:eastAsia="宋体" w:cs="Times New Roman"/>
          <w:b/>
          <w:bCs/>
          <w:color w:val="auto"/>
          <w:sz w:val="24"/>
          <w:highlight w:val="none"/>
        </w:rPr>
        <w:t xml:space="preserve">8    </w:t>
      </w:r>
      <w:r>
        <w:rPr>
          <w:rFonts w:hint="eastAsia" w:ascii="宋体" w:hAnsi="宋体" w:eastAsia="宋体" w:cs="Times New Roman"/>
          <w:b/>
          <w:bCs/>
          <w:color w:val="auto"/>
          <w:sz w:val="24"/>
          <w:highlight w:val="none"/>
          <w:u w:val="single"/>
        </w:rPr>
        <w:t>定标文件（定标文件中不需要重复提供设计方案）</w:t>
      </w:r>
    </w:p>
    <w:p>
      <w:pPr>
        <w:spacing w:line="360" w:lineRule="auto"/>
        <w:rPr>
          <w:rFonts w:ascii="宋体" w:hAnsi="宋体" w:eastAsia="宋体" w:cs="Times New Roman"/>
          <w:color w:val="auto"/>
          <w:sz w:val="24"/>
          <w:highlight w:val="none"/>
        </w:rPr>
      </w:pPr>
    </w:p>
    <w:p>
      <w:pPr>
        <w:spacing w:line="360" w:lineRule="auto"/>
        <w:rPr>
          <w:rFonts w:ascii="宋体" w:hAnsi="宋体" w:eastAsia="宋体" w:cs="Times New Roman"/>
          <w:color w:val="auto"/>
          <w:sz w:val="24"/>
          <w:highlight w:val="none"/>
          <w:u w:val="single"/>
        </w:rPr>
      </w:pPr>
      <w:r>
        <w:rPr>
          <w:rFonts w:ascii="宋体" w:hAnsi="宋体" w:eastAsia="宋体" w:cs="Times New Roman"/>
          <w:color w:val="auto"/>
          <w:sz w:val="24"/>
          <w:highlight w:val="none"/>
        </w:rPr>
        <w:t xml:space="preserve">8.1   </w:t>
      </w:r>
      <w:r>
        <w:rPr>
          <w:rFonts w:hint="eastAsia" w:ascii="宋体" w:hAnsi="宋体" w:eastAsia="宋体" w:cs="Times New Roman"/>
          <w:color w:val="auto"/>
          <w:sz w:val="24"/>
          <w:highlight w:val="none"/>
          <w:u w:val="single"/>
        </w:rPr>
        <w:t>定标文件内容：</w:t>
      </w:r>
    </w:p>
    <w:p>
      <w:pPr>
        <w:spacing w:line="360" w:lineRule="auto"/>
        <w:ind w:firstLine="480" w:firstLineChars="200"/>
        <w:rPr>
          <w:rFonts w:ascii="宋体" w:hAnsi="宋体" w:eastAsia="宋体" w:cs="Times New Roman"/>
          <w:color w:val="auto"/>
          <w:sz w:val="24"/>
          <w:highlight w:val="none"/>
          <w:u w:val="single"/>
        </w:rPr>
      </w:pPr>
      <w:r>
        <w:rPr>
          <w:rFonts w:ascii="宋体" w:hAnsi="宋体" w:eastAsia="宋体" w:cs="Times New Roman"/>
          <w:color w:val="auto"/>
          <w:sz w:val="24"/>
          <w:highlight w:val="none"/>
          <w:u w:val="single"/>
        </w:rPr>
        <w:t>(a)目录；</w:t>
      </w:r>
    </w:p>
    <w:p>
      <w:pPr>
        <w:spacing w:line="360" w:lineRule="auto"/>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u w:val="single"/>
        </w:rPr>
        <w:t>(b)拟投入的人员基本情况及主要人员简历表（格式见附录17</w:t>
      </w:r>
      <w:r>
        <w:rPr>
          <w:rFonts w:hint="eastAsia" w:ascii="宋体" w:hAnsi="宋体" w:eastAsia="宋体" w:cs="宋体"/>
          <w:color w:val="auto"/>
          <w:sz w:val="24"/>
          <w:highlight w:val="none"/>
          <w:u w:val="single"/>
        </w:rPr>
        <w:t>）；</w:t>
      </w:r>
    </w:p>
    <w:p>
      <w:pPr>
        <w:spacing w:line="360" w:lineRule="auto"/>
        <w:ind w:firstLine="480" w:firstLineChars="200"/>
        <w:rPr>
          <w:rFonts w:hint="eastAsia" w:ascii="宋体" w:hAnsi="宋体" w:eastAsia="宋体" w:cs="宋体"/>
          <w:color w:val="auto"/>
          <w:sz w:val="24"/>
          <w:highlight w:val="none"/>
          <w:u w:val="single"/>
          <w:lang w:eastAsia="zh-CN"/>
        </w:rPr>
      </w:pPr>
      <w:r>
        <w:rPr>
          <w:rFonts w:ascii="宋体" w:hAnsi="宋体" w:eastAsia="宋体" w:cs="宋体"/>
          <w:color w:val="auto"/>
          <w:sz w:val="24"/>
          <w:highlight w:val="none"/>
          <w:u w:val="single"/>
        </w:rPr>
        <w:t>(c)</w:t>
      </w:r>
      <w:r>
        <w:rPr>
          <w:rFonts w:ascii="Calibri" w:hAnsi="Calibri" w:eastAsia="宋体" w:cs="Times New Roman"/>
          <w:color w:val="auto"/>
          <w:highlight w:val="none"/>
          <w:u w:val="single"/>
        </w:rPr>
        <w:t xml:space="preserve"> </w:t>
      </w:r>
      <w:r>
        <w:rPr>
          <w:rFonts w:hint="eastAsia" w:ascii="宋体" w:hAnsi="宋体" w:eastAsia="宋体" w:cs="宋体"/>
          <w:color w:val="auto"/>
          <w:sz w:val="24"/>
          <w:highlight w:val="none"/>
          <w:u w:val="single"/>
        </w:rPr>
        <w:t>投标人已完成项目及获奖情况（格式见附录</w:t>
      </w:r>
      <w:r>
        <w:rPr>
          <w:rFonts w:ascii="宋体" w:hAnsi="宋体" w:eastAsia="宋体" w:cs="宋体"/>
          <w:color w:val="auto"/>
          <w:sz w:val="24"/>
          <w:highlight w:val="none"/>
          <w:u w:val="single"/>
        </w:rPr>
        <w:t>18</w:t>
      </w:r>
      <w:r>
        <w:rPr>
          <w:rFonts w:hint="eastAsia" w:ascii="宋体" w:hAnsi="宋体" w:eastAsia="宋体" w:cs="宋体"/>
          <w:color w:val="auto"/>
          <w:sz w:val="24"/>
          <w:highlight w:val="none"/>
          <w:u w:val="single"/>
        </w:rPr>
        <w:t>）；</w:t>
      </w:r>
    </w:p>
    <w:p>
      <w:pPr>
        <w:spacing w:line="360" w:lineRule="auto"/>
        <w:ind w:firstLine="480" w:firstLineChars="200"/>
        <w:rPr>
          <w:rFonts w:hint="default" w:ascii="宋体" w:hAnsi="宋体" w:eastAsia="宋体" w:cs="宋体"/>
          <w:color w:val="auto"/>
          <w:sz w:val="24"/>
          <w:highlight w:val="none"/>
          <w:u w:val="single"/>
        </w:rPr>
      </w:pPr>
      <w:r>
        <w:rPr>
          <w:rFonts w:ascii="宋体" w:hAnsi="宋体" w:eastAsia="宋体" w:cs="宋体"/>
          <w:color w:val="auto"/>
          <w:sz w:val="24"/>
          <w:highlight w:val="none"/>
          <w:u w:val="single"/>
        </w:rPr>
        <w:t xml:space="preserve">(d) </w:t>
      </w:r>
      <w:r>
        <w:rPr>
          <w:rFonts w:hint="eastAsia" w:ascii="宋体" w:hAnsi="宋体" w:eastAsia="宋体" w:cs="宋体"/>
          <w:color w:val="auto"/>
          <w:sz w:val="24"/>
          <w:highlight w:val="none"/>
          <w:u w:val="single"/>
        </w:rPr>
        <w:t>投标人认为有必要提供的其他资料</w:t>
      </w:r>
      <w:r>
        <w:rPr>
          <w:rFonts w:hint="default" w:ascii="宋体" w:hAnsi="宋体" w:eastAsia="宋体" w:cs="宋体"/>
          <w:color w:val="auto"/>
          <w:sz w:val="24"/>
          <w:highlight w:val="none"/>
          <w:u w:val="single"/>
        </w:rPr>
        <w:t>。</w:t>
      </w:r>
    </w:p>
    <w:p>
      <w:pPr>
        <w:spacing w:line="360" w:lineRule="auto"/>
        <w:ind w:firstLine="480" w:firstLineChars="200"/>
        <w:rPr>
          <w:rFonts w:hint="default" w:ascii="宋体" w:hAnsi="宋体" w:eastAsia="宋体" w:cs="宋体"/>
          <w:color w:val="auto"/>
          <w:sz w:val="24"/>
          <w:highlight w:val="none"/>
          <w:u w:val="single"/>
        </w:rPr>
      </w:pPr>
    </w:p>
    <w:p>
      <w:pPr>
        <w:keepNext w:val="0"/>
        <w:keepLines w:val="0"/>
        <w:widowControl w:val="0"/>
        <w:suppressLineNumbers w:val="0"/>
        <w:spacing w:before="0" w:beforeAutospacing="0" w:after="0" w:afterAutospacing="0"/>
        <w:ind w:left="0" w:right="0"/>
        <w:jc w:val="both"/>
        <w:rPr>
          <w:rFonts w:hint="default" w:ascii="宋体" w:hAnsi="宋体" w:eastAsia="宋体" w:cs="Times New Roman"/>
          <w:b/>
          <w:bCs/>
          <w:color w:val="auto"/>
          <w:sz w:val="24"/>
          <w:highlight w:val="none"/>
          <w:lang w:eastAsia="zh-CN"/>
        </w:rPr>
      </w:pPr>
      <w:r>
        <w:rPr>
          <w:rFonts w:hint="eastAsia" w:ascii="宋体" w:hAnsi="宋体" w:eastAsia="宋体" w:cs="Times New Roman"/>
          <w:b/>
          <w:bCs/>
          <w:color w:val="auto"/>
          <w:sz w:val="24"/>
          <w:highlight w:val="none"/>
          <w:lang w:val="en-US" w:eastAsia="zh-CN"/>
        </w:rPr>
        <w:t>9</w:t>
      </w:r>
      <w:r>
        <w:rPr>
          <w:rFonts w:ascii="宋体" w:hAnsi="宋体" w:eastAsia="宋体" w:cs="Times New Roman"/>
          <w:b/>
          <w:bCs/>
          <w:color w:val="auto"/>
          <w:sz w:val="24"/>
          <w:highlight w:val="none"/>
        </w:rPr>
        <w:t xml:space="preserve">    </w:t>
      </w:r>
      <w:bookmarkStart w:id="35" w:name="OLE_LINK25"/>
      <w:r>
        <w:rPr>
          <w:rFonts w:hint="eastAsia" w:ascii="宋体" w:hAnsi="宋体" w:eastAsia="宋体" w:cs="宋体"/>
          <w:b/>
          <w:color w:val="auto"/>
          <w:kern w:val="2"/>
          <w:sz w:val="24"/>
          <w:szCs w:val="24"/>
          <w:highlight w:val="none"/>
          <w:lang w:val="en-US" w:eastAsia="zh-CN" w:bidi="ar"/>
        </w:rPr>
        <w:t>展示文件（</w:t>
      </w:r>
      <w:r>
        <w:rPr>
          <w:rFonts w:hint="eastAsia" w:ascii="宋体" w:hAnsi="宋体" w:eastAsia="宋体" w:cs="Times New Roman"/>
          <w:b/>
          <w:bCs/>
          <w:color w:val="auto"/>
          <w:sz w:val="24"/>
          <w:highlight w:val="none"/>
          <w:lang w:val="en-US" w:eastAsia="zh-CN"/>
        </w:rPr>
        <w:t>展</w:t>
      </w:r>
      <w:bookmarkEnd w:id="35"/>
      <w:r>
        <w:rPr>
          <w:rFonts w:hint="eastAsia" w:ascii="宋体" w:hAnsi="宋体" w:eastAsia="宋体" w:cs="Times New Roman"/>
          <w:b/>
          <w:bCs/>
          <w:color w:val="auto"/>
          <w:sz w:val="24"/>
          <w:highlight w:val="none"/>
          <w:lang w:val="en-US" w:eastAsia="zh-CN"/>
        </w:rPr>
        <w:t>板</w:t>
      </w:r>
      <w:r>
        <w:rPr>
          <w:rFonts w:hint="default" w:ascii="宋体" w:hAnsi="宋体" w:eastAsia="宋体" w:cs="Times New Roman"/>
          <w:b/>
          <w:bCs/>
          <w:color w:val="auto"/>
          <w:sz w:val="24"/>
          <w:highlight w:val="none"/>
          <w:lang w:eastAsia="zh-CN"/>
        </w:rPr>
        <w:t>）</w:t>
      </w:r>
    </w:p>
    <w:p>
      <w:pPr>
        <w:keepNext w:val="0"/>
        <w:keepLines w:val="0"/>
        <w:widowControl w:val="0"/>
        <w:suppressLineNumbers w:val="0"/>
        <w:spacing w:before="0" w:beforeAutospacing="0" w:after="0" w:afterAutospacing="0" w:line="360" w:lineRule="auto"/>
        <w:ind w:left="0" w:right="0" w:firstLine="482"/>
        <w:jc w:val="both"/>
        <w:rPr>
          <w:rFonts w:ascii="宋体" w:hAnsi="宋体"/>
          <w:color w:val="auto"/>
          <w:sz w:val="24"/>
          <w:szCs w:val="24"/>
          <w:highlight w:val="none"/>
        </w:rPr>
      </w:pPr>
      <w:r>
        <w:rPr>
          <w:rFonts w:hint="eastAsia" w:ascii="宋体" w:hAnsi="宋体" w:eastAsia="宋体" w:cs="宋体"/>
          <w:color w:val="auto"/>
          <w:kern w:val="2"/>
          <w:sz w:val="24"/>
          <w:szCs w:val="24"/>
          <w:highlight w:val="none"/>
          <w:lang w:val="en-US" w:eastAsia="zh-CN" w:bidi="ar"/>
        </w:rPr>
        <w:t>展示文件内容取自设计方案中的效果图。</w:t>
      </w:r>
      <w:r>
        <w:rPr>
          <w:rFonts w:hint="eastAsia" w:ascii="宋体" w:hAnsi="宋体"/>
          <w:color w:val="auto"/>
          <w:sz w:val="24"/>
          <w:szCs w:val="24"/>
          <w:highlight w:val="none"/>
        </w:rPr>
        <w:t>展板规格为</w:t>
      </w:r>
      <w:r>
        <w:rPr>
          <w:rFonts w:ascii="宋体" w:hAnsi="宋体"/>
          <w:color w:val="auto"/>
          <w:sz w:val="24"/>
          <w:szCs w:val="24"/>
          <w:highlight w:val="none"/>
        </w:rPr>
        <w:t>A0</w:t>
      </w:r>
      <w:r>
        <w:rPr>
          <w:rFonts w:hint="eastAsia" w:ascii="宋体" w:hAnsi="宋体" w:cs="Courier New"/>
          <w:color w:val="auto"/>
          <w:sz w:val="24"/>
          <w:szCs w:val="21"/>
          <w:highlight w:val="none"/>
        </w:rPr>
        <w:t>（1189mm×841mm）</w:t>
      </w:r>
      <w:r>
        <w:rPr>
          <w:rFonts w:ascii="宋体" w:hAnsi="宋体"/>
          <w:color w:val="auto"/>
          <w:sz w:val="24"/>
          <w:szCs w:val="24"/>
          <w:highlight w:val="none"/>
        </w:rPr>
        <w:t>，</w:t>
      </w:r>
      <w:r>
        <w:rPr>
          <w:rFonts w:hint="eastAsia" w:ascii="宋体" w:hAnsi="宋体" w:cs="Courier New"/>
          <w:color w:val="auto"/>
          <w:sz w:val="24"/>
          <w:szCs w:val="21"/>
          <w:highlight w:val="none"/>
        </w:rPr>
        <w:t>横幅排版，装裱在轻质板上，</w:t>
      </w:r>
      <w:r>
        <w:rPr>
          <w:rFonts w:ascii="宋体" w:hAnsi="宋体"/>
          <w:color w:val="auto"/>
          <w:sz w:val="24"/>
          <w:szCs w:val="24"/>
          <w:highlight w:val="none"/>
        </w:rPr>
        <w:t>展板数量不多于</w:t>
      </w:r>
      <w:r>
        <w:rPr>
          <w:rFonts w:hint="eastAsia" w:ascii="宋体" w:hAnsi="宋体"/>
          <w:color w:val="auto"/>
          <w:sz w:val="24"/>
          <w:szCs w:val="24"/>
          <w:highlight w:val="none"/>
          <w:lang w:val="en-US" w:eastAsia="zh-CN"/>
        </w:rPr>
        <w:t>5</w:t>
      </w:r>
      <w:r>
        <w:rPr>
          <w:rFonts w:ascii="宋体" w:hAnsi="宋体"/>
          <w:color w:val="auto"/>
          <w:sz w:val="24"/>
          <w:szCs w:val="24"/>
          <w:highlight w:val="none"/>
        </w:rPr>
        <w:t>张，用阿拉伯数字在展板的右下方排序编号</w:t>
      </w:r>
      <w:r>
        <w:rPr>
          <w:rFonts w:hint="eastAsia" w:ascii="宋体" w:hAnsi="宋体" w:eastAsia="宋体" w:cs="宋体"/>
          <w:color w:val="auto"/>
          <w:kern w:val="2"/>
          <w:sz w:val="24"/>
          <w:szCs w:val="24"/>
          <w:highlight w:val="none"/>
          <w:lang w:val="en-US" w:eastAsia="zh-CN" w:bidi="ar"/>
        </w:rPr>
        <w:t>并注明该效果图所在设计文件中的页码</w:t>
      </w:r>
      <w:r>
        <w:rPr>
          <w:rFonts w:ascii="宋体" w:hAnsi="宋体"/>
          <w:color w:val="auto"/>
          <w:sz w:val="24"/>
          <w:szCs w:val="24"/>
          <w:highlight w:val="none"/>
        </w:rPr>
        <w:t>。展板以反映设计意图为准，图纸比例不限。包含但不限于以下内容：</w:t>
      </w:r>
    </w:p>
    <w:p>
      <w:pPr>
        <w:spacing w:line="360" w:lineRule="auto"/>
        <w:ind w:firstLine="482"/>
        <w:rPr>
          <w:rFonts w:ascii="宋体" w:hAnsi="宋体"/>
          <w:color w:val="auto"/>
          <w:sz w:val="24"/>
          <w:szCs w:val="24"/>
          <w:highlight w:val="none"/>
        </w:rPr>
      </w:pPr>
      <w:r>
        <w:rPr>
          <w:rFonts w:ascii="宋体" w:hAnsi="宋体"/>
          <w:color w:val="auto"/>
          <w:sz w:val="24"/>
          <w:szCs w:val="24"/>
          <w:highlight w:val="none"/>
        </w:rPr>
        <w:t>1）总平面布置图及主要技术经济指标；</w:t>
      </w:r>
    </w:p>
    <w:p>
      <w:pPr>
        <w:spacing w:line="360" w:lineRule="auto"/>
        <w:ind w:firstLine="482"/>
        <w:rPr>
          <w:rFonts w:ascii="宋体" w:hAnsi="宋体"/>
          <w:color w:val="auto"/>
          <w:sz w:val="24"/>
          <w:szCs w:val="24"/>
          <w:highlight w:val="none"/>
        </w:rPr>
      </w:pPr>
      <w:r>
        <w:rPr>
          <w:rFonts w:ascii="宋体" w:hAnsi="宋体"/>
          <w:color w:val="auto"/>
          <w:sz w:val="24"/>
          <w:szCs w:val="24"/>
          <w:highlight w:val="none"/>
        </w:rPr>
        <w:t>2）设计概念与亮点；</w:t>
      </w:r>
    </w:p>
    <w:p>
      <w:pPr>
        <w:spacing w:line="360" w:lineRule="auto"/>
        <w:ind w:firstLine="482"/>
        <w:rPr>
          <w:rFonts w:ascii="宋体" w:hAnsi="宋体"/>
          <w:color w:val="auto"/>
          <w:sz w:val="24"/>
          <w:szCs w:val="24"/>
          <w:highlight w:val="none"/>
        </w:rPr>
      </w:pPr>
      <w:r>
        <w:rPr>
          <w:rFonts w:ascii="宋体" w:hAnsi="宋体"/>
          <w:color w:val="auto"/>
          <w:sz w:val="24"/>
          <w:szCs w:val="24"/>
          <w:highlight w:val="none"/>
        </w:rPr>
        <w:t>3）总体环境鸟瞰图；</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4）建筑和室内透视图。</w:t>
      </w:r>
    </w:p>
    <w:p>
      <w:pPr>
        <w:spacing w:line="360" w:lineRule="auto"/>
        <w:ind w:firstLine="480" w:firstLineChars="200"/>
        <w:rPr>
          <w:rFonts w:hint="default" w:ascii="宋体" w:hAnsi="宋体" w:eastAsia="宋体" w:cs="宋体"/>
          <w:b w:val="0"/>
          <w:bCs w:val="0"/>
          <w:color w:val="auto"/>
          <w:sz w:val="24"/>
          <w:highlight w:val="none"/>
          <w:u w:val="single"/>
          <w:lang w:val="en-US" w:eastAsia="zh-CN"/>
        </w:rPr>
      </w:pPr>
      <w:r>
        <w:rPr>
          <w:rFonts w:hint="eastAsia" w:ascii="宋体" w:hAnsi="宋体"/>
          <w:color w:val="auto"/>
          <w:sz w:val="24"/>
          <w:szCs w:val="24"/>
          <w:highlight w:val="none"/>
          <w:lang w:val="en-US" w:eastAsia="zh-CN"/>
        </w:rPr>
        <w:t>注：</w:t>
      </w:r>
      <w:r>
        <w:rPr>
          <w:rFonts w:hint="eastAsia" w:ascii="宋体" w:hAnsi="宋体"/>
          <w:color w:val="auto"/>
          <w:sz w:val="24"/>
          <w:szCs w:val="24"/>
          <w:highlight w:val="none"/>
        </w:rPr>
        <w:t>展板</w:t>
      </w:r>
      <w:r>
        <w:rPr>
          <w:rFonts w:hint="eastAsia" w:ascii="Calibri" w:hAnsi="Calibri" w:eastAsia="宋体" w:cs="Times New Roman"/>
          <w:color w:val="auto"/>
          <w:sz w:val="24"/>
          <w:highlight w:val="none"/>
        </w:rPr>
        <w:t>用不透明包装物包装密封。外包封注明“</w:t>
      </w:r>
      <w:r>
        <w:rPr>
          <w:rFonts w:hint="eastAsia" w:ascii="Calibri" w:hAnsi="Calibri" w:eastAsia="宋体" w:cs="Times New Roman"/>
          <w:color w:val="auto"/>
          <w:sz w:val="24"/>
          <w:highlight w:val="none"/>
          <w:lang w:eastAsia="zh-CN"/>
        </w:rPr>
        <w:t>广州法治大厦项目勘察设计</w:t>
      </w:r>
      <w:r>
        <w:rPr>
          <w:rFonts w:hint="eastAsia" w:ascii="宋体" w:hAnsi="宋体"/>
          <w:color w:val="auto"/>
          <w:sz w:val="24"/>
          <w:szCs w:val="24"/>
          <w:highlight w:val="none"/>
        </w:rPr>
        <w:t>展板</w:t>
      </w:r>
      <w:r>
        <w:rPr>
          <w:rFonts w:hint="eastAsia" w:ascii="Calibri" w:hAnsi="Calibri" w:eastAsia="宋体" w:cs="Times New Roman"/>
          <w:color w:val="auto"/>
          <w:sz w:val="24"/>
          <w:highlight w:val="none"/>
        </w:rPr>
        <w:t>”字样，投标人不得在设计模型上标注或做任何可以辨认投标人及专业技术人员身份的名称、印章、商标、图形等。</w:t>
      </w:r>
    </w:p>
    <w:p>
      <w:pPr>
        <w:spacing w:line="360" w:lineRule="auto"/>
        <w:ind w:firstLine="480" w:firstLineChars="200"/>
        <w:rPr>
          <w:rFonts w:hint="default" w:ascii="宋体" w:hAnsi="宋体" w:eastAsia="宋体" w:cs="宋体"/>
          <w:b w:val="0"/>
          <w:bCs w:val="0"/>
          <w:color w:val="auto"/>
          <w:sz w:val="24"/>
          <w:highlight w:val="none"/>
          <w:u w:val="single"/>
          <w:lang w:val="en-US" w:eastAsia="zh-CN"/>
        </w:rPr>
      </w:pPr>
    </w:p>
    <w:p>
      <w:pPr>
        <w:numPr>
          <w:ilvl w:val="0"/>
          <w:numId w:val="2"/>
        </w:numPr>
        <w:rPr>
          <w:rFonts w:hint="default" w:ascii="宋体" w:hAnsi="宋体" w:eastAsia="宋体" w:cs="Times New Roman"/>
          <w:b/>
          <w:bCs/>
          <w:color w:val="auto"/>
          <w:sz w:val="24"/>
          <w:highlight w:val="none"/>
          <w:lang w:val="en-US" w:eastAsia="zh-CN"/>
        </w:rPr>
      </w:pPr>
      <w:r>
        <w:rPr>
          <w:rFonts w:hint="eastAsia" w:ascii="宋体" w:hAnsi="宋体" w:eastAsia="宋体" w:cs="Times New Roman"/>
          <w:b/>
          <w:bCs/>
          <w:color w:val="auto"/>
          <w:sz w:val="24"/>
          <w:highlight w:val="none"/>
          <w:lang w:val="en-US" w:eastAsia="zh-CN"/>
        </w:rPr>
        <w:t xml:space="preserve"> 多媒体演示文件</w:t>
      </w:r>
    </w:p>
    <w:p>
      <w:pPr>
        <w:spacing w:line="360" w:lineRule="auto"/>
        <w:ind w:firstLine="480" w:firstLineChars="200"/>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bidi="ar"/>
        </w:rPr>
        <w:t>多媒体要求（时长大于</w:t>
      </w:r>
      <w:r>
        <w:rPr>
          <w:rFonts w:ascii="宋体" w:hAnsi="宋体" w:eastAsia="宋体" w:cs="宋体"/>
          <w:color w:val="auto"/>
          <w:kern w:val="0"/>
          <w:sz w:val="24"/>
          <w:szCs w:val="24"/>
          <w:highlight w:val="none"/>
          <w:lang w:bidi="ar"/>
        </w:rPr>
        <w:t xml:space="preserve">5分钟，不大于 15 </w:t>
      </w:r>
      <w:r>
        <w:rPr>
          <w:rFonts w:hint="eastAsia" w:ascii="宋体" w:hAnsi="宋体" w:eastAsia="宋体" w:cs="宋体"/>
          <w:color w:val="auto"/>
          <w:kern w:val="0"/>
          <w:sz w:val="24"/>
          <w:szCs w:val="24"/>
          <w:highlight w:val="none"/>
          <w:lang w:bidi="ar"/>
        </w:rPr>
        <w:t>分钟）分辨率不低于</w:t>
      </w:r>
      <w:r>
        <w:rPr>
          <w:rFonts w:ascii="宋体" w:hAnsi="宋体" w:eastAsia="宋体" w:cs="宋体"/>
          <w:color w:val="auto"/>
          <w:kern w:val="0"/>
          <w:sz w:val="24"/>
          <w:szCs w:val="24"/>
          <w:highlight w:val="none"/>
          <w:lang w:bidi="ar"/>
        </w:rPr>
        <w:t>1024*576</w:t>
      </w:r>
      <w:r>
        <w:rPr>
          <w:rFonts w:hint="eastAsia" w:ascii="宋体" w:hAnsi="宋体" w:eastAsia="宋体" w:cs="宋体"/>
          <w:color w:val="auto"/>
          <w:kern w:val="0"/>
          <w:sz w:val="24"/>
          <w:szCs w:val="24"/>
          <w:highlight w:val="none"/>
          <w:lang w:bidi="ar"/>
        </w:rPr>
        <w:t>，格式采用</w:t>
      </w:r>
      <w:r>
        <w:rPr>
          <w:rFonts w:ascii="宋体" w:hAnsi="宋体" w:eastAsia="宋体" w:cs="宋体"/>
          <w:color w:val="auto"/>
          <w:kern w:val="0"/>
          <w:sz w:val="24"/>
          <w:szCs w:val="24"/>
          <w:highlight w:val="none"/>
          <w:lang w:bidi="ar"/>
        </w:rPr>
        <w:t>MP4或者AVI</w:t>
      </w:r>
      <w:r>
        <w:rPr>
          <w:rFonts w:hint="eastAsia" w:ascii="宋体" w:hAnsi="宋体" w:eastAsia="宋体" w:cs="宋体"/>
          <w:color w:val="auto"/>
          <w:kern w:val="0"/>
          <w:sz w:val="24"/>
          <w:szCs w:val="24"/>
          <w:highlight w:val="none"/>
          <w:lang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color w:val="auto"/>
          <w:sz w:val="24"/>
          <w:highlight w:val="none"/>
          <w:u w:val="single"/>
          <w:lang w:val="en-US" w:eastAsia="zh-CN"/>
        </w:rPr>
      </w:pPr>
      <w:r>
        <w:rPr>
          <w:rFonts w:hint="eastAsia" w:ascii="宋体" w:hAnsi="宋体" w:eastAsia="宋体" w:cs="宋体"/>
          <w:color w:val="auto"/>
          <w:kern w:val="0"/>
          <w:sz w:val="24"/>
          <w:szCs w:val="24"/>
          <w:highlight w:val="none"/>
          <w:lang w:val="en-US" w:eastAsia="zh-CN" w:bidi="ar"/>
        </w:rPr>
        <w:t>注：多媒体演示文件</w:t>
      </w:r>
      <w:r>
        <w:rPr>
          <w:rFonts w:hint="eastAsia" w:ascii="Calibri" w:hAnsi="Calibri" w:eastAsia="宋体" w:cs="Times New Roman"/>
          <w:color w:val="auto"/>
          <w:sz w:val="24"/>
          <w:highlight w:val="none"/>
        </w:rPr>
        <w:t>用</w:t>
      </w:r>
      <w:r>
        <w:rPr>
          <w:rFonts w:hint="default" w:ascii="Calibri" w:hAnsi="Calibri" w:eastAsia="宋体" w:cs="Calibri"/>
          <w:color w:val="auto"/>
          <w:kern w:val="2"/>
          <w:sz w:val="24"/>
          <w:szCs w:val="24"/>
          <w:highlight w:val="none"/>
          <w:lang w:val="en-US" w:eastAsia="zh-CN" w:bidi="ar"/>
        </w:rPr>
        <w:t>U</w:t>
      </w:r>
      <w:r>
        <w:rPr>
          <w:rFonts w:hint="eastAsia" w:ascii="宋体" w:hAnsi="宋体" w:eastAsia="宋体" w:cs="宋体"/>
          <w:color w:val="auto"/>
          <w:kern w:val="2"/>
          <w:sz w:val="24"/>
          <w:szCs w:val="24"/>
          <w:highlight w:val="none"/>
          <w:lang w:val="en-US" w:eastAsia="zh-CN" w:bidi="ar"/>
        </w:rPr>
        <w:t>盘存储并用</w:t>
      </w:r>
      <w:r>
        <w:rPr>
          <w:rFonts w:hint="eastAsia" w:ascii="Calibri" w:hAnsi="Calibri" w:eastAsia="宋体" w:cs="Times New Roman"/>
          <w:color w:val="auto"/>
          <w:sz w:val="24"/>
          <w:highlight w:val="none"/>
        </w:rPr>
        <w:t>不透明包装物包装密封。外包封注明“</w:t>
      </w:r>
      <w:r>
        <w:rPr>
          <w:rFonts w:hint="eastAsia" w:ascii="Calibri" w:hAnsi="Calibri" w:eastAsia="宋体" w:cs="Times New Roman"/>
          <w:color w:val="auto"/>
          <w:sz w:val="24"/>
          <w:highlight w:val="none"/>
          <w:lang w:eastAsia="zh-CN"/>
        </w:rPr>
        <w:t>广州法治大厦项目勘察设计</w:t>
      </w:r>
      <w:r>
        <w:rPr>
          <w:rFonts w:hint="eastAsia" w:ascii="Calibri" w:hAnsi="Calibri" w:eastAsia="宋体" w:cs="Times New Roman"/>
          <w:color w:val="auto"/>
          <w:sz w:val="24"/>
          <w:highlight w:val="none"/>
          <w:lang w:val="en-US" w:eastAsia="zh-CN"/>
        </w:rPr>
        <w:t>多媒体演示文件</w:t>
      </w:r>
      <w:r>
        <w:rPr>
          <w:rFonts w:hint="eastAsia" w:ascii="Calibri" w:hAnsi="Calibri" w:eastAsia="宋体" w:cs="Times New Roman"/>
          <w:color w:val="auto"/>
          <w:sz w:val="24"/>
          <w:highlight w:val="none"/>
        </w:rPr>
        <w:t>”字样，投标人不得在</w:t>
      </w:r>
      <w:r>
        <w:rPr>
          <w:rFonts w:hint="eastAsia" w:ascii="Calibri" w:hAnsi="Calibri" w:eastAsia="宋体" w:cs="Times New Roman"/>
          <w:color w:val="auto"/>
          <w:sz w:val="24"/>
          <w:highlight w:val="none"/>
          <w:lang w:val="en-US" w:eastAsia="zh-CN"/>
        </w:rPr>
        <w:t>多媒体演示文件</w:t>
      </w:r>
      <w:r>
        <w:rPr>
          <w:rFonts w:hint="eastAsia" w:ascii="Calibri" w:hAnsi="Calibri" w:eastAsia="宋体" w:cs="Times New Roman"/>
          <w:color w:val="auto"/>
          <w:sz w:val="24"/>
          <w:highlight w:val="none"/>
        </w:rPr>
        <w:t>上标注或做任何可以辨认投标人及专业技术人员身份的名称、印章、商标、图形等。</w:t>
      </w:r>
    </w:p>
    <w:p>
      <w:pPr>
        <w:rPr>
          <w:rFonts w:hint="eastAsia" w:ascii="宋体" w:hAnsi="宋体" w:eastAsia="宋体" w:cs="Times New Roman"/>
          <w:b/>
          <w:bCs/>
          <w:color w:val="auto"/>
          <w:sz w:val="24"/>
          <w:highlight w:val="none"/>
          <w:lang w:val="en-US" w:eastAsia="zh-CN"/>
        </w:rPr>
      </w:pPr>
    </w:p>
    <w:p>
      <w:pPr>
        <w:numPr>
          <w:ilvl w:val="0"/>
          <w:numId w:val="2"/>
        </w:numPr>
        <w:rPr>
          <w:rFonts w:hint="default" w:ascii="宋体" w:hAnsi="宋体" w:eastAsia="宋体" w:cs="Times New Roman"/>
          <w:b/>
          <w:bCs/>
          <w:color w:val="auto"/>
          <w:sz w:val="24"/>
          <w:highlight w:val="none"/>
          <w:lang w:val="en-US" w:eastAsia="zh-CN"/>
        </w:rPr>
      </w:pPr>
      <w:r>
        <w:rPr>
          <w:rFonts w:hint="eastAsia" w:ascii="宋体" w:hAnsi="宋体" w:eastAsia="宋体" w:cs="Times New Roman"/>
          <w:b/>
          <w:bCs/>
          <w:color w:val="auto"/>
          <w:sz w:val="24"/>
          <w:highlight w:val="none"/>
          <w:lang w:val="en-US" w:eastAsia="zh-CN"/>
        </w:rPr>
        <w:t xml:space="preserve"> </w:t>
      </w:r>
      <w:r>
        <w:rPr>
          <w:rFonts w:hint="default" w:ascii="宋体" w:hAnsi="宋体" w:eastAsia="宋体" w:cs="Times New Roman"/>
          <w:b/>
          <w:bCs/>
          <w:color w:val="auto"/>
          <w:sz w:val="24"/>
          <w:highlight w:val="none"/>
          <w:lang w:eastAsia="zh-CN"/>
        </w:rPr>
        <w:t>展示</w:t>
      </w:r>
      <w:r>
        <w:rPr>
          <w:rFonts w:hint="eastAsia" w:ascii="宋体" w:hAnsi="宋体" w:eastAsia="宋体" w:cs="Times New Roman"/>
          <w:b/>
          <w:bCs/>
          <w:color w:val="auto"/>
          <w:sz w:val="24"/>
          <w:highlight w:val="none"/>
          <w:lang w:val="en-US" w:eastAsia="zh-CN"/>
        </w:rPr>
        <w:t>模型（提交实体模型）</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模型</w:t>
      </w:r>
      <w:r>
        <w:rPr>
          <w:rFonts w:ascii="宋体" w:hAnsi="宋体"/>
          <w:color w:val="auto"/>
          <w:sz w:val="24"/>
          <w:szCs w:val="24"/>
          <w:highlight w:val="none"/>
        </w:rPr>
        <w:t xml:space="preserve"> 1 </w:t>
      </w:r>
      <w:r>
        <w:rPr>
          <w:rFonts w:hint="eastAsia" w:ascii="宋体" w:hAnsi="宋体"/>
          <w:color w:val="auto"/>
          <w:sz w:val="24"/>
          <w:szCs w:val="24"/>
          <w:highlight w:val="none"/>
        </w:rPr>
        <w:t>套，模型比例</w:t>
      </w:r>
      <w:r>
        <w:rPr>
          <w:rFonts w:ascii="宋体" w:hAnsi="宋体"/>
          <w:color w:val="auto"/>
          <w:sz w:val="24"/>
          <w:szCs w:val="24"/>
          <w:highlight w:val="none"/>
        </w:rPr>
        <w:t xml:space="preserve"> 1：</w:t>
      </w:r>
      <w:r>
        <w:rPr>
          <w:rFonts w:hint="eastAsia" w:ascii="宋体" w:hAnsi="宋体"/>
          <w:color w:val="auto"/>
          <w:sz w:val="24"/>
          <w:szCs w:val="24"/>
          <w:highlight w:val="none"/>
          <w:lang w:val="en-US" w:eastAsia="zh-CN"/>
        </w:rPr>
        <w:t>25</w:t>
      </w:r>
      <w:r>
        <w:rPr>
          <w:rFonts w:ascii="宋体" w:hAnsi="宋体"/>
          <w:color w:val="auto"/>
          <w:sz w:val="24"/>
          <w:szCs w:val="24"/>
          <w:highlight w:val="none"/>
        </w:rPr>
        <w:t>0，模型需自带底座，底座尺寸不大于 1.8米× 1.8米，模型底面高度应小于 6</w:t>
      </w:r>
      <w:r>
        <w:rPr>
          <w:rFonts w:hint="eastAsia" w:ascii="宋体" w:hAnsi="宋体"/>
          <w:color w:val="auto"/>
          <w:sz w:val="24"/>
          <w:szCs w:val="24"/>
          <w:highlight w:val="none"/>
          <w:lang w:val="en-US" w:eastAsia="zh-CN"/>
        </w:rPr>
        <w:t>.</w:t>
      </w:r>
      <w:r>
        <w:rPr>
          <w:rFonts w:ascii="宋体" w:hAnsi="宋体"/>
          <w:color w:val="auto"/>
          <w:sz w:val="24"/>
          <w:szCs w:val="24"/>
          <w:highlight w:val="none"/>
        </w:rPr>
        <w:t>5</w:t>
      </w:r>
      <w:r>
        <w:rPr>
          <w:rFonts w:hint="eastAsia" w:ascii="宋体" w:hAnsi="宋体"/>
          <w:color w:val="auto"/>
          <w:sz w:val="24"/>
          <w:szCs w:val="24"/>
          <w:highlight w:val="none"/>
        </w:rPr>
        <w:t>厘米。</w:t>
      </w:r>
      <w:r>
        <w:rPr>
          <w:rFonts w:hint="eastAsia" w:ascii="宋体" w:hAnsi="宋体" w:cs="Courier New"/>
          <w:i w:val="0"/>
          <w:iCs/>
          <w:color w:val="auto"/>
          <w:sz w:val="24"/>
          <w:szCs w:val="21"/>
          <w:highlight w:val="none"/>
          <w:lang w:val="en-US" w:eastAsia="zh-CN"/>
        </w:rPr>
        <w:t>内容包括项目总平面场地设计主体和建筑方案设计，要求模型色彩能反映真实效果。</w:t>
      </w:r>
    </w:p>
    <w:p>
      <w:pPr>
        <w:spacing w:line="360" w:lineRule="auto"/>
        <w:ind w:firstLine="480" w:firstLineChars="200"/>
        <w:rPr>
          <w:rFonts w:hint="eastAsia" w:ascii="Calibri" w:hAnsi="Calibri" w:eastAsia="宋体" w:cs="Times New Roman"/>
          <w:color w:val="auto"/>
          <w:sz w:val="24"/>
          <w:highlight w:val="none"/>
        </w:rPr>
      </w:pPr>
      <w:r>
        <w:rPr>
          <w:rFonts w:hint="eastAsia" w:ascii="Calibri" w:hAnsi="Calibri" w:eastAsia="宋体" w:cs="Times New Roman"/>
          <w:color w:val="auto"/>
          <w:sz w:val="24"/>
          <w:highlight w:val="none"/>
          <w:lang w:val="en-US" w:eastAsia="zh-CN"/>
        </w:rPr>
        <w:t>注：设计模型</w:t>
      </w:r>
      <w:r>
        <w:rPr>
          <w:rFonts w:hint="eastAsia" w:ascii="Calibri" w:hAnsi="Calibri" w:eastAsia="宋体" w:cs="Times New Roman"/>
          <w:color w:val="auto"/>
          <w:sz w:val="24"/>
          <w:highlight w:val="none"/>
        </w:rPr>
        <w:t>用不透明包装物包装密封。外包封注明“</w:t>
      </w:r>
      <w:r>
        <w:rPr>
          <w:rFonts w:hint="eastAsia" w:ascii="Calibri" w:hAnsi="Calibri" w:eastAsia="宋体" w:cs="Times New Roman"/>
          <w:color w:val="auto"/>
          <w:sz w:val="24"/>
          <w:highlight w:val="none"/>
          <w:lang w:eastAsia="zh-CN"/>
        </w:rPr>
        <w:t>广州法治大厦项目勘察设计</w:t>
      </w:r>
      <w:r>
        <w:rPr>
          <w:rFonts w:hint="eastAsia" w:ascii="Calibri" w:hAnsi="Calibri" w:eastAsia="宋体" w:cs="Times New Roman"/>
          <w:color w:val="auto"/>
          <w:sz w:val="24"/>
          <w:highlight w:val="none"/>
        </w:rPr>
        <w:t>模型”字样，投标人不得在设计模型上标注或做任何可以辨认投标人及专业技术人员身份的名称、印章、商标、图形等。</w:t>
      </w:r>
    </w:p>
    <w:p>
      <w:pPr>
        <w:spacing w:line="360" w:lineRule="auto"/>
        <w:ind w:firstLine="480" w:firstLineChars="200"/>
        <w:rPr>
          <w:rFonts w:hint="eastAsia" w:ascii="Calibri" w:hAnsi="Calibri" w:eastAsia="宋体" w:cs="Times New Roman"/>
          <w:color w:val="auto"/>
          <w:sz w:val="24"/>
          <w:highlight w:val="none"/>
        </w:rPr>
      </w:pPr>
    </w:p>
    <w:p>
      <w:pPr>
        <w:numPr>
          <w:ilvl w:val="0"/>
          <w:numId w:val="2"/>
        </w:numPr>
        <w:rPr>
          <w:rFonts w:hint="default" w:ascii="宋体" w:hAnsi="宋体" w:eastAsia="宋体" w:cs="Times New Roman"/>
          <w:b/>
          <w:bCs/>
          <w:color w:val="auto"/>
          <w:sz w:val="24"/>
          <w:highlight w:val="none"/>
          <w:lang w:val="en-US" w:eastAsia="zh-CN"/>
        </w:rPr>
      </w:pPr>
      <w:r>
        <w:rPr>
          <w:rFonts w:hint="eastAsia" w:ascii="宋体" w:hAnsi="宋体" w:eastAsia="宋体" w:cs="Times New Roman"/>
          <w:b/>
          <w:bCs/>
          <w:color w:val="auto"/>
          <w:sz w:val="24"/>
          <w:highlight w:val="none"/>
          <w:lang w:val="en-US" w:eastAsia="zh-CN"/>
        </w:rPr>
        <w:t xml:space="preserve"> </w:t>
      </w:r>
      <w:r>
        <w:rPr>
          <w:rFonts w:hint="default" w:ascii="宋体" w:hAnsi="宋体" w:eastAsia="宋体" w:cs="Times New Roman"/>
          <w:b/>
          <w:bCs/>
          <w:color w:val="auto"/>
          <w:sz w:val="24"/>
          <w:highlight w:val="none"/>
          <w:lang w:eastAsia="zh-CN"/>
        </w:rPr>
        <w:t>设计方案文本</w:t>
      </w:r>
    </w:p>
    <w:p>
      <w:pPr>
        <w:widowControl/>
        <w:spacing w:line="360" w:lineRule="auto"/>
        <w:ind w:left="0" w:firstLine="0" w:firstLineChars="0"/>
        <w:rPr>
          <w:rFonts w:hint="eastAsia" w:ascii="宋体" w:hAnsi="宋体"/>
          <w:color w:val="auto"/>
          <w:sz w:val="24"/>
          <w:szCs w:val="24"/>
          <w:highlight w:val="none"/>
          <w:lang w:val="en-US"/>
        </w:rPr>
      </w:pPr>
      <w:r>
        <w:rPr>
          <w:rFonts w:hint="default" w:ascii="宋体" w:hAnsi="宋体"/>
          <w:color w:val="auto"/>
          <w:sz w:val="24"/>
          <w:szCs w:val="24"/>
          <w:highlight w:val="none"/>
          <w:lang w:eastAsia="zh-CN"/>
        </w:rPr>
        <w:t xml:space="preserve">    设计方案</w:t>
      </w:r>
      <w:r>
        <w:rPr>
          <w:rFonts w:hint="eastAsia" w:ascii="宋体" w:hAnsi="宋体"/>
          <w:color w:val="auto"/>
          <w:sz w:val="24"/>
          <w:szCs w:val="24"/>
          <w:highlight w:val="none"/>
          <w:lang w:eastAsia="zh-CN"/>
        </w:rPr>
        <w:t>文本</w:t>
      </w:r>
      <w:r>
        <w:rPr>
          <w:rFonts w:hint="eastAsia" w:ascii="宋体" w:hAnsi="宋体" w:cs="Courier New"/>
          <w:color w:val="auto"/>
          <w:sz w:val="24"/>
          <w:szCs w:val="21"/>
          <w:highlight w:val="none"/>
        </w:rPr>
        <w:t>以彩色打印A3（297m×420mm）规格缩印编排装订成册。设计图纸要求图文清晰、完整、规范，能清楚表达设计意图和内容，图纸规格应尽量统一，必须标注比例尺，原则上图纸规格均宜为A3，若有必要，图纸可由A2规格折叠为A3，与文本统一装订成册,设计文本篇幅不宜超过500页</w:t>
      </w:r>
      <w:r>
        <w:rPr>
          <w:rFonts w:hint="eastAsia" w:ascii="宋体" w:hAnsi="宋体"/>
          <w:color w:val="auto"/>
          <w:sz w:val="24"/>
          <w:szCs w:val="24"/>
          <w:highlight w:val="none"/>
          <w:lang w:eastAsia="zh-CN"/>
        </w:rPr>
        <w:t>。文本文件内容应与交易平台网上递交的电子投标文件一致，如有不符，则以电子投标文件为准。</w:t>
      </w:r>
    </w:p>
    <w:p>
      <w:pPr>
        <w:spacing w:line="360" w:lineRule="auto"/>
        <w:ind w:firstLine="480" w:firstLineChars="200"/>
        <w:rPr>
          <w:rFonts w:hint="eastAsia" w:ascii="宋体" w:hAnsi="宋体"/>
          <w:color w:val="auto"/>
          <w:sz w:val="24"/>
          <w:szCs w:val="24"/>
          <w:highlight w:val="none"/>
          <w:lang w:eastAsia="zh-CN"/>
        </w:rPr>
      </w:pPr>
      <w:r>
        <w:rPr>
          <w:rFonts w:hint="default" w:ascii="宋体" w:hAnsi="宋体"/>
          <w:color w:val="auto"/>
          <w:sz w:val="24"/>
          <w:szCs w:val="24"/>
          <w:highlight w:val="none"/>
          <w:lang w:eastAsia="zh-CN"/>
        </w:rPr>
        <w:t>设计方案</w:t>
      </w:r>
      <w:r>
        <w:rPr>
          <w:rFonts w:hint="eastAsia" w:ascii="宋体" w:hAnsi="宋体"/>
          <w:color w:val="auto"/>
          <w:sz w:val="24"/>
          <w:szCs w:val="24"/>
          <w:highlight w:val="none"/>
          <w:lang w:eastAsia="zh-CN"/>
        </w:rPr>
        <w:t>文本一式三份。</w:t>
      </w:r>
    </w:p>
    <w:p>
      <w:pPr>
        <w:spacing w:line="360" w:lineRule="auto"/>
        <w:ind w:firstLine="480" w:firstLineChars="200"/>
        <w:rPr>
          <w:rFonts w:hint="eastAsia" w:ascii="Calibri" w:hAnsi="Calibri" w:eastAsia="宋体" w:cs="Times New Roman"/>
          <w:color w:val="auto"/>
          <w:sz w:val="24"/>
          <w:highlight w:val="none"/>
        </w:rPr>
      </w:pPr>
      <w:r>
        <w:rPr>
          <w:rFonts w:hint="eastAsia" w:ascii="Calibri" w:hAnsi="Calibri" w:eastAsia="宋体" w:cs="Times New Roman"/>
          <w:color w:val="auto"/>
          <w:sz w:val="24"/>
          <w:highlight w:val="none"/>
          <w:lang w:val="en-US" w:eastAsia="zh-CN"/>
        </w:rPr>
        <w:t>注：设计</w:t>
      </w:r>
      <w:r>
        <w:rPr>
          <w:rFonts w:hint="default" w:ascii="Calibri" w:hAnsi="Calibri" w:eastAsia="宋体" w:cs="Times New Roman"/>
          <w:color w:val="auto"/>
          <w:sz w:val="24"/>
          <w:highlight w:val="none"/>
          <w:lang w:eastAsia="zh-CN"/>
        </w:rPr>
        <w:t>方案文本</w:t>
      </w:r>
      <w:r>
        <w:rPr>
          <w:rFonts w:hint="eastAsia" w:ascii="Calibri" w:hAnsi="Calibri" w:eastAsia="宋体" w:cs="Times New Roman"/>
          <w:color w:val="auto"/>
          <w:sz w:val="24"/>
          <w:highlight w:val="none"/>
        </w:rPr>
        <w:t>用不透明包装物包装密封。外包封注明“</w:t>
      </w:r>
      <w:r>
        <w:rPr>
          <w:rFonts w:hint="eastAsia" w:ascii="Calibri" w:hAnsi="Calibri" w:eastAsia="宋体" w:cs="Times New Roman"/>
          <w:color w:val="auto"/>
          <w:sz w:val="24"/>
          <w:highlight w:val="none"/>
          <w:lang w:eastAsia="zh-CN"/>
        </w:rPr>
        <w:t>广州法治大厦项目勘察设计</w:t>
      </w:r>
      <w:r>
        <w:rPr>
          <w:rFonts w:hint="default" w:ascii="Calibri" w:hAnsi="Calibri" w:eastAsia="宋体" w:cs="Times New Roman"/>
          <w:color w:val="auto"/>
          <w:sz w:val="24"/>
          <w:highlight w:val="none"/>
        </w:rPr>
        <w:t>设计方案文本</w:t>
      </w:r>
      <w:r>
        <w:rPr>
          <w:rFonts w:hint="eastAsia" w:ascii="Calibri" w:hAnsi="Calibri" w:eastAsia="宋体" w:cs="Times New Roman"/>
          <w:color w:val="auto"/>
          <w:sz w:val="24"/>
          <w:highlight w:val="none"/>
        </w:rPr>
        <w:t>”字样，投标人不得在设计</w:t>
      </w:r>
      <w:r>
        <w:rPr>
          <w:rFonts w:hint="default" w:ascii="Calibri" w:hAnsi="Calibri" w:eastAsia="宋体" w:cs="Times New Roman"/>
          <w:color w:val="auto"/>
          <w:sz w:val="24"/>
          <w:highlight w:val="none"/>
        </w:rPr>
        <w:t>方案文本</w:t>
      </w:r>
      <w:r>
        <w:rPr>
          <w:rFonts w:hint="eastAsia" w:ascii="Calibri" w:hAnsi="Calibri" w:eastAsia="宋体" w:cs="Times New Roman"/>
          <w:color w:val="auto"/>
          <w:sz w:val="24"/>
          <w:highlight w:val="none"/>
        </w:rPr>
        <w:t>上标注或做任何可以辨认投标人及专业技术人员身份的名称、印章、商标、图形等。</w:t>
      </w:r>
    </w:p>
    <w:p>
      <w:pPr>
        <w:widowControl/>
        <w:spacing w:line="360" w:lineRule="auto"/>
        <w:ind w:left="718" w:firstLine="480" w:firstLineChars="200"/>
        <w:rPr>
          <w:rFonts w:hint="eastAsia" w:ascii="宋体" w:hAnsi="宋体"/>
          <w:color w:val="auto"/>
          <w:sz w:val="24"/>
          <w:szCs w:val="24"/>
          <w:highlight w:val="none"/>
          <w:lang w:val="en-US"/>
        </w:rPr>
      </w:pPr>
    </w:p>
    <w:p>
      <w:pPr>
        <w:numPr>
          <w:ilvl w:val="-1"/>
          <w:numId w:val="0"/>
        </w:numPr>
        <w:rPr>
          <w:rFonts w:hint="default" w:ascii="宋体" w:hAnsi="宋体" w:eastAsia="宋体" w:cs="Times New Roman"/>
          <w:b/>
          <w:bCs/>
          <w:color w:val="auto"/>
          <w:sz w:val="24"/>
          <w:highlight w:val="none"/>
          <w:lang w:val="en-US" w:eastAsia="zh-CN"/>
        </w:rPr>
      </w:pPr>
    </w:p>
    <w:p>
      <w:pPr>
        <w:spacing w:line="360" w:lineRule="auto"/>
        <w:ind w:firstLine="420" w:firstLineChars="200"/>
        <w:rPr>
          <w:rFonts w:ascii="宋体" w:hAnsi="宋体" w:eastAsia="宋体" w:cs="Times New Roman"/>
          <w:color w:val="auto"/>
          <w:highlight w:val="none"/>
        </w:rPr>
      </w:pPr>
      <w:r>
        <w:rPr>
          <w:rFonts w:ascii="宋体" w:hAnsi="宋体" w:eastAsia="宋体" w:cs="Times New Roman"/>
          <w:color w:val="auto"/>
          <w:highlight w:val="none"/>
        </w:rPr>
        <w:br w:type="page"/>
      </w:r>
    </w:p>
    <w:p>
      <w:pPr>
        <w:rPr>
          <w:rFonts w:ascii="宋体" w:hAnsi="宋体" w:eastAsia="宋体" w:cs="Times New Roman"/>
          <w:color w:val="auto"/>
          <w:highlight w:val="none"/>
        </w:rPr>
      </w:pPr>
      <w:r>
        <w:rPr>
          <w:rFonts w:hint="eastAsia" w:ascii="宋体" w:hAnsi="宋体" w:eastAsia="宋体" w:cs="Times New Roman"/>
          <w:color w:val="auto"/>
          <w:highlight w:val="none"/>
        </w:rPr>
        <w:t>附表</w:t>
      </w:r>
      <w:r>
        <w:rPr>
          <w:rFonts w:ascii="宋体" w:hAnsi="宋体" w:eastAsia="宋体" w:cs="Times New Roman"/>
          <w:color w:val="auto"/>
          <w:highlight w:val="none"/>
        </w:rPr>
        <w:t>1</w:t>
      </w:r>
    </w:p>
    <w:p>
      <w:pPr>
        <w:jc w:val="center"/>
        <w:rPr>
          <w:rFonts w:ascii="Calibri" w:hAnsi="Calibri" w:eastAsia="宋体" w:cs="Times New Roman"/>
          <w:color w:val="auto"/>
          <w:highlight w:val="none"/>
        </w:rPr>
      </w:pPr>
      <w:r>
        <w:rPr>
          <w:rFonts w:hint="eastAsia" w:ascii="宋体" w:hAnsi="宋体" w:eastAsia="宋体" w:cs="Times New Roman"/>
          <w:b/>
          <w:bCs/>
          <w:color w:val="auto"/>
          <w:sz w:val="32"/>
          <w:highlight w:val="none"/>
        </w:rPr>
        <w:t>设计方案主要技术指标响应情况一览表</w:t>
      </w:r>
    </w:p>
    <w:tbl>
      <w:tblPr>
        <w:tblStyle w:val="1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2466"/>
        <w:gridCol w:w="2194"/>
        <w:gridCol w:w="2178"/>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6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b/>
                <w:color w:val="auto"/>
                <w:sz w:val="24"/>
                <w:highlight w:val="none"/>
              </w:rPr>
            </w:pPr>
            <w:r>
              <w:rPr>
                <w:rFonts w:hint="eastAsia" w:ascii="宋体" w:hAnsi="宋体" w:eastAsia="宋体" w:cs="Times New Roman"/>
                <w:b/>
                <w:color w:val="auto"/>
                <w:sz w:val="24"/>
                <w:highlight w:val="none"/>
              </w:rPr>
              <w:t>序号</w:t>
            </w:r>
          </w:p>
        </w:tc>
        <w:tc>
          <w:tcPr>
            <w:tcW w:w="24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b/>
                <w:color w:val="auto"/>
                <w:sz w:val="24"/>
                <w:highlight w:val="none"/>
                <w:lang w:eastAsia="zh-CN"/>
              </w:rPr>
            </w:pPr>
            <w:r>
              <w:rPr>
                <w:rFonts w:hint="eastAsia" w:ascii="宋体" w:hAnsi="宋体" w:eastAsia="宋体" w:cs="Times New Roman"/>
                <w:b/>
                <w:color w:val="auto"/>
                <w:sz w:val="24"/>
                <w:highlight w:val="none"/>
              </w:rPr>
              <w:t>项目</w:t>
            </w:r>
            <w:r>
              <w:rPr>
                <w:rFonts w:hint="eastAsia" w:ascii="宋体" w:hAnsi="宋体" w:eastAsia="宋体" w:cs="Times New Roman"/>
                <w:b/>
                <w:color w:val="auto"/>
                <w:sz w:val="24"/>
                <w:highlight w:val="none"/>
                <w:lang w:eastAsia="zh-CN"/>
              </w:rPr>
              <w:t>（</w:t>
            </w:r>
            <w:r>
              <w:rPr>
                <w:rFonts w:hint="eastAsia" w:ascii="宋体" w:hAnsi="宋体" w:eastAsia="宋体" w:cs="Times New Roman"/>
                <w:b/>
                <w:color w:val="auto"/>
                <w:sz w:val="24"/>
                <w:highlight w:val="none"/>
                <w:lang w:val="en-US" w:eastAsia="zh-CN"/>
              </w:rPr>
              <w:t>内容</w:t>
            </w:r>
            <w:r>
              <w:rPr>
                <w:rFonts w:hint="eastAsia" w:ascii="宋体" w:hAnsi="宋体" w:eastAsia="宋体" w:cs="Times New Roman"/>
                <w:b/>
                <w:color w:val="auto"/>
                <w:sz w:val="24"/>
                <w:highlight w:val="none"/>
                <w:lang w:eastAsia="zh-CN"/>
              </w:rPr>
              <w:t>）</w:t>
            </w:r>
          </w:p>
        </w:tc>
        <w:tc>
          <w:tcPr>
            <w:tcW w:w="219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b/>
                <w:color w:val="auto"/>
                <w:sz w:val="24"/>
                <w:highlight w:val="none"/>
              </w:rPr>
            </w:pPr>
            <w:r>
              <w:rPr>
                <w:rFonts w:hint="eastAsia" w:ascii="宋体" w:hAnsi="宋体" w:eastAsia="宋体" w:cs="Times New Roman"/>
                <w:b/>
                <w:color w:val="auto"/>
                <w:sz w:val="24"/>
                <w:highlight w:val="none"/>
              </w:rPr>
              <w:t>设计任务书要求</w:t>
            </w:r>
          </w:p>
        </w:tc>
        <w:tc>
          <w:tcPr>
            <w:tcW w:w="21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b/>
                <w:color w:val="auto"/>
                <w:sz w:val="24"/>
                <w:highlight w:val="none"/>
              </w:rPr>
            </w:pPr>
            <w:r>
              <w:rPr>
                <w:rFonts w:hint="eastAsia" w:ascii="宋体" w:hAnsi="宋体" w:eastAsia="宋体" w:cs="Times New Roman"/>
                <w:b/>
                <w:color w:val="auto"/>
                <w:sz w:val="24"/>
                <w:highlight w:val="none"/>
              </w:rPr>
              <w:t>设计方案响应情况（填写具体数值）</w:t>
            </w:r>
          </w:p>
        </w:tc>
        <w:tc>
          <w:tcPr>
            <w:tcW w:w="11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b/>
                <w:color w:val="auto"/>
                <w:sz w:val="24"/>
                <w:highlight w:val="none"/>
              </w:rPr>
            </w:pPr>
            <w:r>
              <w:rPr>
                <w:rFonts w:hint="eastAsia" w:ascii="宋体" w:hAnsi="宋体" w:eastAsia="宋体" w:cs="Times New Roman"/>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6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1</w:t>
            </w:r>
          </w:p>
        </w:tc>
        <w:tc>
          <w:tcPr>
            <w:tcW w:w="24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cs="宋体"/>
                <w:color w:val="auto"/>
                <w:kern w:val="2"/>
                <w:sz w:val="24"/>
                <w:szCs w:val="24"/>
                <w:highlight w:val="none"/>
                <w:u w:val="none"/>
                <w:lang w:val="en-US" w:eastAsia="zh-CN" w:bidi="ar"/>
              </w:rPr>
            </w:pPr>
            <w:r>
              <w:rPr>
                <w:rFonts w:hint="eastAsia" w:ascii="宋体" w:hAnsi="宋体" w:eastAsia="宋体" w:cs="宋体"/>
                <w:color w:val="auto"/>
                <w:kern w:val="2"/>
                <w:sz w:val="24"/>
                <w:szCs w:val="24"/>
                <w:highlight w:val="none"/>
                <w:u w:val="none"/>
                <w:lang w:val="en-US" w:eastAsia="zh-CN" w:bidi="ar"/>
              </w:rPr>
              <w:t>总建筑面积</w:t>
            </w:r>
          </w:p>
        </w:tc>
        <w:tc>
          <w:tcPr>
            <w:tcW w:w="21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cs="宋体"/>
                <w:color w:val="auto"/>
                <w:kern w:val="2"/>
                <w:sz w:val="24"/>
                <w:szCs w:val="24"/>
                <w:highlight w:val="none"/>
                <w:u w:val="none"/>
                <w:lang w:val="en-US" w:eastAsia="zh-CN" w:bidi="ar"/>
              </w:rPr>
            </w:pPr>
            <w:r>
              <w:rPr>
                <w:rFonts w:hint="eastAsia" w:ascii="宋体" w:hAnsi="宋体" w:eastAsia="宋体" w:cs="宋体"/>
                <w:color w:val="auto"/>
                <w:kern w:val="2"/>
                <w:sz w:val="24"/>
                <w:szCs w:val="24"/>
                <w:highlight w:val="none"/>
                <w:lang w:val="en-US" w:eastAsia="zh-CN" w:bidi="ar"/>
              </w:rPr>
              <w:t>99374平方米</w:t>
            </w:r>
          </w:p>
        </w:tc>
        <w:tc>
          <w:tcPr>
            <w:tcW w:w="21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b/>
                <w:color w:val="auto"/>
                <w:sz w:val="24"/>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b/>
                <w:color w:val="auto"/>
                <w:sz w:val="24"/>
                <w:highlight w:val="none"/>
              </w:rPr>
            </w:pPr>
            <w:r>
              <w:rPr>
                <w:rFonts w:hint="eastAsia" w:ascii="宋体" w:hAnsi="宋体" w:eastAsia="宋体" w:cs="Times New Roman"/>
                <w:b w:val="0"/>
                <w:bCs/>
                <w:color w:val="auto"/>
                <w:sz w:val="24"/>
                <w:highlight w:val="none"/>
              </w:rPr>
              <w:t>原则不超设计任务书要求</w:t>
            </w:r>
          </w:p>
        </w:tc>
      </w:tr>
    </w:tbl>
    <w:p>
      <w:pPr>
        <w:spacing w:line="360" w:lineRule="auto"/>
        <w:ind w:left="315" w:hanging="315" w:hangingChars="150"/>
        <w:rPr>
          <w:rFonts w:ascii="宋体" w:hAnsi="宋体" w:eastAsia="宋体" w:cs="Times New Roman"/>
          <w:strike/>
          <w:color w:val="auto"/>
          <w:sz w:val="24"/>
          <w:highlight w:val="none"/>
        </w:rPr>
      </w:pPr>
      <w:r>
        <w:rPr>
          <w:rFonts w:hint="eastAsia" w:ascii="Calibri" w:hAnsi="Calibri" w:eastAsia="宋体" w:cs="Times New Roman"/>
          <w:color w:val="auto"/>
          <w:highlight w:val="none"/>
        </w:rPr>
        <w:t>注：投标人在本表填写的数据作为评标委员会对方案评审的依据之一</w:t>
      </w:r>
      <w:r>
        <w:rPr>
          <w:rFonts w:hint="default" w:ascii="Calibri" w:hAnsi="Calibri" w:eastAsia="宋体" w:cs="Times New Roman"/>
          <w:color w:val="auto"/>
          <w:highlight w:val="none"/>
        </w:rPr>
        <w:t>，但不作为废标条件</w:t>
      </w:r>
      <w:r>
        <w:rPr>
          <w:rFonts w:hint="eastAsia" w:ascii="Calibri" w:hAnsi="Calibri" w:eastAsia="宋体" w:cs="Times New Roman"/>
          <w:color w:val="auto"/>
          <w:highlight w:val="none"/>
        </w:rPr>
        <w:t>。</w:t>
      </w:r>
    </w:p>
    <w:p>
      <w:pPr>
        <w:outlineLvl w:val="1"/>
        <w:rPr>
          <w:rFonts w:ascii="宋体" w:hAnsi="宋体" w:eastAsia="宋体" w:cs="Times New Roman"/>
          <w:b/>
          <w:bCs/>
          <w:color w:val="auto"/>
          <w:kern w:val="44"/>
          <w:sz w:val="21"/>
          <w:szCs w:val="21"/>
          <w:highlight w:val="none"/>
          <w:lang w:val="en-US" w:eastAsia="zh-CN" w:bidi="ar-SA"/>
        </w:rPr>
      </w:pPr>
      <w:r>
        <w:rPr>
          <w:rFonts w:ascii="宋体" w:hAnsi="宋体" w:eastAsia="宋体" w:cs="Times New Roman"/>
          <w:b/>
          <w:bCs/>
          <w:color w:val="auto"/>
          <w:kern w:val="44"/>
          <w:sz w:val="24"/>
          <w:szCs w:val="44"/>
          <w:highlight w:val="none"/>
          <w:lang w:val="en-US" w:eastAsia="zh-CN" w:bidi="ar-SA"/>
        </w:rPr>
        <w:br w:type="page"/>
      </w:r>
      <w:bookmarkStart w:id="36" w:name="_Toc3842"/>
      <w:r>
        <w:rPr>
          <w:rFonts w:hint="default" w:ascii="宋体" w:hAnsi="宋体" w:eastAsia="宋体" w:cs="Times New Roman"/>
          <w:b/>
          <w:bCs/>
          <w:color w:val="auto"/>
          <w:kern w:val="44"/>
          <w:sz w:val="21"/>
          <w:szCs w:val="21"/>
          <w:highlight w:val="none"/>
          <w:lang w:val="en-US" w:eastAsia="zh-CN" w:bidi="ar-SA"/>
        </w:rPr>
        <w:t>附件</w:t>
      </w:r>
      <w:r>
        <w:rPr>
          <w:rFonts w:ascii="宋体" w:hAnsi="宋体" w:eastAsia="宋体" w:cs="Times New Roman"/>
          <w:b/>
          <w:bCs/>
          <w:color w:val="auto"/>
          <w:kern w:val="44"/>
          <w:sz w:val="21"/>
          <w:szCs w:val="21"/>
          <w:highlight w:val="none"/>
          <w:lang w:val="en-US" w:eastAsia="zh-CN" w:bidi="ar-SA"/>
        </w:rPr>
        <w:t>3（工程勘察设计费报价汇总表）</w:t>
      </w:r>
      <w:bookmarkEnd w:id="36"/>
    </w:p>
    <w:p>
      <w:pPr>
        <w:jc w:val="center"/>
        <w:rPr>
          <w:rFonts w:ascii="Calibri" w:hAnsi="Calibri" w:eastAsia="宋体" w:cs="Times New Roman"/>
          <w:b/>
          <w:color w:val="auto"/>
          <w:sz w:val="28"/>
          <w:highlight w:val="none"/>
        </w:rPr>
      </w:pPr>
      <w:bookmarkStart w:id="37" w:name="_Toc1493"/>
      <w:bookmarkStart w:id="38" w:name="_Toc114493758"/>
      <w:r>
        <w:rPr>
          <w:rFonts w:hint="eastAsia" w:ascii="Calibri" w:hAnsi="Calibri" w:eastAsia="宋体" w:cs="Times New Roman"/>
          <w:b/>
          <w:color w:val="auto"/>
          <w:sz w:val="28"/>
          <w:highlight w:val="none"/>
        </w:rPr>
        <w:t>工程勘察设计费报价汇总表</w:t>
      </w:r>
      <w:bookmarkEnd w:id="37"/>
      <w:bookmarkEnd w:id="38"/>
    </w:p>
    <w:tbl>
      <w:tblPr>
        <w:tblStyle w:val="11"/>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3277"/>
        <w:gridCol w:w="1582"/>
        <w:gridCol w:w="4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24"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序号</w:t>
            </w:r>
          </w:p>
        </w:tc>
        <w:tc>
          <w:tcPr>
            <w:tcW w:w="3277"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计费项目</w:t>
            </w:r>
          </w:p>
        </w:tc>
        <w:tc>
          <w:tcPr>
            <w:tcW w:w="1582"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金额（万元）</w:t>
            </w:r>
          </w:p>
        </w:tc>
        <w:tc>
          <w:tcPr>
            <w:tcW w:w="4083"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24" w:type="dxa"/>
            <w:vAlign w:val="center"/>
          </w:tcPr>
          <w:p>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default" w:ascii="宋体" w:hAnsi="宋体" w:eastAsia="宋体" w:cs="宋体"/>
                <w:color w:val="auto"/>
                <w:sz w:val="21"/>
                <w:szCs w:val="21"/>
                <w:highlight w:val="none"/>
              </w:rPr>
              <w:t>1）</w:t>
            </w:r>
          </w:p>
        </w:tc>
        <w:tc>
          <w:tcPr>
            <w:tcW w:w="3277" w:type="dxa"/>
            <w:vAlign w:val="center"/>
          </w:tcPr>
          <w:p>
            <w:pPr>
              <w:keepNext w:val="0"/>
              <w:keepLines w:val="0"/>
              <w:suppressLineNumbers w:val="0"/>
              <w:spacing w:before="0" w:beforeAutospacing="0" w:after="0" w:afterAutospacing="0" w:line="360" w:lineRule="auto"/>
              <w:ind w:left="0" w:right="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工程设计费投标报价</w:t>
            </w:r>
          </w:p>
        </w:tc>
        <w:tc>
          <w:tcPr>
            <w:tcW w:w="1582" w:type="dxa"/>
            <w:vAlign w:val="center"/>
          </w:tcPr>
          <w:p>
            <w:pPr>
              <w:keepNext w:val="0"/>
              <w:keepLines w:val="0"/>
              <w:suppressLineNumbers w:val="0"/>
              <w:spacing w:before="0" w:beforeAutospacing="0" w:after="0" w:afterAutospacing="0" w:line="360" w:lineRule="auto"/>
              <w:ind w:left="0" w:right="0"/>
              <w:rPr>
                <w:rFonts w:hint="default" w:ascii="宋体" w:hAnsi="宋体" w:eastAsia="宋体" w:cs="Times New Roman"/>
                <w:color w:val="auto"/>
                <w:sz w:val="21"/>
                <w:szCs w:val="21"/>
                <w:highlight w:val="none"/>
              </w:rPr>
            </w:pPr>
          </w:p>
        </w:tc>
        <w:tc>
          <w:tcPr>
            <w:tcW w:w="4083" w:type="dxa"/>
            <w:vAlign w:val="center"/>
          </w:tcPr>
          <w:p>
            <w:pPr>
              <w:keepNext w:val="0"/>
              <w:keepLines w:val="0"/>
              <w:suppressLineNumbers w:val="0"/>
              <w:spacing w:before="0" w:beforeAutospacing="0" w:after="0" w:afterAutospacing="0" w:line="360" w:lineRule="auto"/>
              <w:ind w:left="0" w:right="0" w:firstLine="315" w:firstLineChars="150"/>
              <w:rPr>
                <w:rFonts w:hint="default" w:ascii="宋体" w:hAnsi="宋体" w:eastAsia="宋体" w:cs="宋体"/>
                <w:b/>
                <w:color w:val="auto"/>
                <w:sz w:val="21"/>
                <w:szCs w:val="21"/>
                <w:highlight w:val="none"/>
              </w:rPr>
            </w:pPr>
            <w:r>
              <w:rPr>
                <w:rFonts w:hint="eastAsia" w:ascii="宋体" w:hAnsi="宋体" w:eastAsia="宋体" w:cs="宋体"/>
                <w:color w:val="auto"/>
                <w:sz w:val="21"/>
                <w:szCs w:val="21"/>
                <w:highlight w:val="none"/>
              </w:rPr>
              <w:t>取自附件3-1《工程设计费计算表》第（1）项，</w:t>
            </w:r>
            <w:r>
              <w:rPr>
                <w:rFonts w:hint="eastAsia" w:ascii="宋体" w:hAnsi="宋体" w:eastAsia="宋体" w:cs="宋体"/>
                <w:bCs/>
                <w:color w:val="auto"/>
                <w:sz w:val="21"/>
                <w:szCs w:val="21"/>
                <w:highlight w:val="none"/>
              </w:rPr>
              <w:t>对应报价金额不得超过最高投标限价</w:t>
            </w:r>
            <w:r>
              <w:rPr>
                <w:rFonts w:hint="eastAsia" w:ascii="宋体" w:hAnsi="宋体" w:eastAsia="宋体" w:cs="宋体"/>
                <w:bCs/>
                <w:color w:val="auto"/>
                <w:sz w:val="21"/>
                <w:szCs w:val="21"/>
                <w:highlight w:val="none"/>
                <w:u w:val="single"/>
                <w:lang w:eastAsia="zh-CN"/>
              </w:rPr>
              <w:t>1462.3778</w:t>
            </w:r>
            <w:r>
              <w:rPr>
                <w:rFonts w:hint="eastAsia" w:ascii="宋体" w:hAnsi="宋体" w:eastAsia="宋体" w:cs="宋体"/>
                <w:bCs/>
                <w:color w:val="auto"/>
                <w:sz w:val="21"/>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24" w:type="dxa"/>
            <w:vAlign w:val="center"/>
          </w:tcPr>
          <w:p>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default" w:ascii="宋体" w:hAnsi="宋体" w:eastAsia="宋体" w:cs="宋体"/>
                <w:color w:val="auto"/>
                <w:sz w:val="21"/>
                <w:szCs w:val="21"/>
                <w:highlight w:val="none"/>
              </w:rPr>
              <w:t>2）</w:t>
            </w:r>
          </w:p>
        </w:tc>
        <w:tc>
          <w:tcPr>
            <w:tcW w:w="3277" w:type="dxa"/>
            <w:vAlign w:val="center"/>
          </w:tcPr>
          <w:p>
            <w:pPr>
              <w:keepNext w:val="0"/>
              <w:keepLines w:val="0"/>
              <w:suppressLineNumbers w:val="0"/>
              <w:spacing w:before="0" w:beforeAutospacing="0" w:after="0" w:afterAutospacing="0" w:line="360" w:lineRule="auto"/>
              <w:ind w:left="0" w:right="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工程勘察费投标报价</w:t>
            </w:r>
          </w:p>
        </w:tc>
        <w:tc>
          <w:tcPr>
            <w:tcW w:w="1582" w:type="dxa"/>
            <w:vAlign w:val="center"/>
          </w:tcPr>
          <w:p>
            <w:pPr>
              <w:keepNext w:val="0"/>
              <w:keepLines w:val="0"/>
              <w:suppressLineNumbers w:val="0"/>
              <w:spacing w:before="0" w:beforeAutospacing="0" w:after="0" w:afterAutospacing="0" w:line="360" w:lineRule="auto"/>
              <w:ind w:left="0" w:right="0"/>
              <w:rPr>
                <w:rFonts w:hint="default" w:ascii="宋体" w:hAnsi="宋体" w:eastAsia="宋体" w:cs="Times New Roman"/>
                <w:color w:val="auto"/>
                <w:sz w:val="21"/>
                <w:szCs w:val="21"/>
                <w:highlight w:val="none"/>
              </w:rPr>
            </w:pPr>
          </w:p>
        </w:tc>
        <w:tc>
          <w:tcPr>
            <w:tcW w:w="4083" w:type="dxa"/>
            <w:vAlign w:val="center"/>
          </w:tcPr>
          <w:p>
            <w:pPr>
              <w:keepNext w:val="0"/>
              <w:keepLines w:val="0"/>
              <w:suppressLineNumbers w:val="0"/>
              <w:spacing w:before="0" w:beforeAutospacing="0" w:after="0" w:afterAutospacing="0" w:line="360" w:lineRule="auto"/>
              <w:ind w:left="0" w:right="0" w:firstLine="315" w:firstLineChars="150"/>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取自附件3-2《工程勘察费计算表》第（3）项，</w:t>
            </w:r>
            <w:r>
              <w:rPr>
                <w:rFonts w:hint="eastAsia" w:ascii="宋体" w:hAnsi="宋体" w:eastAsia="宋体" w:cs="宋体"/>
                <w:bCs/>
                <w:color w:val="auto"/>
                <w:sz w:val="21"/>
                <w:szCs w:val="21"/>
                <w:highlight w:val="none"/>
              </w:rPr>
              <w:t>对应报价金额不得超过最高投标限价</w:t>
            </w:r>
            <w:r>
              <w:rPr>
                <w:rFonts w:hint="eastAsia" w:ascii="宋体" w:hAnsi="宋体" w:eastAsia="宋体" w:cs="宋体"/>
                <w:bCs/>
                <w:color w:val="auto"/>
                <w:sz w:val="21"/>
                <w:szCs w:val="21"/>
                <w:highlight w:val="none"/>
                <w:u w:val="single"/>
              </w:rPr>
              <w:t>50万</w:t>
            </w:r>
            <w:r>
              <w:rPr>
                <w:rFonts w:hint="eastAsia" w:ascii="宋体" w:hAnsi="宋体" w:eastAsia="宋体" w:cs="宋体"/>
                <w:bCs/>
                <w:color w:val="auto"/>
                <w:sz w:val="21"/>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24" w:type="dxa"/>
            <w:vAlign w:val="center"/>
          </w:tcPr>
          <w:p>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（3）</w:t>
            </w:r>
          </w:p>
        </w:tc>
        <w:tc>
          <w:tcPr>
            <w:tcW w:w="3277" w:type="dxa"/>
            <w:vAlign w:val="center"/>
          </w:tcPr>
          <w:p>
            <w:pPr>
              <w:keepNext w:val="0"/>
              <w:keepLines w:val="0"/>
              <w:widowControl w:val="0"/>
              <w:suppressLineNumbers w:val="0"/>
              <w:spacing w:before="0" w:beforeAutospacing="0" w:after="0" w:afterAutospacing="0" w:line="360" w:lineRule="auto"/>
              <w:ind w:left="0" w:right="0"/>
              <w:jc w:val="both"/>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BIM正向设计技术应用费投标报价</w:t>
            </w:r>
          </w:p>
        </w:tc>
        <w:tc>
          <w:tcPr>
            <w:tcW w:w="1582" w:type="dxa"/>
            <w:vAlign w:val="center"/>
          </w:tcPr>
          <w:p>
            <w:pPr>
              <w:keepNext w:val="0"/>
              <w:keepLines w:val="0"/>
              <w:suppressLineNumbers w:val="0"/>
              <w:spacing w:before="0" w:beforeAutospacing="0" w:after="0" w:afterAutospacing="0" w:line="360" w:lineRule="auto"/>
              <w:ind w:left="0" w:right="0"/>
              <w:rPr>
                <w:rFonts w:hint="default" w:ascii="宋体" w:hAnsi="宋体" w:eastAsia="宋体" w:cs="Times New Roman"/>
                <w:color w:val="auto"/>
                <w:sz w:val="21"/>
                <w:szCs w:val="21"/>
                <w:highlight w:val="none"/>
              </w:rPr>
            </w:pPr>
          </w:p>
        </w:tc>
        <w:tc>
          <w:tcPr>
            <w:tcW w:w="4083" w:type="dxa"/>
            <w:vAlign w:val="center"/>
          </w:tcPr>
          <w:p>
            <w:pPr>
              <w:keepNext w:val="0"/>
              <w:keepLines w:val="0"/>
              <w:widowControl w:val="0"/>
              <w:suppressLineNumbers w:val="0"/>
              <w:spacing w:before="0" w:beforeAutospacing="0" w:after="0" w:afterAutospacing="0" w:line="360" w:lineRule="auto"/>
              <w:ind w:left="0" w:right="0" w:firstLine="315" w:firstLineChars="150"/>
              <w:jc w:val="both"/>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取自附件3-3《BIM正向设计技术应用费计算表》第（3）项，对应报价金额不得超过最高投标限价</w:t>
            </w:r>
            <w:r>
              <w:rPr>
                <w:rFonts w:hint="eastAsia" w:ascii="宋体" w:hAnsi="宋体" w:eastAsia="宋体" w:cs="Times New Roman"/>
                <w:color w:val="auto"/>
                <w:sz w:val="21"/>
                <w:szCs w:val="21"/>
                <w:highlight w:val="none"/>
                <w:u w:val="single"/>
                <w:lang w:val="en-US" w:eastAsia="zh-CN"/>
              </w:rPr>
              <w:t>139.1236</w:t>
            </w:r>
            <w:r>
              <w:rPr>
                <w:rFonts w:hint="eastAsia" w:ascii="宋体" w:hAnsi="宋体" w:eastAsia="宋体" w:cs="宋体"/>
                <w:color w:val="auto"/>
                <w:sz w:val="21"/>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24" w:type="dxa"/>
            <w:vAlign w:val="center"/>
          </w:tcPr>
          <w:p>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default" w:ascii="宋体" w:hAnsi="宋体" w:eastAsia="宋体" w:cs="宋体"/>
                <w:color w:val="auto"/>
                <w:sz w:val="21"/>
                <w:szCs w:val="21"/>
                <w:highlight w:val="none"/>
              </w:rPr>
              <w:t>）</w:t>
            </w:r>
          </w:p>
        </w:tc>
        <w:tc>
          <w:tcPr>
            <w:tcW w:w="3277" w:type="dxa"/>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设计方案报审（含修建性详细规划编制）投标报价</w:t>
            </w:r>
          </w:p>
        </w:tc>
        <w:tc>
          <w:tcPr>
            <w:tcW w:w="1582" w:type="dxa"/>
            <w:vAlign w:val="center"/>
          </w:tcPr>
          <w:p>
            <w:pPr>
              <w:keepNext w:val="0"/>
              <w:keepLines w:val="0"/>
              <w:suppressLineNumbers w:val="0"/>
              <w:spacing w:before="0" w:beforeAutospacing="0" w:after="0" w:afterAutospacing="0" w:line="360" w:lineRule="auto"/>
              <w:ind w:left="0" w:right="0"/>
              <w:rPr>
                <w:rFonts w:hint="default" w:ascii="宋体" w:hAnsi="宋体" w:eastAsia="宋体" w:cs="Times New Roman"/>
                <w:color w:val="auto"/>
                <w:sz w:val="21"/>
                <w:szCs w:val="21"/>
                <w:highlight w:val="none"/>
              </w:rPr>
            </w:pPr>
          </w:p>
        </w:tc>
        <w:tc>
          <w:tcPr>
            <w:tcW w:w="4083" w:type="dxa"/>
            <w:vAlign w:val="center"/>
          </w:tcPr>
          <w:p>
            <w:pPr>
              <w:keepNext w:val="0"/>
              <w:keepLines w:val="0"/>
              <w:widowControl w:val="0"/>
              <w:suppressLineNumbers w:val="0"/>
              <w:spacing w:before="0" w:beforeAutospacing="0" w:after="0" w:afterAutospacing="0" w:line="360" w:lineRule="auto"/>
              <w:ind w:left="0" w:right="0" w:firstLine="315" w:firstLineChars="15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取自附件3-</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Times New Roman"/>
                <w:color w:val="auto"/>
                <w:sz w:val="21"/>
                <w:szCs w:val="21"/>
                <w:highlight w:val="none"/>
              </w:rPr>
              <w:t>设计方案报审（含修建性详细规划编制）</w:t>
            </w:r>
            <w:r>
              <w:rPr>
                <w:rFonts w:hint="eastAsia" w:ascii="宋体" w:hAnsi="宋体" w:eastAsia="宋体" w:cs="宋体"/>
                <w:color w:val="auto"/>
                <w:sz w:val="21"/>
                <w:szCs w:val="21"/>
                <w:highlight w:val="none"/>
              </w:rPr>
              <w:t>费计算表》第（3）项，对应报价金额不得超过最高投标限价</w:t>
            </w:r>
            <w:r>
              <w:rPr>
                <w:rFonts w:hint="eastAsia" w:ascii="宋体" w:hAnsi="宋体" w:eastAsia="宋体" w:cs="Times New Roman"/>
                <w:color w:val="auto"/>
                <w:sz w:val="21"/>
                <w:szCs w:val="21"/>
                <w:highlight w:val="none"/>
                <w:u w:val="single"/>
                <w:lang w:val="en-US" w:eastAsia="zh-CN"/>
              </w:rPr>
              <w:t>1.08</w:t>
            </w:r>
            <w:r>
              <w:rPr>
                <w:rFonts w:hint="eastAsia" w:ascii="宋体" w:hAnsi="宋体" w:eastAsia="宋体" w:cs="宋体"/>
                <w:color w:val="auto"/>
                <w:sz w:val="21"/>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24" w:type="dxa"/>
            <w:vAlign w:val="center"/>
          </w:tcPr>
          <w:p>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default" w:ascii="宋体" w:hAnsi="宋体" w:eastAsia="宋体" w:cs="宋体"/>
                <w:color w:val="auto"/>
                <w:sz w:val="21"/>
                <w:szCs w:val="21"/>
                <w:highlight w:val="none"/>
              </w:rPr>
              <w:t>）</w:t>
            </w:r>
          </w:p>
        </w:tc>
        <w:tc>
          <w:tcPr>
            <w:tcW w:w="3277" w:type="dxa"/>
            <w:vAlign w:val="center"/>
          </w:tcPr>
          <w:p>
            <w:pPr>
              <w:keepNext w:val="0"/>
              <w:keepLines w:val="0"/>
              <w:suppressLineNumbers w:val="0"/>
              <w:spacing w:before="0" w:beforeAutospacing="0" w:after="0" w:afterAutospacing="0" w:line="360" w:lineRule="auto"/>
              <w:ind w:left="0" w:right="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工程勘察设计费投标总报价</w:t>
            </w:r>
          </w:p>
        </w:tc>
        <w:tc>
          <w:tcPr>
            <w:tcW w:w="1582" w:type="dxa"/>
            <w:vAlign w:val="center"/>
          </w:tcPr>
          <w:p>
            <w:pPr>
              <w:keepNext w:val="0"/>
              <w:keepLines w:val="0"/>
              <w:suppressLineNumbers w:val="0"/>
              <w:spacing w:before="0" w:beforeAutospacing="0" w:after="0" w:afterAutospacing="0" w:line="360" w:lineRule="auto"/>
              <w:ind w:left="0" w:right="0"/>
              <w:rPr>
                <w:rFonts w:hint="default" w:ascii="宋体" w:hAnsi="宋体" w:eastAsia="宋体" w:cs="Times New Roman"/>
                <w:color w:val="auto"/>
                <w:sz w:val="21"/>
                <w:szCs w:val="21"/>
                <w:highlight w:val="none"/>
              </w:rPr>
            </w:pPr>
          </w:p>
        </w:tc>
        <w:tc>
          <w:tcPr>
            <w:tcW w:w="4083" w:type="dxa"/>
            <w:vAlign w:val="center"/>
          </w:tcPr>
          <w:p>
            <w:pPr>
              <w:keepNext w:val="0"/>
              <w:keepLines w:val="0"/>
              <w:suppressLineNumbers w:val="0"/>
              <w:spacing w:before="0" w:beforeAutospacing="0" w:after="0" w:afterAutospacing="0" w:line="360" w:lineRule="auto"/>
              <w:ind w:left="0" w:right="0"/>
              <w:rPr>
                <w:rFonts w:hint="default"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）=（1）+（2）+（3）+（</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），对应报价金额不得超过最高投标限价</w:t>
            </w:r>
            <w:r>
              <w:rPr>
                <w:rFonts w:hint="default" w:ascii="宋体" w:hAnsi="宋体" w:eastAsia="宋体" w:cs="Times New Roman"/>
                <w:color w:val="auto"/>
                <w:sz w:val="24"/>
                <w:highlight w:val="none"/>
                <w:u w:val="single"/>
              </w:rPr>
              <w:t>1652.5814</w:t>
            </w:r>
            <w:r>
              <w:rPr>
                <w:rFonts w:hint="eastAsia" w:ascii="宋体" w:hAnsi="宋体" w:eastAsia="宋体" w:cs="宋体"/>
                <w:bCs/>
                <w:color w:val="auto"/>
                <w:sz w:val="21"/>
                <w:szCs w:val="21"/>
                <w:highlight w:val="none"/>
              </w:rPr>
              <w:t>万元</w:t>
            </w:r>
            <w:r>
              <w:rPr>
                <w:rFonts w:hint="eastAsia" w:ascii="宋体" w:hAnsi="宋体" w:eastAsia="宋体" w:cs="宋体"/>
                <w:color w:val="auto"/>
                <w:sz w:val="21"/>
                <w:szCs w:val="21"/>
                <w:highlight w:val="none"/>
              </w:rPr>
              <w:t>。</w:t>
            </w:r>
          </w:p>
        </w:tc>
      </w:tr>
    </w:tbl>
    <w:p>
      <w:pPr>
        <w:spacing w:line="360" w:lineRule="auto"/>
        <w:ind w:firstLine="422"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b/>
          <w:color w:val="auto"/>
          <w:sz w:val="21"/>
          <w:szCs w:val="21"/>
          <w:highlight w:val="none"/>
        </w:rPr>
        <w:t>注：</w:t>
      </w:r>
      <w:r>
        <w:rPr>
          <w:rFonts w:ascii="宋体" w:hAnsi="宋体" w:eastAsia="宋体" w:cs="Times New Roman"/>
          <w:color w:val="auto"/>
          <w:sz w:val="21"/>
          <w:szCs w:val="21"/>
          <w:highlight w:val="none"/>
        </w:rPr>
        <w:t>1</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rPr>
        <w:t>）工程勘察设计费投标总报价”不得超过最高投标限价</w:t>
      </w:r>
      <w:r>
        <w:rPr>
          <w:rFonts w:hint="default" w:ascii="宋体" w:hAnsi="宋体" w:eastAsia="宋体" w:cs="宋体"/>
          <w:bCs/>
          <w:color w:val="auto"/>
          <w:sz w:val="21"/>
          <w:szCs w:val="21"/>
          <w:highlight w:val="none"/>
          <w:u w:val="single"/>
          <w:lang w:eastAsia="zh-CN"/>
        </w:rPr>
        <w:t>1652.5814</w:t>
      </w:r>
      <w:r>
        <w:rPr>
          <w:rFonts w:hint="eastAsia" w:ascii="宋体" w:hAnsi="宋体" w:eastAsia="宋体" w:cs="宋体"/>
          <w:bCs/>
          <w:color w:val="auto"/>
          <w:sz w:val="21"/>
          <w:szCs w:val="21"/>
          <w:highlight w:val="none"/>
        </w:rPr>
        <w:t>万元</w:t>
      </w:r>
      <w:r>
        <w:rPr>
          <w:rFonts w:hint="eastAsia" w:ascii="宋体" w:hAnsi="宋体" w:eastAsia="宋体" w:cs="Times New Roman"/>
          <w:color w:val="auto"/>
          <w:sz w:val="21"/>
          <w:szCs w:val="21"/>
          <w:highlight w:val="none"/>
        </w:rPr>
        <w:t>，其中：“（</w:t>
      </w:r>
      <w:r>
        <w:rPr>
          <w:rFonts w:ascii="宋体" w:hAnsi="宋体" w:eastAsia="宋体" w:cs="Times New Roman"/>
          <w:color w:val="auto"/>
          <w:sz w:val="21"/>
          <w:szCs w:val="21"/>
          <w:highlight w:val="none"/>
        </w:rPr>
        <w:t>1</w:t>
      </w:r>
      <w:r>
        <w:rPr>
          <w:rFonts w:hint="eastAsia" w:ascii="宋体" w:hAnsi="宋体" w:eastAsia="宋体" w:cs="Times New Roman"/>
          <w:color w:val="auto"/>
          <w:sz w:val="21"/>
          <w:szCs w:val="21"/>
          <w:highlight w:val="none"/>
        </w:rPr>
        <w:t>）工程设计费投标报价”不得超过最高投标限价</w:t>
      </w:r>
      <w:r>
        <w:rPr>
          <w:rFonts w:hint="eastAsia" w:ascii="宋体" w:hAnsi="宋体" w:eastAsia="宋体" w:cs="宋体"/>
          <w:bCs/>
          <w:color w:val="auto"/>
          <w:sz w:val="21"/>
          <w:szCs w:val="21"/>
          <w:highlight w:val="none"/>
          <w:u w:val="single"/>
          <w:lang w:eastAsia="zh-CN"/>
        </w:rPr>
        <w:t>1462.3778</w:t>
      </w:r>
      <w:r>
        <w:rPr>
          <w:rFonts w:hint="eastAsia" w:ascii="宋体" w:hAnsi="宋体" w:eastAsia="宋体" w:cs="宋体"/>
          <w:bCs/>
          <w:color w:val="auto"/>
          <w:sz w:val="21"/>
          <w:szCs w:val="21"/>
          <w:highlight w:val="none"/>
        </w:rPr>
        <w:t>万元</w:t>
      </w:r>
      <w:r>
        <w:rPr>
          <w:rFonts w:hint="eastAsia" w:ascii="宋体" w:hAnsi="宋体" w:eastAsia="宋体" w:cs="Times New Roman"/>
          <w:color w:val="auto"/>
          <w:sz w:val="21"/>
          <w:szCs w:val="21"/>
          <w:highlight w:val="none"/>
        </w:rPr>
        <w:t>，“（</w:t>
      </w:r>
      <w:r>
        <w:rPr>
          <w:rFonts w:ascii="宋体" w:hAnsi="宋体" w:eastAsia="宋体" w:cs="Times New Roman"/>
          <w:color w:val="auto"/>
          <w:sz w:val="21"/>
          <w:szCs w:val="21"/>
          <w:highlight w:val="none"/>
        </w:rPr>
        <w:t>2）工程勘察费投标报价”不得超过最高投标限价</w:t>
      </w:r>
      <w:r>
        <w:rPr>
          <w:rFonts w:hint="eastAsia" w:ascii="宋体" w:hAnsi="宋体" w:eastAsia="宋体" w:cs="Times New Roman"/>
          <w:color w:val="auto"/>
          <w:sz w:val="21"/>
          <w:szCs w:val="21"/>
          <w:highlight w:val="none"/>
          <w:u w:val="single"/>
          <w:lang w:val="en-US" w:eastAsia="zh-CN"/>
        </w:rPr>
        <w:t>5</w:t>
      </w:r>
      <w:r>
        <w:rPr>
          <w:rFonts w:hint="default" w:ascii="宋体" w:hAnsi="宋体" w:eastAsia="宋体" w:cs="Times New Roman"/>
          <w:color w:val="auto"/>
          <w:sz w:val="21"/>
          <w:szCs w:val="21"/>
          <w:highlight w:val="none"/>
          <w:u w:val="single"/>
          <w:lang w:eastAsia="zh-CN"/>
        </w:rPr>
        <w:t>0</w:t>
      </w:r>
      <w:r>
        <w:rPr>
          <w:rFonts w:hint="eastAsia" w:ascii="宋体" w:hAnsi="宋体" w:eastAsia="宋体" w:cs="Times New Roman"/>
          <w:color w:val="auto"/>
          <w:sz w:val="21"/>
          <w:szCs w:val="21"/>
          <w:highlight w:val="none"/>
        </w:rPr>
        <w:t>万元</w:t>
      </w:r>
      <w:r>
        <w:rPr>
          <w:rFonts w:hint="default" w:ascii="宋体" w:hAnsi="宋体" w:eastAsia="宋体" w:cs="Times New Roman"/>
          <w:color w:val="auto"/>
          <w:sz w:val="21"/>
          <w:szCs w:val="21"/>
          <w:highlight w:val="none"/>
        </w:rPr>
        <w:t>，“（3）</w:t>
      </w:r>
      <w:r>
        <w:rPr>
          <w:rFonts w:hint="eastAsia" w:ascii="宋体" w:hAnsi="宋体" w:eastAsia="宋体" w:cs="Times New Roman"/>
          <w:color w:val="auto"/>
          <w:sz w:val="21"/>
          <w:szCs w:val="21"/>
          <w:highlight w:val="none"/>
        </w:rPr>
        <w:t>BIM正向设计技术应用费投标报价</w:t>
      </w:r>
      <w:r>
        <w:rPr>
          <w:rFonts w:hint="default" w:ascii="宋体" w:hAnsi="宋体" w:eastAsia="宋体" w:cs="Times New Roman"/>
          <w:color w:val="auto"/>
          <w:sz w:val="21"/>
          <w:szCs w:val="21"/>
          <w:highlight w:val="none"/>
        </w:rPr>
        <w:t>”</w:t>
      </w:r>
      <w:r>
        <w:rPr>
          <w:rFonts w:ascii="宋体" w:hAnsi="宋体" w:eastAsia="宋体" w:cs="Times New Roman"/>
          <w:color w:val="auto"/>
          <w:sz w:val="21"/>
          <w:szCs w:val="21"/>
          <w:highlight w:val="none"/>
        </w:rPr>
        <w:t>不得超过最高投标限价</w:t>
      </w:r>
      <w:r>
        <w:rPr>
          <w:rFonts w:hint="eastAsia" w:ascii="宋体" w:hAnsi="宋体" w:eastAsia="宋体" w:cs="宋体"/>
          <w:color w:val="auto"/>
          <w:sz w:val="21"/>
          <w:szCs w:val="21"/>
          <w:highlight w:val="none"/>
          <w:u w:val="single"/>
          <w:lang w:val="en-US" w:eastAsia="zh-CN"/>
        </w:rPr>
        <w:t>139.1236</w:t>
      </w:r>
      <w:r>
        <w:rPr>
          <w:rFonts w:hint="eastAsia" w:ascii="宋体" w:hAnsi="宋体" w:eastAsia="宋体" w:cs="Times New Roman"/>
          <w:color w:val="auto"/>
          <w:sz w:val="21"/>
          <w:szCs w:val="21"/>
          <w:highlight w:val="none"/>
        </w:rPr>
        <w:t>万元</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设计方案报审（含修建性详细规划编制）投标报价</w:t>
      </w:r>
      <w:r>
        <w:rPr>
          <w:rFonts w:hint="eastAsia" w:ascii="宋体" w:hAnsi="宋体" w:eastAsia="宋体" w:cs="Times New Roman"/>
          <w:color w:val="auto"/>
          <w:sz w:val="21"/>
          <w:szCs w:val="21"/>
          <w:highlight w:val="none"/>
          <w:lang w:eastAsia="zh-CN"/>
        </w:rPr>
        <w:t>”</w:t>
      </w:r>
      <w:r>
        <w:rPr>
          <w:rFonts w:ascii="宋体" w:hAnsi="宋体" w:eastAsia="宋体" w:cs="Times New Roman"/>
          <w:color w:val="auto"/>
          <w:sz w:val="21"/>
          <w:szCs w:val="21"/>
          <w:highlight w:val="none"/>
        </w:rPr>
        <w:t>不得超过最高投标限价</w:t>
      </w:r>
      <w:r>
        <w:rPr>
          <w:rFonts w:hint="eastAsia" w:ascii="宋体" w:hAnsi="宋体" w:eastAsia="宋体" w:cs="Times New Roman"/>
          <w:color w:val="auto"/>
          <w:sz w:val="21"/>
          <w:szCs w:val="21"/>
          <w:highlight w:val="none"/>
          <w:u w:val="single"/>
          <w:lang w:val="en-US" w:eastAsia="zh-CN"/>
        </w:rPr>
        <w:t>1.08</w:t>
      </w:r>
      <w:r>
        <w:rPr>
          <w:rFonts w:hint="eastAsia" w:ascii="宋体" w:hAnsi="宋体" w:eastAsia="宋体" w:cs="Times New Roman"/>
          <w:color w:val="auto"/>
          <w:sz w:val="21"/>
          <w:szCs w:val="21"/>
          <w:highlight w:val="none"/>
        </w:rPr>
        <w:t>万元</w:t>
      </w:r>
      <w:r>
        <w:rPr>
          <w:rFonts w:hint="eastAsia" w:ascii="宋体" w:hAnsi="宋体" w:eastAsia="宋体" w:cs="Times New Roman"/>
          <w:color w:val="auto"/>
          <w:sz w:val="21"/>
          <w:szCs w:val="21"/>
          <w:highlight w:val="none"/>
          <w:lang w:eastAsia="zh-CN"/>
        </w:rPr>
        <w:t>。</w:t>
      </w:r>
    </w:p>
    <w:p>
      <w:pPr>
        <w:spacing w:line="360" w:lineRule="auto"/>
        <w:ind w:firstLine="735" w:firstLineChars="350"/>
        <w:rPr>
          <w:rFonts w:ascii="宋体" w:hAnsi="宋体" w:eastAsia="宋体" w:cs="Times New Roman"/>
          <w:color w:val="auto"/>
          <w:szCs w:val="21"/>
          <w:highlight w:val="none"/>
        </w:rPr>
      </w:pPr>
      <w:r>
        <w:rPr>
          <w:rFonts w:ascii="宋体" w:hAnsi="宋体" w:eastAsia="宋体" w:cs="Times New Roman"/>
          <w:color w:val="auto"/>
          <w:szCs w:val="21"/>
          <w:highlight w:val="none"/>
        </w:rPr>
        <w:t>2、经算术复核的投标人报价与其投标报价不一致时，按就低不就高原则确定其最终报价。如修正后的投标报价超出相应的最高投标限价，则由评标委员会</w:t>
      </w:r>
      <w:r>
        <w:rPr>
          <w:rFonts w:hint="eastAsia" w:ascii="宋体" w:hAnsi="宋体" w:eastAsia="宋体" w:cs="Times New Roman"/>
          <w:color w:val="auto"/>
          <w:szCs w:val="21"/>
          <w:highlight w:val="none"/>
        </w:rPr>
        <w:t>否决其投标</w:t>
      </w:r>
      <w:r>
        <w:rPr>
          <w:rFonts w:ascii="宋体" w:hAnsi="宋体" w:eastAsia="宋体" w:cs="Times New Roman"/>
          <w:color w:val="auto"/>
          <w:szCs w:val="21"/>
          <w:highlight w:val="none"/>
        </w:rPr>
        <w:t>。</w:t>
      </w:r>
    </w:p>
    <w:p>
      <w:pPr>
        <w:spacing w:line="360" w:lineRule="auto"/>
        <w:ind w:firstLine="735" w:firstLineChars="350"/>
        <w:rPr>
          <w:rFonts w:ascii="宋体" w:hAnsi="宋体" w:eastAsia="宋体" w:cs="Times New Roman"/>
          <w:b/>
          <w:bCs/>
          <w:color w:val="auto"/>
          <w:sz w:val="24"/>
          <w:highlight w:val="none"/>
        </w:rPr>
      </w:pPr>
      <w:r>
        <w:rPr>
          <w:rFonts w:ascii="宋体" w:hAnsi="宋体" w:eastAsia="宋体" w:cs="Times New Roman"/>
          <w:color w:val="auto"/>
          <w:szCs w:val="21"/>
          <w:highlight w:val="none"/>
        </w:rPr>
        <w:t>3、按上述修正错误的原则及方法调整或修正投标文件的投标报价，调整后的投标报价对投标人起约束作用。如果投标人不接受修正后的报价，则取消其中标资格。</w:t>
      </w:r>
    </w:p>
    <w:p>
      <w:pPr>
        <w:widowControl/>
        <w:jc w:val="left"/>
        <w:rPr>
          <w:rFonts w:ascii="Calibri" w:hAnsi="Calibri" w:eastAsia="宋体" w:cs="Times New Roman"/>
          <w:color w:val="auto"/>
          <w:highlight w:val="none"/>
        </w:rPr>
      </w:pPr>
      <w:bookmarkStart w:id="39" w:name="_Toc114493759"/>
      <w:r>
        <w:rPr>
          <w:rFonts w:ascii="Calibri" w:hAnsi="Calibri" w:eastAsia="宋体" w:cs="Times New Roman"/>
          <w:color w:val="auto"/>
          <w:highlight w:val="none"/>
        </w:rPr>
        <w:br w:type="page"/>
      </w:r>
    </w:p>
    <w:p>
      <w:pPr>
        <w:outlineLvl w:val="1"/>
        <w:rPr>
          <w:rFonts w:hint="default" w:ascii="宋体" w:hAnsi="宋体" w:eastAsia="宋体" w:cs="Times New Roman"/>
          <w:b/>
          <w:bCs/>
          <w:color w:val="auto"/>
          <w:kern w:val="44"/>
          <w:sz w:val="21"/>
          <w:szCs w:val="21"/>
          <w:highlight w:val="none"/>
          <w:lang w:val="en-US" w:eastAsia="zh-CN" w:bidi="ar-SA"/>
        </w:rPr>
      </w:pPr>
      <w:bookmarkStart w:id="40" w:name="_Toc17691"/>
      <w:r>
        <w:rPr>
          <w:rFonts w:hint="eastAsia" w:ascii="宋体" w:hAnsi="宋体" w:eastAsia="宋体" w:cs="Times New Roman"/>
          <w:b/>
          <w:bCs/>
          <w:color w:val="auto"/>
          <w:kern w:val="44"/>
          <w:sz w:val="21"/>
          <w:szCs w:val="21"/>
          <w:highlight w:val="none"/>
          <w:lang w:val="en-US" w:eastAsia="zh-CN" w:bidi="ar-SA"/>
        </w:rPr>
        <w:t>附件</w:t>
      </w:r>
      <w:r>
        <w:rPr>
          <w:rFonts w:hint="default" w:ascii="宋体" w:hAnsi="宋体" w:eastAsia="宋体" w:cs="Times New Roman"/>
          <w:b/>
          <w:bCs/>
          <w:color w:val="auto"/>
          <w:kern w:val="44"/>
          <w:sz w:val="21"/>
          <w:szCs w:val="21"/>
          <w:highlight w:val="none"/>
          <w:lang w:val="en-US" w:eastAsia="zh-CN" w:bidi="ar-SA"/>
        </w:rPr>
        <w:t>3</w:t>
      </w:r>
      <w:r>
        <w:rPr>
          <w:rFonts w:hint="eastAsia" w:ascii="宋体" w:hAnsi="宋体" w:eastAsia="宋体" w:cs="Times New Roman"/>
          <w:b/>
          <w:bCs/>
          <w:color w:val="auto"/>
          <w:kern w:val="44"/>
          <w:sz w:val="21"/>
          <w:szCs w:val="21"/>
          <w:highlight w:val="none"/>
          <w:lang w:val="en-US" w:eastAsia="zh-CN" w:bidi="ar-SA"/>
        </w:rPr>
        <w:t>－</w:t>
      </w:r>
      <w:r>
        <w:rPr>
          <w:rFonts w:hint="default" w:ascii="宋体" w:hAnsi="宋体" w:eastAsia="宋体" w:cs="Times New Roman"/>
          <w:b/>
          <w:bCs/>
          <w:color w:val="auto"/>
          <w:kern w:val="44"/>
          <w:sz w:val="21"/>
          <w:szCs w:val="21"/>
          <w:highlight w:val="none"/>
          <w:lang w:val="en-US" w:eastAsia="zh-CN" w:bidi="ar-SA"/>
        </w:rPr>
        <w:t>1</w:t>
      </w:r>
      <w:r>
        <w:rPr>
          <w:rFonts w:hint="eastAsia" w:ascii="宋体" w:hAnsi="宋体" w:eastAsia="宋体" w:cs="Times New Roman"/>
          <w:b/>
          <w:bCs/>
          <w:color w:val="auto"/>
          <w:kern w:val="44"/>
          <w:sz w:val="21"/>
          <w:szCs w:val="21"/>
          <w:highlight w:val="none"/>
          <w:lang w:val="en-US" w:eastAsia="zh-CN" w:bidi="ar-SA"/>
        </w:rPr>
        <w:t>：工程设计费计算表</w:t>
      </w:r>
      <w:bookmarkEnd w:id="39"/>
      <w:bookmarkEnd w:id="40"/>
    </w:p>
    <w:p>
      <w:pPr>
        <w:jc w:val="center"/>
        <w:rPr>
          <w:rFonts w:ascii="Calibri" w:hAnsi="Calibri" w:eastAsia="宋体" w:cs="Times New Roman"/>
          <w:b/>
          <w:color w:val="auto"/>
          <w:sz w:val="28"/>
          <w:highlight w:val="none"/>
        </w:rPr>
      </w:pPr>
      <w:bookmarkStart w:id="41" w:name="_Toc28664"/>
      <w:bookmarkStart w:id="42" w:name="_Toc114493760"/>
      <w:r>
        <w:rPr>
          <w:rFonts w:hint="eastAsia" w:ascii="Calibri" w:hAnsi="Calibri" w:eastAsia="宋体" w:cs="Times New Roman"/>
          <w:b/>
          <w:color w:val="auto"/>
          <w:sz w:val="28"/>
          <w:highlight w:val="none"/>
        </w:rPr>
        <w:t>工程设计费计算表</w:t>
      </w:r>
      <w:bookmarkEnd w:id="41"/>
      <w:bookmarkEnd w:id="42"/>
    </w:p>
    <w:tbl>
      <w:tblPr>
        <w:tblStyle w:val="11"/>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224"/>
        <w:gridCol w:w="1386"/>
        <w:gridCol w:w="1018"/>
        <w:gridCol w:w="3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81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序号</w:t>
            </w:r>
          </w:p>
        </w:tc>
        <w:tc>
          <w:tcPr>
            <w:tcW w:w="2224"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费用名称</w:t>
            </w:r>
          </w:p>
        </w:tc>
        <w:tc>
          <w:tcPr>
            <w:tcW w:w="138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金额（万元）</w:t>
            </w:r>
          </w:p>
        </w:tc>
        <w:tc>
          <w:tcPr>
            <w:tcW w:w="101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bCs/>
                <w:color w:val="auto"/>
                <w:szCs w:val="21"/>
                <w:highlight w:val="none"/>
                <w:u w:val="single"/>
              </w:rPr>
            </w:pPr>
            <w:r>
              <w:rPr>
                <w:rFonts w:hint="eastAsia" w:ascii="宋体" w:hAnsi="宋体" w:eastAsia="宋体" w:cs="Times New Roman"/>
                <w:bCs/>
                <w:color w:val="auto"/>
                <w:szCs w:val="21"/>
                <w:highlight w:val="none"/>
              </w:rPr>
              <w:t>费率（</w:t>
            </w:r>
            <w:r>
              <w:rPr>
                <w:rFonts w:hint="default" w:ascii="宋体" w:hAnsi="宋体" w:eastAsia="宋体" w:cs="Times New Roman"/>
                <w:bCs/>
                <w:color w:val="auto"/>
                <w:szCs w:val="21"/>
                <w:highlight w:val="none"/>
              </w:rPr>
              <w:t>%</w:t>
            </w:r>
            <w:r>
              <w:rPr>
                <w:rFonts w:hint="eastAsia" w:ascii="宋体" w:hAnsi="宋体" w:eastAsia="宋体" w:cs="Times New Roman"/>
                <w:bCs/>
                <w:color w:val="auto"/>
                <w:szCs w:val="21"/>
                <w:highlight w:val="none"/>
              </w:rPr>
              <w:t>）</w:t>
            </w:r>
          </w:p>
        </w:tc>
        <w:tc>
          <w:tcPr>
            <w:tcW w:w="3234"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bCs/>
                <w:color w:val="auto"/>
                <w:szCs w:val="21"/>
                <w:highlight w:val="none"/>
              </w:rPr>
            </w:pPr>
            <w:r>
              <w:rPr>
                <w:rFonts w:hint="eastAsia" w:ascii="宋体" w:hAnsi="宋体" w:eastAsia="宋体" w:cs="Times New Roman"/>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jc w:val="center"/>
        </w:trPr>
        <w:tc>
          <w:tcPr>
            <w:tcW w:w="816" w:type="dxa"/>
            <w:vAlign w:val="center"/>
          </w:tcPr>
          <w:p>
            <w:pPr>
              <w:keepNext w:val="0"/>
              <w:keepLines w:val="0"/>
              <w:suppressLineNumbers w:val="0"/>
              <w:spacing w:before="0" w:beforeAutospacing="0" w:after="0" w:afterAutospacing="0" w:line="360" w:lineRule="auto"/>
              <w:ind w:left="0" w:right="0"/>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default" w:ascii="宋体" w:hAnsi="宋体" w:eastAsia="宋体" w:cs="Times New Roman"/>
                <w:color w:val="auto"/>
                <w:szCs w:val="21"/>
                <w:highlight w:val="none"/>
              </w:rPr>
              <w:t>1</w:t>
            </w:r>
            <w:r>
              <w:rPr>
                <w:rFonts w:hint="eastAsia" w:ascii="宋体" w:hAnsi="宋体" w:eastAsia="宋体" w:cs="Times New Roman"/>
                <w:color w:val="auto"/>
                <w:szCs w:val="21"/>
                <w:highlight w:val="none"/>
              </w:rPr>
              <w:t>）</w:t>
            </w:r>
          </w:p>
        </w:tc>
        <w:tc>
          <w:tcPr>
            <w:tcW w:w="2224" w:type="dxa"/>
            <w:vAlign w:val="center"/>
          </w:tcPr>
          <w:p>
            <w:pPr>
              <w:keepNext w:val="0"/>
              <w:keepLines w:val="0"/>
              <w:suppressLineNumbers w:val="0"/>
              <w:spacing w:before="0" w:beforeAutospacing="0" w:after="0" w:afterAutospacing="0" w:line="360" w:lineRule="auto"/>
              <w:ind w:left="0" w:right="0"/>
              <w:jc w:val="left"/>
              <w:rPr>
                <w:rFonts w:hint="default" w:ascii="宋体" w:hAnsi="宋体" w:eastAsia="宋体" w:cs="Times New Roman"/>
                <w:bCs/>
                <w:color w:val="auto"/>
                <w:szCs w:val="21"/>
                <w:highlight w:val="none"/>
              </w:rPr>
            </w:pPr>
            <w:r>
              <w:rPr>
                <w:rFonts w:hint="eastAsia" w:ascii="宋体" w:hAnsi="宋体" w:eastAsia="宋体" w:cs="Times New Roman"/>
                <w:color w:val="auto"/>
                <w:highlight w:val="none"/>
              </w:rPr>
              <w:t>工程设计费投标报价</w:t>
            </w:r>
          </w:p>
        </w:tc>
        <w:tc>
          <w:tcPr>
            <w:tcW w:w="138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Cs w:val="21"/>
                <w:highlight w:val="none"/>
              </w:rPr>
            </w:pPr>
          </w:p>
        </w:tc>
        <w:tc>
          <w:tcPr>
            <w:tcW w:w="101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Cs w:val="21"/>
                <w:highlight w:val="none"/>
              </w:rPr>
            </w:pPr>
          </w:p>
        </w:tc>
        <w:tc>
          <w:tcPr>
            <w:tcW w:w="3234" w:type="dxa"/>
            <w:vAlign w:val="center"/>
          </w:tcPr>
          <w:p>
            <w:pPr>
              <w:keepNext w:val="0"/>
              <w:keepLines w:val="0"/>
              <w:numPr>
                <w:ilvl w:val="0"/>
                <w:numId w:val="3"/>
              </w:numPr>
              <w:suppressLineNumbers w:val="0"/>
              <w:spacing w:before="0" w:beforeAutospacing="0" w:after="0" w:afterAutospacing="0" w:line="360" w:lineRule="auto"/>
              <w:ind w:left="0" w:right="0"/>
              <w:rPr>
                <w:rFonts w:hint="default" w:ascii="宋体" w:hAnsi="宋体" w:eastAsia="宋体" w:cs="Times New Roman"/>
                <w:bCs/>
                <w:snapToGrid w:val="0"/>
                <w:color w:val="auto"/>
                <w:spacing w:val="4"/>
                <w:kern w:val="0"/>
                <w:szCs w:val="21"/>
                <w:highlight w:val="none"/>
              </w:rPr>
            </w:pPr>
            <w:r>
              <w:rPr>
                <w:rFonts w:hint="eastAsia" w:ascii="宋体" w:hAnsi="宋体" w:eastAsia="宋体" w:cs="Times New Roman"/>
                <w:bCs/>
                <w:snapToGrid w:val="0"/>
                <w:color w:val="auto"/>
                <w:spacing w:val="4"/>
                <w:kern w:val="0"/>
                <w:szCs w:val="21"/>
                <w:highlight w:val="none"/>
              </w:rPr>
              <w:t>工程设计费费率</w:t>
            </w:r>
            <w:r>
              <w:rPr>
                <w:rFonts w:hint="default" w:ascii="宋体" w:hAnsi="宋体" w:eastAsia="宋体" w:cs="Times New Roman"/>
                <w:bCs/>
                <w:snapToGrid w:val="0"/>
                <w:color w:val="auto"/>
                <w:spacing w:val="4"/>
                <w:kern w:val="0"/>
                <w:szCs w:val="21"/>
                <w:highlight w:val="none"/>
              </w:rPr>
              <w:t>=</w:t>
            </w:r>
            <w:r>
              <w:rPr>
                <w:rFonts w:hint="eastAsia" w:ascii="宋体" w:hAnsi="宋体" w:eastAsia="宋体" w:cs="Times New Roman"/>
                <w:bCs/>
                <w:snapToGrid w:val="0"/>
                <w:color w:val="auto"/>
                <w:spacing w:val="4"/>
                <w:kern w:val="0"/>
                <w:szCs w:val="21"/>
                <w:highlight w:val="none"/>
              </w:rPr>
              <w:t>【工程设计费÷暂定工程费限额】×</w:t>
            </w:r>
            <w:r>
              <w:rPr>
                <w:rFonts w:hint="default" w:ascii="宋体" w:hAnsi="宋体" w:eastAsia="宋体" w:cs="Times New Roman"/>
                <w:bCs/>
                <w:snapToGrid w:val="0"/>
                <w:color w:val="auto"/>
                <w:spacing w:val="4"/>
                <w:kern w:val="0"/>
                <w:szCs w:val="21"/>
                <w:highlight w:val="none"/>
              </w:rPr>
              <w:t>100%</w:t>
            </w:r>
            <w:r>
              <w:rPr>
                <w:rFonts w:hint="eastAsia" w:ascii="宋体" w:hAnsi="宋体" w:eastAsia="宋体" w:cs="Times New Roman"/>
                <w:bCs/>
                <w:snapToGrid w:val="0"/>
                <w:color w:val="auto"/>
                <w:spacing w:val="4"/>
                <w:kern w:val="0"/>
                <w:szCs w:val="21"/>
                <w:highlight w:val="none"/>
              </w:rPr>
              <w:t>；暂定工程费限额为</w:t>
            </w:r>
            <w:r>
              <w:rPr>
                <w:rFonts w:hint="eastAsia" w:ascii="宋体" w:hAnsi="宋体" w:eastAsia="宋体" w:cs="Times New Roman"/>
                <w:color w:val="auto"/>
                <w:sz w:val="21"/>
                <w:szCs w:val="21"/>
                <w:highlight w:val="none"/>
                <w:u w:val="single"/>
                <w:lang w:val="en-US" w:eastAsia="zh-CN"/>
              </w:rPr>
              <w:t>55094</w:t>
            </w:r>
            <w:r>
              <w:rPr>
                <w:rFonts w:hint="eastAsia" w:ascii="宋体" w:hAnsi="宋体" w:eastAsia="宋体" w:cs="Times New Roman"/>
                <w:bCs/>
                <w:snapToGrid w:val="0"/>
                <w:color w:val="auto"/>
                <w:spacing w:val="4"/>
                <w:kern w:val="0"/>
                <w:szCs w:val="21"/>
                <w:highlight w:val="none"/>
              </w:rPr>
              <w:t>万元。</w:t>
            </w:r>
          </w:p>
          <w:p>
            <w:pPr>
              <w:keepNext w:val="0"/>
              <w:keepLines w:val="0"/>
              <w:suppressLineNumbers w:val="0"/>
              <w:spacing w:before="0" w:beforeAutospacing="0" w:after="0" w:afterAutospacing="0" w:line="360" w:lineRule="auto"/>
              <w:ind w:left="0" w:right="0"/>
              <w:rPr>
                <w:rFonts w:hint="default" w:ascii="宋体" w:hAnsi="宋体" w:eastAsia="宋体" w:cs="Times New Roman"/>
                <w:b/>
                <w:color w:val="auto"/>
                <w:szCs w:val="21"/>
                <w:highlight w:val="none"/>
                <w:u w:val="single"/>
              </w:rPr>
            </w:pPr>
            <w:r>
              <w:rPr>
                <w:rFonts w:hint="default" w:ascii="宋体" w:hAnsi="宋体" w:eastAsia="宋体" w:cs="Times New Roman"/>
                <w:bCs/>
                <w:snapToGrid w:val="0"/>
                <w:color w:val="auto"/>
                <w:spacing w:val="4"/>
                <w:kern w:val="0"/>
                <w:szCs w:val="21"/>
                <w:highlight w:val="none"/>
              </w:rPr>
              <w:t>2.</w:t>
            </w:r>
            <w:r>
              <w:rPr>
                <w:rFonts w:hint="eastAsia" w:ascii="宋体" w:hAnsi="宋体" w:eastAsia="宋体" w:cs="Times New Roman"/>
                <w:bCs/>
                <w:color w:val="auto"/>
                <w:szCs w:val="21"/>
                <w:highlight w:val="none"/>
              </w:rPr>
              <w:t>对应报价金额不得超过最高投标限价</w:t>
            </w:r>
            <w:r>
              <w:rPr>
                <w:rFonts w:hint="eastAsia" w:ascii="宋体" w:hAnsi="宋体" w:eastAsia="宋体" w:cs="宋体"/>
                <w:bCs/>
                <w:color w:val="auto"/>
                <w:szCs w:val="21"/>
                <w:highlight w:val="none"/>
                <w:u w:val="single"/>
                <w:lang w:eastAsia="zh-CN"/>
              </w:rPr>
              <w:t>1462.3778</w:t>
            </w:r>
            <w:r>
              <w:rPr>
                <w:rFonts w:hint="eastAsia" w:ascii="宋体" w:hAnsi="宋体" w:eastAsia="宋体" w:cs="Times New Roman"/>
                <w:bCs/>
                <w:color w:val="auto"/>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6" w:type="dxa"/>
            <w:vMerge w:val="restart"/>
            <w:vAlign w:val="center"/>
          </w:tcPr>
          <w:p>
            <w:pPr>
              <w:keepNext w:val="0"/>
              <w:keepLines w:val="0"/>
              <w:suppressLineNumbers w:val="0"/>
              <w:spacing w:before="0" w:beforeAutospacing="0" w:after="0" w:afterAutospacing="0" w:line="360" w:lineRule="auto"/>
              <w:ind w:left="0" w:right="0"/>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其中</w:t>
            </w:r>
          </w:p>
        </w:tc>
        <w:tc>
          <w:tcPr>
            <w:tcW w:w="2224" w:type="dxa"/>
            <w:vAlign w:val="center"/>
          </w:tcPr>
          <w:p>
            <w:pPr>
              <w:keepNext w:val="0"/>
              <w:keepLines w:val="0"/>
              <w:suppressLineNumbers w:val="0"/>
              <w:spacing w:before="0" w:beforeAutospacing="0" w:after="0" w:afterAutospacing="0" w:line="360" w:lineRule="auto"/>
              <w:ind w:left="0" w:right="0"/>
              <w:jc w:val="left"/>
              <w:rPr>
                <w:rFonts w:hint="default" w:ascii="宋体" w:hAnsi="宋体" w:eastAsia="宋体" w:cs="Times New Roman"/>
                <w:color w:val="auto"/>
                <w:szCs w:val="21"/>
                <w:highlight w:val="none"/>
              </w:rPr>
            </w:pPr>
            <w:r>
              <w:rPr>
                <w:rFonts w:hint="default" w:ascii="宋体" w:hAnsi="宋体" w:eastAsia="宋体" w:cs="Times New Roman"/>
                <w:color w:val="auto"/>
                <w:szCs w:val="21"/>
                <w:highlight w:val="none"/>
              </w:rPr>
              <w:t>造价预算</w:t>
            </w:r>
            <w:r>
              <w:rPr>
                <w:rFonts w:hint="eastAsia" w:ascii="宋体" w:hAnsi="宋体" w:eastAsia="宋体" w:cs="Times New Roman"/>
                <w:color w:val="auto"/>
                <w:szCs w:val="21"/>
                <w:highlight w:val="none"/>
              </w:rPr>
              <w:t>编制费</w:t>
            </w:r>
            <w:r>
              <w:rPr>
                <w:rFonts w:hint="eastAsia" w:ascii="宋体" w:hAnsi="宋体" w:eastAsia="宋体" w:cs="宋体"/>
                <w:color w:val="auto"/>
                <w:szCs w:val="21"/>
                <w:highlight w:val="none"/>
              </w:rPr>
              <w:t>投标报价</w:t>
            </w:r>
            <w:r>
              <w:rPr>
                <w:rFonts w:hint="default" w:ascii="宋体" w:hAnsi="宋体" w:eastAsia="宋体" w:cs="Times New Roman"/>
                <w:color w:val="auto"/>
                <w:szCs w:val="21"/>
                <w:highlight w:val="none"/>
              </w:rPr>
              <w:t>=</w:t>
            </w:r>
            <w:r>
              <w:rPr>
                <w:rFonts w:hint="default" w:ascii="宋体" w:hAnsi="宋体" w:eastAsia="宋体" w:cs="Times New Roman"/>
                <w:color w:val="auto"/>
                <w:highlight w:val="none"/>
              </w:rPr>
              <w:t>(1)</w:t>
            </w:r>
            <w:r>
              <w:rPr>
                <w:rFonts w:hint="eastAsia" w:ascii="宋体" w:hAnsi="宋体" w:eastAsia="宋体" w:cs="Times New Roman"/>
                <w:bCs/>
                <w:color w:val="auto"/>
                <w:highlight w:val="none"/>
              </w:rPr>
              <w:t>×</w:t>
            </w:r>
            <w:r>
              <w:rPr>
                <w:rFonts w:hint="default" w:ascii="宋体" w:hAnsi="宋体" w:eastAsia="宋体" w:cs="Times New Roman"/>
                <w:bCs/>
                <w:color w:val="auto"/>
                <w:highlight w:val="none"/>
              </w:rPr>
              <w:t>10%</w:t>
            </w:r>
          </w:p>
        </w:tc>
        <w:tc>
          <w:tcPr>
            <w:tcW w:w="138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Cs w:val="21"/>
                <w:highlight w:val="none"/>
              </w:rPr>
            </w:pPr>
          </w:p>
        </w:tc>
        <w:tc>
          <w:tcPr>
            <w:tcW w:w="101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Cs w:val="21"/>
                <w:highlight w:val="none"/>
              </w:rPr>
            </w:pPr>
            <w:r>
              <w:rPr>
                <w:rFonts w:hint="default" w:ascii="宋体" w:hAnsi="宋体" w:eastAsia="宋体" w:cs="Times New Roman"/>
                <w:color w:val="auto"/>
                <w:szCs w:val="21"/>
                <w:highlight w:val="none"/>
              </w:rPr>
              <w:t>/</w:t>
            </w:r>
          </w:p>
        </w:tc>
        <w:tc>
          <w:tcPr>
            <w:tcW w:w="3234" w:type="dxa"/>
            <w:vAlign w:val="center"/>
          </w:tcPr>
          <w:p>
            <w:pPr>
              <w:keepNext w:val="0"/>
              <w:keepLines w:val="0"/>
              <w:suppressLineNumbers w:val="0"/>
              <w:spacing w:before="0" w:beforeAutospacing="0" w:after="0" w:afterAutospacing="0" w:line="360" w:lineRule="auto"/>
              <w:ind w:left="0" w:right="0"/>
              <w:rPr>
                <w:rFonts w:hint="default" w:ascii="宋体" w:hAnsi="宋体" w:eastAsia="宋体" w:cs="Times New Roman"/>
                <w:bCs/>
                <w:color w:val="auto"/>
                <w:szCs w:val="21"/>
                <w:highlight w:val="none"/>
              </w:rPr>
            </w:pPr>
            <w:r>
              <w:rPr>
                <w:rFonts w:hint="eastAsia" w:ascii="宋体" w:hAnsi="宋体" w:eastAsia="宋体" w:cs="Times New Roman"/>
                <w:color w:val="auto"/>
                <w:spacing w:val="4"/>
                <w:kern w:val="0"/>
                <w:highlight w:val="none"/>
              </w:rPr>
              <w:t>如投标人未按该规定进行填报，则以该规定进行修正。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816" w:type="dxa"/>
            <w:vMerge w:val="continue"/>
            <w:vAlign w:val="center"/>
          </w:tcPr>
          <w:p>
            <w:pPr>
              <w:keepNext w:val="0"/>
              <w:keepLines w:val="0"/>
              <w:suppressLineNumbers w:val="0"/>
              <w:snapToGrid w:val="0"/>
              <w:spacing w:before="0" w:beforeAutospacing="0" w:after="0" w:afterAutospacing="0" w:line="360" w:lineRule="auto"/>
              <w:ind w:left="0" w:right="0" w:firstLine="700"/>
              <w:rPr>
                <w:rFonts w:hint="default" w:ascii="宋体" w:hAnsi="宋体" w:eastAsia="宋体" w:cs="Times New Roman"/>
                <w:color w:val="auto"/>
                <w:szCs w:val="21"/>
                <w:highlight w:val="none"/>
              </w:rPr>
            </w:pPr>
          </w:p>
        </w:tc>
        <w:tc>
          <w:tcPr>
            <w:tcW w:w="2224" w:type="dxa"/>
            <w:vAlign w:val="center"/>
          </w:tcPr>
          <w:p>
            <w:pPr>
              <w:keepNext w:val="0"/>
              <w:keepLines w:val="0"/>
              <w:suppressLineNumbers w:val="0"/>
              <w:snapToGrid w:val="0"/>
              <w:spacing w:before="0" w:beforeAutospacing="0" w:after="0" w:afterAutospacing="0" w:line="360" w:lineRule="auto"/>
              <w:ind w:left="0" w:right="0"/>
              <w:rPr>
                <w:rFonts w:hint="default" w:ascii="宋体" w:hAnsi="宋体" w:eastAsia="宋体" w:cs="宋体"/>
                <w:color w:val="auto"/>
                <w:szCs w:val="21"/>
                <w:highlight w:val="none"/>
              </w:rPr>
            </w:pPr>
            <w:r>
              <w:rPr>
                <w:rFonts w:hint="default" w:ascii="宋体" w:hAnsi="宋体" w:eastAsia="宋体" w:cs="宋体"/>
                <w:color w:val="auto"/>
                <w:szCs w:val="21"/>
                <w:highlight w:val="none"/>
              </w:rPr>
              <w:t>技术设计费</w:t>
            </w:r>
            <w:r>
              <w:rPr>
                <w:rFonts w:hint="eastAsia" w:ascii="宋体" w:hAnsi="宋体" w:eastAsia="宋体" w:cs="Times New Roman"/>
                <w:b/>
                <w:bCs/>
                <w:color w:val="auto"/>
                <w:highlight w:val="none"/>
              </w:rPr>
              <w:t>（不含投标经济补偿）</w:t>
            </w:r>
            <w:r>
              <w:rPr>
                <w:rFonts w:hint="eastAsia" w:ascii="宋体" w:hAnsi="宋体" w:eastAsia="宋体" w:cs="宋体"/>
                <w:color w:val="auto"/>
                <w:szCs w:val="21"/>
                <w:highlight w:val="none"/>
              </w:rPr>
              <w:t>投标报价</w:t>
            </w:r>
          </w:p>
          <w:p>
            <w:pPr>
              <w:keepNext w:val="0"/>
              <w:keepLines w:val="0"/>
              <w:suppressLineNumbers w:val="0"/>
              <w:snapToGrid w:val="0"/>
              <w:spacing w:before="0" w:beforeAutospacing="0" w:after="0" w:afterAutospacing="0" w:line="360" w:lineRule="auto"/>
              <w:ind w:left="0" w:right="0"/>
              <w:rPr>
                <w:rFonts w:hint="default" w:ascii="宋体" w:hAnsi="宋体" w:eastAsia="宋体" w:cs="Times New Roman"/>
                <w:color w:val="auto"/>
                <w:szCs w:val="21"/>
                <w:highlight w:val="none"/>
              </w:rPr>
            </w:pPr>
            <w:r>
              <w:rPr>
                <w:rFonts w:hint="default" w:ascii="宋体" w:hAnsi="宋体" w:eastAsia="宋体" w:cs="宋体"/>
                <w:color w:val="auto"/>
                <w:szCs w:val="21"/>
                <w:highlight w:val="none"/>
              </w:rPr>
              <w:t>=（1）×90%</w:t>
            </w:r>
          </w:p>
        </w:tc>
        <w:tc>
          <w:tcPr>
            <w:tcW w:w="1386" w:type="dxa"/>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eastAsia="宋体" w:cs="Times New Roman"/>
                <w:color w:val="auto"/>
                <w:szCs w:val="21"/>
                <w:highlight w:val="none"/>
              </w:rPr>
            </w:pPr>
          </w:p>
        </w:tc>
        <w:tc>
          <w:tcPr>
            <w:tcW w:w="1018" w:type="dxa"/>
            <w:vAlign w:val="center"/>
          </w:tcPr>
          <w:p>
            <w:pPr>
              <w:keepNext w:val="0"/>
              <w:keepLines w:val="0"/>
              <w:suppressLineNumbers w:val="0"/>
              <w:snapToGrid w:val="0"/>
              <w:spacing w:before="0" w:beforeAutospacing="0" w:after="0" w:afterAutospacing="0" w:line="360" w:lineRule="auto"/>
              <w:ind w:left="0" w:right="0" w:firstLine="315" w:firstLineChars="150"/>
              <w:rPr>
                <w:rFonts w:hint="default" w:ascii="宋体" w:hAnsi="宋体" w:eastAsia="宋体" w:cs="Times New Roman"/>
                <w:color w:val="auto"/>
                <w:szCs w:val="21"/>
                <w:highlight w:val="none"/>
              </w:rPr>
            </w:pPr>
            <w:r>
              <w:rPr>
                <w:rFonts w:hint="default" w:ascii="宋体" w:hAnsi="宋体" w:eastAsia="宋体" w:cs="Times New Roman"/>
                <w:color w:val="auto"/>
                <w:szCs w:val="21"/>
                <w:highlight w:val="none"/>
              </w:rPr>
              <w:t>/</w:t>
            </w:r>
          </w:p>
        </w:tc>
        <w:tc>
          <w:tcPr>
            <w:tcW w:w="3234" w:type="dxa"/>
            <w:vAlign w:val="center"/>
          </w:tcPr>
          <w:p>
            <w:pPr>
              <w:keepNext w:val="0"/>
              <w:keepLines w:val="0"/>
              <w:suppressLineNumbers w:val="0"/>
              <w:snapToGrid w:val="0"/>
              <w:spacing w:before="0" w:beforeAutospacing="0" w:after="0" w:afterAutospacing="0" w:line="360" w:lineRule="auto"/>
              <w:ind w:left="0" w:right="0"/>
              <w:rPr>
                <w:rFonts w:hint="default" w:ascii="宋体" w:hAnsi="宋体" w:eastAsia="宋体" w:cs="Times New Roman"/>
                <w:bCs/>
                <w:color w:val="auto"/>
                <w:szCs w:val="21"/>
                <w:highlight w:val="none"/>
              </w:rPr>
            </w:pPr>
            <w:r>
              <w:rPr>
                <w:rFonts w:hint="eastAsia" w:ascii="宋体" w:hAnsi="宋体" w:eastAsia="宋体" w:cs="Times New Roman"/>
                <w:color w:val="auto"/>
                <w:spacing w:val="4"/>
                <w:kern w:val="0"/>
                <w:highlight w:val="none"/>
              </w:rPr>
              <w:t>如投标人未按该规定进行填报，则以该规定进行修正。</w:t>
            </w:r>
          </w:p>
        </w:tc>
      </w:tr>
    </w:tbl>
    <w:p>
      <w:pPr>
        <w:topLinePunct/>
        <w:adjustRightInd w:val="0"/>
        <w:snapToGrid w:val="0"/>
        <w:spacing w:line="360" w:lineRule="auto"/>
        <w:ind w:firstLine="436" w:firstLineChars="200"/>
        <w:rPr>
          <w:rFonts w:ascii="宋体" w:hAnsi="宋体" w:eastAsia="宋体" w:cs="宋体"/>
          <w:color w:val="auto"/>
          <w:spacing w:val="4"/>
          <w:kern w:val="0"/>
          <w:highlight w:val="none"/>
        </w:rPr>
      </w:pPr>
      <w:r>
        <w:rPr>
          <w:rFonts w:hint="eastAsia" w:ascii="宋体" w:hAnsi="宋体" w:eastAsia="宋体" w:cs="宋体"/>
          <w:snapToGrid w:val="0"/>
          <w:color w:val="auto"/>
          <w:spacing w:val="4"/>
          <w:kern w:val="0"/>
          <w:szCs w:val="21"/>
          <w:highlight w:val="none"/>
        </w:rPr>
        <w:t>注：</w:t>
      </w:r>
      <w:r>
        <w:rPr>
          <w:rFonts w:ascii="宋体" w:hAnsi="宋体" w:eastAsia="宋体" w:cs="宋体"/>
          <w:color w:val="auto"/>
          <w:spacing w:val="4"/>
          <w:kern w:val="0"/>
          <w:highlight w:val="none"/>
        </w:rPr>
        <w:t>1、</w:t>
      </w:r>
      <w:r>
        <w:rPr>
          <w:rFonts w:hint="eastAsia" w:ascii="宋体" w:hAnsi="宋体" w:eastAsia="宋体" w:cs="宋体"/>
          <w:color w:val="auto"/>
          <w:highlight w:val="none"/>
        </w:rPr>
        <w:t>工程设计费投标报价不得超过最高投标限价</w:t>
      </w:r>
      <w:r>
        <w:rPr>
          <w:rFonts w:hint="eastAsia" w:ascii="宋体" w:hAnsi="宋体" w:eastAsia="宋体" w:cs="宋体"/>
          <w:bCs/>
          <w:color w:val="auto"/>
          <w:szCs w:val="21"/>
          <w:highlight w:val="none"/>
          <w:u w:val="single"/>
          <w:lang w:eastAsia="zh-CN"/>
        </w:rPr>
        <w:t>1462.3778</w:t>
      </w:r>
      <w:r>
        <w:rPr>
          <w:rFonts w:hint="eastAsia" w:ascii="宋体" w:hAnsi="宋体" w:eastAsia="宋体" w:cs="Times New Roman"/>
          <w:bCs/>
          <w:color w:val="auto"/>
          <w:szCs w:val="21"/>
          <w:highlight w:val="none"/>
          <w:u w:val="none"/>
        </w:rPr>
        <w:t>万元</w:t>
      </w:r>
      <w:r>
        <w:rPr>
          <w:rFonts w:hint="eastAsia" w:ascii="宋体" w:hAnsi="宋体" w:eastAsia="宋体" w:cs="宋体"/>
          <w:color w:val="auto"/>
          <w:highlight w:val="none"/>
        </w:rPr>
        <w:t>。</w:t>
      </w:r>
    </w:p>
    <w:p>
      <w:pPr>
        <w:topLinePunct/>
        <w:adjustRightInd w:val="0"/>
        <w:snapToGrid w:val="0"/>
        <w:spacing w:line="360" w:lineRule="auto"/>
        <w:ind w:firstLine="436" w:firstLineChars="200"/>
        <w:rPr>
          <w:rFonts w:ascii="宋体" w:hAnsi="宋体" w:eastAsia="宋体" w:cs="宋体"/>
          <w:snapToGrid w:val="0"/>
          <w:color w:val="auto"/>
          <w:spacing w:val="4"/>
          <w:kern w:val="0"/>
          <w:szCs w:val="21"/>
          <w:highlight w:val="none"/>
        </w:rPr>
      </w:pPr>
      <w:r>
        <w:rPr>
          <w:rFonts w:ascii="宋体" w:hAnsi="宋体" w:eastAsia="宋体" w:cs="宋体"/>
          <w:snapToGrid w:val="0"/>
          <w:color w:val="auto"/>
          <w:spacing w:val="4"/>
          <w:kern w:val="0"/>
          <w:szCs w:val="21"/>
          <w:highlight w:val="none"/>
        </w:rPr>
        <w:t>2、工程设计费的具体结算原则详见合同条款的约定。项目实施过程中，中标的费率不作调整。</w:t>
      </w:r>
    </w:p>
    <w:p>
      <w:pPr>
        <w:topLinePunct/>
        <w:adjustRightInd w:val="0"/>
        <w:snapToGrid w:val="0"/>
        <w:spacing w:line="360" w:lineRule="auto"/>
        <w:ind w:firstLine="436" w:firstLineChars="200"/>
        <w:rPr>
          <w:rFonts w:ascii="宋体" w:hAnsi="宋体" w:eastAsia="宋体" w:cs="宋体"/>
          <w:color w:val="auto"/>
          <w:szCs w:val="21"/>
          <w:highlight w:val="none"/>
        </w:rPr>
      </w:pPr>
      <w:r>
        <w:rPr>
          <w:rFonts w:ascii="宋体" w:hAnsi="宋体" w:eastAsia="宋体" w:cs="宋体"/>
          <w:snapToGrid w:val="0"/>
          <w:color w:val="auto"/>
          <w:spacing w:val="4"/>
          <w:kern w:val="0"/>
          <w:szCs w:val="21"/>
          <w:highlight w:val="none"/>
        </w:rPr>
        <w:t>3、经算术复核的投标人报价与其投标报价不一致时，按就低不就高原则确定其最终报价。如修正后</w:t>
      </w:r>
      <w:r>
        <w:rPr>
          <w:rFonts w:hint="eastAsia" w:ascii="宋体" w:hAnsi="宋体" w:eastAsia="宋体" w:cs="宋体"/>
          <w:color w:val="auto"/>
          <w:szCs w:val="21"/>
          <w:highlight w:val="none"/>
        </w:rPr>
        <w:t>的投标报价超出相应的最高投标限价，则由评标委员</w:t>
      </w:r>
      <w:r>
        <w:rPr>
          <w:rFonts w:hint="default" w:ascii="宋体" w:hAnsi="宋体" w:eastAsia="宋体" w:cs="宋体"/>
          <w:color w:val="auto"/>
          <w:szCs w:val="21"/>
          <w:highlight w:val="none"/>
        </w:rPr>
        <w:t>会</w:t>
      </w:r>
      <w:r>
        <w:rPr>
          <w:rFonts w:hint="eastAsia" w:ascii="宋体" w:hAnsi="宋体" w:eastAsia="宋体" w:cs="宋体"/>
          <w:color w:val="auto"/>
          <w:szCs w:val="21"/>
          <w:highlight w:val="none"/>
        </w:rPr>
        <w:t>否决其投标。</w:t>
      </w:r>
    </w:p>
    <w:p>
      <w:pPr>
        <w:topLinePunct/>
        <w:adjustRightInd w:val="0"/>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4、按上述修正错误的原则及方法调整或修正投标文件的投标报价，调整后的投标报价对投标人起约束作用。如果投标人不接受修正后的报价，则取消其中标资格。</w:t>
      </w:r>
    </w:p>
    <w:p>
      <w:pPr>
        <w:spacing w:line="360" w:lineRule="auto"/>
        <w:rPr>
          <w:rFonts w:ascii="宋体" w:hAnsi="宋体" w:eastAsia="宋体" w:cs="Times New Roman"/>
          <w:b/>
          <w:bCs/>
          <w:color w:val="auto"/>
          <w:highlight w:val="none"/>
        </w:rPr>
      </w:pPr>
    </w:p>
    <w:p>
      <w:pPr>
        <w:adjustRightInd w:val="0"/>
        <w:snapToGrid w:val="0"/>
        <w:spacing w:line="360" w:lineRule="auto"/>
        <w:ind w:firstLine="420" w:firstLineChars="200"/>
        <w:rPr>
          <w:rFonts w:ascii="宋体" w:hAnsi="宋体" w:eastAsia="宋体" w:cs="Times New Roman"/>
          <w:color w:val="auto"/>
          <w:highlight w:val="none"/>
          <w:u w:val="single"/>
        </w:rPr>
      </w:pPr>
    </w:p>
    <w:p>
      <w:pPr>
        <w:spacing w:line="360" w:lineRule="auto"/>
        <w:rPr>
          <w:rFonts w:ascii="宋体" w:hAnsi="宋体" w:eastAsia="宋体" w:cs="Times New Roman"/>
          <w:b/>
          <w:bCs/>
          <w:color w:val="auto"/>
          <w:highlight w:val="none"/>
        </w:rPr>
      </w:pPr>
    </w:p>
    <w:p>
      <w:pPr>
        <w:spacing w:line="360" w:lineRule="auto"/>
        <w:rPr>
          <w:rFonts w:ascii="宋体" w:hAnsi="宋体"/>
          <w:b/>
          <w:bCs/>
          <w:color w:val="auto"/>
          <w:highlight w:val="none"/>
        </w:rPr>
        <w:sectPr>
          <w:footerReference r:id="rId7" w:type="default"/>
          <w:footerReference r:id="rId8" w:type="even"/>
          <w:type w:val="nextColumn"/>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pPr>
    </w:p>
    <w:p>
      <w:pPr>
        <w:outlineLvl w:val="1"/>
        <w:rPr>
          <w:rFonts w:hint="eastAsia" w:ascii="宋体" w:hAnsi="宋体" w:eastAsia="宋体" w:cs="Times New Roman"/>
          <w:b/>
          <w:bCs/>
          <w:color w:val="auto"/>
          <w:kern w:val="44"/>
          <w:sz w:val="21"/>
          <w:szCs w:val="21"/>
          <w:highlight w:val="none"/>
          <w:lang w:val="en-US" w:eastAsia="zh-CN" w:bidi="ar-SA"/>
        </w:rPr>
      </w:pPr>
      <w:bookmarkStart w:id="43" w:name="_Toc114493761"/>
      <w:bookmarkStart w:id="44" w:name="_Toc8271"/>
      <w:r>
        <w:rPr>
          <w:rFonts w:hint="eastAsia" w:ascii="宋体" w:hAnsi="宋体" w:eastAsia="宋体" w:cs="Times New Roman"/>
          <w:b/>
          <w:bCs/>
          <w:color w:val="auto"/>
          <w:kern w:val="44"/>
          <w:sz w:val="21"/>
          <w:szCs w:val="21"/>
          <w:highlight w:val="none"/>
          <w:lang w:val="en-US" w:eastAsia="zh-CN" w:bidi="ar-SA"/>
        </w:rPr>
        <w:t>附件3－2（工程勘察费计算表）</w:t>
      </w:r>
      <w:bookmarkEnd w:id="43"/>
      <w:bookmarkEnd w:id="44"/>
    </w:p>
    <w:p>
      <w:pPr>
        <w:jc w:val="center"/>
        <w:rPr>
          <w:rFonts w:ascii="Calibri" w:hAnsi="Calibri" w:eastAsia="宋体" w:cs="Times New Roman"/>
          <w:b/>
          <w:color w:val="auto"/>
          <w:sz w:val="28"/>
          <w:highlight w:val="none"/>
        </w:rPr>
      </w:pPr>
      <w:bookmarkStart w:id="45" w:name="_Toc11498"/>
      <w:bookmarkStart w:id="46" w:name="_Toc114493762"/>
    </w:p>
    <w:p>
      <w:pPr>
        <w:jc w:val="center"/>
        <w:rPr>
          <w:rFonts w:ascii="Calibri" w:hAnsi="Calibri" w:eastAsia="宋体" w:cs="Times New Roman"/>
          <w:b/>
          <w:color w:val="auto"/>
          <w:sz w:val="28"/>
          <w:highlight w:val="none"/>
        </w:rPr>
      </w:pPr>
      <w:r>
        <w:rPr>
          <w:rFonts w:hint="eastAsia" w:ascii="Calibri" w:hAnsi="Calibri" w:eastAsia="宋体" w:cs="Times New Roman"/>
          <w:b/>
          <w:color w:val="auto"/>
          <w:sz w:val="28"/>
          <w:highlight w:val="none"/>
        </w:rPr>
        <w:t>工程勘察费计算表</w:t>
      </w:r>
      <w:bookmarkEnd w:id="45"/>
      <w:bookmarkEnd w:id="46"/>
    </w:p>
    <w:tbl>
      <w:tblPr>
        <w:tblStyle w:val="11"/>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769"/>
        <w:gridCol w:w="1315"/>
        <w:gridCol w:w="4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41"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highlight w:val="none"/>
              </w:rPr>
            </w:pPr>
            <w:r>
              <w:rPr>
                <w:rFonts w:hint="eastAsia" w:ascii="宋体" w:hAnsi="宋体" w:eastAsia="宋体" w:cs="Times New Roman"/>
                <w:color w:val="auto"/>
                <w:highlight w:val="none"/>
              </w:rPr>
              <w:t>序号</w:t>
            </w:r>
          </w:p>
        </w:tc>
        <w:tc>
          <w:tcPr>
            <w:tcW w:w="2769"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highlight w:val="none"/>
              </w:rPr>
            </w:pPr>
            <w:r>
              <w:rPr>
                <w:rFonts w:hint="eastAsia" w:ascii="宋体" w:hAnsi="宋体" w:eastAsia="宋体" w:cs="Times New Roman"/>
                <w:color w:val="auto"/>
                <w:highlight w:val="none"/>
              </w:rPr>
              <w:t>费用名称</w:t>
            </w:r>
          </w:p>
        </w:tc>
        <w:tc>
          <w:tcPr>
            <w:tcW w:w="1315"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highlight w:val="none"/>
              </w:rPr>
            </w:pPr>
            <w:r>
              <w:rPr>
                <w:rFonts w:hint="eastAsia" w:ascii="宋体" w:hAnsi="宋体" w:eastAsia="宋体" w:cs="Times New Roman"/>
                <w:color w:val="auto"/>
                <w:highlight w:val="none"/>
              </w:rPr>
              <w:t>投标值</w:t>
            </w:r>
          </w:p>
        </w:tc>
        <w:tc>
          <w:tcPr>
            <w:tcW w:w="4283"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highlight w:val="none"/>
              </w:rPr>
            </w:pPr>
            <w:r>
              <w:rPr>
                <w:rFonts w:hint="eastAsia" w:ascii="宋体" w:hAnsi="宋体" w:eastAsia="宋体" w:cs="Times New Roman"/>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41" w:type="dxa"/>
            <w:vAlign w:val="center"/>
          </w:tcPr>
          <w:p>
            <w:pPr>
              <w:keepNext w:val="0"/>
              <w:keepLines w:val="0"/>
              <w:suppressLineNumbers w:val="0"/>
              <w:spacing w:before="0" w:beforeAutospacing="0" w:after="0" w:afterAutospacing="0" w:line="360" w:lineRule="auto"/>
              <w:ind w:left="0" w:right="0"/>
              <w:rPr>
                <w:rFonts w:hint="default" w:ascii="宋体" w:hAnsi="宋体" w:eastAsia="宋体" w:cs="Times New Roman"/>
                <w:color w:val="auto"/>
                <w:highlight w:val="none"/>
              </w:rPr>
            </w:pPr>
            <w:r>
              <w:rPr>
                <w:rFonts w:hint="eastAsia" w:ascii="宋体" w:hAnsi="宋体" w:eastAsia="宋体" w:cs="Times New Roman"/>
                <w:color w:val="auto"/>
                <w:highlight w:val="none"/>
              </w:rPr>
              <w:t>（</w:t>
            </w:r>
            <w:r>
              <w:rPr>
                <w:rFonts w:hint="default" w:ascii="宋体" w:hAnsi="宋体" w:eastAsia="宋体" w:cs="Times New Roman"/>
                <w:color w:val="auto"/>
                <w:highlight w:val="none"/>
              </w:rPr>
              <w:t>1）</w:t>
            </w:r>
          </w:p>
        </w:tc>
        <w:tc>
          <w:tcPr>
            <w:tcW w:w="2769"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highlight w:val="none"/>
              </w:rPr>
            </w:pPr>
            <w:r>
              <w:rPr>
                <w:rFonts w:hint="eastAsia" w:ascii="宋体" w:hAnsi="宋体" w:eastAsia="宋体" w:cs="Times New Roman"/>
                <w:color w:val="auto"/>
                <w:highlight w:val="none"/>
              </w:rPr>
              <w:t>每米综合包干单价</w:t>
            </w:r>
            <w:r>
              <w:rPr>
                <w:rFonts w:hint="eastAsia" w:ascii="宋体" w:hAnsi="宋体" w:eastAsia="宋体" w:cs="Times New Roman"/>
                <w:b/>
                <w:color w:val="auto"/>
                <w:highlight w:val="none"/>
              </w:rPr>
              <w:t>（元）</w:t>
            </w:r>
          </w:p>
        </w:tc>
        <w:tc>
          <w:tcPr>
            <w:tcW w:w="1315"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highlight w:val="none"/>
              </w:rPr>
            </w:pPr>
          </w:p>
        </w:tc>
        <w:tc>
          <w:tcPr>
            <w:tcW w:w="4283" w:type="dxa"/>
            <w:vAlign w:val="center"/>
          </w:tcPr>
          <w:p>
            <w:pPr>
              <w:keepNext w:val="0"/>
              <w:keepLines w:val="0"/>
              <w:suppressLineNumbers w:val="0"/>
              <w:spacing w:before="0" w:beforeAutospacing="0" w:after="0" w:afterAutospacing="0" w:line="360" w:lineRule="auto"/>
              <w:ind w:left="0" w:right="0"/>
              <w:rPr>
                <w:rFonts w:hint="default" w:ascii="宋体" w:hAnsi="宋体" w:eastAsia="宋体" w:cs="Times New Roman"/>
                <w:color w:val="auto"/>
                <w:highlight w:val="none"/>
              </w:rPr>
            </w:pPr>
            <w:r>
              <w:rPr>
                <w:rFonts w:hint="eastAsia" w:ascii="宋体" w:hAnsi="宋体" w:eastAsia="宋体" w:cs="Times New Roman"/>
                <w:color w:val="auto"/>
                <w:szCs w:val="21"/>
                <w:highlight w:val="none"/>
              </w:rPr>
              <w:t>综合包干单价最高投标限价为</w:t>
            </w:r>
            <w:r>
              <w:rPr>
                <w:rFonts w:hint="default" w:ascii="宋体" w:hAnsi="宋体" w:eastAsia="宋体" w:cs="Times New Roman"/>
                <w:color w:val="auto"/>
                <w:szCs w:val="21"/>
                <w:highlight w:val="none"/>
              </w:rPr>
              <w:t>100元/米。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41" w:type="dxa"/>
            <w:vAlign w:val="center"/>
          </w:tcPr>
          <w:p>
            <w:pPr>
              <w:keepNext w:val="0"/>
              <w:keepLines w:val="0"/>
              <w:suppressLineNumbers w:val="0"/>
              <w:spacing w:before="0" w:beforeAutospacing="0" w:after="0" w:afterAutospacing="0" w:line="360" w:lineRule="auto"/>
              <w:ind w:left="0" w:right="0"/>
              <w:rPr>
                <w:rFonts w:hint="default" w:ascii="宋体" w:hAnsi="宋体" w:eastAsia="宋体" w:cs="Times New Roman"/>
                <w:color w:val="auto"/>
                <w:highlight w:val="none"/>
              </w:rPr>
            </w:pPr>
            <w:r>
              <w:rPr>
                <w:rFonts w:hint="eastAsia" w:ascii="宋体" w:hAnsi="宋体" w:eastAsia="宋体" w:cs="Times New Roman"/>
                <w:color w:val="auto"/>
                <w:highlight w:val="none"/>
              </w:rPr>
              <w:t>（</w:t>
            </w:r>
            <w:r>
              <w:rPr>
                <w:rFonts w:hint="default" w:ascii="宋体" w:hAnsi="宋体" w:eastAsia="宋体" w:cs="Times New Roman"/>
                <w:color w:val="auto"/>
                <w:highlight w:val="none"/>
              </w:rPr>
              <w:t>2）</w:t>
            </w:r>
          </w:p>
        </w:tc>
        <w:tc>
          <w:tcPr>
            <w:tcW w:w="2769"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highlight w:val="none"/>
              </w:rPr>
            </w:pPr>
            <w:r>
              <w:rPr>
                <w:rFonts w:hint="eastAsia" w:ascii="宋体" w:hAnsi="宋体" w:eastAsia="宋体" w:cs="Times New Roman"/>
                <w:color w:val="auto"/>
                <w:highlight w:val="none"/>
              </w:rPr>
              <w:t>暂定工程量（米）</w:t>
            </w:r>
          </w:p>
        </w:tc>
        <w:tc>
          <w:tcPr>
            <w:tcW w:w="1315"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1"/>
                <w:szCs w:val="21"/>
                <w:highlight w:val="none"/>
                <w:u w:val="single"/>
                <w:lang w:eastAsia="zh-CN"/>
              </w:rPr>
              <w:t>5000</w:t>
            </w:r>
          </w:p>
        </w:tc>
        <w:tc>
          <w:tcPr>
            <w:tcW w:w="4283" w:type="dxa"/>
            <w:vAlign w:val="center"/>
          </w:tcPr>
          <w:p>
            <w:pPr>
              <w:keepNext w:val="0"/>
              <w:keepLines w:val="0"/>
              <w:suppressLineNumbers w:val="0"/>
              <w:spacing w:before="0" w:beforeAutospacing="0" w:after="0" w:afterAutospacing="0" w:line="360" w:lineRule="auto"/>
              <w:ind w:left="0" w:right="0"/>
              <w:rPr>
                <w:rFonts w:hint="default" w:ascii="宋体" w:hAnsi="宋体"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41" w:type="dxa"/>
            <w:vAlign w:val="center"/>
          </w:tcPr>
          <w:p>
            <w:pPr>
              <w:keepNext w:val="0"/>
              <w:keepLines w:val="0"/>
              <w:suppressLineNumbers w:val="0"/>
              <w:spacing w:before="0" w:beforeAutospacing="0" w:after="0" w:afterAutospacing="0" w:line="360" w:lineRule="auto"/>
              <w:ind w:left="0" w:right="0"/>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w:t>
            </w:r>
            <w:r>
              <w:rPr>
                <w:rFonts w:hint="default" w:ascii="宋体" w:hAnsi="宋体" w:eastAsia="宋体" w:cs="Times New Roman"/>
                <w:color w:val="auto"/>
                <w:sz w:val="21"/>
                <w:szCs w:val="21"/>
                <w:highlight w:val="none"/>
              </w:rPr>
              <w:t>3）</w:t>
            </w:r>
          </w:p>
        </w:tc>
        <w:tc>
          <w:tcPr>
            <w:tcW w:w="2769"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工程勘察费</w:t>
            </w:r>
            <w:r>
              <w:rPr>
                <w:rFonts w:hint="eastAsia" w:ascii="宋体" w:hAnsi="宋体" w:eastAsia="宋体" w:cs="Times New Roman"/>
                <w:b/>
                <w:color w:val="auto"/>
                <w:sz w:val="21"/>
                <w:szCs w:val="21"/>
                <w:highlight w:val="none"/>
              </w:rPr>
              <w:t>（万元）</w:t>
            </w:r>
          </w:p>
        </w:tc>
        <w:tc>
          <w:tcPr>
            <w:tcW w:w="1315"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21"/>
                <w:szCs w:val="21"/>
                <w:highlight w:val="none"/>
              </w:rPr>
            </w:pPr>
          </w:p>
        </w:tc>
        <w:tc>
          <w:tcPr>
            <w:tcW w:w="4283" w:type="dxa"/>
            <w:vAlign w:val="center"/>
          </w:tcPr>
          <w:p>
            <w:pPr>
              <w:keepNext w:val="0"/>
              <w:keepLines w:val="0"/>
              <w:suppressLineNumbers w:val="0"/>
              <w:spacing w:before="0" w:beforeAutospacing="0" w:after="0" w:afterAutospacing="0" w:line="360" w:lineRule="auto"/>
              <w:ind w:left="0" w:right="0"/>
              <w:rPr>
                <w:rFonts w:hint="default" w:ascii="宋体" w:hAnsi="宋体" w:eastAsia="宋体" w:cs="Times New Roman"/>
                <w:color w:val="auto"/>
                <w:sz w:val="21"/>
                <w:szCs w:val="21"/>
                <w:highlight w:val="none"/>
              </w:rPr>
            </w:pPr>
            <w:r>
              <w:rPr>
                <w:rFonts w:hint="eastAsia" w:ascii="宋体" w:hAnsi="宋体" w:eastAsia="宋体" w:cs="Times New Roman"/>
                <w:b/>
                <w:color w:val="auto"/>
                <w:sz w:val="21"/>
                <w:szCs w:val="21"/>
                <w:highlight w:val="none"/>
              </w:rPr>
              <w:t>（</w:t>
            </w:r>
            <w:r>
              <w:rPr>
                <w:rFonts w:hint="default" w:ascii="宋体" w:hAnsi="宋体" w:eastAsia="宋体" w:cs="Times New Roman"/>
                <w:b/>
                <w:color w:val="auto"/>
                <w:sz w:val="21"/>
                <w:szCs w:val="21"/>
                <w:highlight w:val="none"/>
              </w:rPr>
              <w:t>3）=（1）×（2）÷10000，</w:t>
            </w:r>
            <w:r>
              <w:rPr>
                <w:rFonts w:hint="eastAsia" w:ascii="宋体" w:hAnsi="宋体" w:eastAsia="宋体" w:cs="Times New Roman"/>
                <w:bCs/>
                <w:color w:val="auto"/>
                <w:sz w:val="21"/>
                <w:szCs w:val="21"/>
                <w:highlight w:val="none"/>
              </w:rPr>
              <w:t>对应</w:t>
            </w:r>
            <w:r>
              <w:rPr>
                <w:rFonts w:hint="default" w:ascii="宋体" w:hAnsi="宋体" w:eastAsia="宋体" w:cs="Times New Roman"/>
                <w:bCs/>
                <w:color w:val="auto"/>
                <w:sz w:val="21"/>
                <w:szCs w:val="21"/>
                <w:highlight w:val="none"/>
              </w:rPr>
              <w:t>l</w:t>
            </w:r>
            <w:r>
              <w:rPr>
                <w:rFonts w:hint="eastAsia" w:ascii="宋体" w:hAnsi="宋体" w:eastAsia="宋体" w:cs="Times New Roman"/>
                <w:bCs/>
                <w:color w:val="auto"/>
                <w:sz w:val="21"/>
                <w:szCs w:val="21"/>
                <w:highlight w:val="none"/>
              </w:rPr>
              <w:t>报价金额不得超过最高投标限价</w:t>
            </w:r>
            <w:r>
              <w:rPr>
                <w:rFonts w:hint="eastAsia" w:ascii="宋体" w:hAnsi="宋体" w:eastAsia="宋体" w:cs="Times New Roman"/>
                <w:color w:val="auto"/>
                <w:sz w:val="21"/>
                <w:szCs w:val="21"/>
                <w:highlight w:val="none"/>
                <w:u w:val="single"/>
                <w:lang w:val="en-US" w:eastAsia="zh-CN"/>
              </w:rPr>
              <w:t>5</w:t>
            </w:r>
            <w:r>
              <w:rPr>
                <w:rFonts w:hint="default" w:ascii="宋体" w:hAnsi="宋体" w:eastAsia="宋体" w:cs="Times New Roman"/>
                <w:color w:val="auto"/>
                <w:sz w:val="21"/>
                <w:szCs w:val="21"/>
                <w:highlight w:val="none"/>
                <w:u w:val="single"/>
                <w:lang w:eastAsia="zh-CN"/>
              </w:rPr>
              <w:t>0</w:t>
            </w:r>
            <w:r>
              <w:rPr>
                <w:rFonts w:hint="default" w:ascii="宋体" w:hAnsi="宋体" w:eastAsia="宋体" w:cs="Times New Roman"/>
                <w:bCs/>
                <w:color w:val="auto"/>
                <w:sz w:val="21"/>
                <w:szCs w:val="21"/>
                <w:highlight w:val="none"/>
              </w:rPr>
              <w:t>万元。</w:t>
            </w:r>
          </w:p>
        </w:tc>
      </w:tr>
    </w:tbl>
    <w:p>
      <w:pPr>
        <w:spacing w:line="360" w:lineRule="auto"/>
        <w:rPr>
          <w:rFonts w:ascii="宋体" w:hAnsi="宋体" w:eastAsia="宋体" w:cs="宋体"/>
          <w:color w:val="auto"/>
          <w:highlight w:val="none"/>
        </w:rPr>
      </w:pPr>
      <w:r>
        <w:rPr>
          <w:rFonts w:hint="eastAsia" w:ascii="宋体" w:hAnsi="宋体" w:eastAsia="宋体" w:cs="宋体"/>
          <w:color w:val="auto"/>
          <w:sz w:val="21"/>
          <w:szCs w:val="21"/>
          <w:highlight w:val="none"/>
        </w:rPr>
        <w:t>注：</w:t>
      </w:r>
      <w:r>
        <w:rPr>
          <w:rFonts w:ascii="宋体" w:hAnsi="宋体" w:eastAsia="宋体" w:cs="宋体"/>
          <w:color w:val="auto"/>
          <w:sz w:val="21"/>
          <w:szCs w:val="21"/>
          <w:highlight w:val="none"/>
        </w:rPr>
        <w:t>1、</w:t>
      </w:r>
      <w:r>
        <w:rPr>
          <w:rFonts w:hint="eastAsia" w:ascii="宋体" w:hAnsi="宋体" w:eastAsia="宋体" w:cs="宋体"/>
          <w:snapToGrid w:val="0"/>
          <w:color w:val="auto"/>
          <w:spacing w:val="4"/>
          <w:kern w:val="0"/>
          <w:sz w:val="21"/>
          <w:szCs w:val="21"/>
          <w:highlight w:val="none"/>
        </w:rPr>
        <w:t>投标阶段，</w:t>
      </w:r>
      <w:r>
        <w:rPr>
          <w:rFonts w:hint="eastAsia" w:ascii="宋体" w:hAnsi="宋体" w:eastAsia="宋体" w:cs="宋体"/>
          <w:color w:val="auto"/>
          <w:sz w:val="21"/>
          <w:szCs w:val="21"/>
          <w:highlight w:val="none"/>
        </w:rPr>
        <w:t>岩土工程勘察费按招标文件给出的暂定工程量乘以每米综合包干单价计算。每米综合包干单价已包括所有实物工作收费、进出场费、技术工作收费、税金等全部费用。勘察费综合包干单价最高投标限价为</w:t>
      </w:r>
      <w:r>
        <w:rPr>
          <w:rFonts w:ascii="宋体" w:hAnsi="宋体" w:eastAsia="宋体" w:cs="宋体"/>
          <w:color w:val="auto"/>
          <w:sz w:val="21"/>
          <w:szCs w:val="21"/>
          <w:highlight w:val="none"/>
          <w:u w:val="single"/>
        </w:rPr>
        <w:t>100</w:t>
      </w:r>
      <w:r>
        <w:rPr>
          <w:rFonts w:hint="eastAsia" w:ascii="宋体" w:hAnsi="宋体" w:eastAsia="宋体" w:cs="宋体"/>
          <w:color w:val="auto"/>
          <w:sz w:val="21"/>
          <w:szCs w:val="21"/>
          <w:highlight w:val="none"/>
        </w:rPr>
        <w:t>元</w:t>
      </w:r>
      <w:r>
        <w:rPr>
          <w:rFonts w:ascii="宋体" w:hAnsi="宋体" w:eastAsia="宋体" w:cs="宋体"/>
          <w:color w:val="auto"/>
          <w:sz w:val="21"/>
          <w:szCs w:val="21"/>
          <w:highlight w:val="none"/>
        </w:rPr>
        <w:t>/米，</w:t>
      </w:r>
      <w:r>
        <w:rPr>
          <w:rFonts w:hint="eastAsia" w:ascii="宋体" w:hAnsi="宋体" w:eastAsia="宋体" w:cs="Times New Roman"/>
          <w:color w:val="auto"/>
          <w:sz w:val="21"/>
          <w:szCs w:val="21"/>
          <w:highlight w:val="none"/>
        </w:rPr>
        <w:t>工程勘察费最高投标限价为</w:t>
      </w:r>
      <w:r>
        <w:rPr>
          <w:rFonts w:hint="eastAsia" w:ascii="宋体" w:hAnsi="宋体" w:eastAsia="宋体" w:cs="Times New Roman"/>
          <w:color w:val="auto"/>
          <w:sz w:val="21"/>
          <w:szCs w:val="21"/>
          <w:highlight w:val="none"/>
          <w:u w:val="single"/>
          <w:lang w:val="en-US" w:eastAsia="zh-CN"/>
        </w:rPr>
        <w:t>5</w:t>
      </w:r>
      <w:r>
        <w:rPr>
          <w:rFonts w:hint="default" w:ascii="宋体" w:hAnsi="宋体" w:eastAsia="宋体" w:cs="Times New Roman"/>
          <w:color w:val="auto"/>
          <w:sz w:val="21"/>
          <w:szCs w:val="21"/>
          <w:highlight w:val="none"/>
          <w:u w:val="single"/>
          <w:lang w:eastAsia="zh-CN"/>
        </w:rPr>
        <w:t>0</w:t>
      </w:r>
      <w:r>
        <w:rPr>
          <w:rFonts w:ascii="宋体" w:hAnsi="宋体" w:eastAsia="宋体" w:cs="Times New Roman"/>
          <w:color w:val="auto"/>
          <w:sz w:val="21"/>
          <w:szCs w:val="21"/>
          <w:highlight w:val="none"/>
        </w:rPr>
        <w:t>万元</w:t>
      </w:r>
      <w:r>
        <w:rPr>
          <w:rFonts w:hint="eastAsia" w:ascii="宋体" w:hAnsi="宋体" w:eastAsia="宋体" w:cs="宋体"/>
          <w:b/>
          <w:color w:val="auto"/>
          <w:sz w:val="21"/>
          <w:szCs w:val="21"/>
          <w:highlight w:val="none"/>
        </w:rPr>
        <w:t>。</w:t>
      </w:r>
    </w:p>
    <w:p>
      <w:pPr>
        <w:spacing w:line="360" w:lineRule="auto"/>
        <w:rPr>
          <w:rFonts w:ascii="宋体" w:hAnsi="宋体" w:eastAsia="宋体" w:cs="宋体"/>
          <w:color w:val="auto"/>
          <w:highlight w:val="none"/>
        </w:rPr>
      </w:pPr>
      <w:r>
        <w:rPr>
          <w:rFonts w:ascii="宋体" w:hAnsi="宋体" w:eastAsia="宋体" w:cs="宋体"/>
          <w:color w:val="auto"/>
          <w:highlight w:val="none"/>
        </w:rPr>
        <w:t>2、当序号（1）序号（2）的乘积与序号（3）不一致时，按就低不就高原则确定其最终报价。如修正后的投标报价超出相应的最高投标限价，则由评标委员会</w:t>
      </w:r>
      <w:r>
        <w:rPr>
          <w:rFonts w:hint="eastAsia" w:ascii="宋体" w:hAnsi="宋体" w:eastAsia="宋体" w:cs="宋体"/>
          <w:color w:val="auto"/>
          <w:szCs w:val="21"/>
          <w:highlight w:val="none"/>
        </w:rPr>
        <w:t>否决其投标</w:t>
      </w:r>
      <w:r>
        <w:rPr>
          <w:rFonts w:ascii="宋体" w:hAnsi="宋体" w:eastAsia="宋体" w:cs="宋体"/>
          <w:color w:val="auto"/>
          <w:highlight w:val="none"/>
        </w:rPr>
        <w:t>。</w:t>
      </w:r>
    </w:p>
    <w:p>
      <w:pPr>
        <w:spacing w:line="360" w:lineRule="auto"/>
        <w:rPr>
          <w:rFonts w:ascii="宋体" w:hAnsi="宋体" w:eastAsia="宋体" w:cs="宋体"/>
          <w:color w:val="auto"/>
          <w:highlight w:val="none"/>
        </w:rPr>
      </w:pPr>
      <w:r>
        <w:rPr>
          <w:rFonts w:ascii="宋体" w:hAnsi="宋体" w:eastAsia="宋体" w:cs="宋体"/>
          <w:color w:val="auto"/>
          <w:highlight w:val="none"/>
        </w:rPr>
        <w:t>3、勘察费的结算原则具体详见合同条款的约定。</w:t>
      </w:r>
    </w:p>
    <w:p>
      <w:pPr>
        <w:spacing w:line="360" w:lineRule="auto"/>
        <w:ind w:firstLine="420" w:firstLineChars="200"/>
        <w:rPr>
          <w:rFonts w:ascii="宋体" w:hAnsi="宋体" w:eastAsia="宋体" w:cs="宋体"/>
          <w:color w:val="auto"/>
          <w:highlight w:val="none"/>
        </w:rPr>
      </w:pPr>
    </w:p>
    <w:p>
      <w:pPr>
        <w:spacing w:line="360" w:lineRule="auto"/>
        <w:ind w:firstLine="420" w:firstLineChars="200"/>
        <w:rPr>
          <w:rFonts w:ascii="宋体" w:hAnsi="宋体" w:eastAsia="宋体" w:cs="宋体"/>
          <w:color w:val="auto"/>
          <w:highlight w:val="none"/>
        </w:rPr>
      </w:pPr>
    </w:p>
    <w:p>
      <w:pPr>
        <w:spacing w:line="360" w:lineRule="auto"/>
        <w:ind w:firstLine="420" w:firstLineChars="200"/>
        <w:rPr>
          <w:rFonts w:ascii="宋体" w:hAnsi="宋体" w:eastAsia="宋体" w:cs="宋体"/>
          <w:color w:val="auto"/>
          <w:highlight w:val="none"/>
        </w:rPr>
      </w:pPr>
    </w:p>
    <w:p>
      <w:pPr>
        <w:spacing w:line="360" w:lineRule="auto"/>
        <w:ind w:firstLine="420" w:firstLineChars="200"/>
        <w:rPr>
          <w:rFonts w:ascii="宋体" w:hAnsi="宋体" w:eastAsia="宋体" w:cs="宋体"/>
          <w:color w:val="auto"/>
          <w:highlight w:val="none"/>
        </w:rPr>
      </w:pPr>
    </w:p>
    <w:p>
      <w:pPr>
        <w:spacing w:line="360" w:lineRule="auto"/>
        <w:ind w:firstLine="420" w:firstLineChars="200"/>
        <w:rPr>
          <w:rFonts w:ascii="宋体" w:hAnsi="宋体" w:eastAsia="宋体" w:cs="宋体"/>
          <w:color w:val="auto"/>
          <w:highlight w:val="none"/>
        </w:rPr>
      </w:pPr>
    </w:p>
    <w:p>
      <w:pPr>
        <w:spacing w:line="360" w:lineRule="auto"/>
        <w:ind w:firstLine="420" w:firstLineChars="200"/>
        <w:rPr>
          <w:rFonts w:ascii="宋体" w:hAnsi="宋体" w:eastAsia="宋体" w:cs="宋体"/>
          <w:color w:val="auto"/>
          <w:highlight w:val="none"/>
        </w:rPr>
      </w:pPr>
    </w:p>
    <w:p>
      <w:pPr>
        <w:spacing w:line="360" w:lineRule="auto"/>
        <w:ind w:firstLine="420" w:firstLineChars="200"/>
        <w:rPr>
          <w:rFonts w:ascii="宋体" w:hAnsi="宋体" w:eastAsia="宋体" w:cs="宋体"/>
          <w:color w:val="auto"/>
          <w:highlight w:val="none"/>
        </w:rPr>
      </w:pPr>
    </w:p>
    <w:p>
      <w:pPr>
        <w:spacing w:line="360" w:lineRule="auto"/>
        <w:ind w:firstLine="420" w:firstLineChars="200"/>
        <w:rPr>
          <w:rFonts w:ascii="宋体" w:hAnsi="宋体" w:eastAsia="宋体" w:cs="宋体"/>
          <w:color w:val="auto"/>
          <w:highlight w:val="none"/>
        </w:rPr>
      </w:pPr>
    </w:p>
    <w:p>
      <w:pPr>
        <w:spacing w:line="360" w:lineRule="auto"/>
        <w:ind w:firstLine="420" w:firstLineChars="200"/>
        <w:rPr>
          <w:rFonts w:ascii="宋体" w:hAnsi="宋体" w:eastAsia="宋体" w:cs="宋体"/>
          <w:color w:val="auto"/>
          <w:highlight w:val="none"/>
        </w:rPr>
      </w:pPr>
    </w:p>
    <w:p>
      <w:pPr>
        <w:spacing w:line="360" w:lineRule="auto"/>
        <w:rPr>
          <w:rFonts w:ascii="宋体" w:hAnsi="宋体" w:cs="宋体"/>
          <w:color w:val="auto"/>
          <w:highlight w:val="none"/>
        </w:rPr>
        <w:sectPr>
          <w:footerReference r:id="rId9" w:type="default"/>
          <w:footerReference r:id="rId10" w:type="even"/>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pPr>
    </w:p>
    <w:p>
      <w:pPr>
        <w:outlineLvl w:val="1"/>
        <w:rPr>
          <w:rFonts w:hint="eastAsia" w:ascii="宋体" w:hAnsi="宋体" w:eastAsia="宋体" w:cs="Times New Roman"/>
          <w:b/>
          <w:bCs/>
          <w:color w:val="auto"/>
          <w:kern w:val="44"/>
          <w:sz w:val="21"/>
          <w:szCs w:val="21"/>
          <w:highlight w:val="none"/>
          <w:lang w:val="en-US" w:eastAsia="zh-CN" w:bidi="ar-SA"/>
        </w:rPr>
      </w:pPr>
      <w:bookmarkStart w:id="47" w:name="_Toc25707"/>
      <w:r>
        <w:rPr>
          <w:rFonts w:hint="eastAsia" w:ascii="宋体" w:hAnsi="宋体" w:eastAsia="宋体" w:cs="Times New Roman"/>
          <w:b/>
          <w:bCs/>
          <w:color w:val="auto"/>
          <w:kern w:val="44"/>
          <w:sz w:val="21"/>
          <w:szCs w:val="21"/>
          <w:highlight w:val="none"/>
          <w:lang w:val="en-US" w:eastAsia="zh-CN" w:bidi="ar-SA"/>
        </w:rPr>
        <w:t>附件3－3（BIM正向设计技术应用费计算表）</w:t>
      </w:r>
      <w:bookmarkEnd w:id="47"/>
    </w:p>
    <w:p>
      <w:pPr>
        <w:keepNext w:val="0"/>
        <w:keepLines w:val="0"/>
        <w:widowControl w:val="0"/>
        <w:suppressLineNumbers w:val="0"/>
        <w:spacing w:before="0" w:beforeAutospacing="0" w:after="0" w:afterAutospacing="0"/>
        <w:ind w:left="0" w:right="0"/>
        <w:jc w:val="left"/>
        <w:rPr>
          <w:rFonts w:hint="eastAsia" w:ascii="宋体" w:hAnsi="宋体" w:eastAsia="宋体" w:cs="Times New Roman"/>
          <w:bCs/>
          <w:color w:val="auto"/>
          <w:kern w:val="2"/>
          <w:sz w:val="21"/>
          <w:szCs w:val="21"/>
          <w:highlight w:val="none"/>
        </w:rPr>
      </w:pPr>
      <w:r>
        <w:rPr>
          <w:rFonts w:hint="eastAsia" w:ascii="宋体" w:hAnsi="宋体" w:eastAsia="宋体" w:cs="Times New Roman"/>
          <w:bCs/>
          <w:color w:val="auto"/>
          <w:kern w:val="2"/>
          <w:sz w:val="21"/>
          <w:szCs w:val="21"/>
          <w:highlight w:val="none"/>
          <w:lang w:val="en-US" w:eastAsia="zh-CN" w:bidi="ar"/>
        </w:rPr>
        <w:t xml:space="preserve"> </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b/>
          <w:bCs w:val="0"/>
          <w:color w:val="auto"/>
          <w:kern w:val="2"/>
          <w:sz w:val="32"/>
          <w:szCs w:val="32"/>
          <w:highlight w:val="none"/>
        </w:rPr>
      </w:pPr>
      <w:r>
        <w:rPr>
          <w:rFonts w:hint="eastAsia" w:ascii="宋体" w:hAnsi="宋体" w:eastAsia="宋体" w:cs="宋体"/>
          <w:b/>
          <w:bCs w:val="0"/>
          <w:color w:val="auto"/>
          <w:kern w:val="2"/>
          <w:sz w:val="32"/>
          <w:szCs w:val="32"/>
          <w:highlight w:val="none"/>
          <w:lang w:val="en-US" w:eastAsia="zh-CN" w:bidi="ar"/>
        </w:rPr>
        <w:t>BIM正向设计技术应用费计算表</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bidi="ar"/>
        </w:rPr>
        <w:t xml:space="preserve"> </w:t>
      </w:r>
    </w:p>
    <w:tbl>
      <w:tblPr>
        <w:tblStyle w:val="11"/>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41"/>
        <w:gridCol w:w="2874"/>
        <w:gridCol w:w="1210"/>
        <w:gridCol w:w="4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default"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序号</w:t>
            </w:r>
          </w:p>
        </w:tc>
        <w:tc>
          <w:tcPr>
            <w:tcW w:w="287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费用名称</w:t>
            </w:r>
          </w:p>
        </w:tc>
        <w:tc>
          <w:tcPr>
            <w:tcW w:w="12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投标值</w:t>
            </w:r>
          </w:p>
        </w:tc>
        <w:tc>
          <w:tcPr>
            <w:tcW w:w="428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default"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287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每平方米综合包干单价</w:t>
            </w:r>
            <w:r>
              <w:rPr>
                <w:rFonts w:hint="eastAsia" w:ascii="宋体" w:hAnsi="宋体" w:eastAsia="宋体" w:cs="宋体"/>
                <w:b/>
                <w:bCs w:val="0"/>
                <w:color w:val="auto"/>
                <w:kern w:val="2"/>
                <w:sz w:val="21"/>
                <w:szCs w:val="21"/>
                <w:highlight w:val="none"/>
                <w:lang w:val="en-US" w:eastAsia="zh-CN" w:bidi="ar"/>
              </w:rPr>
              <w:t>（元）</w:t>
            </w:r>
          </w:p>
        </w:tc>
        <w:tc>
          <w:tcPr>
            <w:tcW w:w="12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default" w:ascii="宋体" w:hAnsi="宋体" w:eastAsia="宋体" w:cs="Times New Roman"/>
                <w:color w:val="auto"/>
                <w:kern w:val="2"/>
                <w:sz w:val="21"/>
                <w:szCs w:val="21"/>
                <w:highlight w:val="none"/>
              </w:rPr>
            </w:pPr>
          </w:p>
        </w:tc>
        <w:tc>
          <w:tcPr>
            <w:tcW w:w="428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default"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综合包干单价最高投标限价为14元/平方米。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default"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287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暂定工程量（平方米）</w:t>
            </w:r>
          </w:p>
        </w:tc>
        <w:tc>
          <w:tcPr>
            <w:tcW w:w="12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1"/>
                <w:szCs w:val="21"/>
                <w:highlight w:val="none"/>
                <w:lang w:val="en-US" w:eastAsia="zh-CN"/>
              </w:rPr>
            </w:pPr>
            <w:r>
              <w:rPr>
                <w:rFonts w:hint="eastAsia" w:ascii="宋体" w:hAnsi="宋体" w:eastAsia="宋体" w:cs="Times New Roman"/>
                <w:color w:val="auto"/>
                <w:kern w:val="2"/>
                <w:sz w:val="21"/>
                <w:szCs w:val="21"/>
                <w:highlight w:val="none"/>
                <w:lang w:val="en-US" w:eastAsia="zh-CN"/>
              </w:rPr>
              <w:t>99374</w:t>
            </w:r>
          </w:p>
        </w:tc>
        <w:tc>
          <w:tcPr>
            <w:tcW w:w="428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default" w:ascii="宋体" w:hAnsi="宋体" w:eastAsia="宋体" w:cs="Times New Roman"/>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default"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p>
        </w:tc>
        <w:tc>
          <w:tcPr>
            <w:tcW w:w="287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b w:val="0"/>
                <w:bCs/>
                <w:color w:val="auto"/>
                <w:kern w:val="2"/>
                <w:sz w:val="21"/>
                <w:szCs w:val="21"/>
                <w:highlight w:val="none"/>
                <w:lang w:val="en-US" w:eastAsia="zh-CN" w:bidi="ar"/>
              </w:rPr>
              <w:t>BIM</w:t>
            </w:r>
            <w:r>
              <w:rPr>
                <w:rFonts w:hint="eastAsia" w:ascii="宋体" w:hAnsi="宋体" w:eastAsia="宋体" w:cs="宋体"/>
                <w:color w:val="auto"/>
                <w:kern w:val="2"/>
                <w:sz w:val="21"/>
                <w:szCs w:val="21"/>
                <w:highlight w:val="none"/>
                <w:lang w:val="en-US" w:eastAsia="zh-CN" w:bidi="ar"/>
              </w:rPr>
              <w:t>正向设计技术应用费</w:t>
            </w:r>
          </w:p>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（万元）</w:t>
            </w:r>
          </w:p>
        </w:tc>
        <w:tc>
          <w:tcPr>
            <w:tcW w:w="12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default" w:ascii="宋体" w:hAnsi="宋体" w:eastAsia="宋体" w:cs="Times New Roman"/>
                <w:color w:val="auto"/>
                <w:kern w:val="2"/>
                <w:sz w:val="21"/>
                <w:szCs w:val="21"/>
                <w:highlight w:val="none"/>
              </w:rPr>
            </w:pPr>
          </w:p>
        </w:tc>
        <w:tc>
          <w:tcPr>
            <w:tcW w:w="428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default" w:ascii="宋体" w:hAnsi="宋体" w:eastAsia="宋体" w:cs="Times New Roman"/>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（3）=（1）×（2）÷10000，</w:t>
            </w:r>
            <w:r>
              <w:rPr>
                <w:rFonts w:hint="eastAsia" w:ascii="宋体" w:hAnsi="宋体" w:eastAsia="宋体" w:cs="宋体"/>
                <w:bCs/>
                <w:color w:val="auto"/>
                <w:kern w:val="2"/>
                <w:sz w:val="21"/>
                <w:szCs w:val="21"/>
                <w:highlight w:val="none"/>
                <w:lang w:val="en-US" w:eastAsia="zh-CN" w:bidi="ar"/>
              </w:rPr>
              <w:t>对应报价金额不得超过最高投标限价</w:t>
            </w:r>
            <w:r>
              <w:rPr>
                <w:rFonts w:hint="eastAsia" w:ascii="宋体" w:hAnsi="宋体" w:eastAsia="宋体" w:cs="宋体"/>
                <w:bCs/>
                <w:color w:val="auto"/>
                <w:kern w:val="2"/>
                <w:sz w:val="21"/>
                <w:szCs w:val="21"/>
                <w:highlight w:val="none"/>
                <w:u w:val="single"/>
                <w:lang w:val="en-US" w:eastAsia="zh-CN" w:bidi="ar"/>
              </w:rPr>
              <w:t>139.1236</w:t>
            </w:r>
            <w:r>
              <w:rPr>
                <w:rFonts w:hint="eastAsia" w:ascii="宋体" w:hAnsi="宋体" w:eastAsia="宋体" w:cs="宋体"/>
                <w:bCs/>
                <w:color w:val="auto"/>
                <w:kern w:val="2"/>
                <w:sz w:val="21"/>
                <w:szCs w:val="21"/>
                <w:highlight w:val="none"/>
                <w:lang w:val="en-US" w:eastAsia="zh-CN" w:bidi="ar"/>
              </w:rPr>
              <w:t>万元。</w:t>
            </w:r>
          </w:p>
        </w:tc>
      </w:tr>
    </w:tbl>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bidi="ar"/>
        </w:rPr>
        <w:t xml:space="preserve">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auto"/>
          <w:spacing w:val="4"/>
          <w:kern w:val="0"/>
          <w:sz w:val="21"/>
          <w:szCs w:val="21"/>
          <w:highlight w:val="none"/>
        </w:rPr>
      </w:pPr>
      <w:r>
        <w:rPr>
          <w:rFonts w:hint="eastAsia" w:ascii="宋体" w:hAnsi="宋体" w:eastAsia="宋体" w:cs="宋体"/>
          <w:snapToGrid w:val="0"/>
          <w:color w:val="auto"/>
          <w:spacing w:val="4"/>
          <w:kern w:val="0"/>
          <w:sz w:val="21"/>
          <w:szCs w:val="21"/>
          <w:highlight w:val="none"/>
          <w:lang w:val="en-US" w:eastAsia="zh-CN" w:bidi="ar"/>
        </w:rPr>
        <w:t>注：1、BIM正向设计技术应用费综合包干单价最高投标限价为</w:t>
      </w:r>
      <w:r>
        <w:rPr>
          <w:rFonts w:hint="eastAsia" w:ascii="宋体" w:hAnsi="宋体" w:eastAsia="宋体" w:cs="宋体"/>
          <w:color w:val="auto"/>
          <w:kern w:val="2"/>
          <w:sz w:val="21"/>
          <w:szCs w:val="21"/>
          <w:highlight w:val="none"/>
          <w:lang w:val="en-US" w:eastAsia="zh-CN" w:bidi="ar"/>
        </w:rPr>
        <w:t>14</w:t>
      </w:r>
      <w:r>
        <w:rPr>
          <w:rFonts w:hint="eastAsia" w:ascii="宋体" w:hAnsi="宋体" w:eastAsia="宋体" w:cs="宋体"/>
          <w:snapToGrid w:val="0"/>
          <w:color w:val="auto"/>
          <w:spacing w:val="4"/>
          <w:kern w:val="0"/>
          <w:sz w:val="21"/>
          <w:szCs w:val="21"/>
          <w:highlight w:val="none"/>
          <w:lang w:val="en-US" w:eastAsia="zh-CN" w:bidi="ar"/>
        </w:rPr>
        <w:t>元/平方米，BIM正向设计技术应用费</w:t>
      </w:r>
      <w:r>
        <w:rPr>
          <w:rFonts w:hint="eastAsia" w:ascii="宋体" w:hAnsi="宋体" w:eastAsia="宋体" w:cs="宋体"/>
          <w:bCs w:val="0"/>
          <w:snapToGrid w:val="0"/>
          <w:color w:val="auto"/>
          <w:spacing w:val="4"/>
          <w:kern w:val="0"/>
          <w:sz w:val="21"/>
          <w:szCs w:val="21"/>
          <w:highlight w:val="none"/>
          <w:lang w:val="en-US" w:eastAsia="zh-CN" w:bidi="ar"/>
        </w:rPr>
        <w:t>最高投标限价为</w:t>
      </w:r>
      <w:r>
        <w:rPr>
          <w:rFonts w:hint="eastAsia" w:ascii="宋体" w:hAnsi="宋体" w:eastAsia="宋体" w:cs="宋体"/>
          <w:bCs/>
          <w:color w:val="auto"/>
          <w:kern w:val="2"/>
          <w:sz w:val="21"/>
          <w:szCs w:val="21"/>
          <w:highlight w:val="none"/>
          <w:u w:val="single"/>
          <w:lang w:val="en-US" w:eastAsia="zh-CN" w:bidi="ar"/>
        </w:rPr>
        <w:t>139.1236</w:t>
      </w:r>
      <w:r>
        <w:rPr>
          <w:rFonts w:hint="eastAsia" w:ascii="宋体" w:hAnsi="宋体" w:eastAsia="宋体" w:cs="宋体"/>
          <w:bCs w:val="0"/>
          <w:snapToGrid w:val="0"/>
          <w:color w:val="auto"/>
          <w:spacing w:val="4"/>
          <w:kern w:val="0"/>
          <w:sz w:val="21"/>
          <w:szCs w:val="21"/>
          <w:highlight w:val="none"/>
          <w:lang w:val="en-US" w:eastAsia="zh-CN" w:bidi="ar"/>
        </w:rPr>
        <w:t>万元</w:t>
      </w:r>
      <w:r>
        <w:rPr>
          <w:rFonts w:hint="eastAsia" w:ascii="宋体" w:hAnsi="宋体" w:eastAsia="宋体" w:cs="宋体"/>
          <w:b w:val="0"/>
          <w:bCs w:val="0"/>
          <w:snapToGrid w:val="0"/>
          <w:color w:val="auto"/>
          <w:spacing w:val="4"/>
          <w:kern w:val="0"/>
          <w:sz w:val="21"/>
          <w:szCs w:val="21"/>
          <w:highlight w:val="none"/>
          <w:lang w:val="en-US" w:eastAsia="zh-CN" w:bidi="ar"/>
        </w:rPr>
        <w:t>。</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r>
        <w:rPr>
          <w:rFonts w:hint="eastAsia" w:ascii="宋体" w:hAnsi="宋体" w:eastAsia="宋体" w:cs="宋体"/>
          <w:snapToGrid w:val="0"/>
          <w:color w:val="auto"/>
          <w:spacing w:val="4"/>
          <w:kern w:val="0"/>
          <w:sz w:val="21"/>
          <w:szCs w:val="21"/>
          <w:highlight w:val="none"/>
          <w:lang w:val="en-US" w:eastAsia="zh-CN" w:bidi="ar"/>
        </w:rPr>
        <w:t>2、当序号（1）序号（2）的乘积与序号（3）不一致时，按就低不就高原则确定其最终报价。如修正后的投标报价超出相应的最高投标限价，则由评标委员会</w:t>
      </w:r>
      <w:r>
        <w:rPr>
          <w:rFonts w:hint="eastAsia" w:ascii="宋体" w:hAnsi="宋体" w:eastAsia="宋体" w:cs="宋体"/>
          <w:color w:val="auto"/>
          <w:szCs w:val="21"/>
          <w:highlight w:val="none"/>
        </w:rPr>
        <w:t>否决其投标</w:t>
      </w:r>
      <w:r>
        <w:rPr>
          <w:rFonts w:hint="eastAsia" w:ascii="宋体" w:hAnsi="宋体" w:eastAsia="宋体" w:cs="宋体"/>
          <w:snapToGrid w:val="0"/>
          <w:color w:val="auto"/>
          <w:spacing w:val="4"/>
          <w:kern w:val="0"/>
          <w:sz w:val="21"/>
          <w:szCs w:val="21"/>
          <w:highlight w:val="none"/>
          <w:lang w:val="en-US" w:eastAsia="zh-CN" w:bidi="ar"/>
        </w:rPr>
        <w:t>。</w:t>
      </w:r>
    </w:p>
    <w:p>
      <w:pPr>
        <w:pStyle w:val="2"/>
        <w:rPr>
          <w:rFonts w:hint="eastAsia"/>
          <w:color w:val="auto"/>
          <w:highlight w:val="none"/>
        </w:rPr>
        <w:sectPr>
          <w:footerReference r:id="rId11" w:type="default"/>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pPr>
    </w:p>
    <w:p>
      <w:pPr>
        <w:outlineLvl w:val="1"/>
        <w:rPr>
          <w:rFonts w:hint="eastAsia" w:ascii="宋体" w:hAnsi="宋体" w:eastAsia="宋体" w:cs="Times New Roman"/>
          <w:b/>
          <w:bCs/>
          <w:color w:val="auto"/>
          <w:kern w:val="44"/>
          <w:sz w:val="21"/>
          <w:szCs w:val="21"/>
          <w:highlight w:val="none"/>
          <w:lang w:val="en-US" w:eastAsia="zh-CN" w:bidi="ar-SA"/>
        </w:rPr>
      </w:pPr>
      <w:bookmarkStart w:id="48" w:name="_Toc27746"/>
      <w:r>
        <w:rPr>
          <w:rFonts w:hint="eastAsia" w:ascii="宋体" w:hAnsi="宋体" w:eastAsia="宋体" w:cs="Times New Roman"/>
          <w:b/>
          <w:bCs/>
          <w:color w:val="auto"/>
          <w:kern w:val="44"/>
          <w:sz w:val="21"/>
          <w:szCs w:val="21"/>
          <w:highlight w:val="none"/>
          <w:lang w:val="en-US" w:eastAsia="zh-CN" w:bidi="ar-SA"/>
        </w:rPr>
        <w:t>附件3－4（设计方案报审（含修建性详细规划编制）费计算表）</w:t>
      </w:r>
      <w:bookmarkEnd w:id="48"/>
    </w:p>
    <w:p>
      <w:pPr>
        <w:keepNext w:val="0"/>
        <w:keepLines w:val="0"/>
        <w:widowControl w:val="0"/>
        <w:suppressLineNumbers w:val="0"/>
        <w:spacing w:before="0" w:beforeAutospacing="0" w:after="0" w:afterAutospacing="0"/>
        <w:ind w:left="0" w:right="0"/>
        <w:jc w:val="left"/>
        <w:rPr>
          <w:rFonts w:hint="eastAsia" w:ascii="宋体" w:hAnsi="宋体" w:eastAsia="宋体" w:cs="Times New Roman"/>
          <w:bCs/>
          <w:color w:val="auto"/>
          <w:kern w:val="2"/>
          <w:sz w:val="21"/>
          <w:szCs w:val="21"/>
          <w:highlight w:val="none"/>
        </w:rPr>
      </w:pPr>
      <w:r>
        <w:rPr>
          <w:rFonts w:hint="eastAsia" w:ascii="宋体" w:hAnsi="宋体" w:eastAsia="宋体" w:cs="Times New Roman"/>
          <w:bCs/>
          <w:color w:val="auto"/>
          <w:kern w:val="2"/>
          <w:sz w:val="21"/>
          <w:szCs w:val="21"/>
          <w:highlight w:val="none"/>
          <w:lang w:val="en-US" w:eastAsia="zh-CN" w:bidi="ar"/>
        </w:rPr>
        <w:t xml:space="preserve"> </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2"/>
          <w:sz w:val="32"/>
          <w:szCs w:val="32"/>
          <w:highlight w:val="none"/>
          <w:lang w:val="en-US" w:eastAsia="zh-CN" w:bidi="ar"/>
        </w:rPr>
      </w:pPr>
      <w:r>
        <w:rPr>
          <w:rFonts w:hint="eastAsia" w:ascii="宋体" w:hAnsi="宋体" w:eastAsia="宋体" w:cs="宋体"/>
          <w:b/>
          <w:bCs w:val="0"/>
          <w:color w:val="auto"/>
          <w:kern w:val="2"/>
          <w:sz w:val="32"/>
          <w:szCs w:val="32"/>
          <w:highlight w:val="none"/>
          <w:lang w:val="en-US" w:eastAsia="zh-CN" w:bidi="ar"/>
        </w:rPr>
        <w:t>设计方案报审（含修建性详细规划编制）费计算表</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bidi="ar"/>
        </w:rPr>
        <w:t xml:space="preserve"> </w:t>
      </w:r>
    </w:p>
    <w:tbl>
      <w:tblPr>
        <w:tblStyle w:val="11"/>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41"/>
        <w:gridCol w:w="2874"/>
        <w:gridCol w:w="1210"/>
        <w:gridCol w:w="4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default"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序号</w:t>
            </w:r>
          </w:p>
        </w:tc>
        <w:tc>
          <w:tcPr>
            <w:tcW w:w="287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费用名称</w:t>
            </w:r>
          </w:p>
        </w:tc>
        <w:tc>
          <w:tcPr>
            <w:tcW w:w="12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投标值</w:t>
            </w:r>
          </w:p>
        </w:tc>
        <w:tc>
          <w:tcPr>
            <w:tcW w:w="428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default"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287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每公顷综合包干单价</w:t>
            </w:r>
            <w:r>
              <w:rPr>
                <w:rFonts w:hint="eastAsia" w:ascii="宋体" w:hAnsi="宋体" w:eastAsia="宋体" w:cs="宋体"/>
                <w:b/>
                <w:bCs w:val="0"/>
                <w:color w:val="auto"/>
                <w:kern w:val="2"/>
                <w:sz w:val="21"/>
                <w:szCs w:val="21"/>
                <w:highlight w:val="none"/>
                <w:lang w:val="en-US" w:eastAsia="zh-CN" w:bidi="ar"/>
              </w:rPr>
              <w:t>（元）</w:t>
            </w:r>
          </w:p>
        </w:tc>
        <w:tc>
          <w:tcPr>
            <w:tcW w:w="12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default" w:ascii="宋体" w:hAnsi="宋体" w:eastAsia="宋体" w:cs="Times New Roman"/>
                <w:color w:val="auto"/>
                <w:kern w:val="2"/>
                <w:sz w:val="21"/>
                <w:szCs w:val="21"/>
                <w:highlight w:val="none"/>
              </w:rPr>
            </w:pPr>
          </w:p>
        </w:tc>
        <w:tc>
          <w:tcPr>
            <w:tcW w:w="428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default"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综合包干单价最高投标限价为20000元/公顷。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default"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287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暂定工程量（公顷）</w:t>
            </w:r>
          </w:p>
        </w:tc>
        <w:tc>
          <w:tcPr>
            <w:tcW w:w="12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1"/>
                <w:szCs w:val="21"/>
                <w:highlight w:val="none"/>
                <w:lang w:val="en-US" w:eastAsia="zh-CN"/>
              </w:rPr>
            </w:pPr>
            <w:r>
              <w:rPr>
                <w:rFonts w:hint="eastAsia" w:ascii="宋体" w:hAnsi="宋体" w:eastAsia="宋体" w:cs="Times New Roman"/>
                <w:color w:val="auto"/>
                <w:kern w:val="2"/>
                <w:sz w:val="21"/>
                <w:szCs w:val="21"/>
                <w:highlight w:val="none"/>
                <w:lang w:val="en-US" w:eastAsia="zh-CN"/>
              </w:rPr>
              <w:t>0.5400</w:t>
            </w:r>
          </w:p>
        </w:tc>
        <w:tc>
          <w:tcPr>
            <w:tcW w:w="428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default" w:ascii="宋体" w:hAnsi="宋体" w:eastAsia="宋体" w:cs="Times New Roman"/>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default"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p>
        </w:tc>
        <w:tc>
          <w:tcPr>
            <w:tcW w:w="287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设计方案报审（含修建性详细规划编制）费</w:t>
            </w:r>
          </w:p>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（万元）</w:t>
            </w:r>
          </w:p>
        </w:tc>
        <w:tc>
          <w:tcPr>
            <w:tcW w:w="12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default" w:ascii="宋体" w:hAnsi="宋体" w:eastAsia="宋体" w:cs="Times New Roman"/>
                <w:color w:val="auto"/>
                <w:kern w:val="2"/>
                <w:sz w:val="21"/>
                <w:szCs w:val="21"/>
                <w:highlight w:val="none"/>
              </w:rPr>
            </w:pPr>
          </w:p>
        </w:tc>
        <w:tc>
          <w:tcPr>
            <w:tcW w:w="428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default" w:ascii="宋体" w:hAnsi="宋体" w:eastAsia="宋体" w:cs="Times New Roman"/>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（3）=（1）×（2）÷10000，</w:t>
            </w:r>
            <w:r>
              <w:rPr>
                <w:rFonts w:hint="eastAsia" w:ascii="宋体" w:hAnsi="宋体" w:eastAsia="宋体" w:cs="宋体"/>
                <w:bCs/>
                <w:color w:val="auto"/>
                <w:kern w:val="2"/>
                <w:sz w:val="21"/>
                <w:szCs w:val="21"/>
                <w:highlight w:val="none"/>
                <w:lang w:val="en-US" w:eastAsia="zh-CN" w:bidi="ar"/>
              </w:rPr>
              <w:t>对应报价金额不得超过最高投标限价</w:t>
            </w:r>
            <w:r>
              <w:rPr>
                <w:rFonts w:hint="eastAsia" w:ascii="宋体" w:hAnsi="宋体" w:eastAsia="宋体" w:cs="宋体"/>
                <w:bCs/>
                <w:color w:val="auto"/>
                <w:kern w:val="2"/>
                <w:sz w:val="21"/>
                <w:szCs w:val="21"/>
                <w:highlight w:val="none"/>
                <w:u w:val="single"/>
                <w:lang w:val="en-US" w:eastAsia="zh-CN" w:bidi="ar"/>
              </w:rPr>
              <w:t>1.08</w:t>
            </w:r>
            <w:r>
              <w:rPr>
                <w:rFonts w:hint="eastAsia" w:ascii="宋体" w:hAnsi="宋体" w:eastAsia="宋体" w:cs="宋体"/>
                <w:bCs/>
                <w:color w:val="auto"/>
                <w:kern w:val="2"/>
                <w:sz w:val="21"/>
                <w:szCs w:val="21"/>
                <w:highlight w:val="none"/>
                <w:lang w:val="en-US" w:eastAsia="zh-CN" w:bidi="ar"/>
              </w:rPr>
              <w:t>万元。</w:t>
            </w:r>
          </w:p>
        </w:tc>
      </w:tr>
    </w:tbl>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bidi="ar"/>
        </w:rPr>
        <w:t xml:space="preserve">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napToGrid w:val="0"/>
          <w:color w:val="auto"/>
          <w:spacing w:val="4"/>
          <w:kern w:val="0"/>
          <w:sz w:val="21"/>
          <w:szCs w:val="21"/>
          <w:highlight w:val="none"/>
        </w:rPr>
      </w:pPr>
      <w:r>
        <w:rPr>
          <w:rFonts w:hint="eastAsia" w:ascii="宋体" w:hAnsi="宋体" w:eastAsia="宋体" w:cs="宋体"/>
          <w:snapToGrid w:val="0"/>
          <w:color w:val="auto"/>
          <w:spacing w:val="4"/>
          <w:kern w:val="0"/>
          <w:sz w:val="21"/>
          <w:szCs w:val="21"/>
          <w:highlight w:val="none"/>
          <w:lang w:val="en-US" w:eastAsia="zh-CN" w:bidi="ar"/>
        </w:rPr>
        <w:t>注：1、</w:t>
      </w:r>
      <w:r>
        <w:rPr>
          <w:rFonts w:hint="eastAsia" w:ascii="宋体" w:hAnsi="宋体" w:eastAsia="宋体" w:cs="宋体"/>
          <w:color w:val="auto"/>
          <w:kern w:val="2"/>
          <w:sz w:val="21"/>
          <w:szCs w:val="21"/>
          <w:highlight w:val="none"/>
          <w:lang w:val="en-US" w:eastAsia="zh-CN" w:bidi="ar"/>
        </w:rPr>
        <w:t>设计方案报审（含修建性详细规划编制）</w:t>
      </w:r>
      <w:r>
        <w:rPr>
          <w:rFonts w:hint="eastAsia" w:ascii="宋体" w:hAnsi="宋体" w:eastAsia="宋体" w:cs="宋体"/>
          <w:snapToGrid w:val="0"/>
          <w:color w:val="auto"/>
          <w:spacing w:val="4"/>
          <w:kern w:val="0"/>
          <w:sz w:val="21"/>
          <w:szCs w:val="21"/>
          <w:highlight w:val="none"/>
          <w:lang w:val="en-US" w:eastAsia="zh-CN" w:bidi="ar"/>
        </w:rPr>
        <w:t>费综合包干单价最高投标限价为</w:t>
      </w:r>
      <w:r>
        <w:rPr>
          <w:rFonts w:hint="eastAsia" w:ascii="宋体" w:hAnsi="宋体" w:eastAsia="宋体" w:cs="宋体"/>
          <w:color w:val="auto"/>
          <w:kern w:val="2"/>
          <w:sz w:val="21"/>
          <w:szCs w:val="21"/>
          <w:highlight w:val="none"/>
          <w:lang w:val="en-US" w:eastAsia="zh-CN" w:bidi="ar"/>
        </w:rPr>
        <w:t>20000元/公顷</w:t>
      </w:r>
      <w:r>
        <w:rPr>
          <w:rFonts w:hint="eastAsia" w:ascii="宋体" w:hAnsi="宋体" w:eastAsia="宋体" w:cs="宋体"/>
          <w:snapToGrid w:val="0"/>
          <w:color w:val="auto"/>
          <w:spacing w:val="4"/>
          <w:kern w:val="0"/>
          <w:sz w:val="21"/>
          <w:szCs w:val="21"/>
          <w:highlight w:val="none"/>
          <w:lang w:val="en-US" w:eastAsia="zh-CN" w:bidi="ar"/>
        </w:rPr>
        <w:t>，BIM正向设计技术应用费</w:t>
      </w:r>
      <w:r>
        <w:rPr>
          <w:rFonts w:hint="eastAsia" w:ascii="宋体" w:hAnsi="宋体" w:eastAsia="宋体" w:cs="宋体"/>
          <w:bCs w:val="0"/>
          <w:snapToGrid w:val="0"/>
          <w:color w:val="auto"/>
          <w:spacing w:val="4"/>
          <w:kern w:val="0"/>
          <w:sz w:val="21"/>
          <w:szCs w:val="21"/>
          <w:highlight w:val="none"/>
          <w:lang w:val="en-US" w:eastAsia="zh-CN" w:bidi="ar"/>
        </w:rPr>
        <w:t>最高投标限价为</w:t>
      </w:r>
      <w:r>
        <w:rPr>
          <w:rFonts w:hint="eastAsia" w:ascii="宋体" w:hAnsi="宋体" w:eastAsia="宋体" w:cs="宋体"/>
          <w:bCs/>
          <w:color w:val="auto"/>
          <w:kern w:val="2"/>
          <w:sz w:val="21"/>
          <w:szCs w:val="21"/>
          <w:highlight w:val="none"/>
          <w:u w:val="single"/>
          <w:lang w:val="en-US" w:eastAsia="zh-CN" w:bidi="ar"/>
        </w:rPr>
        <w:t>1.08</w:t>
      </w:r>
      <w:r>
        <w:rPr>
          <w:rFonts w:hint="eastAsia" w:ascii="宋体" w:hAnsi="宋体" w:eastAsia="宋体" w:cs="宋体"/>
          <w:bCs w:val="0"/>
          <w:snapToGrid w:val="0"/>
          <w:color w:val="auto"/>
          <w:spacing w:val="4"/>
          <w:kern w:val="0"/>
          <w:sz w:val="21"/>
          <w:szCs w:val="21"/>
          <w:highlight w:val="none"/>
          <w:lang w:val="en-US" w:eastAsia="zh-CN" w:bidi="ar"/>
        </w:rPr>
        <w:t>万元</w:t>
      </w:r>
      <w:r>
        <w:rPr>
          <w:rFonts w:hint="eastAsia" w:ascii="宋体" w:hAnsi="宋体" w:eastAsia="宋体" w:cs="宋体"/>
          <w:b w:val="0"/>
          <w:bCs w:val="0"/>
          <w:snapToGrid w:val="0"/>
          <w:color w:val="auto"/>
          <w:spacing w:val="4"/>
          <w:kern w:val="0"/>
          <w:sz w:val="21"/>
          <w:szCs w:val="21"/>
          <w:highlight w:val="none"/>
          <w:lang w:val="en-US" w:eastAsia="zh-CN" w:bidi="ar"/>
        </w:rPr>
        <w:t>。</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rPr>
      </w:pPr>
      <w:r>
        <w:rPr>
          <w:rFonts w:hint="eastAsia" w:ascii="宋体" w:hAnsi="宋体" w:eastAsia="宋体" w:cs="宋体"/>
          <w:snapToGrid w:val="0"/>
          <w:color w:val="auto"/>
          <w:spacing w:val="4"/>
          <w:kern w:val="0"/>
          <w:sz w:val="21"/>
          <w:szCs w:val="21"/>
          <w:highlight w:val="none"/>
          <w:lang w:val="en-US" w:eastAsia="zh-CN" w:bidi="ar"/>
        </w:rPr>
        <w:t>2、当序号（1）序号（2）的乘积与序号（3）不一致时，按就低不就高原则确定其最终报价。如修正后的投标报价超出相应的最高投标限价，则由评标委员会</w:t>
      </w:r>
      <w:r>
        <w:rPr>
          <w:rFonts w:hint="eastAsia" w:ascii="宋体" w:hAnsi="宋体" w:eastAsia="宋体" w:cs="宋体"/>
          <w:color w:val="auto"/>
          <w:szCs w:val="21"/>
          <w:highlight w:val="none"/>
        </w:rPr>
        <w:t>否决其投标</w:t>
      </w:r>
      <w:r>
        <w:rPr>
          <w:rFonts w:hint="eastAsia" w:ascii="宋体" w:hAnsi="宋体" w:eastAsia="宋体" w:cs="宋体"/>
          <w:snapToGrid w:val="0"/>
          <w:color w:val="auto"/>
          <w:spacing w:val="4"/>
          <w:kern w:val="0"/>
          <w:sz w:val="21"/>
          <w:szCs w:val="21"/>
          <w:highlight w:val="none"/>
          <w:lang w:val="en-US" w:eastAsia="zh-CN" w:bidi="ar"/>
        </w:rPr>
        <w:t>。</w:t>
      </w:r>
    </w:p>
    <w:p>
      <w:pPr>
        <w:pStyle w:val="2"/>
        <w:rPr>
          <w:rFonts w:hint="eastAsia"/>
          <w:color w:val="auto"/>
          <w:highlight w:val="none"/>
        </w:rPr>
        <w:sectPr>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pPr>
    </w:p>
    <w:p>
      <w:pPr>
        <w:outlineLvl w:val="1"/>
        <w:rPr>
          <w:rFonts w:ascii="宋体" w:hAnsi="宋体" w:eastAsia="宋体" w:cs="Times New Roman"/>
          <w:b/>
          <w:bCs/>
          <w:strike/>
          <w:color w:val="auto"/>
          <w:kern w:val="44"/>
          <w:sz w:val="44"/>
          <w:szCs w:val="44"/>
          <w:highlight w:val="none"/>
          <w:lang w:val="en-US" w:eastAsia="zh-CN" w:bidi="ar-SA"/>
        </w:rPr>
      </w:pPr>
      <w:bookmarkStart w:id="49" w:name="_Toc5961"/>
      <w:r>
        <w:rPr>
          <w:rFonts w:hint="eastAsia" w:ascii="宋体" w:hAnsi="宋体" w:eastAsia="宋体" w:cs="Times New Roman"/>
          <w:b/>
          <w:bCs/>
          <w:strike/>
          <w:color w:val="auto"/>
          <w:kern w:val="44"/>
          <w:sz w:val="21"/>
          <w:szCs w:val="21"/>
          <w:highlight w:val="none"/>
          <w:lang w:val="en-US" w:eastAsia="zh-CN" w:bidi="ar-SA"/>
        </w:rPr>
        <w:t>附件</w:t>
      </w:r>
      <w:r>
        <w:rPr>
          <w:rFonts w:ascii="宋体" w:hAnsi="宋体" w:eastAsia="宋体" w:cs="Times New Roman"/>
          <w:b/>
          <w:bCs/>
          <w:strike/>
          <w:color w:val="auto"/>
          <w:kern w:val="44"/>
          <w:sz w:val="21"/>
          <w:szCs w:val="21"/>
          <w:highlight w:val="none"/>
          <w:lang w:val="en-US" w:eastAsia="zh-CN" w:bidi="ar-SA"/>
        </w:rPr>
        <w:t>5勘察投标文件编制要求</w:t>
      </w:r>
      <w:bookmarkEnd w:id="49"/>
    </w:p>
    <w:p>
      <w:pPr>
        <w:jc w:val="center"/>
        <w:rPr>
          <w:rFonts w:ascii="宋体" w:hAnsi="宋体" w:eastAsia="宋体" w:cs="Times New Roman"/>
          <w:b/>
          <w:bCs/>
          <w:strike/>
          <w:color w:val="auto"/>
          <w:sz w:val="32"/>
          <w:highlight w:val="none"/>
        </w:rPr>
      </w:pPr>
      <w:r>
        <w:rPr>
          <w:rFonts w:hint="eastAsia" w:ascii="宋体" w:hAnsi="宋体" w:eastAsia="宋体" w:cs="Times New Roman"/>
          <w:b/>
          <w:strike/>
          <w:color w:val="auto"/>
          <w:sz w:val="32"/>
          <w:highlight w:val="none"/>
        </w:rPr>
        <w:t>勘察</w:t>
      </w:r>
      <w:r>
        <w:rPr>
          <w:rFonts w:hint="eastAsia" w:ascii="宋体" w:hAnsi="宋体" w:eastAsia="宋体" w:cs="Times New Roman"/>
          <w:b/>
          <w:bCs/>
          <w:strike/>
          <w:color w:val="auto"/>
          <w:sz w:val="32"/>
          <w:highlight w:val="none"/>
        </w:rPr>
        <w:t>投标文件编制要求</w:t>
      </w:r>
    </w:p>
    <w:p>
      <w:pPr>
        <w:spacing w:line="360" w:lineRule="auto"/>
        <w:jc w:val="center"/>
        <w:rPr>
          <w:rFonts w:ascii="宋体" w:hAnsi="宋体" w:eastAsia="宋体" w:cs="Times New Roman"/>
          <w:strike/>
          <w:color w:val="auto"/>
          <w:sz w:val="24"/>
          <w:highlight w:val="none"/>
        </w:rPr>
      </w:pPr>
      <w:r>
        <w:rPr>
          <w:rFonts w:hint="eastAsia" w:ascii="宋体" w:hAnsi="宋体" w:eastAsia="宋体" w:cs="Times New Roman"/>
          <w:strike/>
          <w:color w:val="auto"/>
          <w:sz w:val="24"/>
          <w:highlight w:val="none"/>
        </w:rPr>
        <w:t>（只适用于勘察投标）</w:t>
      </w:r>
    </w:p>
    <w:p>
      <w:pPr>
        <w:spacing w:line="360" w:lineRule="auto"/>
        <w:jc w:val="center"/>
        <w:rPr>
          <w:rFonts w:ascii="宋体" w:hAnsi="宋体" w:eastAsia="宋体" w:cs="Times New Roman"/>
          <w:strike/>
          <w:color w:val="auto"/>
          <w:sz w:val="24"/>
          <w:highlight w:val="none"/>
        </w:rPr>
      </w:pPr>
    </w:p>
    <w:p>
      <w:pPr>
        <w:spacing w:line="360" w:lineRule="auto"/>
        <w:jc w:val="left"/>
        <w:rPr>
          <w:rFonts w:ascii="宋体" w:hAnsi="宋体" w:eastAsia="宋体" w:cs="Times New Roman"/>
          <w:strike/>
          <w:color w:val="auto"/>
          <w:sz w:val="24"/>
          <w:highlight w:val="none"/>
        </w:rPr>
      </w:pPr>
      <w:r>
        <w:rPr>
          <w:rFonts w:ascii="宋体" w:hAnsi="宋体" w:eastAsia="宋体" w:cs="Times New Roman"/>
          <w:b/>
          <w:strike/>
          <w:color w:val="auto"/>
          <w:sz w:val="24"/>
          <w:highlight w:val="none"/>
        </w:rPr>
        <w:t>1</w:t>
      </w:r>
      <w:r>
        <w:rPr>
          <w:rFonts w:ascii="宋体" w:hAnsi="宋体" w:eastAsia="宋体" w:cs="Times New Roman"/>
          <w:b/>
          <w:bCs/>
          <w:strike/>
          <w:color w:val="auto"/>
          <w:sz w:val="24"/>
          <w:highlight w:val="none"/>
        </w:rPr>
        <w:t xml:space="preserve">      投标文件</w:t>
      </w:r>
    </w:p>
    <w:p>
      <w:pPr>
        <w:spacing w:line="360" w:lineRule="auto"/>
        <w:jc w:val="left"/>
        <w:rPr>
          <w:rFonts w:ascii="宋体" w:hAnsi="宋体" w:eastAsia="宋体" w:cs="Times New Roman"/>
          <w:strike/>
          <w:color w:val="auto"/>
          <w:sz w:val="24"/>
          <w:highlight w:val="none"/>
        </w:rPr>
      </w:pPr>
    </w:p>
    <w:p>
      <w:pPr>
        <w:spacing w:line="360" w:lineRule="auto"/>
        <w:ind w:left="821" w:hanging="820" w:hangingChars="342"/>
        <w:rPr>
          <w:rFonts w:ascii="宋体" w:hAnsi="宋体" w:eastAsia="宋体" w:cs="Times New Roman"/>
          <w:strike/>
          <w:color w:val="auto"/>
          <w:sz w:val="24"/>
          <w:highlight w:val="none"/>
        </w:rPr>
      </w:pPr>
      <w:r>
        <w:rPr>
          <w:rFonts w:ascii="宋体" w:hAnsi="宋体" w:eastAsia="宋体" w:cs="Times New Roman"/>
          <w:strike/>
          <w:color w:val="auto"/>
          <w:sz w:val="24"/>
          <w:highlight w:val="none"/>
        </w:rPr>
        <w:t xml:space="preserve">1.1    </w:t>
      </w:r>
      <w:r>
        <w:rPr>
          <w:rFonts w:hint="eastAsia" w:ascii="宋体" w:hAnsi="宋体" w:eastAsia="宋体" w:cs="Times New Roman"/>
          <w:strike/>
          <w:color w:val="auto"/>
          <w:sz w:val="24"/>
          <w:highlight w:val="none"/>
        </w:rPr>
        <w:t>投标文件由下列资料组成。</w:t>
      </w:r>
    </w:p>
    <w:p>
      <w:pPr>
        <w:spacing w:line="360" w:lineRule="auto"/>
        <w:jc w:val="left"/>
        <w:rPr>
          <w:rFonts w:ascii="宋体" w:hAnsi="宋体" w:eastAsia="宋体" w:cs="Times New Roman"/>
          <w:strike/>
          <w:color w:val="auto"/>
          <w:sz w:val="24"/>
          <w:highlight w:val="none"/>
        </w:rPr>
      </w:pPr>
      <w:r>
        <w:rPr>
          <w:rFonts w:ascii="宋体" w:hAnsi="宋体" w:eastAsia="宋体" w:cs="Times New Roman"/>
          <w:strike/>
          <w:color w:val="auto"/>
          <w:sz w:val="24"/>
          <w:highlight w:val="none"/>
        </w:rPr>
        <w:t xml:space="preserve">   (a) 开标信封。</w:t>
      </w:r>
    </w:p>
    <w:p>
      <w:pPr>
        <w:spacing w:line="360" w:lineRule="auto"/>
        <w:jc w:val="left"/>
        <w:rPr>
          <w:rFonts w:ascii="宋体" w:hAnsi="宋体" w:eastAsia="宋体" w:cs="Times New Roman"/>
          <w:strike/>
          <w:color w:val="auto"/>
          <w:sz w:val="24"/>
          <w:highlight w:val="none"/>
        </w:rPr>
      </w:pPr>
      <w:r>
        <w:rPr>
          <w:rFonts w:ascii="宋体" w:hAnsi="宋体" w:eastAsia="宋体" w:cs="Times New Roman"/>
          <w:strike/>
          <w:color w:val="auto"/>
          <w:sz w:val="24"/>
          <w:highlight w:val="none"/>
        </w:rPr>
        <w:t xml:space="preserve">   (b) 勘察方案。</w:t>
      </w:r>
    </w:p>
    <w:p>
      <w:pPr>
        <w:spacing w:line="360" w:lineRule="auto"/>
        <w:jc w:val="left"/>
        <w:rPr>
          <w:rFonts w:ascii="宋体" w:hAnsi="宋体" w:eastAsia="宋体" w:cs="Times New Roman"/>
          <w:strike/>
          <w:color w:val="auto"/>
          <w:sz w:val="24"/>
          <w:highlight w:val="none"/>
        </w:rPr>
      </w:pPr>
      <w:r>
        <w:rPr>
          <w:rFonts w:ascii="宋体" w:hAnsi="宋体" w:eastAsia="宋体" w:cs="Times New Roman"/>
          <w:strike/>
          <w:color w:val="auto"/>
          <w:sz w:val="24"/>
          <w:highlight w:val="none"/>
        </w:rPr>
        <w:t xml:space="preserve">   (c) 资格审查文件（如果招标人要求提供）。</w:t>
      </w:r>
    </w:p>
    <w:p>
      <w:pPr>
        <w:spacing w:line="360" w:lineRule="auto"/>
        <w:jc w:val="left"/>
        <w:rPr>
          <w:rFonts w:ascii="宋体" w:hAnsi="宋体" w:eastAsia="宋体" w:cs="Times New Roman"/>
          <w:strike/>
          <w:color w:val="auto"/>
          <w:sz w:val="24"/>
          <w:highlight w:val="none"/>
        </w:rPr>
      </w:pPr>
    </w:p>
    <w:p>
      <w:pPr>
        <w:spacing w:line="360" w:lineRule="auto"/>
        <w:rPr>
          <w:rFonts w:ascii="宋体" w:hAnsi="宋体" w:eastAsia="宋体" w:cs="Times New Roman"/>
          <w:strike/>
          <w:color w:val="auto"/>
          <w:sz w:val="24"/>
          <w:highlight w:val="none"/>
        </w:rPr>
      </w:pPr>
      <w:r>
        <w:rPr>
          <w:rFonts w:ascii="宋体" w:hAnsi="宋体" w:eastAsia="宋体" w:cs="Times New Roman"/>
          <w:b/>
          <w:bCs/>
          <w:strike/>
          <w:color w:val="auto"/>
          <w:sz w:val="24"/>
          <w:highlight w:val="none"/>
        </w:rPr>
        <w:t xml:space="preserve">2      </w:t>
      </w:r>
      <w:r>
        <w:rPr>
          <w:rFonts w:hint="eastAsia" w:ascii="宋体" w:hAnsi="宋体" w:eastAsia="宋体" w:cs="Times New Roman"/>
          <w:b/>
          <w:bCs/>
          <w:strike/>
          <w:color w:val="auto"/>
          <w:sz w:val="24"/>
          <w:highlight w:val="none"/>
        </w:rPr>
        <w:t>保密要求</w:t>
      </w:r>
    </w:p>
    <w:p>
      <w:pPr>
        <w:spacing w:line="360" w:lineRule="auto"/>
        <w:rPr>
          <w:rFonts w:ascii="宋体" w:hAnsi="宋体" w:eastAsia="宋体" w:cs="Times New Roman"/>
          <w:strike/>
          <w:color w:val="auto"/>
          <w:sz w:val="24"/>
          <w:highlight w:val="none"/>
        </w:rPr>
      </w:pPr>
    </w:p>
    <w:p>
      <w:pPr>
        <w:spacing w:line="360" w:lineRule="auto"/>
        <w:ind w:left="821" w:hanging="820" w:hangingChars="342"/>
        <w:jc w:val="left"/>
        <w:rPr>
          <w:rFonts w:ascii="宋体" w:hAnsi="宋体" w:eastAsia="宋体" w:cs="Times New Roman"/>
          <w:strike/>
          <w:color w:val="auto"/>
          <w:sz w:val="24"/>
          <w:highlight w:val="none"/>
        </w:rPr>
      </w:pPr>
      <w:r>
        <w:rPr>
          <w:rFonts w:ascii="宋体" w:hAnsi="宋体" w:eastAsia="宋体" w:cs="Times New Roman"/>
          <w:strike/>
          <w:color w:val="auto"/>
          <w:sz w:val="24"/>
          <w:highlight w:val="none"/>
        </w:rPr>
        <w:t xml:space="preserve">2.1    </w:t>
      </w:r>
      <w:r>
        <w:rPr>
          <w:rFonts w:hint="eastAsia" w:ascii="宋体" w:hAnsi="宋体" w:eastAsia="宋体" w:cs="Times New Roman"/>
          <w:strike/>
          <w:color w:val="auto"/>
          <w:sz w:val="24"/>
          <w:highlight w:val="none"/>
        </w:rPr>
        <w:t>投标文件必须隐匿投标人及专业技术人员的名称，除了《投标书》（格式见附录</w:t>
      </w:r>
      <w:r>
        <w:rPr>
          <w:rFonts w:ascii="宋体" w:hAnsi="宋体" w:eastAsia="宋体" w:cs="Times New Roman"/>
          <w:strike/>
          <w:color w:val="auto"/>
          <w:sz w:val="24"/>
          <w:highlight w:val="none"/>
        </w:rPr>
        <w:t>6）、《联合体投标协议》（格式见附录7）、《投标人声明》和资格审查文件（如有）内的分辨投标人身份的文件外，投标人不得在投标文件的勘察方案上标注或做任何可以辨认投标人及专业技术人员身份的名称、印章、商标、图形等。</w:t>
      </w:r>
    </w:p>
    <w:p>
      <w:pPr>
        <w:spacing w:line="360" w:lineRule="auto"/>
        <w:ind w:left="410" w:hanging="410" w:hangingChars="171"/>
        <w:rPr>
          <w:rFonts w:ascii="宋体" w:hAnsi="宋体" w:eastAsia="宋体" w:cs="Times New Roman"/>
          <w:strike/>
          <w:color w:val="auto"/>
          <w:sz w:val="24"/>
          <w:highlight w:val="none"/>
        </w:rPr>
      </w:pPr>
    </w:p>
    <w:p>
      <w:pPr>
        <w:spacing w:line="360" w:lineRule="auto"/>
        <w:jc w:val="left"/>
        <w:rPr>
          <w:rFonts w:ascii="宋体" w:hAnsi="宋体" w:eastAsia="宋体" w:cs="Times New Roman"/>
          <w:b/>
          <w:bCs/>
          <w:strike/>
          <w:color w:val="auto"/>
          <w:sz w:val="24"/>
          <w:highlight w:val="none"/>
        </w:rPr>
      </w:pPr>
      <w:r>
        <w:rPr>
          <w:rFonts w:ascii="宋体" w:hAnsi="宋体" w:eastAsia="宋体" w:cs="Times New Roman"/>
          <w:b/>
          <w:bCs/>
          <w:strike/>
          <w:color w:val="auto"/>
          <w:sz w:val="24"/>
          <w:highlight w:val="none"/>
        </w:rPr>
        <w:t xml:space="preserve">3      </w:t>
      </w:r>
      <w:r>
        <w:rPr>
          <w:rFonts w:hint="eastAsia" w:ascii="宋体" w:hAnsi="宋体" w:eastAsia="宋体" w:cs="Times New Roman"/>
          <w:b/>
          <w:bCs/>
          <w:strike/>
          <w:color w:val="auto"/>
          <w:sz w:val="24"/>
          <w:highlight w:val="none"/>
        </w:rPr>
        <w:t>开标信封</w:t>
      </w:r>
    </w:p>
    <w:p>
      <w:pPr>
        <w:spacing w:line="360" w:lineRule="auto"/>
        <w:rPr>
          <w:rFonts w:ascii="宋体" w:hAnsi="宋体" w:eastAsia="宋体" w:cs="Times New Roman"/>
          <w:strike/>
          <w:color w:val="auto"/>
          <w:sz w:val="24"/>
          <w:highlight w:val="none"/>
        </w:rPr>
      </w:pPr>
    </w:p>
    <w:p>
      <w:pPr>
        <w:spacing w:line="360" w:lineRule="auto"/>
        <w:ind w:left="821" w:hanging="820" w:hangingChars="342"/>
        <w:rPr>
          <w:rFonts w:ascii="宋体" w:hAnsi="宋体" w:eastAsia="宋体" w:cs="Times New Roman"/>
          <w:strike/>
          <w:color w:val="auto"/>
          <w:sz w:val="24"/>
          <w:highlight w:val="none"/>
        </w:rPr>
      </w:pPr>
      <w:r>
        <w:rPr>
          <w:rFonts w:ascii="宋体" w:hAnsi="宋体" w:eastAsia="宋体" w:cs="Times New Roman"/>
          <w:strike/>
          <w:color w:val="auto"/>
          <w:sz w:val="24"/>
          <w:highlight w:val="none"/>
        </w:rPr>
        <w:t xml:space="preserve">3.1    </w:t>
      </w:r>
      <w:r>
        <w:rPr>
          <w:rFonts w:hint="eastAsia" w:ascii="宋体" w:hAnsi="宋体" w:eastAsia="宋体" w:cs="Times New Roman"/>
          <w:strike/>
          <w:color w:val="auto"/>
          <w:sz w:val="24"/>
          <w:highlight w:val="none"/>
        </w:rPr>
        <w:t>开标信封内附填妥并签字盖章的《投标书》（格式见附录</w:t>
      </w:r>
      <w:r>
        <w:rPr>
          <w:rFonts w:ascii="宋体" w:hAnsi="宋体" w:eastAsia="宋体" w:cs="Times New Roman"/>
          <w:strike/>
          <w:color w:val="auto"/>
          <w:sz w:val="24"/>
          <w:highlight w:val="none"/>
        </w:rPr>
        <w:t>6），联合体同时附填妥并签字盖章的《联合体投标协议》（格式见附录7）。未设资格审查环节的项目，还应提供填妥并盖章的《投标人声明》（格式见附录8</w:t>
      </w:r>
      <w:r>
        <w:rPr>
          <w:rFonts w:hint="eastAsia" w:ascii="宋体" w:hAnsi="宋体" w:eastAsia="宋体" w:cs="Times New Roman"/>
          <w:strike/>
          <w:color w:val="auto"/>
          <w:sz w:val="24"/>
          <w:highlight w:val="none"/>
        </w:rPr>
        <w:t>）。</w:t>
      </w:r>
    </w:p>
    <w:p>
      <w:pPr>
        <w:spacing w:line="360" w:lineRule="auto"/>
        <w:rPr>
          <w:rFonts w:ascii="宋体" w:hAnsi="宋体" w:eastAsia="宋体" w:cs="Times New Roman"/>
          <w:strike/>
          <w:color w:val="auto"/>
          <w:sz w:val="24"/>
          <w:highlight w:val="none"/>
        </w:rPr>
      </w:pPr>
    </w:p>
    <w:p>
      <w:pPr>
        <w:spacing w:line="360" w:lineRule="auto"/>
        <w:rPr>
          <w:rFonts w:ascii="宋体" w:hAnsi="宋体" w:eastAsia="宋体" w:cs="Times New Roman"/>
          <w:strike/>
          <w:color w:val="auto"/>
          <w:sz w:val="24"/>
          <w:highlight w:val="none"/>
        </w:rPr>
      </w:pPr>
    </w:p>
    <w:p>
      <w:pPr>
        <w:spacing w:line="360" w:lineRule="auto"/>
        <w:rPr>
          <w:rFonts w:ascii="宋体" w:hAnsi="宋体" w:eastAsia="宋体" w:cs="Times New Roman"/>
          <w:b/>
          <w:strike/>
          <w:color w:val="auto"/>
          <w:sz w:val="24"/>
          <w:highlight w:val="none"/>
        </w:rPr>
      </w:pPr>
      <w:r>
        <w:rPr>
          <w:rFonts w:ascii="宋体" w:hAnsi="宋体" w:eastAsia="宋体" w:cs="Times New Roman"/>
          <w:b/>
          <w:strike/>
          <w:color w:val="auto"/>
          <w:sz w:val="24"/>
          <w:highlight w:val="none"/>
        </w:rPr>
        <w:t xml:space="preserve">4      </w:t>
      </w:r>
      <w:r>
        <w:rPr>
          <w:rFonts w:hint="eastAsia" w:ascii="宋体" w:hAnsi="宋体" w:eastAsia="宋体" w:cs="Times New Roman"/>
          <w:b/>
          <w:strike/>
          <w:color w:val="auto"/>
          <w:sz w:val="24"/>
          <w:highlight w:val="none"/>
        </w:rPr>
        <w:t>勘察方案</w:t>
      </w:r>
    </w:p>
    <w:p>
      <w:pPr>
        <w:spacing w:line="360" w:lineRule="auto"/>
        <w:rPr>
          <w:rFonts w:ascii="宋体" w:hAnsi="宋体" w:eastAsia="宋体" w:cs="Times New Roman"/>
          <w:strike/>
          <w:color w:val="auto"/>
          <w:sz w:val="24"/>
          <w:highlight w:val="none"/>
        </w:rPr>
      </w:pPr>
    </w:p>
    <w:p>
      <w:pPr>
        <w:widowControl w:val="0"/>
        <w:spacing w:line="360" w:lineRule="auto"/>
        <w:ind w:firstLine="0" w:firstLineChars="0"/>
        <w:jc w:val="both"/>
        <w:rPr>
          <w:rFonts w:ascii="宋体" w:hAnsi="宋体" w:eastAsia="宋体" w:cs="Times New Roman"/>
          <w:strike/>
          <w:color w:val="auto"/>
          <w:kern w:val="0"/>
          <w:sz w:val="24"/>
          <w:szCs w:val="24"/>
          <w:highlight w:val="none"/>
          <w:lang w:val="en-US" w:eastAsia="zh-CN" w:bidi="ar-SA"/>
        </w:rPr>
      </w:pPr>
      <w:r>
        <w:rPr>
          <w:rFonts w:ascii="宋体" w:hAnsi="宋体" w:eastAsia="宋体" w:cs="Times New Roman"/>
          <w:strike/>
          <w:color w:val="auto"/>
          <w:kern w:val="0"/>
          <w:sz w:val="24"/>
          <w:szCs w:val="24"/>
          <w:highlight w:val="none"/>
          <w:lang w:val="en-US" w:eastAsia="zh-CN" w:bidi="ar-SA"/>
        </w:rPr>
        <w:t xml:space="preserve">4.1    </w:t>
      </w:r>
      <w:r>
        <w:rPr>
          <w:rFonts w:hint="eastAsia" w:ascii="宋体" w:hAnsi="宋体" w:eastAsia="宋体" w:cs="Times New Roman"/>
          <w:strike/>
          <w:color w:val="auto"/>
          <w:kern w:val="0"/>
          <w:sz w:val="24"/>
          <w:szCs w:val="24"/>
          <w:highlight w:val="none"/>
          <w:lang w:val="en-US" w:eastAsia="zh-CN" w:bidi="ar-SA"/>
        </w:rPr>
        <w:t>勘察方案内容（文件</w:t>
      </w:r>
      <w:r>
        <w:rPr>
          <w:rFonts w:ascii="宋体" w:hAnsi="宋体" w:eastAsia="宋体" w:cs="Times New Roman"/>
          <w:strike/>
          <w:color w:val="auto"/>
          <w:kern w:val="0"/>
          <w:sz w:val="24"/>
          <w:szCs w:val="24"/>
          <w:highlight w:val="none"/>
          <w:lang w:val="en-US" w:eastAsia="zh-CN" w:bidi="ar-SA"/>
        </w:rPr>
        <w:t>大小不得超过500M）：</w:t>
      </w:r>
    </w:p>
    <w:p>
      <w:pPr>
        <w:spacing w:line="360" w:lineRule="auto"/>
        <w:rPr>
          <w:rFonts w:ascii="宋体" w:hAnsi="宋体" w:eastAsia="宋体" w:cs="Times New Roman"/>
          <w:strike/>
          <w:color w:val="auto"/>
          <w:sz w:val="24"/>
          <w:highlight w:val="none"/>
        </w:rPr>
      </w:pPr>
      <w:r>
        <w:rPr>
          <w:rFonts w:ascii="Calibri" w:hAnsi="宋体" w:eastAsia="宋体" w:cs="Times New Roman"/>
          <w:strike/>
          <w:color w:val="auto"/>
          <w:sz w:val="24"/>
          <w:highlight w:val="none"/>
        </w:rPr>
        <w:t xml:space="preserve">   (a) </w:t>
      </w:r>
      <w:r>
        <w:rPr>
          <w:rFonts w:hint="eastAsia" w:ascii="宋体" w:hAnsi="宋体" w:eastAsia="宋体" w:cs="Times New Roman"/>
          <w:strike/>
          <w:color w:val="auto"/>
          <w:sz w:val="24"/>
          <w:highlight w:val="none"/>
        </w:rPr>
        <w:t>首页：写明项目名称、编制年月；</w:t>
      </w:r>
    </w:p>
    <w:p>
      <w:pPr>
        <w:widowControl w:val="0"/>
        <w:spacing w:line="360" w:lineRule="auto"/>
        <w:ind w:firstLine="0" w:firstLineChars="0"/>
        <w:jc w:val="both"/>
        <w:rPr>
          <w:rFonts w:ascii="宋体" w:hAnsi="宋体" w:eastAsia="宋体" w:cs="Times New Roman"/>
          <w:strike/>
          <w:color w:val="auto"/>
          <w:kern w:val="0"/>
          <w:sz w:val="24"/>
          <w:szCs w:val="24"/>
          <w:highlight w:val="none"/>
          <w:lang w:val="en-US" w:eastAsia="zh-CN" w:bidi="ar-SA"/>
        </w:rPr>
      </w:pPr>
      <w:r>
        <w:rPr>
          <w:rFonts w:ascii="宋体" w:hAnsi="宋体" w:eastAsia="宋体" w:cs="Times New Roman"/>
          <w:strike/>
          <w:color w:val="auto"/>
          <w:kern w:val="0"/>
          <w:sz w:val="24"/>
          <w:szCs w:val="24"/>
          <w:highlight w:val="none"/>
          <w:lang w:val="en-US" w:eastAsia="zh-CN" w:bidi="ar-SA"/>
        </w:rPr>
        <w:t xml:space="preserve">   (b) 目录；</w:t>
      </w:r>
    </w:p>
    <w:p>
      <w:pPr>
        <w:spacing w:line="360" w:lineRule="auto"/>
        <w:ind w:left="821" w:hanging="820" w:hangingChars="342"/>
        <w:rPr>
          <w:rFonts w:ascii="宋体" w:hAnsi="宋体" w:eastAsia="宋体" w:cs="Times New Roman"/>
          <w:strike/>
          <w:color w:val="auto"/>
          <w:sz w:val="24"/>
          <w:highlight w:val="none"/>
        </w:rPr>
      </w:pPr>
      <w:r>
        <w:rPr>
          <w:rFonts w:ascii="Calibri" w:hAnsi="宋体" w:eastAsia="宋体" w:cs="Times New Roman"/>
          <w:strike/>
          <w:color w:val="auto"/>
          <w:sz w:val="24"/>
          <w:highlight w:val="none"/>
        </w:rPr>
        <w:t xml:space="preserve">  （c）</w:t>
      </w:r>
      <w:r>
        <w:rPr>
          <w:rFonts w:hint="eastAsia" w:ascii="Calibri" w:hAnsi="宋体" w:eastAsia="宋体" w:cs="Times New Roman"/>
          <w:strike/>
          <w:color w:val="auto"/>
          <w:sz w:val="24"/>
          <w:highlight w:val="none"/>
        </w:rPr>
        <w:t>《勘察设计费报价表》（见附录</w:t>
      </w:r>
      <w:r>
        <w:rPr>
          <w:rFonts w:ascii="Calibri" w:hAnsi="宋体" w:eastAsia="宋体" w:cs="Times New Roman"/>
          <w:strike/>
          <w:color w:val="auto"/>
          <w:sz w:val="24"/>
          <w:highlight w:val="none"/>
        </w:rPr>
        <w:t>3</w:t>
      </w:r>
      <w:r>
        <w:rPr>
          <w:rFonts w:hint="eastAsia" w:ascii="Calibri" w:hAnsi="宋体" w:eastAsia="宋体" w:cs="Times New Roman"/>
          <w:strike/>
          <w:color w:val="auto"/>
          <w:sz w:val="24"/>
          <w:highlight w:val="none"/>
        </w:rPr>
        <w:t>）</w:t>
      </w:r>
      <w:r>
        <w:rPr>
          <w:rFonts w:hint="eastAsia" w:ascii="宋体" w:hAnsi="宋体" w:eastAsia="宋体" w:cs="Times New Roman"/>
          <w:strike/>
          <w:color w:val="auto"/>
          <w:sz w:val="24"/>
          <w:highlight w:val="none"/>
        </w:rPr>
        <w:t>；</w:t>
      </w:r>
      <w:r>
        <w:rPr>
          <w:rFonts w:ascii="宋体" w:hAnsi="宋体" w:eastAsia="宋体" w:cs="Times New Roman"/>
          <w:strike/>
          <w:color w:val="auto"/>
          <w:sz w:val="24"/>
          <w:highlight w:val="none"/>
        </w:rPr>
        <w:t xml:space="preserve"> </w:t>
      </w:r>
    </w:p>
    <w:p>
      <w:pPr>
        <w:spacing w:line="360" w:lineRule="auto"/>
        <w:ind w:left="818" w:hanging="818" w:hangingChars="341"/>
        <w:rPr>
          <w:rFonts w:ascii="宋体" w:hAnsi="宋体" w:eastAsia="宋体" w:cs="Times New Roman"/>
          <w:strike/>
          <w:color w:val="auto"/>
          <w:sz w:val="24"/>
          <w:highlight w:val="none"/>
        </w:rPr>
      </w:pPr>
      <w:r>
        <w:rPr>
          <w:rFonts w:ascii="Calibri" w:hAnsi="宋体" w:eastAsia="宋体" w:cs="Times New Roman"/>
          <w:strike/>
          <w:color w:val="auto"/>
          <w:sz w:val="24"/>
          <w:highlight w:val="none"/>
        </w:rPr>
        <w:t xml:space="preserve">   (d) </w:t>
      </w:r>
      <w:r>
        <w:rPr>
          <w:rFonts w:hint="eastAsia" w:ascii="宋体" w:hAnsi="宋体" w:eastAsia="宋体" w:cs="Times New Roman"/>
          <w:strike/>
          <w:color w:val="auto"/>
          <w:sz w:val="24"/>
          <w:highlight w:val="none"/>
        </w:rPr>
        <w:t>除上述报价外，如果有另需付费的项目，应详细列明勘察工作和收费标准（内容、数量、单价、合价）；</w:t>
      </w:r>
      <w:r>
        <w:rPr>
          <w:rFonts w:ascii="宋体" w:hAnsi="宋体" w:eastAsia="宋体" w:cs="Times New Roman"/>
          <w:strike/>
          <w:color w:val="auto"/>
          <w:sz w:val="24"/>
          <w:highlight w:val="none"/>
        </w:rPr>
        <w:t xml:space="preserve"> </w:t>
      </w:r>
    </w:p>
    <w:p>
      <w:pPr>
        <w:spacing w:line="360" w:lineRule="auto"/>
        <w:ind w:left="821" w:hanging="820" w:hangingChars="342"/>
        <w:rPr>
          <w:rFonts w:ascii="宋体" w:hAnsi="宋体" w:eastAsia="宋体" w:cs="Times New Roman"/>
          <w:strike/>
          <w:color w:val="auto"/>
          <w:sz w:val="24"/>
          <w:highlight w:val="none"/>
        </w:rPr>
      </w:pPr>
      <w:r>
        <w:rPr>
          <w:rFonts w:ascii="Calibri" w:hAnsi="宋体" w:eastAsia="宋体" w:cs="Times New Roman"/>
          <w:strike/>
          <w:color w:val="auto"/>
          <w:sz w:val="24"/>
          <w:highlight w:val="none"/>
        </w:rPr>
        <w:t xml:space="preserve">   (e) </w:t>
      </w:r>
      <w:r>
        <w:rPr>
          <w:rFonts w:hint="eastAsia" w:ascii="宋体" w:hAnsi="宋体" w:eastAsia="宋体" w:cs="Times New Roman"/>
          <w:strike/>
          <w:color w:val="auto"/>
          <w:sz w:val="24"/>
          <w:highlight w:val="none"/>
        </w:rPr>
        <w:t>针对项目场地采用的原位试验种类。勘察方案（勘察手段、方法及工艺）及建议，本次勘察的难点及建议；</w:t>
      </w:r>
    </w:p>
    <w:p>
      <w:pPr>
        <w:spacing w:line="360" w:lineRule="auto"/>
        <w:rPr>
          <w:rFonts w:ascii="宋体" w:hAnsi="宋体" w:eastAsia="宋体" w:cs="Times New Roman"/>
          <w:strike/>
          <w:color w:val="auto"/>
          <w:sz w:val="24"/>
          <w:highlight w:val="none"/>
        </w:rPr>
      </w:pPr>
      <w:r>
        <w:rPr>
          <w:rFonts w:ascii="Calibri" w:hAnsi="宋体" w:eastAsia="宋体" w:cs="Times New Roman"/>
          <w:strike/>
          <w:color w:val="auto"/>
          <w:sz w:val="24"/>
          <w:highlight w:val="none"/>
        </w:rPr>
        <w:t xml:space="preserve">   (f) </w:t>
      </w:r>
      <w:r>
        <w:rPr>
          <w:rFonts w:hint="eastAsia" w:ascii="宋体" w:hAnsi="宋体" w:eastAsia="宋体" w:cs="Times New Roman"/>
          <w:strike/>
          <w:color w:val="auto"/>
          <w:sz w:val="24"/>
          <w:highlight w:val="none"/>
        </w:rPr>
        <w:t>勘察工作流程和相应的工期进度计划；</w:t>
      </w:r>
    </w:p>
    <w:p>
      <w:pPr>
        <w:spacing w:line="360" w:lineRule="auto"/>
        <w:rPr>
          <w:rFonts w:ascii="宋体" w:hAnsi="宋体" w:eastAsia="宋体" w:cs="Times New Roman"/>
          <w:strike/>
          <w:color w:val="auto"/>
          <w:sz w:val="24"/>
          <w:highlight w:val="none"/>
        </w:rPr>
      </w:pPr>
      <w:r>
        <w:rPr>
          <w:rFonts w:ascii="Calibri" w:hAnsi="宋体" w:eastAsia="宋体" w:cs="Times New Roman"/>
          <w:strike/>
          <w:color w:val="auto"/>
          <w:sz w:val="24"/>
          <w:highlight w:val="none"/>
        </w:rPr>
        <w:t xml:space="preserve">   (g) </w:t>
      </w:r>
      <w:r>
        <w:rPr>
          <w:rFonts w:hint="eastAsia" w:ascii="宋体" w:hAnsi="宋体" w:eastAsia="宋体" w:cs="Times New Roman"/>
          <w:strike/>
          <w:color w:val="auto"/>
          <w:sz w:val="24"/>
          <w:highlight w:val="none"/>
        </w:rPr>
        <w:t>投入本项目的人数、工种、设备；</w:t>
      </w:r>
    </w:p>
    <w:p>
      <w:pPr>
        <w:spacing w:line="360" w:lineRule="auto"/>
        <w:rPr>
          <w:rFonts w:ascii="宋体" w:hAnsi="宋体" w:eastAsia="宋体" w:cs="Times New Roman"/>
          <w:strike/>
          <w:color w:val="auto"/>
          <w:sz w:val="24"/>
          <w:highlight w:val="none"/>
        </w:rPr>
      </w:pPr>
      <w:r>
        <w:rPr>
          <w:rFonts w:ascii="Calibri" w:hAnsi="宋体" w:eastAsia="宋体" w:cs="Times New Roman"/>
          <w:strike/>
          <w:color w:val="auto"/>
          <w:sz w:val="24"/>
          <w:highlight w:val="none"/>
        </w:rPr>
        <w:t xml:space="preserve">   (h) </w:t>
      </w:r>
      <w:r>
        <w:rPr>
          <w:rFonts w:hint="eastAsia" w:ascii="宋体" w:hAnsi="宋体" w:eastAsia="宋体" w:cs="Times New Roman"/>
          <w:strike/>
          <w:color w:val="auto"/>
          <w:sz w:val="24"/>
          <w:highlight w:val="none"/>
        </w:rPr>
        <w:t>勘察报告综合评价深度，勘察成果文件内容目录；</w:t>
      </w:r>
    </w:p>
    <w:p>
      <w:pPr>
        <w:spacing w:line="360" w:lineRule="auto"/>
        <w:rPr>
          <w:rFonts w:ascii="宋体" w:hAnsi="宋体" w:eastAsia="宋体" w:cs="Times New Roman"/>
          <w:strike/>
          <w:color w:val="auto"/>
          <w:sz w:val="24"/>
          <w:highlight w:val="none"/>
        </w:rPr>
      </w:pPr>
      <w:r>
        <w:rPr>
          <w:rFonts w:ascii="Calibri" w:hAnsi="宋体" w:eastAsia="宋体" w:cs="Times New Roman"/>
          <w:strike/>
          <w:color w:val="auto"/>
          <w:sz w:val="24"/>
          <w:highlight w:val="none"/>
        </w:rPr>
        <w:t xml:space="preserve">   (i) </w:t>
      </w:r>
      <w:r>
        <w:rPr>
          <w:rFonts w:hint="eastAsia" w:ascii="宋体" w:hAnsi="宋体" w:eastAsia="宋体" w:cs="Times New Roman"/>
          <w:strike/>
          <w:color w:val="auto"/>
          <w:sz w:val="24"/>
          <w:highlight w:val="none"/>
        </w:rPr>
        <w:t>投标人掌握的勘察工作有关的法律法规、标准、规范一览表；</w:t>
      </w:r>
    </w:p>
    <w:p>
      <w:pPr>
        <w:spacing w:line="360" w:lineRule="auto"/>
        <w:rPr>
          <w:rFonts w:ascii="宋体" w:hAnsi="宋体" w:eastAsia="宋体" w:cs="Times New Roman"/>
          <w:strike/>
          <w:color w:val="auto"/>
          <w:sz w:val="24"/>
          <w:highlight w:val="none"/>
        </w:rPr>
      </w:pPr>
      <w:r>
        <w:rPr>
          <w:rFonts w:ascii="Calibri" w:hAnsi="宋体" w:eastAsia="宋体" w:cs="Times New Roman"/>
          <w:strike/>
          <w:color w:val="auto"/>
          <w:sz w:val="24"/>
          <w:highlight w:val="none"/>
        </w:rPr>
        <w:t xml:space="preserve">   (j) </w:t>
      </w:r>
      <w:r>
        <w:rPr>
          <w:rFonts w:hint="eastAsia" w:ascii="宋体" w:hAnsi="宋体" w:eastAsia="宋体" w:cs="Times New Roman"/>
          <w:strike/>
          <w:color w:val="auto"/>
          <w:sz w:val="24"/>
          <w:highlight w:val="none"/>
        </w:rPr>
        <w:t>需要建设单位、设计单位配合的事项；</w:t>
      </w:r>
    </w:p>
    <w:p>
      <w:pPr>
        <w:spacing w:line="360" w:lineRule="auto"/>
        <w:rPr>
          <w:rFonts w:ascii="宋体" w:hAnsi="宋体" w:eastAsia="宋体" w:cs="Times New Roman"/>
          <w:strike/>
          <w:color w:val="auto"/>
          <w:sz w:val="24"/>
          <w:highlight w:val="none"/>
        </w:rPr>
      </w:pPr>
      <w:r>
        <w:rPr>
          <w:rFonts w:ascii="Calibri" w:hAnsi="宋体" w:eastAsia="宋体" w:cs="Times New Roman"/>
          <w:strike/>
          <w:color w:val="auto"/>
          <w:sz w:val="24"/>
          <w:highlight w:val="none"/>
        </w:rPr>
        <w:t xml:space="preserve">   (k) </w:t>
      </w:r>
      <w:r>
        <w:rPr>
          <w:rFonts w:hint="eastAsia" w:ascii="宋体" w:hAnsi="宋体" w:eastAsia="宋体" w:cs="Times New Roman"/>
          <w:strike/>
          <w:color w:val="auto"/>
          <w:sz w:val="24"/>
          <w:highlight w:val="none"/>
        </w:rPr>
        <w:t>发生追记行为的相应赔偿办法；</w:t>
      </w:r>
    </w:p>
    <w:p>
      <w:pPr>
        <w:spacing w:line="360" w:lineRule="auto"/>
        <w:ind w:left="821" w:hanging="820" w:hangingChars="342"/>
        <w:rPr>
          <w:rFonts w:ascii="宋体" w:hAnsi="宋体" w:eastAsia="宋体" w:cs="Times New Roman"/>
          <w:strike/>
          <w:color w:val="auto"/>
          <w:sz w:val="24"/>
          <w:highlight w:val="none"/>
        </w:rPr>
      </w:pPr>
      <w:r>
        <w:rPr>
          <w:rFonts w:ascii="Calibri" w:hAnsi="宋体" w:eastAsia="宋体" w:cs="Times New Roman"/>
          <w:strike/>
          <w:color w:val="auto"/>
          <w:sz w:val="24"/>
          <w:highlight w:val="none"/>
        </w:rPr>
        <w:t xml:space="preserve">   (l) </w:t>
      </w:r>
      <w:r>
        <w:rPr>
          <w:rFonts w:hint="eastAsia" w:ascii="宋体" w:hAnsi="宋体" w:eastAsia="宋体" w:cs="Times New Roman"/>
          <w:strike/>
          <w:color w:val="auto"/>
          <w:sz w:val="24"/>
          <w:highlight w:val="none"/>
        </w:rPr>
        <w:t>投标人参与施工验槽，解决工程设计和施工中与勘察工作有关问题的服务承诺、响应时间、相关费用。</w:t>
      </w:r>
    </w:p>
    <w:p>
      <w:pPr>
        <w:spacing w:line="360" w:lineRule="auto"/>
        <w:rPr>
          <w:rFonts w:ascii="宋体" w:hAnsi="宋体" w:eastAsia="宋体" w:cs="Times New Roman"/>
          <w:strike/>
          <w:color w:val="auto"/>
          <w:sz w:val="24"/>
          <w:highlight w:val="none"/>
        </w:rPr>
      </w:pPr>
      <w:r>
        <w:rPr>
          <w:rFonts w:ascii="Calibri" w:hAnsi="宋体" w:eastAsia="宋体" w:cs="Times New Roman"/>
          <w:strike/>
          <w:color w:val="auto"/>
          <w:sz w:val="24"/>
          <w:highlight w:val="none"/>
        </w:rPr>
        <w:t xml:space="preserve">   (m) </w:t>
      </w:r>
      <w:r>
        <w:rPr>
          <w:rFonts w:hint="eastAsia" w:ascii="宋体" w:hAnsi="宋体" w:eastAsia="宋体" w:cs="Times New Roman"/>
          <w:strike/>
          <w:color w:val="auto"/>
          <w:sz w:val="24"/>
          <w:highlight w:val="none"/>
        </w:rPr>
        <w:t>技术培训和职业道德教育情况。</w:t>
      </w:r>
    </w:p>
    <w:p>
      <w:pPr>
        <w:spacing w:line="360" w:lineRule="auto"/>
        <w:rPr>
          <w:rFonts w:ascii="宋体" w:hAnsi="宋体" w:eastAsia="宋体" w:cs="Times New Roman"/>
          <w:strike/>
          <w:color w:val="auto"/>
          <w:sz w:val="24"/>
          <w:highlight w:val="none"/>
        </w:rPr>
      </w:pPr>
      <w:r>
        <w:rPr>
          <w:rFonts w:ascii="Calibri" w:hAnsi="宋体" w:eastAsia="宋体" w:cs="Times New Roman"/>
          <w:strike/>
          <w:color w:val="auto"/>
          <w:sz w:val="24"/>
          <w:highlight w:val="none"/>
        </w:rPr>
        <w:t xml:space="preserve">   (n) </w:t>
      </w:r>
      <w:r>
        <w:rPr>
          <w:rFonts w:hint="eastAsia" w:ascii="宋体" w:hAnsi="宋体" w:eastAsia="宋体" w:cs="Times New Roman"/>
          <w:strike/>
          <w:color w:val="auto"/>
          <w:sz w:val="24"/>
          <w:highlight w:val="none"/>
        </w:rPr>
        <w:t>以往完工项目的资料分类编目、装订、归档保存的情况。</w:t>
      </w:r>
    </w:p>
    <w:p>
      <w:pPr>
        <w:spacing w:line="360" w:lineRule="auto"/>
        <w:rPr>
          <w:rFonts w:ascii="宋体" w:hAnsi="宋体" w:eastAsia="宋体" w:cs="Times New Roman"/>
          <w:strike/>
          <w:color w:val="auto"/>
          <w:sz w:val="24"/>
          <w:highlight w:val="none"/>
        </w:rPr>
      </w:pPr>
    </w:p>
    <w:p>
      <w:pPr>
        <w:spacing w:line="360" w:lineRule="auto"/>
        <w:jc w:val="left"/>
        <w:rPr>
          <w:rFonts w:ascii="宋体" w:hAnsi="宋体" w:eastAsia="宋体" w:cs="Times New Roman"/>
          <w:b/>
          <w:bCs/>
          <w:strike/>
          <w:color w:val="auto"/>
          <w:sz w:val="24"/>
          <w:highlight w:val="none"/>
        </w:rPr>
      </w:pPr>
      <w:r>
        <w:rPr>
          <w:rFonts w:ascii="宋体" w:hAnsi="宋体" w:eastAsia="宋体" w:cs="Times New Roman"/>
          <w:b/>
          <w:bCs/>
          <w:strike/>
          <w:color w:val="auto"/>
          <w:sz w:val="24"/>
          <w:highlight w:val="none"/>
        </w:rPr>
        <w:t xml:space="preserve">5   </w:t>
      </w:r>
      <w:r>
        <w:rPr>
          <w:rFonts w:hint="eastAsia" w:ascii="宋体" w:hAnsi="宋体" w:eastAsia="宋体" w:cs="Times New Roman"/>
          <w:b/>
          <w:bCs/>
          <w:strike/>
          <w:color w:val="auto"/>
          <w:sz w:val="24"/>
          <w:highlight w:val="none"/>
        </w:rPr>
        <w:t>资格审查文件（如有）</w:t>
      </w:r>
    </w:p>
    <w:p>
      <w:pPr>
        <w:widowControl w:val="0"/>
        <w:spacing w:line="360" w:lineRule="auto"/>
        <w:ind w:firstLine="0" w:firstLineChars="0"/>
        <w:jc w:val="both"/>
        <w:rPr>
          <w:rFonts w:ascii="宋体" w:hAnsi="宋体" w:eastAsia="宋体" w:cs="Times New Roman"/>
          <w:strike/>
          <w:color w:val="auto"/>
          <w:kern w:val="0"/>
          <w:sz w:val="24"/>
          <w:szCs w:val="24"/>
          <w:highlight w:val="none"/>
          <w:lang w:val="en-US" w:eastAsia="zh-CN" w:bidi="ar-SA"/>
        </w:rPr>
      </w:pPr>
    </w:p>
    <w:p>
      <w:pPr>
        <w:widowControl w:val="0"/>
        <w:spacing w:line="360" w:lineRule="auto"/>
        <w:ind w:firstLine="0" w:firstLineChars="0"/>
        <w:jc w:val="both"/>
        <w:rPr>
          <w:rFonts w:ascii="宋体" w:hAnsi="宋体" w:eastAsia="宋体" w:cs="Times New Roman"/>
          <w:strike/>
          <w:color w:val="auto"/>
          <w:kern w:val="0"/>
          <w:sz w:val="24"/>
          <w:szCs w:val="24"/>
          <w:highlight w:val="none"/>
          <w:lang w:val="en-US" w:eastAsia="zh-CN" w:bidi="ar-SA"/>
        </w:rPr>
      </w:pPr>
      <w:r>
        <w:rPr>
          <w:rFonts w:ascii="宋体" w:hAnsi="宋体" w:eastAsia="宋体" w:cs="Times New Roman"/>
          <w:strike/>
          <w:color w:val="auto"/>
          <w:kern w:val="0"/>
          <w:sz w:val="24"/>
          <w:szCs w:val="24"/>
          <w:highlight w:val="none"/>
          <w:lang w:val="en-US" w:eastAsia="zh-CN" w:bidi="ar-SA"/>
        </w:rPr>
        <w:t xml:space="preserve">5.1   </w:t>
      </w:r>
      <w:r>
        <w:rPr>
          <w:rFonts w:hint="eastAsia" w:ascii="宋体" w:hAnsi="宋体" w:eastAsia="宋体" w:cs="Times New Roman"/>
          <w:strike/>
          <w:color w:val="auto"/>
          <w:kern w:val="0"/>
          <w:sz w:val="24"/>
          <w:szCs w:val="24"/>
          <w:highlight w:val="none"/>
          <w:lang w:val="en-US" w:eastAsia="zh-CN" w:bidi="ar-SA"/>
        </w:rPr>
        <w:t>资格审查文件内容：</w:t>
      </w:r>
    </w:p>
    <w:p>
      <w:pPr>
        <w:widowControl w:val="0"/>
        <w:spacing w:line="360" w:lineRule="auto"/>
        <w:ind w:firstLine="0" w:firstLineChars="0"/>
        <w:jc w:val="both"/>
        <w:rPr>
          <w:rFonts w:ascii="宋体" w:hAnsi="宋体" w:eastAsia="宋体" w:cs="Times New Roman"/>
          <w:strike/>
          <w:color w:val="auto"/>
          <w:kern w:val="0"/>
          <w:sz w:val="24"/>
          <w:szCs w:val="24"/>
          <w:highlight w:val="none"/>
          <w:lang w:val="en-US" w:eastAsia="zh-CN" w:bidi="ar-SA"/>
        </w:rPr>
      </w:pPr>
      <w:r>
        <w:rPr>
          <w:rFonts w:ascii="宋体" w:hAnsi="宋体" w:eastAsia="宋体" w:cs="Times New Roman"/>
          <w:strike/>
          <w:color w:val="auto"/>
          <w:kern w:val="0"/>
          <w:sz w:val="24"/>
          <w:szCs w:val="24"/>
          <w:highlight w:val="none"/>
          <w:lang w:val="en-US" w:eastAsia="zh-CN" w:bidi="ar-SA"/>
        </w:rPr>
        <w:t xml:space="preserve">   (a) 目录；</w:t>
      </w:r>
    </w:p>
    <w:p>
      <w:pPr>
        <w:widowControl w:val="0"/>
        <w:spacing w:line="360" w:lineRule="auto"/>
        <w:ind w:firstLine="0" w:firstLineChars="0"/>
        <w:jc w:val="both"/>
        <w:rPr>
          <w:rFonts w:ascii="宋体" w:hAnsi="宋体" w:eastAsia="宋体" w:cs="Times New Roman"/>
          <w:strike/>
          <w:color w:val="auto"/>
          <w:kern w:val="0"/>
          <w:sz w:val="24"/>
          <w:szCs w:val="24"/>
          <w:highlight w:val="none"/>
          <w:lang w:val="en-US" w:eastAsia="zh-CN" w:bidi="ar-SA"/>
        </w:rPr>
      </w:pPr>
      <w:r>
        <w:rPr>
          <w:rFonts w:ascii="宋体" w:hAnsi="宋体" w:eastAsia="宋体" w:cs="Times New Roman"/>
          <w:strike/>
          <w:color w:val="auto"/>
          <w:kern w:val="0"/>
          <w:sz w:val="24"/>
          <w:szCs w:val="24"/>
          <w:highlight w:val="none"/>
          <w:lang w:val="en-US" w:eastAsia="zh-CN" w:bidi="ar-SA"/>
        </w:rPr>
        <w:t xml:space="preserve">   (b) 填妥并签字盖章的《投标书》（投标人无需提供，评标委员会根据</w:t>
      </w:r>
      <w:r>
        <w:rPr>
          <w:rFonts w:hint="eastAsia" w:ascii="宋体" w:hAnsi="宋体" w:eastAsia="宋体" w:cs="Times New Roman"/>
          <w:strike/>
          <w:color w:val="auto"/>
          <w:kern w:val="0"/>
          <w:sz w:val="24"/>
          <w:szCs w:val="24"/>
          <w:highlight w:val="none"/>
          <w:lang w:val="en-US" w:eastAsia="zh-CN" w:bidi="ar-SA"/>
        </w:rPr>
        <w:t>“开标</w:t>
      </w:r>
      <w:r>
        <w:rPr>
          <w:rFonts w:ascii="宋体" w:hAnsi="宋体" w:eastAsia="宋体" w:cs="Times New Roman"/>
          <w:strike/>
          <w:color w:val="auto"/>
          <w:kern w:val="0"/>
          <w:sz w:val="24"/>
          <w:szCs w:val="24"/>
          <w:highlight w:val="none"/>
          <w:lang w:val="en-US" w:eastAsia="zh-CN" w:bidi="ar-SA"/>
        </w:rPr>
        <w:t>信封</w:t>
      </w:r>
      <w:r>
        <w:rPr>
          <w:rFonts w:hint="eastAsia" w:ascii="宋体" w:hAnsi="宋体" w:eastAsia="宋体" w:cs="Times New Roman"/>
          <w:strike/>
          <w:color w:val="auto"/>
          <w:kern w:val="0"/>
          <w:sz w:val="24"/>
          <w:szCs w:val="24"/>
          <w:highlight w:val="none"/>
          <w:lang w:val="en-US" w:eastAsia="zh-CN" w:bidi="ar-SA"/>
        </w:rPr>
        <w:t>”中</w:t>
      </w:r>
      <w:r>
        <w:rPr>
          <w:rFonts w:ascii="宋体" w:hAnsi="宋体" w:eastAsia="宋体" w:cs="Times New Roman"/>
          <w:strike/>
          <w:color w:val="auto"/>
          <w:kern w:val="0"/>
          <w:sz w:val="24"/>
          <w:szCs w:val="24"/>
          <w:highlight w:val="none"/>
          <w:lang w:val="en-US" w:eastAsia="zh-CN" w:bidi="ar-SA"/>
        </w:rPr>
        <w:t>的《</w:t>
      </w:r>
      <w:r>
        <w:rPr>
          <w:rFonts w:hint="eastAsia" w:ascii="宋体" w:hAnsi="宋体" w:eastAsia="宋体" w:cs="Times New Roman"/>
          <w:strike/>
          <w:color w:val="auto"/>
          <w:kern w:val="0"/>
          <w:sz w:val="24"/>
          <w:szCs w:val="24"/>
          <w:highlight w:val="none"/>
          <w:lang w:val="en-US" w:eastAsia="zh-CN" w:bidi="ar-SA"/>
        </w:rPr>
        <w:t>投标书</w:t>
      </w:r>
      <w:r>
        <w:rPr>
          <w:rFonts w:ascii="宋体" w:hAnsi="宋体" w:eastAsia="宋体" w:cs="Times New Roman"/>
          <w:strike/>
          <w:color w:val="auto"/>
          <w:kern w:val="0"/>
          <w:sz w:val="24"/>
          <w:szCs w:val="24"/>
          <w:highlight w:val="none"/>
          <w:lang w:val="en-US" w:eastAsia="zh-CN" w:bidi="ar-SA"/>
        </w:rPr>
        <w:t>》</w:t>
      </w:r>
      <w:r>
        <w:rPr>
          <w:rFonts w:hint="eastAsia" w:ascii="宋体" w:hAnsi="宋体" w:eastAsia="宋体" w:cs="Times New Roman"/>
          <w:strike/>
          <w:color w:val="auto"/>
          <w:kern w:val="0"/>
          <w:sz w:val="24"/>
          <w:szCs w:val="24"/>
          <w:highlight w:val="none"/>
          <w:lang w:val="en-US" w:eastAsia="zh-CN" w:bidi="ar-SA"/>
        </w:rPr>
        <w:t>进行</w:t>
      </w:r>
      <w:r>
        <w:rPr>
          <w:rFonts w:ascii="宋体" w:hAnsi="宋体" w:eastAsia="宋体" w:cs="Times New Roman"/>
          <w:strike/>
          <w:color w:val="auto"/>
          <w:kern w:val="0"/>
          <w:sz w:val="24"/>
          <w:szCs w:val="24"/>
          <w:highlight w:val="none"/>
          <w:lang w:val="en-US" w:eastAsia="zh-CN" w:bidi="ar-SA"/>
        </w:rPr>
        <w:t>评审</w:t>
      </w:r>
      <w:r>
        <w:rPr>
          <w:rFonts w:hint="eastAsia" w:ascii="宋体" w:hAnsi="宋体" w:eastAsia="宋体" w:cs="Times New Roman"/>
          <w:strike/>
          <w:color w:val="auto"/>
          <w:kern w:val="0"/>
          <w:sz w:val="24"/>
          <w:szCs w:val="24"/>
          <w:highlight w:val="none"/>
          <w:lang w:val="en-US" w:eastAsia="zh-CN" w:bidi="ar-SA"/>
        </w:rPr>
        <w:t>。</w:t>
      </w:r>
      <w:r>
        <w:rPr>
          <w:rFonts w:ascii="宋体" w:hAnsi="宋体" w:eastAsia="宋体" w:cs="Times New Roman"/>
          <w:strike/>
          <w:color w:val="auto"/>
          <w:kern w:val="0"/>
          <w:sz w:val="24"/>
          <w:szCs w:val="24"/>
          <w:highlight w:val="none"/>
          <w:lang w:val="en-US" w:eastAsia="zh-CN" w:bidi="ar-SA"/>
        </w:rPr>
        <w:t>投标人</w:t>
      </w:r>
      <w:r>
        <w:rPr>
          <w:rFonts w:hint="eastAsia" w:ascii="宋体" w:hAnsi="宋体" w:eastAsia="宋体" w:cs="Times New Roman"/>
          <w:strike/>
          <w:color w:val="auto"/>
          <w:kern w:val="0"/>
          <w:sz w:val="24"/>
          <w:szCs w:val="24"/>
          <w:highlight w:val="none"/>
          <w:lang w:val="en-US" w:eastAsia="zh-CN" w:bidi="ar-SA"/>
        </w:rPr>
        <w:t>再次</w:t>
      </w:r>
      <w:r>
        <w:rPr>
          <w:rFonts w:ascii="宋体" w:hAnsi="宋体" w:eastAsia="宋体" w:cs="Times New Roman"/>
          <w:strike/>
          <w:color w:val="auto"/>
          <w:kern w:val="0"/>
          <w:sz w:val="24"/>
          <w:szCs w:val="24"/>
          <w:highlight w:val="none"/>
          <w:lang w:val="en-US" w:eastAsia="zh-CN" w:bidi="ar-SA"/>
        </w:rPr>
        <w:t>提供且不一致的，以</w:t>
      </w:r>
      <w:r>
        <w:rPr>
          <w:rFonts w:hint="eastAsia" w:ascii="宋体" w:hAnsi="宋体" w:eastAsia="宋体" w:cs="Times New Roman"/>
          <w:strike/>
          <w:color w:val="auto"/>
          <w:kern w:val="0"/>
          <w:sz w:val="24"/>
          <w:szCs w:val="24"/>
          <w:highlight w:val="none"/>
          <w:lang w:val="en-US" w:eastAsia="zh-CN" w:bidi="ar-SA"/>
        </w:rPr>
        <w:t>“开标</w:t>
      </w:r>
      <w:r>
        <w:rPr>
          <w:rFonts w:ascii="宋体" w:hAnsi="宋体" w:eastAsia="宋体" w:cs="Times New Roman"/>
          <w:strike/>
          <w:color w:val="auto"/>
          <w:kern w:val="0"/>
          <w:sz w:val="24"/>
          <w:szCs w:val="24"/>
          <w:highlight w:val="none"/>
          <w:lang w:val="en-US" w:eastAsia="zh-CN" w:bidi="ar-SA"/>
        </w:rPr>
        <w:t>信封</w:t>
      </w:r>
      <w:r>
        <w:rPr>
          <w:rFonts w:hint="eastAsia" w:ascii="宋体" w:hAnsi="宋体" w:eastAsia="宋体" w:cs="Times New Roman"/>
          <w:strike/>
          <w:color w:val="auto"/>
          <w:kern w:val="0"/>
          <w:sz w:val="24"/>
          <w:szCs w:val="24"/>
          <w:highlight w:val="none"/>
          <w:lang w:val="en-US" w:eastAsia="zh-CN" w:bidi="ar-SA"/>
        </w:rPr>
        <w:t>”中</w:t>
      </w:r>
      <w:r>
        <w:rPr>
          <w:rFonts w:ascii="宋体" w:hAnsi="宋体" w:eastAsia="宋体" w:cs="Times New Roman"/>
          <w:strike/>
          <w:color w:val="auto"/>
          <w:kern w:val="0"/>
          <w:sz w:val="24"/>
          <w:szCs w:val="24"/>
          <w:highlight w:val="none"/>
          <w:lang w:val="en-US" w:eastAsia="zh-CN" w:bidi="ar-SA"/>
        </w:rPr>
        <w:t>的《</w:t>
      </w:r>
      <w:r>
        <w:rPr>
          <w:rFonts w:hint="eastAsia" w:ascii="宋体" w:hAnsi="宋体" w:eastAsia="宋体" w:cs="Times New Roman"/>
          <w:strike/>
          <w:color w:val="auto"/>
          <w:kern w:val="0"/>
          <w:sz w:val="24"/>
          <w:szCs w:val="24"/>
          <w:highlight w:val="none"/>
          <w:lang w:val="en-US" w:eastAsia="zh-CN" w:bidi="ar-SA"/>
        </w:rPr>
        <w:t>投标书</w:t>
      </w:r>
      <w:r>
        <w:rPr>
          <w:rFonts w:ascii="宋体" w:hAnsi="宋体" w:eastAsia="宋体" w:cs="Times New Roman"/>
          <w:strike/>
          <w:color w:val="auto"/>
          <w:kern w:val="0"/>
          <w:sz w:val="24"/>
          <w:szCs w:val="24"/>
          <w:highlight w:val="none"/>
          <w:lang w:val="en-US" w:eastAsia="zh-CN" w:bidi="ar-SA"/>
        </w:rPr>
        <w:t>》</w:t>
      </w:r>
      <w:r>
        <w:rPr>
          <w:rFonts w:hint="eastAsia" w:ascii="宋体" w:hAnsi="宋体" w:eastAsia="宋体" w:cs="Times New Roman"/>
          <w:strike/>
          <w:color w:val="auto"/>
          <w:kern w:val="0"/>
          <w:sz w:val="24"/>
          <w:szCs w:val="24"/>
          <w:highlight w:val="none"/>
          <w:lang w:val="en-US" w:eastAsia="zh-CN" w:bidi="ar-SA"/>
        </w:rPr>
        <w:t>为准）；</w:t>
      </w:r>
    </w:p>
    <w:p>
      <w:pPr>
        <w:widowControl w:val="0"/>
        <w:spacing w:line="360" w:lineRule="auto"/>
        <w:ind w:firstLine="360" w:firstLineChars="150"/>
        <w:jc w:val="both"/>
        <w:rPr>
          <w:rFonts w:ascii="宋体" w:hAnsi="宋体" w:eastAsia="宋体" w:cs="Times New Roman"/>
          <w:strike/>
          <w:color w:val="auto"/>
          <w:kern w:val="0"/>
          <w:sz w:val="24"/>
          <w:szCs w:val="24"/>
          <w:highlight w:val="none"/>
          <w:lang w:val="en-US" w:eastAsia="zh-CN" w:bidi="ar-SA"/>
        </w:rPr>
      </w:pPr>
      <w:r>
        <w:rPr>
          <w:rFonts w:ascii="宋体" w:hAnsi="宋体" w:eastAsia="宋体" w:cs="Times New Roman"/>
          <w:strike/>
          <w:color w:val="auto"/>
          <w:kern w:val="0"/>
          <w:sz w:val="24"/>
          <w:szCs w:val="24"/>
          <w:highlight w:val="none"/>
          <w:lang w:val="en-US" w:eastAsia="zh-CN" w:bidi="ar-SA"/>
        </w:rPr>
        <w:t xml:space="preserve">(c) </w:t>
      </w:r>
      <w:r>
        <w:rPr>
          <w:rFonts w:hint="eastAsia" w:ascii="宋体" w:hAnsi="宋体" w:eastAsia="宋体" w:cs="Times New Roman"/>
          <w:strike/>
          <w:color w:val="auto"/>
          <w:kern w:val="0"/>
          <w:sz w:val="24"/>
          <w:szCs w:val="24"/>
          <w:highlight w:val="none"/>
          <w:lang w:val="en-US" w:eastAsia="zh-CN" w:bidi="ar-SA"/>
        </w:rPr>
        <w:t>填妥并签字盖章的《投标人声明》（格式见附录</w:t>
      </w:r>
      <w:r>
        <w:rPr>
          <w:rFonts w:ascii="宋体" w:hAnsi="宋体" w:eastAsia="宋体" w:cs="Times New Roman"/>
          <w:strike/>
          <w:color w:val="auto"/>
          <w:kern w:val="0"/>
          <w:sz w:val="24"/>
          <w:szCs w:val="24"/>
          <w:highlight w:val="none"/>
          <w:lang w:val="en-US" w:eastAsia="zh-CN" w:bidi="ar-SA"/>
        </w:rPr>
        <w:t>8）；</w:t>
      </w:r>
    </w:p>
    <w:p>
      <w:pPr>
        <w:spacing w:line="360" w:lineRule="auto"/>
        <w:ind w:left="821" w:hanging="820" w:hangingChars="342"/>
        <w:rPr>
          <w:rFonts w:ascii="宋体" w:hAnsi="宋体" w:eastAsia="宋体" w:cs="Times New Roman"/>
          <w:strike/>
          <w:color w:val="auto"/>
          <w:sz w:val="24"/>
          <w:highlight w:val="none"/>
        </w:rPr>
      </w:pPr>
      <w:r>
        <w:rPr>
          <w:rFonts w:ascii="宋体" w:hAnsi="宋体" w:eastAsia="宋体" w:cs="Times New Roman"/>
          <w:strike/>
          <w:color w:val="auto"/>
          <w:sz w:val="24"/>
          <w:highlight w:val="none"/>
        </w:rPr>
        <w:t xml:space="preserve">   (d) 填妥并签字盖章的《联合体投标协议》（联合体投标人提供）（</w:t>
      </w:r>
      <w:r>
        <w:rPr>
          <w:rFonts w:hint="eastAsia" w:ascii="Calibri" w:hAnsi="宋体" w:eastAsia="宋体" w:cs="Times New Roman"/>
          <w:strike/>
          <w:color w:val="auto"/>
          <w:sz w:val="24"/>
          <w:highlight w:val="none"/>
        </w:rPr>
        <w:t>投标人无需</w:t>
      </w:r>
      <w:r>
        <w:rPr>
          <w:rFonts w:ascii="Calibri" w:hAnsi="宋体" w:eastAsia="宋体" w:cs="Times New Roman"/>
          <w:strike/>
          <w:color w:val="auto"/>
          <w:sz w:val="24"/>
          <w:highlight w:val="none"/>
        </w:rPr>
        <w:t>提供，评标委员会根据</w:t>
      </w:r>
      <w:r>
        <w:rPr>
          <w:rFonts w:hint="eastAsia" w:ascii="Calibri" w:hAnsi="宋体" w:eastAsia="宋体" w:cs="Times New Roman"/>
          <w:strike/>
          <w:color w:val="auto"/>
          <w:sz w:val="24"/>
          <w:highlight w:val="none"/>
        </w:rPr>
        <w:t>“开标</w:t>
      </w:r>
      <w:r>
        <w:rPr>
          <w:rFonts w:ascii="Calibri" w:hAnsi="宋体" w:eastAsia="宋体" w:cs="Times New Roman"/>
          <w:strike/>
          <w:color w:val="auto"/>
          <w:sz w:val="24"/>
          <w:highlight w:val="none"/>
        </w:rPr>
        <w:t>信封</w:t>
      </w:r>
      <w:r>
        <w:rPr>
          <w:rFonts w:hint="eastAsia" w:ascii="Calibri" w:hAnsi="宋体" w:eastAsia="宋体" w:cs="Times New Roman"/>
          <w:strike/>
          <w:color w:val="auto"/>
          <w:sz w:val="24"/>
          <w:highlight w:val="none"/>
        </w:rPr>
        <w:t>”中</w:t>
      </w:r>
      <w:r>
        <w:rPr>
          <w:rFonts w:ascii="Calibri" w:hAnsi="宋体" w:eastAsia="宋体" w:cs="Times New Roman"/>
          <w:strike/>
          <w:color w:val="auto"/>
          <w:sz w:val="24"/>
          <w:highlight w:val="none"/>
        </w:rPr>
        <w:t>的《</w:t>
      </w:r>
      <w:r>
        <w:rPr>
          <w:rFonts w:hint="eastAsia" w:ascii="宋体" w:hAnsi="宋体" w:eastAsia="宋体" w:cs="Times New Roman"/>
          <w:strike/>
          <w:color w:val="auto"/>
          <w:sz w:val="24"/>
          <w:highlight w:val="none"/>
        </w:rPr>
        <w:t>联合体投标协议</w:t>
      </w:r>
      <w:r>
        <w:rPr>
          <w:rFonts w:ascii="Calibri" w:hAnsi="宋体" w:eastAsia="宋体" w:cs="Times New Roman"/>
          <w:strike/>
          <w:color w:val="auto"/>
          <w:sz w:val="24"/>
          <w:highlight w:val="none"/>
        </w:rPr>
        <w:t>》</w:t>
      </w:r>
      <w:r>
        <w:rPr>
          <w:rFonts w:hint="eastAsia" w:ascii="Calibri" w:hAnsi="宋体" w:eastAsia="宋体" w:cs="Times New Roman"/>
          <w:strike/>
          <w:color w:val="auto"/>
          <w:sz w:val="24"/>
          <w:highlight w:val="none"/>
        </w:rPr>
        <w:t>进行</w:t>
      </w:r>
      <w:r>
        <w:rPr>
          <w:rFonts w:ascii="Calibri" w:hAnsi="宋体" w:eastAsia="宋体" w:cs="Times New Roman"/>
          <w:strike/>
          <w:color w:val="auto"/>
          <w:sz w:val="24"/>
          <w:highlight w:val="none"/>
        </w:rPr>
        <w:t>评审</w:t>
      </w:r>
      <w:r>
        <w:rPr>
          <w:rFonts w:hint="eastAsia" w:ascii="Calibri" w:hAnsi="宋体" w:eastAsia="宋体" w:cs="Times New Roman"/>
          <w:strike/>
          <w:color w:val="auto"/>
          <w:sz w:val="24"/>
          <w:highlight w:val="none"/>
        </w:rPr>
        <w:t>。</w:t>
      </w:r>
      <w:r>
        <w:rPr>
          <w:rFonts w:ascii="Calibri" w:hAnsi="宋体" w:eastAsia="宋体" w:cs="Times New Roman"/>
          <w:strike/>
          <w:color w:val="auto"/>
          <w:sz w:val="24"/>
          <w:highlight w:val="none"/>
        </w:rPr>
        <w:t>投标人</w:t>
      </w:r>
      <w:r>
        <w:rPr>
          <w:rFonts w:hint="eastAsia" w:ascii="Calibri" w:hAnsi="宋体" w:eastAsia="宋体" w:cs="Times New Roman"/>
          <w:strike/>
          <w:color w:val="auto"/>
          <w:sz w:val="24"/>
          <w:highlight w:val="none"/>
        </w:rPr>
        <w:t>再次</w:t>
      </w:r>
      <w:r>
        <w:rPr>
          <w:rFonts w:ascii="Calibri" w:hAnsi="宋体" w:eastAsia="宋体" w:cs="Times New Roman"/>
          <w:strike/>
          <w:color w:val="auto"/>
          <w:sz w:val="24"/>
          <w:highlight w:val="none"/>
        </w:rPr>
        <w:t>提供且不一致的，以</w:t>
      </w:r>
      <w:r>
        <w:rPr>
          <w:rFonts w:hint="eastAsia" w:ascii="Calibri" w:hAnsi="宋体" w:eastAsia="宋体" w:cs="Times New Roman"/>
          <w:strike/>
          <w:color w:val="auto"/>
          <w:sz w:val="24"/>
          <w:highlight w:val="none"/>
        </w:rPr>
        <w:t>“开标</w:t>
      </w:r>
      <w:r>
        <w:rPr>
          <w:rFonts w:ascii="Calibri" w:hAnsi="宋体" w:eastAsia="宋体" w:cs="Times New Roman"/>
          <w:strike/>
          <w:color w:val="auto"/>
          <w:sz w:val="24"/>
          <w:highlight w:val="none"/>
        </w:rPr>
        <w:t>信封</w:t>
      </w:r>
      <w:r>
        <w:rPr>
          <w:rFonts w:hint="eastAsia" w:ascii="Calibri" w:hAnsi="宋体" w:eastAsia="宋体" w:cs="Times New Roman"/>
          <w:strike/>
          <w:color w:val="auto"/>
          <w:sz w:val="24"/>
          <w:highlight w:val="none"/>
        </w:rPr>
        <w:t>”中</w:t>
      </w:r>
      <w:r>
        <w:rPr>
          <w:rFonts w:ascii="Calibri" w:hAnsi="宋体" w:eastAsia="宋体" w:cs="Times New Roman"/>
          <w:strike/>
          <w:color w:val="auto"/>
          <w:sz w:val="24"/>
          <w:highlight w:val="none"/>
        </w:rPr>
        <w:t>的《</w:t>
      </w:r>
      <w:r>
        <w:rPr>
          <w:rFonts w:hint="eastAsia" w:ascii="宋体" w:hAnsi="宋体" w:eastAsia="宋体" w:cs="Times New Roman"/>
          <w:strike/>
          <w:color w:val="auto"/>
          <w:sz w:val="24"/>
          <w:highlight w:val="none"/>
        </w:rPr>
        <w:t>联合体投标协议</w:t>
      </w:r>
      <w:r>
        <w:rPr>
          <w:rFonts w:ascii="Calibri" w:hAnsi="宋体" w:eastAsia="宋体" w:cs="Times New Roman"/>
          <w:strike/>
          <w:color w:val="auto"/>
          <w:sz w:val="24"/>
          <w:highlight w:val="none"/>
        </w:rPr>
        <w:t>》</w:t>
      </w:r>
      <w:r>
        <w:rPr>
          <w:rFonts w:hint="eastAsia" w:ascii="Calibri" w:hAnsi="宋体" w:eastAsia="宋体" w:cs="Times New Roman"/>
          <w:strike/>
          <w:color w:val="auto"/>
          <w:sz w:val="24"/>
          <w:highlight w:val="none"/>
        </w:rPr>
        <w:t>为准</w:t>
      </w:r>
      <w:r>
        <w:rPr>
          <w:rFonts w:hint="eastAsia" w:ascii="宋体" w:hAnsi="宋体" w:eastAsia="宋体" w:cs="Times New Roman"/>
          <w:strike/>
          <w:color w:val="auto"/>
          <w:sz w:val="24"/>
          <w:highlight w:val="none"/>
        </w:rPr>
        <w:t>）；</w:t>
      </w:r>
    </w:p>
    <w:p>
      <w:pPr>
        <w:spacing w:line="360" w:lineRule="auto"/>
        <w:ind w:left="821" w:hanging="820" w:hangingChars="342"/>
        <w:rPr>
          <w:rFonts w:ascii="宋体" w:hAnsi="宋体" w:eastAsia="宋体" w:cs="Times New Roman"/>
          <w:strike/>
          <w:color w:val="auto"/>
          <w:sz w:val="24"/>
          <w:highlight w:val="none"/>
        </w:rPr>
      </w:pPr>
      <w:r>
        <w:rPr>
          <w:rFonts w:ascii="宋体" w:hAnsi="宋体" w:eastAsia="宋体" w:cs="Times New Roman"/>
          <w:strike/>
          <w:color w:val="auto"/>
          <w:sz w:val="24"/>
          <w:highlight w:val="none"/>
        </w:rPr>
        <w:t xml:space="preserve">   (e) </w:t>
      </w:r>
      <w:r>
        <w:rPr>
          <w:rFonts w:hint="eastAsia" w:ascii="Calibri" w:hAnsi="宋体" w:eastAsia="宋体" w:cs="Times New Roman"/>
          <w:strike/>
          <w:color w:val="auto"/>
          <w:sz w:val="24"/>
          <w:highlight w:val="none"/>
        </w:rPr>
        <w:t>投标人</w:t>
      </w:r>
      <w:r>
        <w:rPr>
          <w:rFonts w:hint="eastAsia" w:ascii="宋体" w:hAnsi="宋体" w:eastAsia="宋体" w:cs="Times New Roman"/>
          <w:strike/>
          <w:color w:val="auto"/>
          <w:sz w:val="24"/>
          <w:highlight w:val="none"/>
        </w:rPr>
        <w:t>资质证书；</w:t>
      </w:r>
    </w:p>
    <w:p>
      <w:pPr>
        <w:spacing w:line="360" w:lineRule="auto"/>
        <w:ind w:left="821" w:hanging="820" w:hangingChars="342"/>
        <w:rPr>
          <w:rFonts w:ascii="宋体" w:hAnsi="宋体" w:eastAsia="宋体" w:cs="Times New Roman"/>
          <w:strike/>
          <w:color w:val="auto"/>
          <w:sz w:val="24"/>
          <w:highlight w:val="none"/>
        </w:rPr>
      </w:pPr>
      <w:r>
        <w:rPr>
          <w:rFonts w:ascii="宋体" w:hAnsi="宋体" w:eastAsia="宋体" w:cs="Times New Roman"/>
          <w:strike/>
          <w:color w:val="auto"/>
          <w:sz w:val="24"/>
          <w:highlight w:val="none"/>
        </w:rPr>
        <w:t xml:space="preserve">   (f) </w:t>
      </w:r>
      <w:r>
        <w:rPr>
          <w:rFonts w:hint="eastAsia" w:ascii="宋体" w:hAnsi="宋体" w:eastAsia="宋体" w:cs="Times New Roman"/>
          <w:strike/>
          <w:color w:val="auto"/>
          <w:sz w:val="24"/>
          <w:highlight w:val="none"/>
          <w:lang w:bidi="ar"/>
        </w:rPr>
        <w:t>申请人已在广州市住房和城乡建设局建立企业信用档案，拟委派的项目负责人须是本企业信用档案中的在册人员；</w:t>
      </w:r>
    </w:p>
    <w:p>
      <w:pPr>
        <w:spacing w:line="360" w:lineRule="auto"/>
        <w:ind w:left="789" w:leftChars="67" w:hanging="648" w:hangingChars="270"/>
        <w:rPr>
          <w:rFonts w:ascii="宋体" w:hAnsi="宋体" w:eastAsia="宋体" w:cs="Times New Roman"/>
          <w:strike/>
          <w:color w:val="auto"/>
          <w:sz w:val="24"/>
          <w:highlight w:val="none"/>
        </w:rPr>
      </w:pPr>
      <w:r>
        <w:rPr>
          <w:rFonts w:ascii="Calibri" w:hAnsi="宋体" w:eastAsia="宋体" w:cs="Times New Roman"/>
          <w:strike/>
          <w:color w:val="auto"/>
          <w:sz w:val="24"/>
          <w:highlight w:val="none"/>
        </w:rPr>
        <w:t xml:space="preserve">  (g) </w:t>
      </w:r>
      <w:r>
        <w:rPr>
          <w:rFonts w:hint="eastAsia" w:ascii="Calibri" w:hAnsi="宋体" w:eastAsia="宋体" w:cs="Times New Roman"/>
          <w:strike/>
          <w:color w:val="auto"/>
          <w:sz w:val="24"/>
          <w:highlight w:val="none"/>
        </w:rPr>
        <w:t>投标申请表（附录</w:t>
      </w:r>
      <w:r>
        <w:rPr>
          <w:rFonts w:ascii="Calibri" w:hAnsi="宋体" w:eastAsia="宋体" w:cs="Times New Roman"/>
          <w:strike/>
          <w:color w:val="auto"/>
          <w:sz w:val="24"/>
          <w:highlight w:val="none"/>
        </w:rPr>
        <w:t>1</w:t>
      </w:r>
      <w:r>
        <w:rPr>
          <w:rFonts w:hint="eastAsia" w:ascii="Calibri" w:hAnsi="宋体" w:eastAsia="宋体" w:cs="Times New Roman"/>
          <w:strike/>
          <w:color w:val="auto"/>
          <w:sz w:val="24"/>
          <w:highlight w:val="none"/>
        </w:rPr>
        <w:t>）；</w:t>
      </w:r>
    </w:p>
    <w:p>
      <w:pPr>
        <w:spacing w:line="360" w:lineRule="auto"/>
        <w:ind w:left="759" w:leftChars="167" w:hanging="408" w:hangingChars="170"/>
        <w:rPr>
          <w:rFonts w:ascii="宋体" w:hAnsi="宋体" w:eastAsia="宋体" w:cs="Times New Roman"/>
          <w:strike/>
          <w:color w:val="auto"/>
          <w:sz w:val="24"/>
          <w:highlight w:val="none"/>
        </w:rPr>
      </w:pPr>
      <w:r>
        <w:rPr>
          <w:rFonts w:ascii="Calibri" w:hAnsi="宋体" w:eastAsia="宋体" w:cs="Times New Roman"/>
          <w:strike/>
          <w:color w:val="auto"/>
          <w:sz w:val="24"/>
          <w:highlight w:val="none"/>
        </w:rPr>
        <w:t xml:space="preserve">(h) </w:t>
      </w:r>
      <w:r>
        <w:rPr>
          <w:rFonts w:hint="eastAsia" w:ascii="Calibri" w:hAnsi="宋体" w:eastAsia="宋体" w:cs="Times New Roman"/>
          <w:strike/>
          <w:color w:val="auto"/>
          <w:sz w:val="24"/>
          <w:highlight w:val="none"/>
        </w:rPr>
        <w:t>拟派</w:t>
      </w:r>
      <w:r>
        <w:rPr>
          <w:rFonts w:hint="eastAsia" w:ascii="宋体" w:hAnsi="宋体" w:eastAsia="宋体" w:cs="Times New Roman"/>
          <w:strike/>
          <w:color w:val="auto"/>
          <w:sz w:val="24"/>
          <w:highlight w:val="none"/>
        </w:rPr>
        <w:t>项目负责人注册执业资格证书或职称证书；</w:t>
      </w:r>
    </w:p>
    <w:p>
      <w:pPr>
        <w:spacing w:line="360" w:lineRule="auto"/>
        <w:rPr>
          <w:rFonts w:ascii="宋体" w:hAnsi="宋体" w:eastAsia="宋体" w:cs="Times New Roman"/>
          <w:strike/>
          <w:color w:val="auto"/>
          <w:sz w:val="24"/>
          <w:highlight w:val="none"/>
        </w:rPr>
      </w:pPr>
      <w:r>
        <w:rPr>
          <w:rFonts w:ascii="Calibri" w:hAnsi="宋体" w:eastAsia="宋体" w:cs="Times New Roman"/>
          <w:strike/>
          <w:color w:val="auto"/>
          <w:sz w:val="24"/>
          <w:highlight w:val="none"/>
        </w:rPr>
        <w:t xml:space="preserve">   (i) </w:t>
      </w:r>
      <w:r>
        <w:rPr>
          <w:rFonts w:hint="eastAsia" w:ascii="Calibri" w:hAnsi="宋体" w:eastAsia="宋体" w:cs="Times New Roman"/>
          <w:strike/>
          <w:color w:val="auto"/>
          <w:sz w:val="24"/>
          <w:highlight w:val="none"/>
        </w:rPr>
        <w:t>拟派各专业负责人注册</w:t>
      </w:r>
      <w:r>
        <w:rPr>
          <w:rFonts w:hint="eastAsia" w:ascii="宋体" w:hAnsi="宋体" w:eastAsia="宋体" w:cs="Times New Roman"/>
          <w:strike/>
          <w:color w:val="auto"/>
          <w:sz w:val="24"/>
          <w:highlight w:val="none"/>
        </w:rPr>
        <w:t>执业资格证书或职称证书及工作简历；</w:t>
      </w:r>
    </w:p>
    <w:p>
      <w:pPr>
        <w:spacing w:line="360" w:lineRule="auto"/>
        <w:rPr>
          <w:rFonts w:ascii="宋体" w:hAnsi="宋体" w:eastAsia="宋体" w:cs="Times New Roman"/>
          <w:strike/>
          <w:color w:val="auto"/>
          <w:sz w:val="24"/>
          <w:highlight w:val="none"/>
        </w:rPr>
      </w:pPr>
      <w:r>
        <w:rPr>
          <w:rFonts w:ascii="宋体" w:hAnsi="宋体" w:eastAsia="宋体" w:cs="Times New Roman"/>
          <w:strike/>
          <w:color w:val="auto"/>
          <w:sz w:val="24"/>
          <w:highlight w:val="none"/>
        </w:rPr>
        <w:t xml:space="preserve">   </w:t>
      </w:r>
      <w:r>
        <w:rPr>
          <w:rFonts w:ascii="Calibri" w:hAnsi="宋体" w:eastAsia="宋体" w:cs="Times New Roman"/>
          <w:strike/>
          <w:color w:val="auto"/>
          <w:sz w:val="24"/>
          <w:highlight w:val="none"/>
        </w:rPr>
        <w:t xml:space="preserve">(j) </w:t>
      </w:r>
      <w:r>
        <w:rPr>
          <w:rFonts w:hint="eastAsia" w:ascii="宋体" w:hAnsi="宋体" w:eastAsia="宋体" w:cs="Times New Roman"/>
          <w:strike/>
          <w:color w:val="auto"/>
          <w:sz w:val="24"/>
          <w:highlight w:val="none"/>
        </w:rPr>
        <w:t>投标人认为有必要提供的其他资料。</w:t>
      </w:r>
    </w:p>
    <w:p>
      <w:pPr>
        <w:spacing w:line="360" w:lineRule="auto"/>
        <w:rPr>
          <w:rFonts w:ascii="宋体" w:hAnsi="宋体" w:eastAsia="宋体" w:cs="Times New Roman"/>
          <w:strike/>
          <w:color w:val="auto"/>
          <w:sz w:val="24"/>
          <w:highlight w:val="none"/>
        </w:rPr>
      </w:pPr>
      <w:r>
        <w:rPr>
          <w:rFonts w:ascii="Calibri" w:hAnsi="宋体" w:eastAsia="宋体" w:cs="Times New Roman"/>
          <w:strike/>
          <w:color w:val="auto"/>
          <w:sz w:val="24"/>
          <w:highlight w:val="none"/>
        </w:rPr>
        <w:t xml:space="preserve">   </w:t>
      </w:r>
    </w:p>
    <w:p>
      <w:pPr>
        <w:spacing w:line="360" w:lineRule="auto"/>
        <w:ind w:left="611" w:leftChars="15" w:hanging="580" w:hangingChars="242"/>
        <w:rPr>
          <w:rFonts w:ascii="宋体" w:hAnsi="宋体" w:eastAsia="宋体" w:cs="Times New Roman"/>
          <w:strike/>
          <w:color w:val="auto"/>
          <w:sz w:val="24"/>
          <w:highlight w:val="none"/>
        </w:rPr>
      </w:pPr>
      <w:r>
        <w:rPr>
          <w:rFonts w:hint="eastAsia" w:ascii="宋体" w:hAnsi="宋体" w:eastAsia="宋体" w:cs="Times New Roman"/>
          <w:strike/>
          <w:color w:val="auto"/>
          <w:sz w:val="24"/>
          <w:highlight w:val="none"/>
        </w:rPr>
        <w:t>注：</w:t>
      </w:r>
      <w:r>
        <w:rPr>
          <w:rFonts w:hint="eastAsia" w:ascii="宋体" w:hAnsi="宋体" w:eastAsia="宋体" w:cs="Times New Roman"/>
          <w:strike/>
          <w:color w:val="auto"/>
          <w:sz w:val="24"/>
          <w:highlight w:val="none"/>
          <w:lang w:bidi="ar"/>
        </w:rPr>
        <w:t>资格审查文件中的</w:t>
      </w:r>
      <w:r>
        <w:rPr>
          <w:rFonts w:ascii="宋体" w:hAnsi="宋体" w:eastAsia="宋体" w:cs="Times New Roman"/>
          <w:strike/>
          <w:color w:val="auto"/>
          <w:sz w:val="24"/>
          <w:highlight w:val="none"/>
          <w:lang w:bidi="ar"/>
        </w:rPr>
        <w:t>(e)、(f)取自广州市住建行业信用管理平台（原企业诚信档案信息库），投标人平台中记录的该部分上传件将被视为投标人递交投标文件的一部分，不需重复提交。评标委员会对该部分资料的审查将以投标截止时间在广州市住建行业信用管理平台内上传件为依据。若招标人延长投标截止时间的，以上资料的评审时点也相应延长。投标人应及时维护其在广州市住建行业信用管理平台登记的信息及上传件，确保各项信息及上传件在有效期内。</w:t>
      </w:r>
    </w:p>
    <w:p>
      <w:pPr>
        <w:spacing w:line="360" w:lineRule="auto"/>
        <w:ind w:left="361" w:hanging="361" w:hangingChars="150"/>
        <w:rPr>
          <w:rFonts w:ascii="宋体" w:hAnsi="宋体" w:eastAsia="宋体" w:cs="Times New Roman"/>
          <w:b/>
          <w:bCs/>
          <w:strike/>
          <w:color w:val="auto"/>
          <w:sz w:val="24"/>
          <w:highlight w:val="none"/>
        </w:rPr>
      </w:pPr>
      <w:r>
        <w:rPr>
          <w:rFonts w:ascii="宋体" w:hAnsi="宋体" w:eastAsia="宋体" w:cs="Times New Roman"/>
          <w:b/>
          <w:bCs/>
          <w:strike/>
          <w:color w:val="auto"/>
          <w:sz w:val="24"/>
          <w:highlight w:val="none"/>
        </w:rPr>
        <w:t xml:space="preserve">6    </w:t>
      </w:r>
      <w:r>
        <w:rPr>
          <w:rFonts w:hint="eastAsia" w:ascii="宋体" w:hAnsi="宋体" w:eastAsia="宋体" w:cs="Times New Roman"/>
          <w:b/>
          <w:bCs/>
          <w:strike/>
          <w:color w:val="auto"/>
          <w:sz w:val="24"/>
          <w:highlight w:val="none"/>
        </w:rPr>
        <w:t>定标资料（如有）</w:t>
      </w:r>
    </w:p>
    <w:p>
      <w:pPr>
        <w:spacing w:line="360" w:lineRule="auto"/>
        <w:ind w:left="360" w:hanging="360" w:hangingChars="150"/>
        <w:rPr>
          <w:rFonts w:ascii="宋体" w:hAnsi="宋体" w:eastAsia="宋体" w:cs="Times New Roman"/>
          <w:strike/>
          <w:color w:val="auto"/>
          <w:sz w:val="24"/>
          <w:highlight w:val="none"/>
        </w:rPr>
      </w:pPr>
    </w:p>
    <w:p>
      <w:pPr>
        <w:spacing w:line="360" w:lineRule="auto"/>
        <w:ind w:left="360" w:hanging="360" w:hangingChars="150"/>
        <w:rPr>
          <w:rFonts w:ascii="宋体" w:hAnsi="宋体" w:eastAsia="宋体" w:cs="Times New Roman"/>
          <w:strike/>
          <w:color w:val="auto"/>
          <w:sz w:val="24"/>
          <w:highlight w:val="none"/>
        </w:rPr>
      </w:pPr>
      <w:r>
        <w:rPr>
          <w:rFonts w:hint="eastAsia" w:ascii="宋体" w:hAnsi="宋体" w:eastAsia="宋体" w:cs="Times New Roman"/>
          <w:strike/>
          <w:color w:val="auto"/>
          <w:sz w:val="24"/>
          <w:highlight w:val="none"/>
        </w:rPr>
        <w:t>（由招标人自定）</w:t>
      </w:r>
    </w:p>
    <w:p>
      <w:pPr>
        <w:jc w:val="left"/>
        <w:rPr>
          <w:rFonts w:ascii="宋体" w:hAnsi="宋体" w:eastAsia="宋体" w:cs="Times New Roman"/>
          <w:color w:val="auto"/>
          <w:highlight w:val="none"/>
        </w:rPr>
      </w:pPr>
    </w:p>
    <w:p>
      <w:pPr>
        <w:keepNext/>
        <w:keepLines/>
        <w:spacing w:line="360" w:lineRule="auto"/>
        <w:outlineLvl w:val="9"/>
        <w:rPr>
          <w:rFonts w:ascii="Calibri" w:hAnsi="Calibri" w:eastAsia="宋体" w:cs="Times New Roman"/>
          <w:color w:val="auto"/>
          <w:highlight w:val="none"/>
        </w:rPr>
      </w:pPr>
      <w:r>
        <w:rPr>
          <w:rFonts w:ascii="宋体" w:hAnsi="宋体" w:eastAsia="宋体" w:cs="Times New Roman"/>
          <w:color w:val="auto"/>
          <w:highlight w:val="none"/>
        </w:rPr>
        <w:br w:type="page"/>
      </w:r>
    </w:p>
    <w:p>
      <w:pPr>
        <w:keepNext/>
        <w:keepLines/>
        <w:widowControl w:val="0"/>
        <w:suppressLineNumbers w:val="0"/>
        <w:spacing w:before="340" w:beforeAutospacing="0" w:after="330" w:afterAutospacing="0" w:line="576" w:lineRule="auto"/>
        <w:ind w:left="0" w:right="0"/>
        <w:jc w:val="both"/>
        <w:outlineLvl w:val="1"/>
        <w:rPr>
          <w:rFonts w:hint="eastAsia" w:ascii="宋体" w:hAnsi="宋体" w:eastAsia="宋体" w:cs="Times New Roman"/>
          <w:strike/>
          <w:dstrike w:val="0"/>
          <w:color w:val="auto"/>
          <w:sz w:val="24"/>
          <w:szCs w:val="22"/>
          <w:highlight w:val="none"/>
          <w:lang w:val="en-US"/>
        </w:rPr>
      </w:pPr>
      <w:bookmarkStart w:id="50" w:name="_Toc20258"/>
      <w:r>
        <w:rPr>
          <w:rFonts w:hint="eastAsia" w:ascii="宋体" w:hAnsi="宋体" w:eastAsia="宋体" w:cs="Times New Roman"/>
          <w:strike/>
          <w:dstrike w:val="0"/>
          <w:color w:val="auto"/>
          <w:kern w:val="2"/>
          <w:sz w:val="21"/>
          <w:szCs w:val="21"/>
          <w:highlight w:val="none"/>
          <w:lang w:val="en-US" w:eastAsia="zh-CN" w:bidi="ar"/>
        </w:rPr>
        <w:t>附录4建筑工程设计方案测试记录表</w:t>
      </w:r>
      <w:bookmarkEnd w:id="50"/>
    </w:p>
    <w:p>
      <w:pPr>
        <w:keepNext w:val="0"/>
        <w:keepLines w:val="0"/>
        <w:widowControl w:val="0"/>
        <w:suppressLineNumbers w:val="0"/>
        <w:spacing w:before="0" w:beforeAutospacing="0" w:after="0" w:afterAutospacing="0"/>
        <w:ind w:left="0" w:right="0"/>
        <w:jc w:val="center"/>
        <w:rPr>
          <w:rFonts w:hint="eastAsia" w:ascii="宋体" w:hAnsi="宋体" w:eastAsia="宋体" w:cs="Times New Roman"/>
          <w:b/>
          <w:strike/>
          <w:dstrike w:val="0"/>
          <w:color w:val="auto"/>
          <w:sz w:val="32"/>
          <w:szCs w:val="22"/>
          <w:highlight w:val="none"/>
          <w:lang w:val="en-US"/>
        </w:rPr>
      </w:pPr>
      <w:r>
        <w:rPr>
          <w:rFonts w:hint="eastAsia" w:ascii="宋体" w:hAnsi="宋体" w:eastAsia="宋体" w:cs="Times New Roman"/>
          <w:b/>
          <w:strike/>
          <w:dstrike w:val="0"/>
          <w:color w:val="auto"/>
          <w:kern w:val="2"/>
          <w:sz w:val="32"/>
          <w:szCs w:val="22"/>
          <w:highlight w:val="none"/>
          <w:lang w:val="en-US" w:eastAsia="zh-CN" w:bidi="ar"/>
        </w:rPr>
        <w:t>建筑工程设计方案测试记录表</w:t>
      </w:r>
    </w:p>
    <w:p>
      <w:pPr>
        <w:keepNext w:val="0"/>
        <w:keepLines w:val="0"/>
        <w:widowControl w:val="0"/>
        <w:suppressLineNumbers w:val="0"/>
        <w:spacing w:before="0" w:beforeAutospacing="0" w:after="0" w:afterAutospacing="0"/>
        <w:ind w:left="0" w:right="0"/>
        <w:jc w:val="center"/>
        <w:rPr>
          <w:rFonts w:hint="eastAsia" w:ascii="宋体" w:hAnsi="宋体" w:eastAsia="宋体" w:cs="Times New Roman"/>
          <w:strike/>
          <w:dstrike w:val="0"/>
          <w:color w:val="auto"/>
          <w:highlight w:val="none"/>
          <w:lang w:val="en-US"/>
        </w:rPr>
      </w:pPr>
      <w:r>
        <w:rPr>
          <w:rFonts w:hint="eastAsia" w:ascii="宋体" w:hAnsi="宋体" w:eastAsia="宋体" w:cs="Times New Roman"/>
          <w:strike/>
          <w:dstrike w:val="0"/>
          <w:color w:val="auto"/>
          <w:kern w:val="2"/>
          <w:sz w:val="21"/>
          <w:szCs w:val="22"/>
          <w:highlight w:val="none"/>
          <w:lang w:val="en-US" w:eastAsia="zh-CN" w:bidi="ar"/>
        </w:rPr>
        <w:t>（本表宜装订放在设计投标文本文件的设计说明书前面）</w:t>
      </w:r>
    </w:p>
    <w:p>
      <w:pPr>
        <w:keepNext w:val="0"/>
        <w:keepLines w:val="0"/>
        <w:widowControl w:val="0"/>
        <w:suppressLineNumbers w:val="0"/>
        <w:spacing w:before="0" w:beforeAutospacing="0" w:after="0" w:afterAutospacing="0"/>
        <w:ind w:left="0" w:right="0"/>
        <w:jc w:val="left"/>
        <w:rPr>
          <w:rFonts w:hint="eastAsia" w:ascii="宋体" w:hAnsi="宋体" w:eastAsia="宋体" w:cs="Times New Roman"/>
          <w:strike/>
          <w:dstrike w:val="0"/>
          <w:color w:val="auto"/>
          <w:highlight w:val="none"/>
          <w:lang w:val="en-US"/>
        </w:rPr>
      </w:pPr>
    </w:p>
    <w:tbl>
      <w:tblPr>
        <w:tblStyle w:val="11"/>
        <w:tblW w:w="87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15"/>
        <w:gridCol w:w="4374"/>
        <w:gridCol w:w="1193"/>
        <w:gridCol w:w="2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r>
              <w:rPr>
                <w:rFonts w:hint="eastAsia" w:ascii="宋体" w:hAnsi="宋体" w:eastAsia="宋体" w:cs="Times New Roman"/>
                <w:strike/>
                <w:dstrike w:val="0"/>
                <w:color w:val="auto"/>
                <w:kern w:val="2"/>
                <w:sz w:val="21"/>
                <w:szCs w:val="22"/>
                <w:highlight w:val="none"/>
                <w:lang w:val="en-US" w:eastAsia="zh-CN" w:bidi="ar"/>
              </w:rPr>
              <w:t>序号</w:t>
            </w: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r>
              <w:rPr>
                <w:rFonts w:hint="eastAsia" w:ascii="宋体" w:hAnsi="宋体" w:eastAsia="宋体" w:cs="Times New Roman"/>
                <w:strike/>
                <w:dstrike w:val="0"/>
                <w:color w:val="auto"/>
                <w:kern w:val="2"/>
                <w:sz w:val="21"/>
                <w:szCs w:val="22"/>
                <w:highlight w:val="none"/>
                <w:lang w:val="en-US" w:eastAsia="zh-CN" w:bidi="ar"/>
              </w:rPr>
              <w:t>指标</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r>
              <w:rPr>
                <w:rFonts w:hint="eastAsia" w:ascii="宋体" w:hAnsi="宋体" w:eastAsia="宋体" w:cs="Times New Roman"/>
                <w:strike/>
                <w:dstrike w:val="0"/>
                <w:color w:val="auto"/>
                <w:kern w:val="2"/>
                <w:sz w:val="21"/>
                <w:szCs w:val="22"/>
                <w:highlight w:val="none"/>
                <w:lang w:val="en-US" w:eastAsia="zh-CN" w:bidi="ar"/>
              </w:rPr>
              <w:t>单位</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r>
              <w:rPr>
                <w:rFonts w:hint="eastAsia" w:ascii="宋体" w:hAnsi="宋体" w:eastAsia="宋体" w:cs="Times New Roman"/>
                <w:strike/>
                <w:dstrike w:val="0"/>
                <w:color w:val="auto"/>
                <w:kern w:val="2"/>
                <w:sz w:val="21"/>
                <w:szCs w:val="22"/>
                <w:highlight w:val="none"/>
                <w:lang w:val="en-US" w:eastAsia="zh-CN" w:bidi="ar"/>
              </w:rPr>
              <w:t>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strike/>
                <w:dstrike w:val="0"/>
                <w:color w:val="auto"/>
                <w:highlight w:val="none"/>
                <w:lang w:val="en-US"/>
              </w:rPr>
            </w:pPr>
            <w:r>
              <w:rPr>
                <w:rFonts w:hint="eastAsia" w:ascii="宋体" w:hAnsi="宋体" w:eastAsia="宋体" w:cs="Times New Roman"/>
                <w:strike/>
                <w:dstrike w:val="0"/>
                <w:color w:val="auto"/>
                <w:kern w:val="2"/>
                <w:sz w:val="21"/>
                <w:szCs w:val="22"/>
                <w:highlight w:val="none"/>
                <w:lang w:val="en-US" w:eastAsia="zh-CN" w:bidi="ar"/>
              </w:rPr>
              <w:t>基地面积</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r>
              <w:rPr>
                <w:rFonts w:hint="eastAsia" w:ascii="宋体" w:hAnsi="宋体" w:eastAsia="宋体" w:cs="Times New Roman"/>
                <w:strike/>
                <w:dstrike w:val="0"/>
                <w:color w:val="auto"/>
                <w:kern w:val="2"/>
                <w:sz w:val="21"/>
                <w:szCs w:val="22"/>
                <w:highlight w:val="none"/>
                <w:lang w:val="en-US" w:eastAsia="zh-CN" w:bidi="ar"/>
              </w:rPr>
              <w:t>平方米</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strike/>
                <w:dstrike w:val="0"/>
                <w:color w:val="auto"/>
                <w:highlight w:val="none"/>
                <w:lang w:val="en-US"/>
              </w:rPr>
            </w:pPr>
            <w:r>
              <w:rPr>
                <w:rFonts w:hint="eastAsia" w:ascii="宋体" w:hAnsi="宋体" w:eastAsia="宋体" w:cs="Times New Roman"/>
                <w:strike/>
                <w:dstrike w:val="0"/>
                <w:color w:val="auto"/>
                <w:kern w:val="2"/>
                <w:sz w:val="21"/>
                <w:szCs w:val="22"/>
                <w:highlight w:val="none"/>
                <w:lang w:val="en-US" w:eastAsia="zh-CN" w:bidi="ar"/>
              </w:rPr>
              <w:t>建筑容积率</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strike/>
                <w:dstrike w:val="0"/>
                <w:color w:val="auto"/>
                <w:highlight w:val="none"/>
                <w:lang w:val="en-US"/>
              </w:rPr>
            </w:pPr>
            <w:r>
              <w:rPr>
                <w:rFonts w:hint="eastAsia" w:ascii="宋体" w:hAnsi="宋体" w:eastAsia="宋体" w:cs="Times New Roman"/>
                <w:strike/>
                <w:dstrike w:val="0"/>
                <w:color w:val="auto"/>
                <w:kern w:val="2"/>
                <w:sz w:val="21"/>
                <w:szCs w:val="22"/>
                <w:highlight w:val="none"/>
                <w:lang w:val="en-US" w:eastAsia="zh-CN" w:bidi="ar"/>
              </w:rPr>
              <w:t>建筑密度</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r>
              <w:rPr>
                <w:rFonts w:hint="eastAsia" w:ascii="宋体" w:hAnsi="宋体" w:eastAsia="宋体" w:cs="Times New Roman"/>
                <w:strike/>
                <w:dstrike w:val="0"/>
                <w:color w:val="auto"/>
                <w:kern w:val="2"/>
                <w:sz w:val="21"/>
                <w:szCs w:val="22"/>
                <w:highlight w:val="none"/>
                <w:lang w:val="en-US" w:eastAsia="zh-CN" w:bidi="ar"/>
              </w:rPr>
              <w:t>%</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strike/>
                <w:dstrike w:val="0"/>
                <w:color w:val="auto"/>
                <w:highlight w:val="none"/>
                <w:lang w:val="en-US"/>
              </w:rPr>
            </w:pPr>
            <w:r>
              <w:rPr>
                <w:rFonts w:hint="eastAsia" w:ascii="宋体" w:hAnsi="宋体" w:eastAsia="宋体" w:cs="Times New Roman"/>
                <w:strike/>
                <w:dstrike w:val="0"/>
                <w:color w:val="auto"/>
                <w:kern w:val="2"/>
                <w:sz w:val="21"/>
                <w:szCs w:val="22"/>
                <w:highlight w:val="none"/>
                <w:lang w:val="en-US" w:eastAsia="zh-CN" w:bidi="ar"/>
              </w:rPr>
              <w:t>绿地率</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r>
              <w:rPr>
                <w:rFonts w:hint="eastAsia" w:ascii="宋体" w:hAnsi="宋体" w:eastAsia="宋体" w:cs="Times New Roman"/>
                <w:strike/>
                <w:dstrike w:val="0"/>
                <w:color w:val="auto"/>
                <w:kern w:val="2"/>
                <w:sz w:val="21"/>
                <w:szCs w:val="22"/>
                <w:highlight w:val="none"/>
                <w:lang w:val="en-US" w:eastAsia="zh-CN" w:bidi="ar"/>
              </w:rPr>
              <w:t>%</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auto"/>
                <w:highlight w:val="none"/>
                <w:lang w:val="en-US"/>
              </w:rPr>
            </w:pPr>
            <w:r>
              <w:rPr>
                <w:rFonts w:hint="eastAsia" w:ascii="宋体" w:hAnsi="宋体" w:eastAsia="宋体" w:cs="Times New Roman"/>
                <w:strike/>
                <w:dstrike w:val="0"/>
                <w:color w:val="auto"/>
                <w:kern w:val="2"/>
                <w:sz w:val="21"/>
                <w:szCs w:val="22"/>
                <w:highlight w:val="none"/>
                <w:lang w:val="en-US" w:eastAsia="zh-CN" w:bidi="ar"/>
              </w:rPr>
              <w:t>总建筑面积</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r>
              <w:rPr>
                <w:rFonts w:hint="eastAsia" w:ascii="宋体" w:hAnsi="宋体" w:eastAsia="宋体" w:cs="Times New Roman"/>
                <w:strike/>
                <w:dstrike w:val="0"/>
                <w:color w:val="auto"/>
                <w:kern w:val="2"/>
                <w:sz w:val="21"/>
                <w:szCs w:val="22"/>
                <w:highlight w:val="none"/>
                <w:lang w:val="en-US" w:eastAsia="zh-CN" w:bidi="ar"/>
              </w:rPr>
              <w:t>平方米</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strike/>
                <w:dstrike w:val="0"/>
                <w:color w:val="auto"/>
                <w:highlight w:val="none"/>
                <w:lang w:val="en-US"/>
              </w:rPr>
            </w:pPr>
            <w:r>
              <w:rPr>
                <w:rFonts w:hint="eastAsia" w:ascii="宋体" w:hAnsi="宋体" w:eastAsia="宋体" w:cs="Times New Roman"/>
                <w:strike/>
                <w:dstrike w:val="0"/>
                <w:color w:val="auto"/>
                <w:kern w:val="2"/>
                <w:sz w:val="21"/>
                <w:szCs w:val="22"/>
                <w:highlight w:val="none"/>
                <w:lang w:val="en-US" w:eastAsia="zh-CN" w:bidi="ar"/>
              </w:rPr>
              <w:t>地上建筑面积</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r>
              <w:rPr>
                <w:rFonts w:hint="eastAsia" w:ascii="宋体" w:hAnsi="宋体" w:eastAsia="宋体" w:cs="Times New Roman"/>
                <w:strike/>
                <w:dstrike w:val="0"/>
                <w:color w:val="auto"/>
                <w:kern w:val="2"/>
                <w:sz w:val="21"/>
                <w:szCs w:val="22"/>
                <w:highlight w:val="none"/>
                <w:lang w:val="en-US" w:eastAsia="zh-CN" w:bidi="ar"/>
              </w:rPr>
              <w:t>平方米</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strike/>
                <w:dstrike w:val="0"/>
                <w:color w:val="auto"/>
                <w:highlight w:val="none"/>
                <w:lang w:val="en-US"/>
              </w:rPr>
            </w:pPr>
            <w:r>
              <w:rPr>
                <w:rFonts w:hint="eastAsia" w:ascii="宋体" w:hAnsi="宋体" w:eastAsia="宋体" w:cs="Times New Roman"/>
                <w:strike/>
                <w:dstrike w:val="0"/>
                <w:color w:val="auto"/>
                <w:kern w:val="2"/>
                <w:sz w:val="21"/>
                <w:szCs w:val="22"/>
                <w:highlight w:val="none"/>
                <w:lang w:val="en-US" w:eastAsia="zh-CN" w:bidi="ar"/>
              </w:rPr>
              <w:t>地下建筑面积</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r>
              <w:rPr>
                <w:rFonts w:hint="eastAsia" w:ascii="宋体" w:hAnsi="宋体" w:eastAsia="宋体" w:cs="Times New Roman"/>
                <w:strike/>
                <w:dstrike w:val="0"/>
                <w:color w:val="auto"/>
                <w:kern w:val="2"/>
                <w:sz w:val="21"/>
                <w:szCs w:val="22"/>
                <w:highlight w:val="none"/>
                <w:lang w:val="en-US" w:eastAsia="zh-CN" w:bidi="ar"/>
              </w:rPr>
              <w:t>平方米</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auto"/>
                <w:highlight w:val="none"/>
                <w:lang w:val="en-US"/>
              </w:rPr>
            </w:pPr>
            <w:r>
              <w:rPr>
                <w:rFonts w:hint="eastAsia" w:ascii="宋体" w:hAnsi="宋体" w:eastAsia="宋体" w:cs="Times New Roman"/>
                <w:strike/>
                <w:dstrike w:val="0"/>
                <w:color w:val="auto"/>
                <w:kern w:val="2"/>
                <w:sz w:val="21"/>
                <w:szCs w:val="22"/>
                <w:highlight w:val="none"/>
                <w:lang w:val="en-US" w:eastAsia="zh-CN" w:bidi="ar"/>
              </w:rPr>
              <w:t>室内停车位</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r>
              <w:rPr>
                <w:rFonts w:hint="eastAsia" w:ascii="宋体" w:hAnsi="宋体" w:eastAsia="宋体" w:cs="Times New Roman"/>
                <w:strike/>
                <w:dstrike w:val="0"/>
                <w:color w:val="auto"/>
                <w:kern w:val="2"/>
                <w:sz w:val="21"/>
                <w:szCs w:val="22"/>
                <w:highlight w:val="none"/>
                <w:lang w:val="en-US" w:eastAsia="zh-CN" w:bidi="ar"/>
              </w:rPr>
              <w:t>个</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auto"/>
                <w:highlight w:val="none"/>
                <w:lang w:val="en-US"/>
              </w:rPr>
            </w:pPr>
            <w:r>
              <w:rPr>
                <w:rFonts w:hint="eastAsia" w:ascii="宋体" w:hAnsi="宋体" w:eastAsia="宋体" w:cs="Times New Roman"/>
                <w:strike/>
                <w:dstrike w:val="0"/>
                <w:color w:val="auto"/>
                <w:kern w:val="2"/>
                <w:sz w:val="21"/>
                <w:szCs w:val="22"/>
                <w:highlight w:val="none"/>
                <w:lang w:val="en-US" w:eastAsia="zh-CN" w:bidi="ar"/>
              </w:rPr>
              <w:t>室外停车位</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r>
              <w:rPr>
                <w:rFonts w:hint="eastAsia" w:ascii="宋体" w:hAnsi="宋体" w:eastAsia="宋体" w:cs="Times New Roman"/>
                <w:strike/>
                <w:dstrike w:val="0"/>
                <w:color w:val="auto"/>
                <w:kern w:val="2"/>
                <w:sz w:val="21"/>
                <w:szCs w:val="22"/>
                <w:highlight w:val="none"/>
                <w:lang w:val="en-US" w:eastAsia="zh-CN" w:bidi="ar"/>
              </w:rPr>
              <w:t>个</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strike/>
                <w:dstrike w:val="0"/>
                <w:color w:val="auto"/>
                <w:highlight w:val="none"/>
                <w:lang w:val="en-US"/>
              </w:rPr>
            </w:pPr>
            <w:r>
              <w:rPr>
                <w:rFonts w:hint="eastAsia" w:ascii="宋体" w:hAnsi="宋体" w:eastAsia="宋体" w:cs="Times New Roman"/>
                <w:strike/>
                <w:dstrike w:val="0"/>
                <w:color w:val="auto"/>
                <w:kern w:val="2"/>
                <w:sz w:val="21"/>
                <w:szCs w:val="22"/>
                <w:highlight w:val="none"/>
                <w:lang w:val="en-US" w:eastAsia="zh-CN" w:bidi="ar"/>
              </w:rPr>
              <w:t>住宅总户数</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r>
              <w:rPr>
                <w:rFonts w:hint="eastAsia" w:ascii="宋体" w:hAnsi="宋体" w:eastAsia="宋体" w:cs="Times New Roman"/>
                <w:strike/>
                <w:dstrike w:val="0"/>
                <w:color w:val="auto"/>
                <w:kern w:val="2"/>
                <w:sz w:val="21"/>
                <w:szCs w:val="22"/>
                <w:highlight w:val="none"/>
                <w:lang w:val="en-US" w:eastAsia="zh-CN" w:bidi="ar"/>
              </w:rPr>
              <w:t>户</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strike/>
                <w:dstrike w:val="0"/>
                <w:color w:val="auto"/>
                <w:highlight w:val="none"/>
                <w:lang w:val="en-US"/>
              </w:rPr>
            </w:pPr>
            <w:r>
              <w:rPr>
                <w:rFonts w:hint="eastAsia" w:ascii="宋体" w:hAnsi="宋体" w:eastAsia="宋体" w:cs="Times New Roman"/>
                <w:strike/>
                <w:dstrike w:val="0"/>
                <w:color w:val="auto"/>
                <w:kern w:val="2"/>
                <w:sz w:val="21"/>
                <w:szCs w:val="22"/>
                <w:highlight w:val="none"/>
                <w:lang w:val="en-US" w:eastAsia="zh-CN" w:bidi="ar"/>
              </w:rPr>
              <w:t>90平方米以下户型住宅户数</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r>
              <w:rPr>
                <w:rFonts w:hint="eastAsia" w:ascii="宋体" w:hAnsi="宋体" w:eastAsia="宋体" w:cs="Times New Roman"/>
                <w:strike/>
                <w:dstrike w:val="0"/>
                <w:color w:val="auto"/>
                <w:kern w:val="2"/>
                <w:sz w:val="21"/>
                <w:szCs w:val="22"/>
                <w:highlight w:val="none"/>
                <w:lang w:val="en-US" w:eastAsia="zh-CN" w:bidi="ar"/>
              </w:rPr>
              <w:t>户</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strike/>
                <w:dstrike w:val="0"/>
                <w:color w:val="auto"/>
                <w:highlight w:val="none"/>
                <w:lang w:val="en-US"/>
              </w:rPr>
            </w:pPr>
            <w:r>
              <w:rPr>
                <w:rFonts w:hint="eastAsia" w:ascii="宋体" w:hAnsi="宋体" w:eastAsia="宋体" w:cs="Times New Roman"/>
                <w:strike/>
                <w:dstrike w:val="0"/>
                <w:color w:val="auto"/>
                <w:kern w:val="2"/>
                <w:sz w:val="21"/>
                <w:szCs w:val="22"/>
                <w:highlight w:val="none"/>
                <w:lang w:val="en-US" w:eastAsia="zh-CN" w:bidi="ar"/>
              </w:rPr>
              <w:t>住宅</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r>
              <w:rPr>
                <w:rFonts w:hint="eastAsia" w:ascii="宋体" w:hAnsi="宋体" w:eastAsia="宋体" w:cs="Times New Roman"/>
                <w:strike/>
                <w:dstrike w:val="0"/>
                <w:color w:val="auto"/>
                <w:kern w:val="2"/>
                <w:sz w:val="21"/>
                <w:szCs w:val="22"/>
                <w:highlight w:val="none"/>
                <w:lang w:val="en-US" w:eastAsia="zh-CN" w:bidi="ar"/>
              </w:rPr>
              <w:t>平方米</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strike/>
                <w:dstrike w:val="0"/>
                <w:color w:val="auto"/>
                <w:highlight w:val="none"/>
                <w:lang w:val="en-US"/>
              </w:rPr>
            </w:pPr>
            <w:r>
              <w:rPr>
                <w:rFonts w:hint="eastAsia" w:ascii="宋体" w:hAnsi="宋体" w:eastAsia="宋体" w:cs="Times New Roman"/>
                <w:strike/>
                <w:dstrike w:val="0"/>
                <w:color w:val="auto"/>
                <w:kern w:val="2"/>
                <w:sz w:val="21"/>
                <w:szCs w:val="22"/>
                <w:highlight w:val="none"/>
                <w:lang w:val="en-US" w:eastAsia="zh-CN" w:bidi="ar"/>
              </w:rPr>
              <w:t>宾馆</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r>
              <w:rPr>
                <w:rFonts w:hint="eastAsia" w:ascii="宋体" w:hAnsi="宋体" w:eastAsia="宋体" w:cs="Times New Roman"/>
                <w:strike/>
                <w:dstrike w:val="0"/>
                <w:color w:val="auto"/>
                <w:kern w:val="2"/>
                <w:sz w:val="21"/>
                <w:szCs w:val="22"/>
                <w:highlight w:val="none"/>
                <w:lang w:val="en-US" w:eastAsia="zh-CN" w:bidi="ar"/>
              </w:rPr>
              <w:t>平方米</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strike/>
                <w:dstrike w:val="0"/>
                <w:color w:val="auto"/>
                <w:highlight w:val="none"/>
                <w:lang w:val="en-US"/>
              </w:rPr>
            </w:pPr>
            <w:r>
              <w:rPr>
                <w:rFonts w:hint="eastAsia" w:ascii="宋体" w:hAnsi="宋体" w:eastAsia="宋体" w:cs="Times New Roman"/>
                <w:strike/>
                <w:dstrike w:val="0"/>
                <w:color w:val="auto"/>
                <w:kern w:val="2"/>
                <w:sz w:val="21"/>
                <w:szCs w:val="22"/>
                <w:highlight w:val="none"/>
                <w:lang w:val="en-US" w:eastAsia="zh-CN" w:bidi="ar"/>
              </w:rPr>
              <w:t>商业</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r>
              <w:rPr>
                <w:rFonts w:hint="eastAsia" w:ascii="宋体" w:hAnsi="宋体" w:eastAsia="宋体" w:cs="Times New Roman"/>
                <w:strike/>
                <w:dstrike w:val="0"/>
                <w:color w:val="auto"/>
                <w:kern w:val="2"/>
                <w:sz w:val="21"/>
                <w:szCs w:val="22"/>
                <w:highlight w:val="none"/>
                <w:lang w:val="en-US" w:eastAsia="zh-CN" w:bidi="ar"/>
              </w:rPr>
              <w:t>平方米</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strike/>
                <w:dstrike w:val="0"/>
                <w:color w:val="auto"/>
                <w:highlight w:val="none"/>
                <w:lang w:val="en-US"/>
              </w:rPr>
            </w:pPr>
            <w:r>
              <w:rPr>
                <w:rFonts w:hint="eastAsia" w:ascii="宋体" w:hAnsi="宋体" w:eastAsia="宋体" w:cs="Times New Roman"/>
                <w:strike/>
                <w:dstrike w:val="0"/>
                <w:color w:val="auto"/>
                <w:kern w:val="2"/>
                <w:sz w:val="21"/>
                <w:szCs w:val="22"/>
                <w:highlight w:val="none"/>
                <w:lang w:val="en-US" w:eastAsia="zh-CN" w:bidi="ar"/>
              </w:rPr>
              <w:t>办公</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r>
              <w:rPr>
                <w:rFonts w:hint="eastAsia" w:ascii="宋体" w:hAnsi="宋体" w:eastAsia="宋体" w:cs="Times New Roman"/>
                <w:strike/>
                <w:dstrike w:val="0"/>
                <w:color w:val="auto"/>
                <w:kern w:val="2"/>
                <w:sz w:val="21"/>
                <w:szCs w:val="22"/>
                <w:highlight w:val="none"/>
                <w:lang w:val="en-US" w:eastAsia="zh-CN" w:bidi="ar"/>
              </w:rPr>
              <w:t>平方米</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strike/>
                <w:dstrike w:val="0"/>
                <w:color w:val="auto"/>
                <w:highlight w:val="none"/>
                <w:lang w:val="en-US"/>
              </w:rPr>
            </w:pPr>
            <w:r>
              <w:rPr>
                <w:rFonts w:hint="eastAsia" w:ascii="宋体" w:hAnsi="宋体" w:eastAsia="宋体" w:cs="Times New Roman"/>
                <w:strike/>
                <w:dstrike w:val="0"/>
                <w:color w:val="auto"/>
                <w:kern w:val="2"/>
                <w:sz w:val="21"/>
                <w:szCs w:val="22"/>
                <w:highlight w:val="none"/>
                <w:lang w:val="en-US" w:eastAsia="zh-CN" w:bidi="ar"/>
              </w:rPr>
              <w:t>文教体卫</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r>
              <w:rPr>
                <w:rFonts w:hint="eastAsia" w:ascii="宋体" w:hAnsi="宋体" w:eastAsia="宋体" w:cs="Times New Roman"/>
                <w:strike/>
                <w:dstrike w:val="0"/>
                <w:color w:val="auto"/>
                <w:kern w:val="2"/>
                <w:sz w:val="21"/>
                <w:szCs w:val="22"/>
                <w:highlight w:val="none"/>
                <w:lang w:val="en-US" w:eastAsia="zh-CN" w:bidi="ar"/>
              </w:rPr>
              <w:t>平方米</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strike/>
                <w:dstrike w:val="0"/>
                <w:color w:val="auto"/>
                <w:highlight w:val="none"/>
                <w:lang w:val="en-US"/>
              </w:rPr>
            </w:pPr>
            <w:r>
              <w:rPr>
                <w:rFonts w:hint="eastAsia" w:ascii="宋体" w:hAnsi="宋体" w:eastAsia="宋体" w:cs="Times New Roman"/>
                <w:strike/>
                <w:dstrike w:val="0"/>
                <w:color w:val="auto"/>
                <w:kern w:val="2"/>
                <w:sz w:val="21"/>
                <w:szCs w:val="22"/>
                <w:highlight w:val="none"/>
                <w:lang w:val="en-US" w:eastAsia="zh-CN" w:bidi="ar"/>
              </w:rPr>
              <w:t>工业仓储</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r>
              <w:rPr>
                <w:rFonts w:hint="eastAsia" w:ascii="宋体" w:hAnsi="宋体" w:eastAsia="宋体" w:cs="Times New Roman"/>
                <w:strike/>
                <w:dstrike w:val="0"/>
                <w:color w:val="auto"/>
                <w:kern w:val="2"/>
                <w:sz w:val="21"/>
                <w:szCs w:val="22"/>
                <w:highlight w:val="none"/>
                <w:lang w:val="en-US" w:eastAsia="zh-CN" w:bidi="ar"/>
              </w:rPr>
              <w:t>平方米</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strike/>
                <w:dstrike w:val="0"/>
                <w:color w:val="auto"/>
                <w:highlight w:val="none"/>
                <w:lang w:val="en-US"/>
              </w:rPr>
            </w:pPr>
            <w:r>
              <w:rPr>
                <w:rFonts w:hint="eastAsia" w:ascii="宋体" w:hAnsi="宋体" w:eastAsia="宋体" w:cs="Times New Roman"/>
                <w:strike/>
                <w:dstrike w:val="0"/>
                <w:color w:val="auto"/>
                <w:kern w:val="2"/>
                <w:sz w:val="21"/>
                <w:szCs w:val="22"/>
                <w:highlight w:val="none"/>
                <w:lang w:val="en-US" w:eastAsia="zh-CN" w:bidi="ar"/>
              </w:rPr>
              <w:t>站场设施</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r>
              <w:rPr>
                <w:rFonts w:hint="eastAsia" w:ascii="宋体" w:hAnsi="宋体" w:eastAsia="宋体" w:cs="Times New Roman"/>
                <w:strike/>
                <w:dstrike w:val="0"/>
                <w:color w:val="auto"/>
                <w:kern w:val="2"/>
                <w:sz w:val="21"/>
                <w:szCs w:val="22"/>
                <w:highlight w:val="none"/>
                <w:lang w:val="en-US" w:eastAsia="zh-CN" w:bidi="ar"/>
              </w:rPr>
              <w:t>平方米</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strike/>
                <w:dstrike w:val="0"/>
                <w:color w:val="auto"/>
                <w:highlight w:val="none"/>
                <w:lang w:val="en-US"/>
              </w:rPr>
            </w:pPr>
            <w:r>
              <w:rPr>
                <w:rFonts w:hint="eastAsia" w:ascii="宋体" w:hAnsi="宋体" w:eastAsia="宋体" w:cs="Times New Roman"/>
                <w:strike/>
                <w:dstrike w:val="0"/>
                <w:color w:val="auto"/>
                <w:kern w:val="2"/>
                <w:sz w:val="21"/>
                <w:szCs w:val="22"/>
                <w:highlight w:val="none"/>
                <w:lang w:val="en-US" w:eastAsia="zh-CN" w:bidi="ar"/>
              </w:rPr>
              <w:t>[        ]用途</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r>
              <w:rPr>
                <w:rFonts w:hint="eastAsia" w:ascii="宋体" w:hAnsi="宋体" w:eastAsia="宋体" w:cs="Times New Roman"/>
                <w:strike/>
                <w:dstrike w:val="0"/>
                <w:color w:val="auto"/>
                <w:kern w:val="2"/>
                <w:sz w:val="21"/>
                <w:szCs w:val="22"/>
                <w:highlight w:val="none"/>
                <w:lang w:val="en-US" w:eastAsia="zh-CN" w:bidi="ar"/>
              </w:rPr>
              <w:t>平方米</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strike/>
                <w:dstrike w:val="0"/>
                <w:color w:val="auto"/>
                <w:highlight w:val="none"/>
                <w:lang w:val="en-US"/>
              </w:rPr>
            </w:pPr>
            <w:r>
              <w:rPr>
                <w:rFonts w:hint="eastAsia" w:ascii="宋体" w:hAnsi="宋体" w:eastAsia="宋体" w:cs="Times New Roman"/>
                <w:strike/>
                <w:dstrike w:val="0"/>
                <w:color w:val="auto"/>
                <w:kern w:val="2"/>
                <w:sz w:val="21"/>
                <w:szCs w:val="22"/>
                <w:highlight w:val="none"/>
                <w:lang w:val="en-US" w:eastAsia="zh-CN" w:bidi="ar"/>
              </w:rPr>
              <w:t>[        ]用途</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r>
              <w:rPr>
                <w:rFonts w:hint="eastAsia" w:ascii="宋体" w:hAnsi="宋体" w:eastAsia="宋体" w:cs="Times New Roman"/>
                <w:strike/>
                <w:dstrike w:val="0"/>
                <w:color w:val="auto"/>
                <w:kern w:val="2"/>
                <w:sz w:val="21"/>
                <w:szCs w:val="22"/>
                <w:highlight w:val="none"/>
                <w:lang w:val="en-US" w:eastAsia="zh-CN" w:bidi="ar"/>
              </w:rPr>
              <w:t>平方米</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strike/>
                <w:dstrike w:val="0"/>
                <w:color w:val="auto"/>
                <w:highlight w:val="none"/>
                <w:lang w:val="en-US"/>
              </w:rPr>
            </w:pPr>
            <w:r>
              <w:rPr>
                <w:rFonts w:hint="eastAsia" w:ascii="宋体" w:hAnsi="宋体" w:eastAsia="宋体" w:cs="Times New Roman"/>
                <w:strike/>
                <w:dstrike w:val="0"/>
                <w:color w:val="auto"/>
                <w:kern w:val="2"/>
                <w:sz w:val="21"/>
                <w:szCs w:val="22"/>
                <w:highlight w:val="none"/>
                <w:lang w:val="en-US" w:eastAsia="zh-CN" w:bidi="ar"/>
              </w:rPr>
              <w:t>[        ]用途</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r>
              <w:rPr>
                <w:rFonts w:hint="eastAsia" w:ascii="宋体" w:hAnsi="宋体" w:eastAsia="宋体" w:cs="Times New Roman"/>
                <w:strike/>
                <w:dstrike w:val="0"/>
                <w:color w:val="auto"/>
                <w:kern w:val="2"/>
                <w:sz w:val="21"/>
                <w:szCs w:val="22"/>
                <w:highlight w:val="none"/>
                <w:lang w:val="en-US" w:eastAsia="zh-CN" w:bidi="ar"/>
              </w:rPr>
              <w:t>平方米</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strike/>
                <w:dstrike w:val="0"/>
                <w:color w:val="auto"/>
                <w:highlight w:val="none"/>
                <w:lang w:val="en-US"/>
              </w:rPr>
            </w:pPr>
            <w:r>
              <w:rPr>
                <w:rFonts w:hint="eastAsia" w:ascii="宋体" w:hAnsi="宋体" w:eastAsia="宋体" w:cs="Times New Roman"/>
                <w:strike/>
                <w:dstrike w:val="0"/>
                <w:color w:val="auto"/>
                <w:kern w:val="2"/>
                <w:sz w:val="21"/>
                <w:szCs w:val="22"/>
                <w:highlight w:val="none"/>
                <w:lang w:val="en-US" w:eastAsia="zh-CN" w:bidi="ar"/>
              </w:rPr>
              <w:t>[        ]用途</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r>
              <w:rPr>
                <w:rFonts w:hint="eastAsia" w:ascii="宋体" w:hAnsi="宋体" w:eastAsia="宋体" w:cs="Times New Roman"/>
                <w:strike/>
                <w:dstrike w:val="0"/>
                <w:color w:val="auto"/>
                <w:kern w:val="2"/>
                <w:sz w:val="21"/>
                <w:szCs w:val="22"/>
                <w:highlight w:val="none"/>
                <w:lang w:val="en-US" w:eastAsia="zh-CN" w:bidi="ar"/>
              </w:rPr>
              <w:t>平方米</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strike/>
                <w:dstrike w:val="0"/>
                <w:color w:val="auto"/>
                <w:highlight w:val="none"/>
                <w:lang w:val="en-US"/>
              </w:rPr>
            </w:pPr>
            <w:r>
              <w:rPr>
                <w:rFonts w:hint="eastAsia" w:ascii="宋体" w:hAnsi="宋体" w:eastAsia="宋体" w:cs="Times New Roman"/>
                <w:strike/>
                <w:dstrike w:val="0"/>
                <w:color w:val="auto"/>
                <w:kern w:val="2"/>
                <w:sz w:val="21"/>
                <w:szCs w:val="22"/>
                <w:highlight w:val="none"/>
                <w:lang w:val="en-US" w:eastAsia="zh-CN" w:bidi="ar"/>
              </w:rPr>
              <w:t>[        ]用途</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r>
              <w:rPr>
                <w:rFonts w:hint="eastAsia" w:ascii="宋体" w:hAnsi="宋体" w:eastAsia="宋体" w:cs="Times New Roman"/>
                <w:strike/>
                <w:dstrike w:val="0"/>
                <w:color w:val="auto"/>
                <w:kern w:val="2"/>
                <w:sz w:val="21"/>
                <w:szCs w:val="22"/>
                <w:highlight w:val="none"/>
                <w:lang w:val="en-US" w:eastAsia="zh-CN" w:bidi="ar"/>
              </w:rPr>
              <w:t>平方米</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strike/>
                <w:dstrike w:val="0"/>
                <w:color w:val="auto"/>
                <w:highlight w:val="none"/>
                <w:lang w:val="en-US"/>
              </w:rPr>
            </w:pPr>
            <w:r>
              <w:rPr>
                <w:rFonts w:hint="eastAsia" w:ascii="宋体" w:hAnsi="宋体" w:eastAsia="宋体" w:cs="Times New Roman"/>
                <w:strike/>
                <w:dstrike w:val="0"/>
                <w:color w:val="auto"/>
                <w:kern w:val="2"/>
                <w:sz w:val="21"/>
                <w:szCs w:val="22"/>
                <w:highlight w:val="none"/>
                <w:lang w:val="en-US" w:eastAsia="zh-CN" w:bidi="ar"/>
              </w:rPr>
              <w:t>建筑总高度</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r>
              <w:rPr>
                <w:rFonts w:hint="eastAsia" w:ascii="宋体" w:hAnsi="宋体" w:eastAsia="宋体" w:cs="Times New Roman"/>
                <w:strike/>
                <w:dstrike w:val="0"/>
                <w:color w:val="auto"/>
                <w:kern w:val="2"/>
                <w:sz w:val="21"/>
                <w:szCs w:val="22"/>
                <w:highlight w:val="none"/>
                <w:lang w:val="en-US" w:eastAsia="zh-CN" w:bidi="ar"/>
              </w:rPr>
              <w:t>米</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auto"/>
                <w:highlight w:val="none"/>
                <w:lang w:val="en-US"/>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auto"/>
                <w:highlight w:val="none"/>
                <w:lang w:val="en-US"/>
              </w:rPr>
            </w:pPr>
            <w:r>
              <w:rPr>
                <w:rFonts w:hint="eastAsia" w:ascii="宋体" w:hAnsi="宋体" w:eastAsia="宋体" w:cs="Times New Roman"/>
                <w:strike/>
                <w:dstrike w:val="0"/>
                <w:color w:val="auto"/>
                <w:kern w:val="2"/>
                <w:sz w:val="21"/>
                <w:szCs w:val="22"/>
                <w:highlight w:val="none"/>
                <w:lang w:val="en-US" w:eastAsia="zh-CN" w:bidi="ar"/>
              </w:rPr>
              <w:t>地上层数</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r>
              <w:rPr>
                <w:rFonts w:hint="eastAsia" w:ascii="宋体" w:hAnsi="宋体" w:eastAsia="宋体" w:cs="Times New Roman"/>
                <w:strike/>
                <w:dstrike w:val="0"/>
                <w:color w:val="auto"/>
                <w:kern w:val="2"/>
                <w:sz w:val="21"/>
                <w:szCs w:val="22"/>
                <w:highlight w:val="none"/>
                <w:lang w:val="en-US" w:eastAsia="zh-CN" w:bidi="ar"/>
              </w:rPr>
              <w:t>层</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auto"/>
                <w:highlight w:val="none"/>
                <w:lang w:val="en-US"/>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auto"/>
                <w:highlight w:val="none"/>
                <w:lang w:val="en-US"/>
              </w:rPr>
            </w:pPr>
            <w:r>
              <w:rPr>
                <w:rFonts w:hint="eastAsia" w:ascii="宋体" w:hAnsi="宋体" w:eastAsia="宋体" w:cs="Times New Roman"/>
                <w:strike/>
                <w:dstrike w:val="0"/>
                <w:color w:val="auto"/>
                <w:kern w:val="2"/>
                <w:sz w:val="21"/>
                <w:szCs w:val="22"/>
                <w:highlight w:val="none"/>
                <w:lang w:val="en-US" w:eastAsia="zh-CN" w:bidi="ar"/>
              </w:rPr>
              <w:t>地下层数</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r>
              <w:rPr>
                <w:rFonts w:hint="eastAsia" w:ascii="宋体" w:hAnsi="宋体" w:eastAsia="宋体" w:cs="Times New Roman"/>
                <w:strike/>
                <w:dstrike w:val="0"/>
                <w:color w:val="auto"/>
                <w:kern w:val="2"/>
                <w:sz w:val="21"/>
                <w:szCs w:val="22"/>
                <w:highlight w:val="none"/>
                <w:lang w:val="en-US" w:eastAsia="zh-CN" w:bidi="ar"/>
              </w:rPr>
              <w:t>层</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auto"/>
                <w:highlight w:val="none"/>
                <w:lang w:val="en-US"/>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auto"/>
                <w:highlight w:val="none"/>
                <w:lang w:val="en-US"/>
              </w:rPr>
            </w:pPr>
            <w:r>
              <w:rPr>
                <w:rFonts w:hint="eastAsia" w:ascii="宋体" w:hAnsi="宋体" w:eastAsia="宋体" w:cs="Times New Roman"/>
                <w:strike/>
                <w:dstrike w:val="0"/>
                <w:color w:val="auto"/>
                <w:kern w:val="2"/>
                <w:sz w:val="21"/>
                <w:szCs w:val="22"/>
                <w:highlight w:val="none"/>
                <w:lang w:val="en-US" w:eastAsia="zh-CN" w:bidi="ar"/>
              </w:rPr>
              <w:t>电梯</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r>
              <w:rPr>
                <w:rFonts w:hint="eastAsia" w:ascii="宋体" w:hAnsi="宋体" w:eastAsia="宋体" w:cs="Times New Roman"/>
                <w:strike/>
                <w:dstrike w:val="0"/>
                <w:color w:val="auto"/>
                <w:kern w:val="2"/>
                <w:sz w:val="21"/>
                <w:szCs w:val="22"/>
                <w:highlight w:val="none"/>
                <w:lang w:val="en-US" w:eastAsia="zh-CN" w:bidi="ar"/>
              </w:rPr>
              <w:t>台</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auto"/>
                <w:highlight w:val="none"/>
                <w:lang w:val="en-US"/>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auto"/>
                <w:highlight w:val="none"/>
                <w:lang w:val="en-US"/>
              </w:rPr>
            </w:pPr>
            <w:r>
              <w:rPr>
                <w:rFonts w:hint="eastAsia" w:ascii="宋体" w:hAnsi="宋体" w:eastAsia="宋体" w:cs="Times New Roman"/>
                <w:strike/>
                <w:dstrike w:val="0"/>
                <w:color w:val="auto"/>
                <w:kern w:val="2"/>
                <w:sz w:val="21"/>
                <w:szCs w:val="22"/>
                <w:highlight w:val="none"/>
                <w:lang w:val="en-US" w:eastAsia="zh-CN" w:bidi="ar"/>
              </w:rPr>
              <w:t>楼梯</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r>
              <w:rPr>
                <w:rFonts w:hint="eastAsia" w:ascii="宋体" w:hAnsi="宋体" w:eastAsia="宋体" w:cs="Times New Roman"/>
                <w:strike/>
                <w:dstrike w:val="0"/>
                <w:color w:val="auto"/>
                <w:kern w:val="2"/>
                <w:sz w:val="21"/>
                <w:szCs w:val="22"/>
                <w:highlight w:val="none"/>
                <w:lang w:val="en-US" w:eastAsia="zh-CN" w:bidi="ar"/>
              </w:rPr>
              <w:t>樘</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auto"/>
                <w:highlight w:val="none"/>
                <w:lang w:val="en-US"/>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auto"/>
                <w:highlight w:val="none"/>
                <w:lang w:val="en-US"/>
              </w:rPr>
            </w:pPr>
            <w:r>
              <w:rPr>
                <w:rFonts w:hint="eastAsia" w:ascii="宋体" w:hAnsi="宋体" w:eastAsia="宋体" w:cs="Times New Roman"/>
                <w:strike/>
                <w:dstrike w:val="0"/>
                <w:color w:val="auto"/>
                <w:kern w:val="2"/>
                <w:sz w:val="21"/>
                <w:szCs w:val="22"/>
                <w:highlight w:val="none"/>
                <w:lang w:val="en-US" w:eastAsia="zh-CN" w:bidi="ar"/>
              </w:rPr>
              <w:t>主入口朝向</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r>
              <w:rPr>
                <w:rFonts w:hint="eastAsia" w:ascii="宋体" w:hAnsi="宋体" w:eastAsia="宋体" w:cs="Times New Roman"/>
                <w:strike/>
                <w:dstrike w:val="0"/>
                <w:color w:val="auto"/>
                <w:kern w:val="2"/>
                <w:sz w:val="21"/>
                <w:szCs w:val="22"/>
                <w:highlight w:val="none"/>
                <w:lang w:val="en-US" w:eastAsia="zh-CN" w:bidi="ar"/>
              </w:rPr>
              <w:t>方向</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auto"/>
                <w:highlight w:val="none"/>
                <w:lang w:val="en-US"/>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auto"/>
                <w:highlight w:val="none"/>
                <w:lang w:val="en-US"/>
              </w:rPr>
            </w:pPr>
            <w:r>
              <w:rPr>
                <w:rFonts w:hint="eastAsia" w:ascii="宋体" w:hAnsi="宋体" w:eastAsia="宋体" w:cs="Times New Roman"/>
                <w:strike/>
                <w:dstrike w:val="0"/>
                <w:color w:val="auto"/>
                <w:kern w:val="2"/>
                <w:sz w:val="21"/>
                <w:szCs w:val="22"/>
                <w:highlight w:val="none"/>
                <w:lang w:val="en-US" w:eastAsia="zh-CN" w:bidi="ar"/>
              </w:rPr>
              <w:t>无日照采光的房间</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strike/>
                <w:dstrike w:val="0"/>
                <w:color w:val="auto"/>
                <w:highlight w:val="none"/>
                <w:lang w:val="en-US"/>
              </w:rPr>
            </w:pPr>
            <w:r>
              <w:rPr>
                <w:rFonts w:hint="eastAsia" w:ascii="宋体" w:hAnsi="宋体" w:eastAsia="宋体" w:cs="Times New Roman"/>
                <w:strike/>
                <w:dstrike w:val="0"/>
                <w:color w:val="auto"/>
                <w:kern w:val="2"/>
                <w:sz w:val="21"/>
                <w:szCs w:val="22"/>
                <w:highlight w:val="none"/>
                <w:lang w:val="en-US" w:eastAsia="zh-CN" w:bidi="ar"/>
              </w:rPr>
              <w:t>个</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auto"/>
                <w:highlight w:val="none"/>
                <w:lang w:val="en-US"/>
              </w:rPr>
            </w:pPr>
          </w:p>
        </w:tc>
        <w:tc>
          <w:tcPr>
            <w:tcW w:w="43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auto"/>
                <w:highlight w:val="none"/>
                <w:lang w:val="en-US"/>
              </w:rPr>
            </w:pPr>
          </w:p>
        </w:tc>
        <w:tc>
          <w:tcPr>
            <w:tcW w:w="119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auto"/>
                <w:highlight w:val="none"/>
                <w:lang w:val="en-US"/>
              </w:rPr>
            </w:pPr>
          </w:p>
        </w:tc>
        <w:tc>
          <w:tcPr>
            <w:tcW w:w="24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strike/>
                <w:dstrike w:val="0"/>
                <w:color w:val="auto"/>
                <w:highlight w:val="none"/>
                <w:lang w:val="en-US"/>
              </w:rPr>
            </w:pPr>
          </w:p>
        </w:tc>
      </w:tr>
    </w:tbl>
    <w:p>
      <w:pPr>
        <w:keepNext w:val="0"/>
        <w:keepLines w:val="0"/>
        <w:widowControl/>
        <w:suppressLineNumbers w:val="0"/>
        <w:jc w:val="left"/>
        <w:rPr>
          <w:color w:val="auto"/>
          <w:highlight w:val="none"/>
        </w:rPr>
      </w:pPr>
      <w:r>
        <w:rPr>
          <w:rFonts w:hint="eastAsia" w:ascii="宋体" w:hAnsi="宋体" w:eastAsia="宋体" w:cs="Times New Roman"/>
          <w:strike/>
          <w:dstrike w:val="0"/>
          <w:color w:val="auto"/>
          <w:kern w:val="2"/>
          <w:sz w:val="21"/>
          <w:szCs w:val="22"/>
          <w:highlight w:val="none"/>
          <w:lang w:val="en-US" w:eastAsia="zh-CN" w:bidi="ar"/>
        </w:rPr>
        <w:t>数值栏由投标人填写。为了确保评选的精确性，在评标委员会评审之前，招标人（招标代理机构）可委托专业人士对设计方案进行测试，借助CAD和图表复核设计方案中描述的面积、体积、空间体量及其他客观标准内容，填写在测试结果栏，测试结果提供评标委员会参考。</w:t>
      </w:r>
      <w:r>
        <w:rPr>
          <w:rFonts w:hint="default" w:ascii="宋体" w:hAnsi="宋体" w:eastAsia="宋体" w:cs="宋体"/>
          <w:color w:val="auto"/>
          <w:kern w:val="2"/>
          <w:sz w:val="24"/>
          <w:szCs w:val="24"/>
          <w:highlight w:val="none"/>
          <w:lang w:val="en-US" w:eastAsia="zh-CN" w:bidi="ar"/>
        </w:rPr>
        <w:t xml:space="preserve"> </w:t>
      </w:r>
    </w:p>
    <w:p>
      <w:pPr>
        <w:jc w:val="left"/>
        <w:rPr>
          <w:rFonts w:ascii="宋体" w:hAnsi="宋体" w:eastAsia="宋体" w:cs="Times New Roman"/>
          <w:strike w:val="0"/>
          <w:color w:val="auto"/>
          <w:highlight w:val="none"/>
        </w:rPr>
      </w:pPr>
    </w:p>
    <w:p>
      <w:pPr>
        <w:jc w:val="center"/>
        <w:outlineLvl w:val="9"/>
        <w:rPr>
          <w:rFonts w:ascii="宋体" w:hAnsi="宋体" w:eastAsia="宋体" w:cs="Times New Roman"/>
          <w:b w:val="0"/>
          <w:bCs w:val="0"/>
          <w:color w:val="auto"/>
          <w:kern w:val="44"/>
          <w:sz w:val="44"/>
          <w:szCs w:val="44"/>
          <w:highlight w:val="none"/>
          <w:lang w:val="en-US" w:eastAsia="zh-CN" w:bidi="ar-SA"/>
        </w:rPr>
      </w:pPr>
      <w:r>
        <w:rPr>
          <w:rFonts w:ascii="宋体" w:hAnsi="宋体" w:eastAsia="宋体" w:cs="Times New Roman"/>
          <w:b w:val="0"/>
          <w:bCs w:val="0"/>
          <w:color w:val="auto"/>
          <w:kern w:val="44"/>
          <w:sz w:val="44"/>
          <w:szCs w:val="44"/>
          <w:highlight w:val="none"/>
          <w:lang w:val="en-US" w:eastAsia="zh-CN" w:bidi="ar-SA"/>
        </w:rPr>
        <w:br w:type="page"/>
      </w:r>
    </w:p>
    <w:p>
      <w:pPr>
        <w:outlineLvl w:val="9"/>
        <w:rPr>
          <w:rFonts w:ascii="宋体" w:hAnsi="宋体" w:eastAsia="宋体" w:cs="Times New Roman"/>
          <w:b w:val="0"/>
          <w:bCs w:val="0"/>
          <w:color w:val="auto"/>
          <w:kern w:val="44"/>
          <w:sz w:val="44"/>
          <w:szCs w:val="44"/>
          <w:highlight w:val="none"/>
          <w:lang w:val="en-US" w:eastAsia="zh-CN" w:bidi="ar-SA"/>
        </w:rPr>
      </w:pPr>
    </w:p>
    <w:p>
      <w:pPr>
        <w:keepNext/>
        <w:keepLines/>
        <w:spacing w:line="360" w:lineRule="auto"/>
        <w:outlineLvl w:val="1"/>
        <w:rPr>
          <w:rFonts w:ascii="宋体" w:hAnsi="宋体" w:eastAsia="宋体" w:cs="Times New Roman"/>
          <w:color w:val="auto"/>
          <w:kern w:val="44"/>
          <w:sz w:val="44"/>
          <w:szCs w:val="44"/>
          <w:highlight w:val="none"/>
        </w:rPr>
      </w:pPr>
      <w:bookmarkStart w:id="51" w:name="_Toc15134"/>
      <w:bookmarkStart w:id="52" w:name="_Toc17410"/>
      <w:r>
        <w:rPr>
          <w:rFonts w:hint="eastAsia" w:ascii="宋体" w:hAnsi="宋体" w:eastAsia="宋体" w:cs="Times New Roman"/>
          <w:b/>
          <w:bCs/>
          <w:color w:val="auto"/>
          <w:kern w:val="44"/>
          <w:szCs w:val="21"/>
          <w:highlight w:val="none"/>
        </w:rPr>
        <w:t>附录</w:t>
      </w:r>
      <w:r>
        <w:rPr>
          <w:rFonts w:ascii="宋体" w:hAnsi="宋体" w:eastAsia="宋体" w:cs="Times New Roman"/>
          <w:b/>
          <w:bCs/>
          <w:color w:val="auto"/>
          <w:kern w:val="44"/>
          <w:szCs w:val="21"/>
          <w:highlight w:val="none"/>
        </w:rPr>
        <w:t xml:space="preserve">6 </w:t>
      </w:r>
      <w:r>
        <w:rPr>
          <w:rFonts w:hint="eastAsia" w:ascii="宋体" w:hAnsi="宋体" w:eastAsia="宋体" w:cs="Times New Roman"/>
          <w:b/>
          <w:bCs/>
          <w:color w:val="auto"/>
          <w:kern w:val="44"/>
          <w:szCs w:val="21"/>
          <w:highlight w:val="none"/>
        </w:rPr>
        <w:t>投标书</w:t>
      </w:r>
      <w:bookmarkEnd w:id="51"/>
      <w:bookmarkEnd w:id="52"/>
    </w:p>
    <w:p>
      <w:pPr>
        <w:spacing w:line="360" w:lineRule="auto"/>
        <w:jc w:val="center"/>
        <w:rPr>
          <w:rFonts w:ascii="宋体" w:hAnsi="宋体" w:eastAsia="宋体" w:cs="Times New Roman"/>
          <w:b/>
          <w:bCs/>
          <w:color w:val="auto"/>
          <w:sz w:val="32"/>
          <w:highlight w:val="none"/>
        </w:rPr>
      </w:pPr>
      <w:r>
        <w:rPr>
          <w:rFonts w:hint="eastAsia" w:ascii="宋体" w:hAnsi="宋体" w:eastAsia="宋体" w:cs="Times New Roman"/>
          <w:b/>
          <w:bCs/>
          <w:color w:val="auto"/>
          <w:sz w:val="32"/>
          <w:highlight w:val="none"/>
        </w:rPr>
        <w:t>投标书</w:t>
      </w:r>
    </w:p>
    <w:p>
      <w:pPr>
        <w:spacing w:line="360" w:lineRule="auto"/>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项目名称：</w:t>
      </w:r>
      <w:r>
        <w:rPr>
          <w:rFonts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w:t>
      </w:r>
    </w:p>
    <w:p>
      <w:pPr>
        <w:spacing w:line="360" w:lineRule="auto"/>
        <w:rPr>
          <w:rFonts w:ascii="宋体" w:hAnsi="宋体" w:eastAsia="宋体" w:cs="Times New Roman"/>
          <w:color w:val="auto"/>
          <w:sz w:val="24"/>
          <w:highlight w:val="none"/>
        </w:rPr>
      </w:pPr>
      <w:r>
        <w:rPr>
          <w:rFonts w:hint="eastAsia" w:ascii="宋体" w:hAnsi="宋体" w:eastAsia="宋体" w:cs="Times New Roman"/>
          <w:color w:val="auto"/>
          <w:sz w:val="24"/>
          <w:highlight w:val="none"/>
        </w:rPr>
        <w:t>致：</w:t>
      </w:r>
      <w:r>
        <w:rPr>
          <w:rFonts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（招标人、招标代理机构名称）</w:t>
      </w:r>
    </w:p>
    <w:p>
      <w:pPr>
        <w:spacing w:line="360" w:lineRule="auto"/>
        <w:jc w:val="left"/>
        <w:rPr>
          <w:rFonts w:ascii="宋体" w:hAnsi="宋体" w:eastAsia="宋体" w:cs="Times New Roman"/>
          <w:color w:val="auto"/>
          <w:sz w:val="24"/>
          <w:highlight w:val="none"/>
        </w:rPr>
      </w:pPr>
    </w:p>
    <w:p>
      <w:pPr>
        <w:spacing w:line="360" w:lineRule="auto"/>
        <w:ind w:firstLine="420"/>
        <w:rPr>
          <w:rFonts w:ascii="宋体" w:hAnsi="宋体" w:eastAsia="宋体" w:cs="Times New Roman"/>
          <w:color w:val="auto"/>
          <w:sz w:val="24"/>
          <w:highlight w:val="none"/>
        </w:rPr>
      </w:pPr>
      <w:r>
        <w:rPr>
          <w:rFonts w:hint="eastAsia" w:ascii="宋体" w:hAnsi="宋体" w:eastAsia="宋体" w:cs="Times New Roman"/>
          <w:color w:val="auto"/>
          <w:sz w:val="24"/>
          <w:highlight w:val="none"/>
        </w:rPr>
        <w:t>我方（投标人的简称）已收到并研究了上述项目的招标文件、合同条件、招标人要求、资料表、附件、补充文件和技术规范等文件。我方已检查和核对了这些文件，未发现他们有错误或其他缺陷。据此，我方愿按这些文件的规定，按照本投标书，包括一并提交的所有文件材料和所附建议书，承担上述项目并修补其中任何缺陷。我方愿以《工程勘察设计费报价汇总表》的投标总报价，承包本次招标所包含的工作，并承担质量缺陷责任。我方项目负责人为网上投标登记时选择的项目负责人。如我司成为本项目中标候选人，我司同意并授权招标人将我司投标文件商务部分进行公开。</w:t>
      </w:r>
    </w:p>
    <w:p>
      <w:pPr>
        <w:spacing w:line="360" w:lineRule="auto"/>
        <w:ind w:firstLine="420"/>
        <w:rPr>
          <w:rFonts w:ascii="宋体" w:hAnsi="宋体" w:eastAsia="宋体" w:cs="Times New Roman"/>
          <w:color w:val="auto"/>
          <w:sz w:val="24"/>
          <w:highlight w:val="none"/>
        </w:rPr>
      </w:pPr>
      <w:r>
        <w:rPr>
          <w:rFonts w:hint="eastAsia" w:ascii="宋体" w:hAnsi="宋体" w:eastAsia="宋体" w:cs="Times New Roman"/>
          <w:color w:val="auto"/>
          <w:sz w:val="24"/>
          <w:highlight w:val="none"/>
        </w:rPr>
        <w:t>我方遵守本投标书直至投标有效期满，在该日期前，本投标书对我方一直具有约束力，随时可接受中标。我方承认所附投标文件资料为本投标书的一部分。如果我方投标书含有不符合招标文件规定的内容，我方同意按招标文件规定予以修正。我方接受你方关于任命争端裁决委员会的建议。</w:t>
      </w:r>
    </w:p>
    <w:p>
      <w:pPr>
        <w:spacing w:line="360" w:lineRule="auto"/>
        <w:ind w:firstLine="420"/>
        <w:rPr>
          <w:rFonts w:ascii="宋体" w:hAnsi="宋体" w:eastAsia="宋体" w:cs="Times New Roman"/>
          <w:color w:val="auto"/>
          <w:sz w:val="24"/>
          <w:highlight w:val="none"/>
        </w:rPr>
      </w:pPr>
      <w:r>
        <w:rPr>
          <w:rFonts w:hint="eastAsia" w:ascii="宋体" w:hAnsi="宋体" w:eastAsia="宋体" w:cs="Times New Roman"/>
          <w:color w:val="auto"/>
          <w:sz w:val="24"/>
          <w:highlight w:val="none"/>
        </w:rPr>
        <w:t>我方认同招标文件规定的评审规则，遵守评标委员会的裁决结果，并且不会采取妨碍项目进展的行为。我方理解你方没有必须接受你方可能收到的最低标或任何投标的义务。</w:t>
      </w:r>
    </w:p>
    <w:p>
      <w:pPr>
        <w:spacing w:line="360" w:lineRule="auto"/>
        <w:ind w:firstLine="420"/>
        <w:rPr>
          <w:rFonts w:ascii="宋体" w:hAnsi="宋体" w:eastAsia="宋体" w:cs="Times New Roman"/>
          <w:b/>
          <w:bCs/>
          <w:color w:val="auto"/>
          <w:sz w:val="24"/>
          <w:highlight w:val="none"/>
          <w:u w:val="single"/>
        </w:rPr>
      </w:pPr>
      <w:r>
        <w:rPr>
          <w:rFonts w:hint="eastAsia" w:ascii="宋体" w:hAnsi="宋体" w:eastAsia="宋体" w:cs="Times New Roman"/>
          <w:b/>
          <w:bCs/>
          <w:color w:val="auto"/>
          <w:sz w:val="24"/>
          <w:highlight w:val="none"/>
          <w:u w:val="single"/>
        </w:rPr>
        <w:t>如果我方中标，我方</w:t>
      </w:r>
      <w:r>
        <w:rPr>
          <w:rFonts w:hint="eastAsia" w:ascii="宋体" w:hAnsi="宋体" w:eastAsia="宋体" w:cs="Times New Roman"/>
          <w:b/>
          <w:bCs/>
          <w:strike/>
          <w:color w:val="auto"/>
          <w:sz w:val="24"/>
          <w:highlight w:val="none"/>
          <w:u w:val="single"/>
        </w:rPr>
        <w:t>将</w:t>
      </w:r>
      <w:r>
        <w:rPr>
          <w:rFonts w:hint="eastAsia" w:ascii="宋体" w:hAnsi="宋体" w:eastAsia="宋体" w:cs="Times New Roman"/>
          <w:b/>
          <w:bCs/>
          <w:color w:val="auto"/>
          <w:sz w:val="24"/>
          <w:highlight w:val="none"/>
          <w:u w:val="single"/>
        </w:rPr>
        <w:t>所配备的人员不满足本项目合同条款及勘察设计任务书要求，我方承诺按合同约定承担违约责任。</w:t>
      </w:r>
      <w:r>
        <w:rPr>
          <w:rFonts w:hint="eastAsia" w:ascii="宋体" w:hAnsi="宋体" w:eastAsia="宋体" w:cs="Times New Roman"/>
          <w:color w:val="auto"/>
          <w:spacing w:val="4"/>
          <w:sz w:val="24"/>
          <w:highlight w:val="none"/>
        </w:rPr>
        <w:t>我方承诺严格按照合同和招投标文件规定履行义务，并同意你方将我方履行合同、招投标文件义务的履约情况和不诚信行为（包括但不限于由你方做出的违约责任处理决定等）在你方网站和建设项目业主网站及其他媒体上公开披露，由此造成的一切损失和不利后果均由我方自行承担。</w:t>
      </w:r>
    </w:p>
    <w:p>
      <w:pPr>
        <w:spacing w:line="360" w:lineRule="auto"/>
        <w:ind w:firstLine="420"/>
        <w:rPr>
          <w:rFonts w:ascii="宋体" w:hAnsi="宋体" w:eastAsia="宋体" w:cs="Times New Roman"/>
          <w:color w:val="auto"/>
          <w:sz w:val="24"/>
          <w:highlight w:val="none"/>
        </w:rPr>
      </w:pPr>
      <w:r>
        <w:rPr>
          <w:rFonts w:hint="eastAsia" w:ascii="宋体" w:hAnsi="宋体" w:eastAsia="宋体" w:cs="Times New Roman"/>
          <w:color w:val="auto"/>
          <w:sz w:val="24"/>
          <w:highlight w:val="none"/>
        </w:rPr>
        <w:t>如果我方中标，我方将提供规定的履约担保，将在合同规定的日期开工，并在竣工时间内，按照上述文件完成项目。</w:t>
      </w:r>
    </w:p>
    <w:p>
      <w:pPr>
        <w:spacing w:line="360" w:lineRule="auto"/>
        <w:ind w:firstLine="420"/>
        <w:rPr>
          <w:rFonts w:ascii="宋体" w:hAnsi="宋体" w:eastAsia="宋体" w:cs="Times New Roman"/>
          <w:color w:val="auto"/>
          <w:sz w:val="24"/>
          <w:highlight w:val="none"/>
        </w:rPr>
      </w:pPr>
      <w:r>
        <w:rPr>
          <w:rFonts w:hint="eastAsia" w:ascii="宋体" w:hAnsi="宋体" w:eastAsia="宋体" w:cs="Times New Roman"/>
          <w:color w:val="auto"/>
          <w:sz w:val="24"/>
          <w:highlight w:val="none"/>
        </w:rPr>
        <w:t>除非制订正式合同协议书并生效，本投标书以及你方中标通知书，应构成你我双方间具有约束力的合同。</w:t>
      </w:r>
    </w:p>
    <w:p>
      <w:pPr>
        <w:spacing w:line="360" w:lineRule="auto"/>
        <w:ind w:firstLine="405"/>
        <w:rPr>
          <w:rFonts w:ascii="宋体" w:hAnsi="宋体" w:eastAsia="宋体" w:cs="Times New Roman"/>
          <w:color w:val="auto"/>
          <w:sz w:val="24"/>
          <w:highlight w:val="none"/>
        </w:rPr>
      </w:pPr>
      <w:r>
        <w:rPr>
          <w:rFonts w:hint="eastAsia" w:ascii="宋体" w:hAnsi="宋体" w:eastAsia="宋体" w:cs="Times New Roman"/>
          <w:color w:val="auto"/>
          <w:sz w:val="24"/>
          <w:highlight w:val="none"/>
        </w:rPr>
        <w:t>本投标书同时作为法人证明书或法人授权委托书。</w:t>
      </w:r>
    </w:p>
    <w:p>
      <w:pPr>
        <w:spacing w:line="360" w:lineRule="auto"/>
        <w:rPr>
          <w:rFonts w:ascii="宋体" w:hAnsi="宋体" w:eastAsia="宋体" w:cs="Times New Roman"/>
          <w:color w:val="auto"/>
          <w:sz w:val="24"/>
          <w:highlight w:val="none"/>
        </w:rPr>
      </w:pPr>
    </w:p>
    <w:p>
      <w:pPr>
        <w:spacing w:line="360" w:lineRule="auto"/>
        <w:ind w:firstLine="405"/>
        <w:rPr>
          <w:rFonts w:ascii="宋体" w:hAnsi="宋体" w:eastAsia="宋体" w:cs="Times New Roman"/>
          <w:color w:val="auto"/>
          <w:sz w:val="24"/>
          <w:highlight w:val="none"/>
        </w:rPr>
      </w:pPr>
      <w:r>
        <w:rPr>
          <w:rFonts w:hint="eastAsia" w:ascii="宋体" w:hAnsi="宋体" w:eastAsia="宋体" w:cs="Times New Roman"/>
          <w:color w:val="auto"/>
          <w:sz w:val="24"/>
          <w:highlight w:val="none"/>
        </w:rPr>
        <w:t>投标人：（盖章）</w:t>
      </w:r>
      <w:r>
        <w:rPr>
          <w:rFonts w:ascii="宋体" w:hAnsi="宋体" w:eastAsia="宋体" w:cs="Times New Roman"/>
          <w:color w:val="auto"/>
          <w:sz w:val="24"/>
          <w:highlight w:val="none"/>
          <w:u w:val="single"/>
        </w:rPr>
        <w:t xml:space="preserve">                                  </w:t>
      </w:r>
    </w:p>
    <w:p>
      <w:pPr>
        <w:spacing w:line="360" w:lineRule="auto"/>
        <w:ind w:firstLine="405"/>
        <w:rPr>
          <w:rFonts w:ascii="宋体" w:hAnsi="宋体" w:eastAsia="宋体" w:cs="Times New Roman"/>
          <w:color w:val="auto"/>
          <w:sz w:val="24"/>
          <w:highlight w:val="none"/>
        </w:rPr>
      </w:pPr>
      <w:r>
        <w:rPr>
          <w:rFonts w:hint="eastAsia" w:ascii="宋体" w:hAnsi="宋体" w:eastAsia="宋体" w:cs="Times New Roman"/>
          <w:color w:val="auto"/>
          <w:sz w:val="24"/>
          <w:highlight w:val="none"/>
        </w:rPr>
        <w:t>法定代表人：（签字或盖章）</w:t>
      </w:r>
      <w:r>
        <w:rPr>
          <w:rFonts w:ascii="宋体" w:hAnsi="宋体" w:eastAsia="宋体" w:cs="Times New Roman"/>
          <w:color w:val="auto"/>
          <w:sz w:val="24"/>
          <w:highlight w:val="none"/>
          <w:u w:val="single"/>
        </w:rPr>
        <w:t xml:space="preserve">                        </w:t>
      </w:r>
    </w:p>
    <w:p>
      <w:pPr>
        <w:spacing w:line="360" w:lineRule="auto"/>
        <w:ind w:firstLine="405"/>
        <w:rPr>
          <w:rFonts w:ascii="宋体" w:hAnsi="宋体" w:eastAsia="宋体" w:cs="Times New Roman"/>
          <w:color w:val="auto"/>
          <w:sz w:val="24"/>
          <w:highlight w:val="none"/>
        </w:rPr>
      </w:pPr>
      <w:r>
        <w:rPr>
          <w:rFonts w:hint="eastAsia" w:ascii="宋体" w:hAnsi="宋体" w:eastAsia="宋体" w:cs="Times New Roman"/>
          <w:color w:val="auto"/>
          <w:sz w:val="24"/>
          <w:highlight w:val="none"/>
        </w:rPr>
        <w:t>委托代理人：（签字或盖章）</w:t>
      </w:r>
      <w:r>
        <w:rPr>
          <w:rFonts w:ascii="宋体" w:hAnsi="宋体" w:eastAsia="宋体" w:cs="Times New Roman"/>
          <w:color w:val="auto"/>
          <w:sz w:val="24"/>
          <w:highlight w:val="none"/>
          <w:u w:val="single"/>
        </w:rPr>
        <w:t xml:space="preserve">                        </w:t>
      </w:r>
    </w:p>
    <w:p>
      <w:pPr>
        <w:spacing w:line="360" w:lineRule="auto"/>
        <w:ind w:firstLine="405"/>
        <w:rPr>
          <w:rFonts w:ascii="宋体" w:hAnsi="宋体" w:eastAsia="宋体" w:cs="Times New Roman"/>
          <w:color w:val="auto"/>
          <w:sz w:val="24"/>
          <w:highlight w:val="none"/>
        </w:rPr>
      </w:pPr>
      <w:r>
        <w:rPr>
          <w:rFonts w:hint="eastAsia" w:ascii="宋体" w:hAnsi="宋体" w:eastAsia="宋体" w:cs="Times New Roman"/>
          <w:color w:val="auto"/>
          <w:sz w:val="24"/>
          <w:highlight w:val="none"/>
        </w:rPr>
        <w:t>项目负责人：（签字或盖章）</w:t>
      </w:r>
      <w:r>
        <w:rPr>
          <w:rFonts w:ascii="宋体" w:hAnsi="宋体" w:eastAsia="宋体" w:cs="Times New Roman"/>
          <w:color w:val="auto"/>
          <w:sz w:val="24"/>
          <w:highlight w:val="none"/>
          <w:u w:val="single"/>
        </w:rPr>
        <w:t xml:space="preserve">                        </w:t>
      </w:r>
    </w:p>
    <w:p>
      <w:pPr>
        <w:spacing w:line="360" w:lineRule="auto"/>
        <w:ind w:firstLine="405"/>
        <w:rPr>
          <w:rFonts w:ascii="宋体" w:hAnsi="宋体" w:eastAsia="宋体" w:cs="Times New Roman"/>
          <w:color w:val="auto"/>
          <w:sz w:val="24"/>
          <w:highlight w:val="none"/>
        </w:rPr>
      </w:pPr>
      <w:r>
        <w:rPr>
          <w:rFonts w:hint="eastAsia" w:ascii="宋体" w:hAnsi="宋体" w:eastAsia="宋体" w:cs="Times New Roman"/>
          <w:color w:val="auto"/>
          <w:sz w:val="24"/>
          <w:highlight w:val="none"/>
        </w:rPr>
        <w:t>地址：</w:t>
      </w:r>
      <w:r>
        <w:rPr>
          <w:rFonts w:ascii="宋体" w:hAnsi="宋体" w:eastAsia="宋体" w:cs="Times New Roman"/>
          <w:color w:val="auto"/>
          <w:sz w:val="24"/>
          <w:highlight w:val="none"/>
          <w:u w:val="single"/>
        </w:rPr>
        <w:t xml:space="preserve">                                           </w:t>
      </w:r>
    </w:p>
    <w:p>
      <w:pPr>
        <w:spacing w:line="360" w:lineRule="auto"/>
        <w:ind w:firstLine="405"/>
        <w:rPr>
          <w:rFonts w:ascii="宋体" w:hAnsi="宋体" w:eastAsia="宋体" w:cs="Times New Roman"/>
          <w:color w:val="auto"/>
          <w:sz w:val="24"/>
          <w:highlight w:val="none"/>
        </w:rPr>
      </w:pPr>
      <w:r>
        <w:rPr>
          <w:rFonts w:hint="eastAsia" w:ascii="宋体" w:hAnsi="宋体" w:eastAsia="宋体" w:cs="Times New Roman"/>
          <w:color w:val="auto"/>
          <w:sz w:val="24"/>
          <w:highlight w:val="none"/>
        </w:rPr>
        <w:t>邮政编码：</w:t>
      </w:r>
      <w:r>
        <w:rPr>
          <w:rFonts w:ascii="宋体" w:hAnsi="宋体" w:eastAsia="宋体" w:cs="Times New Roman"/>
          <w:color w:val="auto"/>
          <w:sz w:val="24"/>
          <w:highlight w:val="none"/>
          <w:u w:val="single"/>
        </w:rPr>
        <w:t xml:space="preserve">                                       </w:t>
      </w:r>
    </w:p>
    <w:p>
      <w:pPr>
        <w:spacing w:line="360" w:lineRule="auto"/>
        <w:ind w:firstLine="405"/>
        <w:rPr>
          <w:rFonts w:ascii="宋体" w:hAnsi="宋体" w:eastAsia="宋体" w:cs="Times New Roman"/>
          <w:color w:val="auto"/>
          <w:sz w:val="24"/>
          <w:highlight w:val="none"/>
        </w:rPr>
      </w:pPr>
      <w:r>
        <w:rPr>
          <w:rFonts w:hint="eastAsia" w:ascii="宋体" w:hAnsi="宋体" w:eastAsia="宋体" w:cs="Times New Roman"/>
          <w:color w:val="auto"/>
          <w:sz w:val="24"/>
          <w:highlight w:val="none"/>
        </w:rPr>
        <w:t>电话</w:t>
      </w:r>
      <w:r>
        <w:rPr>
          <w:rFonts w:ascii="宋体" w:hAnsi="宋体" w:eastAsia="宋体" w:cs="Times New Roman"/>
          <w:color w:val="auto"/>
          <w:sz w:val="24"/>
          <w:highlight w:val="none"/>
        </w:rPr>
        <w:t>/传真：</w:t>
      </w:r>
      <w:r>
        <w:rPr>
          <w:rFonts w:ascii="宋体" w:hAnsi="宋体" w:eastAsia="宋体" w:cs="Times New Roman"/>
          <w:color w:val="auto"/>
          <w:sz w:val="24"/>
          <w:highlight w:val="none"/>
          <w:u w:val="single"/>
        </w:rPr>
        <w:t xml:space="preserve">                    /FAX              </w:t>
      </w:r>
    </w:p>
    <w:p>
      <w:pPr>
        <w:spacing w:line="360" w:lineRule="auto"/>
        <w:ind w:firstLine="405"/>
        <w:rPr>
          <w:rFonts w:ascii="宋体" w:hAnsi="宋体" w:eastAsia="宋体" w:cs="Times New Roman"/>
          <w:color w:val="auto"/>
          <w:sz w:val="24"/>
          <w:highlight w:val="none"/>
        </w:rPr>
      </w:pPr>
      <w:r>
        <w:rPr>
          <w:rFonts w:hint="eastAsia" w:ascii="宋体" w:hAnsi="宋体" w:eastAsia="宋体" w:cs="Times New Roman"/>
          <w:color w:val="auto"/>
          <w:sz w:val="24"/>
          <w:highlight w:val="none"/>
        </w:rPr>
        <w:t>电子邮箱：</w:t>
      </w:r>
      <w:r>
        <w:rPr>
          <w:rFonts w:ascii="宋体" w:hAnsi="宋体" w:eastAsia="宋体" w:cs="Times New Roman"/>
          <w:color w:val="auto"/>
          <w:sz w:val="24"/>
          <w:highlight w:val="none"/>
          <w:u w:val="single"/>
        </w:rPr>
        <w:t xml:space="preserve">                                       </w:t>
      </w:r>
    </w:p>
    <w:p>
      <w:pPr>
        <w:spacing w:line="360" w:lineRule="auto"/>
        <w:ind w:firstLine="405"/>
        <w:rPr>
          <w:rFonts w:ascii="宋体" w:hAnsi="宋体" w:eastAsia="宋体" w:cs="Times New Roman"/>
          <w:color w:val="auto"/>
          <w:sz w:val="24"/>
          <w:highlight w:val="none"/>
        </w:rPr>
      </w:pPr>
      <w:r>
        <w:rPr>
          <w:rFonts w:hint="eastAsia" w:ascii="宋体" w:hAnsi="宋体" w:eastAsia="宋体" w:cs="Times New Roman"/>
          <w:color w:val="auto"/>
          <w:sz w:val="24"/>
          <w:highlight w:val="none"/>
        </w:rPr>
        <w:t>开户银行名称、账号：</w:t>
      </w:r>
      <w:r>
        <w:rPr>
          <w:rFonts w:ascii="宋体" w:hAnsi="宋体" w:eastAsia="宋体" w:cs="Times New Roman"/>
          <w:color w:val="auto"/>
          <w:sz w:val="24"/>
          <w:highlight w:val="none"/>
          <w:u w:val="single"/>
        </w:rPr>
        <w:t xml:space="preserve">                             </w:t>
      </w:r>
    </w:p>
    <w:p>
      <w:pPr>
        <w:spacing w:line="360" w:lineRule="auto"/>
        <w:ind w:firstLine="405"/>
        <w:rPr>
          <w:rFonts w:ascii="宋体" w:hAnsi="宋体" w:eastAsia="宋体" w:cs="Times New Roman"/>
          <w:color w:val="auto"/>
          <w:sz w:val="24"/>
          <w:highlight w:val="none"/>
          <w:u w:val="single"/>
        </w:rPr>
      </w:pPr>
      <w:r>
        <w:rPr>
          <w:rFonts w:hint="eastAsia" w:ascii="宋体" w:hAnsi="宋体" w:eastAsia="宋体" w:cs="Times New Roman"/>
          <w:color w:val="auto"/>
          <w:sz w:val="24"/>
          <w:highlight w:val="none"/>
        </w:rPr>
        <w:t>开户行地址</w:t>
      </w:r>
      <w:r>
        <w:rPr>
          <w:rFonts w:ascii="宋体" w:hAnsi="宋体" w:eastAsia="宋体" w:cs="Times New Roman"/>
          <w:color w:val="auto"/>
          <w:sz w:val="24"/>
          <w:highlight w:val="none"/>
        </w:rPr>
        <w:t>/电话：</w:t>
      </w:r>
      <w:r>
        <w:rPr>
          <w:rFonts w:ascii="宋体" w:hAnsi="宋体" w:eastAsia="宋体" w:cs="Times New Roman"/>
          <w:color w:val="auto"/>
          <w:sz w:val="24"/>
          <w:highlight w:val="none"/>
          <w:u w:val="single"/>
        </w:rPr>
        <w:t xml:space="preserve">                                </w:t>
      </w:r>
    </w:p>
    <w:p>
      <w:pPr>
        <w:spacing w:line="360" w:lineRule="auto"/>
        <w:ind w:firstLine="405"/>
        <w:jc w:val="right"/>
        <w:rPr>
          <w:rFonts w:ascii="宋体" w:hAnsi="宋体" w:eastAsia="宋体" w:cs="Times New Roman"/>
          <w:color w:val="auto"/>
          <w:sz w:val="24"/>
          <w:highlight w:val="none"/>
        </w:rPr>
      </w:pPr>
    </w:p>
    <w:p>
      <w:pPr>
        <w:spacing w:line="360" w:lineRule="auto"/>
        <w:ind w:firstLine="405"/>
        <w:jc w:val="righ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日期：</w:t>
      </w:r>
      <w:r>
        <w:rPr>
          <w:rFonts w:ascii="宋体" w:hAnsi="宋体" w:eastAsia="宋体" w:cs="Times New Roman"/>
          <w:color w:val="auto"/>
          <w:sz w:val="24"/>
          <w:highlight w:val="none"/>
        </w:rPr>
        <w:t xml:space="preserve">       </w:t>
      </w:r>
      <w:r>
        <w:rPr>
          <w:rFonts w:hint="eastAsia" w:ascii="宋体" w:hAnsi="宋体" w:eastAsia="宋体" w:cs="Times New Roman"/>
          <w:color w:val="auto"/>
          <w:sz w:val="24"/>
          <w:highlight w:val="none"/>
        </w:rPr>
        <w:t>年</w:t>
      </w:r>
      <w:r>
        <w:rPr>
          <w:rFonts w:ascii="宋体" w:hAnsi="宋体" w:eastAsia="宋体" w:cs="Times New Roman"/>
          <w:color w:val="auto"/>
          <w:sz w:val="24"/>
          <w:highlight w:val="none"/>
        </w:rPr>
        <w:t xml:space="preserve">    </w:t>
      </w:r>
      <w:r>
        <w:rPr>
          <w:rFonts w:hint="eastAsia" w:ascii="宋体" w:hAnsi="宋体" w:eastAsia="宋体" w:cs="Times New Roman"/>
          <w:color w:val="auto"/>
          <w:sz w:val="24"/>
          <w:highlight w:val="none"/>
        </w:rPr>
        <w:t>月</w:t>
      </w:r>
      <w:r>
        <w:rPr>
          <w:rFonts w:ascii="宋体" w:hAnsi="宋体" w:eastAsia="宋体" w:cs="Times New Roman"/>
          <w:color w:val="auto"/>
          <w:sz w:val="24"/>
          <w:highlight w:val="none"/>
        </w:rPr>
        <w:t xml:space="preserve">    </w:t>
      </w:r>
      <w:r>
        <w:rPr>
          <w:rFonts w:hint="eastAsia" w:ascii="宋体" w:hAnsi="宋体" w:eastAsia="宋体" w:cs="Times New Roman"/>
          <w:color w:val="auto"/>
          <w:sz w:val="24"/>
          <w:highlight w:val="none"/>
        </w:rPr>
        <w:t>日</w:t>
      </w:r>
    </w:p>
    <w:p>
      <w:pPr>
        <w:widowControl w:val="0"/>
        <w:ind w:firstLine="240" w:firstLineChars="100"/>
        <w:jc w:val="both"/>
        <w:rPr>
          <w:rFonts w:hint="eastAsia" w:ascii="宋体" w:hAnsi="宋体" w:eastAsia="宋体" w:cs="Times New Roman"/>
          <w:color w:val="auto"/>
          <w:kern w:val="2"/>
          <w:sz w:val="24"/>
          <w:szCs w:val="20"/>
          <w:highlight w:val="none"/>
          <w:lang w:val="en-US" w:eastAsia="zh-CN" w:bidi="ar-SA"/>
        </w:rPr>
      </w:pPr>
    </w:p>
    <w:p>
      <w:pPr>
        <w:rPr>
          <w:rFonts w:hint="eastAsia" w:ascii="宋体" w:hAnsi="宋体" w:eastAsia="宋体" w:cs="Times New Roman"/>
          <w:color w:val="auto"/>
          <w:sz w:val="24"/>
          <w:highlight w:val="none"/>
        </w:rPr>
        <w:sectPr>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pPr>
    </w:p>
    <w:p>
      <w:pPr>
        <w:outlineLvl w:val="1"/>
        <w:rPr>
          <w:rFonts w:ascii="宋体" w:hAnsi="宋体" w:eastAsia="宋体" w:cs="Times New Roman"/>
          <w:b w:val="0"/>
          <w:bCs w:val="0"/>
          <w:color w:val="auto"/>
          <w:kern w:val="44"/>
          <w:sz w:val="44"/>
          <w:szCs w:val="44"/>
          <w:highlight w:val="none"/>
          <w:lang w:val="en-US" w:eastAsia="zh-CN" w:bidi="ar-SA"/>
        </w:rPr>
      </w:pPr>
      <w:bookmarkStart w:id="53" w:name="_Toc17668"/>
      <w:r>
        <w:rPr>
          <w:rFonts w:hint="eastAsia" w:ascii="宋体" w:hAnsi="宋体" w:eastAsia="宋体" w:cs="Times New Roman"/>
          <w:b/>
          <w:bCs/>
          <w:color w:val="auto"/>
          <w:kern w:val="44"/>
          <w:sz w:val="21"/>
          <w:szCs w:val="21"/>
          <w:highlight w:val="none"/>
          <w:lang w:val="en-US" w:eastAsia="zh-CN" w:bidi="ar-SA"/>
        </w:rPr>
        <w:t>附录</w:t>
      </w:r>
      <w:r>
        <w:rPr>
          <w:rFonts w:ascii="宋体" w:hAnsi="宋体" w:eastAsia="宋体" w:cs="Times New Roman"/>
          <w:b/>
          <w:bCs/>
          <w:color w:val="auto"/>
          <w:kern w:val="44"/>
          <w:sz w:val="21"/>
          <w:szCs w:val="21"/>
          <w:highlight w:val="none"/>
          <w:lang w:val="en-US" w:eastAsia="zh-CN" w:bidi="ar-SA"/>
        </w:rPr>
        <w:t xml:space="preserve">7 </w:t>
      </w:r>
      <w:r>
        <w:rPr>
          <w:rFonts w:hint="eastAsia" w:ascii="宋体" w:hAnsi="宋体" w:eastAsia="宋体" w:cs="Times New Roman"/>
          <w:b/>
          <w:bCs/>
          <w:color w:val="auto"/>
          <w:kern w:val="44"/>
          <w:sz w:val="21"/>
          <w:szCs w:val="21"/>
          <w:highlight w:val="none"/>
          <w:lang w:val="en-US" w:eastAsia="zh-CN" w:bidi="ar-SA"/>
        </w:rPr>
        <w:t>联合体共同投标协议</w:t>
      </w:r>
      <w:bookmarkEnd w:id="53"/>
    </w:p>
    <w:p>
      <w:pPr>
        <w:spacing w:line="360" w:lineRule="auto"/>
        <w:jc w:val="center"/>
        <w:rPr>
          <w:rFonts w:ascii="宋体" w:hAnsi="宋体" w:eastAsia="宋体" w:cs="Times New Roman"/>
          <w:color w:val="auto"/>
          <w:sz w:val="24"/>
          <w:highlight w:val="none"/>
        </w:rPr>
      </w:pPr>
      <w:r>
        <w:rPr>
          <w:rFonts w:hint="eastAsia" w:ascii="宋体" w:hAnsi="宋体" w:eastAsia="宋体" w:cs="Times New Roman"/>
          <w:b/>
          <w:bCs/>
          <w:color w:val="auto"/>
          <w:sz w:val="32"/>
          <w:highlight w:val="none"/>
        </w:rPr>
        <w:t>联合体共同投标协议</w:t>
      </w:r>
    </w:p>
    <w:p>
      <w:pPr>
        <w:spacing w:line="360" w:lineRule="auto"/>
        <w:jc w:val="left"/>
        <w:rPr>
          <w:rFonts w:ascii="宋体" w:hAnsi="宋体" w:eastAsia="宋体" w:cs="Times New Roman"/>
          <w:color w:val="auto"/>
          <w:sz w:val="24"/>
          <w:highlight w:val="none"/>
        </w:rPr>
      </w:pPr>
      <w:r>
        <w:rPr>
          <w:rFonts w:hint="eastAsia" w:ascii="宋体" w:hAnsi="宋体" w:eastAsia="宋体" w:cs="Times New Roman"/>
          <w:color w:val="auto"/>
          <w:sz w:val="24"/>
          <w:highlight w:val="none"/>
        </w:rPr>
        <w:t>投标项目名称：</w:t>
      </w:r>
      <w:r>
        <w:rPr>
          <w:rFonts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w:t>
      </w:r>
    </w:p>
    <w:p>
      <w:pPr>
        <w:spacing w:line="360" w:lineRule="auto"/>
        <w:rPr>
          <w:rFonts w:ascii="宋体" w:hAnsi="宋体" w:eastAsia="宋体" w:cs="Times New Roman"/>
          <w:color w:val="auto"/>
          <w:sz w:val="24"/>
          <w:highlight w:val="none"/>
        </w:rPr>
      </w:pPr>
      <w:r>
        <w:rPr>
          <w:rFonts w:hint="eastAsia" w:ascii="宋体" w:hAnsi="宋体" w:eastAsia="宋体" w:cs="Times New Roman"/>
          <w:color w:val="auto"/>
          <w:sz w:val="24"/>
          <w:highlight w:val="none"/>
        </w:rPr>
        <w:t>致：</w:t>
      </w:r>
      <w:r>
        <w:rPr>
          <w:rFonts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（招标人、招标代理机构名称）</w:t>
      </w:r>
    </w:p>
    <w:p>
      <w:pPr>
        <w:spacing w:line="360" w:lineRule="auto"/>
        <w:jc w:val="left"/>
        <w:rPr>
          <w:rFonts w:ascii="宋体" w:hAnsi="宋体" w:eastAsia="宋体" w:cs="Times New Roman"/>
          <w:color w:val="auto"/>
          <w:sz w:val="24"/>
          <w:highlight w:val="none"/>
        </w:rPr>
      </w:pPr>
    </w:p>
    <w:p>
      <w:pPr>
        <w:spacing w:line="360" w:lineRule="auto"/>
        <w:ind w:firstLine="420"/>
        <w:rPr>
          <w:rFonts w:ascii="宋体" w:hAnsi="宋体" w:eastAsia="宋体" w:cs="Times New Roman"/>
          <w:color w:val="auto"/>
          <w:sz w:val="24"/>
          <w:highlight w:val="none"/>
        </w:rPr>
      </w:pPr>
      <w:r>
        <w:rPr>
          <w:rFonts w:hint="eastAsia" w:ascii="宋体" w:hAnsi="宋体" w:eastAsia="宋体" w:cs="Times New Roman"/>
          <w:color w:val="auto"/>
          <w:sz w:val="24"/>
          <w:highlight w:val="none"/>
        </w:rPr>
        <w:t>我方决定组成联合体共同参加以上项目的投标，若中标，联合体各成员向招标人承担连带责任。我方授权委托本协议牵头人，代表所有联合体成员参加投标、提交投标文件，以及与招标人签订合同，负责整个合同实施阶段的协调工作。</w:t>
      </w:r>
    </w:p>
    <w:p>
      <w:pPr>
        <w:spacing w:line="360" w:lineRule="auto"/>
        <w:ind w:firstLine="420"/>
        <w:rPr>
          <w:rFonts w:ascii="宋体" w:hAnsi="宋体" w:eastAsia="宋体" w:cs="Times New Roman"/>
          <w:color w:val="auto"/>
          <w:sz w:val="24"/>
          <w:highlight w:val="none"/>
        </w:rPr>
      </w:pPr>
      <w:r>
        <w:rPr>
          <w:rFonts w:hint="eastAsia" w:ascii="宋体" w:hAnsi="宋体" w:eastAsia="宋体" w:cs="Times New Roman"/>
          <w:color w:val="auto"/>
          <w:sz w:val="24"/>
          <w:highlight w:val="none"/>
        </w:rPr>
        <w:t>本协议牵头人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pPr>
        <w:spacing w:line="360" w:lineRule="auto"/>
        <w:ind w:firstLine="405"/>
        <w:rPr>
          <w:rFonts w:ascii="宋体" w:hAnsi="宋体" w:eastAsia="宋体" w:cs="Times New Roman"/>
          <w:color w:val="auto"/>
          <w:sz w:val="24"/>
          <w:highlight w:val="none"/>
        </w:rPr>
      </w:pPr>
      <w:r>
        <w:rPr>
          <w:rFonts w:hint="eastAsia" w:ascii="宋体" w:hAnsi="宋体" w:eastAsia="宋体" w:cs="Times New Roman"/>
          <w:color w:val="auto"/>
          <w:sz w:val="24"/>
          <w:highlight w:val="none"/>
        </w:rPr>
        <w:t>本投标协议同时作为法人证明书或法人授权委托书。</w:t>
      </w:r>
    </w:p>
    <w:p>
      <w:pPr>
        <w:spacing w:line="360" w:lineRule="auto"/>
        <w:rPr>
          <w:rFonts w:ascii="宋体" w:hAnsi="宋体" w:eastAsia="宋体" w:cs="Times New Roman"/>
          <w:color w:val="auto"/>
          <w:sz w:val="24"/>
          <w:highlight w:val="none"/>
        </w:rPr>
      </w:pPr>
    </w:p>
    <w:p>
      <w:pPr>
        <w:spacing w:line="360" w:lineRule="auto"/>
        <w:ind w:firstLine="405"/>
        <w:rPr>
          <w:rFonts w:ascii="宋体" w:hAnsi="宋体" w:eastAsia="宋体" w:cs="Times New Roman"/>
          <w:color w:val="auto"/>
          <w:sz w:val="24"/>
          <w:highlight w:val="none"/>
        </w:rPr>
      </w:pPr>
      <w:r>
        <w:rPr>
          <w:rFonts w:hint="eastAsia" w:ascii="宋体" w:hAnsi="宋体" w:eastAsia="宋体" w:cs="Times New Roman"/>
          <w:color w:val="auto"/>
          <w:sz w:val="24"/>
          <w:highlight w:val="none"/>
        </w:rPr>
        <w:t>投标牵头人：（盖章）</w:t>
      </w:r>
    </w:p>
    <w:p>
      <w:pPr>
        <w:spacing w:line="360" w:lineRule="auto"/>
        <w:ind w:firstLine="405"/>
        <w:rPr>
          <w:rFonts w:ascii="宋体" w:hAnsi="宋体" w:eastAsia="宋体" w:cs="Times New Roman"/>
          <w:color w:val="auto"/>
          <w:sz w:val="24"/>
          <w:highlight w:val="none"/>
        </w:rPr>
      </w:pPr>
      <w:r>
        <w:rPr>
          <w:rFonts w:hint="eastAsia" w:ascii="宋体" w:hAnsi="宋体" w:eastAsia="宋体" w:cs="Times New Roman"/>
          <w:color w:val="auto"/>
          <w:sz w:val="24"/>
          <w:highlight w:val="none"/>
        </w:rPr>
        <w:t>法定代表人：（签字或盖章）</w:t>
      </w:r>
    </w:p>
    <w:p>
      <w:pPr>
        <w:spacing w:line="360" w:lineRule="auto"/>
        <w:ind w:firstLine="405"/>
        <w:rPr>
          <w:rFonts w:ascii="宋体" w:hAnsi="宋体" w:eastAsia="宋体" w:cs="Times New Roman"/>
          <w:color w:val="auto"/>
          <w:sz w:val="24"/>
          <w:highlight w:val="none"/>
        </w:rPr>
      </w:pPr>
      <w:r>
        <w:rPr>
          <w:rFonts w:hint="eastAsia" w:ascii="宋体" w:hAnsi="宋体" w:eastAsia="宋体" w:cs="Times New Roman"/>
          <w:color w:val="auto"/>
          <w:sz w:val="24"/>
          <w:highlight w:val="none"/>
        </w:rPr>
        <w:t>委托代理人：（签字或盖章）</w:t>
      </w:r>
    </w:p>
    <w:p>
      <w:pPr>
        <w:spacing w:line="360" w:lineRule="auto"/>
        <w:ind w:firstLine="405"/>
        <w:rPr>
          <w:rFonts w:ascii="宋体" w:hAnsi="宋体" w:eastAsia="宋体" w:cs="Times New Roman"/>
          <w:color w:val="auto"/>
          <w:sz w:val="24"/>
          <w:highlight w:val="none"/>
        </w:rPr>
      </w:pPr>
      <w:r>
        <w:rPr>
          <w:rFonts w:hint="eastAsia" w:ascii="宋体" w:hAnsi="宋体" w:eastAsia="宋体" w:cs="Times New Roman"/>
          <w:color w:val="auto"/>
          <w:sz w:val="24"/>
          <w:highlight w:val="none"/>
        </w:rPr>
        <w:t>地址：</w:t>
      </w:r>
    </w:p>
    <w:p>
      <w:pPr>
        <w:spacing w:line="360" w:lineRule="auto"/>
        <w:ind w:firstLine="405"/>
        <w:rPr>
          <w:rFonts w:ascii="宋体" w:hAnsi="宋体" w:eastAsia="宋体" w:cs="Times New Roman"/>
          <w:color w:val="auto"/>
          <w:sz w:val="24"/>
          <w:highlight w:val="none"/>
        </w:rPr>
      </w:pPr>
      <w:r>
        <w:rPr>
          <w:rFonts w:hint="eastAsia" w:ascii="宋体" w:hAnsi="宋体" w:eastAsia="宋体" w:cs="Times New Roman"/>
          <w:color w:val="auto"/>
          <w:sz w:val="24"/>
          <w:highlight w:val="none"/>
        </w:rPr>
        <w:t>邮政编码：电话</w:t>
      </w:r>
      <w:r>
        <w:rPr>
          <w:rFonts w:ascii="宋体" w:hAnsi="宋体" w:eastAsia="宋体" w:cs="Times New Roman"/>
          <w:color w:val="auto"/>
          <w:sz w:val="24"/>
          <w:highlight w:val="none"/>
        </w:rPr>
        <w:t>/传真：</w:t>
      </w:r>
    </w:p>
    <w:p>
      <w:pPr>
        <w:spacing w:line="360" w:lineRule="auto"/>
        <w:ind w:firstLine="405"/>
        <w:rPr>
          <w:rFonts w:ascii="宋体" w:hAnsi="宋体" w:eastAsia="宋体" w:cs="Times New Roman"/>
          <w:color w:val="auto"/>
          <w:sz w:val="24"/>
          <w:highlight w:val="none"/>
        </w:rPr>
      </w:pPr>
      <w:r>
        <w:rPr>
          <w:rFonts w:hint="eastAsia" w:ascii="宋体" w:hAnsi="宋体" w:eastAsia="宋体" w:cs="Times New Roman"/>
          <w:color w:val="auto"/>
          <w:sz w:val="24"/>
          <w:highlight w:val="none"/>
        </w:rPr>
        <w:t>分工内容：</w:t>
      </w:r>
    </w:p>
    <w:p>
      <w:pPr>
        <w:spacing w:line="360" w:lineRule="auto"/>
        <w:rPr>
          <w:rFonts w:ascii="宋体" w:hAnsi="宋体" w:eastAsia="宋体" w:cs="Times New Roman"/>
          <w:color w:val="auto"/>
          <w:sz w:val="24"/>
          <w:highlight w:val="none"/>
        </w:rPr>
      </w:pPr>
    </w:p>
    <w:p>
      <w:pPr>
        <w:spacing w:line="360" w:lineRule="auto"/>
        <w:ind w:firstLine="405"/>
        <w:rPr>
          <w:rFonts w:ascii="宋体" w:hAnsi="宋体" w:eastAsia="宋体" w:cs="Times New Roman"/>
          <w:color w:val="auto"/>
          <w:sz w:val="24"/>
          <w:highlight w:val="none"/>
        </w:rPr>
      </w:pPr>
      <w:r>
        <w:rPr>
          <w:rFonts w:hint="eastAsia" w:ascii="宋体" w:hAnsi="宋体" w:eastAsia="宋体" w:cs="Times New Roman"/>
          <w:color w:val="auto"/>
          <w:sz w:val="24"/>
          <w:highlight w:val="none"/>
        </w:rPr>
        <w:t>联合体成员：（盖章）</w:t>
      </w:r>
    </w:p>
    <w:p>
      <w:pPr>
        <w:spacing w:line="360" w:lineRule="auto"/>
        <w:ind w:firstLine="405"/>
        <w:rPr>
          <w:rFonts w:ascii="宋体" w:hAnsi="宋体" w:eastAsia="宋体" w:cs="Times New Roman"/>
          <w:color w:val="auto"/>
          <w:sz w:val="24"/>
          <w:highlight w:val="none"/>
        </w:rPr>
      </w:pPr>
      <w:r>
        <w:rPr>
          <w:rFonts w:hint="eastAsia" w:ascii="宋体" w:hAnsi="宋体" w:eastAsia="宋体" w:cs="Times New Roman"/>
          <w:color w:val="auto"/>
          <w:sz w:val="24"/>
          <w:highlight w:val="none"/>
        </w:rPr>
        <w:t>法定代表人：（签字或盖章）</w:t>
      </w:r>
    </w:p>
    <w:p>
      <w:pPr>
        <w:spacing w:line="360" w:lineRule="auto"/>
        <w:ind w:firstLine="405"/>
        <w:rPr>
          <w:rFonts w:ascii="宋体" w:hAnsi="宋体" w:eastAsia="宋体" w:cs="Times New Roman"/>
          <w:color w:val="auto"/>
          <w:sz w:val="24"/>
          <w:highlight w:val="none"/>
        </w:rPr>
      </w:pPr>
      <w:r>
        <w:rPr>
          <w:rFonts w:hint="eastAsia" w:ascii="宋体" w:hAnsi="宋体" w:eastAsia="宋体" w:cs="Times New Roman"/>
          <w:color w:val="auto"/>
          <w:sz w:val="24"/>
          <w:highlight w:val="none"/>
        </w:rPr>
        <w:t>委托代理人：（签字或盖章）</w:t>
      </w:r>
    </w:p>
    <w:p>
      <w:pPr>
        <w:spacing w:line="360" w:lineRule="auto"/>
        <w:ind w:firstLine="405"/>
        <w:rPr>
          <w:rFonts w:ascii="宋体" w:hAnsi="宋体" w:eastAsia="宋体" w:cs="Times New Roman"/>
          <w:color w:val="auto"/>
          <w:sz w:val="24"/>
          <w:highlight w:val="none"/>
        </w:rPr>
      </w:pPr>
      <w:r>
        <w:rPr>
          <w:rFonts w:hint="eastAsia" w:ascii="宋体" w:hAnsi="宋体" w:eastAsia="宋体" w:cs="Times New Roman"/>
          <w:color w:val="auto"/>
          <w:sz w:val="24"/>
          <w:highlight w:val="none"/>
        </w:rPr>
        <w:t>地址：</w:t>
      </w:r>
    </w:p>
    <w:p>
      <w:pPr>
        <w:spacing w:line="360" w:lineRule="auto"/>
        <w:ind w:firstLine="405"/>
        <w:rPr>
          <w:rFonts w:ascii="宋体" w:hAnsi="宋体" w:eastAsia="宋体" w:cs="Times New Roman"/>
          <w:color w:val="auto"/>
          <w:sz w:val="24"/>
          <w:highlight w:val="none"/>
        </w:rPr>
      </w:pPr>
      <w:r>
        <w:rPr>
          <w:rFonts w:hint="eastAsia" w:ascii="宋体" w:hAnsi="宋体" w:eastAsia="宋体" w:cs="Times New Roman"/>
          <w:color w:val="auto"/>
          <w:sz w:val="24"/>
          <w:highlight w:val="none"/>
        </w:rPr>
        <w:t>邮政编码：电话</w:t>
      </w:r>
      <w:r>
        <w:rPr>
          <w:rFonts w:ascii="宋体" w:hAnsi="宋体" w:eastAsia="宋体" w:cs="Times New Roman"/>
          <w:color w:val="auto"/>
          <w:sz w:val="24"/>
          <w:highlight w:val="none"/>
        </w:rPr>
        <w:t>/传真：</w:t>
      </w:r>
    </w:p>
    <w:p>
      <w:pPr>
        <w:spacing w:line="360" w:lineRule="auto"/>
        <w:ind w:firstLine="405"/>
        <w:rPr>
          <w:rFonts w:ascii="宋体" w:hAnsi="宋体" w:eastAsia="宋体" w:cs="Times New Roman"/>
          <w:color w:val="auto"/>
          <w:sz w:val="24"/>
          <w:highlight w:val="none"/>
          <w:u w:val="single"/>
        </w:rPr>
      </w:pPr>
      <w:r>
        <w:rPr>
          <w:rFonts w:hint="eastAsia" w:ascii="宋体" w:hAnsi="宋体" w:eastAsia="宋体" w:cs="Times New Roman"/>
          <w:color w:val="auto"/>
          <w:sz w:val="24"/>
          <w:highlight w:val="none"/>
        </w:rPr>
        <w:t>分工内容：</w:t>
      </w:r>
    </w:p>
    <w:p>
      <w:pPr>
        <w:spacing w:line="360" w:lineRule="auto"/>
        <w:rPr>
          <w:rFonts w:ascii="宋体" w:hAnsi="宋体" w:eastAsia="宋体" w:cs="Times New Roman"/>
          <w:color w:val="auto"/>
          <w:sz w:val="24"/>
          <w:highlight w:val="none"/>
        </w:rPr>
      </w:pPr>
      <w:r>
        <w:rPr>
          <w:rFonts w:ascii="宋体" w:hAnsi="宋体" w:eastAsia="宋体" w:cs="Times New Roman"/>
          <w:color w:val="auto"/>
          <w:sz w:val="24"/>
          <w:highlight w:val="none"/>
        </w:rPr>
        <w:t xml:space="preserve">                                 签订日期：       年    月    日</w:t>
      </w:r>
    </w:p>
    <w:p>
      <w:pPr>
        <w:spacing w:line="360" w:lineRule="auto"/>
        <w:rPr>
          <w:rFonts w:ascii="宋体" w:hAnsi="宋体" w:eastAsia="宋体" w:cs="Times New Roman"/>
          <w:b/>
          <w:bCs/>
          <w:color w:val="auto"/>
          <w:kern w:val="44"/>
          <w:szCs w:val="21"/>
          <w:highlight w:val="none"/>
        </w:rPr>
      </w:pPr>
      <w:r>
        <w:rPr>
          <w:rFonts w:ascii="Calibri" w:hAnsi="Calibri" w:eastAsia="宋体" w:cs="Times New Roman"/>
          <w:color w:val="auto"/>
          <w:highlight w:val="none"/>
        </w:rPr>
        <w:br w:type="page"/>
      </w:r>
      <w:r>
        <w:rPr>
          <w:rFonts w:hint="eastAsia" w:ascii="宋体" w:hAnsi="宋体" w:eastAsia="宋体" w:cs="Times New Roman"/>
          <w:b/>
          <w:bCs/>
          <w:color w:val="auto"/>
          <w:kern w:val="44"/>
          <w:szCs w:val="21"/>
          <w:highlight w:val="none"/>
        </w:rPr>
        <w:t>附录</w:t>
      </w:r>
      <w:r>
        <w:rPr>
          <w:rFonts w:ascii="宋体" w:hAnsi="宋体" w:eastAsia="宋体" w:cs="Times New Roman"/>
          <w:b/>
          <w:bCs/>
          <w:color w:val="auto"/>
          <w:kern w:val="44"/>
          <w:szCs w:val="21"/>
          <w:highlight w:val="none"/>
        </w:rPr>
        <w:t xml:space="preserve"> 7-1（</w:t>
      </w:r>
      <w:r>
        <w:rPr>
          <w:rFonts w:hint="eastAsia" w:ascii="宋体" w:hAnsi="宋体" w:eastAsia="宋体" w:cs="Times New Roman"/>
          <w:b/>
          <w:bCs/>
          <w:color w:val="auto"/>
          <w:kern w:val="44"/>
          <w:szCs w:val="21"/>
          <w:highlight w:val="none"/>
          <w:u w:val="single"/>
        </w:rPr>
        <w:t>适用于合作设计</w:t>
      </w:r>
      <w:r>
        <w:rPr>
          <w:rFonts w:hint="eastAsia" w:ascii="宋体" w:hAnsi="宋体" w:eastAsia="宋体" w:cs="Times New Roman"/>
          <w:b/>
          <w:bCs/>
          <w:color w:val="auto"/>
          <w:kern w:val="44"/>
          <w:szCs w:val="21"/>
          <w:highlight w:val="none"/>
        </w:rPr>
        <w:t>）</w:t>
      </w:r>
    </w:p>
    <w:p>
      <w:pPr>
        <w:spacing w:line="360" w:lineRule="auto"/>
        <w:jc w:val="center"/>
        <w:rPr>
          <w:rFonts w:ascii="宋体" w:hAnsi="宋体" w:eastAsia="宋体" w:cs="Times New Roman"/>
          <w:b/>
          <w:bCs/>
          <w:color w:val="auto"/>
          <w:sz w:val="32"/>
          <w:highlight w:val="none"/>
        </w:rPr>
      </w:pPr>
      <w:r>
        <w:rPr>
          <w:rFonts w:hint="eastAsia" w:ascii="宋体" w:hAnsi="宋体" w:eastAsia="宋体" w:cs="Times New Roman"/>
          <w:b/>
          <w:bCs/>
          <w:color w:val="auto"/>
          <w:sz w:val="32"/>
          <w:highlight w:val="none"/>
        </w:rPr>
        <w:t>合作设计协议书</w:t>
      </w:r>
    </w:p>
    <w:p>
      <w:pPr>
        <w:spacing w:line="360" w:lineRule="auto"/>
        <w:rPr>
          <w:rFonts w:ascii="宋体" w:hAnsi="宋体" w:eastAsia="宋体" w:cs="Times New Roman"/>
          <w:b/>
          <w:bCs/>
          <w:color w:val="auto"/>
          <w:highlight w:val="none"/>
        </w:rPr>
      </w:pPr>
    </w:p>
    <w:p>
      <w:pPr>
        <w:spacing w:line="360" w:lineRule="auto"/>
        <w:rPr>
          <w:rFonts w:ascii="宋体" w:hAnsi="宋体" w:eastAsia="宋体" w:cs="Times New Roman"/>
          <w:color w:val="auto"/>
          <w:sz w:val="24"/>
          <w:highlight w:val="none"/>
        </w:rPr>
      </w:pPr>
    </w:p>
    <w:p>
      <w:pPr>
        <w:spacing w:line="360" w:lineRule="auto"/>
        <w:jc w:val="left"/>
        <w:rPr>
          <w:rFonts w:ascii="宋体" w:hAnsi="宋体" w:eastAsia="宋体" w:cs="Times New Roman"/>
          <w:color w:val="auto"/>
          <w:highlight w:val="none"/>
        </w:rPr>
      </w:pPr>
      <w:r>
        <w:rPr>
          <w:rFonts w:hint="eastAsia" w:ascii="宋体" w:hAnsi="宋体" w:eastAsia="宋体" w:cs="Times New Roman"/>
          <w:color w:val="auto"/>
          <w:highlight w:val="none"/>
        </w:rPr>
        <w:t>投标项目名称：</w:t>
      </w:r>
      <w:r>
        <w:rPr>
          <w:rFonts w:ascii="宋体" w:hAnsi="宋体" w:eastAsia="宋体" w:cs="Times New Roman"/>
          <w:color w:val="auto"/>
          <w:highlight w:val="none"/>
          <w:u w:val="single"/>
        </w:rPr>
        <w:t xml:space="preserve">                             </w:t>
      </w:r>
      <w:r>
        <w:rPr>
          <w:rFonts w:hint="eastAsia" w:ascii="宋体" w:hAnsi="宋体" w:eastAsia="宋体" w:cs="Times New Roman"/>
          <w:color w:val="auto"/>
          <w:highlight w:val="none"/>
        </w:rPr>
        <w:t>。</w:t>
      </w:r>
    </w:p>
    <w:p>
      <w:pPr>
        <w:spacing w:line="360" w:lineRule="auto"/>
        <w:rPr>
          <w:rFonts w:ascii="宋体" w:hAnsi="宋体" w:eastAsia="宋体" w:cs="Times New Roman"/>
          <w:color w:val="auto"/>
          <w:szCs w:val="20"/>
          <w:highlight w:val="none"/>
        </w:rPr>
      </w:pPr>
    </w:p>
    <w:p>
      <w:pPr>
        <w:spacing w:line="360" w:lineRule="auto"/>
        <w:rPr>
          <w:rFonts w:ascii="宋体" w:hAnsi="宋体" w:eastAsia="宋体" w:cs="Times New Roman"/>
          <w:color w:val="auto"/>
          <w:szCs w:val="20"/>
          <w:highlight w:val="none"/>
        </w:rPr>
      </w:pPr>
      <w:r>
        <w:rPr>
          <w:rFonts w:hint="eastAsia" w:ascii="宋体" w:hAnsi="宋体" w:eastAsia="宋体" w:cs="Times New Roman"/>
          <w:color w:val="auto"/>
          <w:szCs w:val="20"/>
          <w:highlight w:val="none"/>
        </w:rPr>
        <w:t>致：</w:t>
      </w:r>
      <w:r>
        <w:rPr>
          <w:rFonts w:ascii="宋体" w:hAnsi="宋体" w:eastAsia="宋体" w:cs="Times New Roman"/>
          <w:color w:val="auto"/>
          <w:szCs w:val="20"/>
          <w:highlight w:val="none"/>
          <w:u w:val="single"/>
        </w:rPr>
        <w:t xml:space="preserve">                             </w:t>
      </w:r>
      <w:r>
        <w:rPr>
          <w:rFonts w:hint="eastAsia" w:ascii="宋体" w:hAnsi="宋体" w:eastAsia="宋体" w:cs="Times New Roman"/>
          <w:color w:val="auto"/>
          <w:szCs w:val="20"/>
          <w:highlight w:val="none"/>
        </w:rPr>
        <w:t>（招标人、招标代理机构名称）</w:t>
      </w:r>
    </w:p>
    <w:p>
      <w:pPr>
        <w:spacing w:line="360" w:lineRule="auto"/>
        <w:jc w:val="left"/>
        <w:rPr>
          <w:rFonts w:ascii="宋体" w:hAnsi="宋体" w:eastAsia="宋体" w:cs="Times New Roman"/>
          <w:color w:val="auto"/>
          <w:sz w:val="24"/>
          <w:highlight w:val="none"/>
        </w:rPr>
      </w:pPr>
    </w:p>
    <w:p>
      <w:pPr>
        <w:spacing w:line="360" w:lineRule="auto"/>
        <w:ind w:firstLine="420"/>
        <w:rPr>
          <w:rFonts w:ascii="宋体" w:hAnsi="宋体" w:eastAsia="宋体" w:cs="Times New Roman"/>
          <w:color w:val="auto"/>
          <w:szCs w:val="21"/>
          <w:highlight w:val="none"/>
        </w:rPr>
      </w:pPr>
      <w:r>
        <w:rPr>
          <w:rFonts w:hint="eastAsia" w:ascii="宋体" w:hAnsi="宋体" w:eastAsia="宋体" w:cs="Times New Roman"/>
          <w:color w:val="auto"/>
          <w:szCs w:val="20"/>
          <w:highlight w:val="none"/>
        </w:rPr>
        <w:t>按照招标公告的规定，</w:t>
      </w:r>
      <w:r>
        <w:rPr>
          <w:rFonts w:ascii="宋体" w:hAnsi="宋体" w:eastAsia="宋体" w:cs="Times New Roman"/>
          <w:color w:val="auto"/>
          <w:szCs w:val="20"/>
          <w:highlight w:val="none"/>
          <w:u w:val="single"/>
        </w:rPr>
        <w:t xml:space="preserve">                               </w:t>
      </w:r>
      <w:r>
        <w:rPr>
          <w:rFonts w:hint="eastAsia" w:ascii="宋体" w:hAnsi="宋体" w:eastAsia="宋体" w:cs="Times New Roman"/>
          <w:color w:val="auto"/>
          <w:szCs w:val="20"/>
          <w:highlight w:val="none"/>
        </w:rPr>
        <w:t>（外国或香港、澳门、台湾的设计企业）作为投标人（即“申请人”，下同）</w:t>
      </w:r>
      <w:r>
        <w:rPr>
          <w:rFonts w:ascii="宋体" w:hAnsi="宋体" w:eastAsia="宋体" w:cs="Times New Roman"/>
          <w:color w:val="auto"/>
          <w:szCs w:val="20"/>
          <w:highlight w:val="none"/>
          <w:u w:val="single"/>
        </w:rPr>
        <w:t xml:space="preserve">                         </w:t>
      </w:r>
      <w:r>
        <w:rPr>
          <w:rFonts w:hint="eastAsia" w:ascii="宋体" w:hAnsi="宋体" w:eastAsia="宋体" w:cs="Times New Roman"/>
          <w:color w:val="auto"/>
          <w:szCs w:val="20"/>
          <w:highlight w:val="none"/>
        </w:rPr>
        <w:t>（符合招标公告</w:t>
      </w:r>
      <w:r>
        <w:rPr>
          <w:rFonts w:hint="eastAsia" w:ascii="宋体" w:hAnsi="宋体" w:eastAsia="宋体" w:cs="Times New Roman"/>
          <w:color w:val="auto"/>
          <w:szCs w:val="21"/>
          <w:highlight w:val="none"/>
        </w:rPr>
        <w:t>第</w:t>
      </w:r>
      <w:r>
        <w:rPr>
          <w:rFonts w:ascii="宋体" w:hAnsi="宋体" w:eastAsia="宋体" w:cs="Times New Roman"/>
          <w:color w:val="auto"/>
          <w:szCs w:val="21"/>
          <w:highlight w:val="none"/>
        </w:rPr>
        <w:t>1.4.2条资质条件的企业</w:t>
      </w:r>
      <w:r>
        <w:rPr>
          <w:rFonts w:hint="eastAsia" w:ascii="宋体" w:hAnsi="宋体" w:eastAsia="宋体" w:cs="Times New Roman"/>
          <w:color w:val="auto"/>
          <w:szCs w:val="20"/>
          <w:highlight w:val="none"/>
        </w:rPr>
        <w:t>）的合作设计方，参与本项目进行合作设计。若中标，各成员向招标人承担连带责任</w:t>
      </w:r>
      <w:r>
        <w:rPr>
          <w:rFonts w:hint="eastAsia" w:ascii="宋体" w:hAnsi="宋体" w:eastAsia="宋体" w:cs="Times New Roman"/>
          <w:color w:val="auto"/>
          <w:szCs w:val="21"/>
          <w:highlight w:val="none"/>
        </w:rPr>
        <w:t>。</w:t>
      </w:r>
      <w:r>
        <w:rPr>
          <w:rFonts w:hint="eastAsia" w:ascii="宋体" w:hAnsi="宋体" w:eastAsia="宋体" w:cs="Times New Roman"/>
          <w:color w:val="auto"/>
          <w:szCs w:val="20"/>
          <w:highlight w:val="none"/>
        </w:rPr>
        <w:t>合作设计方</w:t>
      </w:r>
      <w:r>
        <w:rPr>
          <w:rFonts w:hint="eastAsia" w:ascii="宋体" w:hAnsi="宋体" w:eastAsia="宋体" w:cs="Times New Roman"/>
          <w:color w:val="auto"/>
          <w:szCs w:val="21"/>
          <w:highlight w:val="none"/>
        </w:rPr>
        <w:t>授权委托</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w:t>
      </w:r>
      <w:r>
        <w:rPr>
          <w:rFonts w:hint="eastAsia" w:ascii="宋体" w:hAnsi="宋体" w:eastAsia="宋体" w:cs="Times New Roman"/>
          <w:color w:val="auto"/>
          <w:szCs w:val="20"/>
          <w:highlight w:val="none"/>
        </w:rPr>
        <w:t>符合招标公告</w:t>
      </w:r>
      <w:r>
        <w:rPr>
          <w:rFonts w:hint="eastAsia" w:ascii="宋体" w:hAnsi="宋体" w:eastAsia="宋体" w:cs="Times New Roman"/>
          <w:color w:val="auto"/>
          <w:szCs w:val="21"/>
          <w:highlight w:val="none"/>
        </w:rPr>
        <w:t>第</w:t>
      </w:r>
      <w:r>
        <w:rPr>
          <w:rFonts w:ascii="宋体" w:hAnsi="宋体" w:eastAsia="宋体" w:cs="Times New Roman"/>
          <w:color w:val="auto"/>
          <w:szCs w:val="21"/>
          <w:highlight w:val="none"/>
        </w:rPr>
        <w:t>1.4.2条资质条件的企业）代表所有合作成员参加投标、提交投标文件，以及与招标人签订合同，负责整个合同实施阶段的协调工作。</w:t>
      </w:r>
    </w:p>
    <w:p>
      <w:pPr>
        <w:spacing w:line="360" w:lineRule="auto"/>
        <w:ind w:firstLine="420"/>
        <w:rPr>
          <w:rFonts w:ascii="宋体" w:hAnsi="宋体" w:eastAsia="宋体" w:cs="Times New Roman"/>
          <w:color w:val="auto"/>
          <w:szCs w:val="20"/>
          <w:highlight w:val="none"/>
        </w:rPr>
      </w:pPr>
    </w:p>
    <w:p>
      <w:pPr>
        <w:spacing w:line="360" w:lineRule="auto"/>
        <w:ind w:left="735" w:hanging="735" w:hangingChars="350"/>
        <w:jc w:val="left"/>
        <w:rPr>
          <w:rFonts w:ascii="宋体" w:hAnsi="宋体" w:eastAsia="宋体" w:cs="Times New Roman"/>
          <w:color w:val="auto"/>
          <w:szCs w:val="21"/>
          <w:highlight w:val="none"/>
        </w:rPr>
      </w:pPr>
    </w:p>
    <w:p>
      <w:pPr>
        <w:spacing w:line="360" w:lineRule="auto"/>
        <w:rPr>
          <w:rFonts w:ascii="宋体" w:hAnsi="宋体" w:eastAsia="宋体" w:cs="Times New Roman"/>
          <w:color w:val="auto"/>
          <w:highlight w:val="none"/>
        </w:rPr>
      </w:pPr>
    </w:p>
    <w:p>
      <w:pPr>
        <w:spacing w:line="360" w:lineRule="auto"/>
        <w:rPr>
          <w:rFonts w:ascii="宋体" w:hAnsi="宋体" w:eastAsia="宋体" w:cs="Times New Roman"/>
          <w:color w:val="auto"/>
          <w:szCs w:val="20"/>
          <w:highlight w:val="none"/>
        </w:rPr>
      </w:pPr>
    </w:p>
    <w:p>
      <w:pPr>
        <w:spacing w:line="360" w:lineRule="auto"/>
        <w:ind w:firstLine="210" w:firstLineChars="100"/>
        <w:rPr>
          <w:rFonts w:ascii="宋体" w:hAnsi="宋体" w:eastAsia="宋体" w:cs="Times New Roman"/>
          <w:color w:val="auto"/>
          <w:szCs w:val="20"/>
          <w:highlight w:val="none"/>
        </w:rPr>
      </w:pPr>
      <w:r>
        <w:rPr>
          <w:rFonts w:ascii="宋体" w:hAnsi="宋体" w:eastAsia="宋体" w:cs="Times New Roman"/>
          <w:color w:val="auto"/>
          <w:szCs w:val="20"/>
          <w:highlight w:val="none"/>
        </w:rPr>
        <w:t xml:space="preserve">  合作设计方：（盖章）</w:t>
      </w:r>
    </w:p>
    <w:p>
      <w:pPr>
        <w:spacing w:line="360" w:lineRule="auto"/>
        <w:ind w:firstLine="420" w:firstLineChars="200"/>
        <w:rPr>
          <w:rFonts w:ascii="宋体" w:hAnsi="宋体" w:eastAsia="宋体" w:cs="Times New Roman"/>
          <w:color w:val="auto"/>
          <w:szCs w:val="20"/>
          <w:highlight w:val="none"/>
          <w:u w:val="single"/>
        </w:rPr>
      </w:pPr>
      <w:r>
        <w:rPr>
          <w:rFonts w:hint="eastAsia" w:ascii="宋体" w:hAnsi="宋体" w:eastAsia="宋体" w:cs="Times New Roman"/>
          <w:color w:val="auto"/>
          <w:szCs w:val="20"/>
          <w:highlight w:val="none"/>
        </w:rPr>
        <w:t>代表人：（签字或盖章）</w:t>
      </w:r>
    </w:p>
    <w:p>
      <w:pPr>
        <w:spacing w:line="360" w:lineRule="auto"/>
        <w:rPr>
          <w:rFonts w:ascii="宋体" w:hAnsi="宋体" w:eastAsia="宋体" w:cs="Times New Roman"/>
          <w:color w:val="auto"/>
          <w:szCs w:val="20"/>
          <w:highlight w:val="none"/>
        </w:rPr>
      </w:pPr>
      <w:r>
        <w:rPr>
          <w:rFonts w:ascii="宋体" w:hAnsi="宋体" w:eastAsia="宋体" w:cs="Times New Roman"/>
          <w:color w:val="auto"/>
          <w:szCs w:val="20"/>
          <w:highlight w:val="none"/>
        </w:rPr>
        <w:t xml:space="preserve">    分工内容：</w:t>
      </w:r>
    </w:p>
    <w:p>
      <w:pPr>
        <w:spacing w:line="360" w:lineRule="auto"/>
        <w:rPr>
          <w:rFonts w:ascii="宋体" w:hAnsi="宋体" w:eastAsia="宋体" w:cs="Times New Roman"/>
          <w:color w:val="auto"/>
          <w:szCs w:val="20"/>
          <w:highlight w:val="none"/>
        </w:rPr>
      </w:pPr>
    </w:p>
    <w:p>
      <w:pPr>
        <w:spacing w:line="360" w:lineRule="auto"/>
        <w:rPr>
          <w:rFonts w:ascii="宋体" w:hAnsi="宋体" w:eastAsia="宋体" w:cs="Times New Roman"/>
          <w:color w:val="auto"/>
          <w:szCs w:val="20"/>
          <w:highlight w:val="none"/>
        </w:rPr>
      </w:pPr>
      <w:r>
        <w:rPr>
          <w:rFonts w:ascii="宋体" w:hAnsi="宋体" w:eastAsia="宋体" w:cs="Times New Roman"/>
          <w:color w:val="auto"/>
          <w:szCs w:val="20"/>
          <w:highlight w:val="none"/>
        </w:rPr>
        <w:t xml:space="preserve">    投标人：（盖章）</w:t>
      </w:r>
    </w:p>
    <w:p>
      <w:pPr>
        <w:spacing w:line="360" w:lineRule="auto"/>
        <w:ind w:firstLine="420" w:firstLineChars="200"/>
        <w:rPr>
          <w:rFonts w:ascii="宋体" w:hAnsi="宋体" w:eastAsia="宋体" w:cs="Times New Roman"/>
          <w:color w:val="auto"/>
          <w:szCs w:val="20"/>
          <w:highlight w:val="none"/>
          <w:u w:val="single"/>
        </w:rPr>
      </w:pPr>
      <w:r>
        <w:rPr>
          <w:rFonts w:hint="eastAsia" w:ascii="宋体" w:hAnsi="宋体" w:eastAsia="宋体" w:cs="Times New Roman"/>
          <w:color w:val="auto"/>
          <w:szCs w:val="20"/>
          <w:highlight w:val="none"/>
        </w:rPr>
        <w:t>法定代表人：（签字或盖章）</w:t>
      </w:r>
    </w:p>
    <w:p>
      <w:pPr>
        <w:spacing w:line="360" w:lineRule="auto"/>
        <w:rPr>
          <w:rFonts w:ascii="宋体" w:hAnsi="宋体" w:eastAsia="宋体" w:cs="Times New Roman"/>
          <w:color w:val="auto"/>
          <w:szCs w:val="20"/>
          <w:highlight w:val="none"/>
        </w:rPr>
      </w:pPr>
      <w:r>
        <w:rPr>
          <w:rFonts w:ascii="宋体" w:hAnsi="宋体" w:eastAsia="宋体" w:cs="Times New Roman"/>
          <w:color w:val="auto"/>
          <w:szCs w:val="20"/>
          <w:highlight w:val="none"/>
        </w:rPr>
        <w:t xml:space="preserve">    分工内容：</w:t>
      </w:r>
    </w:p>
    <w:p>
      <w:pPr>
        <w:widowControl w:val="0"/>
        <w:ind w:firstLine="400" w:firstLineChars="200"/>
        <w:jc w:val="both"/>
        <w:rPr>
          <w:rFonts w:ascii="Times New Roman" w:hAnsi="Times New Roman" w:eastAsia="宋体" w:cs="Times New Roman"/>
          <w:color w:val="auto"/>
          <w:kern w:val="0"/>
          <w:sz w:val="20"/>
          <w:szCs w:val="20"/>
          <w:highlight w:val="none"/>
          <w:lang w:val="en-US" w:eastAsia="zh-CN" w:bidi="ar-SA"/>
        </w:rPr>
      </w:pPr>
    </w:p>
    <w:p>
      <w:pPr>
        <w:widowControl w:val="0"/>
        <w:ind w:firstLine="400" w:firstLineChars="200"/>
        <w:jc w:val="both"/>
        <w:rPr>
          <w:rFonts w:ascii="Times New Roman" w:hAnsi="Times New Roman" w:eastAsia="宋体" w:cs="Times New Roman"/>
          <w:color w:val="auto"/>
          <w:kern w:val="0"/>
          <w:sz w:val="20"/>
          <w:szCs w:val="20"/>
          <w:highlight w:val="none"/>
          <w:lang w:val="en-US" w:eastAsia="zh-CN" w:bidi="ar-SA"/>
        </w:rPr>
      </w:pPr>
    </w:p>
    <w:p>
      <w:pPr>
        <w:rPr>
          <w:rFonts w:ascii="Times New Roman" w:hAnsi="Times New Roman" w:eastAsia="宋体" w:cs="Times New Roman"/>
          <w:color w:val="auto"/>
          <w:kern w:val="0"/>
          <w:sz w:val="20"/>
          <w:szCs w:val="20"/>
          <w:highlight w:val="none"/>
          <w:lang w:val="en-US" w:eastAsia="zh-CN" w:bidi="ar-SA"/>
        </w:rPr>
      </w:pPr>
      <w:r>
        <w:rPr>
          <w:rFonts w:ascii="Times New Roman" w:hAnsi="Times New Roman" w:eastAsia="宋体" w:cs="Times New Roman"/>
          <w:color w:val="auto"/>
          <w:kern w:val="0"/>
          <w:sz w:val="20"/>
          <w:szCs w:val="20"/>
          <w:highlight w:val="none"/>
          <w:lang w:val="en-US" w:eastAsia="zh-CN" w:bidi="ar-SA"/>
        </w:rPr>
        <w:br w:type="page"/>
      </w:r>
    </w:p>
    <w:p>
      <w:pPr>
        <w:keepNext/>
        <w:keepLines/>
        <w:widowControl w:val="0"/>
        <w:spacing w:before="340" w:after="330" w:line="360" w:lineRule="auto"/>
        <w:jc w:val="both"/>
        <w:outlineLvl w:val="1"/>
        <w:rPr>
          <w:rFonts w:ascii="宋体" w:hAnsi="宋体" w:eastAsia="宋体" w:cs="Times New Roman"/>
          <w:b/>
          <w:bCs/>
          <w:color w:val="auto"/>
          <w:kern w:val="44"/>
          <w:sz w:val="21"/>
          <w:szCs w:val="21"/>
          <w:highlight w:val="none"/>
          <w:lang w:val="en-US" w:eastAsia="zh-CN" w:bidi="ar-SA"/>
        </w:rPr>
      </w:pPr>
      <w:bookmarkStart w:id="54" w:name="_Toc25716"/>
      <w:r>
        <w:rPr>
          <w:rFonts w:hint="eastAsia" w:ascii="宋体" w:hAnsi="宋体" w:eastAsia="宋体" w:cs="Times New Roman"/>
          <w:b/>
          <w:bCs/>
          <w:color w:val="auto"/>
          <w:kern w:val="44"/>
          <w:sz w:val="21"/>
          <w:szCs w:val="21"/>
          <w:highlight w:val="none"/>
          <w:lang w:val="en-US" w:eastAsia="zh-CN" w:bidi="ar-SA"/>
        </w:rPr>
        <w:t>附录</w:t>
      </w:r>
      <w:r>
        <w:rPr>
          <w:rFonts w:ascii="宋体" w:hAnsi="宋体" w:eastAsia="宋体" w:cs="Times New Roman"/>
          <w:b/>
          <w:bCs/>
          <w:color w:val="auto"/>
          <w:kern w:val="44"/>
          <w:sz w:val="21"/>
          <w:szCs w:val="21"/>
          <w:highlight w:val="none"/>
          <w:lang w:val="en-US" w:eastAsia="zh-CN" w:bidi="ar-SA"/>
        </w:rPr>
        <w:t xml:space="preserve">8 </w:t>
      </w:r>
      <w:r>
        <w:rPr>
          <w:rFonts w:hint="eastAsia" w:ascii="宋体" w:hAnsi="宋体" w:eastAsia="宋体" w:cs="Times New Roman"/>
          <w:b/>
          <w:bCs/>
          <w:color w:val="auto"/>
          <w:kern w:val="44"/>
          <w:sz w:val="21"/>
          <w:szCs w:val="21"/>
          <w:highlight w:val="none"/>
          <w:lang w:val="en-US" w:eastAsia="zh-CN" w:bidi="ar-SA"/>
        </w:rPr>
        <w:t>投标人声明</w:t>
      </w:r>
      <w:bookmarkEnd w:id="54"/>
    </w:p>
    <w:p>
      <w:pPr>
        <w:jc w:val="center"/>
        <w:rPr>
          <w:rFonts w:ascii="宋体" w:hAnsi="宋体" w:eastAsia="宋体" w:cs="Times New Roman"/>
          <w:b/>
          <w:color w:val="auto"/>
          <w:sz w:val="32"/>
          <w:highlight w:val="none"/>
        </w:rPr>
      </w:pPr>
      <w:r>
        <w:rPr>
          <w:rFonts w:hint="eastAsia" w:ascii="宋体" w:hAnsi="宋体" w:eastAsia="宋体" w:cs="Times New Roman"/>
          <w:b/>
          <w:color w:val="auto"/>
          <w:sz w:val="32"/>
          <w:highlight w:val="none"/>
        </w:rPr>
        <w:t>投标人声明（适用于设资格审查环节的项目）</w:t>
      </w:r>
    </w:p>
    <w:p>
      <w:pPr>
        <w:widowControl w:val="0"/>
        <w:spacing w:line="400" w:lineRule="exact"/>
        <w:ind w:firstLine="629"/>
        <w:jc w:val="both"/>
        <w:rPr>
          <w:rFonts w:ascii="宋体" w:hAnsi="宋体" w:eastAsia="宋体" w:cs="Times New Roman"/>
          <w:color w:val="auto"/>
          <w:sz w:val="24"/>
          <w:szCs w:val="24"/>
          <w:highlight w:val="none"/>
          <w:lang w:val="en-US" w:eastAsia="zh-CN" w:bidi="ar-SA"/>
        </w:rPr>
      </w:pPr>
    </w:p>
    <w:p>
      <w:pPr>
        <w:widowControl w:val="0"/>
        <w:spacing w:line="360" w:lineRule="auto"/>
        <w:ind w:firstLine="629"/>
        <w:jc w:val="both"/>
        <w:rPr>
          <w:rFonts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广州市住房和城乡建设局、本招标项目招标人及招标监管机构：</w:t>
      </w:r>
    </w:p>
    <w:p>
      <w:pPr>
        <w:widowControl w:val="0"/>
        <w:spacing w:line="360" w:lineRule="auto"/>
        <w:ind w:firstLine="629"/>
        <w:jc w:val="both"/>
        <w:rPr>
          <w:rFonts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本公司就参加</w:t>
      </w:r>
      <w:r>
        <w:rPr>
          <w:rFonts w:ascii="宋体" w:hAnsi="宋体" w:eastAsia="宋体" w:cs="Times New Roman"/>
          <w:color w:val="auto"/>
          <w:sz w:val="24"/>
          <w:szCs w:val="24"/>
          <w:highlight w:val="none"/>
          <w:u w:val="single"/>
          <w:lang w:val="en-US" w:eastAsia="zh-CN" w:bidi="ar-SA"/>
        </w:rPr>
        <w:t xml:space="preserve">        </w:t>
      </w:r>
      <w:r>
        <w:rPr>
          <w:rFonts w:hint="eastAsia" w:ascii="宋体" w:hAnsi="宋体" w:eastAsia="宋体" w:cs="Times New Roman"/>
          <w:color w:val="auto"/>
          <w:sz w:val="24"/>
          <w:szCs w:val="24"/>
          <w:highlight w:val="none"/>
          <w:lang w:val="en-US" w:eastAsia="zh-CN" w:bidi="ar-SA"/>
        </w:rPr>
        <w:t>投标工作，作出郑重声明：我方与招标人过去</w:t>
      </w:r>
      <w:r>
        <w:rPr>
          <w:rFonts w:ascii="宋体" w:hAnsi="宋体" w:eastAsia="宋体" w:cs="Times New Roman"/>
          <w:color w:val="auto"/>
          <w:sz w:val="24"/>
          <w:szCs w:val="24"/>
          <w:highlight w:val="none"/>
          <w:lang w:val="en-US" w:eastAsia="zh-CN" w:bidi="ar-SA"/>
        </w:rPr>
        <w:t>3年内无合同履约纠纷，不存在第三章第3.11项规定的任何一种情形。</w:t>
      </w:r>
    </w:p>
    <w:p>
      <w:pPr>
        <w:spacing w:line="360" w:lineRule="auto"/>
        <w:rPr>
          <w:rFonts w:ascii="宋体" w:hAnsi="宋体" w:eastAsia="宋体" w:cs="Times New Roman"/>
          <w:color w:val="auto"/>
          <w:sz w:val="24"/>
          <w:highlight w:val="none"/>
        </w:rPr>
      </w:pPr>
    </w:p>
    <w:p>
      <w:pPr>
        <w:widowControl w:val="0"/>
        <w:spacing w:line="360" w:lineRule="auto"/>
        <w:ind w:firstLine="629"/>
        <w:jc w:val="both"/>
        <w:rPr>
          <w:rFonts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特此声明。</w:t>
      </w:r>
    </w:p>
    <w:p>
      <w:pPr>
        <w:widowControl w:val="0"/>
        <w:spacing w:line="360" w:lineRule="auto"/>
        <w:ind w:firstLine="629"/>
        <w:jc w:val="both"/>
        <w:rPr>
          <w:rFonts w:ascii="宋体" w:hAnsi="宋体" w:eastAsia="宋体" w:cs="Times New Roman"/>
          <w:color w:val="auto"/>
          <w:sz w:val="24"/>
          <w:szCs w:val="24"/>
          <w:highlight w:val="none"/>
          <w:lang w:val="en-US" w:eastAsia="zh-CN" w:bidi="ar-SA"/>
        </w:rPr>
      </w:pPr>
    </w:p>
    <w:p>
      <w:pPr>
        <w:widowControl w:val="0"/>
        <w:spacing w:line="360" w:lineRule="auto"/>
        <w:ind w:left="0" w:right="1449" w:firstLine="3840" w:firstLineChars="1600"/>
        <w:jc w:val="both"/>
        <w:rPr>
          <w:rFonts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投标人：</w:t>
      </w:r>
    </w:p>
    <w:p>
      <w:pPr>
        <w:widowControl w:val="0"/>
        <w:spacing w:line="360" w:lineRule="auto"/>
        <w:ind w:right="1449" w:firstLine="0"/>
        <w:jc w:val="center"/>
        <w:rPr>
          <w:rFonts w:ascii="宋体" w:hAnsi="宋体" w:eastAsia="宋体" w:cs="Times New Roman"/>
          <w:color w:val="auto"/>
          <w:sz w:val="24"/>
          <w:szCs w:val="24"/>
          <w:highlight w:val="none"/>
          <w:lang w:val="en-US" w:eastAsia="zh-CN" w:bidi="ar-SA"/>
        </w:rPr>
      </w:pPr>
      <w:r>
        <w:rPr>
          <w:rFonts w:ascii="宋体" w:hAnsi="宋体" w:eastAsia="宋体" w:cs="Times New Roman"/>
          <w:color w:val="auto"/>
          <w:sz w:val="24"/>
          <w:szCs w:val="24"/>
          <w:highlight w:val="none"/>
          <w:lang w:val="en-US" w:eastAsia="zh-CN" w:bidi="ar-SA"/>
        </w:rPr>
        <w:t xml:space="preserve">                                          </w:t>
      </w:r>
    </w:p>
    <w:p>
      <w:pPr>
        <w:widowControl w:val="0"/>
        <w:spacing w:line="360" w:lineRule="auto"/>
        <w:ind w:right="2079" w:firstLine="2160" w:firstLineChars="900"/>
        <w:jc w:val="right"/>
        <w:rPr>
          <w:rFonts w:ascii="宋体" w:hAnsi="宋体" w:eastAsia="仿宋_GB2312"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年</w:t>
      </w:r>
      <w:r>
        <w:rPr>
          <w:rFonts w:ascii="宋体" w:hAnsi="宋体" w:eastAsia="宋体" w:cs="Times New Roman"/>
          <w:color w:val="auto"/>
          <w:sz w:val="24"/>
          <w:szCs w:val="24"/>
          <w:highlight w:val="none"/>
          <w:lang w:val="en-US" w:eastAsia="zh-CN" w:bidi="ar-SA"/>
        </w:rPr>
        <w:t xml:space="preserve">   </w:t>
      </w:r>
      <w:r>
        <w:rPr>
          <w:rFonts w:hint="eastAsia" w:ascii="宋体" w:hAnsi="宋体" w:eastAsia="宋体" w:cs="Times New Roman"/>
          <w:color w:val="auto"/>
          <w:sz w:val="24"/>
          <w:szCs w:val="24"/>
          <w:highlight w:val="none"/>
          <w:lang w:val="en-US" w:eastAsia="zh-CN" w:bidi="ar-SA"/>
        </w:rPr>
        <w:t>月</w:t>
      </w:r>
      <w:r>
        <w:rPr>
          <w:rFonts w:ascii="宋体" w:hAnsi="宋体" w:eastAsia="宋体" w:cs="Times New Roman"/>
          <w:color w:val="auto"/>
          <w:sz w:val="24"/>
          <w:szCs w:val="24"/>
          <w:highlight w:val="none"/>
          <w:lang w:val="en-US" w:eastAsia="zh-CN" w:bidi="ar-SA"/>
        </w:rPr>
        <w:t xml:space="preserve">   </w:t>
      </w:r>
      <w:r>
        <w:rPr>
          <w:rFonts w:hint="eastAsia" w:ascii="宋体" w:hAnsi="宋体" w:eastAsia="宋体" w:cs="Times New Roman"/>
          <w:color w:val="auto"/>
          <w:sz w:val="24"/>
          <w:szCs w:val="24"/>
          <w:highlight w:val="none"/>
          <w:lang w:val="en-US" w:eastAsia="zh-CN" w:bidi="ar-SA"/>
        </w:rPr>
        <w:t>日</w:t>
      </w:r>
    </w:p>
    <w:p>
      <w:pPr>
        <w:spacing w:line="360" w:lineRule="auto"/>
        <w:jc w:val="left"/>
        <w:rPr>
          <w:rFonts w:ascii="宋体" w:hAnsi="宋体" w:eastAsia="宋体" w:cs="Times New Roman"/>
          <w:color w:val="auto"/>
          <w:sz w:val="24"/>
          <w:highlight w:val="none"/>
        </w:rPr>
      </w:pPr>
    </w:p>
    <w:p>
      <w:pPr>
        <w:widowControl w:val="0"/>
        <w:spacing w:line="360" w:lineRule="auto"/>
        <w:jc w:val="both"/>
        <w:rPr>
          <w:rFonts w:ascii="宋体" w:hAnsi="Courier New" w:eastAsia="宋体" w:cs="Times New Roman"/>
          <w:color w:val="auto"/>
          <w:kern w:val="0"/>
          <w:sz w:val="24"/>
          <w:szCs w:val="24"/>
          <w:highlight w:val="none"/>
          <w:lang w:val="en-US" w:eastAsia="zh-CN" w:bidi="ar-SA"/>
        </w:rPr>
      </w:pPr>
      <w:r>
        <w:rPr>
          <w:rFonts w:ascii="宋体" w:hAnsi="Courier New" w:eastAsia="宋体" w:cs="Times New Roman"/>
          <w:color w:val="auto"/>
          <w:kern w:val="0"/>
          <w:sz w:val="24"/>
          <w:szCs w:val="24"/>
          <w:highlight w:val="none"/>
          <w:lang w:val="en-US" w:eastAsia="zh-CN" w:bidi="ar-SA"/>
        </w:rPr>
        <w:t xml:space="preserve">   </w:t>
      </w:r>
    </w:p>
    <w:p>
      <w:pPr>
        <w:widowControl w:val="0"/>
        <w:jc w:val="both"/>
        <w:rPr>
          <w:rFonts w:ascii="宋体" w:hAnsi="宋体" w:eastAsia="宋体" w:cs="Times New Roman"/>
          <w:color w:val="auto"/>
          <w:kern w:val="0"/>
          <w:sz w:val="20"/>
          <w:szCs w:val="20"/>
          <w:highlight w:val="none"/>
          <w:lang w:val="en-US" w:eastAsia="zh-CN" w:bidi="ar-SA"/>
        </w:rPr>
      </w:pPr>
    </w:p>
    <w:p>
      <w:pPr>
        <w:rPr>
          <w:rFonts w:ascii="宋体" w:hAnsi="宋体" w:eastAsia="宋体" w:cs="Times New Roman"/>
          <w:color w:val="auto"/>
          <w:highlight w:val="none"/>
        </w:rPr>
      </w:pPr>
      <w:r>
        <w:rPr>
          <w:rFonts w:ascii="宋体" w:hAnsi="宋体" w:eastAsia="宋体" w:cs="Times New Roman"/>
          <w:color w:val="auto"/>
          <w:highlight w:val="none"/>
        </w:rPr>
        <w:br w:type="page"/>
      </w:r>
    </w:p>
    <w:p>
      <w:pPr>
        <w:rPr>
          <w:rFonts w:ascii="宋体" w:hAnsi="宋体" w:eastAsia="宋体" w:cs="Times New Roman"/>
          <w:color w:val="auto"/>
          <w:highlight w:val="none"/>
        </w:rPr>
      </w:pPr>
    </w:p>
    <w:p>
      <w:pPr>
        <w:jc w:val="center"/>
        <w:rPr>
          <w:rFonts w:ascii="宋体" w:hAnsi="宋体" w:eastAsia="宋体" w:cs="Times New Roman"/>
          <w:b/>
          <w:strike/>
          <w:color w:val="auto"/>
          <w:sz w:val="32"/>
          <w:highlight w:val="none"/>
        </w:rPr>
      </w:pPr>
      <w:r>
        <w:rPr>
          <w:rFonts w:hint="eastAsia" w:ascii="宋体" w:hAnsi="宋体" w:eastAsia="宋体" w:cs="Times New Roman"/>
          <w:b/>
          <w:strike/>
          <w:color w:val="auto"/>
          <w:sz w:val="32"/>
          <w:highlight w:val="none"/>
        </w:rPr>
        <w:t>投标人声明（适用于未设资格审查环节的项目）</w:t>
      </w:r>
    </w:p>
    <w:p>
      <w:pPr>
        <w:widowControl w:val="0"/>
        <w:spacing w:line="360" w:lineRule="auto"/>
        <w:ind w:firstLine="629"/>
        <w:jc w:val="both"/>
        <w:rPr>
          <w:rFonts w:ascii="宋体" w:hAnsi="宋体" w:eastAsia="宋体" w:cs="Times New Roman"/>
          <w:strike/>
          <w:color w:val="auto"/>
          <w:sz w:val="24"/>
          <w:szCs w:val="24"/>
          <w:highlight w:val="none"/>
          <w:lang w:val="en-US" w:eastAsia="zh-CN" w:bidi="ar-SA"/>
        </w:rPr>
      </w:pPr>
    </w:p>
    <w:p>
      <w:pPr>
        <w:widowControl w:val="0"/>
        <w:spacing w:line="360" w:lineRule="auto"/>
        <w:ind w:firstLine="629"/>
        <w:jc w:val="both"/>
        <w:rPr>
          <w:rFonts w:ascii="宋体" w:hAnsi="宋体" w:eastAsia="宋体" w:cs="Times New Roman"/>
          <w:strike/>
          <w:color w:val="auto"/>
          <w:sz w:val="24"/>
          <w:szCs w:val="24"/>
          <w:highlight w:val="none"/>
          <w:lang w:val="en-US" w:eastAsia="zh-CN" w:bidi="ar-SA"/>
        </w:rPr>
      </w:pPr>
      <w:r>
        <w:rPr>
          <w:rFonts w:hint="eastAsia" w:ascii="宋体" w:hAnsi="宋体" w:eastAsia="宋体" w:cs="Times New Roman"/>
          <w:strike/>
          <w:color w:val="auto"/>
          <w:sz w:val="24"/>
          <w:szCs w:val="24"/>
          <w:highlight w:val="none"/>
          <w:lang w:val="en-US" w:eastAsia="zh-CN" w:bidi="ar-SA"/>
        </w:rPr>
        <w:t>广州市住房和城乡建设局、本招标项目招标人及招标监管机构：</w:t>
      </w:r>
    </w:p>
    <w:p>
      <w:pPr>
        <w:widowControl w:val="0"/>
        <w:spacing w:line="360" w:lineRule="auto"/>
        <w:ind w:firstLine="629"/>
        <w:jc w:val="both"/>
        <w:rPr>
          <w:rFonts w:ascii="宋体" w:hAnsi="宋体" w:eastAsia="宋体" w:cs="Times New Roman"/>
          <w:strike/>
          <w:color w:val="auto"/>
          <w:sz w:val="24"/>
          <w:szCs w:val="24"/>
          <w:highlight w:val="none"/>
          <w:lang w:val="en-US" w:eastAsia="zh-CN" w:bidi="ar-SA"/>
        </w:rPr>
      </w:pPr>
      <w:r>
        <w:rPr>
          <w:rFonts w:hint="eastAsia" w:ascii="宋体" w:hAnsi="宋体" w:eastAsia="宋体" w:cs="Times New Roman"/>
          <w:strike/>
          <w:color w:val="auto"/>
          <w:sz w:val="24"/>
          <w:szCs w:val="24"/>
          <w:highlight w:val="none"/>
          <w:lang w:val="en-US" w:eastAsia="zh-CN" w:bidi="ar-SA"/>
        </w:rPr>
        <w:t>本公司就参加</w:t>
      </w:r>
      <w:r>
        <w:rPr>
          <w:rFonts w:ascii="宋体" w:hAnsi="宋体" w:eastAsia="宋体" w:cs="Times New Roman"/>
          <w:strike/>
          <w:color w:val="auto"/>
          <w:sz w:val="24"/>
          <w:szCs w:val="24"/>
          <w:highlight w:val="none"/>
          <w:u w:val="single"/>
          <w:lang w:val="en-US" w:eastAsia="zh-CN" w:bidi="ar-SA"/>
        </w:rPr>
        <w:t xml:space="preserve">        </w:t>
      </w:r>
      <w:r>
        <w:rPr>
          <w:rFonts w:hint="eastAsia" w:ascii="宋体" w:hAnsi="宋体" w:eastAsia="宋体" w:cs="Times New Roman"/>
          <w:strike/>
          <w:color w:val="auto"/>
          <w:sz w:val="24"/>
          <w:szCs w:val="24"/>
          <w:highlight w:val="none"/>
          <w:lang w:val="en-US" w:eastAsia="zh-CN" w:bidi="ar-SA"/>
        </w:rPr>
        <w:t>投标工作，作出郑重声明：我方满足招标公告“</w:t>
      </w:r>
      <w:r>
        <w:rPr>
          <w:rFonts w:ascii="宋体" w:hAnsi="宋体" w:eastAsia="宋体" w:cs="Times New Roman"/>
          <w:strike/>
          <w:color w:val="auto"/>
          <w:sz w:val="24"/>
          <w:szCs w:val="24"/>
          <w:highlight w:val="none"/>
          <w:lang w:val="en-US" w:eastAsia="zh-CN" w:bidi="ar-SA"/>
        </w:rPr>
        <w:t xml:space="preserve">1.4 </w:t>
      </w:r>
      <w:r>
        <w:rPr>
          <w:rFonts w:hint="eastAsia" w:ascii="宋体" w:hAnsi="宋体" w:eastAsia="宋体" w:cs="Times New Roman"/>
          <w:strike/>
          <w:color w:val="auto"/>
          <w:sz w:val="24"/>
          <w:szCs w:val="24"/>
          <w:highlight w:val="none"/>
          <w:lang w:val="en-US" w:eastAsia="zh-CN" w:bidi="ar-SA"/>
        </w:rPr>
        <w:t>投标资格”中的各项要求。如本公司成为本项目中标候选人的，将在招标人规定的时间内提交相关资料供招标人复核。本公司未按要求提交资料或经复核不满足资格条件的，视为放弃中标资格。</w:t>
      </w:r>
    </w:p>
    <w:p>
      <w:pPr>
        <w:spacing w:line="360" w:lineRule="auto"/>
        <w:rPr>
          <w:rFonts w:ascii="宋体" w:hAnsi="宋体" w:eastAsia="宋体" w:cs="Times New Roman"/>
          <w:strike/>
          <w:color w:val="auto"/>
          <w:sz w:val="24"/>
          <w:highlight w:val="none"/>
        </w:rPr>
      </w:pPr>
    </w:p>
    <w:p>
      <w:pPr>
        <w:widowControl w:val="0"/>
        <w:spacing w:line="360" w:lineRule="auto"/>
        <w:ind w:firstLine="629"/>
        <w:jc w:val="both"/>
        <w:rPr>
          <w:rFonts w:ascii="宋体" w:hAnsi="宋体" w:eastAsia="宋体" w:cs="Times New Roman"/>
          <w:strike/>
          <w:color w:val="auto"/>
          <w:sz w:val="24"/>
          <w:szCs w:val="24"/>
          <w:highlight w:val="none"/>
          <w:lang w:val="en-US" w:eastAsia="zh-CN" w:bidi="ar-SA"/>
        </w:rPr>
      </w:pPr>
      <w:r>
        <w:rPr>
          <w:rFonts w:hint="eastAsia" w:ascii="宋体" w:hAnsi="宋体" w:eastAsia="宋体" w:cs="Times New Roman"/>
          <w:strike/>
          <w:color w:val="auto"/>
          <w:sz w:val="24"/>
          <w:szCs w:val="24"/>
          <w:highlight w:val="none"/>
          <w:lang w:val="en-US" w:eastAsia="zh-CN" w:bidi="ar-SA"/>
        </w:rPr>
        <w:t>特此声明。</w:t>
      </w:r>
    </w:p>
    <w:p>
      <w:pPr>
        <w:widowControl w:val="0"/>
        <w:spacing w:line="360" w:lineRule="auto"/>
        <w:ind w:firstLine="629"/>
        <w:jc w:val="both"/>
        <w:rPr>
          <w:rFonts w:ascii="宋体" w:hAnsi="宋体" w:eastAsia="宋体" w:cs="Times New Roman"/>
          <w:strike/>
          <w:color w:val="auto"/>
          <w:sz w:val="24"/>
          <w:szCs w:val="24"/>
          <w:highlight w:val="none"/>
          <w:lang w:val="en-US" w:eastAsia="zh-CN" w:bidi="ar-SA"/>
        </w:rPr>
      </w:pPr>
    </w:p>
    <w:p>
      <w:pPr>
        <w:widowControl w:val="0"/>
        <w:spacing w:line="360" w:lineRule="auto"/>
        <w:ind w:left="0" w:right="1449" w:firstLine="3840" w:firstLineChars="1600"/>
        <w:jc w:val="both"/>
        <w:rPr>
          <w:rFonts w:ascii="宋体" w:hAnsi="宋体" w:eastAsia="宋体" w:cs="Times New Roman"/>
          <w:strike/>
          <w:color w:val="auto"/>
          <w:sz w:val="24"/>
          <w:szCs w:val="24"/>
          <w:highlight w:val="none"/>
          <w:lang w:val="en-US" w:eastAsia="zh-CN" w:bidi="ar-SA"/>
        </w:rPr>
      </w:pPr>
      <w:r>
        <w:rPr>
          <w:rFonts w:hint="eastAsia" w:ascii="宋体" w:hAnsi="宋体" w:eastAsia="宋体" w:cs="Times New Roman"/>
          <w:strike/>
          <w:color w:val="auto"/>
          <w:sz w:val="24"/>
          <w:szCs w:val="24"/>
          <w:highlight w:val="none"/>
          <w:lang w:val="en-US" w:eastAsia="zh-CN" w:bidi="ar-SA"/>
        </w:rPr>
        <w:t>投标人：</w:t>
      </w:r>
      <w:r>
        <w:rPr>
          <w:rFonts w:ascii="宋体" w:hAnsi="宋体" w:eastAsia="宋体" w:cs="Times New Roman"/>
          <w:strike/>
          <w:color w:val="auto"/>
          <w:sz w:val="24"/>
          <w:szCs w:val="24"/>
          <w:highlight w:val="none"/>
          <w:lang w:val="en-US" w:eastAsia="zh-CN" w:bidi="ar-SA"/>
        </w:rPr>
        <w:t>(盖章)</w:t>
      </w:r>
    </w:p>
    <w:p>
      <w:pPr>
        <w:widowControl w:val="0"/>
        <w:spacing w:line="360" w:lineRule="auto"/>
        <w:ind w:right="1449" w:firstLine="0"/>
        <w:jc w:val="center"/>
        <w:rPr>
          <w:rFonts w:ascii="宋体" w:hAnsi="宋体" w:eastAsia="宋体" w:cs="Times New Roman"/>
          <w:strike/>
          <w:color w:val="auto"/>
          <w:sz w:val="24"/>
          <w:szCs w:val="24"/>
          <w:highlight w:val="none"/>
          <w:lang w:val="en-US" w:eastAsia="zh-CN" w:bidi="ar-SA"/>
        </w:rPr>
      </w:pPr>
      <w:r>
        <w:rPr>
          <w:rFonts w:ascii="宋体" w:hAnsi="宋体" w:eastAsia="宋体" w:cs="Times New Roman"/>
          <w:strike/>
          <w:color w:val="auto"/>
          <w:sz w:val="24"/>
          <w:szCs w:val="24"/>
          <w:highlight w:val="none"/>
          <w:lang w:val="en-US" w:eastAsia="zh-CN" w:bidi="ar-SA"/>
        </w:rPr>
        <w:t xml:space="preserve">                                          </w:t>
      </w:r>
    </w:p>
    <w:p>
      <w:pPr>
        <w:widowControl w:val="0"/>
        <w:spacing w:line="360" w:lineRule="auto"/>
        <w:ind w:right="2079" w:firstLine="2160" w:firstLineChars="900"/>
        <w:jc w:val="right"/>
        <w:rPr>
          <w:rFonts w:ascii="宋体" w:hAnsi="宋体" w:eastAsia="仿宋_GB2312" w:cs="Times New Roman"/>
          <w:strike/>
          <w:color w:val="auto"/>
          <w:sz w:val="24"/>
          <w:szCs w:val="24"/>
          <w:highlight w:val="none"/>
          <w:lang w:val="en-US" w:eastAsia="zh-CN" w:bidi="ar-SA"/>
        </w:rPr>
      </w:pPr>
      <w:r>
        <w:rPr>
          <w:rFonts w:hint="eastAsia" w:ascii="宋体" w:hAnsi="宋体" w:eastAsia="宋体" w:cs="Times New Roman"/>
          <w:strike/>
          <w:color w:val="auto"/>
          <w:sz w:val="24"/>
          <w:szCs w:val="24"/>
          <w:highlight w:val="none"/>
          <w:lang w:val="en-US" w:eastAsia="zh-CN" w:bidi="ar-SA"/>
        </w:rPr>
        <w:t>年</w:t>
      </w:r>
      <w:r>
        <w:rPr>
          <w:rFonts w:ascii="宋体" w:hAnsi="宋体" w:eastAsia="宋体" w:cs="Times New Roman"/>
          <w:strike/>
          <w:color w:val="auto"/>
          <w:sz w:val="24"/>
          <w:szCs w:val="24"/>
          <w:highlight w:val="none"/>
          <w:lang w:val="en-US" w:eastAsia="zh-CN" w:bidi="ar-SA"/>
        </w:rPr>
        <w:t xml:space="preserve">   </w:t>
      </w:r>
      <w:r>
        <w:rPr>
          <w:rFonts w:hint="eastAsia" w:ascii="宋体" w:hAnsi="宋体" w:eastAsia="宋体" w:cs="Times New Roman"/>
          <w:strike/>
          <w:color w:val="auto"/>
          <w:sz w:val="24"/>
          <w:szCs w:val="24"/>
          <w:highlight w:val="none"/>
          <w:lang w:val="en-US" w:eastAsia="zh-CN" w:bidi="ar-SA"/>
        </w:rPr>
        <w:t>月</w:t>
      </w:r>
      <w:r>
        <w:rPr>
          <w:rFonts w:ascii="宋体" w:hAnsi="宋体" w:eastAsia="宋体" w:cs="Times New Roman"/>
          <w:strike/>
          <w:color w:val="auto"/>
          <w:sz w:val="24"/>
          <w:szCs w:val="24"/>
          <w:highlight w:val="none"/>
          <w:lang w:val="en-US" w:eastAsia="zh-CN" w:bidi="ar-SA"/>
        </w:rPr>
        <w:t xml:space="preserve">   </w:t>
      </w:r>
      <w:r>
        <w:rPr>
          <w:rFonts w:hint="eastAsia" w:ascii="宋体" w:hAnsi="宋体" w:eastAsia="宋体" w:cs="Times New Roman"/>
          <w:strike/>
          <w:color w:val="auto"/>
          <w:sz w:val="24"/>
          <w:szCs w:val="24"/>
          <w:highlight w:val="none"/>
          <w:lang w:val="en-US" w:eastAsia="zh-CN" w:bidi="ar-SA"/>
        </w:rPr>
        <w:t>日</w:t>
      </w:r>
    </w:p>
    <w:p>
      <w:pPr>
        <w:spacing w:line="360" w:lineRule="auto"/>
        <w:jc w:val="left"/>
        <w:rPr>
          <w:rFonts w:ascii="宋体" w:hAnsi="宋体" w:eastAsia="宋体" w:cs="Times New Roman"/>
          <w:strike/>
          <w:color w:val="auto"/>
          <w:sz w:val="24"/>
          <w:highlight w:val="none"/>
        </w:rPr>
      </w:pPr>
    </w:p>
    <w:p>
      <w:pPr>
        <w:spacing w:line="360" w:lineRule="auto"/>
        <w:jc w:val="left"/>
        <w:rPr>
          <w:rFonts w:ascii="宋体" w:hAnsi="宋体" w:eastAsia="宋体" w:cs="Times New Roman"/>
          <w:strike/>
          <w:color w:val="auto"/>
          <w:sz w:val="24"/>
          <w:highlight w:val="none"/>
        </w:rPr>
      </w:pPr>
    </w:p>
    <w:p>
      <w:pPr>
        <w:spacing w:line="360" w:lineRule="auto"/>
        <w:jc w:val="left"/>
        <w:rPr>
          <w:rFonts w:ascii="宋体" w:hAnsi="宋体" w:eastAsia="宋体" w:cs="Times New Roman"/>
          <w:strike/>
          <w:color w:val="auto"/>
          <w:sz w:val="24"/>
          <w:highlight w:val="none"/>
        </w:rPr>
      </w:pPr>
    </w:p>
    <w:p>
      <w:pPr>
        <w:spacing w:line="360" w:lineRule="auto"/>
        <w:rPr>
          <w:strike/>
          <w:color w:val="auto"/>
          <w:sz w:val="24"/>
          <w:szCs w:val="24"/>
          <w:highlight w:val="none"/>
        </w:rPr>
        <w:sectPr>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Courier New" w:eastAsia="宋体" w:cs="Times New Roman"/>
          <w:b/>
          <w:strike/>
          <w:color w:val="auto"/>
          <w:kern w:val="0"/>
          <w:sz w:val="24"/>
          <w:szCs w:val="24"/>
          <w:highlight w:val="none"/>
          <w:u w:val="single"/>
          <w:lang w:val="en-US" w:eastAsia="zh-CN" w:bidi="ar-SA"/>
        </w:rPr>
        <w:t>（注：如联合体投标人，须由联合体主办方盖章。）</w:t>
      </w:r>
      <w:r>
        <w:rPr>
          <w:rFonts w:ascii="宋体" w:hAnsi="Courier New" w:eastAsia="宋体" w:cs="Times New Roman"/>
          <w:strike/>
          <w:color w:val="auto"/>
          <w:kern w:val="0"/>
          <w:sz w:val="24"/>
          <w:szCs w:val="24"/>
          <w:highlight w:val="none"/>
          <w:lang w:val="en-US" w:eastAsia="zh-CN" w:bidi="ar-SA"/>
        </w:rPr>
        <w:t xml:space="preserve">   </w:t>
      </w:r>
    </w:p>
    <w:p>
      <w:pPr>
        <w:keepNext/>
        <w:keepLines/>
        <w:pageBreakBefore w:val="0"/>
        <w:widowControl w:val="0"/>
        <w:kinsoku/>
        <w:wordWrap/>
        <w:overflowPunct/>
        <w:topLinePunct w:val="0"/>
        <w:autoSpaceDE/>
        <w:autoSpaceDN/>
        <w:bidi w:val="0"/>
        <w:adjustRightInd/>
        <w:snapToGrid/>
        <w:spacing w:line="360" w:lineRule="auto"/>
        <w:textAlignment w:val="auto"/>
        <w:outlineLvl w:val="1"/>
        <w:rPr>
          <w:rFonts w:ascii="宋体" w:hAnsi="宋体" w:eastAsia="宋体" w:cs="Times New Roman"/>
          <w:b/>
          <w:bCs/>
          <w:color w:val="auto"/>
          <w:kern w:val="44"/>
          <w:szCs w:val="21"/>
          <w:highlight w:val="none"/>
        </w:rPr>
      </w:pPr>
      <w:bookmarkStart w:id="55" w:name="_Toc2175"/>
      <w:bookmarkStart w:id="56" w:name="_Toc6829"/>
      <w:r>
        <w:rPr>
          <w:rFonts w:hint="eastAsia" w:ascii="宋体" w:hAnsi="宋体" w:eastAsia="宋体" w:cs="Times New Roman"/>
          <w:b/>
          <w:bCs/>
          <w:color w:val="auto"/>
          <w:kern w:val="44"/>
          <w:szCs w:val="21"/>
          <w:highlight w:val="none"/>
        </w:rPr>
        <w:t>附录</w:t>
      </w:r>
      <w:r>
        <w:rPr>
          <w:rFonts w:ascii="宋体" w:hAnsi="宋体" w:eastAsia="宋体" w:cs="Times New Roman"/>
          <w:b/>
          <w:bCs/>
          <w:color w:val="auto"/>
          <w:kern w:val="44"/>
          <w:szCs w:val="21"/>
          <w:highlight w:val="none"/>
        </w:rPr>
        <w:t xml:space="preserve">9 </w:t>
      </w:r>
      <w:r>
        <w:rPr>
          <w:rFonts w:hint="eastAsia" w:ascii="宋体" w:hAnsi="宋体" w:eastAsia="宋体" w:cs="Times New Roman"/>
          <w:b/>
          <w:bCs/>
          <w:color w:val="auto"/>
          <w:kern w:val="44"/>
          <w:szCs w:val="21"/>
          <w:highlight w:val="none"/>
        </w:rPr>
        <w:t>资格审查表</w:t>
      </w:r>
      <w:bookmarkEnd w:id="55"/>
      <w:bookmarkEnd w:id="56"/>
    </w:p>
    <w:p>
      <w:pPr>
        <w:spacing w:line="360" w:lineRule="auto"/>
        <w:jc w:val="center"/>
        <w:rPr>
          <w:rFonts w:ascii="宋体" w:hAnsi="宋体" w:eastAsia="宋体" w:cs="Times New Roman"/>
          <w:b/>
          <w:color w:val="auto"/>
          <w:sz w:val="32"/>
          <w:szCs w:val="20"/>
          <w:highlight w:val="none"/>
        </w:rPr>
      </w:pPr>
      <w:r>
        <w:rPr>
          <w:rFonts w:hint="eastAsia" w:ascii="宋体" w:hAnsi="宋体" w:eastAsia="宋体" w:cs="Times New Roman"/>
          <w:b/>
          <w:color w:val="auto"/>
          <w:sz w:val="32"/>
          <w:szCs w:val="20"/>
          <w:highlight w:val="none"/>
        </w:rPr>
        <w:t>资格审查表</w:t>
      </w:r>
    </w:p>
    <w:p>
      <w:pPr>
        <w:spacing w:line="360" w:lineRule="auto"/>
        <w:rPr>
          <w:rFonts w:ascii="宋体" w:hAnsi="宋体" w:eastAsia="宋体" w:cs="Times New Roman"/>
          <w:b/>
          <w:color w:val="auto"/>
          <w:sz w:val="24"/>
          <w:highlight w:val="none"/>
        </w:rPr>
      </w:pPr>
      <w:r>
        <w:rPr>
          <w:rFonts w:hint="eastAsia" w:ascii="宋体" w:hAnsi="宋体" w:eastAsia="宋体" w:cs="Times New Roman"/>
          <w:color w:val="auto"/>
          <w:sz w:val="24"/>
          <w:highlight w:val="none"/>
        </w:rPr>
        <w:t>项目名称：</w:t>
      </w:r>
    </w:p>
    <w:tbl>
      <w:tblPr>
        <w:tblStyle w:val="11"/>
        <w:tblW w:w="86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5299"/>
        <w:gridCol w:w="911"/>
        <w:gridCol w:w="911"/>
        <w:gridCol w:w="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序号</w:t>
            </w:r>
          </w:p>
        </w:tc>
        <w:tc>
          <w:tcPr>
            <w:tcW w:w="5299" w:type="dxa"/>
            <w:tcBorders>
              <w:top w:val="single" w:color="auto" w:sz="4" w:space="0"/>
              <w:left w:val="single" w:color="auto" w:sz="4" w:space="0"/>
              <w:bottom w:val="single" w:color="auto" w:sz="4" w:space="0"/>
              <w:right w:val="single" w:color="auto" w:sz="4" w:space="0"/>
              <w:tl2br w:val="single" w:color="auto" w:sz="4" w:space="0"/>
            </w:tcBorders>
          </w:tcPr>
          <w:p>
            <w:pPr>
              <w:keepNext w:val="0"/>
              <w:keepLines w:val="0"/>
              <w:suppressLineNumbers w:val="0"/>
              <w:spacing w:before="0" w:beforeAutospacing="0" w:after="0" w:afterAutospacing="0" w:line="360" w:lineRule="auto"/>
              <w:ind w:left="0" w:right="0"/>
              <w:jc w:val="center"/>
              <w:rPr>
                <w:rFonts w:hint="default" w:ascii="宋体" w:hAnsi="Courier New" w:eastAsia="宋体" w:cs="Times New Roman"/>
                <w:color w:val="auto"/>
                <w:sz w:val="24"/>
                <w:highlight w:val="none"/>
              </w:rPr>
            </w:pPr>
            <w:r>
              <w:rPr>
                <w:rFonts w:hint="eastAsia" w:ascii="宋体" w:hAnsi="Courier New" w:eastAsia="宋体" w:cs="Times New Roman"/>
                <w:color w:val="auto"/>
                <w:sz w:val="24"/>
                <w:highlight w:val="none"/>
              </w:rPr>
              <w:t xml:space="preserve">                      投标人名称</w:t>
            </w:r>
          </w:p>
          <w:p>
            <w:pPr>
              <w:keepNext w:val="0"/>
              <w:keepLines w:val="0"/>
              <w:suppressLineNumbers w:val="0"/>
              <w:spacing w:before="0" w:beforeAutospacing="0" w:after="0" w:afterAutospacing="0" w:line="360" w:lineRule="auto"/>
              <w:ind w:left="0" w:right="0"/>
              <w:rPr>
                <w:rFonts w:hint="default" w:ascii="宋体" w:hAnsi="宋体" w:eastAsia="宋体" w:cs="Times New Roman"/>
                <w:b/>
                <w:color w:val="auto"/>
                <w:sz w:val="24"/>
                <w:highlight w:val="none"/>
              </w:rPr>
            </w:pPr>
            <w:r>
              <w:rPr>
                <w:rFonts w:hint="eastAsia" w:ascii="宋体" w:hAnsi="Courier New" w:eastAsia="宋体" w:cs="Times New Roman"/>
                <w:color w:val="auto"/>
                <w:sz w:val="24"/>
                <w:highlight w:val="none"/>
              </w:rPr>
              <w:t>审查项目</w:t>
            </w:r>
          </w:p>
        </w:tc>
        <w:tc>
          <w:tcPr>
            <w:tcW w:w="91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auto"/>
                <w:sz w:val="24"/>
                <w:highlight w:val="none"/>
              </w:rPr>
            </w:pPr>
          </w:p>
        </w:tc>
        <w:tc>
          <w:tcPr>
            <w:tcW w:w="91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auto"/>
                <w:sz w:val="24"/>
                <w:highlight w:val="none"/>
              </w:rPr>
            </w:pPr>
          </w:p>
        </w:tc>
        <w:tc>
          <w:tcPr>
            <w:tcW w:w="91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24"/>
                <w:highlight w:val="none"/>
              </w:rPr>
            </w:pPr>
            <w:r>
              <w:rPr>
                <w:rFonts w:hint="default" w:ascii="宋体" w:hAnsi="宋体" w:eastAsia="宋体" w:cs="Times New Roman"/>
                <w:color w:val="auto"/>
                <w:sz w:val="24"/>
                <w:highlight w:val="none"/>
              </w:rPr>
              <w:t>1</w:t>
            </w:r>
          </w:p>
        </w:tc>
        <w:tc>
          <w:tcPr>
            <w:tcW w:w="529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申请人与招标人过去</w:t>
            </w:r>
            <w:r>
              <w:rPr>
                <w:rFonts w:hint="default" w:ascii="宋体" w:hAnsi="宋体" w:eastAsia="宋体" w:cs="Times New Roman"/>
                <w:color w:val="auto"/>
                <w:sz w:val="24"/>
                <w:highlight w:val="none"/>
              </w:rPr>
              <w:t>3年内无合同履约纠纷。</w:t>
            </w:r>
            <w:r>
              <w:rPr>
                <w:rFonts w:hint="eastAsia" w:ascii="宋体" w:hAnsi="宋体" w:eastAsia="宋体" w:cs="Times New Roman"/>
                <w:color w:val="auto"/>
                <w:sz w:val="24"/>
                <w:highlight w:val="none"/>
                <w:u w:val="single"/>
              </w:rPr>
              <w:t>（注：不得参加投标的情形详见招标文件第三章第</w:t>
            </w:r>
            <w:r>
              <w:rPr>
                <w:rFonts w:hint="default" w:ascii="宋体" w:hAnsi="宋体" w:eastAsia="宋体" w:cs="Times New Roman"/>
                <w:color w:val="auto"/>
                <w:sz w:val="24"/>
                <w:highlight w:val="none"/>
                <w:u w:val="single"/>
              </w:rPr>
              <w:t>3.11项及根据投标人声明评审）</w:t>
            </w:r>
          </w:p>
        </w:tc>
        <w:tc>
          <w:tcPr>
            <w:tcW w:w="91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auto"/>
                <w:sz w:val="24"/>
                <w:highlight w:val="none"/>
              </w:rPr>
            </w:pPr>
          </w:p>
        </w:tc>
        <w:tc>
          <w:tcPr>
            <w:tcW w:w="91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auto"/>
                <w:sz w:val="24"/>
                <w:highlight w:val="none"/>
              </w:rPr>
            </w:pPr>
          </w:p>
        </w:tc>
        <w:tc>
          <w:tcPr>
            <w:tcW w:w="91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24"/>
                <w:highlight w:val="none"/>
              </w:rPr>
            </w:pPr>
            <w:r>
              <w:rPr>
                <w:rFonts w:hint="default" w:ascii="宋体" w:hAnsi="宋体" w:eastAsia="宋体" w:cs="Times New Roman"/>
                <w:color w:val="auto"/>
                <w:sz w:val="24"/>
                <w:highlight w:val="none"/>
              </w:rPr>
              <w:t>2</w:t>
            </w:r>
          </w:p>
        </w:tc>
        <w:tc>
          <w:tcPr>
            <w:tcW w:w="529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申请人的资质满足招标公告规定。</w:t>
            </w:r>
          </w:p>
        </w:tc>
        <w:tc>
          <w:tcPr>
            <w:tcW w:w="91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auto"/>
                <w:sz w:val="24"/>
                <w:highlight w:val="none"/>
              </w:rPr>
            </w:pPr>
          </w:p>
        </w:tc>
        <w:tc>
          <w:tcPr>
            <w:tcW w:w="91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auto"/>
                <w:sz w:val="24"/>
                <w:highlight w:val="none"/>
              </w:rPr>
            </w:pPr>
          </w:p>
        </w:tc>
        <w:tc>
          <w:tcPr>
            <w:tcW w:w="91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6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24"/>
                <w:szCs w:val="20"/>
                <w:highlight w:val="none"/>
              </w:rPr>
            </w:pPr>
            <w:r>
              <w:rPr>
                <w:rFonts w:hint="default" w:ascii="宋体" w:hAnsi="宋体" w:eastAsia="宋体" w:cs="Times New Roman"/>
                <w:color w:val="auto"/>
                <w:sz w:val="24"/>
                <w:szCs w:val="20"/>
                <w:highlight w:val="none"/>
              </w:rPr>
              <w:t>3</w:t>
            </w:r>
          </w:p>
        </w:tc>
        <w:tc>
          <w:tcPr>
            <w:tcW w:w="529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外国或澳门、台湾的设计企业必须选择一家符合上述条件的企业进行合作设计。香港企业如不单独参加投标，也必须选择一家符合上述条件的企业进行合作设计。</w:t>
            </w:r>
          </w:p>
        </w:tc>
        <w:tc>
          <w:tcPr>
            <w:tcW w:w="91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auto"/>
                <w:sz w:val="24"/>
                <w:highlight w:val="none"/>
              </w:rPr>
            </w:pPr>
          </w:p>
        </w:tc>
        <w:tc>
          <w:tcPr>
            <w:tcW w:w="91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auto"/>
                <w:sz w:val="24"/>
                <w:highlight w:val="none"/>
              </w:rPr>
            </w:pPr>
          </w:p>
        </w:tc>
        <w:tc>
          <w:tcPr>
            <w:tcW w:w="91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6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24"/>
                <w:highlight w:val="none"/>
              </w:rPr>
            </w:pPr>
            <w:r>
              <w:rPr>
                <w:rFonts w:hint="default" w:ascii="宋体" w:hAnsi="宋体" w:eastAsia="宋体" w:cs="Times New Roman"/>
                <w:color w:val="auto"/>
                <w:sz w:val="24"/>
                <w:highlight w:val="none"/>
              </w:rPr>
              <w:t>4</w:t>
            </w:r>
          </w:p>
        </w:tc>
        <w:tc>
          <w:tcPr>
            <w:tcW w:w="529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ascii="宋体" w:hAnsi="宋体" w:eastAsia="宋体" w:cs="Times New Roman"/>
                <w:color w:val="auto"/>
                <w:sz w:val="24"/>
                <w:highlight w:val="none"/>
              </w:rPr>
            </w:pPr>
            <w:r>
              <w:rPr>
                <w:rFonts w:hint="eastAsia" w:ascii="宋体" w:hAnsi="宋体" w:eastAsia="宋体" w:cs="Times New Roman"/>
                <w:color w:val="auto"/>
                <w:sz w:val="24"/>
                <w:szCs w:val="20"/>
                <w:highlight w:val="none"/>
              </w:rPr>
              <w:t>申请人（如为联合体，则联合体各方）已在广州市住房和城乡建设局建立企业信用档案，拟委派的项目负责人须是本企业信用档案中的在册人员。（根据招标公告第1.4.4款进行评审）。</w:t>
            </w:r>
          </w:p>
        </w:tc>
        <w:tc>
          <w:tcPr>
            <w:tcW w:w="91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auto"/>
                <w:sz w:val="24"/>
                <w:highlight w:val="none"/>
              </w:rPr>
            </w:pPr>
          </w:p>
        </w:tc>
        <w:tc>
          <w:tcPr>
            <w:tcW w:w="91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auto"/>
                <w:sz w:val="24"/>
                <w:highlight w:val="none"/>
              </w:rPr>
            </w:pPr>
          </w:p>
        </w:tc>
        <w:tc>
          <w:tcPr>
            <w:tcW w:w="91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24"/>
                <w:highlight w:val="none"/>
              </w:rPr>
            </w:pPr>
            <w:r>
              <w:rPr>
                <w:rFonts w:hint="default" w:ascii="宋体" w:hAnsi="宋体" w:eastAsia="宋体" w:cs="Times New Roman"/>
                <w:color w:val="auto"/>
                <w:sz w:val="24"/>
                <w:highlight w:val="none"/>
              </w:rPr>
              <w:t>5</w:t>
            </w:r>
          </w:p>
        </w:tc>
        <w:tc>
          <w:tcPr>
            <w:tcW w:w="529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ascii="宋体" w:hAnsi="Courier New" w:eastAsia="宋体" w:cs="Times New Roman"/>
                <w:color w:val="auto"/>
                <w:sz w:val="24"/>
                <w:highlight w:val="none"/>
              </w:rPr>
            </w:pPr>
            <w:r>
              <w:rPr>
                <w:rFonts w:hint="eastAsia" w:ascii="宋体" w:hAnsi="宋体" w:eastAsia="宋体" w:cs="Times New Roman"/>
                <w:color w:val="auto"/>
                <w:sz w:val="24"/>
                <w:highlight w:val="none"/>
              </w:rPr>
              <w:t>申请人拟派项目负责人资格满足招标公告规定。</w:t>
            </w:r>
          </w:p>
        </w:tc>
        <w:tc>
          <w:tcPr>
            <w:tcW w:w="91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auto"/>
                <w:sz w:val="24"/>
                <w:highlight w:val="none"/>
              </w:rPr>
            </w:pPr>
          </w:p>
        </w:tc>
        <w:tc>
          <w:tcPr>
            <w:tcW w:w="91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auto"/>
                <w:sz w:val="24"/>
                <w:highlight w:val="none"/>
              </w:rPr>
            </w:pPr>
          </w:p>
        </w:tc>
        <w:tc>
          <w:tcPr>
            <w:tcW w:w="91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24"/>
                <w:highlight w:val="none"/>
              </w:rPr>
            </w:pPr>
            <w:r>
              <w:rPr>
                <w:rFonts w:hint="default" w:ascii="宋体" w:hAnsi="宋体" w:eastAsia="宋体" w:cs="Times New Roman"/>
                <w:color w:val="auto"/>
                <w:sz w:val="24"/>
                <w:highlight w:val="none"/>
              </w:rPr>
              <w:t>6</w:t>
            </w:r>
          </w:p>
        </w:tc>
        <w:tc>
          <w:tcPr>
            <w:tcW w:w="529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以联合体形式投标的，已按要求向招标人提交共同投标协议。</w:t>
            </w:r>
          </w:p>
        </w:tc>
        <w:tc>
          <w:tcPr>
            <w:tcW w:w="91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auto"/>
                <w:sz w:val="24"/>
                <w:highlight w:val="none"/>
              </w:rPr>
            </w:pPr>
          </w:p>
        </w:tc>
        <w:tc>
          <w:tcPr>
            <w:tcW w:w="91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auto"/>
                <w:sz w:val="24"/>
                <w:highlight w:val="none"/>
              </w:rPr>
            </w:pPr>
          </w:p>
        </w:tc>
        <w:tc>
          <w:tcPr>
            <w:tcW w:w="91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24"/>
                <w:highlight w:val="none"/>
              </w:rPr>
            </w:pPr>
            <w:r>
              <w:rPr>
                <w:rFonts w:hint="default" w:ascii="宋体" w:hAnsi="宋体" w:eastAsia="宋体" w:cs="Times New Roman"/>
                <w:color w:val="auto"/>
                <w:sz w:val="24"/>
                <w:highlight w:val="none"/>
              </w:rPr>
              <w:t>7</w:t>
            </w:r>
          </w:p>
        </w:tc>
        <w:tc>
          <w:tcPr>
            <w:tcW w:w="529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申请人没有第三章第</w:t>
            </w:r>
            <w:r>
              <w:rPr>
                <w:rFonts w:hint="default" w:ascii="宋体" w:hAnsi="宋体" w:eastAsia="宋体" w:cs="Times New Roman"/>
                <w:color w:val="auto"/>
                <w:sz w:val="24"/>
                <w:highlight w:val="none"/>
              </w:rPr>
              <w:t>3.11项规定的任何一种情形（根据《</w:t>
            </w:r>
            <w:r>
              <w:rPr>
                <w:rFonts w:hint="eastAsia" w:ascii="宋体" w:hAnsi="宋体" w:eastAsia="宋体" w:cs="Times New Roman"/>
                <w:color w:val="auto"/>
                <w:sz w:val="24"/>
                <w:highlight w:val="none"/>
              </w:rPr>
              <w:t>投标人</w:t>
            </w:r>
            <w:r>
              <w:rPr>
                <w:rFonts w:hint="default" w:ascii="宋体" w:hAnsi="宋体" w:eastAsia="宋体" w:cs="Times New Roman"/>
                <w:color w:val="auto"/>
                <w:sz w:val="24"/>
                <w:highlight w:val="none"/>
              </w:rPr>
              <w:t>声明》</w:t>
            </w:r>
            <w:r>
              <w:rPr>
                <w:rFonts w:hint="eastAsia" w:ascii="宋体" w:hAnsi="宋体" w:eastAsia="宋体" w:cs="Times New Roman"/>
                <w:color w:val="auto"/>
                <w:sz w:val="24"/>
                <w:highlight w:val="none"/>
              </w:rPr>
              <w:t>进行</w:t>
            </w:r>
            <w:r>
              <w:rPr>
                <w:rFonts w:hint="default" w:ascii="宋体" w:hAnsi="宋体" w:eastAsia="宋体" w:cs="Times New Roman"/>
                <w:color w:val="auto"/>
                <w:sz w:val="24"/>
                <w:highlight w:val="none"/>
              </w:rPr>
              <w:t>评审</w:t>
            </w:r>
            <w:r>
              <w:rPr>
                <w:rFonts w:hint="eastAsia" w:ascii="宋体" w:hAnsi="宋体" w:eastAsia="宋体" w:cs="Times New Roman"/>
                <w:color w:val="auto"/>
                <w:sz w:val="24"/>
                <w:highlight w:val="none"/>
              </w:rPr>
              <w:t>）。</w:t>
            </w:r>
          </w:p>
        </w:tc>
        <w:tc>
          <w:tcPr>
            <w:tcW w:w="91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auto"/>
                <w:sz w:val="24"/>
                <w:highlight w:val="none"/>
              </w:rPr>
            </w:pPr>
          </w:p>
        </w:tc>
        <w:tc>
          <w:tcPr>
            <w:tcW w:w="91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auto"/>
                <w:sz w:val="24"/>
                <w:highlight w:val="none"/>
              </w:rPr>
            </w:pPr>
          </w:p>
        </w:tc>
        <w:tc>
          <w:tcPr>
            <w:tcW w:w="91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24"/>
                <w:highlight w:val="none"/>
              </w:rPr>
            </w:pPr>
            <w:r>
              <w:rPr>
                <w:rFonts w:hint="default" w:ascii="宋体" w:hAnsi="宋体" w:eastAsia="宋体" w:cs="Times New Roman"/>
                <w:color w:val="auto"/>
                <w:sz w:val="24"/>
                <w:highlight w:val="none"/>
              </w:rPr>
              <w:t>8</w:t>
            </w:r>
          </w:p>
        </w:tc>
        <w:tc>
          <w:tcPr>
            <w:tcW w:w="529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u w:val="single"/>
              </w:rPr>
              <w:t>申请人（如为联合体，则联合体各方）未在以往工程中因不充分履约行为被本项目招标人书面拒绝投标的（被招标人拒绝投标的名单详见招标公告附件一）。</w:t>
            </w:r>
          </w:p>
        </w:tc>
        <w:tc>
          <w:tcPr>
            <w:tcW w:w="91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auto"/>
                <w:sz w:val="24"/>
                <w:highlight w:val="none"/>
              </w:rPr>
            </w:pPr>
          </w:p>
        </w:tc>
        <w:tc>
          <w:tcPr>
            <w:tcW w:w="91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auto"/>
                <w:sz w:val="24"/>
                <w:highlight w:val="none"/>
              </w:rPr>
            </w:pPr>
          </w:p>
        </w:tc>
        <w:tc>
          <w:tcPr>
            <w:tcW w:w="91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24"/>
                <w:highlight w:val="none"/>
              </w:rPr>
            </w:pPr>
            <w:r>
              <w:rPr>
                <w:rFonts w:hint="default" w:ascii="宋体" w:hAnsi="宋体" w:eastAsia="宋体" w:cs="Times New Roman"/>
                <w:color w:val="auto"/>
                <w:sz w:val="24"/>
                <w:highlight w:val="none"/>
              </w:rPr>
              <w:t>9</w:t>
            </w:r>
          </w:p>
        </w:tc>
        <w:tc>
          <w:tcPr>
            <w:tcW w:w="529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ascii="宋体" w:hAnsi="宋体" w:eastAsia="宋体" w:cs="Times New Roman"/>
                <w:color w:val="auto"/>
                <w:sz w:val="24"/>
                <w:highlight w:val="none"/>
              </w:rPr>
            </w:pPr>
            <w:r>
              <w:rPr>
                <w:rFonts w:hint="eastAsia" w:ascii="宋体" w:hAnsi="宋体" w:eastAsia="宋体" w:cs="Times New Roman"/>
                <w:b w:val="0"/>
                <w:bCs w:val="0"/>
                <w:color w:val="auto"/>
                <w:sz w:val="24"/>
                <w:highlight w:val="none"/>
                <w:u w:val="single"/>
              </w:rPr>
              <w:t>申请人</w:t>
            </w:r>
            <w:r>
              <w:rPr>
                <w:rFonts w:hint="eastAsia" w:ascii="宋体" w:hAnsi="宋体" w:eastAsia="宋体" w:cs="Times New Roman"/>
                <w:b/>
                <w:bCs/>
                <w:color w:val="auto"/>
                <w:sz w:val="24"/>
                <w:highlight w:val="none"/>
                <w:u w:val="single"/>
              </w:rPr>
              <w:t>未被列入拖欠农民工工资失信联合惩戒对象名单</w:t>
            </w:r>
            <w:r>
              <w:rPr>
                <w:rFonts w:hint="default" w:ascii="宋体" w:hAnsi="宋体" w:eastAsia="宋体" w:cs="Times New Roman"/>
                <w:b/>
                <w:bCs/>
                <w:color w:val="auto"/>
                <w:sz w:val="24"/>
                <w:highlight w:val="none"/>
                <w:u w:val="single"/>
              </w:rPr>
              <w:t xml:space="preserve"> 。</w:t>
            </w:r>
            <w:r>
              <w:rPr>
                <w:rFonts w:hint="default" w:ascii="宋体" w:hAnsi="宋体" w:eastAsia="宋体" w:cs="Times New Roman"/>
                <w:color w:val="auto"/>
                <w:sz w:val="24"/>
                <w:highlight w:val="none"/>
              </w:rPr>
              <w:t>（投标人无需提供资料，按投标截止时间广州交易集团有限公司(广州公共资源交易中心)交易系统比对的结果进行评审）</w:t>
            </w:r>
          </w:p>
        </w:tc>
        <w:tc>
          <w:tcPr>
            <w:tcW w:w="91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auto"/>
                <w:sz w:val="24"/>
                <w:highlight w:val="none"/>
              </w:rPr>
            </w:pPr>
          </w:p>
        </w:tc>
        <w:tc>
          <w:tcPr>
            <w:tcW w:w="91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auto"/>
                <w:sz w:val="24"/>
                <w:highlight w:val="none"/>
              </w:rPr>
            </w:pPr>
          </w:p>
        </w:tc>
        <w:tc>
          <w:tcPr>
            <w:tcW w:w="91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结论</w:t>
            </w:r>
          </w:p>
        </w:tc>
        <w:tc>
          <w:tcPr>
            <w:tcW w:w="529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是否通过并进入下一阶段评审</w:t>
            </w:r>
          </w:p>
        </w:tc>
        <w:tc>
          <w:tcPr>
            <w:tcW w:w="91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auto"/>
                <w:sz w:val="24"/>
                <w:highlight w:val="none"/>
              </w:rPr>
            </w:pPr>
          </w:p>
        </w:tc>
        <w:tc>
          <w:tcPr>
            <w:tcW w:w="91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auto"/>
                <w:sz w:val="24"/>
                <w:highlight w:val="none"/>
              </w:rPr>
            </w:pPr>
          </w:p>
        </w:tc>
        <w:tc>
          <w:tcPr>
            <w:tcW w:w="91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auto"/>
                <w:sz w:val="24"/>
                <w:highlight w:val="none"/>
              </w:rPr>
            </w:pPr>
          </w:p>
        </w:tc>
      </w:tr>
    </w:tbl>
    <w:p>
      <w:pPr>
        <w:tabs>
          <w:tab w:val="left" w:pos="720"/>
        </w:tabs>
        <w:spacing w:line="360" w:lineRule="auto"/>
        <w:rPr>
          <w:rFonts w:ascii="宋体" w:hAnsi="Courier New" w:eastAsia="宋体" w:cs="Times New Roman"/>
          <w:color w:val="auto"/>
          <w:sz w:val="24"/>
          <w:highlight w:val="none"/>
        </w:rPr>
      </w:pPr>
      <w:r>
        <w:rPr>
          <w:rFonts w:hint="eastAsia" w:ascii="宋体" w:hAnsi="Courier New" w:eastAsia="宋体" w:cs="Times New Roman"/>
          <w:color w:val="auto"/>
          <w:sz w:val="24"/>
          <w:highlight w:val="none"/>
        </w:rPr>
        <w:t>备注：1、根据本表的审查项目，填“是”或“否”。</w:t>
      </w:r>
    </w:p>
    <w:p>
      <w:pPr>
        <w:tabs>
          <w:tab w:val="left" w:pos="720"/>
        </w:tabs>
        <w:spacing w:line="360" w:lineRule="auto"/>
        <w:ind w:firstLine="720" w:firstLineChars="300"/>
        <w:rPr>
          <w:rFonts w:ascii="宋体" w:hAnsi="Courier New" w:eastAsia="宋体" w:cs="Times New Roman"/>
          <w:color w:val="auto"/>
          <w:sz w:val="24"/>
          <w:highlight w:val="none"/>
        </w:rPr>
      </w:pPr>
      <w:r>
        <w:rPr>
          <w:rFonts w:hint="eastAsia" w:ascii="宋体" w:hAnsi="Courier New" w:eastAsia="宋体" w:cs="Times New Roman"/>
          <w:color w:val="auto"/>
          <w:sz w:val="24"/>
          <w:highlight w:val="none"/>
        </w:rPr>
        <w:t>2、表中出现一个或以上“否”，即该投标人的评审“结论”为“否”，即该投标人不进入下一阶段评审</w:t>
      </w:r>
      <w:r>
        <w:rPr>
          <w:rFonts w:hint="eastAsia" w:ascii="Calibri" w:hAnsi="Calibri" w:eastAsia="宋体" w:cs="Times New Roman"/>
          <w:color w:val="auto"/>
          <w:sz w:val="24"/>
          <w:highlight w:val="none"/>
        </w:rPr>
        <w:t>。</w:t>
      </w:r>
    </w:p>
    <w:p>
      <w:pPr>
        <w:tabs>
          <w:tab w:val="left" w:pos="720"/>
        </w:tabs>
        <w:spacing w:line="360" w:lineRule="auto"/>
        <w:ind w:firstLine="720" w:firstLineChars="300"/>
        <w:rPr>
          <w:rFonts w:ascii="宋体" w:hAnsi="Courier New" w:eastAsia="宋体" w:cs="Times New Roman"/>
          <w:color w:val="auto"/>
          <w:sz w:val="24"/>
          <w:highlight w:val="none"/>
        </w:rPr>
      </w:pPr>
      <w:r>
        <w:rPr>
          <w:rFonts w:hint="eastAsia" w:ascii="宋体" w:hAnsi="Courier New" w:eastAsia="宋体" w:cs="Times New Roman"/>
          <w:color w:val="auto"/>
          <w:sz w:val="24"/>
          <w:highlight w:val="none"/>
        </w:rPr>
        <w:t>3、表中全部评审结果为“是”，视为同意进入下一阶段评审。</w:t>
      </w:r>
    </w:p>
    <w:p>
      <w:pPr>
        <w:tabs>
          <w:tab w:val="left" w:pos="720"/>
        </w:tabs>
        <w:spacing w:line="360" w:lineRule="auto"/>
        <w:ind w:firstLine="720" w:firstLineChars="300"/>
        <w:rPr>
          <w:rFonts w:hint="eastAsia" w:ascii="宋体" w:hAnsi="Courier New" w:eastAsia="宋体" w:cs="Times New Roman"/>
          <w:color w:val="auto"/>
          <w:sz w:val="24"/>
          <w:highlight w:val="none"/>
        </w:rPr>
      </w:pPr>
      <w:r>
        <w:rPr>
          <w:rFonts w:hint="eastAsia" w:ascii="宋体" w:hAnsi="Courier New" w:eastAsia="宋体" w:cs="Times New Roman"/>
          <w:color w:val="auto"/>
          <w:sz w:val="24"/>
          <w:highlight w:val="none"/>
        </w:rPr>
        <w:t>4、若评委意见不一致时，则按少数服从多数的原则，决定该投标人是否通过符合性审查，进入下一阶段评审。</w:t>
      </w:r>
    </w:p>
    <w:p>
      <w:pPr>
        <w:tabs>
          <w:tab w:val="left" w:pos="720"/>
        </w:tabs>
        <w:spacing w:line="360" w:lineRule="auto"/>
        <w:ind w:firstLine="720" w:firstLineChars="300"/>
        <w:rPr>
          <w:rFonts w:hint="eastAsia" w:ascii="宋体" w:hAnsi="Courier New" w:eastAsia="宋体" w:cs="Times New Roman"/>
          <w:color w:val="auto"/>
          <w:sz w:val="24"/>
          <w:highlight w:val="none"/>
          <w:u w:val="single"/>
          <w:lang w:val="en-US" w:eastAsia="zh-CN"/>
        </w:rPr>
      </w:pPr>
      <w:r>
        <w:rPr>
          <w:rFonts w:hint="eastAsia" w:ascii="宋体" w:hAnsi="Courier New" w:eastAsia="宋体" w:cs="Times New Roman"/>
          <w:color w:val="auto"/>
          <w:sz w:val="24"/>
          <w:highlight w:val="none"/>
          <w:u w:val="single"/>
          <w:lang w:val="en-US" w:eastAsia="zh-CN"/>
        </w:rPr>
        <w:t>5、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spacing w:line="360" w:lineRule="auto"/>
        <w:jc w:val="right"/>
        <w:rPr>
          <w:rFonts w:ascii="宋体" w:hAnsi="Courier New" w:eastAsia="宋体" w:cs="Times New Roman"/>
          <w:color w:val="auto"/>
          <w:sz w:val="24"/>
          <w:highlight w:val="none"/>
        </w:rPr>
      </w:pPr>
      <w:r>
        <w:rPr>
          <w:rFonts w:hint="eastAsia" w:ascii="宋体" w:hAnsi="Courier New" w:eastAsia="宋体" w:cs="Times New Roman"/>
          <w:color w:val="auto"/>
          <w:sz w:val="24"/>
          <w:highlight w:val="none"/>
        </w:rPr>
        <w:t>评委签名：</w:t>
      </w:r>
      <w:r>
        <w:rPr>
          <w:rFonts w:ascii="宋体" w:hAnsi="Courier New" w:eastAsia="宋体" w:cs="Times New Roman"/>
          <w:color w:val="auto"/>
          <w:sz w:val="24"/>
          <w:highlight w:val="none"/>
        </w:rPr>
        <w:t xml:space="preserve">                     </w:t>
      </w:r>
      <w:r>
        <w:rPr>
          <w:rFonts w:hint="eastAsia" w:ascii="宋体" w:hAnsi="Courier New" w:eastAsia="宋体" w:cs="Times New Roman"/>
          <w:color w:val="auto"/>
          <w:sz w:val="24"/>
          <w:highlight w:val="none"/>
        </w:rPr>
        <w:t>日期：</w:t>
      </w:r>
    </w:p>
    <w:p>
      <w:pPr>
        <w:widowControl/>
        <w:jc w:val="left"/>
        <w:rPr>
          <w:rFonts w:ascii="Times New Roman" w:hAnsi="Times New Roman" w:eastAsia="宋体" w:cs="Times New Roman"/>
          <w:color w:val="auto"/>
          <w:kern w:val="0"/>
          <w:sz w:val="20"/>
          <w:szCs w:val="20"/>
          <w:highlight w:val="none"/>
        </w:rPr>
      </w:pPr>
      <w:r>
        <w:rPr>
          <w:rFonts w:ascii="Calibri" w:hAnsi="Calibri" w:eastAsia="宋体" w:cs="Times New Roman"/>
          <w:color w:val="auto"/>
          <w:highlight w:val="none"/>
        </w:rPr>
        <w:br w:type="page"/>
      </w:r>
    </w:p>
    <w:p>
      <w:pPr>
        <w:spacing w:line="360" w:lineRule="auto"/>
        <w:outlineLvl w:val="1"/>
        <w:rPr>
          <w:rFonts w:ascii="宋体" w:hAnsi="宋体" w:eastAsia="宋体" w:cs="Times New Roman"/>
          <w:b w:val="0"/>
          <w:bCs w:val="0"/>
          <w:strike/>
          <w:color w:val="auto"/>
          <w:kern w:val="44"/>
          <w:sz w:val="44"/>
          <w:szCs w:val="44"/>
          <w:highlight w:val="none"/>
          <w:lang w:val="en-US" w:eastAsia="zh-CN" w:bidi="ar-SA"/>
        </w:rPr>
      </w:pPr>
      <w:bookmarkStart w:id="57" w:name="_Toc5782"/>
      <w:r>
        <w:rPr>
          <w:rFonts w:hint="eastAsia" w:ascii="宋体" w:hAnsi="宋体" w:eastAsia="宋体" w:cs="Times New Roman"/>
          <w:b/>
          <w:bCs/>
          <w:strike/>
          <w:color w:val="auto"/>
          <w:kern w:val="44"/>
          <w:sz w:val="21"/>
          <w:szCs w:val="21"/>
          <w:highlight w:val="none"/>
          <w:lang w:val="en-US" w:eastAsia="zh-CN" w:bidi="ar-SA"/>
        </w:rPr>
        <w:t>附件</w:t>
      </w:r>
      <w:r>
        <w:rPr>
          <w:rFonts w:ascii="宋体" w:hAnsi="宋体" w:eastAsia="宋体" w:cs="Times New Roman"/>
          <w:b/>
          <w:bCs/>
          <w:strike/>
          <w:color w:val="auto"/>
          <w:kern w:val="44"/>
          <w:sz w:val="21"/>
          <w:szCs w:val="21"/>
          <w:highlight w:val="none"/>
          <w:lang w:val="en-US" w:eastAsia="zh-CN" w:bidi="ar-SA"/>
        </w:rPr>
        <w:t xml:space="preserve">10 </w:t>
      </w:r>
      <w:r>
        <w:rPr>
          <w:rFonts w:hint="eastAsia" w:ascii="宋体" w:hAnsi="宋体" w:eastAsia="宋体" w:cs="Times New Roman"/>
          <w:b/>
          <w:bCs/>
          <w:strike/>
          <w:color w:val="auto"/>
          <w:kern w:val="44"/>
          <w:sz w:val="21"/>
          <w:szCs w:val="21"/>
          <w:highlight w:val="none"/>
          <w:lang w:val="en-US" w:eastAsia="zh-CN" w:bidi="ar-SA"/>
        </w:rPr>
        <w:t>投票表格</w:t>
      </w:r>
      <w:bookmarkEnd w:id="57"/>
    </w:p>
    <w:p>
      <w:pPr>
        <w:jc w:val="center"/>
        <w:rPr>
          <w:rFonts w:ascii="宋体" w:hAnsi="宋体" w:eastAsia="宋体" w:cs="Times New Roman"/>
          <w:strike/>
          <w:color w:val="auto"/>
          <w:sz w:val="24"/>
          <w:highlight w:val="none"/>
        </w:rPr>
      </w:pPr>
      <w:r>
        <w:rPr>
          <w:rFonts w:hint="eastAsia" w:ascii="宋体" w:hAnsi="宋体" w:eastAsia="宋体" w:cs="Times New Roman"/>
          <w:b/>
          <w:strike/>
          <w:color w:val="auto"/>
          <w:kern w:val="0"/>
          <w:sz w:val="32"/>
          <w:szCs w:val="20"/>
          <w:highlight w:val="none"/>
          <w:lang w:val="en-US" w:eastAsia="zh-CN" w:bidi="ar-SA"/>
        </w:rPr>
        <w:t>投票表格</w:t>
      </w:r>
    </w:p>
    <w:p>
      <w:pPr>
        <w:spacing w:line="360" w:lineRule="auto"/>
        <w:rPr>
          <w:rFonts w:ascii="宋体" w:hAnsi="宋体" w:eastAsia="宋体" w:cs="Times New Roman"/>
          <w:strike/>
          <w:color w:val="auto"/>
          <w:sz w:val="24"/>
          <w:highlight w:val="none"/>
        </w:rPr>
      </w:pPr>
      <w:r>
        <w:rPr>
          <w:rFonts w:hint="eastAsia" w:ascii="宋体" w:hAnsi="宋体" w:eastAsia="宋体" w:cs="Times New Roman"/>
          <w:strike/>
          <w:color w:val="auto"/>
          <w:sz w:val="24"/>
          <w:highlight w:val="none"/>
        </w:rPr>
        <w:t>项目名称：</w:t>
      </w:r>
      <w:r>
        <w:rPr>
          <w:rFonts w:ascii="宋体" w:hAnsi="宋体" w:eastAsia="宋体" w:cs="Times New Roman"/>
          <w:strike/>
          <w:color w:val="auto"/>
          <w:sz w:val="24"/>
          <w:highlight w:val="none"/>
          <w:u w:val="single"/>
        </w:rPr>
        <w:t xml:space="preserve">                             </w:t>
      </w:r>
    </w:p>
    <w:tbl>
      <w:tblPr>
        <w:tblStyle w:val="11"/>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17"/>
        <w:gridCol w:w="918"/>
        <w:gridCol w:w="917"/>
        <w:gridCol w:w="918"/>
        <w:gridCol w:w="917"/>
        <w:gridCol w:w="918"/>
        <w:gridCol w:w="917"/>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 w:val="24"/>
                <w:highlight w:val="none"/>
              </w:rPr>
            </w:pPr>
            <w:r>
              <w:rPr>
                <w:rFonts w:hint="eastAsia" w:ascii="宋体" w:hAnsi="宋体" w:eastAsia="宋体" w:cs="Times New Roman"/>
                <w:strike/>
                <w:color w:val="auto"/>
                <w:sz w:val="24"/>
                <w:highlight w:val="none"/>
              </w:rPr>
              <w:t>第</w:t>
            </w:r>
            <w:r>
              <w:rPr>
                <w:rFonts w:hint="default" w:ascii="宋体" w:hAnsi="宋体" w:eastAsia="宋体" w:cs="Times New Roman"/>
                <w:strike/>
                <w:color w:val="auto"/>
                <w:sz w:val="24"/>
                <w:highlight w:val="none"/>
              </w:rPr>
              <w:t xml:space="preserve">    </w:t>
            </w:r>
            <w:r>
              <w:rPr>
                <w:rFonts w:hint="eastAsia" w:ascii="宋体" w:hAnsi="宋体" w:eastAsia="宋体" w:cs="Times New Roman"/>
                <w:strike/>
                <w:color w:val="auto"/>
                <w:sz w:val="24"/>
                <w:highlight w:val="none"/>
              </w:rPr>
              <w:t>轮</w:t>
            </w:r>
          </w:p>
        </w:tc>
        <w:tc>
          <w:tcPr>
            <w:tcW w:w="917" w:type="dxa"/>
            <w:tcBorders>
              <w:top w:val="double" w:color="auto" w:sz="4" w:space="0"/>
              <w:left w:val="single" w:color="auto" w:sz="4" w:space="0"/>
              <w:bottom w:val="double" w:color="auto" w:sz="4" w:space="0"/>
            </w:tcBorders>
          </w:tcPr>
          <w:p>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auto"/>
                <w:sz w:val="24"/>
                <w:highlight w:val="none"/>
              </w:rPr>
            </w:pPr>
          </w:p>
        </w:tc>
        <w:tc>
          <w:tcPr>
            <w:tcW w:w="918" w:type="dxa"/>
            <w:tcBorders>
              <w:top w:val="double" w:color="auto" w:sz="4" w:space="0"/>
              <w:bottom w:val="double" w:color="auto" w:sz="4" w:space="0"/>
            </w:tcBorders>
          </w:tcPr>
          <w:p>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auto"/>
                <w:sz w:val="24"/>
                <w:highlight w:val="none"/>
              </w:rPr>
            </w:pPr>
          </w:p>
        </w:tc>
        <w:tc>
          <w:tcPr>
            <w:tcW w:w="917" w:type="dxa"/>
            <w:tcBorders>
              <w:top w:val="double" w:color="auto" w:sz="4" w:space="0"/>
              <w:bottom w:val="double" w:color="auto" w:sz="4" w:space="0"/>
            </w:tcBorders>
          </w:tcPr>
          <w:p>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auto"/>
                <w:sz w:val="24"/>
                <w:highlight w:val="none"/>
              </w:rPr>
            </w:pPr>
          </w:p>
        </w:tc>
        <w:tc>
          <w:tcPr>
            <w:tcW w:w="918" w:type="dxa"/>
            <w:tcBorders>
              <w:top w:val="double" w:color="auto" w:sz="4" w:space="0"/>
              <w:bottom w:val="double" w:color="auto" w:sz="4" w:space="0"/>
            </w:tcBorders>
          </w:tcPr>
          <w:p>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auto"/>
                <w:sz w:val="24"/>
                <w:highlight w:val="none"/>
              </w:rPr>
            </w:pPr>
          </w:p>
        </w:tc>
        <w:tc>
          <w:tcPr>
            <w:tcW w:w="917" w:type="dxa"/>
            <w:tcBorders>
              <w:top w:val="double" w:color="auto" w:sz="4" w:space="0"/>
              <w:bottom w:val="double" w:color="auto" w:sz="4" w:space="0"/>
            </w:tcBorders>
          </w:tcPr>
          <w:p>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auto"/>
                <w:sz w:val="24"/>
                <w:highlight w:val="none"/>
              </w:rPr>
            </w:pPr>
          </w:p>
        </w:tc>
        <w:tc>
          <w:tcPr>
            <w:tcW w:w="918" w:type="dxa"/>
            <w:tcBorders>
              <w:top w:val="double" w:color="auto" w:sz="4" w:space="0"/>
              <w:bottom w:val="double" w:color="auto" w:sz="4" w:space="0"/>
            </w:tcBorders>
          </w:tcPr>
          <w:p>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auto"/>
                <w:sz w:val="24"/>
                <w:highlight w:val="none"/>
              </w:rPr>
            </w:pPr>
          </w:p>
        </w:tc>
        <w:tc>
          <w:tcPr>
            <w:tcW w:w="917" w:type="dxa"/>
            <w:tcBorders>
              <w:top w:val="double" w:color="auto" w:sz="4" w:space="0"/>
              <w:bottom w:val="double" w:color="auto" w:sz="4" w:space="0"/>
            </w:tcBorders>
          </w:tcPr>
          <w:p>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auto"/>
                <w:sz w:val="24"/>
                <w:highlight w:val="none"/>
              </w:rPr>
            </w:pPr>
          </w:p>
        </w:tc>
        <w:tc>
          <w:tcPr>
            <w:tcW w:w="918" w:type="dxa"/>
            <w:tcBorders>
              <w:top w:val="double" w:color="auto" w:sz="4" w:space="0"/>
              <w:bottom w:val="double" w:color="auto" w:sz="4" w:space="0"/>
              <w:right w:val="double" w:color="auto" w:sz="4" w:space="0"/>
            </w:tcBorders>
          </w:tcPr>
          <w:p>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 w:val="24"/>
                <w:highlight w:val="none"/>
              </w:rPr>
            </w:pPr>
            <w:r>
              <w:rPr>
                <w:rFonts w:hint="eastAsia" w:ascii="宋体" w:hAnsi="宋体" w:eastAsia="宋体" w:cs="Times New Roman"/>
                <w:strike/>
                <w:color w:val="auto"/>
                <w:sz w:val="24"/>
                <w:highlight w:val="none"/>
              </w:rPr>
              <w:t>第</w:t>
            </w:r>
            <w:r>
              <w:rPr>
                <w:rFonts w:hint="default" w:ascii="宋体" w:hAnsi="宋体" w:eastAsia="宋体" w:cs="Times New Roman"/>
                <w:strike/>
                <w:color w:val="auto"/>
                <w:sz w:val="24"/>
                <w:highlight w:val="none"/>
              </w:rPr>
              <w:t xml:space="preserve">    </w:t>
            </w:r>
            <w:r>
              <w:rPr>
                <w:rFonts w:hint="eastAsia" w:ascii="宋体" w:hAnsi="宋体" w:eastAsia="宋体" w:cs="Times New Roman"/>
                <w:strike/>
                <w:color w:val="auto"/>
                <w:sz w:val="24"/>
                <w:highlight w:val="none"/>
              </w:rPr>
              <w:t>轮</w:t>
            </w:r>
          </w:p>
        </w:tc>
        <w:tc>
          <w:tcPr>
            <w:tcW w:w="1835" w:type="dxa"/>
            <w:gridSpan w:val="2"/>
            <w:tcBorders>
              <w:top w:val="double" w:color="auto" w:sz="4" w:space="0"/>
              <w:left w:val="single" w:color="auto" w:sz="4" w:space="0"/>
              <w:bottom w:val="double" w:color="auto" w:sz="4" w:space="0"/>
            </w:tcBorders>
          </w:tcPr>
          <w:p>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auto"/>
                <w:sz w:val="24"/>
                <w:highlight w:val="none"/>
              </w:rPr>
            </w:pPr>
          </w:p>
        </w:tc>
        <w:tc>
          <w:tcPr>
            <w:tcW w:w="1835" w:type="dxa"/>
            <w:gridSpan w:val="2"/>
            <w:tcBorders>
              <w:top w:val="double" w:color="auto" w:sz="4" w:space="0"/>
              <w:bottom w:val="double" w:color="auto" w:sz="4" w:space="0"/>
            </w:tcBorders>
          </w:tcPr>
          <w:p>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auto"/>
                <w:sz w:val="24"/>
                <w:highlight w:val="none"/>
              </w:rPr>
            </w:pPr>
          </w:p>
        </w:tc>
        <w:tc>
          <w:tcPr>
            <w:tcW w:w="1835" w:type="dxa"/>
            <w:gridSpan w:val="2"/>
            <w:tcBorders>
              <w:top w:val="double" w:color="auto" w:sz="4" w:space="0"/>
              <w:bottom w:val="double" w:color="auto" w:sz="4" w:space="0"/>
            </w:tcBorders>
          </w:tcPr>
          <w:p>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auto"/>
                <w:sz w:val="24"/>
                <w:highlight w:val="none"/>
              </w:rPr>
            </w:pPr>
          </w:p>
        </w:tc>
        <w:tc>
          <w:tcPr>
            <w:tcW w:w="1835" w:type="dxa"/>
            <w:gridSpan w:val="2"/>
            <w:tcBorders>
              <w:top w:val="double" w:color="auto" w:sz="4" w:space="0"/>
              <w:bottom w:val="double" w:color="auto" w:sz="4" w:space="0"/>
              <w:right w:val="double" w:color="auto" w:sz="4" w:space="0"/>
            </w:tcBorders>
          </w:tcPr>
          <w:p>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 w:val="24"/>
                <w:highlight w:val="none"/>
              </w:rPr>
            </w:pPr>
            <w:r>
              <w:rPr>
                <w:rFonts w:hint="eastAsia" w:ascii="宋体" w:hAnsi="宋体" w:eastAsia="宋体" w:cs="Times New Roman"/>
                <w:strike/>
                <w:color w:val="auto"/>
                <w:sz w:val="24"/>
                <w:highlight w:val="none"/>
              </w:rPr>
              <w:t>第</w:t>
            </w:r>
            <w:r>
              <w:rPr>
                <w:rFonts w:hint="default" w:ascii="宋体" w:hAnsi="宋体" w:eastAsia="宋体" w:cs="Times New Roman"/>
                <w:strike/>
                <w:color w:val="auto"/>
                <w:sz w:val="24"/>
                <w:highlight w:val="none"/>
              </w:rPr>
              <w:t xml:space="preserve">    </w:t>
            </w:r>
            <w:r>
              <w:rPr>
                <w:rFonts w:hint="eastAsia" w:ascii="宋体" w:hAnsi="宋体" w:eastAsia="宋体" w:cs="Times New Roman"/>
                <w:strike/>
                <w:color w:val="auto"/>
                <w:sz w:val="24"/>
                <w:highlight w:val="none"/>
              </w:rPr>
              <w:t>轮</w:t>
            </w:r>
          </w:p>
        </w:tc>
        <w:tc>
          <w:tcPr>
            <w:tcW w:w="3670" w:type="dxa"/>
            <w:gridSpan w:val="4"/>
            <w:tcBorders>
              <w:top w:val="double" w:color="auto" w:sz="4" w:space="0"/>
              <w:left w:val="single" w:color="auto" w:sz="4" w:space="0"/>
              <w:bottom w:val="double" w:color="auto" w:sz="4" w:space="0"/>
            </w:tcBorders>
          </w:tcPr>
          <w:p>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auto"/>
                <w:sz w:val="24"/>
                <w:highlight w:val="none"/>
              </w:rPr>
            </w:pPr>
          </w:p>
        </w:tc>
        <w:tc>
          <w:tcPr>
            <w:tcW w:w="3670" w:type="dxa"/>
            <w:gridSpan w:val="4"/>
            <w:tcBorders>
              <w:top w:val="double" w:color="auto" w:sz="4" w:space="0"/>
              <w:bottom w:val="double" w:color="auto" w:sz="4" w:space="0"/>
              <w:right w:val="double" w:color="auto" w:sz="4" w:space="0"/>
            </w:tcBorders>
          </w:tcPr>
          <w:p>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 w:val="24"/>
                <w:highlight w:val="none"/>
              </w:rPr>
            </w:pPr>
            <w:r>
              <w:rPr>
                <w:rFonts w:hint="eastAsia" w:ascii="宋体" w:hAnsi="宋体" w:eastAsia="宋体" w:cs="Times New Roman"/>
                <w:strike/>
                <w:color w:val="auto"/>
                <w:sz w:val="24"/>
                <w:highlight w:val="none"/>
              </w:rPr>
              <w:t>第</w:t>
            </w:r>
            <w:r>
              <w:rPr>
                <w:rFonts w:hint="default" w:ascii="宋体" w:hAnsi="宋体" w:eastAsia="宋体" w:cs="Times New Roman"/>
                <w:strike/>
                <w:color w:val="auto"/>
                <w:sz w:val="24"/>
                <w:highlight w:val="none"/>
              </w:rPr>
              <w:t xml:space="preserve">    </w:t>
            </w:r>
            <w:r>
              <w:rPr>
                <w:rFonts w:hint="eastAsia" w:ascii="宋体" w:hAnsi="宋体" w:eastAsia="宋体" w:cs="Times New Roman"/>
                <w:strike/>
                <w:color w:val="auto"/>
                <w:sz w:val="24"/>
                <w:highlight w:val="none"/>
              </w:rPr>
              <w:t>轮</w:t>
            </w:r>
          </w:p>
        </w:tc>
        <w:tc>
          <w:tcPr>
            <w:tcW w:w="7340" w:type="dxa"/>
            <w:gridSpan w:val="8"/>
            <w:tcBorders>
              <w:top w:val="double" w:color="auto" w:sz="4" w:space="0"/>
              <w:left w:val="single" w:color="auto" w:sz="4" w:space="0"/>
              <w:bottom w:val="double" w:color="auto" w:sz="4" w:space="0"/>
              <w:right w:val="double" w:color="auto" w:sz="4" w:space="0"/>
            </w:tcBorders>
          </w:tcPr>
          <w:p>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auto"/>
                <w:sz w:val="24"/>
                <w:highlight w:val="none"/>
              </w:rPr>
            </w:pPr>
          </w:p>
        </w:tc>
      </w:tr>
    </w:tbl>
    <w:p>
      <w:pPr>
        <w:spacing w:line="360" w:lineRule="auto"/>
        <w:rPr>
          <w:rFonts w:ascii="宋体" w:hAnsi="宋体" w:eastAsia="宋体" w:cs="Times New Roman"/>
          <w:strike/>
          <w:color w:val="auto"/>
          <w:sz w:val="24"/>
          <w:highlight w:val="none"/>
        </w:rPr>
      </w:pPr>
      <w:r>
        <w:rPr>
          <w:rFonts w:hint="eastAsia" w:ascii="宋体" w:hAnsi="宋体" w:eastAsia="宋体" w:cs="Times New Roman"/>
          <w:strike/>
          <w:color w:val="auto"/>
          <w:sz w:val="24"/>
          <w:highlight w:val="none"/>
        </w:rPr>
        <w:t>正式投票规则：以上表格用于正式投票，从上到下每轮投票限使用一行空格，每个空格限填一个方案编号，同一行的空格内的方案编号不得重复。每轮投票允许选择的总数即下一轮候选总数，</w:t>
      </w:r>
      <w:r>
        <w:rPr>
          <w:rFonts w:hint="eastAsia" w:ascii="宋体" w:hAnsi="宋体" w:eastAsia="宋体" w:cs="Arial"/>
          <w:strike/>
          <w:color w:val="auto"/>
          <w:sz w:val="24"/>
          <w:highlight w:val="none"/>
        </w:rPr>
        <w:t>以得票多的方案当选为</w:t>
      </w:r>
      <w:r>
        <w:rPr>
          <w:rFonts w:hint="eastAsia" w:ascii="宋体" w:hAnsi="宋体" w:eastAsia="宋体" w:cs="Times New Roman"/>
          <w:strike/>
          <w:color w:val="auto"/>
          <w:sz w:val="24"/>
          <w:highlight w:val="none"/>
        </w:rPr>
        <w:t>下一轮投票的候选方案</w:t>
      </w:r>
      <w:r>
        <w:rPr>
          <w:rFonts w:hint="eastAsia" w:ascii="宋体" w:hAnsi="宋体" w:eastAsia="宋体" w:cs="Arial"/>
          <w:strike/>
          <w:color w:val="auto"/>
          <w:sz w:val="24"/>
          <w:highlight w:val="none"/>
        </w:rPr>
        <w:t>。</w:t>
      </w:r>
      <w:r>
        <w:rPr>
          <w:rFonts w:hint="eastAsia" w:ascii="宋体" w:hAnsi="宋体" w:eastAsia="宋体" w:cs="Times New Roman"/>
          <w:strike/>
          <w:color w:val="auto"/>
          <w:sz w:val="24"/>
          <w:highlight w:val="none"/>
        </w:rPr>
        <w:t>不能进入下一轮的方案，根据本轮得票数量确定名次。</w:t>
      </w:r>
      <w:r>
        <w:rPr>
          <w:rFonts w:hint="eastAsia" w:ascii="宋体" w:hAnsi="宋体" w:eastAsia="宋体" w:cs="Arial"/>
          <w:strike/>
          <w:color w:val="auto"/>
          <w:sz w:val="24"/>
          <w:highlight w:val="none"/>
        </w:rPr>
        <w:t>遇票数相等不能确定入选下一轮的投标方案时，</w:t>
      </w:r>
      <w:r>
        <w:rPr>
          <w:rFonts w:hint="eastAsia" w:ascii="Calibri" w:hAnsi="Calibri" w:eastAsia="宋体" w:cs="Times New Roman"/>
          <w:strike/>
          <w:color w:val="auto"/>
          <w:sz w:val="24"/>
          <w:highlight w:val="none"/>
        </w:rPr>
        <w:t>应进行附加投票，以确定名次。</w:t>
      </w:r>
      <w:r>
        <w:rPr>
          <w:rFonts w:hint="eastAsia" w:ascii="宋体" w:hAnsi="宋体" w:eastAsia="宋体" w:cs="Times New Roman"/>
          <w:strike/>
          <w:color w:val="auto"/>
          <w:sz w:val="24"/>
          <w:highlight w:val="none"/>
        </w:rPr>
        <w:t>若投标人数为</w:t>
      </w:r>
      <w:r>
        <w:rPr>
          <w:rFonts w:ascii="宋体" w:hAnsi="宋体" w:eastAsia="宋体" w:cs="Times New Roman"/>
          <w:strike/>
          <w:color w:val="auto"/>
          <w:sz w:val="24"/>
          <w:highlight w:val="none"/>
        </w:rPr>
        <w:t>9人或以上，第一轮投票从第1行空格开始；若投标人数为5至8人，第一轮投票从上表第2行空格开始；若投标人数为3至4人，第一轮投票从上表第3行空格开始。每轮正式投票允许选择投标方案总数如下：</w:t>
      </w:r>
    </w:p>
    <w:tbl>
      <w:tblPr>
        <w:tblStyle w:val="11"/>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980"/>
        <w:gridCol w:w="198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auto"/>
                <w:sz w:val="24"/>
                <w:highlight w:val="none"/>
              </w:rPr>
            </w:pPr>
          </w:p>
        </w:tc>
        <w:tc>
          <w:tcPr>
            <w:tcW w:w="6120" w:type="dxa"/>
            <w:gridSpan w:val="3"/>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 w:val="24"/>
                <w:highlight w:val="none"/>
              </w:rPr>
            </w:pPr>
            <w:r>
              <w:rPr>
                <w:rFonts w:hint="eastAsia" w:ascii="宋体" w:hAnsi="宋体" w:eastAsia="宋体" w:cs="Times New Roman"/>
                <w:strike/>
                <w:color w:val="auto"/>
                <w:sz w:val="24"/>
                <w:highlight w:val="none"/>
              </w:rPr>
              <w:t>每轮正式投票允许选择总数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auto"/>
                <w:sz w:val="24"/>
                <w:highlight w:val="none"/>
              </w:rPr>
            </w:pPr>
            <w:r>
              <w:rPr>
                <w:rFonts w:hint="eastAsia" w:ascii="宋体" w:hAnsi="宋体" w:eastAsia="宋体" w:cs="Times New Roman"/>
                <w:strike/>
                <w:color w:val="auto"/>
                <w:sz w:val="24"/>
                <w:highlight w:val="none"/>
              </w:rPr>
              <w:t>投标人数</w:t>
            </w:r>
          </w:p>
        </w:tc>
        <w:tc>
          <w:tcPr>
            <w:tcW w:w="1980" w:type="dxa"/>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 w:val="24"/>
                <w:highlight w:val="none"/>
              </w:rPr>
            </w:pPr>
            <w:r>
              <w:rPr>
                <w:rFonts w:hint="default" w:ascii="宋体" w:hAnsi="宋体" w:eastAsia="宋体" w:cs="Times New Roman"/>
                <w:strike/>
                <w:color w:val="auto"/>
                <w:sz w:val="24"/>
                <w:highlight w:val="none"/>
              </w:rPr>
              <w:t>3至4</w:t>
            </w:r>
          </w:p>
        </w:tc>
        <w:tc>
          <w:tcPr>
            <w:tcW w:w="1980" w:type="dxa"/>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 w:val="24"/>
                <w:highlight w:val="none"/>
              </w:rPr>
            </w:pPr>
            <w:r>
              <w:rPr>
                <w:rFonts w:hint="default" w:ascii="宋体" w:hAnsi="宋体" w:eastAsia="宋体" w:cs="Times New Roman"/>
                <w:strike/>
                <w:color w:val="auto"/>
                <w:sz w:val="24"/>
                <w:highlight w:val="none"/>
              </w:rPr>
              <w:t>5至8</w:t>
            </w:r>
          </w:p>
        </w:tc>
        <w:tc>
          <w:tcPr>
            <w:tcW w:w="2160" w:type="dxa"/>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 w:val="24"/>
                <w:highlight w:val="none"/>
              </w:rPr>
            </w:pPr>
            <w:r>
              <w:rPr>
                <w:rFonts w:hint="default" w:ascii="宋体" w:hAnsi="宋体" w:eastAsia="宋体" w:cs="Times New Roman"/>
                <w:strike/>
                <w:color w:val="auto"/>
                <w:sz w:val="24"/>
                <w:highlight w:val="none"/>
              </w:rPr>
              <w:t>9人或以上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auto"/>
                <w:sz w:val="24"/>
                <w:highlight w:val="none"/>
              </w:rPr>
            </w:pPr>
            <w:r>
              <w:rPr>
                <w:rFonts w:hint="eastAsia" w:ascii="宋体" w:hAnsi="宋体" w:eastAsia="宋体" w:cs="Times New Roman"/>
                <w:strike/>
                <w:color w:val="auto"/>
                <w:sz w:val="24"/>
                <w:highlight w:val="none"/>
              </w:rPr>
              <w:t>第</w:t>
            </w:r>
            <w:r>
              <w:rPr>
                <w:rFonts w:hint="default" w:ascii="宋体" w:hAnsi="宋体" w:eastAsia="宋体" w:cs="Times New Roman"/>
                <w:strike/>
                <w:color w:val="auto"/>
                <w:sz w:val="24"/>
                <w:highlight w:val="none"/>
              </w:rPr>
              <w:t>1轮</w:t>
            </w:r>
          </w:p>
        </w:tc>
        <w:tc>
          <w:tcPr>
            <w:tcW w:w="1980" w:type="dxa"/>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 w:val="24"/>
                <w:highlight w:val="none"/>
              </w:rPr>
            </w:pPr>
            <w:r>
              <w:rPr>
                <w:rFonts w:hint="default" w:ascii="宋体" w:hAnsi="宋体" w:eastAsia="宋体" w:cs="Times New Roman"/>
                <w:strike/>
                <w:color w:val="auto"/>
                <w:sz w:val="24"/>
                <w:highlight w:val="none"/>
              </w:rPr>
              <w:t>2</w:t>
            </w:r>
          </w:p>
        </w:tc>
        <w:tc>
          <w:tcPr>
            <w:tcW w:w="1980" w:type="dxa"/>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 w:val="24"/>
                <w:highlight w:val="none"/>
              </w:rPr>
            </w:pPr>
            <w:r>
              <w:rPr>
                <w:rFonts w:hint="default" w:ascii="宋体" w:hAnsi="宋体" w:eastAsia="宋体" w:cs="Times New Roman"/>
                <w:strike/>
                <w:color w:val="auto"/>
                <w:sz w:val="24"/>
                <w:highlight w:val="none"/>
              </w:rPr>
              <w:t>4</w:t>
            </w:r>
          </w:p>
        </w:tc>
        <w:tc>
          <w:tcPr>
            <w:tcW w:w="2160" w:type="dxa"/>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 w:val="24"/>
                <w:highlight w:val="none"/>
              </w:rPr>
            </w:pPr>
            <w:r>
              <w:rPr>
                <w:rFonts w:hint="default" w:ascii="宋体" w:hAnsi="宋体" w:eastAsia="宋体" w:cs="Times New Roman"/>
                <w:strike/>
                <w:color w:val="auto"/>
                <w:sz w:val="24"/>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auto"/>
                <w:sz w:val="24"/>
                <w:highlight w:val="none"/>
              </w:rPr>
            </w:pPr>
            <w:r>
              <w:rPr>
                <w:rFonts w:hint="eastAsia" w:ascii="宋体" w:hAnsi="宋体" w:eastAsia="宋体" w:cs="Times New Roman"/>
                <w:strike/>
                <w:color w:val="auto"/>
                <w:sz w:val="24"/>
                <w:highlight w:val="none"/>
              </w:rPr>
              <w:t>第</w:t>
            </w:r>
            <w:r>
              <w:rPr>
                <w:rFonts w:hint="default" w:ascii="宋体" w:hAnsi="宋体" w:eastAsia="宋体" w:cs="Times New Roman"/>
                <w:strike/>
                <w:color w:val="auto"/>
                <w:sz w:val="24"/>
                <w:highlight w:val="none"/>
              </w:rPr>
              <w:t>2轮</w:t>
            </w:r>
          </w:p>
        </w:tc>
        <w:tc>
          <w:tcPr>
            <w:tcW w:w="1980" w:type="dxa"/>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 w:val="24"/>
                <w:highlight w:val="none"/>
              </w:rPr>
            </w:pPr>
            <w:r>
              <w:rPr>
                <w:rFonts w:hint="default" w:ascii="宋体" w:hAnsi="宋体" w:eastAsia="宋体" w:cs="Times New Roman"/>
                <w:strike/>
                <w:color w:val="auto"/>
                <w:sz w:val="24"/>
                <w:highlight w:val="none"/>
              </w:rPr>
              <w:t>1</w:t>
            </w:r>
          </w:p>
        </w:tc>
        <w:tc>
          <w:tcPr>
            <w:tcW w:w="1980" w:type="dxa"/>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 w:val="24"/>
                <w:highlight w:val="none"/>
              </w:rPr>
            </w:pPr>
            <w:r>
              <w:rPr>
                <w:rFonts w:hint="default" w:ascii="宋体" w:hAnsi="宋体" w:eastAsia="宋体" w:cs="Times New Roman"/>
                <w:strike/>
                <w:color w:val="auto"/>
                <w:sz w:val="24"/>
                <w:highlight w:val="none"/>
              </w:rPr>
              <w:t>2</w:t>
            </w:r>
          </w:p>
        </w:tc>
        <w:tc>
          <w:tcPr>
            <w:tcW w:w="2160" w:type="dxa"/>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 w:val="24"/>
                <w:highlight w:val="none"/>
              </w:rPr>
            </w:pPr>
            <w:r>
              <w:rPr>
                <w:rFonts w:hint="default" w:ascii="宋体" w:hAnsi="宋体" w:eastAsia="宋体" w:cs="Times New Roman"/>
                <w:strike/>
                <w:color w:val="auto"/>
                <w:sz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auto"/>
                <w:sz w:val="24"/>
                <w:highlight w:val="none"/>
              </w:rPr>
            </w:pPr>
            <w:r>
              <w:rPr>
                <w:rFonts w:hint="eastAsia" w:ascii="宋体" w:hAnsi="宋体" w:eastAsia="宋体" w:cs="Times New Roman"/>
                <w:strike/>
                <w:color w:val="auto"/>
                <w:sz w:val="24"/>
                <w:highlight w:val="none"/>
              </w:rPr>
              <w:t>第</w:t>
            </w:r>
            <w:r>
              <w:rPr>
                <w:rFonts w:hint="default" w:ascii="宋体" w:hAnsi="宋体" w:eastAsia="宋体" w:cs="Times New Roman"/>
                <w:strike/>
                <w:color w:val="auto"/>
                <w:sz w:val="24"/>
                <w:highlight w:val="none"/>
              </w:rPr>
              <w:t>3轮</w:t>
            </w:r>
          </w:p>
        </w:tc>
        <w:tc>
          <w:tcPr>
            <w:tcW w:w="1980" w:type="dxa"/>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 w:val="24"/>
                <w:highlight w:val="none"/>
              </w:rPr>
            </w:pPr>
          </w:p>
        </w:tc>
        <w:tc>
          <w:tcPr>
            <w:tcW w:w="1980" w:type="dxa"/>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 w:val="24"/>
                <w:highlight w:val="none"/>
              </w:rPr>
            </w:pPr>
            <w:r>
              <w:rPr>
                <w:rFonts w:hint="default" w:ascii="宋体" w:hAnsi="宋体" w:eastAsia="宋体" w:cs="Times New Roman"/>
                <w:strike/>
                <w:color w:val="auto"/>
                <w:sz w:val="24"/>
                <w:highlight w:val="none"/>
              </w:rPr>
              <w:t>1</w:t>
            </w:r>
          </w:p>
        </w:tc>
        <w:tc>
          <w:tcPr>
            <w:tcW w:w="2160" w:type="dxa"/>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 w:val="24"/>
                <w:highlight w:val="none"/>
              </w:rPr>
            </w:pPr>
            <w:r>
              <w:rPr>
                <w:rFonts w:hint="default" w:ascii="宋体" w:hAnsi="宋体" w:eastAsia="宋体" w:cs="Times New Roman"/>
                <w:strike/>
                <w:color w:val="auto"/>
                <w:sz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keepNext w:val="0"/>
              <w:keepLines w:val="0"/>
              <w:suppressLineNumbers w:val="0"/>
              <w:spacing w:before="0" w:beforeAutospacing="0" w:after="0" w:afterAutospacing="0" w:line="360" w:lineRule="auto"/>
              <w:ind w:left="0" w:right="0"/>
              <w:rPr>
                <w:rFonts w:hint="default" w:ascii="宋体" w:hAnsi="宋体" w:eastAsia="宋体" w:cs="Times New Roman"/>
                <w:strike/>
                <w:color w:val="auto"/>
                <w:sz w:val="24"/>
                <w:highlight w:val="none"/>
              </w:rPr>
            </w:pPr>
            <w:r>
              <w:rPr>
                <w:rFonts w:hint="eastAsia" w:ascii="宋体" w:hAnsi="宋体" w:eastAsia="宋体" w:cs="Times New Roman"/>
                <w:strike/>
                <w:color w:val="auto"/>
                <w:sz w:val="24"/>
                <w:highlight w:val="none"/>
              </w:rPr>
              <w:t>第</w:t>
            </w:r>
            <w:r>
              <w:rPr>
                <w:rFonts w:hint="default" w:ascii="宋体" w:hAnsi="宋体" w:eastAsia="宋体" w:cs="Times New Roman"/>
                <w:strike/>
                <w:color w:val="auto"/>
                <w:sz w:val="24"/>
                <w:highlight w:val="none"/>
              </w:rPr>
              <w:t>4轮</w:t>
            </w:r>
          </w:p>
        </w:tc>
        <w:tc>
          <w:tcPr>
            <w:tcW w:w="1980" w:type="dxa"/>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 w:val="24"/>
                <w:highlight w:val="none"/>
              </w:rPr>
            </w:pPr>
          </w:p>
        </w:tc>
        <w:tc>
          <w:tcPr>
            <w:tcW w:w="1980" w:type="dxa"/>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 w:val="24"/>
                <w:highlight w:val="none"/>
              </w:rPr>
            </w:pPr>
          </w:p>
        </w:tc>
        <w:tc>
          <w:tcPr>
            <w:tcW w:w="2160" w:type="dxa"/>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 w:val="24"/>
                <w:highlight w:val="none"/>
              </w:rPr>
            </w:pPr>
            <w:r>
              <w:rPr>
                <w:rFonts w:hint="default" w:ascii="宋体" w:hAnsi="宋体" w:eastAsia="宋体" w:cs="Times New Roman"/>
                <w:strike/>
                <w:color w:val="auto"/>
                <w:sz w:val="24"/>
                <w:highlight w:val="none"/>
              </w:rPr>
              <w:t>1</w:t>
            </w:r>
          </w:p>
        </w:tc>
      </w:tr>
    </w:tbl>
    <w:p>
      <w:pPr>
        <w:spacing w:line="360" w:lineRule="auto"/>
        <w:rPr>
          <w:rFonts w:ascii="宋体" w:hAnsi="宋体" w:eastAsia="宋体" w:cs="Times New Roman"/>
          <w:strike/>
          <w:color w:val="auto"/>
          <w:sz w:val="24"/>
          <w:highlight w:val="none"/>
        </w:rPr>
      </w:pPr>
      <w:r>
        <w:rPr>
          <w:rFonts w:ascii="宋体" w:hAnsi="宋体" w:eastAsia="宋体" w:cs="Times New Roman"/>
          <w:strike/>
          <w:color w:val="auto"/>
          <w:sz w:val="24"/>
          <w:highlight w:val="none"/>
        </w:rPr>
        <w:t xml:space="preserve">    (1) </w:t>
      </w:r>
      <w:r>
        <w:rPr>
          <w:rFonts w:hint="eastAsia" w:ascii="宋体" w:hAnsi="宋体" w:eastAsia="宋体" w:cs="Arial"/>
          <w:strike/>
          <w:color w:val="auto"/>
          <w:sz w:val="24"/>
          <w:highlight w:val="none"/>
        </w:rPr>
        <w:t>投票结束后，</w:t>
      </w:r>
      <w:r>
        <w:rPr>
          <w:rFonts w:hint="eastAsia" w:ascii="宋体" w:hAnsi="宋体" w:eastAsia="宋体" w:cs="Times New Roman"/>
          <w:strike/>
          <w:color w:val="auto"/>
          <w:sz w:val="24"/>
          <w:highlight w:val="none"/>
        </w:rPr>
        <w:t>点票人员</w:t>
      </w:r>
      <w:r>
        <w:rPr>
          <w:rFonts w:hint="eastAsia" w:ascii="宋体" w:hAnsi="宋体" w:eastAsia="宋体" w:cs="Arial"/>
          <w:strike/>
          <w:color w:val="auto"/>
          <w:sz w:val="24"/>
          <w:highlight w:val="none"/>
        </w:rPr>
        <w:t>对投票人数、票数和每票应选方案总数加以核对和统计，作废的选票不得统计，并向</w:t>
      </w:r>
      <w:r>
        <w:rPr>
          <w:rFonts w:hint="eastAsia" w:ascii="宋体" w:hAnsi="宋体" w:eastAsia="宋体" w:cs="Times New Roman"/>
          <w:strike/>
          <w:color w:val="auto"/>
          <w:sz w:val="24"/>
          <w:highlight w:val="none"/>
        </w:rPr>
        <w:t>评标委员会</w:t>
      </w:r>
      <w:r>
        <w:rPr>
          <w:rFonts w:hint="eastAsia" w:ascii="宋体" w:hAnsi="宋体" w:eastAsia="宋体" w:cs="Arial"/>
          <w:strike/>
          <w:color w:val="auto"/>
          <w:sz w:val="24"/>
          <w:highlight w:val="none"/>
        </w:rPr>
        <w:t>报告。</w:t>
      </w:r>
    </w:p>
    <w:p>
      <w:pPr>
        <w:spacing w:line="360" w:lineRule="auto"/>
        <w:ind w:firstLine="480"/>
        <w:rPr>
          <w:rFonts w:ascii="宋体" w:hAnsi="宋体" w:eastAsia="宋体" w:cs="Times New Roman"/>
          <w:strike/>
          <w:color w:val="auto"/>
          <w:sz w:val="24"/>
          <w:highlight w:val="none"/>
        </w:rPr>
      </w:pPr>
      <w:r>
        <w:rPr>
          <w:rFonts w:ascii="宋体" w:hAnsi="宋体" w:eastAsia="宋体" w:cs="Times New Roman"/>
          <w:strike/>
          <w:color w:val="auto"/>
          <w:sz w:val="24"/>
          <w:highlight w:val="none"/>
        </w:rPr>
        <w:t>(2)评标委员会成员应当独立投票，自投票开始至最终排名统计结果公布期</w:t>
      </w:r>
      <w:r>
        <w:rPr>
          <w:rFonts w:hint="eastAsia" w:ascii="宋体" w:hAnsi="宋体" w:eastAsia="宋体" w:cs="Times New Roman"/>
          <w:strike/>
          <w:color w:val="auto"/>
          <w:sz w:val="24"/>
          <w:highlight w:val="none"/>
        </w:rPr>
        <w:t>间，任何人不得非法干预、影响投票过程，不得透露、协商、改变投票结果，不得使用通信联络工具。</w:t>
      </w:r>
    </w:p>
    <w:p>
      <w:pPr>
        <w:spacing w:line="360" w:lineRule="auto"/>
        <w:rPr>
          <w:rFonts w:ascii="宋体" w:hAnsi="宋体" w:eastAsia="宋体" w:cs="Times New Roman"/>
          <w:strike/>
          <w:color w:val="auto"/>
          <w:sz w:val="24"/>
          <w:highlight w:val="none"/>
        </w:rPr>
      </w:pPr>
      <w:r>
        <w:rPr>
          <w:rFonts w:hint="eastAsia" w:ascii="宋体" w:hAnsi="宋体" w:eastAsia="宋体" w:cs="Times New Roman"/>
          <w:strike/>
          <w:color w:val="auto"/>
          <w:sz w:val="24"/>
          <w:highlight w:val="none"/>
        </w:rPr>
        <w:t>评委签名：</w:t>
      </w:r>
      <w:r>
        <w:rPr>
          <w:rFonts w:ascii="宋体" w:hAnsi="宋体" w:eastAsia="宋体" w:cs="Times New Roman"/>
          <w:strike/>
          <w:color w:val="auto"/>
          <w:sz w:val="24"/>
          <w:highlight w:val="none"/>
        </w:rPr>
        <w:t xml:space="preserve">                                 </w:t>
      </w:r>
      <w:r>
        <w:rPr>
          <w:rFonts w:hint="eastAsia" w:ascii="宋体" w:hAnsi="宋体" w:eastAsia="宋体" w:cs="Times New Roman"/>
          <w:strike/>
          <w:color w:val="auto"/>
          <w:sz w:val="24"/>
          <w:highlight w:val="none"/>
        </w:rPr>
        <w:t>日期：</w:t>
      </w:r>
      <w:r>
        <w:rPr>
          <w:rFonts w:ascii="宋体" w:hAnsi="宋体" w:eastAsia="宋体" w:cs="Times New Roman"/>
          <w:strike/>
          <w:color w:val="auto"/>
          <w:sz w:val="24"/>
          <w:highlight w:val="none"/>
        </w:rPr>
        <w:t xml:space="preserve">     </w:t>
      </w:r>
      <w:r>
        <w:rPr>
          <w:rFonts w:hint="eastAsia" w:ascii="宋体" w:hAnsi="宋体" w:eastAsia="宋体" w:cs="Times New Roman"/>
          <w:strike/>
          <w:color w:val="auto"/>
          <w:sz w:val="24"/>
          <w:highlight w:val="none"/>
        </w:rPr>
        <w:t>年</w:t>
      </w:r>
      <w:r>
        <w:rPr>
          <w:rFonts w:ascii="宋体" w:hAnsi="宋体" w:eastAsia="宋体" w:cs="Times New Roman"/>
          <w:strike/>
          <w:color w:val="auto"/>
          <w:sz w:val="24"/>
          <w:highlight w:val="none"/>
        </w:rPr>
        <w:t xml:space="preserve">    </w:t>
      </w:r>
      <w:r>
        <w:rPr>
          <w:rFonts w:hint="eastAsia" w:ascii="宋体" w:hAnsi="宋体" w:eastAsia="宋体" w:cs="Times New Roman"/>
          <w:strike/>
          <w:color w:val="auto"/>
          <w:sz w:val="24"/>
          <w:highlight w:val="none"/>
        </w:rPr>
        <w:t>月</w:t>
      </w:r>
      <w:r>
        <w:rPr>
          <w:rFonts w:ascii="宋体" w:hAnsi="宋体" w:eastAsia="宋体" w:cs="Times New Roman"/>
          <w:strike/>
          <w:color w:val="auto"/>
          <w:sz w:val="24"/>
          <w:highlight w:val="none"/>
        </w:rPr>
        <w:t xml:space="preserve">    </w:t>
      </w:r>
      <w:r>
        <w:rPr>
          <w:rFonts w:hint="eastAsia" w:ascii="宋体" w:hAnsi="宋体" w:eastAsia="宋体" w:cs="Times New Roman"/>
          <w:strike/>
          <w:color w:val="auto"/>
          <w:sz w:val="24"/>
          <w:highlight w:val="none"/>
        </w:rPr>
        <w:t>日</w:t>
      </w:r>
    </w:p>
    <w:p>
      <w:pPr>
        <w:rPr>
          <w:rFonts w:ascii="宋体" w:hAnsi="宋体"/>
          <w:color w:val="auto"/>
          <w:highlight w:val="none"/>
        </w:rPr>
        <w:sectPr>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pPr>
    </w:p>
    <w:p>
      <w:pPr>
        <w:spacing w:line="360" w:lineRule="auto"/>
        <w:outlineLvl w:val="1"/>
        <w:rPr>
          <w:rFonts w:ascii="宋体" w:hAnsi="宋体" w:eastAsia="宋体" w:cs="Times New Roman"/>
          <w:b/>
          <w:bCs/>
          <w:strike/>
          <w:color w:val="auto"/>
          <w:kern w:val="44"/>
          <w:sz w:val="21"/>
          <w:szCs w:val="21"/>
          <w:highlight w:val="none"/>
          <w:lang w:val="en-US" w:eastAsia="zh-CN" w:bidi="ar-SA"/>
        </w:rPr>
      </w:pPr>
      <w:bookmarkStart w:id="58" w:name="_Toc29326"/>
      <w:r>
        <w:rPr>
          <w:rFonts w:hint="eastAsia" w:ascii="宋体" w:hAnsi="宋体" w:eastAsia="宋体" w:cs="Times New Roman"/>
          <w:b/>
          <w:bCs/>
          <w:strike/>
          <w:color w:val="auto"/>
          <w:kern w:val="44"/>
          <w:sz w:val="21"/>
          <w:szCs w:val="21"/>
          <w:highlight w:val="none"/>
          <w:lang w:val="en-US" w:eastAsia="zh-CN" w:bidi="ar-SA"/>
        </w:rPr>
        <w:t>附录</w:t>
      </w:r>
      <w:r>
        <w:rPr>
          <w:rFonts w:ascii="宋体" w:hAnsi="宋体" w:eastAsia="宋体" w:cs="Times New Roman"/>
          <w:b/>
          <w:bCs/>
          <w:strike/>
          <w:color w:val="auto"/>
          <w:kern w:val="44"/>
          <w:sz w:val="21"/>
          <w:szCs w:val="21"/>
          <w:highlight w:val="none"/>
          <w:lang w:val="en-US" w:eastAsia="zh-CN" w:bidi="ar-SA"/>
        </w:rPr>
        <w:t xml:space="preserve">11 </w:t>
      </w:r>
      <w:r>
        <w:rPr>
          <w:rFonts w:hint="eastAsia" w:ascii="宋体" w:hAnsi="宋体" w:eastAsia="宋体" w:cs="Times New Roman"/>
          <w:b/>
          <w:bCs/>
          <w:strike/>
          <w:color w:val="auto"/>
          <w:kern w:val="44"/>
          <w:sz w:val="21"/>
          <w:szCs w:val="21"/>
          <w:highlight w:val="none"/>
          <w:lang w:val="en-US" w:eastAsia="zh-CN" w:bidi="ar-SA"/>
        </w:rPr>
        <w:t>投标汇总表格</w:t>
      </w:r>
      <w:bookmarkEnd w:id="58"/>
    </w:p>
    <w:p>
      <w:pPr>
        <w:jc w:val="center"/>
        <w:rPr>
          <w:rFonts w:ascii="宋体" w:hAnsi="宋体" w:eastAsia="宋体" w:cs="Times New Roman"/>
          <w:b/>
          <w:strike/>
          <w:color w:val="auto"/>
          <w:sz w:val="32"/>
          <w:highlight w:val="none"/>
        </w:rPr>
      </w:pPr>
      <w:r>
        <w:rPr>
          <w:rFonts w:hint="eastAsia" w:ascii="宋体" w:hAnsi="宋体" w:eastAsia="宋体" w:cs="Times New Roman"/>
          <w:b/>
          <w:strike/>
          <w:color w:val="auto"/>
          <w:sz w:val="32"/>
          <w:highlight w:val="none"/>
        </w:rPr>
        <w:t>投票汇总表格</w:t>
      </w:r>
    </w:p>
    <w:p>
      <w:pPr>
        <w:rPr>
          <w:rFonts w:ascii="宋体" w:hAnsi="宋体" w:eastAsia="宋体" w:cs="Times New Roman"/>
          <w:strike/>
          <w:color w:val="auto"/>
          <w:sz w:val="24"/>
          <w:highlight w:val="none"/>
        </w:rPr>
      </w:pPr>
      <w:r>
        <w:rPr>
          <w:rFonts w:hint="eastAsia" w:ascii="宋体" w:hAnsi="宋体" w:eastAsia="宋体" w:cs="Times New Roman"/>
          <w:strike/>
          <w:color w:val="auto"/>
          <w:sz w:val="24"/>
          <w:highlight w:val="none"/>
        </w:rPr>
        <w:t>项目名称：</w:t>
      </w:r>
      <w:r>
        <w:rPr>
          <w:rFonts w:ascii="宋体" w:hAnsi="宋体" w:eastAsia="宋体" w:cs="Times New Roman"/>
          <w:strike/>
          <w:color w:val="auto"/>
          <w:sz w:val="24"/>
          <w:highlight w:val="none"/>
        </w:rPr>
        <w:t xml:space="preserve">                                                                                       </w:t>
      </w:r>
      <w:r>
        <w:rPr>
          <w:rFonts w:hint="eastAsia" w:ascii="宋体" w:hAnsi="宋体" w:eastAsia="宋体" w:cs="Times New Roman"/>
          <w:strike/>
          <w:color w:val="auto"/>
          <w:sz w:val="24"/>
          <w:highlight w:val="none"/>
        </w:rPr>
        <w:t>日期：</w:t>
      </w:r>
      <w:r>
        <w:rPr>
          <w:rFonts w:ascii="宋体" w:hAnsi="宋体" w:eastAsia="宋体" w:cs="Times New Roman"/>
          <w:strike/>
          <w:color w:val="auto"/>
          <w:sz w:val="24"/>
          <w:highlight w:val="none"/>
        </w:rPr>
        <w:t xml:space="preserve">       </w:t>
      </w:r>
      <w:r>
        <w:rPr>
          <w:rFonts w:hint="eastAsia" w:ascii="宋体" w:hAnsi="宋体" w:eastAsia="宋体" w:cs="Times New Roman"/>
          <w:strike/>
          <w:color w:val="auto"/>
          <w:sz w:val="24"/>
          <w:highlight w:val="none"/>
        </w:rPr>
        <w:t>年</w:t>
      </w:r>
      <w:r>
        <w:rPr>
          <w:rFonts w:ascii="宋体" w:hAnsi="宋体" w:eastAsia="宋体" w:cs="Times New Roman"/>
          <w:strike/>
          <w:color w:val="auto"/>
          <w:sz w:val="24"/>
          <w:highlight w:val="none"/>
        </w:rPr>
        <w:t xml:space="preserve">    </w:t>
      </w:r>
      <w:r>
        <w:rPr>
          <w:rFonts w:hint="eastAsia" w:ascii="宋体" w:hAnsi="宋体" w:eastAsia="宋体" w:cs="Times New Roman"/>
          <w:strike/>
          <w:color w:val="auto"/>
          <w:sz w:val="24"/>
          <w:highlight w:val="none"/>
        </w:rPr>
        <w:t>月</w:t>
      </w:r>
      <w:r>
        <w:rPr>
          <w:rFonts w:ascii="宋体" w:hAnsi="宋体" w:eastAsia="宋体" w:cs="Times New Roman"/>
          <w:strike/>
          <w:color w:val="auto"/>
          <w:sz w:val="24"/>
          <w:highlight w:val="none"/>
        </w:rPr>
        <w:t xml:space="preserve">    </w:t>
      </w:r>
      <w:r>
        <w:rPr>
          <w:rFonts w:hint="eastAsia" w:ascii="宋体" w:hAnsi="宋体" w:eastAsia="宋体" w:cs="Times New Roman"/>
          <w:strike/>
          <w:color w:val="auto"/>
          <w:sz w:val="24"/>
          <w:highlight w:val="none"/>
        </w:rPr>
        <w:t>日</w:t>
      </w:r>
    </w:p>
    <w:tbl>
      <w:tblPr>
        <w:tblStyle w:val="11"/>
        <w:tblW w:w="14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677"/>
        <w:gridCol w:w="677"/>
        <w:gridCol w:w="677"/>
        <w:gridCol w:w="677"/>
        <w:gridCol w:w="1275"/>
        <w:gridCol w:w="3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20" w:type="dxa"/>
            <w:vMerge w:val="restart"/>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 w:val="24"/>
                <w:highlight w:val="none"/>
              </w:rPr>
            </w:pPr>
            <w:r>
              <w:rPr>
                <w:rFonts w:hint="eastAsia" w:ascii="宋体" w:hAnsi="宋体" w:eastAsia="宋体" w:cs="Times New Roman"/>
                <w:strike/>
                <w:color w:val="auto"/>
                <w:sz w:val="24"/>
                <w:highlight w:val="none"/>
              </w:rPr>
              <w:t>方案编号</w:t>
            </w:r>
          </w:p>
        </w:tc>
        <w:tc>
          <w:tcPr>
            <w:tcW w:w="1420" w:type="dxa"/>
            <w:vMerge w:val="restart"/>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 w:val="24"/>
                <w:highlight w:val="none"/>
              </w:rPr>
            </w:pPr>
            <w:r>
              <w:rPr>
                <w:rFonts w:hint="eastAsia" w:ascii="宋体" w:hAnsi="宋体" w:eastAsia="宋体" w:cs="Times New Roman"/>
                <w:strike/>
                <w:color w:val="auto"/>
                <w:sz w:val="24"/>
                <w:highlight w:val="none"/>
              </w:rPr>
              <w:t>第一轮得票</w:t>
            </w:r>
          </w:p>
        </w:tc>
        <w:tc>
          <w:tcPr>
            <w:tcW w:w="1420" w:type="dxa"/>
            <w:vMerge w:val="restart"/>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 w:val="24"/>
                <w:highlight w:val="none"/>
              </w:rPr>
            </w:pPr>
            <w:r>
              <w:rPr>
                <w:rFonts w:hint="eastAsia" w:ascii="宋体" w:hAnsi="宋体" w:eastAsia="宋体" w:cs="Times New Roman"/>
                <w:strike/>
                <w:color w:val="auto"/>
                <w:sz w:val="24"/>
                <w:highlight w:val="none"/>
              </w:rPr>
              <w:t>第二轮得票</w:t>
            </w:r>
          </w:p>
        </w:tc>
        <w:tc>
          <w:tcPr>
            <w:tcW w:w="1420" w:type="dxa"/>
            <w:vMerge w:val="restart"/>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 w:val="24"/>
                <w:highlight w:val="none"/>
              </w:rPr>
            </w:pPr>
            <w:r>
              <w:rPr>
                <w:rFonts w:hint="eastAsia" w:ascii="宋体" w:hAnsi="宋体" w:eastAsia="宋体" w:cs="Times New Roman"/>
                <w:strike/>
                <w:color w:val="auto"/>
                <w:sz w:val="24"/>
                <w:highlight w:val="none"/>
              </w:rPr>
              <w:t>第三轮得票</w:t>
            </w:r>
          </w:p>
        </w:tc>
        <w:tc>
          <w:tcPr>
            <w:tcW w:w="1420" w:type="dxa"/>
            <w:vMerge w:val="restart"/>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 w:val="24"/>
                <w:highlight w:val="none"/>
              </w:rPr>
            </w:pPr>
            <w:r>
              <w:rPr>
                <w:rFonts w:hint="eastAsia" w:ascii="宋体" w:hAnsi="宋体" w:eastAsia="宋体" w:cs="Times New Roman"/>
                <w:strike/>
                <w:color w:val="auto"/>
                <w:sz w:val="24"/>
                <w:highlight w:val="none"/>
              </w:rPr>
              <w:t>第四轮得票</w:t>
            </w:r>
          </w:p>
        </w:tc>
        <w:tc>
          <w:tcPr>
            <w:tcW w:w="2708" w:type="dxa"/>
            <w:gridSpan w:val="4"/>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 w:val="24"/>
                <w:highlight w:val="none"/>
              </w:rPr>
            </w:pPr>
            <w:r>
              <w:rPr>
                <w:rFonts w:hint="eastAsia" w:ascii="宋体" w:hAnsi="宋体" w:eastAsia="宋体" w:cs="Times New Roman"/>
                <w:strike/>
                <w:color w:val="auto"/>
                <w:sz w:val="24"/>
                <w:highlight w:val="none"/>
              </w:rPr>
              <w:t>每轮得票相同的排序</w:t>
            </w:r>
          </w:p>
        </w:tc>
        <w:tc>
          <w:tcPr>
            <w:tcW w:w="1275" w:type="dxa"/>
            <w:vMerge w:val="restart"/>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 w:val="24"/>
                <w:highlight w:val="none"/>
              </w:rPr>
            </w:pPr>
            <w:r>
              <w:rPr>
                <w:rFonts w:hint="eastAsia" w:ascii="宋体" w:hAnsi="宋体" w:eastAsia="宋体" w:cs="Times New Roman"/>
                <w:strike/>
                <w:color w:val="auto"/>
                <w:sz w:val="24"/>
                <w:highlight w:val="none"/>
              </w:rPr>
              <w:t>排列名次</w:t>
            </w:r>
          </w:p>
        </w:tc>
        <w:tc>
          <w:tcPr>
            <w:tcW w:w="3045" w:type="dxa"/>
            <w:vMerge w:val="restart"/>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 w:val="24"/>
                <w:highlight w:val="none"/>
              </w:rPr>
            </w:pPr>
            <w:r>
              <w:rPr>
                <w:rFonts w:hint="eastAsia" w:ascii="宋体" w:hAnsi="宋体" w:eastAsia="宋体" w:cs="Times New Roman"/>
                <w:strike/>
                <w:color w:val="auto"/>
                <w:sz w:val="24"/>
                <w:highlight w:val="none"/>
              </w:rPr>
              <w:t>投标人名称</w:t>
            </w:r>
          </w:p>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sz w:val="24"/>
                <w:highlight w:val="none"/>
              </w:rPr>
            </w:pPr>
            <w:r>
              <w:rPr>
                <w:rFonts w:hint="eastAsia" w:ascii="宋体" w:hAnsi="宋体" w:eastAsia="宋体" w:cs="Times New Roman"/>
                <w:strike/>
                <w:color w:val="auto"/>
                <w:sz w:val="24"/>
                <w:highlight w:val="none"/>
              </w:rPr>
              <w:t>（建筑师）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20" w:type="dxa"/>
            <w:vMerge w:val="continue"/>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highlight w:val="none"/>
              </w:rPr>
            </w:pPr>
          </w:p>
        </w:tc>
        <w:tc>
          <w:tcPr>
            <w:tcW w:w="1420" w:type="dxa"/>
            <w:vMerge w:val="continue"/>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highlight w:val="none"/>
              </w:rPr>
            </w:pPr>
          </w:p>
        </w:tc>
        <w:tc>
          <w:tcPr>
            <w:tcW w:w="1420" w:type="dxa"/>
            <w:vMerge w:val="continue"/>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highlight w:val="none"/>
              </w:rPr>
            </w:pPr>
          </w:p>
        </w:tc>
        <w:tc>
          <w:tcPr>
            <w:tcW w:w="1420" w:type="dxa"/>
            <w:vMerge w:val="continue"/>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highlight w:val="none"/>
              </w:rPr>
            </w:pPr>
          </w:p>
        </w:tc>
        <w:tc>
          <w:tcPr>
            <w:tcW w:w="1420" w:type="dxa"/>
            <w:vMerge w:val="continue"/>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highlight w:val="none"/>
              </w:rPr>
            </w:pPr>
          </w:p>
        </w:tc>
        <w:tc>
          <w:tcPr>
            <w:tcW w:w="677" w:type="dxa"/>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highlight w:val="none"/>
              </w:rPr>
            </w:pPr>
            <w:r>
              <w:rPr>
                <w:rFonts w:hint="default" w:ascii="宋体" w:hAnsi="宋体" w:eastAsia="宋体" w:cs="Times New Roman"/>
                <w:strike/>
                <w:color w:val="auto"/>
                <w:highlight w:val="none"/>
              </w:rPr>
              <w:t>1</w:t>
            </w:r>
          </w:p>
        </w:tc>
        <w:tc>
          <w:tcPr>
            <w:tcW w:w="677" w:type="dxa"/>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highlight w:val="none"/>
              </w:rPr>
            </w:pPr>
            <w:r>
              <w:rPr>
                <w:rFonts w:hint="default" w:ascii="宋体" w:hAnsi="宋体" w:eastAsia="宋体" w:cs="Times New Roman"/>
                <w:strike/>
                <w:color w:val="auto"/>
                <w:highlight w:val="none"/>
              </w:rPr>
              <w:t>2</w:t>
            </w:r>
          </w:p>
        </w:tc>
        <w:tc>
          <w:tcPr>
            <w:tcW w:w="677" w:type="dxa"/>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highlight w:val="none"/>
              </w:rPr>
            </w:pPr>
            <w:r>
              <w:rPr>
                <w:rFonts w:hint="default" w:ascii="宋体" w:hAnsi="宋体" w:eastAsia="宋体" w:cs="Times New Roman"/>
                <w:strike/>
                <w:color w:val="auto"/>
                <w:highlight w:val="none"/>
              </w:rPr>
              <w:t>3</w:t>
            </w:r>
          </w:p>
        </w:tc>
        <w:tc>
          <w:tcPr>
            <w:tcW w:w="677" w:type="dxa"/>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highlight w:val="none"/>
              </w:rPr>
            </w:pPr>
            <w:r>
              <w:rPr>
                <w:rFonts w:hint="default" w:ascii="宋体" w:hAnsi="宋体" w:eastAsia="宋体" w:cs="Times New Roman"/>
                <w:strike/>
                <w:color w:val="auto"/>
                <w:highlight w:val="none"/>
              </w:rPr>
              <w:t>4</w:t>
            </w:r>
          </w:p>
        </w:tc>
        <w:tc>
          <w:tcPr>
            <w:tcW w:w="1275" w:type="dxa"/>
            <w:vMerge w:val="continue"/>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highlight w:val="none"/>
              </w:rPr>
            </w:pPr>
          </w:p>
        </w:tc>
        <w:tc>
          <w:tcPr>
            <w:tcW w:w="3045" w:type="dxa"/>
            <w:vMerge w:val="continue"/>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420" w:type="dxa"/>
          </w:tcPr>
          <w:p>
            <w:pPr>
              <w:keepNext w:val="0"/>
              <w:keepLines w:val="0"/>
              <w:suppressLineNumbers w:val="0"/>
              <w:spacing w:before="0" w:beforeAutospacing="0" w:after="0" w:afterAutospacing="0" w:line="480" w:lineRule="auto"/>
              <w:ind w:left="0" w:right="0"/>
              <w:jc w:val="center"/>
              <w:rPr>
                <w:rFonts w:hint="default" w:ascii="宋体" w:hAnsi="宋体" w:eastAsia="宋体" w:cs="Times New Roman"/>
                <w:strike/>
                <w:snapToGrid w:val="0"/>
                <w:color w:val="auto"/>
                <w:kern w:val="0"/>
                <w:szCs w:val="21"/>
                <w:highlight w:val="none"/>
              </w:rPr>
            </w:pPr>
            <w:r>
              <w:rPr>
                <w:rFonts w:hint="default" w:ascii="宋体" w:hAnsi="宋体" w:eastAsia="宋体" w:cs="Times New Roman"/>
                <w:strike/>
                <w:snapToGrid w:val="0"/>
                <w:color w:val="auto"/>
                <w:kern w:val="0"/>
                <w:szCs w:val="21"/>
                <w:highlight w:val="none"/>
              </w:rPr>
              <w:t>1</w:t>
            </w:r>
          </w:p>
        </w:tc>
        <w:tc>
          <w:tcPr>
            <w:tcW w:w="1420"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c>
          <w:tcPr>
            <w:tcW w:w="1420"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c>
          <w:tcPr>
            <w:tcW w:w="1420"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c>
          <w:tcPr>
            <w:tcW w:w="1420"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c>
          <w:tcPr>
            <w:tcW w:w="677"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c>
          <w:tcPr>
            <w:tcW w:w="677"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c>
          <w:tcPr>
            <w:tcW w:w="677"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c>
          <w:tcPr>
            <w:tcW w:w="677"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c>
          <w:tcPr>
            <w:tcW w:w="1275"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c>
          <w:tcPr>
            <w:tcW w:w="3045"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Pr>
          <w:p>
            <w:pPr>
              <w:keepNext w:val="0"/>
              <w:keepLines w:val="0"/>
              <w:suppressLineNumbers w:val="0"/>
              <w:spacing w:before="0" w:beforeAutospacing="0" w:after="0" w:afterAutospacing="0" w:line="480" w:lineRule="auto"/>
              <w:ind w:left="0" w:right="0"/>
              <w:jc w:val="center"/>
              <w:rPr>
                <w:rFonts w:hint="default" w:ascii="宋体" w:hAnsi="宋体" w:eastAsia="宋体" w:cs="Times New Roman"/>
                <w:strike/>
                <w:snapToGrid w:val="0"/>
                <w:color w:val="auto"/>
                <w:kern w:val="0"/>
                <w:szCs w:val="21"/>
                <w:highlight w:val="none"/>
              </w:rPr>
            </w:pPr>
            <w:r>
              <w:rPr>
                <w:rFonts w:hint="default" w:ascii="宋体" w:hAnsi="宋体" w:eastAsia="宋体" w:cs="Times New Roman"/>
                <w:strike/>
                <w:snapToGrid w:val="0"/>
                <w:color w:val="auto"/>
                <w:kern w:val="0"/>
                <w:szCs w:val="21"/>
                <w:highlight w:val="none"/>
              </w:rPr>
              <w:t>2</w:t>
            </w:r>
          </w:p>
        </w:tc>
        <w:tc>
          <w:tcPr>
            <w:tcW w:w="1420"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c>
          <w:tcPr>
            <w:tcW w:w="1420"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c>
          <w:tcPr>
            <w:tcW w:w="1420"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c>
          <w:tcPr>
            <w:tcW w:w="1420"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c>
          <w:tcPr>
            <w:tcW w:w="677"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c>
          <w:tcPr>
            <w:tcW w:w="677"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c>
          <w:tcPr>
            <w:tcW w:w="677"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c>
          <w:tcPr>
            <w:tcW w:w="677"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c>
          <w:tcPr>
            <w:tcW w:w="1275"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c>
          <w:tcPr>
            <w:tcW w:w="3045"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Pr>
          <w:p>
            <w:pPr>
              <w:keepNext w:val="0"/>
              <w:keepLines w:val="0"/>
              <w:suppressLineNumbers w:val="0"/>
              <w:spacing w:before="0" w:beforeAutospacing="0" w:after="0" w:afterAutospacing="0" w:line="480" w:lineRule="auto"/>
              <w:ind w:left="0" w:right="0"/>
              <w:jc w:val="center"/>
              <w:rPr>
                <w:rFonts w:hint="default" w:ascii="宋体" w:hAnsi="宋体" w:eastAsia="宋体" w:cs="Times New Roman"/>
                <w:strike/>
                <w:snapToGrid w:val="0"/>
                <w:color w:val="auto"/>
                <w:kern w:val="0"/>
                <w:szCs w:val="21"/>
                <w:highlight w:val="none"/>
              </w:rPr>
            </w:pPr>
            <w:r>
              <w:rPr>
                <w:rFonts w:hint="default" w:ascii="宋体" w:hAnsi="宋体" w:eastAsia="宋体" w:cs="Times New Roman"/>
                <w:strike/>
                <w:snapToGrid w:val="0"/>
                <w:color w:val="auto"/>
                <w:kern w:val="0"/>
                <w:szCs w:val="21"/>
                <w:highlight w:val="none"/>
              </w:rPr>
              <w:t>3</w:t>
            </w:r>
          </w:p>
        </w:tc>
        <w:tc>
          <w:tcPr>
            <w:tcW w:w="1420"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c>
          <w:tcPr>
            <w:tcW w:w="1420"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c>
          <w:tcPr>
            <w:tcW w:w="1420"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c>
          <w:tcPr>
            <w:tcW w:w="1420"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c>
          <w:tcPr>
            <w:tcW w:w="677"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c>
          <w:tcPr>
            <w:tcW w:w="677"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c>
          <w:tcPr>
            <w:tcW w:w="677"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c>
          <w:tcPr>
            <w:tcW w:w="677"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c>
          <w:tcPr>
            <w:tcW w:w="1275"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c>
          <w:tcPr>
            <w:tcW w:w="3045"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Pr>
          <w:p>
            <w:pPr>
              <w:keepNext w:val="0"/>
              <w:keepLines w:val="0"/>
              <w:suppressLineNumbers w:val="0"/>
              <w:spacing w:before="0" w:beforeAutospacing="0" w:after="0" w:afterAutospacing="0" w:line="480" w:lineRule="auto"/>
              <w:ind w:left="0" w:right="0"/>
              <w:jc w:val="center"/>
              <w:rPr>
                <w:rFonts w:hint="default" w:ascii="宋体" w:hAnsi="宋体" w:eastAsia="宋体" w:cs="Times New Roman"/>
                <w:strike/>
                <w:snapToGrid w:val="0"/>
                <w:color w:val="auto"/>
                <w:kern w:val="0"/>
                <w:szCs w:val="21"/>
                <w:highlight w:val="none"/>
              </w:rPr>
            </w:pPr>
            <w:r>
              <w:rPr>
                <w:rFonts w:hint="default" w:ascii="宋体" w:hAnsi="宋体" w:eastAsia="宋体" w:cs="Times New Roman"/>
                <w:strike/>
                <w:snapToGrid w:val="0"/>
                <w:color w:val="auto"/>
                <w:kern w:val="0"/>
                <w:szCs w:val="21"/>
                <w:highlight w:val="none"/>
              </w:rPr>
              <w:t>4</w:t>
            </w:r>
          </w:p>
        </w:tc>
        <w:tc>
          <w:tcPr>
            <w:tcW w:w="1420"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c>
          <w:tcPr>
            <w:tcW w:w="1420"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c>
          <w:tcPr>
            <w:tcW w:w="1420"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c>
          <w:tcPr>
            <w:tcW w:w="1420"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c>
          <w:tcPr>
            <w:tcW w:w="677"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c>
          <w:tcPr>
            <w:tcW w:w="677"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c>
          <w:tcPr>
            <w:tcW w:w="677"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c>
          <w:tcPr>
            <w:tcW w:w="677"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c>
          <w:tcPr>
            <w:tcW w:w="1275"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c>
          <w:tcPr>
            <w:tcW w:w="3045"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Pr>
          <w:p>
            <w:pPr>
              <w:keepNext w:val="0"/>
              <w:keepLines w:val="0"/>
              <w:suppressLineNumbers w:val="0"/>
              <w:spacing w:before="0" w:beforeAutospacing="0" w:after="0" w:afterAutospacing="0" w:line="480" w:lineRule="auto"/>
              <w:ind w:left="0" w:right="0"/>
              <w:jc w:val="center"/>
              <w:rPr>
                <w:rFonts w:hint="default" w:ascii="宋体" w:hAnsi="宋体" w:eastAsia="宋体" w:cs="Times New Roman"/>
                <w:strike/>
                <w:snapToGrid w:val="0"/>
                <w:color w:val="auto"/>
                <w:kern w:val="0"/>
                <w:szCs w:val="21"/>
                <w:highlight w:val="none"/>
              </w:rPr>
            </w:pPr>
            <w:r>
              <w:rPr>
                <w:rFonts w:hint="default" w:ascii="宋体" w:hAnsi="宋体" w:eastAsia="宋体" w:cs="Times New Roman"/>
                <w:strike/>
                <w:snapToGrid w:val="0"/>
                <w:color w:val="auto"/>
                <w:kern w:val="0"/>
                <w:szCs w:val="21"/>
                <w:highlight w:val="none"/>
              </w:rPr>
              <w:t>5</w:t>
            </w:r>
          </w:p>
        </w:tc>
        <w:tc>
          <w:tcPr>
            <w:tcW w:w="1420"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c>
          <w:tcPr>
            <w:tcW w:w="1420"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c>
          <w:tcPr>
            <w:tcW w:w="1420"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c>
          <w:tcPr>
            <w:tcW w:w="1420"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c>
          <w:tcPr>
            <w:tcW w:w="677"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c>
          <w:tcPr>
            <w:tcW w:w="677"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c>
          <w:tcPr>
            <w:tcW w:w="677"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c>
          <w:tcPr>
            <w:tcW w:w="677"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c>
          <w:tcPr>
            <w:tcW w:w="1275"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c>
          <w:tcPr>
            <w:tcW w:w="3045"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Pr>
          <w:p>
            <w:pPr>
              <w:keepNext w:val="0"/>
              <w:keepLines w:val="0"/>
              <w:suppressLineNumbers w:val="0"/>
              <w:spacing w:before="0" w:beforeAutospacing="0" w:after="0" w:afterAutospacing="0" w:line="480" w:lineRule="auto"/>
              <w:ind w:left="0" w:right="0"/>
              <w:jc w:val="center"/>
              <w:rPr>
                <w:rFonts w:hint="default" w:ascii="宋体" w:hAnsi="宋体" w:eastAsia="宋体" w:cs="Times New Roman"/>
                <w:strike/>
                <w:snapToGrid w:val="0"/>
                <w:color w:val="auto"/>
                <w:kern w:val="0"/>
                <w:szCs w:val="21"/>
                <w:highlight w:val="none"/>
              </w:rPr>
            </w:pPr>
            <w:r>
              <w:rPr>
                <w:rFonts w:hint="default" w:ascii="宋体" w:hAnsi="宋体" w:eastAsia="宋体" w:cs="Times New Roman"/>
                <w:strike/>
                <w:snapToGrid w:val="0"/>
                <w:color w:val="auto"/>
                <w:kern w:val="0"/>
                <w:szCs w:val="21"/>
                <w:highlight w:val="none"/>
              </w:rPr>
              <w:t>6</w:t>
            </w:r>
          </w:p>
        </w:tc>
        <w:tc>
          <w:tcPr>
            <w:tcW w:w="1420"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c>
          <w:tcPr>
            <w:tcW w:w="1420"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c>
          <w:tcPr>
            <w:tcW w:w="1420"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c>
          <w:tcPr>
            <w:tcW w:w="1420"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c>
          <w:tcPr>
            <w:tcW w:w="677"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c>
          <w:tcPr>
            <w:tcW w:w="677"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c>
          <w:tcPr>
            <w:tcW w:w="677"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c>
          <w:tcPr>
            <w:tcW w:w="677"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c>
          <w:tcPr>
            <w:tcW w:w="1275"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c>
          <w:tcPr>
            <w:tcW w:w="3045"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Pr>
          <w:p>
            <w:pPr>
              <w:keepNext w:val="0"/>
              <w:keepLines w:val="0"/>
              <w:suppressLineNumbers w:val="0"/>
              <w:spacing w:before="0" w:beforeAutospacing="0" w:after="0" w:afterAutospacing="0" w:line="480" w:lineRule="auto"/>
              <w:ind w:left="0" w:right="0"/>
              <w:jc w:val="center"/>
              <w:rPr>
                <w:rFonts w:hint="default" w:ascii="宋体" w:hAnsi="宋体" w:eastAsia="宋体" w:cs="Times New Roman"/>
                <w:strike/>
                <w:snapToGrid w:val="0"/>
                <w:color w:val="auto"/>
                <w:kern w:val="0"/>
                <w:szCs w:val="21"/>
                <w:highlight w:val="none"/>
              </w:rPr>
            </w:pPr>
            <w:r>
              <w:rPr>
                <w:rFonts w:hint="eastAsia" w:ascii="宋体" w:hAnsi="宋体" w:eastAsia="宋体" w:cs="Times New Roman"/>
                <w:strike/>
                <w:snapToGrid w:val="0"/>
                <w:color w:val="auto"/>
                <w:kern w:val="0"/>
                <w:szCs w:val="21"/>
                <w:highlight w:val="none"/>
              </w:rPr>
              <w:t>…</w:t>
            </w:r>
          </w:p>
        </w:tc>
        <w:tc>
          <w:tcPr>
            <w:tcW w:w="1420"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c>
          <w:tcPr>
            <w:tcW w:w="1420"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c>
          <w:tcPr>
            <w:tcW w:w="1420" w:type="dxa"/>
            <w:vAlign w:val="bottom"/>
          </w:tcPr>
          <w:p>
            <w:pPr>
              <w:keepNext w:val="0"/>
              <w:keepLines w:val="0"/>
              <w:suppressLineNumbers w:val="0"/>
              <w:spacing w:before="0" w:beforeAutospacing="0" w:after="0" w:afterAutospacing="0" w:line="480" w:lineRule="auto"/>
              <w:ind w:left="0" w:right="0"/>
              <w:jc w:val="center"/>
              <w:rPr>
                <w:rFonts w:hint="default" w:ascii="宋体" w:hAnsi="宋体" w:eastAsia="宋体" w:cs="Times New Roman"/>
                <w:strike/>
                <w:snapToGrid w:val="0"/>
                <w:color w:val="auto"/>
                <w:kern w:val="0"/>
                <w:szCs w:val="21"/>
                <w:highlight w:val="none"/>
              </w:rPr>
            </w:pPr>
          </w:p>
        </w:tc>
        <w:tc>
          <w:tcPr>
            <w:tcW w:w="1420"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c>
          <w:tcPr>
            <w:tcW w:w="677"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c>
          <w:tcPr>
            <w:tcW w:w="677" w:type="dxa"/>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c>
          <w:tcPr>
            <w:tcW w:w="677" w:type="dxa"/>
            <w:vAlign w:val="bottom"/>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c>
          <w:tcPr>
            <w:tcW w:w="677" w:type="dxa"/>
            <w:vAlign w:val="bottom"/>
          </w:tcPr>
          <w:p>
            <w:pPr>
              <w:keepNext w:val="0"/>
              <w:keepLines w:val="0"/>
              <w:suppressLineNumbers w:val="0"/>
              <w:spacing w:before="0" w:beforeAutospacing="0" w:after="0" w:afterAutospacing="0" w:line="480" w:lineRule="auto"/>
              <w:ind w:left="0" w:right="0"/>
              <w:rPr>
                <w:rFonts w:hint="default" w:ascii="宋体" w:hAnsi="宋体" w:eastAsia="宋体" w:cs="Times New Roman"/>
                <w:strike/>
                <w:snapToGrid w:val="0"/>
                <w:color w:val="auto"/>
                <w:kern w:val="0"/>
                <w:szCs w:val="21"/>
                <w:highlight w:val="none"/>
              </w:rPr>
            </w:pPr>
          </w:p>
        </w:tc>
        <w:tc>
          <w:tcPr>
            <w:tcW w:w="1275" w:type="dxa"/>
            <w:vAlign w:val="bottom"/>
          </w:tcPr>
          <w:p>
            <w:pPr>
              <w:keepNext w:val="0"/>
              <w:keepLines w:val="0"/>
              <w:suppressLineNumbers w:val="0"/>
              <w:spacing w:before="0" w:beforeAutospacing="0" w:after="0" w:afterAutospacing="0" w:line="480" w:lineRule="auto"/>
              <w:ind w:left="0" w:right="0"/>
              <w:jc w:val="center"/>
              <w:rPr>
                <w:rFonts w:hint="default" w:ascii="宋体" w:hAnsi="宋体" w:eastAsia="宋体" w:cs="Times New Roman"/>
                <w:strike/>
                <w:snapToGrid w:val="0"/>
                <w:color w:val="auto"/>
                <w:kern w:val="0"/>
                <w:szCs w:val="21"/>
                <w:highlight w:val="none"/>
              </w:rPr>
            </w:pPr>
          </w:p>
        </w:tc>
        <w:tc>
          <w:tcPr>
            <w:tcW w:w="3045" w:type="dxa"/>
            <w:vAlign w:val="bottom"/>
          </w:tcPr>
          <w:p>
            <w:pPr>
              <w:keepNext w:val="0"/>
              <w:keepLines w:val="0"/>
              <w:suppressLineNumbers w:val="0"/>
              <w:spacing w:before="0" w:beforeAutospacing="0" w:after="0" w:afterAutospacing="0" w:line="480" w:lineRule="auto"/>
              <w:ind w:left="0" w:right="0"/>
              <w:jc w:val="center"/>
              <w:rPr>
                <w:rFonts w:hint="default" w:ascii="宋体" w:hAnsi="宋体" w:eastAsia="宋体" w:cs="Times New Roman"/>
                <w:strike/>
                <w:snapToGrid w:val="0"/>
                <w:color w:val="auto"/>
                <w:kern w:val="0"/>
                <w:szCs w:val="21"/>
                <w:highlight w:val="none"/>
              </w:rPr>
            </w:pPr>
          </w:p>
        </w:tc>
      </w:tr>
    </w:tbl>
    <w:p>
      <w:pPr>
        <w:jc w:val="right"/>
        <w:rPr>
          <w:rFonts w:ascii="宋体" w:hAnsi="宋体" w:eastAsia="宋体" w:cs="Times New Roman"/>
          <w:strike/>
          <w:color w:val="auto"/>
          <w:highlight w:val="none"/>
        </w:rPr>
      </w:pPr>
      <w:r>
        <w:rPr>
          <w:rFonts w:ascii="宋体" w:hAnsi="宋体" w:eastAsia="宋体" w:cs="Times New Roman"/>
          <w:strike/>
          <w:color w:val="auto"/>
          <w:highlight w:val="none"/>
        </w:rPr>
        <w:t xml:space="preserve">           评标委员会全体成员签字：</w:t>
      </w:r>
    </w:p>
    <w:p>
      <w:pPr>
        <w:rPr>
          <w:rFonts w:ascii="宋体" w:hAnsi="宋体" w:eastAsia="宋体" w:cs="Times New Roman"/>
          <w:color w:val="auto"/>
          <w:highlight w:val="none"/>
        </w:rPr>
      </w:pPr>
      <w:r>
        <w:rPr>
          <w:rFonts w:ascii="宋体" w:hAnsi="宋体" w:eastAsia="宋体" w:cs="Times New Roman"/>
          <w:color w:val="auto"/>
          <w:highlight w:val="none"/>
        </w:rPr>
        <w:br w:type="page"/>
      </w:r>
    </w:p>
    <w:p>
      <w:pPr>
        <w:keepNext/>
        <w:keepLines/>
        <w:widowControl w:val="0"/>
        <w:spacing w:before="340" w:after="330" w:line="578" w:lineRule="auto"/>
        <w:jc w:val="both"/>
        <w:outlineLvl w:val="1"/>
        <w:rPr>
          <w:rFonts w:ascii="宋体" w:hAnsi="宋体" w:eastAsia="宋体" w:cs="Times New Roman"/>
          <w:b/>
          <w:bCs/>
          <w:color w:val="auto"/>
          <w:kern w:val="44"/>
          <w:sz w:val="21"/>
          <w:szCs w:val="21"/>
          <w:highlight w:val="none"/>
          <w:lang w:val="en-US" w:eastAsia="zh-CN" w:bidi="ar-SA"/>
        </w:rPr>
      </w:pPr>
      <w:bookmarkStart w:id="59" w:name="_Toc11578"/>
      <w:r>
        <w:rPr>
          <w:rFonts w:hint="eastAsia" w:ascii="宋体" w:hAnsi="宋体" w:eastAsia="宋体" w:cs="Times New Roman"/>
          <w:b/>
          <w:bCs/>
          <w:color w:val="auto"/>
          <w:kern w:val="44"/>
          <w:sz w:val="21"/>
          <w:szCs w:val="21"/>
          <w:highlight w:val="none"/>
          <w:lang w:val="en-US" w:eastAsia="zh-CN" w:bidi="ar-SA"/>
        </w:rPr>
        <w:t>附录</w:t>
      </w:r>
      <w:r>
        <w:rPr>
          <w:rFonts w:ascii="宋体" w:hAnsi="宋体" w:eastAsia="宋体" w:cs="Times New Roman"/>
          <w:b/>
          <w:bCs/>
          <w:color w:val="auto"/>
          <w:kern w:val="44"/>
          <w:sz w:val="21"/>
          <w:szCs w:val="21"/>
          <w:highlight w:val="none"/>
          <w:lang w:val="en-US" w:eastAsia="zh-CN" w:bidi="ar-SA"/>
        </w:rPr>
        <w:t>12有效性审查表</w:t>
      </w:r>
      <w:bookmarkEnd w:id="59"/>
    </w:p>
    <w:p>
      <w:pPr>
        <w:widowControl w:val="0"/>
        <w:jc w:val="center"/>
        <w:rPr>
          <w:rFonts w:hint="default" w:ascii="宋体" w:hAnsi="宋体" w:eastAsia="宋体" w:cs="宋体"/>
          <w:b/>
          <w:bCs/>
          <w:color w:val="auto"/>
          <w:kern w:val="0"/>
          <w:sz w:val="32"/>
          <w:szCs w:val="24"/>
          <w:highlight w:val="none"/>
          <w:lang w:eastAsia="zh-CN" w:bidi="ar-SA"/>
        </w:rPr>
      </w:pPr>
      <w:r>
        <w:rPr>
          <w:rFonts w:hint="eastAsia" w:ascii="宋体" w:hAnsi="宋体" w:eastAsia="宋体" w:cs="宋体"/>
          <w:b/>
          <w:bCs/>
          <w:color w:val="auto"/>
          <w:kern w:val="0"/>
          <w:sz w:val="32"/>
          <w:szCs w:val="24"/>
          <w:highlight w:val="none"/>
          <w:lang w:val="en-US" w:eastAsia="zh-CN" w:bidi="ar-SA"/>
        </w:rPr>
        <w:t>有效性审查表</w:t>
      </w:r>
      <w:r>
        <w:rPr>
          <w:rFonts w:hint="default" w:ascii="宋体" w:hAnsi="宋体" w:eastAsia="宋体" w:cs="宋体"/>
          <w:b/>
          <w:bCs/>
          <w:color w:val="auto"/>
          <w:kern w:val="0"/>
          <w:sz w:val="32"/>
          <w:szCs w:val="24"/>
          <w:highlight w:val="none"/>
          <w:u w:val="single"/>
          <w:lang w:eastAsia="zh-CN" w:bidi="ar-SA"/>
        </w:rPr>
        <w:t>（非技术方案）</w:t>
      </w:r>
    </w:p>
    <w:p>
      <w:pPr>
        <w:widowControl w:val="0"/>
        <w:jc w:val="left"/>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项目名称：                                                                                 方案编号:</w:t>
      </w:r>
    </w:p>
    <w:tbl>
      <w:tblPr>
        <w:tblStyle w:val="11"/>
        <w:tblW w:w="140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75"/>
        <w:gridCol w:w="5005"/>
        <w:gridCol w:w="2051"/>
        <w:gridCol w:w="2044"/>
        <w:gridCol w:w="1989"/>
        <w:gridCol w:w="2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8" w:hRule="atLeast"/>
        </w:trPr>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序号</w:t>
            </w:r>
          </w:p>
        </w:tc>
        <w:tc>
          <w:tcPr>
            <w:tcW w:w="5005" w:type="dxa"/>
            <w:tcBorders>
              <w:top w:val="single" w:color="auto" w:sz="4" w:space="0"/>
              <w:left w:val="nil"/>
              <w:bottom w:val="single" w:color="auto" w:sz="4" w:space="0"/>
              <w:right w:val="single" w:color="auto" w:sz="4" w:space="0"/>
              <w:tl2br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 xml:space="preserve">                      投标人名称</w:t>
            </w:r>
          </w:p>
          <w:p>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审查项目</w:t>
            </w:r>
          </w:p>
        </w:tc>
        <w:tc>
          <w:tcPr>
            <w:tcW w:w="205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auto"/>
                <w:kern w:val="0"/>
                <w:sz w:val="24"/>
                <w:szCs w:val="24"/>
                <w:highlight w:val="none"/>
                <w:lang w:val="en-US" w:eastAsia="zh-CN" w:bidi="ar-SA"/>
              </w:rPr>
            </w:pPr>
          </w:p>
        </w:tc>
        <w:tc>
          <w:tcPr>
            <w:tcW w:w="2044"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auto"/>
                <w:kern w:val="0"/>
                <w:sz w:val="24"/>
                <w:szCs w:val="24"/>
                <w:highlight w:val="none"/>
                <w:lang w:val="en-US" w:eastAsia="zh-CN" w:bidi="ar-SA"/>
              </w:rPr>
            </w:pPr>
          </w:p>
        </w:tc>
        <w:tc>
          <w:tcPr>
            <w:tcW w:w="198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auto"/>
                <w:kern w:val="0"/>
                <w:sz w:val="24"/>
                <w:szCs w:val="24"/>
                <w:highlight w:val="none"/>
                <w:lang w:val="en-US" w:eastAsia="zh-CN" w:bidi="ar-SA"/>
              </w:rPr>
            </w:pPr>
          </w:p>
        </w:tc>
        <w:tc>
          <w:tcPr>
            <w:tcW w:w="20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1</w:t>
            </w:r>
          </w:p>
        </w:tc>
        <w:tc>
          <w:tcPr>
            <w:tcW w:w="500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投标人之间不存在《广东省实施&lt;中华人民共和国招标投标法&gt;》第十六条所禁止的情形的。</w:t>
            </w:r>
          </w:p>
        </w:tc>
        <w:tc>
          <w:tcPr>
            <w:tcW w:w="205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auto"/>
                <w:kern w:val="0"/>
                <w:sz w:val="24"/>
                <w:szCs w:val="24"/>
                <w:highlight w:val="none"/>
                <w:lang w:val="en-US" w:eastAsia="zh-CN" w:bidi="ar-SA"/>
              </w:rPr>
            </w:pPr>
          </w:p>
        </w:tc>
        <w:tc>
          <w:tcPr>
            <w:tcW w:w="2044"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auto"/>
                <w:kern w:val="0"/>
                <w:sz w:val="24"/>
                <w:szCs w:val="24"/>
                <w:highlight w:val="none"/>
                <w:lang w:val="en-US" w:eastAsia="zh-CN" w:bidi="ar-SA"/>
              </w:rPr>
            </w:pPr>
          </w:p>
        </w:tc>
        <w:tc>
          <w:tcPr>
            <w:tcW w:w="198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auto"/>
                <w:kern w:val="0"/>
                <w:sz w:val="24"/>
                <w:szCs w:val="24"/>
                <w:highlight w:val="none"/>
                <w:lang w:val="en-US" w:eastAsia="zh-CN" w:bidi="ar-SA"/>
              </w:rPr>
            </w:pPr>
          </w:p>
        </w:tc>
        <w:tc>
          <w:tcPr>
            <w:tcW w:w="20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2</w:t>
            </w:r>
          </w:p>
        </w:tc>
        <w:tc>
          <w:tcPr>
            <w:tcW w:w="500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投标人与招标人、评标委员会成员或者其他投标人无串通投标。</w:t>
            </w:r>
          </w:p>
        </w:tc>
        <w:tc>
          <w:tcPr>
            <w:tcW w:w="205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auto"/>
                <w:kern w:val="0"/>
                <w:sz w:val="24"/>
                <w:szCs w:val="24"/>
                <w:highlight w:val="none"/>
                <w:lang w:val="en-US" w:eastAsia="zh-CN" w:bidi="ar-SA"/>
              </w:rPr>
            </w:pPr>
          </w:p>
        </w:tc>
        <w:tc>
          <w:tcPr>
            <w:tcW w:w="2044"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auto"/>
                <w:kern w:val="0"/>
                <w:sz w:val="24"/>
                <w:szCs w:val="24"/>
                <w:highlight w:val="none"/>
                <w:lang w:val="en-US" w:eastAsia="zh-CN" w:bidi="ar-SA"/>
              </w:rPr>
            </w:pPr>
          </w:p>
        </w:tc>
        <w:tc>
          <w:tcPr>
            <w:tcW w:w="198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auto"/>
                <w:kern w:val="0"/>
                <w:sz w:val="24"/>
                <w:szCs w:val="24"/>
                <w:highlight w:val="none"/>
                <w:lang w:val="en-US" w:eastAsia="zh-CN" w:bidi="ar-SA"/>
              </w:rPr>
            </w:pPr>
          </w:p>
        </w:tc>
        <w:tc>
          <w:tcPr>
            <w:tcW w:w="20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3</w:t>
            </w:r>
          </w:p>
        </w:tc>
        <w:tc>
          <w:tcPr>
            <w:tcW w:w="500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auto"/>
                <w:kern w:val="0"/>
                <w:sz w:val="24"/>
                <w:szCs w:val="24"/>
                <w:highlight w:val="none"/>
                <w:u w:val="single"/>
                <w:lang w:val="en-US" w:eastAsia="zh-CN" w:bidi="ar-SA"/>
              </w:rPr>
            </w:pPr>
            <w:r>
              <w:rPr>
                <w:rFonts w:hint="eastAsia" w:ascii="宋体" w:hAnsi="宋体" w:eastAsia="宋体" w:cs="Times New Roman"/>
                <w:color w:val="auto"/>
                <w:kern w:val="0"/>
                <w:sz w:val="24"/>
                <w:szCs w:val="24"/>
                <w:highlight w:val="none"/>
                <w:u w:val="single"/>
                <w:lang w:val="en-US" w:eastAsia="zh-CN" w:bidi="ar-SA"/>
              </w:rPr>
              <w:t>《投标书》有加盖投标人电子印章，已经法定代表人或者其授权代表签字</w:t>
            </w:r>
            <w:r>
              <w:rPr>
                <w:rFonts w:hint="eastAsia" w:ascii="宋体" w:hAnsi="宋体" w:eastAsia="宋体" w:cs="Times New Roman"/>
                <w:color w:val="auto"/>
                <w:kern w:val="0"/>
                <w:sz w:val="24"/>
                <w:szCs w:val="24"/>
                <w:highlight w:val="none"/>
                <w:lang w:val="en-US" w:eastAsia="zh-CN" w:bidi="ar-SA"/>
              </w:rPr>
              <w:t>。</w:t>
            </w:r>
          </w:p>
        </w:tc>
        <w:tc>
          <w:tcPr>
            <w:tcW w:w="205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auto"/>
                <w:kern w:val="0"/>
                <w:sz w:val="24"/>
                <w:szCs w:val="24"/>
                <w:highlight w:val="none"/>
                <w:lang w:val="en-US" w:eastAsia="zh-CN" w:bidi="ar-SA"/>
              </w:rPr>
            </w:pPr>
          </w:p>
        </w:tc>
        <w:tc>
          <w:tcPr>
            <w:tcW w:w="2044"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auto"/>
                <w:kern w:val="0"/>
                <w:sz w:val="24"/>
                <w:szCs w:val="24"/>
                <w:highlight w:val="none"/>
                <w:lang w:val="en-US" w:eastAsia="zh-CN" w:bidi="ar-SA"/>
              </w:rPr>
            </w:pPr>
          </w:p>
        </w:tc>
        <w:tc>
          <w:tcPr>
            <w:tcW w:w="198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auto"/>
                <w:kern w:val="0"/>
                <w:sz w:val="24"/>
                <w:szCs w:val="24"/>
                <w:highlight w:val="none"/>
                <w:lang w:val="en-US" w:eastAsia="zh-CN" w:bidi="ar-SA"/>
              </w:rPr>
            </w:pPr>
          </w:p>
        </w:tc>
        <w:tc>
          <w:tcPr>
            <w:tcW w:w="20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4</w:t>
            </w:r>
          </w:p>
        </w:tc>
        <w:tc>
          <w:tcPr>
            <w:tcW w:w="500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ascii="宋体" w:hAnsi="宋体" w:eastAsia="宋体" w:cs="Times New Roman"/>
                <w:color w:val="auto"/>
                <w:kern w:val="0"/>
                <w:sz w:val="24"/>
                <w:szCs w:val="24"/>
                <w:highlight w:val="none"/>
                <w:u w:val="single"/>
                <w:lang w:val="en-US" w:eastAsia="zh-CN" w:bidi="ar-SA"/>
              </w:rPr>
            </w:pPr>
            <w:r>
              <w:rPr>
                <w:rFonts w:hint="default" w:ascii="宋体" w:hAnsi="宋体" w:eastAsia="宋体" w:cs="Times New Roman"/>
                <w:color w:val="auto"/>
                <w:kern w:val="0"/>
                <w:sz w:val="24"/>
                <w:szCs w:val="24"/>
                <w:highlight w:val="none"/>
                <w:u w:val="single"/>
                <w:lang w:val="en-US" w:eastAsia="zh-CN" w:bidi="ar-SA"/>
              </w:rPr>
              <w:t>《投标书》没有包含招标人不能接受的偏差，或投标人没有拒绝书面撤回偏差的情形</w:t>
            </w:r>
            <w:r>
              <w:rPr>
                <w:rFonts w:hint="eastAsia" w:ascii="宋体" w:hAnsi="宋体" w:eastAsia="宋体" w:cs="Times New Roman"/>
                <w:color w:val="auto"/>
                <w:kern w:val="0"/>
                <w:sz w:val="24"/>
                <w:szCs w:val="24"/>
                <w:highlight w:val="none"/>
                <w:lang w:val="en-US" w:eastAsia="zh-CN" w:bidi="ar-SA"/>
              </w:rPr>
              <w:t>。</w:t>
            </w:r>
          </w:p>
        </w:tc>
        <w:tc>
          <w:tcPr>
            <w:tcW w:w="205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auto"/>
                <w:kern w:val="0"/>
                <w:sz w:val="24"/>
                <w:szCs w:val="24"/>
                <w:highlight w:val="none"/>
                <w:lang w:val="en-US" w:eastAsia="zh-CN" w:bidi="ar-SA"/>
              </w:rPr>
            </w:pPr>
          </w:p>
        </w:tc>
        <w:tc>
          <w:tcPr>
            <w:tcW w:w="2044"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auto"/>
                <w:kern w:val="0"/>
                <w:sz w:val="24"/>
                <w:szCs w:val="24"/>
                <w:highlight w:val="none"/>
                <w:lang w:val="en-US" w:eastAsia="zh-CN" w:bidi="ar-SA"/>
              </w:rPr>
            </w:pPr>
          </w:p>
        </w:tc>
        <w:tc>
          <w:tcPr>
            <w:tcW w:w="198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auto"/>
                <w:kern w:val="0"/>
                <w:sz w:val="24"/>
                <w:szCs w:val="24"/>
                <w:highlight w:val="none"/>
                <w:lang w:val="en-US" w:eastAsia="zh-CN" w:bidi="ar-SA"/>
              </w:rPr>
            </w:pPr>
          </w:p>
        </w:tc>
        <w:tc>
          <w:tcPr>
            <w:tcW w:w="20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auto"/>
                <w:kern w:val="0"/>
                <w:sz w:val="24"/>
                <w:szCs w:val="24"/>
                <w:highlight w:val="none"/>
                <w:lang w:eastAsia="zh-CN" w:bidi="ar-SA"/>
              </w:rPr>
            </w:pPr>
            <w:r>
              <w:rPr>
                <w:rFonts w:hint="default" w:ascii="宋体" w:hAnsi="宋体" w:eastAsia="宋体" w:cs="Times New Roman"/>
                <w:color w:val="auto"/>
                <w:kern w:val="0"/>
                <w:sz w:val="24"/>
                <w:szCs w:val="24"/>
                <w:highlight w:val="none"/>
                <w:lang w:eastAsia="zh-CN" w:bidi="ar-SA"/>
              </w:rPr>
              <w:t>5</w:t>
            </w:r>
          </w:p>
        </w:tc>
        <w:tc>
          <w:tcPr>
            <w:tcW w:w="500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auto"/>
                <w:kern w:val="0"/>
                <w:sz w:val="24"/>
                <w:szCs w:val="24"/>
                <w:highlight w:val="none"/>
                <w:u w:val="single"/>
                <w:lang w:val="en-US" w:eastAsia="zh-CN" w:bidi="ar-SA"/>
              </w:rPr>
            </w:pPr>
            <w:r>
              <w:rPr>
                <w:rFonts w:hint="default" w:ascii="宋体" w:hAnsi="宋体" w:eastAsia="宋体" w:cs="Times New Roman"/>
                <w:color w:val="auto"/>
                <w:kern w:val="0"/>
                <w:sz w:val="24"/>
                <w:szCs w:val="24"/>
                <w:highlight w:val="none"/>
                <w:u w:val="single"/>
                <w:lang w:eastAsia="zh-CN" w:bidi="ar-SA"/>
              </w:rPr>
              <w:t>《投标人声明》已按规定格式填写</w:t>
            </w:r>
            <w:r>
              <w:rPr>
                <w:rFonts w:hint="default" w:ascii="宋体" w:hAnsi="宋体" w:eastAsia="宋体" w:cs="Times New Roman"/>
                <w:strike/>
                <w:dstrike w:val="0"/>
                <w:color w:val="auto"/>
                <w:kern w:val="0"/>
                <w:sz w:val="24"/>
                <w:szCs w:val="24"/>
                <w:highlight w:val="none"/>
                <w:u w:val="single"/>
                <w:lang w:eastAsia="zh-CN" w:bidi="ar-SA"/>
              </w:rPr>
              <w:t>并已加盖投标人</w:t>
            </w:r>
            <w:r>
              <w:rPr>
                <w:rFonts w:hint="eastAsia" w:ascii="宋体" w:hAnsi="宋体" w:eastAsia="宋体" w:cs="Times New Roman"/>
                <w:strike/>
                <w:dstrike w:val="0"/>
                <w:color w:val="auto"/>
                <w:kern w:val="0"/>
                <w:sz w:val="24"/>
                <w:szCs w:val="24"/>
                <w:highlight w:val="none"/>
                <w:u w:val="single"/>
                <w:lang w:val="en-US" w:eastAsia="zh-CN" w:bidi="ar-SA"/>
              </w:rPr>
              <w:t>电子印章</w:t>
            </w:r>
            <w:r>
              <w:rPr>
                <w:rFonts w:hint="eastAsia" w:ascii="宋体" w:hAnsi="宋体" w:eastAsia="宋体" w:cs="Times New Roman"/>
                <w:color w:val="auto"/>
                <w:kern w:val="0"/>
                <w:sz w:val="24"/>
                <w:szCs w:val="24"/>
                <w:highlight w:val="none"/>
                <w:lang w:val="en-US" w:eastAsia="zh-CN" w:bidi="ar-SA"/>
              </w:rPr>
              <w:t>。</w:t>
            </w:r>
          </w:p>
        </w:tc>
        <w:tc>
          <w:tcPr>
            <w:tcW w:w="205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auto"/>
                <w:kern w:val="0"/>
                <w:sz w:val="24"/>
                <w:szCs w:val="24"/>
                <w:highlight w:val="none"/>
                <w:lang w:val="en-US" w:eastAsia="zh-CN" w:bidi="ar-SA"/>
              </w:rPr>
            </w:pPr>
          </w:p>
        </w:tc>
        <w:tc>
          <w:tcPr>
            <w:tcW w:w="2044"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auto"/>
                <w:kern w:val="0"/>
                <w:sz w:val="24"/>
                <w:szCs w:val="24"/>
                <w:highlight w:val="none"/>
                <w:lang w:val="en-US" w:eastAsia="zh-CN" w:bidi="ar-SA"/>
              </w:rPr>
            </w:pPr>
          </w:p>
        </w:tc>
        <w:tc>
          <w:tcPr>
            <w:tcW w:w="198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auto"/>
                <w:kern w:val="0"/>
                <w:sz w:val="24"/>
                <w:szCs w:val="24"/>
                <w:highlight w:val="none"/>
                <w:lang w:val="en-US" w:eastAsia="zh-CN" w:bidi="ar-SA"/>
              </w:rPr>
            </w:pPr>
          </w:p>
        </w:tc>
        <w:tc>
          <w:tcPr>
            <w:tcW w:w="20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auto"/>
                <w:kern w:val="0"/>
                <w:sz w:val="24"/>
                <w:szCs w:val="24"/>
                <w:highlight w:val="none"/>
                <w:lang w:eastAsia="zh-CN" w:bidi="ar-SA"/>
              </w:rPr>
            </w:pPr>
            <w:r>
              <w:rPr>
                <w:rFonts w:hint="default" w:ascii="宋体" w:hAnsi="宋体" w:eastAsia="宋体" w:cs="Times New Roman"/>
                <w:color w:val="auto"/>
                <w:kern w:val="0"/>
                <w:sz w:val="24"/>
                <w:szCs w:val="24"/>
                <w:highlight w:val="none"/>
                <w:lang w:eastAsia="zh-CN" w:bidi="ar-SA"/>
              </w:rPr>
              <w:t>6</w:t>
            </w:r>
          </w:p>
        </w:tc>
        <w:tc>
          <w:tcPr>
            <w:tcW w:w="500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auto"/>
                <w:kern w:val="0"/>
                <w:sz w:val="24"/>
                <w:szCs w:val="24"/>
                <w:highlight w:val="none"/>
                <w:u w:val="single"/>
                <w:lang w:val="en-US" w:eastAsia="zh-CN" w:bidi="ar-SA"/>
              </w:rPr>
            </w:pPr>
            <w:r>
              <w:rPr>
                <w:rFonts w:hint="eastAsia" w:ascii="宋体" w:hAnsi="宋体" w:eastAsia="宋体" w:cs="Times New Roman"/>
                <w:color w:val="auto"/>
                <w:kern w:val="0"/>
                <w:sz w:val="24"/>
                <w:szCs w:val="24"/>
                <w:highlight w:val="none"/>
                <w:u w:val="single"/>
                <w:lang w:val="en-US" w:eastAsia="zh-CN" w:bidi="ar-SA"/>
              </w:rPr>
              <w:t>投标人与本项目其他投标人加密打包投标文件电脑机器特征码未出现一致情况</w:t>
            </w:r>
            <w:r>
              <w:rPr>
                <w:rFonts w:hint="eastAsia" w:ascii="宋体" w:hAnsi="宋体" w:eastAsia="宋体" w:cs="Times New Roman"/>
                <w:color w:val="auto"/>
                <w:kern w:val="0"/>
                <w:sz w:val="24"/>
                <w:szCs w:val="24"/>
                <w:highlight w:val="none"/>
                <w:lang w:val="en-US" w:eastAsia="zh-CN" w:bidi="ar-SA"/>
              </w:rPr>
              <w:t>。</w:t>
            </w:r>
          </w:p>
        </w:tc>
        <w:tc>
          <w:tcPr>
            <w:tcW w:w="205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auto"/>
                <w:kern w:val="0"/>
                <w:sz w:val="24"/>
                <w:szCs w:val="24"/>
                <w:highlight w:val="none"/>
                <w:lang w:val="en-US" w:eastAsia="zh-CN" w:bidi="ar-SA"/>
              </w:rPr>
            </w:pPr>
          </w:p>
        </w:tc>
        <w:tc>
          <w:tcPr>
            <w:tcW w:w="2044"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auto"/>
                <w:kern w:val="0"/>
                <w:sz w:val="24"/>
                <w:szCs w:val="24"/>
                <w:highlight w:val="none"/>
                <w:lang w:val="en-US" w:eastAsia="zh-CN" w:bidi="ar-SA"/>
              </w:rPr>
            </w:pPr>
          </w:p>
        </w:tc>
        <w:tc>
          <w:tcPr>
            <w:tcW w:w="198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auto"/>
                <w:kern w:val="0"/>
                <w:sz w:val="24"/>
                <w:szCs w:val="24"/>
                <w:highlight w:val="none"/>
                <w:lang w:val="en-US" w:eastAsia="zh-CN" w:bidi="ar-SA"/>
              </w:rPr>
            </w:pPr>
          </w:p>
        </w:tc>
        <w:tc>
          <w:tcPr>
            <w:tcW w:w="20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auto"/>
                <w:kern w:val="0"/>
                <w:sz w:val="24"/>
                <w:szCs w:val="24"/>
                <w:highlight w:val="none"/>
                <w:lang w:eastAsia="zh-CN" w:bidi="ar-SA"/>
              </w:rPr>
            </w:pPr>
            <w:r>
              <w:rPr>
                <w:rFonts w:hint="default" w:ascii="宋体" w:hAnsi="宋体" w:eastAsia="宋体" w:cs="Times New Roman"/>
                <w:color w:val="auto"/>
                <w:kern w:val="0"/>
                <w:sz w:val="24"/>
                <w:szCs w:val="24"/>
                <w:highlight w:val="none"/>
                <w:lang w:eastAsia="zh-CN" w:bidi="ar-SA"/>
              </w:rPr>
              <w:t>7</w:t>
            </w:r>
          </w:p>
        </w:tc>
        <w:tc>
          <w:tcPr>
            <w:tcW w:w="500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auto"/>
                <w:kern w:val="0"/>
                <w:sz w:val="24"/>
                <w:szCs w:val="24"/>
                <w:highlight w:val="none"/>
                <w:u w:val="single"/>
                <w:lang w:val="en-US" w:eastAsia="zh-CN" w:bidi="ar-SA"/>
              </w:rPr>
            </w:pPr>
            <w:r>
              <w:rPr>
                <w:rFonts w:hint="eastAsia" w:ascii="宋体" w:hAnsi="宋体" w:eastAsia="宋体" w:cs="Times New Roman"/>
                <w:color w:val="auto"/>
                <w:kern w:val="0"/>
                <w:sz w:val="24"/>
                <w:szCs w:val="24"/>
                <w:highlight w:val="none"/>
                <w:u w:val="single"/>
                <w:lang w:val="en-US" w:eastAsia="zh-CN" w:bidi="ar-SA"/>
              </w:rPr>
              <w:t>投标报价不高于最高投标限价</w:t>
            </w:r>
            <w:r>
              <w:rPr>
                <w:rFonts w:hint="eastAsia" w:ascii="宋体" w:hAnsi="宋体"/>
                <w:b/>
                <w:bCs/>
                <w:color w:val="auto"/>
                <w:sz w:val="24"/>
                <w:szCs w:val="24"/>
                <w:highlight w:val="none"/>
                <w:u w:val="single"/>
                <w:lang w:eastAsia="zh-CN"/>
              </w:rPr>
              <w:t>（</w:t>
            </w:r>
            <w:r>
              <w:rPr>
                <w:rFonts w:hint="eastAsia" w:ascii="宋体" w:hAnsi="宋体"/>
                <w:b/>
                <w:bCs/>
                <w:color w:val="auto"/>
                <w:sz w:val="24"/>
                <w:szCs w:val="24"/>
                <w:highlight w:val="none"/>
                <w:u w:val="single"/>
                <w:lang w:val="en-US" w:eastAsia="zh-CN"/>
              </w:rPr>
              <w:t>含最高投标限价总价及各分项最高投标限价</w:t>
            </w:r>
            <w:r>
              <w:rPr>
                <w:rFonts w:hint="eastAsia" w:ascii="宋体" w:hAnsi="宋体"/>
                <w:b/>
                <w:bCs/>
                <w:color w:val="auto"/>
                <w:sz w:val="24"/>
                <w:szCs w:val="24"/>
                <w:highlight w:val="none"/>
                <w:u w:val="single"/>
                <w:lang w:eastAsia="zh-CN"/>
              </w:rPr>
              <w:t>）</w:t>
            </w:r>
            <w:r>
              <w:rPr>
                <w:rFonts w:hint="eastAsia" w:ascii="宋体" w:hAnsi="宋体" w:eastAsia="宋体" w:cs="Times New Roman"/>
                <w:color w:val="auto"/>
                <w:kern w:val="0"/>
                <w:sz w:val="24"/>
                <w:szCs w:val="24"/>
                <w:highlight w:val="none"/>
                <w:lang w:val="en-US" w:eastAsia="zh-CN" w:bidi="ar-SA"/>
              </w:rPr>
              <w:t>。</w:t>
            </w:r>
          </w:p>
        </w:tc>
        <w:tc>
          <w:tcPr>
            <w:tcW w:w="205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auto"/>
                <w:kern w:val="0"/>
                <w:sz w:val="24"/>
                <w:szCs w:val="24"/>
                <w:highlight w:val="none"/>
                <w:lang w:val="en-US" w:eastAsia="zh-CN" w:bidi="ar-SA"/>
              </w:rPr>
            </w:pPr>
          </w:p>
        </w:tc>
        <w:tc>
          <w:tcPr>
            <w:tcW w:w="2044"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auto"/>
                <w:kern w:val="0"/>
                <w:sz w:val="24"/>
                <w:szCs w:val="24"/>
                <w:highlight w:val="none"/>
                <w:lang w:val="en-US" w:eastAsia="zh-CN" w:bidi="ar-SA"/>
              </w:rPr>
            </w:pPr>
          </w:p>
        </w:tc>
        <w:tc>
          <w:tcPr>
            <w:tcW w:w="198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auto"/>
                <w:kern w:val="0"/>
                <w:sz w:val="24"/>
                <w:szCs w:val="24"/>
                <w:highlight w:val="none"/>
                <w:lang w:val="en-US" w:eastAsia="zh-CN" w:bidi="ar-SA"/>
              </w:rPr>
            </w:pPr>
          </w:p>
        </w:tc>
        <w:tc>
          <w:tcPr>
            <w:tcW w:w="20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结论</w:t>
            </w:r>
          </w:p>
        </w:tc>
        <w:tc>
          <w:tcPr>
            <w:tcW w:w="500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是否通过并进入下一阶段评审。</w:t>
            </w:r>
          </w:p>
        </w:tc>
        <w:tc>
          <w:tcPr>
            <w:tcW w:w="205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auto"/>
                <w:kern w:val="0"/>
                <w:sz w:val="24"/>
                <w:szCs w:val="24"/>
                <w:highlight w:val="none"/>
                <w:lang w:val="en-US" w:eastAsia="zh-CN" w:bidi="ar-SA"/>
              </w:rPr>
            </w:pPr>
          </w:p>
        </w:tc>
        <w:tc>
          <w:tcPr>
            <w:tcW w:w="2044"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auto"/>
                <w:kern w:val="0"/>
                <w:sz w:val="24"/>
                <w:szCs w:val="24"/>
                <w:highlight w:val="none"/>
                <w:lang w:val="en-US" w:eastAsia="zh-CN" w:bidi="ar-SA"/>
              </w:rPr>
            </w:pPr>
          </w:p>
        </w:tc>
        <w:tc>
          <w:tcPr>
            <w:tcW w:w="198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auto"/>
                <w:kern w:val="0"/>
                <w:sz w:val="24"/>
                <w:szCs w:val="24"/>
                <w:highlight w:val="none"/>
                <w:lang w:val="en-US" w:eastAsia="zh-CN" w:bidi="ar-SA"/>
              </w:rPr>
            </w:pPr>
          </w:p>
        </w:tc>
        <w:tc>
          <w:tcPr>
            <w:tcW w:w="20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auto"/>
                <w:kern w:val="0"/>
                <w:sz w:val="24"/>
                <w:szCs w:val="24"/>
                <w:highlight w:val="none"/>
                <w:lang w:val="en-US" w:eastAsia="zh-CN" w:bidi="ar-SA"/>
              </w:rPr>
            </w:pPr>
          </w:p>
        </w:tc>
      </w:tr>
    </w:tbl>
    <w:p>
      <w:pPr>
        <w:widowControl/>
        <w:tabs>
          <w:tab w:val="left" w:pos="720"/>
        </w:tabs>
        <w:snapToGrid w:val="0"/>
        <w:spacing w:before="156" w:beforeLines="50"/>
        <w:jc w:val="left"/>
        <w:rPr>
          <w:rFonts w:hint="eastAsia" w:ascii="宋体" w:hAnsi="Courier New" w:eastAsia="宋体" w:cs="Times New Roman"/>
          <w:color w:val="auto"/>
          <w:kern w:val="2"/>
          <w:sz w:val="24"/>
          <w:szCs w:val="22"/>
          <w:highlight w:val="none"/>
          <w:lang w:val="en-US" w:eastAsia="zh-CN" w:bidi="ar-SA"/>
        </w:rPr>
      </w:pPr>
      <w:r>
        <w:rPr>
          <w:rFonts w:hint="eastAsia" w:ascii="宋体" w:hAnsi="Courier New" w:eastAsia="宋体" w:cs="Times New Roman"/>
          <w:color w:val="auto"/>
          <w:kern w:val="2"/>
          <w:sz w:val="24"/>
          <w:szCs w:val="22"/>
          <w:highlight w:val="none"/>
          <w:lang w:val="en-US" w:eastAsia="zh-CN" w:bidi="ar-SA"/>
        </w:rPr>
        <w:t>备注：1、根据本表的审查项目，填“是”或“否”。</w:t>
      </w:r>
    </w:p>
    <w:p>
      <w:pPr>
        <w:widowControl/>
        <w:tabs>
          <w:tab w:val="left" w:pos="720"/>
        </w:tabs>
        <w:snapToGrid w:val="0"/>
        <w:spacing w:before="156" w:beforeLines="50"/>
        <w:ind w:firstLine="720" w:firstLineChars="300"/>
        <w:jc w:val="left"/>
        <w:rPr>
          <w:rFonts w:hint="eastAsia" w:ascii="宋体" w:hAnsi="Courier New" w:eastAsia="宋体" w:cs="Times New Roman"/>
          <w:color w:val="auto"/>
          <w:kern w:val="2"/>
          <w:sz w:val="24"/>
          <w:szCs w:val="22"/>
          <w:highlight w:val="none"/>
          <w:lang w:val="en-US" w:eastAsia="zh-CN" w:bidi="ar-SA"/>
        </w:rPr>
      </w:pPr>
      <w:r>
        <w:rPr>
          <w:rFonts w:hint="eastAsia" w:ascii="宋体" w:hAnsi="Courier New" w:eastAsia="宋体" w:cs="Times New Roman"/>
          <w:color w:val="auto"/>
          <w:kern w:val="2"/>
          <w:sz w:val="24"/>
          <w:szCs w:val="22"/>
          <w:highlight w:val="none"/>
          <w:lang w:val="en-US" w:eastAsia="zh-CN" w:bidi="ar-SA"/>
        </w:rPr>
        <w:t>2、表中出现一个或以上“否”，即该投标人的评审“结论”为“否”，即该投标人不进入下一阶段评审。</w:t>
      </w:r>
    </w:p>
    <w:p>
      <w:pPr>
        <w:widowControl/>
        <w:tabs>
          <w:tab w:val="left" w:pos="720"/>
        </w:tabs>
        <w:snapToGrid w:val="0"/>
        <w:spacing w:before="156" w:beforeLines="50"/>
        <w:ind w:firstLine="720" w:firstLineChars="300"/>
        <w:jc w:val="left"/>
        <w:rPr>
          <w:rFonts w:hint="eastAsia" w:ascii="宋体" w:hAnsi="Courier New" w:eastAsia="宋体" w:cs="Times New Roman"/>
          <w:color w:val="auto"/>
          <w:kern w:val="2"/>
          <w:sz w:val="24"/>
          <w:szCs w:val="22"/>
          <w:highlight w:val="none"/>
          <w:lang w:val="en-US" w:eastAsia="zh-CN" w:bidi="ar-SA"/>
        </w:rPr>
      </w:pPr>
      <w:r>
        <w:rPr>
          <w:rFonts w:hint="eastAsia" w:ascii="宋体" w:hAnsi="Courier New" w:eastAsia="宋体" w:cs="Times New Roman"/>
          <w:color w:val="auto"/>
          <w:kern w:val="2"/>
          <w:sz w:val="24"/>
          <w:szCs w:val="22"/>
          <w:highlight w:val="none"/>
          <w:lang w:val="en-US" w:eastAsia="zh-CN" w:bidi="ar-SA"/>
        </w:rPr>
        <w:t>3、表中全部评审结果为“是”，视为同意进入下一阶段评审。</w:t>
      </w:r>
    </w:p>
    <w:p>
      <w:pPr>
        <w:widowControl/>
        <w:tabs>
          <w:tab w:val="left" w:pos="720"/>
        </w:tabs>
        <w:snapToGrid w:val="0"/>
        <w:spacing w:before="156" w:beforeLines="50"/>
        <w:ind w:firstLine="720" w:firstLineChars="300"/>
        <w:jc w:val="left"/>
        <w:rPr>
          <w:rFonts w:hint="eastAsia" w:ascii="宋体" w:hAnsi="Courier New" w:eastAsia="宋体" w:cs="Times New Roman"/>
          <w:color w:val="auto"/>
          <w:kern w:val="2"/>
          <w:sz w:val="24"/>
          <w:szCs w:val="22"/>
          <w:highlight w:val="none"/>
          <w:lang w:val="en-US" w:eastAsia="zh-CN" w:bidi="ar-SA"/>
        </w:rPr>
      </w:pPr>
      <w:r>
        <w:rPr>
          <w:rFonts w:hint="eastAsia" w:ascii="宋体" w:hAnsi="Courier New" w:eastAsia="宋体" w:cs="Times New Roman"/>
          <w:color w:val="auto"/>
          <w:kern w:val="2"/>
          <w:sz w:val="24"/>
          <w:szCs w:val="22"/>
          <w:highlight w:val="none"/>
          <w:lang w:val="en-US" w:eastAsia="zh-CN" w:bidi="ar-SA"/>
        </w:rPr>
        <w:t>4、若评委意见不一致时，则按少数服从多数的原则，决定该投标人是否通过有效性审查，进入下一阶段评审。</w:t>
      </w:r>
    </w:p>
    <w:p>
      <w:pPr>
        <w:widowControl/>
        <w:tabs>
          <w:tab w:val="left" w:pos="720"/>
        </w:tabs>
        <w:snapToGrid w:val="0"/>
        <w:spacing w:before="156" w:beforeLines="50"/>
        <w:ind w:firstLine="720" w:firstLineChars="300"/>
        <w:jc w:val="left"/>
        <w:rPr>
          <w:rFonts w:hint="default" w:ascii="宋体" w:hAnsi="Courier New" w:eastAsia="宋体" w:cs="Times New Roman"/>
          <w:color w:val="auto"/>
          <w:kern w:val="2"/>
          <w:sz w:val="24"/>
          <w:szCs w:val="22"/>
          <w:highlight w:val="none"/>
          <w:u w:val="single"/>
          <w:lang w:val="en-US" w:eastAsia="zh-CN" w:bidi="ar-SA"/>
        </w:rPr>
      </w:pPr>
      <w:r>
        <w:rPr>
          <w:rFonts w:hint="eastAsia" w:ascii="宋体" w:hAnsi="Courier New" w:eastAsia="宋体" w:cs="Times New Roman"/>
          <w:color w:val="auto"/>
          <w:kern w:val="2"/>
          <w:sz w:val="24"/>
          <w:szCs w:val="22"/>
          <w:highlight w:val="none"/>
          <w:u w:val="single"/>
          <w:lang w:val="en-US" w:eastAsia="zh-CN" w:bidi="ar-SA"/>
        </w:rPr>
        <w:t>5、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widowControl w:val="0"/>
        <w:jc w:val="left"/>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 xml:space="preserve"> </w:t>
      </w:r>
    </w:p>
    <w:p>
      <w:pPr>
        <w:widowControl w:val="0"/>
        <w:jc w:val="left"/>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 xml:space="preserve"> </w:t>
      </w:r>
    </w:p>
    <w:p>
      <w:pPr>
        <w:widowControl w:val="0"/>
        <w:jc w:val="left"/>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 xml:space="preserve">评委签名：                                                                                 </w:t>
      </w:r>
      <w:r>
        <w:rPr>
          <w:rFonts w:ascii="宋体" w:hAnsi="宋体" w:eastAsia="宋体" w:cs="Times New Roman"/>
          <w:color w:val="auto"/>
          <w:highlight w:val="none"/>
        </w:rPr>
        <w:t>日期：       年    月    日</w:t>
      </w:r>
    </w:p>
    <w:p>
      <w:pPr>
        <w:widowControl w:val="0"/>
        <w:jc w:val="left"/>
        <w:rPr>
          <w:rFonts w:hint="eastAsia" w:ascii="宋体" w:hAnsi="宋体" w:eastAsia="宋体" w:cs="Times New Roman"/>
          <w:color w:val="auto"/>
          <w:kern w:val="0"/>
          <w:sz w:val="24"/>
          <w:szCs w:val="24"/>
          <w:highlight w:val="none"/>
          <w:lang w:val="en-US" w:eastAsia="zh-CN" w:bidi="ar-SA"/>
        </w:rPr>
      </w:pPr>
    </w:p>
    <w:p>
      <w:pPr>
        <w:widowControl w:val="0"/>
        <w:ind w:firstLine="200" w:firstLineChars="100"/>
        <w:jc w:val="both"/>
        <w:rPr>
          <w:rFonts w:hint="eastAsia" w:ascii="Times New Roman" w:hAnsi="Times New Roman" w:eastAsia="宋体" w:cs="Times New Roman"/>
          <w:color w:val="auto"/>
          <w:kern w:val="2"/>
          <w:sz w:val="20"/>
          <w:szCs w:val="20"/>
          <w:highlight w:val="none"/>
          <w:lang w:val="en-US" w:eastAsia="zh-CN" w:bidi="ar-SA"/>
        </w:rPr>
        <w:sectPr>
          <w:footerReference r:id="rId12" w:type="default"/>
          <w:pgSz w:w="16838" w:h="11906" w:orient="landscape"/>
          <w:pgMar w:top="1440" w:right="1440" w:bottom="1469" w:left="1440" w:header="851" w:footer="992" w:gutter="0"/>
          <w:pgBorders>
            <w:top w:val="none" w:sz="0" w:space="0"/>
            <w:left w:val="none" w:sz="0" w:space="0"/>
            <w:bottom w:val="none" w:sz="0" w:space="0"/>
            <w:right w:val="none" w:sz="0" w:space="0"/>
          </w:pgBorders>
          <w:cols w:space="720" w:num="1"/>
          <w:docGrid w:type="linesAndChars" w:linePitch="312" w:charSpace="0"/>
        </w:sectPr>
      </w:pPr>
    </w:p>
    <w:p>
      <w:pPr>
        <w:widowControl/>
        <w:jc w:val="center"/>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宋体"/>
          <w:b/>
          <w:bCs w:val="0"/>
          <w:color w:val="auto"/>
          <w:kern w:val="0"/>
          <w:sz w:val="32"/>
          <w:szCs w:val="32"/>
          <w:highlight w:val="none"/>
          <w:lang w:val="en-US" w:eastAsia="zh-CN" w:bidi="ar"/>
        </w:rPr>
        <w:t>有效性审查表</w:t>
      </w:r>
      <w:r>
        <w:rPr>
          <w:rFonts w:hint="eastAsia" w:ascii="宋体" w:hAnsi="宋体" w:eastAsia="宋体" w:cs="宋体"/>
          <w:b/>
          <w:bCs w:val="0"/>
          <w:color w:val="auto"/>
          <w:kern w:val="0"/>
          <w:sz w:val="32"/>
          <w:szCs w:val="32"/>
          <w:highlight w:val="none"/>
          <w:u w:val="single"/>
          <w:lang w:val="en-US" w:eastAsia="zh-CN" w:bidi="ar"/>
        </w:rPr>
        <w:t>（技术方案）</w:t>
      </w:r>
    </w:p>
    <w:p>
      <w:pPr>
        <w:widowControl w:val="0"/>
        <w:jc w:val="left"/>
        <w:rPr>
          <w:rFonts w:ascii="宋体" w:hAnsi="宋体" w:eastAsia="宋体" w:cs="Times New Roman"/>
          <w:b/>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项目名称：</w:t>
      </w:r>
      <w:r>
        <w:rPr>
          <w:rFonts w:ascii="宋体" w:hAnsi="宋体" w:eastAsia="宋体" w:cs="Times New Roman"/>
          <w:color w:val="auto"/>
          <w:kern w:val="0"/>
          <w:sz w:val="24"/>
          <w:szCs w:val="24"/>
          <w:highlight w:val="none"/>
          <w:lang w:val="en-US" w:eastAsia="zh-CN" w:bidi="ar-SA"/>
        </w:rPr>
        <w:t xml:space="preserve">                                                                                 </w:t>
      </w:r>
      <w:r>
        <w:rPr>
          <w:rFonts w:hint="eastAsia" w:ascii="宋体" w:hAnsi="宋体" w:eastAsia="宋体" w:cs="Times New Roman"/>
          <w:color w:val="auto"/>
          <w:kern w:val="0"/>
          <w:sz w:val="24"/>
          <w:szCs w:val="20"/>
          <w:highlight w:val="none"/>
          <w:lang w:val="en-US" w:eastAsia="zh-CN" w:bidi="ar-SA"/>
        </w:rPr>
        <w:t>方案编号</w:t>
      </w:r>
      <w:r>
        <w:rPr>
          <w:rFonts w:ascii="宋体" w:hAnsi="宋体" w:eastAsia="宋体" w:cs="Times New Roman"/>
          <w:color w:val="auto"/>
          <w:kern w:val="0"/>
          <w:sz w:val="24"/>
          <w:szCs w:val="20"/>
          <w:highlight w:val="none"/>
          <w:lang w:val="en-US" w:eastAsia="zh-CN" w:bidi="ar-SA"/>
        </w:rPr>
        <w:t>:</w:t>
      </w:r>
    </w:p>
    <w:tbl>
      <w:tblPr>
        <w:tblStyle w:val="11"/>
        <w:tblW w:w="140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4614"/>
        <w:gridCol w:w="2126"/>
        <w:gridCol w:w="2126"/>
        <w:gridCol w:w="2126"/>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序号</w:t>
            </w:r>
          </w:p>
        </w:tc>
        <w:tc>
          <w:tcPr>
            <w:tcW w:w="4614" w:type="dxa"/>
            <w:tcBorders>
              <w:top w:val="single" w:color="auto" w:sz="4" w:space="0"/>
              <w:left w:val="single" w:color="auto" w:sz="4" w:space="0"/>
              <w:bottom w:val="single" w:color="auto" w:sz="4" w:space="0"/>
              <w:right w:val="single" w:color="auto" w:sz="4" w:space="0"/>
              <w:tl2br w:val="single" w:color="auto" w:sz="4" w:space="0"/>
            </w:tcBorders>
          </w:tcPr>
          <w:p>
            <w:pPr>
              <w:keepNext w:val="0"/>
              <w:keepLines w:val="0"/>
              <w:widowControl w:val="0"/>
              <w:suppressLineNumbers w:val="0"/>
              <w:spacing w:before="0" w:beforeAutospacing="0" w:after="0" w:afterAutospacing="0"/>
              <w:ind w:left="0" w:right="0"/>
              <w:jc w:val="center"/>
              <w:rPr>
                <w:rFonts w:hint="default" w:ascii="宋体" w:hAnsi="Courier New" w:eastAsia="宋体" w:cs="Times New Roman"/>
                <w:color w:val="auto"/>
                <w:kern w:val="2"/>
                <w:sz w:val="24"/>
                <w:szCs w:val="24"/>
                <w:highlight w:val="none"/>
                <w:lang w:val="en-US" w:eastAsia="zh-CN" w:bidi="ar-SA"/>
              </w:rPr>
            </w:pPr>
            <w:r>
              <w:rPr>
                <w:rFonts w:hint="eastAsia" w:ascii="宋体" w:hAnsi="Courier New" w:eastAsia="宋体" w:cs="Times New Roman"/>
                <w:color w:val="auto"/>
                <w:kern w:val="2"/>
                <w:sz w:val="24"/>
                <w:szCs w:val="24"/>
                <w:highlight w:val="none"/>
                <w:lang w:val="en-US" w:eastAsia="zh-CN" w:bidi="ar-SA"/>
              </w:rPr>
              <w:t xml:space="preserve">                      方案编号</w:t>
            </w:r>
          </w:p>
          <w:p>
            <w:pPr>
              <w:keepNext w:val="0"/>
              <w:keepLines w:val="0"/>
              <w:widowControl w:val="0"/>
              <w:suppressLineNumbers w:val="0"/>
              <w:spacing w:before="0" w:beforeAutospacing="0" w:after="0" w:afterAutospacing="0"/>
              <w:ind w:left="0" w:right="0"/>
              <w:jc w:val="both"/>
              <w:rPr>
                <w:rFonts w:hint="default" w:ascii="宋体" w:hAnsi="宋体" w:eastAsia="宋体" w:cs="Times New Roman"/>
                <w:b/>
                <w:color w:val="auto"/>
                <w:kern w:val="2"/>
                <w:sz w:val="24"/>
                <w:szCs w:val="24"/>
                <w:highlight w:val="none"/>
                <w:lang w:val="en-US" w:eastAsia="zh-CN" w:bidi="ar-SA"/>
              </w:rPr>
            </w:pPr>
            <w:r>
              <w:rPr>
                <w:rFonts w:hint="eastAsia" w:ascii="宋体" w:hAnsi="Courier New" w:eastAsia="宋体" w:cs="Times New Roman"/>
                <w:color w:val="auto"/>
                <w:kern w:val="2"/>
                <w:sz w:val="24"/>
                <w:szCs w:val="24"/>
                <w:highlight w:val="none"/>
                <w:lang w:val="en-US" w:eastAsia="zh-CN" w:bidi="ar-SA"/>
              </w:rPr>
              <w:t>审查项目</w:t>
            </w:r>
          </w:p>
        </w:tc>
        <w:tc>
          <w:tcPr>
            <w:tcW w:w="212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b/>
                <w:color w:val="auto"/>
                <w:kern w:val="2"/>
                <w:sz w:val="24"/>
                <w:szCs w:val="24"/>
                <w:highlight w:val="none"/>
                <w:lang w:val="en-US" w:eastAsia="zh-CN" w:bidi="ar-SA"/>
              </w:rPr>
            </w:pPr>
          </w:p>
        </w:tc>
        <w:tc>
          <w:tcPr>
            <w:tcW w:w="212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b/>
                <w:color w:val="auto"/>
                <w:kern w:val="2"/>
                <w:sz w:val="24"/>
                <w:szCs w:val="24"/>
                <w:highlight w:val="none"/>
                <w:lang w:val="en-US" w:eastAsia="zh-CN" w:bidi="ar-SA"/>
              </w:rPr>
            </w:pPr>
          </w:p>
        </w:tc>
        <w:tc>
          <w:tcPr>
            <w:tcW w:w="212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b/>
                <w:color w:val="auto"/>
                <w:kern w:val="2"/>
                <w:sz w:val="24"/>
                <w:szCs w:val="24"/>
                <w:highlight w:val="none"/>
                <w:lang w:val="en-US" w:eastAsia="zh-CN" w:bidi="ar-SA"/>
              </w:rPr>
            </w:pPr>
          </w:p>
        </w:tc>
        <w:tc>
          <w:tcPr>
            <w:tcW w:w="2129"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b/>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auto"/>
                <w:kern w:val="2"/>
                <w:sz w:val="24"/>
                <w:szCs w:val="24"/>
                <w:highlight w:val="none"/>
                <w:lang w:val="en-US" w:eastAsia="zh-CN" w:bidi="ar-SA"/>
              </w:rPr>
            </w:pPr>
            <w:r>
              <w:rPr>
                <w:rFonts w:hint="default" w:ascii="宋体" w:hAnsi="宋体" w:eastAsia="宋体" w:cs="Times New Roman"/>
                <w:color w:val="auto"/>
                <w:kern w:val="2"/>
                <w:sz w:val="24"/>
                <w:szCs w:val="24"/>
                <w:highlight w:val="none"/>
                <w:lang w:val="en-US" w:eastAsia="zh-CN" w:bidi="ar-SA"/>
              </w:rPr>
              <w:t>1</w:t>
            </w:r>
          </w:p>
        </w:tc>
        <w:tc>
          <w:tcPr>
            <w:tcW w:w="46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投标人没有在设计方案内标注名称、印章、商标、图形等记认符号，使人辨认出投标人或其专业技术人员的身份。</w:t>
            </w:r>
          </w:p>
        </w:tc>
        <w:tc>
          <w:tcPr>
            <w:tcW w:w="212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b/>
                <w:color w:val="auto"/>
                <w:kern w:val="2"/>
                <w:sz w:val="24"/>
                <w:szCs w:val="24"/>
                <w:highlight w:val="none"/>
                <w:lang w:val="en-US" w:eastAsia="zh-CN" w:bidi="ar-SA"/>
              </w:rPr>
            </w:pPr>
          </w:p>
        </w:tc>
        <w:tc>
          <w:tcPr>
            <w:tcW w:w="212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b/>
                <w:color w:val="auto"/>
                <w:kern w:val="2"/>
                <w:sz w:val="24"/>
                <w:szCs w:val="24"/>
                <w:highlight w:val="none"/>
                <w:lang w:val="en-US" w:eastAsia="zh-CN" w:bidi="ar-SA"/>
              </w:rPr>
            </w:pPr>
          </w:p>
        </w:tc>
        <w:tc>
          <w:tcPr>
            <w:tcW w:w="212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b/>
                <w:color w:val="auto"/>
                <w:kern w:val="2"/>
                <w:sz w:val="24"/>
                <w:szCs w:val="24"/>
                <w:highlight w:val="none"/>
                <w:lang w:val="en-US" w:eastAsia="zh-CN" w:bidi="ar-SA"/>
              </w:rPr>
            </w:pPr>
          </w:p>
        </w:tc>
        <w:tc>
          <w:tcPr>
            <w:tcW w:w="2129"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b/>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auto"/>
                <w:kern w:val="2"/>
                <w:sz w:val="24"/>
                <w:szCs w:val="24"/>
                <w:highlight w:val="none"/>
                <w:lang w:val="en-US" w:eastAsia="zh-CN" w:bidi="ar-SA"/>
              </w:rPr>
            </w:pPr>
            <w:r>
              <w:rPr>
                <w:rFonts w:hint="default" w:ascii="宋体" w:hAnsi="宋体" w:eastAsia="宋体" w:cs="Times New Roman"/>
                <w:color w:val="auto"/>
                <w:kern w:val="2"/>
                <w:sz w:val="24"/>
                <w:szCs w:val="24"/>
                <w:highlight w:val="none"/>
                <w:lang w:val="en-US" w:eastAsia="zh-CN" w:bidi="ar-SA"/>
              </w:rPr>
              <w:t>2</w:t>
            </w:r>
          </w:p>
        </w:tc>
        <w:tc>
          <w:tcPr>
            <w:tcW w:w="46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投标人与招标人、评标委员会成员或者其他投标人无串通投标。</w:t>
            </w:r>
          </w:p>
        </w:tc>
        <w:tc>
          <w:tcPr>
            <w:tcW w:w="212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b/>
                <w:color w:val="auto"/>
                <w:kern w:val="2"/>
                <w:sz w:val="24"/>
                <w:szCs w:val="24"/>
                <w:highlight w:val="none"/>
                <w:lang w:val="en-US" w:eastAsia="zh-CN" w:bidi="ar-SA"/>
              </w:rPr>
            </w:pPr>
          </w:p>
        </w:tc>
        <w:tc>
          <w:tcPr>
            <w:tcW w:w="212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b/>
                <w:color w:val="auto"/>
                <w:kern w:val="2"/>
                <w:sz w:val="24"/>
                <w:szCs w:val="24"/>
                <w:highlight w:val="none"/>
                <w:lang w:val="en-US" w:eastAsia="zh-CN" w:bidi="ar-SA"/>
              </w:rPr>
            </w:pPr>
          </w:p>
        </w:tc>
        <w:tc>
          <w:tcPr>
            <w:tcW w:w="212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b/>
                <w:color w:val="auto"/>
                <w:kern w:val="2"/>
                <w:sz w:val="24"/>
                <w:szCs w:val="24"/>
                <w:highlight w:val="none"/>
                <w:lang w:val="en-US" w:eastAsia="zh-CN" w:bidi="ar-SA"/>
              </w:rPr>
            </w:pPr>
          </w:p>
        </w:tc>
        <w:tc>
          <w:tcPr>
            <w:tcW w:w="2129"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b/>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auto"/>
                <w:kern w:val="2"/>
                <w:sz w:val="24"/>
                <w:szCs w:val="24"/>
                <w:highlight w:val="none"/>
                <w:lang w:val="en-US" w:eastAsia="zh-CN" w:bidi="ar-SA"/>
              </w:rPr>
            </w:pPr>
            <w:r>
              <w:rPr>
                <w:rFonts w:hint="default" w:ascii="宋体" w:hAnsi="宋体" w:eastAsia="宋体" w:cs="Times New Roman"/>
                <w:color w:val="auto"/>
                <w:kern w:val="2"/>
                <w:sz w:val="24"/>
                <w:szCs w:val="24"/>
                <w:highlight w:val="none"/>
                <w:lang w:val="en-US" w:eastAsia="zh-CN" w:bidi="ar-SA"/>
              </w:rPr>
              <w:t>3</w:t>
            </w:r>
          </w:p>
        </w:tc>
        <w:tc>
          <w:tcPr>
            <w:tcW w:w="46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投标人之间不存在《广东省实施</w:t>
            </w:r>
            <w:r>
              <w:rPr>
                <w:rFonts w:hint="default" w:ascii="宋体" w:hAnsi="宋体" w:eastAsia="宋体" w:cs="Times New Roman"/>
                <w:color w:val="auto"/>
                <w:kern w:val="2"/>
                <w:sz w:val="24"/>
                <w:szCs w:val="24"/>
                <w:highlight w:val="none"/>
                <w:lang w:val="en-US" w:eastAsia="zh-CN" w:bidi="ar-SA"/>
              </w:rPr>
              <w:t>&lt;</w:t>
            </w:r>
            <w:r>
              <w:rPr>
                <w:rFonts w:hint="eastAsia" w:ascii="宋体" w:hAnsi="宋体" w:eastAsia="宋体" w:cs="Times New Roman"/>
                <w:color w:val="auto"/>
                <w:kern w:val="2"/>
                <w:sz w:val="24"/>
                <w:szCs w:val="24"/>
                <w:highlight w:val="none"/>
                <w:lang w:val="en-US" w:eastAsia="zh-CN" w:bidi="ar-SA"/>
              </w:rPr>
              <w:t>中华人民共和国招标投标法</w:t>
            </w:r>
            <w:r>
              <w:rPr>
                <w:rFonts w:hint="default" w:ascii="宋体" w:hAnsi="宋体" w:eastAsia="宋体" w:cs="Times New Roman"/>
                <w:color w:val="auto"/>
                <w:kern w:val="2"/>
                <w:sz w:val="24"/>
                <w:szCs w:val="24"/>
                <w:highlight w:val="none"/>
                <w:lang w:val="en-US" w:eastAsia="zh-CN" w:bidi="ar-SA"/>
              </w:rPr>
              <w:t>&gt;</w:t>
            </w:r>
            <w:r>
              <w:rPr>
                <w:rFonts w:hint="eastAsia" w:ascii="宋体" w:hAnsi="宋体" w:eastAsia="宋体" w:cs="Times New Roman"/>
                <w:color w:val="auto"/>
                <w:kern w:val="2"/>
                <w:sz w:val="24"/>
                <w:szCs w:val="24"/>
                <w:highlight w:val="none"/>
                <w:lang w:val="en-US" w:eastAsia="zh-CN" w:bidi="ar-SA"/>
              </w:rPr>
              <w:t>》第十六条所禁止的情形的。</w:t>
            </w:r>
          </w:p>
        </w:tc>
        <w:tc>
          <w:tcPr>
            <w:tcW w:w="212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b/>
                <w:color w:val="auto"/>
                <w:kern w:val="2"/>
                <w:sz w:val="24"/>
                <w:szCs w:val="24"/>
                <w:highlight w:val="none"/>
                <w:lang w:val="en-US" w:eastAsia="zh-CN" w:bidi="ar-SA"/>
              </w:rPr>
            </w:pPr>
          </w:p>
        </w:tc>
        <w:tc>
          <w:tcPr>
            <w:tcW w:w="212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b/>
                <w:color w:val="auto"/>
                <w:kern w:val="2"/>
                <w:sz w:val="24"/>
                <w:szCs w:val="24"/>
                <w:highlight w:val="none"/>
                <w:lang w:val="en-US" w:eastAsia="zh-CN" w:bidi="ar-SA"/>
              </w:rPr>
            </w:pPr>
          </w:p>
        </w:tc>
        <w:tc>
          <w:tcPr>
            <w:tcW w:w="212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b/>
                <w:color w:val="auto"/>
                <w:kern w:val="2"/>
                <w:sz w:val="24"/>
                <w:szCs w:val="24"/>
                <w:highlight w:val="none"/>
                <w:lang w:val="en-US" w:eastAsia="zh-CN" w:bidi="ar-SA"/>
              </w:rPr>
            </w:pPr>
          </w:p>
        </w:tc>
        <w:tc>
          <w:tcPr>
            <w:tcW w:w="2129"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b/>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结论</w:t>
            </w:r>
          </w:p>
        </w:tc>
        <w:tc>
          <w:tcPr>
            <w:tcW w:w="46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default" w:ascii="宋体" w:hAnsi="Courier New" w:eastAsia="宋体" w:cs="Times New Roman"/>
                <w:color w:val="auto"/>
                <w:kern w:val="2"/>
                <w:sz w:val="24"/>
                <w:szCs w:val="24"/>
                <w:highlight w:val="none"/>
                <w:lang w:val="en-US" w:eastAsia="zh-CN" w:bidi="ar-SA"/>
              </w:rPr>
            </w:pPr>
            <w:r>
              <w:rPr>
                <w:rFonts w:hint="eastAsia" w:ascii="宋体" w:hAnsi="Courier New" w:eastAsia="宋体" w:cs="Times New Roman"/>
                <w:color w:val="auto"/>
                <w:kern w:val="2"/>
                <w:sz w:val="24"/>
                <w:szCs w:val="24"/>
                <w:highlight w:val="none"/>
                <w:lang w:val="en-US" w:eastAsia="zh-CN" w:bidi="ar-SA"/>
              </w:rPr>
              <w:t>是否通过并进入下一阶段评审</w:t>
            </w:r>
          </w:p>
        </w:tc>
        <w:tc>
          <w:tcPr>
            <w:tcW w:w="212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b/>
                <w:color w:val="auto"/>
                <w:kern w:val="2"/>
                <w:sz w:val="24"/>
                <w:szCs w:val="24"/>
                <w:highlight w:val="none"/>
                <w:lang w:val="en-US" w:eastAsia="zh-CN" w:bidi="ar-SA"/>
              </w:rPr>
            </w:pPr>
          </w:p>
        </w:tc>
        <w:tc>
          <w:tcPr>
            <w:tcW w:w="212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b/>
                <w:color w:val="auto"/>
                <w:kern w:val="2"/>
                <w:sz w:val="24"/>
                <w:szCs w:val="24"/>
                <w:highlight w:val="none"/>
                <w:lang w:val="en-US" w:eastAsia="zh-CN" w:bidi="ar-SA"/>
              </w:rPr>
            </w:pPr>
          </w:p>
        </w:tc>
        <w:tc>
          <w:tcPr>
            <w:tcW w:w="212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b/>
                <w:color w:val="auto"/>
                <w:kern w:val="2"/>
                <w:sz w:val="24"/>
                <w:szCs w:val="24"/>
                <w:highlight w:val="none"/>
                <w:lang w:val="en-US" w:eastAsia="zh-CN" w:bidi="ar-SA"/>
              </w:rPr>
            </w:pPr>
          </w:p>
        </w:tc>
        <w:tc>
          <w:tcPr>
            <w:tcW w:w="2129"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0" w:afterAutospacing="0"/>
              <w:ind w:left="0" w:right="0"/>
              <w:jc w:val="center"/>
              <w:rPr>
                <w:rFonts w:hint="default" w:ascii="宋体" w:hAnsi="宋体" w:eastAsia="宋体" w:cs="Times New Roman"/>
                <w:b/>
                <w:color w:val="auto"/>
                <w:kern w:val="2"/>
                <w:sz w:val="24"/>
                <w:szCs w:val="24"/>
                <w:highlight w:val="none"/>
                <w:lang w:val="en-US" w:eastAsia="zh-CN" w:bidi="ar-SA"/>
              </w:rPr>
            </w:pPr>
          </w:p>
        </w:tc>
      </w:tr>
    </w:tbl>
    <w:p>
      <w:pPr>
        <w:widowControl/>
        <w:tabs>
          <w:tab w:val="left" w:pos="720"/>
        </w:tabs>
        <w:snapToGrid w:val="0"/>
        <w:spacing w:before="156" w:beforeLines="50"/>
        <w:jc w:val="left"/>
        <w:rPr>
          <w:rFonts w:hint="eastAsia" w:ascii="宋体" w:hAnsi="Courier New" w:eastAsia="宋体" w:cs="Times New Roman"/>
          <w:color w:val="auto"/>
          <w:kern w:val="2"/>
          <w:sz w:val="24"/>
          <w:szCs w:val="22"/>
          <w:highlight w:val="none"/>
          <w:lang w:val="en-US" w:eastAsia="zh-CN" w:bidi="ar-SA"/>
        </w:rPr>
      </w:pPr>
      <w:r>
        <w:rPr>
          <w:rFonts w:hint="eastAsia" w:ascii="宋体" w:hAnsi="Courier New" w:eastAsia="宋体" w:cs="Times New Roman"/>
          <w:color w:val="auto"/>
          <w:sz w:val="24"/>
          <w:highlight w:val="none"/>
        </w:rPr>
        <w:t>备注</w:t>
      </w:r>
      <w:r>
        <w:rPr>
          <w:rFonts w:hint="eastAsia" w:ascii="宋体" w:hAnsi="Courier New" w:eastAsia="宋体" w:cs="Times New Roman"/>
          <w:color w:val="auto"/>
          <w:kern w:val="2"/>
          <w:sz w:val="24"/>
          <w:szCs w:val="22"/>
          <w:highlight w:val="none"/>
          <w:lang w:val="en-US" w:eastAsia="zh-CN" w:bidi="ar-SA"/>
        </w:rPr>
        <w:t>：1、根据本表的审查项目，填“是”或“否”。</w:t>
      </w:r>
    </w:p>
    <w:p>
      <w:pPr>
        <w:widowControl/>
        <w:tabs>
          <w:tab w:val="left" w:pos="720"/>
        </w:tabs>
        <w:snapToGrid w:val="0"/>
        <w:spacing w:before="156" w:beforeLines="50"/>
        <w:ind w:firstLine="720" w:firstLineChars="300"/>
        <w:jc w:val="left"/>
        <w:rPr>
          <w:rFonts w:hint="eastAsia" w:ascii="宋体" w:hAnsi="Courier New" w:eastAsia="宋体" w:cs="Times New Roman"/>
          <w:color w:val="auto"/>
          <w:kern w:val="2"/>
          <w:sz w:val="24"/>
          <w:szCs w:val="22"/>
          <w:highlight w:val="none"/>
          <w:lang w:val="en-US" w:eastAsia="zh-CN" w:bidi="ar-SA"/>
        </w:rPr>
      </w:pPr>
      <w:r>
        <w:rPr>
          <w:rFonts w:hint="eastAsia" w:ascii="宋体" w:hAnsi="Courier New" w:eastAsia="宋体" w:cs="Times New Roman"/>
          <w:color w:val="auto"/>
          <w:kern w:val="2"/>
          <w:sz w:val="24"/>
          <w:szCs w:val="22"/>
          <w:highlight w:val="none"/>
          <w:lang w:val="en-US" w:eastAsia="zh-CN" w:bidi="ar-SA"/>
        </w:rPr>
        <w:t>2、表中出现一个或以上“否”，即该投标人的评审“结论”为“否”，即该投标人不进入下一阶段评审。</w:t>
      </w:r>
    </w:p>
    <w:p>
      <w:pPr>
        <w:widowControl/>
        <w:tabs>
          <w:tab w:val="left" w:pos="720"/>
        </w:tabs>
        <w:snapToGrid w:val="0"/>
        <w:spacing w:before="156" w:beforeLines="50"/>
        <w:ind w:firstLine="720" w:firstLineChars="300"/>
        <w:jc w:val="left"/>
        <w:rPr>
          <w:rFonts w:hint="eastAsia" w:ascii="宋体" w:hAnsi="Courier New" w:eastAsia="宋体" w:cs="Times New Roman"/>
          <w:color w:val="auto"/>
          <w:kern w:val="2"/>
          <w:sz w:val="24"/>
          <w:szCs w:val="22"/>
          <w:highlight w:val="none"/>
          <w:lang w:val="en-US" w:eastAsia="zh-CN" w:bidi="ar-SA"/>
        </w:rPr>
      </w:pPr>
      <w:r>
        <w:rPr>
          <w:rFonts w:hint="eastAsia" w:ascii="宋体" w:hAnsi="Courier New" w:eastAsia="宋体" w:cs="Times New Roman"/>
          <w:color w:val="auto"/>
          <w:kern w:val="2"/>
          <w:sz w:val="24"/>
          <w:szCs w:val="22"/>
          <w:highlight w:val="none"/>
          <w:lang w:val="en-US" w:eastAsia="zh-CN" w:bidi="ar-SA"/>
        </w:rPr>
        <w:t>3、表中全部评审结果为“是”，视为同意进入下一阶段评审。</w:t>
      </w:r>
    </w:p>
    <w:p>
      <w:pPr>
        <w:widowControl/>
        <w:tabs>
          <w:tab w:val="left" w:pos="720"/>
        </w:tabs>
        <w:snapToGrid w:val="0"/>
        <w:spacing w:before="156" w:beforeLines="50"/>
        <w:ind w:firstLine="720" w:firstLineChars="300"/>
        <w:jc w:val="left"/>
        <w:rPr>
          <w:rFonts w:hint="eastAsia" w:ascii="宋体" w:hAnsi="Courier New" w:eastAsia="宋体" w:cs="Times New Roman"/>
          <w:color w:val="auto"/>
          <w:sz w:val="24"/>
          <w:highlight w:val="none"/>
        </w:rPr>
      </w:pPr>
      <w:r>
        <w:rPr>
          <w:rFonts w:hint="eastAsia" w:ascii="宋体" w:hAnsi="Courier New" w:eastAsia="宋体" w:cs="Times New Roman"/>
          <w:color w:val="auto"/>
          <w:kern w:val="2"/>
          <w:sz w:val="24"/>
          <w:szCs w:val="22"/>
          <w:highlight w:val="none"/>
          <w:lang w:val="en-US" w:eastAsia="zh-CN" w:bidi="ar-SA"/>
        </w:rPr>
        <w:t>4</w:t>
      </w:r>
      <w:r>
        <w:rPr>
          <w:rFonts w:hint="eastAsia" w:ascii="宋体" w:hAnsi="Courier New" w:eastAsia="宋体" w:cs="Times New Roman"/>
          <w:color w:val="auto"/>
          <w:sz w:val="24"/>
          <w:highlight w:val="none"/>
        </w:rPr>
        <w:t>、若评委意见不一致时，则按少数服从多数的原则，决定该投标人是否通过有效性审查，进入下一阶段评审。</w:t>
      </w:r>
    </w:p>
    <w:p>
      <w:pPr>
        <w:widowControl/>
        <w:tabs>
          <w:tab w:val="left" w:pos="720"/>
        </w:tabs>
        <w:snapToGrid w:val="0"/>
        <w:spacing w:before="156" w:beforeLines="50"/>
        <w:ind w:firstLine="720" w:firstLineChars="300"/>
        <w:jc w:val="left"/>
        <w:rPr>
          <w:rFonts w:hint="eastAsia" w:ascii="宋体" w:hAnsi="Courier New" w:eastAsia="宋体" w:cs="Times New Roman"/>
          <w:color w:val="auto"/>
          <w:kern w:val="2"/>
          <w:sz w:val="24"/>
          <w:szCs w:val="22"/>
          <w:highlight w:val="none"/>
          <w:u w:val="single"/>
          <w:lang w:val="en-US" w:eastAsia="zh-CN" w:bidi="ar-SA"/>
        </w:rPr>
      </w:pPr>
      <w:r>
        <w:rPr>
          <w:rFonts w:hint="eastAsia" w:ascii="宋体" w:hAnsi="Courier New" w:eastAsia="宋体" w:cs="Times New Roman"/>
          <w:color w:val="auto"/>
          <w:sz w:val="24"/>
          <w:highlight w:val="none"/>
          <w:lang w:val="en-US" w:eastAsia="zh-CN"/>
        </w:rPr>
        <w:t>5、</w:t>
      </w:r>
      <w:r>
        <w:rPr>
          <w:rFonts w:hint="eastAsia" w:ascii="宋体" w:hAnsi="Courier New" w:eastAsia="宋体" w:cs="Times New Roman"/>
          <w:color w:val="auto"/>
          <w:kern w:val="2"/>
          <w:sz w:val="24"/>
          <w:szCs w:val="22"/>
          <w:highlight w:val="none"/>
          <w:u w:val="single"/>
          <w:lang w:val="en-US" w:eastAsia="zh-CN" w:bidi="ar-SA"/>
        </w:rPr>
        <w:t>不得将文件顺序、明显的文字错误等列为否决投标的情形。若出现评标委员会否决投标的，应在评标报告中载明否决投标的具体情形、原因。</w:t>
      </w:r>
    </w:p>
    <w:p>
      <w:pPr>
        <w:widowControl/>
        <w:tabs>
          <w:tab w:val="left" w:pos="720"/>
        </w:tabs>
        <w:snapToGrid w:val="0"/>
        <w:spacing w:before="156" w:beforeLines="50"/>
        <w:ind w:firstLine="720" w:firstLineChars="300"/>
        <w:jc w:val="left"/>
        <w:rPr>
          <w:rFonts w:hint="eastAsia" w:ascii="宋体" w:hAnsi="Courier New" w:eastAsia="宋体" w:cs="Times New Roman"/>
          <w:color w:val="auto"/>
          <w:kern w:val="2"/>
          <w:sz w:val="24"/>
          <w:szCs w:val="22"/>
          <w:highlight w:val="none"/>
          <w:u w:val="single"/>
          <w:lang w:val="en-US" w:eastAsia="zh-CN" w:bidi="ar-SA"/>
        </w:rPr>
      </w:pPr>
    </w:p>
    <w:p>
      <w:pPr>
        <w:spacing w:line="360" w:lineRule="auto"/>
        <w:rPr>
          <w:rFonts w:ascii="宋体" w:hAnsi="宋体" w:eastAsia="宋体" w:cs="Times New Roman"/>
          <w:color w:val="auto"/>
          <w:highlight w:val="none"/>
        </w:rPr>
      </w:pPr>
      <w:r>
        <w:rPr>
          <w:rFonts w:hint="eastAsia" w:ascii="宋体" w:hAnsi="宋体" w:eastAsia="宋体" w:cs="Times New Roman"/>
          <w:color w:val="auto"/>
          <w:sz w:val="24"/>
          <w:highlight w:val="none"/>
        </w:rPr>
        <w:t>评委签名：</w:t>
      </w:r>
      <w:r>
        <w:rPr>
          <w:rFonts w:ascii="宋体" w:hAnsi="宋体" w:eastAsia="宋体" w:cs="Times New Roman"/>
          <w:color w:val="auto"/>
          <w:sz w:val="24"/>
          <w:highlight w:val="none"/>
        </w:rPr>
        <w:t xml:space="preserve">                                                                               </w:t>
      </w:r>
      <w:r>
        <w:rPr>
          <w:rFonts w:ascii="宋体" w:hAnsi="宋体" w:eastAsia="宋体" w:cs="Times New Roman"/>
          <w:color w:val="auto"/>
          <w:highlight w:val="none"/>
        </w:rPr>
        <w:t xml:space="preserve">    日期：       年    月    日</w:t>
      </w:r>
    </w:p>
    <w:p>
      <w:pPr>
        <w:ind w:firstLine="400"/>
        <w:rPr>
          <w:color w:val="auto"/>
          <w:highlight w:val="none"/>
        </w:rPr>
        <w:sectPr>
          <w:pgSz w:w="16838" w:h="11906" w:orient="landscape"/>
          <w:pgMar w:top="1440" w:right="1440" w:bottom="1469" w:left="1440" w:header="851" w:footer="992" w:gutter="0"/>
          <w:pgBorders>
            <w:top w:val="none" w:sz="0" w:space="0"/>
            <w:left w:val="none" w:sz="0" w:space="0"/>
            <w:bottom w:val="none" w:sz="0" w:space="0"/>
            <w:right w:val="none" w:sz="0" w:space="0"/>
          </w:pgBorders>
          <w:cols w:space="720" w:num="1"/>
          <w:docGrid w:type="linesAndChars" w:linePitch="312" w:charSpace="0"/>
        </w:sectPr>
      </w:pPr>
    </w:p>
    <w:p>
      <w:pPr>
        <w:outlineLvl w:val="1"/>
        <w:rPr>
          <w:rFonts w:ascii="宋体" w:hAnsi="宋体" w:eastAsia="宋体" w:cs="Times New Roman"/>
          <w:b/>
          <w:bCs/>
          <w:color w:val="auto"/>
          <w:kern w:val="44"/>
          <w:sz w:val="21"/>
          <w:szCs w:val="21"/>
          <w:highlight w:val="none"/>
          <w:lang w:val="en-US" w:eastAsia="zh-CN" w:bidi="ar-SA"/>
        </w:rPr>
      </w:pPr>
      <w:bookmarkStart w:id="60" w:name="_Toc6247"/>
      <w:bookmarkStart w:id="61" w:name="_Toc114493348"/>
      <w:bookmarkStart w:id="62" w:name="_Toc13878"/>
      <w:r>
        <w:rPr>
          <w:rFonts w:hint="eastAsia" w:ascii="宋体" w:hAnsi="宋体" w:eastAsia="宋体" w:cs="Times New Roman"/>
          <w:b/>
          <w:bCs/>
          <w:color w:val="auto"/>
          <w:kern w:val="44"/>
          <w:sz w:val="21"/>
          <w:szCs w:val="21"/>
          <w:highlight w:val="none"/>
          <w:lang w:val="en-US" w:eastAsia="zh-CN" w:bidi="ar-SA"/>
        </w:rPr>
        <w:t>附录</w:t>
      </w:r>
      <w:r>
        <w:rPr>
          <w:rFonts w:ascii="宋体" w:hAnsi="宋体" w:eastAsia="宋体" w:cs="Times New Roman"/>
          <w:b/>
          <w:bCs/>
          <w:color w:val="auto"/>
          <w:kern w:val="44"/>
          <w:sz w:val="21"/>
          <w:szCs w:val="21"/>
          <w:highlight w:val="none"/>
          <w:lang w:val="en-US" w:eastAsia="zh-CN" w:bidi="ar-SA"/>
        </w:rPr>
        <w:t xml:space="preserve">12-1 </w:t>
      </w:r>
      <w:r>
        <w:rPr>
          <w:rFonts w:hint="eastAsia" w:ascii="宋体" w:hAnsi="宋体" w:eastAsia="宋体" w:cs="Times New Roman"/>
          <w:b/>
          <w:bCs/>
          <w:color w:val="auto"/>
          <w:kern w:val="44"/>
          <w:sz w:val="21"/>
          <w:szCs w:val="21"/>
          <w:highlight w:val="none"/>
          <w:lang w:val="en-US" w:eastAsia="zh-CN" w:bidi="ar-SA"/>
        </w:rPr>
        <w:t>投标报价算术复核表</w:t>
      </w:r>
      <w:bookmarkEnd w:id="60"/>
      <w:bookmarkEnd w:id="61"/>
      <w:bookmarkEnd w:id="62"/>
    </w:p>
    <w:p>
      <w:pPr>
        <w:jc w:val="center"/>
        <w:rPr>
          <w:rFonts w:ascii="Calibri" w:hAnsi="Calibri" w:eastAsia="宋体" w:cs="Times New Roman"/>
          <w:b/>
          <w:color w:val="auto"/>
          <w:sz w:val="32"/>
          <w:highlight w:val="none"/>
        </w:rPr>
      </w:pPr>
      <w:bookmarkStart w:id="63" w:name="_Toc16682"/>
      <w:bookmarkStart w:id="64" w:name="_Toc114493774"/>
      <w:bookmarkStart w:id="65" w:name="_Toc114493349"/>
      <w:r>
        <w:rPr>
          <w:rFonts w:hint="eastAsia" w:ascii="Calibri" w:hAnsi="Calibri" w:eastAsia="宋体" w:cs="Times New Roman"/>
          <w:b/>
          <w:color w:val="auto"/>
          <w:sz w:val="32"/>
          <w:highlight w:val="none"/>
        </w:rPr>
        <w:t>投标报价算术复核表</w:t>
      </w:r>
      <w:bookmarkEnd w:id="63"/>
      <w:bookmarkEnd w:id="64"/>
      <w:bookmarkEnd w:id="65"/>
    </w:p>
    <w:p>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项目名称：</w:t>
      </w:r>
    </w:p>
    <w:tbl>
      <w:tblPr>
        <w:tblStyle w:val="11"/>
        <w:tblW w:w="13838" w:type="dxa"/>
        <w:jc w:val="center"/>
        <w:tblLayout w:type="fixed"/>
        <w:tblCellMar>
          <w:top w:w="0" w:type="dxa"/>
          <w:left w:w="108" w:type="dxa"/>
          <w:bottom w:w="0" w:type="dxa"/>
          <w:right w:w="108" w:type="dxa"/>
        </w:tblCellMar>
      </w:tblPr>
      <w:tblGrid>
        <w:gridCol w:w="724"/>
        <w:gridCol w:w="1056"/>
        <w:gridCol w:w="902"/>
        <w:gridCol w:w="900"/>
        <w:gridCol w:w="1170"/>
        <w:gridCol w:w="1185"/>
        <w:gridCol w:w="1386"/>
        <w:gridCol w:w="1128"/>
        <w:gridCol w:w="1095"/>
        <w:gridCol w:w="1142"/>
        <w:gridCol w:w="1111"/>
        <w:gridCol w:w="1068"/>
        <w:gridCol w:w="971"/>
      </w:tblGrid>
      <w:tr>
        <w:tblPrEx>
          <w:tblCellMar>
            <w:top w:w="0" w:type="dxa"/>
            <w:left w:w="108" w:type="dxa"/>
            <w:bottom w:w="0" w:type="dxa"/>
            <w:right w:w="108" w:type="dxa"/>
          </w:tblCellMar>
        </w:tblPrEx>
        <w:trPr>
          <w:trHeight w:val="612" w:hRule="atLeast"/>
          <w:jc w:val="center"/>
        </w:trPr>
        <w:tc>
          <w:tcPr>
            <w:tcW w:w="724"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default" w:ascii="宋体" w:hAnsi="宋体" w:eastAsia="宋体" w:cs="Times New Roman"/>
                <w:color w:val="auto"/>
                <w:szCs w:val="21"/>
                <w:highlight w:val="none"/>
              </w:rPr>
            </w:pPr>
            <w:r>
              <w:rPr>
                <w:rFonts w:hint="eastAsia" w:ascii="宋体" w:hAnsi="宋体" w:eastAsia="宋体" w:cs="宋体"/>
                <w:color w:val="auto"/>
                <w:kern w:val="2"/>
                <w:sz w:val="21"/>
                <w:szCs w:val="21"/>
                <w:highlight w:val="none"/>
                <w:lang w:val="en-US" w:eastAsia="zh-CN" w:bidi="ar"/>
              </w:rPr>
              <w:t>序号</w:t>
            </w:r>
          </w:p>
        </w:tc>
        <w:tc>
          <w:tcPr>
            <w:tcW w:w="1056" w:type="dxa"/>
            <w:vMerge w:val="restart"/>
            <w:tcBorders>
              <w:top w:val="single" w:color="auto" w:sz="4" w:space="0"/>
              <w:left w:val="nil"/>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default" w:ascii="宋体" w:hAnsi="宋体" w:eastAsia="宋体" w:cs="Times New Roman"/>
                <w:color w:val="auto"/>
                <w:szCs w:val="21"/>
                <w:highlight w:val="none"/>
              </w:rPr>
            </w:pPr>
            <w:r>
              <w:rPr>
                <w:rFonts w:hint="eastAsia" w:ascii="宋体" w:hAnsi="宋体" w:eastAsia="宋体" w:cs="宋体"/>
                <w:color w:val="auto"/>
                <w:kern w:val="2"/>
                <w:sz w:val="21"/>
                <w:szCs w:val="21"/>
                <w:highlight w:val="none"/>
                <w:lang w:val="en-US" w:eastAsia="zh-CN" w:bidi="ar"/>
              </w:rPr>
              <w:t>方案编号</w:t>
            </w:r>
          </w:p>
        </w:tc>
        <w:tc>
          <w:tcPr>
            <w:tcW w:w="5543" w:type="dxa"/>
            <w:gridSpan w:val="5"/>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auto"/>
                <w:szCs w:val="21"/>
                <w:highlight w:val="none"/>
              </w:rPr>
            </w:pPr>
            <w:r>
              <w:rPr>
                <w:rFonts w:hint="eastAsia" w:ascii="宋体" w:hAnsi="宋体" w:eastAsia="宋体" w:cs="宋体"/>
                <w:color w:val="auto"/>
                <w:kern w:val="2"/>
                <w:sz w:val="21"/>
                <w:szCs w:val="21"/>
                <w:highlight w:val="none"/>
                <w:lang w:val="en-US" w:eastAsia="zh-CN" w:bidi="ar"/>
              </w:rPr>
              <w:t>投标人报价（万元）</w:t>
            </w:r>
          </w:p>
        </w:tc>
        <w:tc>
          <w:tcPr>
            <w:tcW w:w="5544" w:type="dxa"/>
            <w:gridSpan w:val="5"/>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auto"/>
                <w:szCs w:val="21"/>
                <w:highlight w:val="none"/>
              </w:rPr>
            </w:pPr>
            <w:r>
              <w:rPr>
                <w:rFonts w:hint="eastAsia" w:ascii="宋体" w:hAnsi="宋体" w:eastAsia="宋体" w:cs="宋体"/>
                <w:color w:val="auto"/>
                <w:kern w:val="2"/>
                <w:sz w:val="21"/>
                <w:szCs w:val="21"/>
                <w:highlight w:val="none"/>
                <w:lang w:val="en-US" w:eastAsia="zh-CN" w:bidi="ar"/>
              </w:rPr>
              <w:t>算术复核后报价（万元）</w:t>
            </w:r>
          </w:p>
        </w:tc>
        <w:tc>
          <w:tcPr>
            <w:tcW w:w="971" w:type="dxa"/>
            <w:vMerge w:val="restar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s="Times New Roman"/>
                <w:color w:val="auto"/>
                <w:szCs w:val="21"/>
                <w:highlight w:val="none"/>
              </w:rPr>
            </w:pPr>
            <w:r>
              <w:rPr>
                <w:rFonts w:hint="eastAsia" w:ascii="宋体" w:hAnsi="宋体" w:eastAsia="宋体" w:cs="宋体"/>
                <w:color w:val="auto"/>
                <w:kern w:val="2"/>
                <w:sz w:val="21"/>
                <w:szCs w:val="21"/>
                <w:highlight w:val="none"/>
                <w:lang w:val="en-US" w:eastAsia="zh-CN" w:bidi="ar"/>
              </w:rPr>
              <w:t>备注</w:t>
            </w:r>
          </w:p>
        </w:tc>
      </w:tr>
      <w:tr>
        <w:tblPrEx>
          <w:tblCellMar>
            <w:top w:w="0" w:type="dxa"/>
            <w:left w:w="108" w:type="dxa"/>
            <w:bottom w:w="0" w:type="dxa"/>
            <w:right w:w="108" w:type="dxa"/>
          </w:tblCellMar>
        </w:tblPrEx>
        <w:trPr>
          <w:trHeight w:val="2205" w:hRule="atLeast"/>
          <w:jc w:val="center"/>
        </w:trPr>
        <w:tc>
          <w:tcPr>
            <w:tcW w:w="724"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Times New Roman"/>
                <w:color w:val="auto"/>
                <w:szCs w:val="21"/>
                <w:highlight w:val="none"/>
              </w:rPr>
            </w:pPr>
          </w:p>
        </w:tc>
        <w:tc>
          <w:tcPr>
            <w:tcW w:w="1056"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left"/>
              <w:rPr>
                <w:rFonts w:hint="default" w:ascii="宋体" w:hAnsi="宋体" w:eastAsia="宋体" w:cs="Times New Roman"/>
                <w:color w:val="auto"/>
                <w:szCs w:val="21"/>
                <w:highlight w:val="none"/>
              </w:rPr>
            </w:pPr>
          </w:p>
        </w:tc>
        <w:tc>
          <w:tcPr>
            <w:tcW w:w="90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Calibri" w:hAnsi="宋体" w:eastAsia="宋体" w:cs="Times New Roman"/>
                <w:color w:val="auto"/>
                <w:highlight w:val="none"/>
              </w:rPr>
            </w:pPr>
            <w:r>
              <w:rPr>
                <w:rFonts w:hint="eastAsia" w:ascii="宋体" w:hAnsi="宋体" w:eastAsia="宋体" w:cs="宋体"/>
                <w:color w:val="auto"/>
                <w:kern w:val="2"/>
                <w:sz w:val="21"/>
                <w:szCs w:val="21"/>
                <w:highlight w:val="none"/>
                <w:lang w:val="en-US" w:eastAsia="zh-CN" w:bidi="ar"/>
              </w:rPr>
              <w:t>工程设计费投标报价</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default" w:ascii="Calibri" w:hAnsi="宋体" w:eastAsia="宋体" w:cs="Times New Roman"/>
                <w:color w:val="auto"/>
                <w:highlight w:val="none"/>
              </w:rPr>
            </w:pPr>
            <w:r>
              <w:rPr>
                <w:rFonts w:hint="eastAsia" w:ascii="宋体" w:hAnsi="宋体" w:eastAsia="宋体" w:cs="宋体"/>
                <w:color w:val="auto"/>
                <w:kern w:val="2"/>
                <w:sz w:val="21"/>
                <w:szCs w:val="21"/>
                <w:highlight w:val="none"/>
                <w:lang w:val="en-US" w:eastAsia="zh-CN" w:bidi="ar"/>
              </w:rPr>
              <w:t>工程勘察费投标报价</w:t>
            </w:r>
          </w:p>
        </w:tc>
        <w:tc>
          <w:tcPr>
            <w:tcW w:w="11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default" w:ascii="Calibri" w:hAnsi="宋体" w:eastAsia="宋体" w:cs="Times New Roman"/>
                <w:color w:val="auto"/>
                <w:highlight w:val="none"/>
              </w:rPr>
            </w:pPr>
            <w:r>
              <w:rPr>
                <w:rFonts w:hint="eastAsia" w:ascii="宋体" w:hAnsi="宋体" w:eastAsia="宋体" w:cs="宋体"/>
                <w:color w:val="auto"/>
                <w:kern w:val="2"/>
                <w:sz w:val="21"/>
                <w:szCs w:val="21"/>
                <w:highlight w:val="none"/>
                <w:lang w:val="en-US" w:eastAsia="zh-CN" w:bidi="ar"/>
              </w:rPr>
              <w:t>BIM正向设计技术应用费投标报价</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leftChars="0" w:right="0" w:rightChars="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设计方案报审（含修建性详细规划编制）费</w:t>
            </w:r>
          </w:p>
        </w:tc>
        <w:tc>
          <w:tcPr>
            <w:tcW w:w="13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Calibri" w:hAnsi="宋体" w:eastAsia="宋体" w:cs="Times New Roman"/>
                <w:color w:val="auto"/>
                <w:kern w:val="2"/>
                <w:sz w:val="21"/>
                <w:szCs w:val="22"/>
                <w:highlight w:val="none"/>
                <w:lang w:val="en-US" w:eastAsia="zh-CN" w:bidi="ar-SA"/>
              </w:rPr>
            </w:pPr>
            <w:r>
              <w:rPr>
                <w:rFonts w:hint="eastAsia" w:ascii="宋体" w:hAnsi="宋体" w:eastAsia="宋体" w:cs="宋体"/>
                <w:color w:val="auto"/>
                <w:kern w:val="2"/>
                <w:sz w:val="21"/>
                <w:szCs w:val="21"/>
                <w:highlight w:val="none"/>
                <w:lang w:val="en-US" w:eastAsia="zh-CN" w:bidi="ar"/>
              </w:rPr>
              <w:t>工程勘察设计费投标总报价</w:t>
            </w:r>
          </w:p>
        </w:tc>
        <w:tc>
          <w:tcPr>
            <w:tcW w:w="1128"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240" w:lineRule="exact"/>
              <w:ind w:left="0" w:right="0"/>
              <w:jc w:val="center"/>
              <w:rPr>
                <w:rFonts w:hint="default" w:ascii="Calibri" w:hAnsi="Calibri" w:eastAsia="宋体" w:cs="Times New Roman"/>
                <w:color w:val="auto"/>
                <w:highlight w:val="none"/>
              </w:rPr>
            </w:pPr>
            <w:r>
              <w:rPr>
                <w:rFonts w:hint="eastAsia" w:ascii="宋体" w:hAnsi="宋体" w:eastAsia="宋体" w:cs="宋体"/>
                <w:color w:val="auto"/>
                <w:kern w:val="2"/>
                <w:sz w:val="21"/>
                <w:szCs w:val="21"/>
                <w:highlight w:val="none"/>
                <w:lang w:val="en-US" w:eastAsia="zh-CN" w:bidi="ar"/>
              </w:rPr>
              <w:t>工程设计费投标报价</w:t>
            </w:r>
          </w:p>
        </w:tc>
        <w:tc>
          <w:tcPr>
            <w:tcW w:w="109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宋体" w:cs="Times New Roman"/>
                <w:color w:val="auto"/>
                <w:szCs w:val="21"/>
                <w:highlight w:val="none"/>
              </w:rPr>
            </w:pPr>
            <w:r>
              <w:rPr>
                <w:rFonts w:hint="eastAsia" w:ascii="宋体" w:hAnsi="宋体" w:eastAsia="宋体" w:cs="宋体"/>
                <w:color w:val="auto"/>
                <w:kern w:val="2"/>
                <w:sz w:val="21"/>
                <w:szCs w:val="21"/>
                <w:highlight w:val="none"/>
                <w:lang w:val="en-US" w:eastAsia="zh-CN" w:bidi="ar"/>
              </w:rPr>
              <w:t>工程勘察费投标报价</w:t>
            </w:r>
          </w:p>
        </w:tc>
        <w:tc>
          <w:tcPr>
            <w:tcW w:w="114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jc w:val="center"/>
              <w:rPr>
                <w:rFonts w:hint="default" w:ascii="宋体" w:hAnsi="宋体" w:eastAsia="宋体" w:cs="Times New Roman"/>
                <w:color w:val="auto"/>
                <w:szCs w:val="21"/>
                <w:highlight w:val="none"/>
              </w:rPr>
            </w:pPr>
            <w:r>
              <w:rPr>
                <w:rFonts w:hint="eastAsia" w:ascii="宋体" w:hAnsi="宋体" w:eastAsia="宋体" w:cs="宋体"/>
                <w:color w:val="auto"/>
                <w:kern w:val="2"/>
                <w:sz w:val="21"/>
                <w:szCs w:val="21"/>
                <w:highlight w:val="none"/>
                <w:lang w:val="en-US" w:eastAsia="zh-CN" w:bidi="ar"/>
              </w:rPr>
              <w:t>BIM正向设计技术应用费投标报价</w:t>
            </w:r>
          </w:p>
        </w:tc>
        <w:tc>
          <w:tcPr>
            <w:tcW w:w="111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leftChars="0" w:right="0" w:rightChars="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设计方案报审（含修建性详细规划编制）费</w:t>
            </w:r>
          </w:p>
        </w:tc>
        <w:tc>
          <w:tcPr>
            <w:tcW w:w="10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Calibri" w:hAnsi="Calibri" w:eastAsia="宋体" w:cs="Times New Roman"/>
                <w:color w:val="auto"/>
                <w:kern w:val="2"/>
                <w:sz w:val="21"/>
                <w:szCs w:val="22"/>
                <w:highlight w:val="none"/>
                <w:lang w:val="en-US" w:eastAsia="zh-CN" w:bidi="ar-SA"/>
              </w:rPr>
            </w:pPr>
            <w:r>
              <w:rPr>
                <w:rFonts w:hint="eastAsia" w:ascii="宋体" w:hAnsi="宋体" w:eastAsia="宋体" w:cs="宋体"/>
                <w:color w:val="auto"/>
                <w:kern w:val="2"/>
                <w:sz w:val="21"/>
                <w:szCs w:val="21"/>
                <w:highlight w:val="none"/>
                <w:lang w:val="en-US" w:eastAsia="zh-CN" w:bidi="ar"/>
              </w:rPr>
              <w:t>工程勘察设计费投标总报价</w:t>
            </w:r>
          </w:p>
        </w:tc>
        <w:tc>
          <w:tcPr>
            <w:tcW w:w="971" w:type="dxa"/>
            <w:vMerge w:val="continue"/>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left"/>
              <w:rPr>
                <w:rFonts w:hint="default" w:ascii="宋体" w:hAnsi="宋体" w:eastAsia="宋体" w:cs="Times New Roman"/>
                <w:color w:val="auto"/>
                <w:szCs w:val="21"/>
                <w:highlight w:val="none"/>
              </w:rPr>
            </w:pPr>
          </w:p>
        </w:tc>
      </w:tr>
      <w:tr>
        <w:tblPrEx>
          <w:tblCellMar>
            <w:top w:w="0" w:type="dxa"/>
            <w:left w:w="108" w:type="dxa"/>
            <w:bottom w:w="0" w:type="dxa"/>
            <w:right w:w="108" w:type="dxa"/>
          </w:tblCellMar>
        </w:tblPrEx>
        <w:trPr>
          <w:trHeight w:val="907"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宋体" w:hAnsi="宋体" w:eastAsia="宋体" w:cs="Times New Roman"/>
                <w:color w:val="auto"/>
                <w:szCs w:val="21"/>
                <w:highlight w:val="none"/>
              </w:rPr>
            </w:pPr>
          </w:p>
        </w:tc>
        <w:tc>
          <w:tcPr>
            <w:tcW w:w="1056" w:type="dxa"/>
            <w:tcBorders>
              <w:top w:val="single" w:color="auto" w:sz="4" w:space="0"/>
              <w:left w:val="nil"/>
              <w:bottom w:val="single" w:color="auto" w:sz="4" w:space="0"/>
              <w:right w:val="single" w:color="auto" w:sz="4" w:space="0"/>
            </w:tcBorders>
            <w:vAlign w:val="top"/>
          </w:tcPr>
          <w:p>
            <w:pPr>
              <w:keepNext w:val="0"/>
              <w:keepLines w:val="0"/>
              <w:suppressLineNumbers w:val="0"/>
              <w:spacing w:before="0" w:beforeAutospacing="0" w:after="0" w:afterAutospacing="0" w:line="240" w:lineRule="exact"/>
              <w:ind w:left="0" w:right="0"/>
              <w:rPr>
                <w:rFonts w:hint="default" w:ascii="Calibri" w:hAnsi="宋体" w:eastAsia="宋体" w:cs="Times New Roman"/>
                <w:color w:val="auto"/>
                <w:szCs w:val="21"/>
                <w:highlight w:val="none"/>
              </w:rPr>
            </w:pPr>
          </w:p>
        </w:tc>
        <w:tc>
          <w:tcPr>
            <w:tcW w:w="90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宋体" w:hAnsi="宋体" w:eastAsia="宋体" w:cs="Times New Roman"/>
                <w:color w:val="auto"/>
                <w:szCs w:val="21"/>
                <w:highlight w:val="none"/>
              </w:rPr>
            </w:pPr>
          </w:p>
        </w:tc>
        <w:tc>
          <w:tcPr>
            <w:tcW w:w="900" w:type="dxa"/>
            <w:tcBorders>
              <w:top w:val="single" w:color="auto" w:sz="4" w:space="0"/>
              <w:left w:val="nil"/>
              <w:bottom w:val="single" w:color="auto" w:sz="4" w:space="0"/>
              <w:right w:val="single" w:color="auto" w:sz="4" w:space="0"/>
            </w:tcBorders>
            <w:vAlign w:val="top"/>
          </w:tcPr>
          <w:p>
            <w:pPr>
              <w:keepNext w:val="0"/>
              <w:keepLines w:val="0"/>
              <w:suppressLineNumbers w:val="0"/>
              <w:spacing w:before="0" w:beforeAutospacing="0" w:after="0" w:afterAutospacing="0" w:line="240" w:lineRule="exact"/>
              <w:ind w:left="0" w:right="0"/>
              <w:rPr>
                <w:rFonts w:hint="default" w:ascii="宋体" w:hAnsi="宋体" w:eastAsia="宋体" w:cs="Times New Roman"/>
                <w:color w:val="auto"/>
                <w:szCs w:val="21"/>
                <w:highlight w:val="none"/>
              </w:rPr>
            </w:pPr>
          </w:p>
        </w:tc>
        <w:tc>
          <w:tcPr>
            <w:tcW w:w="1170" w:type="dxa"/>
            <w:tcBorders>
              <w:top w:val="single" w:color="auto" w:sz="4" w:space="0"/>
              <w:left w:val="nil"/>
              <w:bottom w:val="single" w:color="auto" w:sz="4" w:space="0"/>
              <w:right w:val="single" w:color="auto" w:sz="4" w:space="0"/>
            </w:tcBorders>
            <w:vAlign w:val="top"/>
          </w:tcPr>
          <w:p>
            <w:pPr>
              <w:keepNext w:val="0"/>
              <w:keepLines w:val="0"/>
              <w:suppressLineNumbers w:val="0"/>
              <w:spacing w:before="0" w:beforeAutospacing="0" w:after="0" w:afterAutospacing="0" w:line="240" w:lineRule="exact"/>
              <w:ind w:left="0" w:right="0"/>
              <w:rPr>
                <w:rFonts w:hint="default" w:ascii="宋体" w:hAnsi="宋体" w:eastAsia="宋体" w:cs="Times New Roman"/>
                <w:color w:val="auto"/>
                <w:szCs w:val="21"/>
                <w:highlight w:val="none"/>
              </w:rPr>
            </w:pPr>
          </w:p>
        </w:tc>
        <w:tc>
          <w:tcPr>
            <w:tcW w:w="1185" w:type="dxa"/>
            <w:tcBorders>
              <w:top w:val="single" w:color="auto" w:sz="4" w:space="0"/>
              <w:left w:val="nil"/>
              <w:bottom w:val="single" w:color="auto" w:sz="4" w:space="0"/>
              <w:right w:val="single" w:color="auto" w:sz="4" w:space="0"/>
            </w:tcBorders>
            <w:vAlign w:val="top"/>
          </w:tcPr>
          <w:p>
            <w:pPr>
              <w:keepNext w:val="0"/>
              <w:keepLines w:val="0"/>
              <w:suppressLineNumbers w:val="0"/>
              <w:spacing w:before="0" w:beforeAutospacing="0" w:after="0" w:afterAutospacing="0" w:line="240" w:lineRule="exact"/>
              <w:ind w:left="0" w:right="0"/>
              <w:rPr>
                <w:rFonts w:hint="default" w:ascii="宋体" w:hAnsi="宋体" w:eastAsia="宋体" w:cs="Times New Roman"/>
                <w:color w:val="auto"/>
                <w:szCs w:val="21"/>
                <w:highlight w:val="none"/>
              </w:rPr>
            </w:pPr>
          </w:p>
        </w:tc>
        <w:tc>
          <w:tcPr>
            <w:tcW w:w="1386"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240" w:lineRule="exact"/>
              <w:ind w:left="0" w:right="0"/>
              <w:rPr>
                <w:rFonts w:hint="default" w:ascii="宋体" w:hAnsi="宋体" w:eastAsia="宋体" w:cs="Times New Roman"/>
                <w:color w:val="auto"/>
                <w:szCs w:val="21"/>
                <w:highlight w:val="none"/>
              </w:rPr>
            </w:pPr>
          </w:p>
        </w:tc>
        <w:tc>
          <w:tcPr>
            <w:tcW w:w="1128" w:type="dxa"/>
            <w:tcBorders>
              <w:top w:val="single" w:color="auto" w:sz="4" w:space="0"/>
              <w:left w:val="nil"/>
              <w:bottom w:val="single" w:color="auto" w:sz="4" w:space="0"/>
              <w:right w:val="single" w:color="auto" w:sz="4" w:space="0"/>
            </w:tcBorders>
            <w:vAlign w:val="top"/>
          </w:tcPr>
          <w:p>
            <w:pPr>
              <w:keepNext w:val="0"/>
              <w:keepLines w:val="0"/>
              <w:suppressLineNumbers w:val="0"/>
              <w:spacing w:before="0" w:beforeAutospacing="0" w:after="0" w:afterAutospacing="0" w:line="240" w:lineRule="exact"/>
              <w:ind w:left="0" w:right="0"/>
              <w:rPr>
                <w:rFonts w:hint="default" w:ascii="Calibri" w:hAnsi="Calibri" w:eastAsia="宋体" w:cs="Times New Roman"/>
                <w:color w:val="auto"/>
                <w:highlight w:val="none"/>
              </w:rPr>
            </w:pPr>
          </w:p>
        </w:tc>
        <w:tc>
          <w:tcPr>
            <w:tcW w:w="1095" w:type="dxa"/>
            <w:tcBorders>
              <w:top w:val="single" w:color="auto" w:sz="4" w:space="0"/>
              <w:left w:val="nil"/>
              <w:bottom w:val="single" w:color="auto" w:sz="4" w:space="0"/>
              <w:right w:val="single" w:color="auto" w:sz="4" w:space="0"/>
            </w:tcBorders>
            <w:vAlign w:val="top"/>
          </w:tcPr>
          <w:p>
            <w:pPr>
              <w:keepNext w:val="0"/>
              <w:keepLines w:val="0"/>
              <w:suppressLineNumbers w:val="0"/>
              <w:spacing w:before="0" w:beforeAutospacing="0" w:after="0" w:afterAutospacing="0" w:line="240" w:lineRule="exact"/>
              <w:ind w:left="0" w:right="0"/>
              <w:rPr>
                <w:rFonts w:hint="default" w:ascii="宋体" w:hAnsi="宋体" w:eastAsia="宋体" w:cs="Times New Roman"/>
                <w:color w:val="auto"/>
                <w:szCs w:val="21"/>
                <w:highlight w:val="none"/>
              </w:rPr>
            </w:pPr>
          </w:p>
        </w:tc>
        <w:tc>
          <w:tcPr>
            <w:tcW w:w="1142" w:type="dxa"/>
            <w:tcBorders>
              <w:top w:val="single" w:color="auto" w:sz="4" w:space="0"/>
              <w:left w:val="nil"/>
              <w:bottom w:val="single" w:color="auto" w:sz="4" w:space="0"/>
              <w:right w:val="single" w:color="auto" w:sz="4" w:space="0"/>
            </w:tcBorders>
            <w:vAlign w:val="top"/>
          </w:tcPr>
          <w:p>
            <w:pPr>
              <w:keepNext w:val="0"/>
              <w:keepLines w:val="0"/>
              <w:suppressLineNumbers w:val="0"/>
              <w:spacing w:before="0" w:beforeAutospacing="0" w:after="0" w:afterAutospacing="0" w:line="240" w:lineRule="exact"/>
              <w:ind w:left="0" w:right="0"/>
              <w:rPr>
                <w:rFonts w:hint="default" w:ascii="宋体" w:hAnsi="宋体" w:eastAsia="宋体" w:cs="Times New Roman"/>
                <w:color w:val="auto"/>
                <w:szCs w:val="21"/>
                <w:highlight w:val="none"/>
              </w:rPr>
            </w:pPr>
          </w:p>
        </w:tc>
        <w:tc>
          <w:tcPr>
            <w:tcW w:w="1111" w:type="dxa"/>
            <w:tcBorders>
              <w:top w:val="single" w:color="auto" w:sz="4" w:space="0"/>
              <w:left w:val="nil"/>
              <w:bottom w:val="single" w:color="auto" w:sz="4" w:space="0"/>
              <w:right w:val="single" w:color="auto" w:sz="4" w:space="0"/>
            </w:tcBorders>
            <w:vAlign w:val="top"/>
          </w:tcPr>
          <w:p>
            <w:pPr>
              <w:keepNext w:val="0"/>
              <w:keepLines w:val="0"/>
              <w:suppressLineNumbers w:val="0"/>
              <w:spacing w:before="0" w:beforeAutospacing="0" w:after="0" w:afterAutospacing="0" w:line="240" w:lineRule="exact"/>
              <w:ind w:left="0" w:right="0"/>
              <w:rPr>
                <w:rFonts w:hint="default" w:ascii="Calibri" w:hAnsi="Calibri" w:eastAsia="宋体" w:cs="Times New Roman"/>
                <w:color w:val="auto"/>
                <w:highlight w:val="none"/>
              </w:rPr>
            </w:pPr>
          </w:p>
        </w:tc>
        <w:tc>
          <w:tcPr>
            <w:tcW w:w="1068"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240" w:lineRule="exact"/>
              <w:ind w:left="0" w:right="0"/>
              <w:rPr>
                <w:rFonts w:hint="default" w:ascii="Calibri" w:hAnsi="Calibri" w:eastAsia="宋体" w:cs="Times New Roman"/>
                <w:color w:val="auto"/>
                <w:highlight w:val="none"/>
              </w:rPr>
            </w:pPr>
          </w:p>
        </w:tc>
        <w:tc>
          <w:tcPr>
            <w:tcW w:w="971" w:type="dxa"/>
            <w:tcBorders>
              <w:top w:val="single" w:color="auto" w:sz="4" w:space="0"/>
              <w:left w:val="nil"/>
              <w:bottom w:val="single" w:color="auto" w:sz="4" w:space="0"/>
              <w:right w:val="single" w:color="auto" w:sz="4" w:space="0"/>
            </w:tcBorders>
            <w:vAlign w:val="top"/>
          </w:tcPr>
          <w:p>
            <w:pPr>
              <w:keepNext w:val="0"/>
              <w:keepLines w:val="0"/>
              <w:suppressLineNumbers w:val="0"/>
              <w:spacing w:before="0" w:beforeAutospacing="0" w:after="0" w:afterAutospacing="0" w:line="240" w:lineRule="exact"/>
              <w:ind w:left="0" w:right="0"/>
              <w:rPr>
                <w:rFonts w:hint="default" w:ascii="宋体" w:hAnsi="宋体" w:eastAsia="宋体" w:cs="Times New Roman"/>
                <w:color w:val="auto"/>
                <w:szCs w:val="21"/>
                <w:highlight w:val="none"/>
              </w:rPr>
            </w:pPr>
          </w:p>
        </w:tc>
      </w:tr>
      <w:tr>
        <w:tblPrEx>
          <w:tblCellMar>
            <w:top w:w="0" w:type="dxa"/>
            <w:left w:w="108" w:type="dxa"/>
            <w:bottom w:w="0" w:type="dxa"/>
            <w:right w:w="108" w:type="dxa"/>
          </w:tblCellMar>
        </w:tblPrEx>
        <w:trPr>
          <w:trHeight w:val="907"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宋体" w:hAnsi="宋体" w:eastAsia="宋体" w:cs="Times New Roman"/>
                <w:color w:val="auto"/>
                <w:szCs w:val="21"/>
                <w:highlight w:val="none"/>
              </w:rPr>
            </w:pPr>
          </w:p>
        </w:tc>
        <w:tc>
          <w:tcPr>
            <w:tcW w:w="1056" w:type="dxa"/>
            <w:tcBorders>
              <w:top w:val="single" w:color="auto" w:sz="4" w:space="0"/>
              <w:left w:val="nil"/>
              <w:bottom w:val="single" w:color="auto" w:sz="4" w:space="0"/>
              <w:right w:val="single" w:color="auto" w:sz="4" w:space="0"/>
            </w:tcBorders>
            <w:vAlign w:val="top"/>
          </w:tcPr>
          <w:p>
            <w:pPr>
              <w:keepNext w:val="0"/>
              <w:keepLines w:val="0"/>
              <w:suppressLineNumbers w:val="0"/>
              <w:spacing w:before="0" w:beforeAutospacing="0" w:after="0" w:afterAutospacing="0" w:line="240" w:lineRule="exact"/>
              <w:ind w:left="0" w:right="0"/>
              <w:rPr>
                <w:rFonts w:hint="default" w:ascii="Calibri" w:hAnsi="宋体" w:eastAsia="宋体" w:cs="Times New Roman"/>
                <w:color w:val="auto"/>
                <w:szCs w:val="21"/>
                <w:highlight w:val="none"/>
              </w:rPr>
            </w:pPr>
          </w:p>
        </w:tc>
        <w:tc>
          <w:tcPr>
            <w:tcW w:w="90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宋体" w:hAnsi="宋体" w:eastAsia="宋体" w:cs="Times New Roman"/>
                <w:color w:val="auto"/>
                <w:szCs w:val="21"/>
                <w:highlight w:val="none"/>
              </w:rPr>
            </w:pPr>
          </w:p>
        </w:tc>
        <w:tc>
          <w:tcPr>
            <w:tcW w:w="900" w:type="dxa"/>
            <w:tcBorders>
              <w:top w:val="single" w:color="auto" w:sz="4" w:space="0"/>
              <w:left w:val="nil"/>
              <w:bottom w:val="single" w:color="auto" w:sz="4" w:space="0"/>
              <w:right w:val="single" w:color="auto" w:sz="4" w:space="0"/>
            </w:tcBorders>
            <w:vAlign w:val="top"/>
          </w:tcPr>
          <w:p>
            <w:pPr>
              <w:keepNext w:val="0"/>
              <w:keepLines w:val="0"/>
              <w:suppressLineNumbers w:val="0"/>
              <w:spacing w:before="0" w:beforeAutospacing="0" w:after="0" w:afterAutospacing="0" w:line="240" w:lineRule="exact"/>
              <w:ind w:left="0" w:right="0"/>
              <w:rPr>
                <w:rFonts w:hint="default" w:ascii="宋体" w:hAnsi="宋体" w:eastAsia="宋体" w:cs="Times New Roman"/>
                <w:color w:val="auto"/>
                <w:szCs w:val="21"/>
                <w:highlight w:val="none"/>
              </w:rPr>
            </w:pPr>
          </w:p>
        </w:tc>
        <w:tc>
          <w:tcPr>
            <w:tcW w:w="1170" w:type="dxa"/>
            <w:tcBorders>
              <w:top w:val="single" w:color="auto" w:sz="4" w:space="0"/>
              <w:left w:val="nil"/>
              <w:bottom w:val="single" w:color="auto" w:sz="4" w:space="0"/>
              <w:right w:val="single" w:color="auto" w:sz="4" w:space="0"/>
            </w:tcBorders>
            <w:vAlign w:val="top"/>
          </w:tcPr>
          <w:p>
            <w:pPr>
              <w:keepNext w:val="0"/>
              <w:keepLines w:val="0"/>
              <w:suppressLineNumbers w:val="0"/>
              <w:spacing w:before="0" w:beforeAutospacing="0" w:after="0" w:afterAutospacing="0" w:line="240" w:lineRule="exact"/>
              <w:ind w:left="0" w:right="0"/>
              <w:rPr>
                <w:rFonts w:hint="default" w:ascii="宋体" w:hAnsi="宋体" w:eastAsia="宋体" w:cs="Times New Roman"/>
                <w:color w:val="auto"/>
                <w:szCs w:val="21"/>
                <w:highlight w:val="none"/>
              </w:rPr>
            </w:pPr>
          </w:p>
        </w:tc>
        <w:tc>
          <w:tcPr>
            <w:tcW w:w="1185" w:type="dxa"/>
            <w:tcBorders>
              <w:top w:val="single" w:color="auto" w:sz="4" w:space="0"/>
              <w:left w:val="nil"/>
              <w:bottom w:val="single" w:color="auto" w:sz="4" w:space="0"/>
              <w:right w:val="single" w:color="auto" w:sz="4" w:space="0"/>
            </w:tcBorders>
            <w:vAlign w:val="top"/>
          </w:tcPr>
          <w:p>
            <w:pPr>
              <w:keepNext w:val="0"/>
              <w:keepLines w:val="0"/>
              <w:suppressLineNumbers w:val="0"/>
              <w:spacing w:before="0" w:beforeAutospacing="0" w:after="0" w:afterAutospacing="0" w:line="240" w:lineRule="exact"/>
              <w:ind w:left="0" w:right="0"/>
              <w:rPr>
                <w:rFonts w:hint="default" w:ascii="宋体" w:hAnsi="宋体" w:eastAsia="宋体" w:cs="Times New Roman"/>
                <w:color w:val="auto"/>
                <w:szCs w:val="21"/>
                <w:highlight w:val="none"/>
              </w:rPr>
            </w:pPr>
          </w:p>
        </w:tc>
        <w:tc>
          <w:tcPr>
            <w:tcW w:w="1386"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240" w:lineRule="exact"/>
              <w:ind w:left="0" w:right="0"/>
              <w:rPr>
                <w:rFonts w:hint="default" w:ascii="宋体" w:hAnsi="宋体" w:eastAsia="宋体" w:cs="Times New Roman"/>
                <w:color w:val="auto"/>
                <w:szCs w:val="21"/>
                <w:highlight w:val="none"/>
              </w:rPr>
            </w:pPr>
          </w:p>
        </w:tc>
        <w:tc>
          <w:tcPr>
            <w:tcW w:w="1128" w:type="dxa"/>
            <w:tcBorders>
              <w:top w:val="single" w:color="auto" w:sz="4" w:space="0"/>
              <w:left w:val="nil"/>
              <w:bottom w:val="single" w:color="auto" w:sz="4" w:space="0"/>
              <w:right w:val="single" w:color="auto" w:sz="4" w:space="0"/>
            </w:tcBorders>
            <w:vAlign w:val="top"/>
          </w:tcPr>
          <w:p>
            <w:pPr>
              <w:keepNext w:val="0"/>
              <w:keepLines w:val="0"/>
              <w:suppressLineNumbers w:val="0"/>
              <w:spacing w:before="0" w:beforeAutospacing="0" w:after="0" w:afterAutospacing="0" w:line="240" w:lineRule="exact"/>
              <w:ind w:left="0" w:right="0"/>
              <w:rPr>
                <w:rFonts w:hint="default" w:ascii="Calibri" w:hAnsi="Calibri" w:eastAsia="宋体" w:cs="Times New Roman"/>
                <w:color w:val="auto"/>
                <w:highlight w:val="none"/>
              </w:rPr>
            </w:pPr>
          </w:p>
        </w:tc>
        <w:tc>
          <w:tcPr>
            <w:tcW w:w="1095" w:type="dxa"/>
            <w:tcBorders>
              <w:top w:val="single" w:color="auto" w:sz="4" w:space="0"/>
              <w:left w:val="nil"/>
              <w:bottom w:val="single" w:color="auto" w:sz="4" w:space="0"/>
              <w:right w:val="single" w:color="auto" w:sz="4" w:space="0"/>
            </w:tcBorders>
            <w:vAlign w:val="top"/>
          </w:tcPr>
          <w:p>
            <w:pPr>
              <w:keepNext w:val="0"/>
              <w:keepLines w:val="0"/>
              <w:suppressLineNumbers w:val="0"/>
              <w:spacing w:before="0" w:beforeAutospacing="0" w:after="0" w:afterAutospacing="0" w:line="240" w:lineRule="exact"/>
              <w:ind w:left="0" w:right="0"/>
              <w:rPr>
                <w:rFonts w:hint="default" w:ascii="宋体" w:hAnsi="宋体" w:eastAsia="宋体" w:cs="Times New Roman"/>
                <w:color w:val="auto"/>
                <w:szCs w:val="21"/>
                <w:highlight w:val="none"/>
              </w:rPr>
            </w:pPr>
          </w:p>
        </w:tc>
        <w:tc>
          <w:tcPr>
            <w:tcW w:w="1142" w:type="dxa"/>
            <w:tcBorders>
              <w:top w:val="single" w:color="auto" w:sz="4" w:space="0"/>
              <w:left w:val="nil"/>
              <w:bottom w:val="single" w:color="auto" w:sz="4" w:space="0"/>
              <w:right w:val="single" w:color="auto" w:sz="4" w:space="0"/>
            </w:tcBorders>
            <w:vAlign w:val="top"/>
          </w:tcPr>
          <w:p>
            <w:pPr>
              <w:keepNext w:val="0"/>
              <w:keepLines w:val="0"/>
              <w:suppressLineNumbers w:val="0"/>
              <w:spacing w:before="0" w:beforeAutospacing="0" w:after="0" w:afterAutospacing="0" w:line="240" w:lineRule="exact"/>
              <w:ind w:left="0" w:right="0"/>
              <w:rPr>
                <w:rFonts w:hint="default" w:ascii="宋体" w:hAnsi="宋体" w:eastAsia="宋体" w:cs="Times New Roman"/>
                <w:color w:val="auto"/>
                <w:szCs w:val="21"/>
                <w:highlight w:val="none"/>
              </w:rPr>
            </w:pPr>
          </w:p>
        </w:tc>
        <w:tc>
          <w:tcPr>
            <w:tcW w:w="1111" w:type="dxa"/>
            <w:tcBorders>
              <w:top w:val="single" w:color="auto" w:sz="4" w:space="0"/>
              <w:left w:val="nil"/>
              <w:bottom w:val="single" w:color="auto" w:sz="4" w:space="0"/>
              <w:right w:val="single" w:color="auto" w:sz="4" w:space="0"/>
            </w:tcBorders>
            <w:vAlign w:val="top"/>
          </w:tcPr>
          <w:p>
            <w:pPr>
              <w:keepNext w:val="0"/>
              <w:keepLines w:val="0"/>
              <w:suppressLineNumbers w:val="0"/>
              <w:spacing w:before="0" w:beforeAutospacing="0" w:after="0" w:afterAutospacing="0" w:line="240" w:lineRule="exact"/>
              <w:ind w:left="0" w:right="0"/>
              <w:rPr>
                <w:rFonts w:hint="default" w:ascii="Calibri" w:hAnsi="Calibri" w:eastAsia="宋体" w:cs="Times New Roman"/>
                <w:color w:val="auto"/>
                <w:highlight w:val="none"/>
              </w:rPr>
            </w:pPr>
          </w:p>
        </w:tc>
        <w:tc>
          <w:tcPr>
            <w:tcW w:w="1068"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240" w:lineRule="exact"/>
              <w:ind w:left="0" w:right="0"/>
              <w:rPr>
                <w:rFonts w:hint="default" w:ascii="Calibri" w:hAnsi="Calibri" w:eastAsia="宋体" w:cs="Times New Roman"/>
                <w:color w:val="auto"/>
                <w:highlight w:val="none"/>
              </w:rPr>
            </w:pPr>
          </w:p>
        </w:tc>
        <w:tc>
          <w:tcPr>
            <w:tcW w:w="971" w:type="dxa"/>
            <w:tcBorders>
              <w:top w:val="single" w:color="auto" w:sz="4" w:space="0"/>
              <w:left w:val="nil"/>
              <w:bottom w:val="single" w:color="auto" w:sz="4" w:space="0"/>
              <w:right w:val="single" w:color="auto" w:sz="4" w:space="0"/>
            </w:tcBorders>
            <w:vAlign w:val="top"/>
          </w:tcPr>
          <w:p>
            <w:pPr>
              <w:keepNext w:val="0"/>
              <w:keepLines w:val="0"/>
              <w:suppressLineNumbers w:val="0"/>
              <w:spacing w:before="0" w:beforeAutospacing="0" w:after="0" w:afterAutospacing="0" w:line="240" w:lineRule="exact"/>
              <w:ind w:left="0" w:right="0"/>
              <w:rPr>
                <w:rFonts w:hint="default" w:ascii="宋体" w:hAnsi="宋体" w:eastAsia="宋体" w:cs="Times New Roman"/>
                <w:color w:val="auto"/>
                <w:szCs w:val="21"/>
                <w:highlight w:val="none"/>
              </w:rPr>
            </w:pPr>
          </w:p>
        </w:tc>
      </w:tr>
      <w:tr>
        <w:tblPrEx>
          <w:tblCellMar>
            <w:top w:w="0" w:type="dxa"/>
            <w:left w:w="108" w:type="dxa"/>
            <w:bottom w:w="0" w:type="dxa"/>
            <w:right w:w="108" w:type="dxa"/>
          </w:tblCellMar>
        </w:tblPrEx>
        <w:trPr>
          <w:trHeight w:val="928"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宋体" w:hAnsi="宋体" w:eastAsia="宋体" w:cs="Times New Roman"/>
                <w:color w:val="auto"/>
                <w:szCs w:val="21"/>
                <w:highlight w:val="none"/>
              </w:rPr>
            </w:pPr>
          </w:p>
        </w:tc>
        <w:tc>
          <w:tcPr>
            <w:tcW w:w="1056" w:type="dxa"/>
            <w:tcBorders>
              <w:top w:val="single" w:color="auto" w:sz="4" w:space="0"/>
              <w:left w:val="nil"/>
              <w:bottom w:val="single" w:color="auto" w:sz="4" w:space="0"/>
              <w:right w:val="single" w:color="auto" w:sz="4" w:space="0"/>
            </w:tcBorders>
            <w:vAlign w:val="top"/>
          </w:tcPr>
          <w:p>
            <w:pPr>
              <w:keepNext w:val="0"/>
              <w:keepLines w:val="0"/>
              <w:suppressLineNumbers w:val="0"/>
              <w:spacing w:before="0" w:beforeAutospacing="0" w:after="0" w:afterAutospacing="0" w:line="240" w:lineRule="exact"/>
              <w:ind w:left="0" w:right="0"/>
              <w:rPr>
                <w:rFonts w:hint="default" w:ascii="Calibri" w:hAnsi="宋体" w:eastAsia="宋体" w:cs="Times New Roman"/>
                <w:color w:val="auto"/>
                <w:szCs w:val="21"/>
                <w:highlight w:val="none"/>
              </w:rPr>
            </w:pPr>
          </w:p>
        </w:tc>
        <w:tc>
          <w:tcPr>
            <w:tcW w:w="90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宋体" w:hAnsi="宋体" w:eastAsia="宋体" w:cs="Times New Roman"/>
                <w:color w:val="auto"/>
                <w:szCs w:val="21"/>
                <w:highlight w:val="none"/>
              </w:rPr>
            </w:pPr>
          </w:p>
        </w:tc>
        <w:tc>
          <w:tcPr>
            <w:tcW w:w="900" w:type="dxa"/>
            <w:tcBorders>
              <w:top w:val="single" w:color="auto" w:sz="4" w:space="0"/>
              <w:left w:val="nil"/>
              <w:bottom w:val="single" w:color="auto" w:sz="4" w:space="0"/>
              <w:right w:val="single" w:color="auto" w:sz="4" w:space="0"/>
            </w:tcBorders>
            <w:vAlign w:val="top"/>
          </w:tcPr>
          <w:p>
            <w:pPr>
              <w:keepNext w:val="0"/>
              <w:keepLines w:val="0"/>
              <w:suppressLineNumbers w:val="0"/>
              <w:spacing w:before="0" w:beforeAutospacing="0" w:after="0" w:afterAutospacing="0" w:line="240" w:lineRule="exact"/>
              <w:ind w:left="0" w:right="0"/>
              <w:rPr>
                <w:rFonts w:hint="default" w:ascii="宋体" w:hAnsi="宋体" w:eastAsia="宋体" w:cs="Times New Roman"/>
                <w:color w:val="auto"/>
                <w:szCs w:val="21"/>
                <w:highlight w:val="none"/>
              </w:rPr>
            </w:pPr>
          </w:p>
        </w:tc>
        <w:tc>
          <w:tcPr>
            <w:tcW w:w="1170" w:type="dxa"/>
            <w:tcBorders>
              <w:top w:val="single" w:color="auto" w:sz="4" w:space="0"/>
              <w:left w:val="nil"/>
              <w:bottom w:val="single" w:color="auto" w:sz="4" w:space="0"/>
              <w:right w:val="single" w:color="auto" w:sz="4" w:space="0"/>
            </w:tcBorders>
            <w:vAlign w:val="top"/>
          </w:tcPr>
          <w:p>
            <w:pPr>
              <w:keepNext w:val="0"/>
              <w:keepLines w:val="0"/>
              <w:suppressLineNumbers w:val="0"/>
              <w:spacing w:before="0" w:beforeAutospacing="0" w:after="0" w:afterAutospacing="0" w:line="240" w:lineRule="exact"/>
              <w:ind w:left="0" w:right="0"/>
              <w:rPr>
                <w:rFonts w:hint="default" w:ascii="宋体" w:hAnsi="宋体" w:eastAsia="宋体" w:cs="Times New Roman"/>
                <w:color w:val="auto"/>
                <w:szCs w:val="21"/>
                <w:highlight w:val="none"/>
              </w:rPr>
            </w:pPr>
          </w:p>
        </w:tc>
        <w:tc>
          <w:tcPr>
            <w:tcW w:w="1185" w:type="dxa"/>
            <w:tcBorders>
              <w:top w:val="single" w:color="auto" w:sz="4" w:space="0"/>
              <w:left w:val="nil"/>
              <w:bottom w:val="single" w:color="auto" w:sz="4" w:space="0"/>
              <w:right w:val="single" w:color="auto" w:sz="4" w:space="0"/>
            </w:tcBorders>
            <w:vAlign w:val="top"/>
          </w:tcPr>
          <w:p>
            <w:pPr>
              <w:keepNext w:val="0"/>
              <w:keepLines w:val="0"/>
              <w:suppressLineNumbers w:val="0"/>
              <w:spacing w:before="0" w:beforeAutospacing="0" w:after="0" w:afterAutospacing="0" w:line="240" w:lineRule="exact"/>
              <w:ind w:left="0" w:right="0"/>
              <w:rPr>
                <w:rFonts w:hint="default" w:ascii="宋体" w:hAnsi="宋体" w:eastAsia="宋体" w:cs="Times New Roman"/>
                <w:color w:val="auto"/>
                <w:szCs w:val="21"/>
                <w:highlight w:val="none"/>
              </w:rPr>
            </w:pPr>
          </w:p>
        </w:tc>
        <w:tc>
          <w:tcPr>
            <w:tcW w:w="1386"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240" w:lineRule="exact"/>
              <w:ind w:left="0" w:right="0"/>
              <w:rPr>
                <w:rFonts w:hint="default" w:ascii="宋体" w:hAnsi="宋体" w:eastAsia="宋体" w:cs="Times New Roman"/>
                <w:color w:val="auto"/>
                <w:szCs w:val="21"/>
                <w:highlight w:val="none"/>
              </w:rPr>
            </w:pPr>
          </w:p>
        </w:tc>
        <w:tc>
          <w:tcPr>
            <w:tcW w:w="1128" w:type="dxa"/>
            <w:tcBorders>
              <w:top w:val="single" w:color="auto" w:sz="4" w:space="0"/>
              <w:left w:val="nil"/>
              <w:bottom w:val="single" w:color="auto" w:sz="4" w:space="0"/>
              <w:right w:val="single" w:color="auto" w:sz="4" w:space="0"/>
            </w:tcBorders>
            <w:vAlign w:val="top"/>
          </w:tcPr>
          <w:p>
            <w:pPr>
              <w:keepNext w:val="0"/>
              <w:keepLines w:val="0"/>
              <w:suppressLineNumbers w:val="0"/>
              <w:spacing w:before="0" w:beforeAutospacing="0" w:after="0" w:afterAutospacing="0" w:line="240" w:lineRule="exact"/>
              <w:ind w:left="0" w:right="0"/>
              <w:rPr>
                <w:rFonts w:hint="default" w:ascii="Calibri" w:hAnsi="Calibri" w:eastAsia="宋体" w:cs="Times New Roman"/>
                <w:color w:val="auto"/>
                <w:highlight w:val="none"/>
              </w:rPr>
            </w:pPr>
          </w:p>
        </w:tc>
        <w:tc>
          <w:tcPr>
            <w:tcW w:w="1095" w:type="dxa"/>
            <w:tcBorders>
              <w:top w:val="single" w:color="auto" w:sz="4" w:space="0"/>
              <w:left w:val="nil"/>
              <w:bottom w:val="single" w:color="auto" w:sz="4" w:space="0"/>
              <w:right w:val="single" w:color="auto" w:sz="4" w:space="0"/>
            </w:tcBorders>
            <w:vAlign w:val="top"/>
          </w:tcPr>
          <w:p>
            <w:pPr>
              <w:keepNext w:val="0"/>
              <w:keepLines w:val="0"/>
              <w:suppressLineNumbers w:val="0"/>
              <w:spacing w:before="0" w:beforeAutospacing="0" w:after="0" w:afterAutospacing="0" w:line="240" w:lineRule="exact"/>
              <w:ind w:left="0" w:right="0"/>
              <w:rPr>
                <w:rFonts w:hint="default" w:ascii="宋体" w:hAnsi="宋体" w:eastAsia="宋体" w:cs="Times New Roman"/>
                <w:color w:val="auto"/>
                <w:szCs w:val="21"/>
                <w:highlight w:val="none"/>
              </w:rPr>
            </w:pPr>
          </w:p>
        </w:tc>
        <w:tc>
          <w:tcPr>
            <w:tcW w:w="1142" w:type="dxa"/>
            <w:tcBorders>
              <w:top w:val="single" w:color="auto" w:sz="4" w:space="0"/>
              <w:left w:val="nil"/>
              <w:bottom w:val="single" w:color="auto" w:sz="4" w:space="0"/>
              <w:right w:val="single" w:color="auto" w:sz="4" w:space="0"/>
            </w:tcBorders>
            <w:vAlign w:val="top"/>
          </w:tcPr>
          <w:p>
            <w:pPr>
              <w:keepNext w:val="0"/>
              <w:keepLines w:val="0"/>
              <w:suppressLineNumbers w:val="0"/>
              <w:spacing w:before="0" w:beforeAutospacing="0" w:after="0" w:afterAutospacing="0" w:line="240" w:lineRule="exact"/>
              <w:ind w:left="0" w:right="0"/>
              <w:rPr>
                <w:rFonts w:hint="default" w:ascii="宋体" w:hAnsi="宋体" w:eastAsia="宋体" w:cs="Times New Roman"/>
                <w:color w:val="auto"/>
                <w:szCs w:val="21"/>
                <w:highlight w:val="none"/>
              </w:rPr>
            </w:pPr>
          </w:p>
        </w:tc>
        <w:tc>
          <w:tcPr>
            <w:tcW w:w="1111" w:type="dxa"/>
            <w:tcBorders>
              <w:top w:val="single" w:color="auto" w:sz="4" w:space="0"/>
              <w:left w:val="nil"/>
              <w:bottom w:val="single" w:color="auto" w:sz="4" w:space="0"/>
              <w:right w:val="single" w:color="auto" w:sz="4" w:space="0"/>
            </w:tcBorders>
            <w:vAlign w:val="top"/>
          </w:tcPr>
          <w:p>
            <w:pPr>
              <w:keepNext w:val="0"/>
              <w:keepLines w:val="0"/>
              <w:suppressLineNumbers w:val="0"/>
              <w:spacing w:before="0" w:beforeAutospacing="0" w:after="0" w:afterAutospacing="0" w:line="240" w:lineRule="exact"/>
              <w:ind w:left="0" w:right="0"/>
              <w:rPr>
                <w:rFonts w:hint="default" w:ascii="Calibri" w:hAnsi="Calibri" w:eastAsia="宋体" w:cs="Times New Roman"/>
                <w:color w:val="auto"/>
                <w:highlight w:val="none"/>
              </w:rPr>
            </w:pPr>
          </w:p>
        </w:tc>
        <w:tc>
          <w:tcPr>
            <w:tcW w:w="1068"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240" w:lineRule="exact"/>
              <w:ind w:left="0" w:right="0"/>
              <w:rPr>
                <w:rFonts w:hint="default" w:ascii="Calibri" w:hAnsi="Calibri" w:eastAsia="宋体" w:cs="Times New Roman"/>
                <w:color w:val="auto"/>
                <w:highlight w:val="none"/>
              </w:rPr>
            </w:pPr>
          </w:p>
        </w:tc>
        <w:tc>
          <w:tcPr>
            <w:tcW w:w="971" w:type="dxa"/>
            <w:tcBorders>
              <w:top w:val="single" w:color="auto" w:sz="4" w:space="0"/>
              <w:left w:val="nil"/>
              <w:bottom w:val="single" w:color="auto" w:sz="4" w:space="0"/>
              <w:right w:val="single" w:color="auto" w:sz="4" w:space="0"/>
            </w:tcBorders>
            <w:vAlign w:val="top"/>
          </w:tcPr>
          <w:p>
            <w:pPr>
              <w:keepNext w:val="0"/>
              <w:keepLines w:val="0"/>
              <w:suppressLineNumbers w:val="0"/>
              <w:spacing w:before="0" w:beforeAutospacing="0" w:after="0" w:afterAutospacing="0" w:line="240" w:lineRule="exact"/>
              <w:ind w:left="0" w:right="0"/>
              <w:rPr>
                <w:rFonts w:hint="default" w:ascii="宋体" w:hAnsi="宋体" w:eastAsia="宋体" w:cs="Times New Roman"/>
                <w:color w:val="auto"/>
                <w:szCs w:val="21"/>
                <w:highlight w:val="none"/>
              </w:rPr>
            </w:pPr>
          </w:p>
        </w:tc>
      </w:tr>
    </w:tbl>
    <w:p>
      <w:pPr>
        <w:adjustRightInd w:val="0"/>
        <w:snapToGrid w:val="0"/>
        <w:spacing w:line="360" w:lineRule="auto"/>
        <w:ind w:firstLine="436" w:firstLineChars="200"/>
        <w:rPr>
          <w:rFonts w:ascii="宋体" w:hAnsi="宋体" w:eastAsia="宋体" w:cs="Times New Roman"/>
          <w:color w:val="auto"/>
          <w:szCs w:val="21"/>
          <w:highlight w:val="none"/>
        </w:rPr>
      </w:pPr>
      <w:r>
        <w:rPr>
          <w:rFonts w:hint="eastAsia" w:ascii="宋体" w:hAnsi="宋体" w:eastAsia="宋体" w:cs="Times New Roman"/>
          <w:snapToGrid w:val="0"/>
          <w:color w:val="auto"/>
          <w:spacing w:val="4"/>
          <w:kern w:val="0"/>
          <w:szCs w:val="21"/>
          <w:highlight w:val="none"/>
        </w:rPr>
        <w:t>注：</w:t>
      </w:r>
      <w:r>
        <w:rPr>
          <w:rFonts w:ascii="宋体" w:hAnsi="宋体" w:eastAsia="宋体" w:cs="Times New Roman"/>
          <w:color w:val="auto"/>
          <w:szCs w:val="21"/>
          <w:highlight w:val="none"/>
        </w:rPr>
        <w:t>1、经算术复核的投标人报价与其投标报价不一致时，按就低不就高原则确定其最终报价。如修正后的投标报价超出相应的最高投标限价，则由评标委员会</w:t>
      </w:r>
      <w:r>
        <w:rPr>
          <w:rFonts w:hint="eastAsia" w:ascii="宋体" w:hAnsi="宋体" w:eastAsia="宋体" w:cs="Times New Roman"/>
          <w:color w:val="auto"/>
          <w:szCs w:val="21"/>
          <w:highlight w:val="none"/>
        </w:rPr>
        <w:t>否决其投标</w:t>
      </w:r>
      <w:r>
        <w:rPr>
          <w:rFonts w:ascii="宋体" w:hAnsi="宋体" w:eastAsia="宋体" w:cs="Times New Roman"/>
          <w:color w:val="auto"/>
          <w:szCs w:val="21"/>
          <w:highlight w:val="none"/>
        </w:rPr>
        <w:t>。</w:t>
      </w:r>
    </w:p>
    <w:p>
      <w:pPr>
        <w:topLinePunct/>
        <w:adjustRightInd w:val="0"/>
        <w:snapToGrid w:val="0"/>
        <w:spacing w:line="360" w:lineRule="auto"/>
        <w:ind w:firstLine="436" w:firstLineChars="200"/>
        <w:rPr>
          <w:rFonts w:ascii="宋体" w:hAnsi="宋体" w:eastAsia="宋体" w:cs="Times New Roman"/>
          <w:snapToGrid w:val="0"/>
          <w:color w:val="auto"/>
          <w:spacing w:val="4"/>
          <w:kern w:val="0"/>
          <w:szCs w:val="21"/>
          <w:highlight w:val="none"/>
        </w:rPr>
      </w:pPr>
      <w:r>
        <w:rPr>
          <w:rFonts w:ascii="宋体" w:hAnsi="宋体" w:eastAsia="宋体" w:cs="Times New Roman"/>
          <w:snapToGrid w:val="0"/>
          <w:color w:val="auto"/>
          <w:spacing w:val="4"/>
          <w:kern w:val="0"/>
          <w:szCs w:val="21"/>
          <w:highlight w:val="none"/>
        </w:rPr>
        <w:t>2、该表由评标委员会填写，投标人不需提交。</w:t>
      </w:r>
    </w:p>
    <w:p>
      <w:pPr>
        <w:widowControl w:val="0"/>
        <w:ind w:firstLine="210" w:firstLineChars="100"/>
        <w:jc w:val="both"/>
        <w:rPr>
          <w:rFonts w:ascii="Times New Roman" w:hAnsi="Times New Roman" w:eastAsia="宋体" w:cs="Times New Roman"/>
          <w:color w:val="auto"/>
          <w:kern w:val="2"/>
          <w:sz w:val="20"/>
          <w:szCs w:val="20"/>
          <w:highlight w:val="none"/>
          <w:lang w:val="en-US" w:eastAsia="zh-CN" w:bidi="ar-SA"/>
        </w:rPr>
        <w:sectPr>
          <w:footerReference r:id="rId13" w:type="default"/>
          <w:pgSz w:w="16838" w:h="11906" w:orient="landscape"/>
          <w:pgMar w:top="1440" w:right="1440" w:bottom="1466" w:left="1440" w:header="851" w:footer="992" w:gutter="0"/>
          <w:pgBorders>
            <w:top w:val="none" w:sz="0" w:space="0"/>
            <w:left w:val="none" w:sz="0" w:space="0"/>
            <w:bottom w:val="none" w:sz="0" w:space="0"/>
            <w:right w:val="none" w:sz="0" w:space="0"/>
          </w:pgBorders>
          <w:cols w:space="720" w:num="1"/>
          <w:docGrid w:type="linesAndChars" w:linePitch="312" w:charSpace="0"/>
        </w:sectPr>
      </w:pPr>
      <w:r>
        <w:rPr>
          <w:rFonts w:hint="eastAsia" w:ascii="宋体" w:hAnsi="宋体" w:eastAsia="宋体" w:cs="Times New Roman"/>
          <w:color w:val="auto"/>
          <w:highlight w:val="none"/>
        </w:rPr>
        <w:t>评委签名：</w:t>
      </w:r>
      <w:r>
        <w:rPr>
          <w:rFonts w:ascii="宋体" w:hAnsi="宋体" w:eastAsia="宋体" w:cs="Times New Roman"/>
          <w:color w:val="auto"/>
          <w:highlight w:val="none"/>
        </w:rPr>
        <w:t xml:space="preserve">                                             </w:t>
      </w:r>
      <w:r>
        <w:rPr>
          <w:rFonts w:hint="eastAsia" w:ascii="宋体" w:hAnsi="宋体" w:eastAsia="宋体" w:cs="Times New Roman"/>
          <w:color w:val="auto"/>
          <w:highlight w:val="none"/>
        </w:rPr>
        <w:t>日期：</w:t>
      </w:r>
    </w:p>
    <w:p>
      <w:pPr>
        <w:outlineLvl w:val="1"/>
        <w:rPr>
          <w:rFonts w:ascii="宋体" w:hAnsi="宋体" w:eastAsia="宋体" w:cs="Times New Roman"/>
          <w:b/>
          <w:bCs/>
          <w:color w:val="auto"/>
          <w:kern w:val="44"/>
          <w:sz w:val="21"/>
          <w:szCs w:val="21"/>
          <w:highlight w:val="none"/>
          <w:lang w:val="en-US" w:eastAsia="zh-CN" w:bidi="ar-SA"/>
        </w:rPr>
      </w:pPr>
      <w:bookmarkStart w:id="66" w:name="_Toc12414"/>
      <w:r>
        <w:rPr>
          <w:rFonts w:hint="eastAsia" w:ascii="宋体" w:hAnsi="宋体" w:eastAsia="宋体" w:cs="Times New Roman"/>
          <w:b/>
          <w:bCs/>
          <w:color w:val="auto"/>
          <w:kern w:val="44"/>
          <w:sz w:val="21"/>
          <w:szCs w:val="21"/>
          <w:highlight w:val="none"/>
          <w:lang w:val="en-US" w:eastAsia="zh-CN" w:bidi="ar-SA"/>
        </w:rPr>
        <w:t>附录</w:t>
      </w:r>
      <w:r>
        <w:rPr>
          <w:rFonts w:ascii="宋体" w:hAnsi="宋体" w:eastAsia="宋体" w:cs="Times New Roman"/>
          <w:b/>
          <w:bCs/>
          <w:color w:val="auto"/>
          <w:kern w:val="44"/>
          <w:sz w:val="21"/>
          <w:szCs w:val="21"/>
          <w:highlight w:val="none"/>
          <w:lang w:val="en-US" w:eastAsia="zh-CN" w:bidi="ar-SA"/>
        </w:rPr>
        <w:t>1</w:t>
      </w:r>
      <w:r>
        <w:rPr>
          <w:rFonts w:hint="eastAsia" w:ascii="宋体" w:hAnsi="宋体" w:eastAsia="宋体" w:cs="Times New Roman"/>
          <w:b/>
          <w:bCs/>
          <w:color w:val="auto"/>
          <w:kern w:val="44"/>
          <w:sz w:val="21"/>
          <w:szCs w:val="21"/>
          <w:highlight w:val="none"/>
          <w:lang w:val="en-US" w:eastAsia="zh-CN" w:bidi="ar-SA"/>
        </w:rPr>
        <w:t>3</w:t>
      </w:r>
      <w:r>
        <w:rPr>
          <w:rFonts w:ascii="宋体" w:hAnsi="宋体" w:eastAsia="宋体" w:cs="Times New Roman"/>
          <w:b/>
          <w:bCs/>
          <w:color w:val="auto"/>
          <w:kern w:val="44"/>
          <w:sz w:val="21"/>
          <w:szCs w:val="21"/>
          <w:highlight w:val="none"/>
          <w:lang w:val="en-US" w:eastAsia="zh-CN" w:bidi="ar-SA"/>
        </w:rPr>
        <w:t xml:space="preserve"> </w:t>
      </w:r>
      <w:r>
        <w:rPr>
          <w:rFonts w:hint="eastAsia" w:ascii="宋体" w:hAnsi="宋体" w:eastAsia="宋体" w:cs="Times New Roman"/>
          <w:b/>
          <w:bCs/>
          <w:color w:val="auto"/>
          <w:kern w:val="44"/>
          <w:sz w:val="21"/>
          <w:szCs w:val="21"/>
          <w:highlight w:val="none"/>
          <w:lang w:val="en-US" w:eastAsia="zh-CN" w:bidi="ar-SA"/>
        </w:rPr>
        <w:t>定标委员会的组成</w:t>
      </w:r>
      <w:bookmarkEnd w:id="66"/>
    </w:p>
    <w:p>
      <w:pPr>
        <w:spacing w:line="560" w:lineRule="exact"/>
        <w:jc w:val="center"/>
        <w:rPr>
          <w:rFonts w:ascii="方正楷体_GBK" w:hAnsi="仿宋" w:eastAsia="方正楷体_GBK" w:cs="宋体"/>
          <w:color w:val="auto"/>
          <w:sz w:val="32"/>
          <w:szCs w:val="32"/>
          <w:highlight w:val="none"/>
        </w:rPr>
      </w:pPr>
      <w:r>
        <w:rPr>
          <w:rFonts w:hint="eastAsia" w:ascii="宋体" w:hAnsi="宋体" w:eastAsia="宋体" w:cs="Times New Roman"/>
          <w:b/>
          <w:color w:val="auto"/>
          <w:sz w:val="32"/>
          <w:highlight w:val="none"/>
        </w:rPr>
        <w:t>定标委员会的组成</w:t>
      </w:r>
    </w:p>
    <w:p>
      <w:pPr>
        <w:widowControl/>
        <w:snapToGrid w:val="0"/>
        <w:spacing w:before="0" w:beforeAutospacing="0" w:after="0" w:afterAutospacing="0" w:line="360" w:lineRule="auto"/>
        <w:ind w:firstLine="464" w:firstLineChars="202"/>
        <w:jc w:val="left"/>
        <w:rPr>
          <w:rFonts w:ascii="宋体" w:hAnsi="宋体" w:eastAsia="宋体" w:cs="Times New Roman"/>
          <w:color w:val="auto"/>
          <w:kern w:val="0"/>
          <w:sz w:val="21"/>
          <w:szCs w:val="21"/>
          <w:highlight w:val="none"/>
          <w:shd w:val="clear" w:color="auto" w:fill="FFFFFF"/>
          <w:lang w:val="en-US" w:eastAsia="zh-CN" w:bidi="ar-SA"/>
        </w:rPr>
      </w:pPr>
    </w:p>
    <w:p>
      <w:pPr>
        <w:widowControl/>
        <w:snapToGrid w:val="0"/>
        <w:spacing w:before="0" w:beforeAutospacing="0" w:after="0" w:afterAutospacing="0" w:line="360" w:lineRule="auto"/>
        <w:ind w:firstLine="520" w:firstLineChars="200"/>
        <w:jc w:val="left"/>
        <w:rPr>
          <w:rFonts w:ascii="宋体" w:hAnsi="宋体" w:eastAsia="宋体" w:cs="宋体"/>
          <w:color w:val="auto"/>
          <w:kern w:val="0"/>
          <w:sz w:val="24"/>
          <w:szCs w:val="24"/>
          <w:highlight w:val="none"/>
          <w:u w:val="single"/>
          <w:shd w:val="clear" w:color="auto" w:fill="FFFFFF"/>
          <w:lang w:val="en-US" w:eastAsia="zh-CN" w:bidi="ar-SA"/>
        </w:rPr>
      </w:pPr>
      <w:r>
        <w:rPr>
          <w:rFonts w:ascii="宋体" w:hAnsi="宋体" w:eastAsia="宋体" w:cs="宋体"/>
          <w:color w:val="auto"/>
          <w:kern w:val="0"/>
          <w:sz w:val="24"/>
          <w:szCs w:val="24"/>
          <w:highlight w:val="none"/>
          <w:u w:val="single"/>
          <w:shd w:val="clear" w:color="auto" w:fill="FFFFFF"/>
          <w:lang w:val="en-US" w:eastAsia="zh-CN" w:bidi="ar-SA"/>
        </w:rPr>
        <w:t>1、定标委员会</w:t>
      </w:r>
    </w:p>
    <w:p>
      <w:pPr>
        <w:widowControl/>
        <w:snapToGrid w:val="0"/>
        <w:spacing w:before="0" w:beforeAutospacing="0" w:after="0" w:afterAutospacing="0" w:line="360" w:lineRule="auto"/>
        <w:ind w:firstLine="520" w:firstLineChars="200"/>
        <w:jc w:val="left"/>
        <w:rPr>
          <w:rFonts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u w:val="single"/>
          <w:shd w:val="clear" w:color="auto" w:fill="FFFFFF"/>
          <w:lang w:val="en-US" w:eastAsia="zh-CN" w:bidi="ar-SA"/>
        </w:rPr>
        <w:t>定标委员会由招标人依法组建。</w:t>
      </w:r>
    </w:p>
    <w:p>
      <w:pPr>
        <w:widowControl/>
        <w:snapToGrid w:val="0"/>
        <w:spacing w:before="0" w:beforeAutospacing="0" w:after="0" w:afterAutospacing="0" w:line="360" w:lineRule="auto"/>
        <w:ind w:firstLine="524" w:firstLineChars="202"/>
        <w:jc w:val="left"/>
        <w:rPr>
          <w:rFonts w:ascii="宋体" w:hAnsi="宋体" w:eastAsia="宋体" w:cs="宋体"/>
          <w:color w:val="auto"/>
          <w:kern w:val="0"/>
          <w:sz w:val="24"/>
          <w:szCs w:val="24"/>
          <w:highlight w:val="none"/>
          <w:u w:val="single"/>
          <w:shd w:val="clear" w:color="auto" w:fill="FFFFFF"/>
          <w:lang w:val="en-US" w:eastAsia="zh-CN" w:bidi="ar-SA"/>
        </w:rPr>
      </w:pPr>
      <w:r>
        <w:rPr>
          <w:rFonts w:ascii="宋体" w:hAnsi="宋体" w:eastAsia="宋体" w:cs="宋体"/>
          <w:color w:val="auto"/>
          <w:kern w:val="0"/>
          <w:sz w:val="24"/>
          <w:szCs w:val="24"/>
          <w:highlight w:val="none"/>
          <w:u w:val="single"/>
          <w:shd w:val="clear" w:color="auto" w:fill="FFFFFF"/>
          <w:lang w:val="en-US" w:eastAsia="zh-CN" w:bidi="ar-SA"/>
        </w:rPr>
        <w:t>2</w:t>
      </w:r>
      <w:r>
        <w:rPr>
          <w:rFonts w:hint="eastAsia" w:ascii="宋体" w:hAnsi="宋体" w:eastAsia="宋体" w:cs="宋体"/>
          <w:color w:val="auto"/>
          <w:kern w:val="0"/>
          <w:sz w:val="24"/>
          <w:szCs w:val="24"/>
          <w:highlight w:val="none"/>
          <w:u w:val="single"/>
          <w:shd w:val="clear" w:color="auto" w:fill="FFFFFF"/>
          <w:lang w:val="en-US" w:eastAsia="zh-CN" w:bidi="ar-SA"/>
        </w:rPr>
        <w:t>、定标会召开的时间地点：</w:t>
      </w:r>
    </w:p>
    <w:p>
      <w:pPr>
        <w:widowControl/>
        <w:snapToGrid w:val="0"/>
        <w:spacing w:before="0" w:beforeAutospacing="0" w:after="0" w:afterAutospacing="0" w:line="360" w:lineRule="auto"/>
        <w:ind w:firstLine="524" w:firstLineChars="202"/>
        <w:jc w:val="left"/>
        <w:rPr>
          <w:rFonts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u w:val="single"/>
          <w:shd w:val="clear" w:color="auto" w:fill="FFFFFF"/>
          <w:lang w:val="en-US" w:eastAsia="zh-CN" w:bidi="ar-SA"/>
        </w:rPr>
        <w:t>定标会召开时间在合格的中标候选人公示完成后</w:t>
      </w:r>
      <w:r>
        <w:rPr>
          <w:rFonts w:ascii="宋体" w:hAnsi="宋体" w:eastAsia="宋体" w:cs="宋体"/>
          <w:color w:val="auto"/>
          <w:kern w:val="0"/>
          <w:sz w:val="24"/>
          <w:szCs w:val="24"/>
          <w:highlight w:val="none"/>
          <w:u w:val="single"/>
          <w:shd w:val="clear" w:color="auto" w:fill="FFFFFF"/>
          <w:lang w:val="en-US" w:eastAsia="zh-CN" w:bidi="ar-SA"/>
        </w:rPr>
        <w:t>10个工作日内在</w:t>
      </w:r>
      <w:r>
        <w:rPr>
          <w:rFonts w:hint="eastAsia" w:ascii="宋体" w:hAnsi="宋体" w:eastAsia="宋体" w:cs="宋体"/>
          <w:color w:val="auto"/>
          <w:kern w:val="0"/>
          <w:sz w:val="24"/>
          <w:szCs w:val="24"/>
          <w:highlight w:val="none"/>
          <w:u w:val="single"/>
          <w:shd w:val="clear" w:color="auto" w:fill="FFFFFF"/>
          <w:lang w:val="en-US" w:eastAsia="zh-CN" w:bidi="ar-SA"/>
        </w:rPr>
        <w:t>指定的地点</w:t>
      </w:r>
      <w:r>
        <w:rPr>
          <w:rFonts w:ascii="宋体" w:hAnsi="宋体" w:eastAsia="宋体" w:cs="宋体"/>
          <w:color w:val="auto"/>
          <w:kern w:val="0"/>
          <w:sz w:val="24"/>
          <w:szCs w:val="24"/>
          <w:highlight w:val="none"/>
          <w:u w:val="single"/>
          <w:shd w:val="clear" w:color="auto" w:fill="FFFFFF"/>
          <w:lang w:val="en-US" w:eastAsia="zh-CN" w:bidi="ar-SA"/>
        </w:rPr>
        <w:t>举行</w:t>
      </w:r>
      <w:r>
        <w:rPr>
          <w:rFonts w:hint="eastAsia" w:ascii="宋体" w:hAnsi="宋体" w:eastAsia="宋体" w:cs="宋体"/>
          <w:color w:val="auto"/>
          <w:kern w:val="0"/>
          <w:sz w:val="24"/>
          <w:szCs w:val="24"/>
          <w:highlight w:val="none"/>
          <w:u w:val="single"/>
          <w:shd w:val="clear" w:color="auto" w:fill="FFFFFF"/>
          <w:lang w:val="en-US" w:eastAsia="zh-CN" w:bidi="ar-SA"/>
        </w:rPr>
        <w:t>（另行通知）</w:t>
      </w:r>
      <w:r>
        <w:rPr>
          <w:rFonts w:ascii="宋体" w:hAnsi="宋体" w:eastAsia="宋体" w:cs="宋体"/>
          <w:color w:val="auto"/>
          <w:kern w:val="0"/>
          <w:sz w:val="24"/>
          <w:szCs w:val="24"/>
          <w:highlight w:val="none"/>
          <w:u w:val="single"/>
          <w:shd w:val="clear" w:color="auto" w:fill="FFFFFF"/>
          <w:lang w:val="en-US" w:eastAsia="zh-CN" w:bidi="ar-SA"/>
        </w:rPr>
        <w:t>，定标会全程在广州公共资源交易中心见证人员见证下进行。</w:t>
      </w:r>
    </w:p>
    <w:p>
      <w:pPr>
        <w:rPr>
          <w:rFonts w:ascii="Calibri" w:hAnsi="Calibri" w:eastAsia="宋体" w:cs="Times New Roman"/>
          <w:color w:val="auto"/>
          <w:highlight w:val="none"/>
        </w:rPr>
      </w:pPr>
    </w:p>
    <w:p>
      <w:pPr>
        <w:rPr>
          <w:rFonts w:hint="eastAsia" w:eastAsiaTheme="minorEastAsia"/>
          <w:color w:val="auto"/>
          <w:highlight w:val="none"/>
          <w:lang w:val="en-US" w:eastAsia="zh-CN"/>
        </w:rPr>
        <w:sectPr>
          <w:pgSz w:w="11905" w:h="16838"/>
          <w:pgMar w:top="1440" w:right="1468" w:bottom="1440" w:left="1440" w:header="851" w:footer="992" w:gutter="0"/>
          <w:pgBorders>
            <w:top w:val="none" w:sz="0" w:space="0"/>
            <w:left w:val="none" w:sz="0" w:space="0"/>
            <w:bottom w:val="none" w:sz="0" w:space="0"/>
            <w:right w:val="none" w:sz="0" w:space="0"/>
          </w:pgBorders>
          <w:cols w:space="425" w:num="1"/>
          <w:rtlGutter w:val="0"/>
          <w:docGrid w:type="linesAndChars" w:linePitch="312" w:charSpace="4096"/>
        </w:sectPr>
      </w:pPr>
    </w:p>
    <w:p>
      <w:pPr>
        <w:outlineLvl w:val="1"/>
        <w:rPr>
          <w:rFonts w:ascii="宋体" w:hAnsi="宋体" w:eastAsia="宋体" w:cs="Times New Roman"/>
          <w:b/>
          <w:bCs/>
          <w:color w:val="auto"/>
          <w:kern w:val="44"/>
          <w:sz w:val="21"/>
          <w:szCs w:val="21"/>
          <w:highlight w:val="none"/>
          <w:lang w:val="en-US" w:eastAsia="zh-CN" w:bidi="ar-SA"/>
        </w:rPr>
      </w:pPr>
      <w:bookmarkStart w:id="67" w:name="_Toc6611"/>
      <w:r>
        <w:rPr>
          <w:rFonts w:hint="eastAsia" w:ascii="宋体" w:hAnsi="宋体" w:eastAsia="宋体" w:cs="Times New Roman"/>
          <w:b/>
          <w:bCs/>
          <w:color w:val="auto"/>
          <w:kern w:val="44"/>
          <w:sz w:val="21"/>
          <w:szCs w:val="21"/>
          <w:highlight w:val="none"/>
          <w:lang w:val="en-US" w:eastAsia="zh-CN" w:bidi="ar-SA"/>
        </w:rPr>
        <w:t>附录</w:t>
      </w:r>
      <w:r>
        <w:rPr>
          <w:rFonts w:ascii="宋体" w:hAnsi="宋体" w:eastAsia="宋体" w:cs="Times New Roman"/>
          <w:b/>
          <w:bCs/>
          <w:color w:val="auto"/>
          <w:kern w:val="44"/>
          <w:sz w:val="21"/>
          <w:szCs w:val="21"/>
          <w:highlight w:val="none"/>
          <w:lang w:val="en-US" w:eastAsia="zh-CN" w:bidi="ar-SA"/>
        </w:rPr>
        <w:t>1</w:t>
      </w:r>
      <w:r>
        <w:rPr>
          <w:rFonts w:hint="eastAsia" w:ascii="宋体" w:hAnsi="宋体" w:eastAsia="宋体" w:cs="Times New Roman"/>
          <w:b/>
          <w:bCs/>
          <w:color w:val="auto"/>
          <w:kern w:val="44"/>
          <w:sz w:val="21"/>
          <w:szCs w:val="21"/>
          <w:highlight w:val="none"/>
          <w:lang w:val="en-US" w:eastAsia="zh-CN" w:bidi="ar-SA"/>
        </w:rPr>
        <w:t>4</w:t>
      </w:r>
      <w:r>
        <w:rPr>
          <w:rFonts w:ascii="宋体" w:hAnsi="宋体" w:eastAsia="宋体" w:cs="Times New Roman"/>
          <w:b/>
          <w:bCs/>
          <w:color w:val="auto"/>
          <w:kern w:val="44"/>
          <w:sz w:val="21"/>
          <w:szCs w:val="21"/>
          <w:highlight w:val="none"/>
          <w:lang w:val="en-US" w:eastAsia="zh-CN" w:bidi="ar-SA"/>
        </w:rPr>
        <w:t xml:space="preserve"> </w:t>
      </w:r>
      <w:r>
        <w:rPr>
          <w:rFonts w:hint="eastAsia" w:ascii="宋体" w:hAnsi="宋体" w:eastAsia="宋体" w:cs="Times New Roman"/>
          <w:b/>
          <w:bCs/>
          <w:color w:val="auto"/>
          <w:kern w:val="44"/>
          <w:sz w:val="21"/>
          <w:szCs w:val="21"/>
          <w:highlight w:val="none"/>
          <w:lang w:val="en-US" w:eastAsia="zh-CN" w:bidi="ar-SA"/>
        </w:rPr>
        <w:t>定标原则</w:t>
      </w:r>
      <w:bookmarkEnd w:id="67"/>
    </w:p>
    <w:p>
      <w:pPr>
        <w:jc w:val="center"/>
        <w:rPr>
          <w:rFonts w:ascii="宋体" w:hAnsi="宋体" w:eastAsia="宋体" w:cs="Times New Roman"/>
          <w:b/>
          <w:color w:val="auto"/>
          <w:sz w:val="32"/>
          <w:highlight w:val="none"/>
        </w:rPr>
      </w:pPr>
      <w:r>
        <w:rPr>
          <w:rFonts w:hint="eastAsia" w:ascii="宋体" w:hAnsi="宋体" w:eastAsia="宋体" w:cs="Times New Roman"/>
          <w:b/>
          <w:color w:val="auto"/>
          <w:sz w:val="32"/>
          <w:highlight w:val="none"/>
        </w:rPr>
        <w:t>定标原则</w:t>
      </w:r>
    </w:p>
    <w:p>
      <w:pPr>
        <w:widowControl w:val="0"/>
        <w:spacing w:line="360" w:lineRule="auto"/>
        <w:ind w:firstLine="520" w:firstLineChars="200"/>
        <w:jc w:val="both"/>
        <w:rPr>
          <w:rFonts w:ascii="宋体" w:hAnsi="宋体" w:eastAsia="宋体" w:cs="宋体"/>
          <w:color w:val="auto"/>
          <w:kern w:val="0"/>
          <w:sz w:val="24"/>
          <w:szCs w:val="24"/>
          <w:highlight w:val="none"/>
          <w:u w:val="single"/>
          <w:shd w:val="clear" w:color="auto" w:fill="FFFFFF"/>
          <w:lang w:val="en-US" w:eastAsia="zh-CN" w:bidi="ar-SA"/>
        </w:rPr>
      </w:pPr>
      <w:r>
        <w:rPr>
          <w:rFonts w:ascii="宋体" w:hAnsi="宋体" w:eastAsia="宋体" w:cs="宋体"/>
          <w:color w:val="auto"/>
          <w:kern w:val="0"/>
          <w:sz w:val="24"/>
          <w:szCs w:val="24"/>
          <w:highlight w:val="none"/>
          <w:u w:val="single"/>
          <w:shd w:val="clear" w:color="auto" w:fill="FFFFFF"/>
          <w:lang w:val="en-US" w:eastAsia="zh-CN" w:bidi="ar-SA"/>
        </w:rPr>
        <w:t>1、本项目定标办法采用“记名投票+撰写评语”。定标委员会成员根据评标过程资料，对比合格的中标候选人的投标文件等情况，综合考虑各中标候选人的情况，根据</w:t>
      </w:r>
      <w:r>
        <w:rPr>
          <w:rFonts w:hint="eastAsia" w:ascii="宋体" w:hAnsi="宋体" w:eastAsia="宋体" w:cs="宋体"/>
          <w:color w:val="auto"/>
          <w:sz w:val="24"/>
          <w:szCs w:val="24"/>
          <w:highlight w:val="none"/>
          <w:u w:val="single"/>
          <w:shd w:val="clear" w:fill="FFFFFF"/>
          <w:lang w:val="en-US" w:eastAsia="zh-CN" w:bidi="ar"/>
        </w:rPr>
        <w:t>勘察设计工作方案评审因素</w:t>
      </w:r>
      <w:r>
        <w:rPr>
          <w:rFonts w:ascii="宋体" w:hAnsi="宋体" w:eastAsia="宋体" w:cs="宋体"/>
          <w:color w:val="auto"/>
          <w:kern w:val="0"/>
          <w:sz w:val="24"/>
          <w:szCs w:val="24"/>
          <w:highlight w:val="none"/>
          <w:u w:val="single"/>
          <w:shd w:val="clear" w:color="auto" w:fill="FFFFFF"/>
          <w:lang w:val="en-US" w:eastAsia="zh-CN" w:bidi="ar-SA"/>
        </w:rPr>
        <w:t>对各合格的中标候选人进行评审比较后，采用</w:t>
      </w:r>
      <w:r>
        <w:rPr>
          <w:rFonts w:hint="eastAsia" w:ascii="宋体" w:hAnsi="宋体" w:eastAsia="宋体" w:cs="宋体"/>
          <w:color w:val="auto"/>
          <w:kern w:val="0"/>
          <w:sz w:val="24"/>
          <w:szCs w:val="24"/>
          <w:highlight w:val="none"/>
          <w:u w:val="single"/>
          <w:shd w:val="clear" w:color="auto" w:fill="FFFFFF"/>
          <w:lang w:val="en-US" w:eastAsia="zh-CN" w:bidi="ar-SA"/>
        </w:rPr>
        <w:t>以差额选举逐轮淘汰投票计数法的“记名投票+撰写评语”方式确定方案优胜奖及投标经济补偿名单，</w:t>
      </w:r>
      <w:r>
        <w:rPr>
          <w:rFonts w:hint="eastAsia" w:ascii="宋体" w:hAnsi="宋体" w:eastAsia="宋体" w:cs="宋体"/>
          <w:color w:val="auto"/>
          <w:sz w:val="24"/>
          <w:szCs w:val="24"/>
          <w:highlight w:val="none"/>
          <w:u w:val="single"/>
          <w:shd w:val="clear" w:fill="FFFFFF"/>
          <w:lang w:val="en-US" w:eastAsia="zh-CN" w:bidi="ar"/>
        </w:rPr>
        <w:t>然后根据</w:t>
      </w:r>
      <w:r>
        <w:rPr>
          <w:rFonts w:hint="eastAsia" w:ascii="宋体" w:hAnsi="宋体" w:eastAsia="宋体" w:cs="宋体"/>
          <w:color w:val="auto"/>
          <w:sz w:val="24"/>
          <w:szCs w:val="24"/>
          <w:highlight w:val="none"/>
          <w:u w:val="single"/>
          <w:lang w:val="en-US" w:eastAsia="zh-CN" w:bidi="ar"/>
        </w:rPr>
        <w:t>定标因素</w:t>
      </w:r>
      <w:r>
        <w:rPr>
          <w:rFonts w:hint="eastAsia" w:ascii="宋体" w:hAnsi="宋体" w:eastAsia="宋体" w:cs="宋体"/>
          <w:color w:val="auto"/>
          <w:sz w:val="24"/>
          <w:szCs w:val="24"/>
          <w:highlight w:val="none"/>
          <w:u w:val="single"/>
          <w:shd w:val="clear" w:fill="FFFFFF"/>
          <w:lang w:val="en-US" w:eastAsia="zh-CN" w:bidi="ar"/>
        </w:rPr>
        <w:t>对各合格的中标候选人进行</w:t>
      </w:r>
      <w:r>
        <w:rPr>
          <w:rFonts w:hint="eastAsia" w:ascii="宋体" w:hAnsi="宋体" w:eastAsia="宋体" w:cs="宋体"/>
          <w:color w:val="auto"/>
          <w:sz w:val="24"/>
          <w:szCs w:val="24"/>
          <w:highlight w:val="none"/>
          <w:u w:val="single"/>
          <w:lang w:val="en-US" w:eastAsia="zh-CN" w:bidi="ar"/>
        </w:rPr>
        <w:t>综合</w:t>
      </w:r>
      <w:r>
        <w:rPr>
          <w:rFonts w:hint="eastAsia" w:ascii="宋体" w:hAnsi="宋体" w:eastAsia="宋体" w:cs="宋体"/>
          <w:color w:val="auto"/>
          <w:sz w:val="24"/>
          <w:szCs w:val="24"/>
          <w:highlight w:val="none"/>
          <w:u w:val="single"/>
          <w:shd w:val="clear" w:fill="FFFFFF"/>
          <w:lang w:val="en-US" w:eastAsia="zh-CN" w:bidi="ar"/>
        </w:rPr>
        <w:t>比较后，</w:t>
      </w:r>
      <w:r>
        <w:rPr>
          <w:rFonts w:hint="eastAsia" w:ascii="宋体" w:hAnsi="宋体" w:eastAsia="宋体" w:cs="宋体"/>
          <w:color w:val="auto"/>
          <w:kern w:val="0"/>
          <w:sz w:val="24"/>
          <w:szCs w:val="24"/>
          <w:highlight w:val="none"/>
          <w:u w:val="single"/>
          <w:shd w:val="clear" w:color="auto" w:fill="FFFFFF"/>
          <w:lang w:val="en-US" w:eastAsia="zh-CN" w:bidi="ar-SA"/>
        </w:rPr>
        <w:t>采用以差额选举逐轮淘汰投票计数法的“记名投票+撰写评语”方式确定中标人</w:t>
      </w:r>
      <w:r>
        <w:rPr>
          <w:rFonts w:ascii="宋体" w:hAnsi="宋体" w:eastAsia="宋体" w:cs="宋体"/>
          <w:color w:val="auto"/>
          <w:kern w:val="0"/>
          <w:sz w:val="24"/>
          <w:szCs w:val="24"/>
          <w:highlight w:val="none"/>
          <w:u w:val="single"/>
          <w:shd w:val="clear" w:color="auto" w:fill="FFFFFF"/>
          <w:lang w:val="en-US" w:eastAsia="zh-CN" w:bidi="ar-SA"/>
        </w:rPr>
        <w:t>。</w:t>
      </w:r>
    </w:p>
    <w:p>
      <w:pPr>
        <w:widowControl w:val="0"/>
        <w:spacing w:line="360" w:lineRule="auto"/>
        <w:ind w:firstLine="520" w:firstLineChars="200"/>
        <w:jc w:val="both"/>
        <w:rPr>
          <w:rFonts w:ascii="宋体" w:hAnsi="宋体" w:eastAsia="宋体" w:cs="宋体"/>
          <w:color w:val="auto"/>
          <w:kern w:val="0"/>
          <w:sz w:val="24"/>
          <w:szCs w:val="24"/>
          <w:highlight w:val="none"/>
          <w:u w:val="single"/>
          <w:shd w:val="clear" w:color="auto" w:fill="FFFFFF"/>
          <w:lang w:val="en-US" w:eastAsia="zh-CN" w:bidi="ar-SA"/>
        </w:rPr>
      </w:pPr>
      <w:r>
        <w:rPr>
          <w:rFonts w:ascii="宋体" w:hAnsi="宋体" w:eastAsia="宋体" w:cs="宋体"/>
          <w:color w:val="auto"/>
          <w:kern w:val="0"/>
          <w:sz w:val="24"/>
          <w:szCs w:val="24"/>
          <w:highlight w:val="none"/>
          <w:u w:val="single"/>
          <w:shd w:val="clear" w:color="auto" w:fill="FFFFFF"/>
          <w:lang w:val="en-US" w:eastAsia="zh-CN" w:bidi="ar-SA"/>
        </w:rPr>
        <w:t>2、定标细则</w:t>
      </w:r>
    </w:p>
    <w:p>
      <w:pPr>
        <w:widowControl w:val="0"/>
        <w:spacing w:line="360" w:lineRule="auto"/>
        <w:ind w:firstLine="520" w:firstLineChars="200"/>
        <w:jc w:val="both"/>
        <w:rPr>
          <w:rFonts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u w:val="single"/>
          <w:shd w:val="clear" w:color="auto" w:fill="FFFFFF"/>
          <w:lang w:val="en-US" w:eastAsia="zh-CN" w:bidi="ar-SA"/>
        </w:rPr>
        <w:t>（</w:t>
      </w:r>
      <w:r>
        <w:rPr>
          <w:rFonts w:ascii="宋体" w:hAnsi="宋体" w:eastAsia="宋体" w:cs="宋体"/>
          <w:color w:val="auto"/>
          <w:kern w:val="0"/>
          <w:sz w:val="24"/>
          <w:szCs w:val="24"/>
          <w:highlight w:val="none"/>
          <w:u w:val="single"/>
          <w:shd w:val="clear" w:color="auto" w:fill="FFFFFF"/>
          <w:lang w:val="en-US" w:eastAsia="zh-CN" w:bidi="ar-SA"/>
        </w:rPr>
        <w:t>1）定标委员会阅读评标委员会提交的评标报告及清标工作小组出具的清标报告。</w:t>
      </w:r>
    </w:p>
    <w:p>
      <w:pPr>
        <w:keepNext w:val="0"/>
        <w:keepLines w:val="0"/>
        <w:widowControl w:val="0"/>
        <w:suppressLineNumbers w:val="0"/>
        <w:spacing w:before="0" w:beforeAutospacing="0" w:after="0" w:afterAutospacing="0" w:line="360" w:lineRule="auto"/>
        <w:ind w:left="0" w:right="0" w:firstLine="520" w:firstLineChars="200"/>
        <w:jc w:val="both"/>
        <w:rPr>
          <w:rFonts w:hint="eastAsia" w:ascii="宋体" w:hAnsi="宋体" w:eastAsia="宋体" w:cs="宋体"/>
          <w:color w:val="auto"/>
          <w:kern w:val="0"/>
          <w:sz w:val="24"/>
          <w:szCs w:val="24"/>
          <w:highlight w:val="none"/>
          <w:u w:val="single"/>
          <w:shd w:val="clear" w:fill="FFFFFF"/>
        </w:rPr>
      </w:pPr>
      <w:r>
        <w:rPr>
          <w:rFonts w:hint="eastAsia" w:ascii="宋体" w:hAnsi="宋体" w:eastAsia="宋体" w:cs="宋体"/>
          <w:color w:val="auto"/>
          <w:kern w:val="0"/>
          <w:sz w:val="24"/>
          <w:szCs w:val="24"/>
          <w:highlight w:val="none"/>
          <w:u w:val="single"/>
          <w:shd w:val="clear" w:color="auto" w:fill="FFFFFF"/>
          <w:lang w:val="en-US" w:eastAsia="zh-CN" w:bidi="ar-SA"/>
        </w:rPr>
        <w:t>（2）</w:t>
      </w:r>
      <w:r>
        <w:rPr>
          <w:rFonts w:hint="eastAsia" w:ascii="宋体" w:hAnsi="宋体" w:eastAsia="宋体" w:cs="宋体"/>
          <w:color w:val="auto"/>
          <w:kern w:val="0"/>
          <w:sz w:val="24"/>
          <w:szCs w:val="24"/>
          <w:highlight w:val="none"/>
          <w:u w:val="single"/>
          <w:shd w:val="clear" w:fill="FFFFFF"/>
          <w:lang w:val="en-US" w:eastAsia="zh-CN" w:bidi="ar"/>
        </w:rPr>
        <w:t>定标委员会的定标评审工作，由定标监督小组成员及交易中心见证人员全程见证。</w:t>
      </w:r>
    </w:p>
    <w:p>
      <w:pPr>
        <w:keepNext w:val="0"/>
        <w:keepLines w:val="0"/>
        <w:widowControl w:val="0"/>
        <w:suppressLineNumbers w:val="0"/>
        <w:spacing w:before="0" w:beforeAutospacing="0" w:after="0" w:afterAutospacing="0" w:line="360" w:lineRule="auto"/>
        <w:ind w:left="0" w:right="0" w:firstLine="520" w:firstLineChars="200"/>
        <w:jc w:val="both"/>
        <w:rPr>
          <w:rFonts w:hint="eastAsia" w:ascii="宋体" w:hAnsi="宋体" w:eastAsia="宋体" w:cs="宋体"/>
          <w:color w:val="auto"/>
          <w:kern w:val="0"/>
          <w:sz w:val="24"/>
          <w:szCs w:val="24"/>
          <w:highlight w:val="none"/>
          <w:u w:val="single"/>
          <w:shd w:val="clear" w:fill="FFFFFF"/>
        </w:rPr>
      </w:pPr>
      <w:r>
        <w:rPr>
          <w:rFonts w:hint="eastAsia" w:ascii="宋体" w:hAnsi="宋体" w:eastAsia="宋体" w:cs="宋体"/>
          <w:color w:val="auto"/>
          <w:kern w:val="0"/>
          <w:sz w:val="24"/>
          <w:szCs w:val="24"/>
          <w:highlight w:val="none"/>
          <w:u w:val="single"/>
          <w:shd w:val="clear" w:fill="FFFFFF"/>
          <w:lang w:val="en-US" w:eastAsia="zh-CN" w:bidi="ar"/>
        </w:rPr>
        <w:t>1）中标候选人先进行答辩（含方案陈述及商务答辩），答辩要求如下：</w:t>
      </w:r>
    </w:p>
    <w:p>
      <w:pPr>
        <w:keepNext w:val="0"/>
        <w:keepLines w:val="0"/>
        <w:widowControl w:val="0"/>
        <w:suppressLineNumbers w:val="0"/>
        <w:spacing w:before="0" w:beforeAutospacing="0" w:after="0" w:afterAutospacing="0" w:line="360" w:lineRule="auto"/>
        <w:ind w:left="0" w:right="0" w:firstLine="520" w:firstLineChars="200"/>
        <w:jc w:val="both"/>
        <w:rPr>
          <w:rFonts w:hint="eastAsia" w:ascii="宋体" w:hAnsi="宋体" w:eastAsia="宋体" w:cs="宋体"/>
          <w:color w:val="auto"/>
          <w:kern w:val="0"/>
          <w:sz w:val="24"/>
          <w:szCs w:val="24"/>
          <w:highlight w:val="none"/>
          <w:u w:val="single"/>
          <w:shd w:val="clear" w:fill="FFFFFF"/>
        </w:rPr>
      </w:pPr>
      <w:r>
        <w:rPr>
          <w:rFonts w:hint="default" w:ascii="微软雅黑" w:hAnsi="微软雅黑" w:eastAsia="微软雅黑" w:cs="微软雅黑"/>
          <w:color w:val="auto"/>
          <w:kern w:val="0"/>
          <w:sz w:val="24"/>
          <w:szCs w:val="24"/>
          <w:highlight w:val="none"/>
          <w:u w:val="single"/>
          <w:shd w:val="clear" w:fill="FFFFFF"/>
          <w:lang w:val="en-US" w:eastAsia="zh-CN" w:bidi="ar"/>
        </w:rPr>
        <w:t>①</w:t>
      </w:r>
      <w:r>
        <w:rPr>
          <w:rFonts w:hint="eastAsia" w:ascii="宋体" w:hAnsi="宋体" w:eastAsia="宋体" w:cs="宋体"/>
          <w:color w:val="auto"/>
          <w:kern w:val="0"/>
          <w:sz w:val="24"/>
          <w:szCs w:val="24"/>
          <w:highlight w:val="none"/>
          <w:u w:val="single"/>
          <w:shd w:val="clear" w:fill="FFFFFF"/>
          <w:lang w:val="en-US" w:eastAsia="zh-CN" w:bidi="ar"/>
        </w:rPr>
        <w:t>答辩人员组成：由项目负责人、建筑专业负责人其中1人或2人组成</w:t>
      </w:r>
      <w:r>
        <w:rPr>
          <w:rFonts w:hint="default" w:ascii="宋体" w:hAnsi="宋体" w:eastAsia="宋体" w:cs="宋体"/>
          <w:color w:val="auto"/>
          <w:kern w:val="0"/>
          <w:sz w:val="24"/>
          <w:szCs w:val="24"/>
          <w:highlight w:val="none"/>
          <w:u w:val="single"/>
          <w:shd w:val="clear" w:fill="FFFFFF"/>
          <w:lang w:eastAsia="zh-CN" w:bidi="ar"/>
        </w:rPr>
        <w:t>（</w:t>
      </w:r>
      <w:r>
        <w:rPr>
          <w:rFonts w:hint="eastAsia" w:ascii="宋体" w:hAnsi="宋体" w:eastAsia="宋体" w:cs="宋体"/>
          <w:color w:val="auto"/>
          <w:kern w:val="0"/>
          <w:sz w:val="24"/>
          <w:szCs w:val="24"/>
          <w:highlight w:val="none"/>
          <w:u w:val="single"/>
          <w:shd w:val="clear" w:fill="FFFFFF"/>
          <w:lang w:val="en-US" w:eastAsia="zh-CN" w:bidi="ar"/>
        </w:rPr>
        <w:t>参与</w:t>
      </w:r>
      <w:r>
        <w:rPr>
          <w:rFonts w:hint="default" w:ascii="宋体" w:hAnsi="宋体" w:eastAsia="宋体" w:cs="宋体"/>
          <w:color w:val="auto"/>
          <w:kern w:val="0"/>
          <w:sz w:val="24"/>
          <w:szCs w:val="24"/>
          <w:highlight w:val="none"/>
          <w:u w:val="single"/>
          <w:shd w:val="clear" w:fill="FFFFFF"/>
          <w:lang w:eastAsia="zh-CN" w:bidi="ar"/>
        </w:rPr>
        <w:t>人员</w:t>
      </w:r>
      <w:r>
        <w:rPr>
          <w:rFonts w:hint="eastAsia" w:ascii="宋体" w:hAnsi="宋体" w:eastAsia="宋体" w:cs="宋体"/>
          <w:color w:val="auto"/>
          <w:kern w:val="0"/>
          <w:sz w:val="24"/>
          <w:szCs w:val="24"/>
          <w:highlight w:val="none"/>
          <w:u w:val="single"/>
          <w:shd w:val="clear" w:fill="FFFFFF"/>
          <w:lang w:val="en-US" w:eastAsia="zh-CN" w:bidi="ar"/>
        </w:rPr>
        <w:t>需</w:t>
      </w:r>
      <w:r>
        <w:rPr>
          <w:rFonts w:hint="default" w:ascii="宋体" w:hAnsi="宋体" w:eastAsia="宋体" w:cs="宋体"/>
          <w:color w:val="auto"/>
          <w:kern w:val="0"/>
          <w:sz w:val="24"/>
          <w:szCs w:val="24"/>
          <w:highlight w:val="none"/>
          <w:u w:val="single"/>
          <w:shd w:val="clear" w:fill="FFFFFF"/>
          <w:lang w:eastAsia="zh-CN" w:bidi="ar"/>
        </w:rPr>
        <w:t>提供投标截止时间</w:t>
      </w:r>
      <w:r>
        <w:rPr>
          <w:rFonts w:hint="eastAsia" w:ascii="宋体" w:hAnsi="宋体" w:eastAsia="宋体" w:cs="宋体"/>
          <w:color w:val="auto"/>
          <w:kern w:val="0"/>
          <w:sz w:val="24"/>
          <w:szCs w:val="24"/>
          <w:highlight w:val="none"/>
          <w:u w:val="single"/>
          <w:shd w:val="clear" w:fill="FFFFFF"/>
          <w:lang w:val="en-US" w:eastAsia="zh-CN" w:bidi="ar"/>
        </w:rPr>
        <w:t>近</w:t>
      </w:r>
      <w:r>
        <w:rPr>
          <w:rFonts w:hint="default" w:ascii="宋体" w:hAnsi="宋体" w:eastAsia="宋体" w:cs="宋体"/>
          <w:color w:val="auto"/>
          <w:kern w:val="0"/>
          <w:sz w:val="24"/>
          <w:szCs w:val="24"/>
          <w:highlight w:val="none"/>
          <w:u w:val="single"/>
          <w:shd w:val="clear" w:fill="FFFFFF"/>
          <w:lang w:eastAsia="zh-CN" w:bidi="ar"/>
        </w:rPr>
        <w:t>1个月（指</w:t>
      </w:r>
      <w:r>
        <w:rPr>
          <w:rFonts w:hint="eastAsia" w:ascii="宋体" w:hAnsi="宋体" w:eastAsia="宋体" w:cs="宋体"/>
          <w:color w:val="auto"/>
          <w:kern w:val="0"/>
          <w:sz w:val="24"/>
          <w:szCs w:val="24"/>
          <w:highlight w:val="none"/>
          <w:u w:val="single"/>
          <w:shd w:val="clear" w:fill="FFFFFF"/>
          <w:lang w:eastAsia="zh-CN" w:bidi="ar"/>
        </w:rPr>
        <w:t>2025年</w:t>
      </w:r>
      <w:r>
        <w:rPr>
          <w:rFonts w:hint="default" w:ascii="宋体" w:hAnsi="宋体" w:eastAsia="宋体" w:cs="宋体"/>
          <w:color w:val="auto"/>
          <w:kern w:val="0"/>
          <w:sz w:val="24"/>
          <w:szCs w:val="24"/>
          <w:highlight w:val="none"/>
          <w:u w:val="single"/>
          <w:shd w:val="clear" w:fill="FFFFFF"/>
          <w:lang w:eastAsia="zh-CN" w:bidi="ar"/>
        </w:rPr>
        <w:t>7</w:t>
      </w:r>
      <w:r>
        <w:rPr>
          <w:rFonts w:hint="eastAsia" w:ascii="宋体" w:hAnsi="宋体" w:eastAsia="宋体" w:cs="宋体"/>
          <w:color w:val="auto"/>
          <w:kern w:val="0"/>
          <w:sz w:val="24"/>
          <w:szCs w:val="24"/>
          <w:highlight w:val="none"/>
          <w:u w:val="single"/>
          <w:shd w:val="clear" w:fill="FFFFFF"/>
          <w:lang w:eastAsia="zh-CN" w:bidi="ar"/>
        </w:rPr>
        <w:t>月</w:t>
      </w:r>
      <w:r>
        <w:rPr>
          <w:rFonts w:hint="default" w:ascii="宋体" w:hAnsi="宋体" w:eastAsia="宋体" w:cs="宋体"/>
          <w:color w:val="auto"/>
          <w:kern w:val="0"/>
          <w:sz w:val="24"/>
          <w:szCs w:val="24"/>
          <w:highlight w:val="none"/>
          <w:u w:val="single"/>
          <w:shd w:val="clear" w:fill="FFFFFF"/>
          <w:lang w:eastAsia="zh-CN" w:bidi="ar"/>
        </w:rPr>
        <w:t>）在本投标单位购买社保缴纳证明材料；如为退休人员，应提供退休证明及单位聘用证明文件扫描件</w:t>
      </w:r>
      <w:r>
        <w:rPr>
          <w:rFonts w:hint="eastAsia" w:ascii="宋体" w:hAnsi="宋体" w:eastAsia="宋体" w:cs="宋体"/>
          <w:color w:val="auto"/>
          <w:kern w:val="0"/>
          <w:sz w:val="21"/>
          <w:szCs w:val="21"/>
          <w:highlight w:val="none"/>
          <w:u w:val="none"/>
          <w:shd w:val="clear" w:color="auto" w:fill="FFFFFF"/>
          <w:lang w:eastAsia="zh-CN" w:bidi="ar"/>
        </w:rPr>
        <w:t>；</w:t>
      </w:r>
      <w:r>
        <w:rPr>
          <w:rFonts w:hint="eastAsia" w:ascii="宋体" w:hAnsi="宋体" w:eastAsia="宋体" w:cs="宋体"/>
          <w:b/>
          <w:bCs/>
          <w:color w:val="auto"/>
          <w:kern w:val="0"/>
          <w:sz w:val="24"/>
          <w:szCs w:val="24"/>
          <w:highlight w:val="none"/>
          <w:u w:val="single"/>
          <w:shd w:val="clear" w:color="auto" w:fill="FFFFFF"/>
          <w:lang w:eastAsia="zh-CN" w:bidi="ar"/>
        </w:rPr>
        <w:t>如</w:t>
      </w:r>
      <w:r>
        <w:rPr>
          <w:rFonts w:hint="eastAsia" w:ascii="宋体" w:hAnsi="宋体" w:eastAsia="宋体" w:cs="宋体"/>
          <w:b/>
          <w:bCs/>
          <w:color w:val="auto"/>
          <w:kern w:val="0"/>
          <w:sz w:val="24"/>
          <w:szCs w:val="24"/>
          <w:highlight w:val="none"/>
          <w:u w:val="single"/>
          <w:shd w:val="clear" w:color="auto" w:fill="FFFFFF"/>
          <w:lang w:val="en-US" w:eastAsia="zh-CN" w:bidi="ar"/>
        </w:rPr>
        <w:t>为</w:t>
      </w:r>
      <w:r>
        <w:rPr>
          <w:rFonts w:hint="eastAsia" w:ascii="宋体" w:hAnsi="宋体" w:eastAsia="宋体" w:cs="宋体"/>
          <w:b/>
          <w:bCs/>
          <w:color w:val="auto"/>
          <w:kern w:val="0"/>
          <w:sz w:val="24"/>
          <w:szCs w:val="24"/>
          <w:highlight w:val="none"/>
          <w:u w:val="single"/>
          <w:shd w:val="clear" w:color="auto" w:fill="FFFFFF"/>
          <w:lang w:eastAsia="zh-CN" w:bidi="ar"/>
        </w:rPr>
        <w:t>高校从事工程</w:t>
      </w:r>
      <w:r>
        <w:rPr>
          <w:rFonts w:hint="eastAsia" w:ascii="宋体" w:hAnsi="宋体" w:eastAsia="宋体" w:cs="宋体"/>
          <w:b/>
          <w:bCs/>
          <w:color w:val="auto"/>
          <w:kern w:val="0"/>
          <w:sz w:val="24"/>
          <w:szCs w:val="24"/>
          <w:highlight w:val="none"/>
          <w:u w:val="single"/>
          <w:shd w:val="clear" w:color="auto" w:fill="FFFFFF"/>
          <w:lang w:val="en-US" w:eastAsia="zh-CN" w:bidi="ar"/>
        </w:rPr>
        <w:t>勘察</w:t>
      </w:r>
      <w:r>
        <w:rPr>
          <w:rFonts w:hint="eastAsia" w:ascii="宋体" w:hAnsi="宋体" w:eastAsia="宋体" w:cs="宋体"/>
          <w:b/>
          <w:bCs/>
          <w:color w:val="auto"/>
          <w:kern w:val="0"/>
          <w:sz w:val="24"/>
          <w:szCs w:val="24"/>
          <w:highlight w:val="none"/>
          <w:u w:val="single"/>
          <w:shd w:val="clear" w:color="auto" w:fill="FFFFFF"/>
          <w:lang w:eastAsia="zh-CN" w:bidi="ar"/>
        </w:rPr>
        <w:t>设计的人员社保缴纳单位与投标单位不一致的，除</w:t>
      </w:r>
      <w:r>
        <w:rPr>
          <w:rFonts w:hint="eastAsia" w:ascii="宋体" w:hAnsi="宋体" w:eastAsia="宋体" w:cs="宋体"/>
          <w:b/>
          <w:bCs/>
          <w:color w:val="auto"/>
          <w:kern w:val="0"/>
          <w:sz w:val="24"/>
          <w:szCs w:val="24"/>
          <w:highlight w:val="none"/>
          <w:u w:val="single"/>
          <w:shd w:val="clear" w:color="auto" w:fill="FFFFFF"/>
          <w:lang w:val="en-US" w:eastAsia="zh-CN" w:bidi="ar"/>
        </w:rPr>
        <w:t>需</w:t>
      </w:r>
      <w:r>
        <w:rPr>
          <w:rFonts w:hint="eastAsia" w:ascii="宋体" w:hAnsi="宋体" w:eastAsia="宋体" w:cs="宋体"/>
          <w:b/>
          <w:bCs/>
          <w:color w:val="auto"/>
          <w:kern w:val="0"/>
          <w:sz w:val="24"/>
          <w:szCs w:val="24"/>
          <w:highlight w:val="none"/>
          <w:u w:val="single"/>
          <w:shd w:val="clear" w:color="auto" w:fill="FFFFFF"/>
          <w:lang w:eastAsia="zh-CN" w:bidi="ar"/>
        </w:rPr>
        <w:t>提供社保</w:t>
      </w:r>
      <w:r>
        <w:rPr>
          <w:rFonts w:hint="eastAsia" w:ascii="宋体" w:hAnsi="宋体" w:eastAsia="宋体" w:cs="宋体"/>
          <w:b/>
          <w:bCs/>
          <w:color w:val="auto"/>
          <w:kern w:val="0"/>
          <w:sz w:val="24"/>
          <w:szCs w:val="24"/>
          <w:highlight w:val="none"/>
          <w:u w:val="single"/>
          <w:shd w:val="clear" w:color="auto" w:fill="FFFFFF"/>
          <w:lang w:val="en-US" w:eastAsia="zh-CN" w:bidi="ar"/>
        </w:rPr>
        <w:t>缴纳</w:t>
      </w:r>
      <w:r>
        <w:rPr>
          <w:rFonts w:hint="eastAsia" w:ascii="宋体" w:hAnsi="宋体" w:eastAsia="宋体" w:cs="宋体"/>
          <w:b/>
          <w:bCs/>
          <w:color w:val="auto"/>
          <w:kern w:val="0"/>
          <w:sz w:val="24"/>
          <w:szCs w:val="24"/>
          <w:highlight w:val="none"/>
          <w:u w:val="single"/>
          <w:shd w:val="clear" w:color="auto" w:fill="FFFFFF"/>
          <w:lang w:eastAsia="zh-CN" w:bidi="ar"/>
        </w:rPr>
        <w:t>证明</w:t>
      </w:r>
      <w:r>
        <w:rPr>
          <w:rFonts w:hint="eastAsia" w:ascii="宋体" w:hAnsi="宋体" w:eastAsia="宋体" w:cs="宋体"/>
          <w:b/>
          <w:bCs/>
          <w:color w:val="auto"/>
          <w:kern w:val="0"/>
          <w:sz w:val="24"/>
          <w:szCs w:val="24"/>
          <w:highlight w:val="none"/>
          <w:u w:val="single"/>
          <w:shd w:val="clear" w:color="auto" w:fill="FFFFFF"/>
          <w:lang w:val="en-US" w:eastAsia="zh-CN" w:bidi="ar"/>
        </w:rPr>
        <w:t>材料</w:t>
      </w:r>
      <w:r>
        <w:rPr>
          <w:rFonts w:hint="eastAsia" w:ascii="宋体" w:hAnsi="宋体" w:eastAsia="宋体" w:cs="宋体"/>
          <w:b/>
          <w:bCs/>
          <w:color w:val="auto"/>
          <w:kern w:val="0"/>
          <w:sz w:val="24"/>
          <w:szCs w:val="24"/>
          <w:highlight w:val="none"/>
          <w:u w:val="single"/>
          <w:shd w:val="clear" w:color="auto" w:fill="FFFFFF"/>
          <w:lang w:eastAsia="zh-CN" w:bidi="ar"/>
        </w:rPr>
        <w:t>扫描件，还需提供岗位所在单位上级人事主管部门出具的，人员为本校事业编制人员并在该企业工作</w:t>
      </w:r>
      <w:r>
        <w:rPr>
          <w:rFonts w:hint="eastAsia" w:ascii="宋体" w:hAnsi="宋体" w:eastAsia="宋体" w:cs="宋体"/>
          <w:b/>
          <w:bCs/>
          <w:color w:val="auto"/>
          <w:kern w:val="0"/>
          <w:sz w:val="24"/>
          <w:szCs w:val="24"/>
          <w:highlight w:val="none"/>
          <w:u w:val="single"/>
          <w:shd w:val="clear" w:color="auto" w:fill="FFFFFF"/>
          <w:lang w:val="en-US" w:eastAsia="zh-CN" w:bidi="ar"/>
        </w:rPr>
        <w:t>但</w:t>
      </w:r>
      <w:r>
        <w:rPr>
          <w:rFonts w:hint="eastAsia" w:ascii="宋体" w:hAnsi="宋体" w:eastAsia="宋体" w:cs="宋体"/>
          <w:b/>
          <w:bCs/>
          <w:color w:val="auto"/>
          <w:kern w:val="0"/>
          <w:sz w:val="24"/>
          <w:szCs w:val="24"/>
          <w:highlight w:val="none"/>
          <w:u w:val="single"/>
          <w:shd w:val="clear" w:color="auto" w:fill="FFFFFF"/>
          <w:lang w:eastAsia="zh-CN" w:bidi="ar"/>
        </w:rPr>
        <w:t>社保由高校统一缴纳的人事关系证明</w:t>
      </w:r>
      <w:r>
        <w:rPr>
          <w:rFonts w:hint="eastAsia" w:ascii="宋体" w:hAnsi="宋体" w:eastAsia="宋体" w:cs="宋体"/>
          <w:b/>
          <w:bCs/>
          <w:color w:val="auto"/>
          <w:kern w:val="0"/>
          <w:sz w:val="24"/>
          <w:szCs w:val="24"/>
          <w:highlight w:val="none"/>
          <w:u w:val="single"/>
          <w:shd w:val="clear" w:color="auto" w:fill="FFFFFF"/>
          <w:lang w:val="en-US" w:eastAsia="zh-CN" w:bidi="ar"/>
        </w:rPr>
        <w:t>文件</w:t>
      </w:r>
      <w:r>
        <w:rPr>
          <w:rFonts w:hint="eastAsia" w:ascii="宋体" w:hAnsi="宋体" w:eastAsia="宋体" w:cs="宋体"/>
          <w:b/>
          <w:bCs/>
          <w:color w:val="auto"/>
          <w:kern w:val="0"/>
          <w:sz w:val="24"/>
          <w:szCs w:val="24"/>
          <w:highlight w:val="none"/>
          <w:u w:val="single"/>
          <w:shd w:val="clear" w:color="auto" w:fill="FFFFFF"/>
          <w:lang w:eastAsia="zh-CN" w:bidi="ar"/>
        </w:rPr>
        <w:t>扫描件</w:t>
      </w:r>
      <w:r>
        <w:rPr>
          <w:rFonts w:hint="default" w:ascii="宋体" w:hAnsi="宋体" w:eastAsia="宋体" w:cs="宋体"/>
          <w:b/>
          <w:bCs/>
          <w:color w:val="auto"/>
          <w:kern w:val="0"/>
          <w:sz w:val="24"/>
          <w:szCs w:val="24"/>
          <w:highlight w:val="none"/>
          <w:u w:val="single"/>
          <w:shd w:val="clear" w:color="auto" w:fill="FFFFFF"/>
          <w:lang w:eastAsia="zh-CN" w:bidi="ar"/>
        </w:rPr>
        <w:t>。</w:t>
      </w:r>
      <w:r>
        <w:rPr>
          <w:rFonts w:hint="default" w:ascii="宋体" w:hAnsi="宋体" w:eastAsia="宋体" w:cs="宋体"/>
          <w:color w:val="auto"/>
          <w:kern w:val="0"/>
          <w:sz w:val="24"/>
          <w:szCs w:val="24"/>
          <w:highlight w:val="none"/>
          <w:u w:val="single"/>
          <w:shd w:val="clear" w:fill="FFFFFF"/>
          <w:lang w:eastAsia="zh-CN" w:bidi="ar"/>
        </w:rPr>
        <w:t>）</w:t>
      </w:r>
      <w:r>
        <w:rPr>
          <w:rFonts w:hint="eastAsia" w:ascii="宋体" w:hAnsi="宋体" w:eastAsia="宋体" w:cs="宋体"/>
          <w:color w:val="auto"/>
          <w:kern w:val="0"/>
          <w:sz w:val="24"/>
          <w:szCs w:val="24"/>
          <w:highlight w:val="none"/>
          <w:u w:val="single"/>
          <w:shd w:val="clear" w:fill="FFFFFF"/>
          <w:lang w:val="en-US" w:eastAsia="zh-CN" w:bidi="ar"/>
        </w:rPr>
        <w:t>。开标记录表的上投标人序号为答辩顺序号，具体答辩时间以招标人通知为准。</w:t>
      </w:r>
    </w:p>
    <w:p>
      <w:pPr>
        <w:keepNext w:val="0"/>
        <w:keepLines w:val="0"/>
        <w:widowControl w:val="0"/>
        <w:suppressLineNumbers w:val="0"/>
        <w:spacing w:before="0" w:beforeAutospacing="0" w:after="0" w:afterAutospacing="0" w:line="360" w:lineRule="auto"/>
        <w:ind w:left="0" w:right="0" w:firstLine="520" w:firstLineChars="200"/>
        <w:jc w:val="both"/>
        <w:rPr>
          <w:rFonts w:hint="eastAsia" w:ascii="宋体" w:hAnsi="宋体" w:eastAsia="宋体" w:cs="宋体"/>
          <w:color w:val="auto"/>
          <w:kern w:val="0"/>
          <w:sz w:val="24"/>
          <w:szCs w:val="24"/>
          <w:highlight w:val="none"/>
          <w:u w:val="single"/>
          <w:shd w:val="clear" w:fill="FFFFFF"/>
        </w:rPr>
      </w:pPr>
      <w:r>
        <w:rPr>
          <w:rFonts w:hint="default" w:ascii="微软雅黑" w:hAnsi="微软雅黑" w:eastAsia="微软雅黑" w:cs="微软雅黑"/>
          <w:color w:val="auto"/>
          <w:kern w:val="0"/>
          <w:sz w:val="24"/>
          <w:szCs w:val="24"/>
          <w:highlight w:val="none"/>
          <w:u w:val="single"/>
          <w:shd w:val="clear" w:fill="FFFFFF"/>
          <w:lang w:val="en-US" w:eastAsia="zh-CN" w:bidi="ar"/>
        </w:rPr>
        <w:t>②</w:t>
      </w:r>
      <w:r>
        <w:rPr>
          <w:rFonts w:hint="eastAsia" w:ascii="宋体" w:hAnsi="宋体" w:eastAsia="宋体" w:cs="宋体"/>
          <w:color w:val="auto"/>
          <w:kern w:val="0"/>
          <w:sz w:val="24"/>
          <w:szCs w:val="24"/>
          <w:highlight w:val="none"/>
          <w:u w:val="single"/>
          <w:shd w:val="clear" w:fill="FFFFFF"/>
          <w:lang w:val="en-US" w:eastAsia="zh-CN" w:bidi="ar"/>
        </w:rPr>
        <w:t>答辩人员的到场要求：合格的中标候选人在参加答辩时，应向招标人</w:t>
      </w:r>
      <w:r>
        <w:rPr>
          <w:rFonts w:hint="default" w:ascii="宋体" w:hAnsi="宋体" w:eastAsia="宋体" w:cs="宋体"/>
          <w:color w:val="auto"/>
          <w:kern w:val="0"/>
          <w:sz w:val="24"/>
          <w:szCs w:val="24"/>
          <w:highlight w:val="none"/>
          <w:u w:val="single"/>
          <w:shd w:val="clear" w:fill="FFFFFF"/>
          <w:lang w:eastAsia="zh-CN" w:bidi="ar"/>
        </w:rPr>
        <w:t>（</w:t>
      </w:r>
      <w:r>
        <w:rPr>
          <w:rFonts w:hint="eastAsia" w:ascii="宋体" w:hAnsi="宋体" w:eastAsia="宋体" w:cs="宋体"/>
          <w:color w:val="auto"/>
          <w:kern w:val="0"/>
          <w:sz w:val="24"/>
          <w:szCs w:val="24"/>
          <w:highlight w:val="none"/>
          <w:u w:val="single"/>
          <w:shd w:val="clear" w:fill="FFFFFF"/>
          <w:lang w:val="en-US" w:eastAsia="zh-CN" w:bidi="ar"/>
        </w:rPr>
        <w:t>招标代理</w:t>
      </w:r>
      <w:r>
        <w:rPr>
          <w:rFonts w:hint="default" w:ascii="宋体" w:hAnsi="宋体" w:eastAsia="宋体" w:cs="宋体"/>
          <w:color w:val="auto"/>
          <w:kern w:val="0"/>
          <w:sz w:val="24"/>
          <w:szCs w:val="24"/>
          <w:highlight w:val="none"/>
          <w:u w:val="single"/>
          <w:shd w:val="clear" w:fill="FFFFFF"/>
          <w:lang w:eastAsia="zh-CN" w:bidi="ar"/>
        </w:rPr>
        <w:t>）</w:t>
      </w:r>
      <w:r>
        <w:rPr>
          <w:rFonts w:hint="eastAsia" w:ascii="宋体" w:hAnsi="宋体" w:eastAsia="宋体" w:cs="宋体"/>
          <w:color w:val="auto"/>
          <w:kern w:val="0"/>
          <w:sz w:val="24"/>
          <w:szCs w:val="24"/>
          <w:highlight w:val="none"/>
          <w:u w:val="single"/>
          <w:shd w:val="clear" w:fill="FFFFFF"/>
          <w:lang w:val="en-US" w:eastAsia="zh-CN" w:bidi="ar"/>
        </w:rPr>
        <w:t>出示一份加盖公章的法定代表人证明书及授权委托书。由参与答辩的人员出示身份证原件，核对确认身份后签到。未能出示前述证明文件的单位不予参加答辩环节；</w:t>
      </w:r>
    </w:p>
    <w:p>
      <w:pPr>
        <w:keepNext w:val="0"/>
        <w:keepLines w:val="0"/>
        <w:widowControl w:val="0"/>
        <w:suppressLineNumbers w:val="0"/>
        <w:spacing w:before="0" w:beforeAutospacing="0" w:after="0" w:afterAutospacing="0" w:line="360" w:lineRule="auto"/>
        <w:ind w:left="0" w:right="0" w:firstLine="520" w:firstLineChars="200"/>
        <w:jc w:val="both"/>
        <w:rPr>
          <w:rFonts w:hint="eastAsia" w:ascii="宋体" w:hAnsi="宋体" w:eastAsia="宋体" w:cs="宋体"/>
          <w:color w:val="auto"/>
          <w:kern w:val="0"/>
          <w:sz w:val="24"/>
          <w:szCs w:val="24"/>
          <w:highlight w:val="none"/>
          <w:u w:val="single"/>
          <w:shd w:val="clear" w:fill="FFFFFF"/>
        </w:rPr>
      </w:pPr>
      <w:r>
        <w:rPr>
          <w:rFonts w:hint="default" w:ascii="微软雅黑" w:hAnsi="微软雅黑" w:eastAsia="微软雅黑" w:cs="微软雅黑"/>
          <w:color w:val="auto"/>
          <w:kern w:val="0"/>
          <w:sz w:val="24"/>
          <w:szCs w:val="24"/>
          <w:highlight w:val="none"/>
          <w:u w:val="single"/>
          <w:shd w:val="clear" w:fill="FFFFFF"/>
          <w:lang w:val="en-US" w:eastAsia="zh-CN" w:bidi="ar"/>
        </w:rPr>
        <w:t>③</w:t>
      </w:r>
      <w:r>
        <w:rPr>
          <w:rFonts w:hint="eastAsia" w:ascii="宋体" w:hAnsi="宋体" w:eastAsia="宋体" w:cs="宋体"/>
          <w:color w:val="auto"/>
          <w:kern w:val="0"/>
          <w:sz w:val="24"/>
          <w:szCs w:val="24"/>
          <w:highlight w:val="none"/>
          <w:u w:val="single"/>
          <w:shd w:val="clear" w:fill="FFFFFF"/>
          <w:lang w:val="en-US" w:eastAsia="zh-CN" w:bidi="ar"/>
        </w:rPr>
        <w:t>答辩形式与要求：答辩人员先陈述，评委针对答辩内容提问，由答辩人员进行解答；</w:t>
      </w:r>
    </w:p>
    <w:p>
      <w:pPr>
        <w:keepNext w:val="0"/>
        <w:keepLines w:val="0"/>
        <w:widowControl/>
        <w:suppressLineNumbers w:val="0"/>
        <w:spacing w:before="0" w:beforeAutospacing="0" w:after="0" w:afterAutospacing="0" w:line="360" w:lineRule="auto"/>
        <w:ind w:left="0" w:right="0" w:firstLine="520" w:firstLineChars="200"/>
        <w:jc w:val="left"/>
        <w:rPr>
          <w:rFonts w:hint="eastAsia" w:ascii="宋体" w:hAnsi="宋体" w:eastAsia="宋体" w:cs="宋体"/>
          <w:color w:val="auto"/>
          <w:kern w:val="0"/>
          <w:sz w:val="24"/>
          <w:szCs w:val="24"/>
          <w:highlight w:val="none"/>
          <w:u w:val="single"/>
          <w:shd w:val="clear" w:fill="FFFFFF"/>
        </w:rPr>
      </w:pPr>
      <w:r>
        <w:rPr>
          <w:rFonts w:hint="default" w:ascii="微软雅黑" w:hAnsi="微软雅黑" w:eastAsia="微软雅黑" w:cs="微软雅黑"/>
          <w:color w:val="auto"/>
          <w:kern w:val="0"/>
          <w:sz w:val="24"/>
          <w:szCs w:val="24"/>
          <w:highlight w:val="none"/>
          <w:u w:val="single"/>
          <w:shd w:val="clear" w:fill="FFFFFF"/>
          <w:lang w:val="en-US" w:eastAsia="zh-CN" w:bidi="ar"/>
        </w:rPr>
        <w:t>④</w:t>
      </w:r>
      <w:r>
        <w:rPr>
          <w:rFonts w:hint="eastAsia" w:ascii="宋体" w:hAnsi="宋体" w:eastAsia="宋体" w:cs="宋体"/>
          <w:color w:val="auto"/>
          <w:kern w:val="0"/>
          <w:sz w:val="24"/>
          <w:szCs w:val="24"/>
          <w:highlight w:val="none"/>
          <w:u w:val="single"/>
          <w:shd w:val="clear" w:fill="FFFFFF"/>
          <w:lang w:val="en-US" w:eastAsia="zh-CN" w:bidi="ar"/>
        </w:rPr>
        <w:t>答辩（含方案陈述及商务答辩）时长控制：</w:t>
      </w:r>
      <w:r>
        <w:rPr>
          <w:rFonts w:hint="eastAsia" w:ascii="宋体" w:hAnsi="宋体" w:cs="宋体"/>
          <w:color w:val="auto"/>
          <w:kern w:val="0"/>
          <w:sz w:val="24"/>
          <w:szCs w:val="24"/>
          <w:highlight w:val="none"/>
          <w:shd w:val="clear" w:color="auto" w:fill="FFFFFF"/>
        </w:rPr>
        <w:t>每家投标人答辩总时长控制在10分钟内，其中答辩团队的陈述时间不得多于6分钟。</w:t>
      </w:r>
    </w:p>
    <w:p>
      <w:pPr>
        <w:widowControl w:val="0"/>
        <w:spacing w:line="360" w:lineRule="auto"/>
        <w:ind w:firstLine="520" w:firstLineChars="200"/>
        <w:jc w:val="both"/>
        <w:rPr>
          <w:rFonts w:hint="eastAsia" w:ascii="宋体" w:hAnsi="宋体" w:eastAsia="宋体" w:cs="宋体"/>
          <w:color w:val="auto"/>
          <w:kern w:val="0"/>
          <w:sz w:val="24"/>
          <w:szCs w:val="24"/>
          <w:highlight w:val="none"/>
          <w:u w:val="single"/>
          <w:shd w:val="clear" w:color="auto" w:fill="FFFFFF"/>
          <w:lang w:val="en-US" w:eastAsia="zh-CN" w:bidi="ar-SA"/>
        </w:rPr>
      </w:pPr>
      <w:r>
        <w:rPr>
          <w:rFonts w:hint="default" w:ascii="宋体" w:hAnsi="宋体" w:eastAsia="宋体" w:cs="宋体"/>
          <w:color w:val="auto"/>
          <w:kern w:val="0"/>
          <w:sz w:val="24"/>
          <w:szCs w:val="24"/>
          <w:highlight w:val="none"/>
          <w:u w:val="single"/>
          <w:shd w:val="clear" w:color="auto" w:fill="FFFFFF"/>
          <w:lang w:eastAsia="zh-CN" w:bidi="ar-SA"/>
        </w:rPr>
        <w:t>2</w:t>
      </w:r>
      <w:r>
        <w:rPr>
          <w:rFonts w:hint="eastAsia" w:ascii="宋体" w:hAnsi="宋体" w:eastAsia="宋体" w:cs="宋体"/>
          <w:color w:val="auto"/>
          <w:kern w:val="0"/>
          <w:sz w:val="24"/>
          <w:szCs w:val="24"/>
          <w:highlight w:val="none"/>
          <w:u w:val="single"/>
          <w:shd w:val="clear" w:fill="FFFFFF"/>
          <w:lang w:val="en-US" w:eastAsia="zh-CN" w:bidi="ar"/>
        </w:rPr>
        <w:t>）</w:t>
      </w:r>
      <w:bookmarkStart w:id="68" w:name="OLE_LINK21"/>
      <w:r>
        <w:rPr>
          <w:rFonts w:ascii="宋体" w:hAnsi="宋体" w:eastAsia="宋体" w:cs="宋体"/>
          <w:color w:val="auto"/>
          <w:kern w:val="0"/>
          <w:sz w:val="24"/>
          <w:szCs w:val="24"/>
          <w:highlight w:val="none"/>
          <w:u w:val="single"/>
          <w:shd w:val="clear" w:color="auto" w:fill="FFFFFF"/>
          <w:lang w:val="en-US" w:eastAsia="zh-CN" w:bidi="ar-SA"/>
        </w:rPr>
        <w:t>定标委员会</w:t>
      </w:r>
      <w:bookmarkEnd w:id="68"/>
      <w:r>
        <w:rPr>
          <w:rFonts w:hint="eastAsia" w:ascii="宋体" w:hAnsi="宋体" w:eastAsia="宋体" w:cs="宋体"/>
          <w:color w:val="auto"/>
          <w:kern w:val="0"/>
          <w:sz w:val="24"/>
          <w:szCs w:val="24"/>
          <w:highlight w:val="none"/>
          <w:u w:val="single"/>
          <w:shd w:val="clear" w:color="auto" w:fill="FFFFFF"/>
          <w:lang w:val="en-US" w:eastAsia="zh-CN" w:bidi="ar-SA"/>
        </w:rPr>
        <w:t>根据附录15-1《勘察设计工作方案评审记录表》、附录16《投标方案评语》对中标候选人的勘察设计方案进行评审。</w:t>
      </w:r>
    </w:p>
    <w:p>
      <w:pPr>
        <w:widowControl w:val="0"/>
        <w:spacing w:line="360" w:lineRule="auto"/>
        <w:ind w:firstLine="520" w:firstLineChars="200"/>
        <w:jc w:val="both"/>
        <w:rPr>
          <w:rFonts w:ascii="宋体" w:hAnsi="宋体" w:eastAsia="宋体" w:cs="宋体"/>
          <w:color w:val="auto"/>
          <w:kern w:val="0"/>
          <w:sz w:val="24"/>
          <w:szCs w:val="24"/>
          <w:highlight w:val="none"/>
          <w:u w:val="single"/>
          <w:shd w:val="clear" w:color="auto" w:fill="FFFFFF"/>
          <w:lang w:val="en-US" w:eastAsia="zh-CN" w:bidi="ar-SA"/>
        </w:rPr>
      </w:pPr>
      <w:r>
        <w:rPr>
          <w:rFonts w:hint="default" w:ascii="宋体" w:hAnsi="宋体" w:eastAsia="宋体" w:cs="宋体"/>
          <w:color w:val="auto"/>
          <w:kern w:val="0"/>
          <w:sz w:val="24"/>
          <w:szCs w:val="24"/>
          <w:highlight w:val="none"/>
          <w:u w:val="single"/>
          <w:shd w:val="clear" w:color="auto" w:fill="FFFFFF"/>
          <w:lang w:eastAsia="zh-CN" w:bidi="ar-SA"/>
        </w:rPr>
        <w:t>3</w:t>
      </w:r>
      <w:r>
        <w:rPr>
          <w:rFonts w:ascii="宋体" w:hAnsi="宋体" w:eastAsia="宋体" w:cs="宋体"/>
          <w:color w:val="auto"/>
          <w:kern w:val="0"/>
          <w:sz w:val="24"/>
          <w:szCs w:val="24"/>
          <w:highlight w:val="none"/>
          <w:u w:val="single"/>
          <w:shd w:val="clear" w:color="auto" w:fill="FFFFFF"/>
          <w:lang w:val="en-US" w:eastAsia="zh-CN" w:bidi="ar-SA"/>
        </w:rPr>
        <w:t>）定标委员会</w:t>
      </w:r>
      <w:r>
        <w:rPr>
          <w:rFonts w:hint="eastAsia" w:ascii="宋体" w:hAnsi="宋体" w:eastAsia="宋体" w:cs="宋体"/>
          <w:color w:val="auto"/>
          <w:kern w:val="0"/>
          <w:sz w:val="24"/>
          <w:szCs w:val="24"/>
          <w:highlight w:val="none"/>
          <w:u w:val="single"/>
          <w:shd w:val="clear" w:color="auto" w:fill="FFFFFF"/>
          <w:lang w:val="en-US" w:eastAsia="zh-CN" w:bidi="ar-SA"/>
        </w:rPr>
        <w:t>在</w:t>
      </w:r>
      <w:r>
        <w:rPr>
          <w:rFonts w:ascii="宋体" w:hAnsi="宋体" w:eastAsia="宋体" w:cs="宋体"/>
          <w:color w:val="auto"/>
          <w:kern w:val="0"/>
          <w:sz w:val="24"/>
          <w:szCs w:val="24"/>
          <w:highlight w:val="none"/>
          <w:u w:val="single"/>
          <w:shd w:val="clear" w:color="auto" w:fill="FFFFFF"/>
          <w:lang w:val="en-US" w:eastAsia="zh-CN" w:bidi="ar-SA"/>
        </w:rPr>
        <w:t>评审比较后，</w:t>
      </w:r>
      <w:r>
        <w:rPr>
          <w:rFonts w:hint="eastAsia" w:ascii="宋体" w:hAnsi="宋体" w:eastAsia="宋体" w:cs="宋体"/>
          <w:color w:val="auto"/>
          <w:kern w:val="0"/>
          <w:sz w:val="24"/>
          <w:szCs w:val="24"/>
          <w:highlight w:val="none"/>
          <w:u w:val="single"/>
          <w:shd w:val="clear" w:color="auto" w:fill="FFFFFF"/>
          <w:lang w:val="en-US" w:eastAsia="zh-CN" w:bidi="ar-SA"/>
        </w:rPr>
        <w:t>根据附录16-1《投票表格》</w:t>
      </w:r>
      <w:r>
        <w:rPr>
          <w:rFonts w:ascii="宋体" w:hAnsi="宋体" w:eastAsia="宋体" w:cs="宋体"/>
          <w:color w:val="auto"/>
          <w:kern w:val="0"/>
          <w:sz w:val="24"/>
          <w:szCs w:val="24"/>
          <w:highlight w:val="none"/>
          <w:u w:val="single"/>
          <w:shd w:val="clear" w:color="auto" w:fill="FFFFFF"/>
          <w:lang w:val="en-US" w:eastAsia="zh-CN" w:bidi="ar-SA"/>
        </w:rPr>
        <w:t>采用以差额选举逐轮淘汰投票计数法的“记名投票+撰写评语”方式确定投标</w:t>
      </w:r>
      <w:r>
        <w:rPr>
          <w:rFonts w:hint="eastAsia" w:ascii="宋体" w:hAnsi="宋体" w:eastAsia="宋体" w:cs="宋体"/>
          <w:color w:val="auto"/>
          <w:kern w:val="0"/>
          <w:sz w:val="24"/>
          <w:szCs w:val="24"/>
          <w:highlight w:val="none"/>
          <w:u w:val="single"/>
          <w:shd w:val="clear" w:color="auto" w:fill="FFFFFF"/>
          <w:lang w:val="en-US" w:eastAsia="zh-CN" w:bidi="ar-SA"/>
        </w:rPr>
        <w:t>人勘察设计方案</w:t>
      </w:r>
      <w:r>
        <w:rPr>
          <w:rFonts w:ascii="宋体" w:hAnsi="宋体" w:eastAsia="宋体" w:cs="宋体"/>
          <w:color w:val="auto"/>
          <w:kern w:val="0"/>
          <w:sz w:val="24"/>
          <w:szCs w:val="24"/>
          <w:highlight w:val="none"/>
          <w:u w:val="single"/>
          <w:shd w:val="clear" w:color="auto" w:fill="FFFFFF"/>
          <w:lang w:val="en-US" w:eastAsia="zh-CN" w:bidi="ar-SA"/>
        </w:rPr>
        <w:t>排序。</w:t>
      </w:r>
      <w:r>
        <w:rPr>
          <w:rFonts w:hint="eastAsia" w:ascii="宋体" w:hAnsi="宋体" w:eastAsia="宋体" w:cs="宋体"/>
          <w:color w:val="auto"/>
          <w:kern w:val="0"/>
          <w:sz w:val="24"/>
          <w:szCs w:val="24"/>
          <w:highlight w:val="none"/>
          <w:u w:val="single"/>
          <w:shd w:val="clear" w:color="auto" w:fill="FFFFFF"/>
          <w:lang w:val="en-US" w:eastAsia="zh-CN" w:bidi="ar-SA"/>
        </w:rPr>
        <w:t>投票完成后，根据招标公告第1.9.3条规定及勘察设计方案排序确定本项目方案优胜奖、投标经济补偿名单。</w:t>
      </w:r>
    </w:p>
    <w:p>
      <w:pPr>
        <w:widowControl w:val="0"/>
        <w:spacing w:line="360" w:lineRule="auto"/>
        <w:ind w:firstLine="520" w:firstLineChars="200"/>
        <w:jc w:val="both"/>
        <w:rPr>
          <w:rFonts w:ascii="宋体" w:hAnsi="宋体" w:eastAsia="宋体" w:cs="宋体"/>
          <w:color w:val="auto"/>
          <w:kern w:val="0"/>
          <w:sz w:val="24"/>
          <w:szCs w:val="24"/>
          <w:highlight w:val="none"/>
          <w:u w:val="single"/>
          <w:shd w:val="clear" w:color="auto" w:fill="FFFFFF"/>
          <w:lang w:val="en-US" w:eastAsia="zh-CN" w:bidi="ar-SA"/>
        </w:rPr>
      </w:pPr>
      <w:bookmarkStart w:id="69" w:name="OLE_LINK17"/>
      <w:r>
        <w:rPr>
          <w:rFonts w:hint="eastAsia" w:ascii="宋体" w:hAnsi="宋体" w:eastAsia="宋体" w:cs="宋体"/>
          <w:color w:val="auto"/>
          <w:kern w:val="0"/>
          <w:sz w:val="24"/>
          <w:szCs w:val="24"/>
          <w:highlight w:val="none"/>
          <w:u w:val="single"/>
          <w:shd w:val="clear" w:color="auto" w:fill="FFFFFF"/>
          <w:lang w:val="en-US" w:eastAsia="zh-CN" w:bidi="ar-SA"/>
        </w:rPr>
        <w:t>4</w:t>
      </w:r>
      <w:r>
        <w:rPr>
          <w:rFonts w:ascii="宋体" w:hAnsi="宋体" w:eastAsia="宋体" w:cs="宋体"/>
          <w:color w:val="auto"/>
          <w:kern w:val="0"/>
          <w:sz w:val="24"/>
          <w:szCs w:val="24"/>
          <w:highlight w:val="none"/>
          <w:u w:val="single"/>
          <w:shd w:val="clear" w:color="auto" w:fill="FFFFFF"/>
          <w:lang w:val="en-US" w:eastAsia="zh-CN" w:bidi="ar-SA"/>
        </w:rPr>
        <w:t>）</w:t>
      </w:r>
      <w:r>
        <w:rPr>
          <w:rFonts w:ascii="宋体" w:hAnsi="宋体" w:eastAsia="宋体" w:cs="宋体"/>
          <w:color w:val="auto"/>
          <w:kern w:val="0"/>
          <w:sz w:val="24"/>
          <w:szCs w:val="24"/>
          <w:highlight w:val="none"/>
          <w:u w:val="single"/>
          <w:shd w:val="clear" w:color="auto" w:fill="FFFFFF"/>
          <w:lang w:eastAsia="zh-CN" w:bidi="ar-SA"/>
        </w:rPr>
        <w:t>定标委员会根据投票情况确定方案排序。对定标结论持有异议的成员应以书面方式阐述其不同意见和理由</w:t>
      </w:r>
      <w:r>
        <w:rPr>
          <w:rFonts w:hint="eastAsia" w:ascii="宋体" w:hAnsi="宋体" w:eastAsia="宋体" w:cs="宋体"/>
          <w:color w:val="auto"/>
          <w:kern w:val="0"/>
          <w:sz w:val="24"/>
          <w:szCs w:val="24"/>
          <w:highlight w:val="none"/>
          <w:u w:val="single"/>
          <w:shd w:val="clear" w:color="auto" w:fill="FFFFFF"/>
          <w:lang w:val="en-US" w:eastAsia="zh-CN" w:bidi="ar-SA"/>
        </w:rPr>
        <w:t>。</w:t>
      </w:r>
    </w:p>
    <w:bookmarkEnd w:id="69"/>
    <w:p>
      <w:pPr>
        <w:widowControl w:val="0"/>
        <w:spacing w:line="360" w:lineRule="auto"/>
        <w:ind w:firstLine="520" w:firstLineChars="200"/>
        <w:jc w:val="both"/>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u w:val="single"/>
          <w:shd w:val="clear" w:color="auto" w:fill="FFFFFF"/>
          <w:lang w:val="en-US" w:eastAsia="zh-CN" w:bidi="ar-SA"/>
        </w:rPr>
        <w:t>5</w:t>
      </w:r>
      <w:r>
        <w:rPr>
          <w:rFonts w:ascii="宋体" w:hAnsi="宋体" w:eastAsia="宋体" w:cs="宋体"/>
          <w:color w:val="auto"/>
          <w:kern w:val="0"/>
          <w:sz w:val="24"/>
          <w:szCs w:val="24"/>
          <w:highlight w:val="none"/>
          <w:u w:val="single"/>
          <w:shd w:val="clear" w:color="auto" w:fill="FFFFFF"/>
          <w:lang w:val="en-US" w:eastAsia="zh-CN" w:bidi="ar-SA"/>
        </w:rPr>
        <w:t>）</w:t>
      </w:r>
      <w:r>
        <w:rPr>
          <w:rFonts w:ascii="宋体" w:hAnsi="宋体" w:eastAsia="宋体" w:cs="宋体"/>
          <w:color w:val="auto"/>
          <w:kern w:val="0"/>
          <w:sz w:val="24"/>
          <w:szCs w:val="24"/>
          <w:highlight w:val="none"/>
          <w:u w:val="single"/>
          <w:shd w:val="clear" w:color="auto" w:fill="FFFFFF"/>
          <w:lang w:eastAsia="zh-CN" w:bidi="ar-SA"/>
        </w:rPr>
        <w:t>定标委员会根据附录15-2《定标因素》对各合格的中标候选人进行综合比较</w:t>
      </w:r>
      <w:r>
        <w:rPr>
          <w:rFonts w:ascii="宋体" w:hAnsi="宋体" w:eastAsia="宋体" w:cs="宋体"/>
          <w:color w:val="auto"/>
          <w:kern w:val="0"/>
          <w:sz w:val="24"/>
          <w:szCs w:val="24"/>
          <w:highlight w:val="none"/>
          <w:u w:val="single"/>
          <w:shd w:val="clear" w:color="auto" w:fill="FFFFFF"/>
          <w:lang w:val="en-US" w:eastAsia="zh-CN" w:bidi="ar-SA"/>
        </w:rPr>
        <w:t>。</w:t>
      </w:r>
    </w:p>
    <w:p>
      <w:pPr>
        <w:widowControl w:val="0"/>
        <w:numPr>
          <w:ilvl w:val="-1"/>
          <w:numId w:val="0"/>
        </w:numPr>
        <w:spacing w:line="360" w:lineRule="auto"/>
        <w:ind w:firstLine="520" w:firstLineChars="200"/>
        <w:jc w:val="both"/>
        <w:rPr>
          <w:rFonts w:ascii="宋体" w:hAnsi="宋体" w:eastAsia="宋体" w:cs="宋体"/>
          <w:color w:val="auto"/>
          <w:kern w:val="0"/>
          <w:sz w:val="24"/>
          <w:szCs w:val="24"/>
          <w:highlight w:val="none"/>
          <w:u w:val="single"/>
          <w:shd w:val="clear" w:color="auto" w:fill="FFFFFF"/>
          <w:lang w:val="en-US" w:eastAsia="zh-CN" w:bidi="ar-SA"/>
        </w:rPr>
      </w:pPr>
      <w:r>
        <w:rPr>
          <w:rFonts w:hint="default" w:ascii="宋体" w:hAnsi="宋体" w:eastAsia="宋体" w:cs="宋体"/>
          <w:color w:val="auto"/>
          <w:kern w:val="0"/>
          <w:sz w:val="24"/>
          <w:szCs w:val="24"/>
          <w:highlight w:val="none"/>
          <w:u w:val="single"/>
          <w:shd w:val="clear" w:color="auto" w:fill="FFFFFF"/>
          <w:lang w:eastAsia="zh-CN" w:bidi="ar-SA"/>
        </w:rPr>
        <w:t>6</w:t>
      </w:r>
      <w:r>
        <w:rPr>
          <w:rFonts w:hint="eastAsia" w:ascii="宋体" w:hAnsi="宋体" w:eastAsia="宋体" w:cs="宋体"/>
          <w:color w:val="auto"/>
          <w:kern w:val="0"/>
          <w:sz w:val="24"/>
          <w:szCs w:val="24"/>
          <w:highlight w:val="none"/>
          <w:u w:val="single"/>
          <w:shd w:val="clear" w:color="auto" w:fill="FFFFFF"/>
          <w:lang w:val="en-US" w:eastAsia="zh-CN" w:bidi="ar-SA"/>
        </w:rPr>
        <w:t>）</w:t>
      </w:r>
      <w:r>
        <w:rPr>
          <w:rFonts w:ascii="宋体" w:hAnsi="宋体" w:eastAsia="宋体" w:cs="宋体"/>
          <w:color w:val="auto"/>
          <w:kern w:val="0"/>
          <w:sz w:val="24"/>
          <w:szCs w:val="24"/>
          <w:highlight w:val="none"/>
          <w:u w:val="single"/>
          <w:shd w:val="clear" w:color="auto" w:fill="FFFFFF"/>
          <w:lang w:val="en-US" w:eastAsia="zh-CN" w:bidi="ar-SA"/>
        </w:rPr>
        <w:t>定标委员会根据定标</w:t>
      </w:r>
      <w:r>
        <w:rPr>
          <w:rFonts w:hint="eastAsia" w:ascii="宋体" w:hAnsi="宋体" w:eastAsia="宋体" w:cs="宋体"/>
          <w:color w:val="auto"/>
          <w:kern w:val="0"/>
          <w:sz w:val="24"/>
          <w:szCs w:val="24"/>
          <w:highlight w:val="none"/>
          <w:u w:val="single"/>
          <w:shd w:val="clear" w:color="auto" w:fill="FFFFFF"/>
          <w:lang w:val="en-US" w:eastAsia="zh-CN" w:bidi="ar-SA"/>
        </w:rPr>
        <w:t>综合</w:t>
      </w:r>
      <w:r>
        <w:rPr>
          <w:rFonts w:ascii="宋体" w:hAnsi="宋体" w:eastAsia="宋体" w:cs="宋体"/>
          <w:color w:val="auto"/>
          <w:kern w:val="0"/>
          <w:sz w:val="24"/>
          <w:szCs w:val="24"/>
          <w:highlight w:val="none"/>
          <w:u w:val="single"/>
          <w:shd w:val="clear" w:color="auto" w:fill="FFFFFF"/>
          <w:lang w:val="en-US" w:eastAsia="zh-CN" w:bidi="ar-SA"/>
        </w:rPr>
        <w:t>因素对各合格的中标候选人进行评审比较后，</w:t>
      </w:r>
      <w:r>
        <w:rPr>
          <w:rFonts w:hint="eastAsia" w:ascii="宋体" w:hAnsi="宋体" w:eastAsia="宋体" w:cs="宋体"/>
          <w:color w:val="auto"/>
          <w:kern w:val="0"/>
          <w:sz w:val="24"/>
          <w:szCs w:val="24"/>
          <w:highlight w:val="none"/>
          <w:u w:val="single"/>
          <w:shd w:val="clear" w:color="auto" w:fill="FFFFFF"/>
          <w:lang w:val="en-US" w:eastAsia="zh-CN" w:bidi="ar-SA"/>
        </w:rPr>
        <w:t>根据附录16-3《投票表格》采用以差额选举逐轮淘汰投票计数法的“记名投票+撰写评语”方式确定中标人</w:t>
      </w:r>
      <w:r>
        <w:rPr>
          <w:rFonts w:ascii="宋体" w:hAnsi="宋体" w:eastAsia="宋体" w:cs="宋体"/>
          <w:color w:val="auto"/>
          <w:kern w:val="0"/>
          <w:sz w:val="24"/>
          <w:szCs w:val="24"/>
          <w:highlight w:val="none"/>
          <w:u w:val="single"/>
          <w:shd w:val="clear" w:color="auto" w:fill="FFFFFF"/>
          <w:lang w:val="en-US" w:eastAsia="zh-CN" w:bidi="ar-SA"/>
        </w:rPr>
        <w:t>。</w:t>
      </w:r>
    </w:p>
    <w:p>
      <w:pPr>
        <w:widowControl w:val="0"/>
        <w:spacing w:line="360" w:lineRule="auto"/>
        <w:ind w:firstLine="520" w:firstLineChars="200"/>
        <w:jc w:val="both"/>
        <w:rPr>
          <w:rFonts w:ascii="宋体" w:hAnsi="宋体" w:eastAsia="宋体" w:cs="宋体"/>
          <w:color w:val="auto"/>
          <w:kern w:val="0"/>
          <w:sz w:val="24"/>
          <w:szCs w:val="24"/>
          <w:highlight w:val="none"/>
          <w:u w:val="single"/>
          <w:shd w:val="clear" w:color="auto" w:fill="FFFFFF"/>
          <w:lang w:val="en-US" w:eastAsia="zh-CN" w:bidi="ar-SA"/>
        </w:rPr>
      </w:pPr>
      <w:r>
        <w:rPr>
          <w:rFonts w:hint="default" w:ascii="宋体" w:hAnsi="宋体" w:eastAsia="宋体" w:cs="宋体"/>
          <w:color w:val="auto"/>
          <w:kern w:val="0"/>
          <w:sz w:val="24"/>
          <w:szCs w:val="24"/>
          <w:highlight w:val="none"/>
          <w:u w:val="single"/>
          <w:shd w:val="clear" w:color="auto" w:fill="FFFFFF"/>
          <w:lang w:eastAsia="zh-CN" w:bidi="ar-SA"/>
        </w:rPr>
        <w:t>7</w:t>
      </w:r>
      <w:r>
        <w:rPr>
          <w:rFonts w:ascii="宋体" w:hAnsi="宋体" w:eastAsia="宋体" w:cs="宋体"/>
          <w:color w:val="auto"/>
          <w:kern w:val="0"/>
          <w:sz w:val="24"/>
          <w:szCs w:val="24"/>
          <w:highlight w:val="none"/>
          <w:u w:val="single"/>
          <w:shd w:val="clear" w:color="auto" w:fill="FFFFFF"/>
          <w:lang w:val="en-US" w:eastAsia="zh-CN" w:bidi="ar-SA"/>
        </w:rPr>
        <w:t>）定标委员会中的各成员应独立行使投票权。</w:t>
      </w:r>
    </w:p>
    <w:p>
      <w:pPr>
        <w:widowControl w:val="0"/>
        <w:spacing w:line="360" w:lineRule="auto"/>
        <w:ind w:firstLine="520" w:firstLineChars="200"/>
        <w:jc w:val="both"/>
        <w:rPr>
          <w:rFonts w:ascii="宋体" w:hAnsi="宋体" w:eastAsia="宋体" w:cs="宋体"/>
          <w:color w:val="auto"/>
          <w:kern w:val="0"/>
          <w:sz w:val="24"/>
          <w:szCs w:val="24"/>
          <w:highlight w:val="none"/>
          <w:u w:val="single"/>
          <w:shd w:val="clear" w:color="auto" w:fill="FFFFFF"/>
          <w:lang w:val="en-US" w:eastAsia="zh-CN" w:bidi="ar-SA"/>
        </w:rPr>
      </w:pPr>
      <w:r>
        <w:rPr>
          <w:rFonts w:hint="default" w:ascii="宋体" w:hAnsi="宋体" w:eastAsia="宋体" w:cs="宋体"/>
          <w:color w:val="auto"/>
          <w:kern w:val="0"/>
          <w:sz w:val="24"/>
          <w:szCs w:val="24"/>
          <w:highlight w:val="none"/>
          <w:u w:val="single"/>
          <w:shd w:val="clear" w:color="auto" w:fill="FFFFFF"/>
          <w:lang w:eastAsia="zh-CN" w:bidi="ar-SA"/>
        </w:rPr>
        <w:t>8</w:t>
      </w:r>
      <w:r>
        <w:rPr>
          <w:rFonts w:ascii="宋体" w:hAnsi="宋体" w:eastAsia="宋体" w:cs="宋体"/>
          <w:color w:val="auto"/>
          <w:kern w:val="0"/>
          <w:sz w:val="24"/>
          <w:szCs w:val="24"/>
          <w:highlight w:val="none"/>
          <w:u w:val="single"/>
          <w:shd w:val="clear" w:color="auto" w:fill="FFFFFF"/>
          <w:lang w:val="en-US" w:eastAsia="zh-CN" w:bidi="ar-SA"/>
        </w:rPr>
        <w:t>）定标委员会根据投票情况确定中标人后，撰写、签署定标报告。定标报告由</w:t>
      </w:r>
      <w:r>
        <w:rPr>
          <w:rFonts w:hint="eastAsia" w:ascii="宋体" w:hAnsi="宋体" w:eastAsia="宋体" w:cs="宋体"/>
          <w:color w:val="auto"/>
          <w:kern w:val="0"/>
          <w:sz w:val="24"/>
          <w:szCs w:val="24"/>
          <w:highlight w:val="none"/>
          <w:u w:val="single"/>
          <w:shd w:val="clear" w:color="auto" w:fill="FFFFFF"/>
          <w:lang w:val="en-US" w:eastAsia="zh-CN" w:bidi="ar-SA"/>
        </w:rPr>
        <w:t>定标委员会全体成员签字，对定标结论持有异议的成员应以书面方式阐述其不同意见和理由。</w:t>
      </w:r>
    </w:p>
    <w:p>
      <w:pPr>
        <w:widowControl w:val="0"/>
        <w:spacing w:line="360" w:lineRule="auto"/>
        <w:ind w:firstLine="520" w:firstLineChars="200"/>
        <w:jc w:val="both"/>
        <w:rPr>
          <w:rFonts w:ascii="宋体" w:hAnsi="宋体" w:eastAsia="宋体" w:cs="宋体"/>
          <w:color w:val="auto"/>
          <w:kern w:val="0"/>
          <w:sz w:val="24"/>
          <w:szCs w:val="24"/>
          <w:highlight w:val="none"/>
          <w:u w:val="single"/>
          <w:shd w:val="clear" w:color="auto" w:fill="FFFFFF"/>
          <w:lang w:val="en-US" w:eastAsia="zh-CN" w:bidi="ar-SA"/>
        </w:rPr>
      </w:pPr>
      <w:r>
        <w:rPr>
          <w:rFonts w:hint="default" w:ascii="宋体" w:hAnsi="宋体" w:eastAsia="宋体" w:cs="宋体"/>
          <w:color w:val="auto"/>
          <w:kern w:val="0"/>
          <w:sz w:val="24"/>
          <w:szCs w:val="24"/>
          <w:highlight w:val="none"/>
          <w:u w:val="single"/>
          <w:shd w:val="clear" w:color="auto" w:fill="FFFFFF"/>
          <w:lang w:eastAsia="zh-CN" w:bidi="ar-SA"/>
        </w:rPr>
        <w:t>9</w:t>
      </w:r>
      <w:r>
        <w:rPr>
          <w:rFonts w:ascii="宋体" w:hAnsi="宋体" w:eastAsia="宋体" w:cs="宋体"/>
          <w:color w:val="auto"/>
          <w:kern w:val="0"/>
          <w:sz w:val="24"/>
          <w:szCs w:val="24"/>
          <w:highlight w:val="none"/>
          <w:u w:val="single"/>
          <w:shd w:val="clear" w:color="auto" w:fill="FFFFFF"/>
          <w:lang w:val="en-US" w:eastAsia="zh-CN" w:bidi="ar-SA"/>
        </w:rPr>
        <w:t>）</w:t>
      </w:r>
      <w:r>
        <w:rPr>
          <w:rFonts w:hint="eastAsia" w:ascii="宋体" w:hAnsi="宋体" w:eastAsia="宋体" w:cs="宋体"/>
          <w:color w:val="auto"/>
          <w:kern w:val="0"/>
          <w:sz w:val="24"/>
          <w:szCs w:val="24"/>
          <w:highlight w:val="none"/>
          <w:u w:val="single"/>
          <w:shd w:val="clear" w:color="auto" w:fill="FFFFFF"/>
          <w:lang w:bidi="ar-SA"/>
        </w:rPr>
        <w:t>定标委员</w:t>
      </w:r>
      <w:r>
        <w:rPr>
          <w:rFonts w:hint="default" w:ascii="宋体" w:hAnsi="宋体" w:eastAsia="宋体" w:cs="宋体"/>
          <w:color w:val="auto"/>
          <w:kern w:val="0"/>
          <w:sz w:val="24"/>
          <w:szCs w:val="24"/>
          <w:highlight w:val="none"/>
          <w:u w:val="single"/>
          <w:shd w:val="clear" w:color="auto" w:fill="FFFFFF"/>
          <w:lang w:bidi="ar-SA"/>
        </w:rPr>
        <w:t>出具</w:t>
      </w:r>
      <w:r>
        <w:rPr>
          <w:rFonts w:hint="eastAsia" w:ascii="宋体" w:hAnsi="宋体" w:eastAsia="宋体" w:cs="宋体"/>
          <w:color w:val="auto"/>
          <w:kern w:val="0"/>
          <w:sz w:val="24"/>
          <w:szCs w:val="24"/>
          <w:highlight w:val="none"/>
          <w:u w:val="single"/>
          <w:shd w:val="clear" w:color="auto" w:fill="FFFFFF"/>
          <w:lang w:bidi="ar-SA"/>
        </w:rPr>
        <w:t>本项目最终的定标报告并向招标人提交后即解散，定标过程中使用的文件、表格以及其他资料不得私自带离</w:t>
      </w:r>
      <w:r>
        <w:rPr>
          <w:rFonts w:ascii="宋体" w:hAnsi="宋体" w:eastAsia="宋体" w:cs="宋体"/>
          <w:color w:val="auto"/>
          <w:kern w:val="0"/>
          <w:sz w:val="24"/>
          <w:szCs w:val="24"/>
          <w:highlight w:val="none"/>
          <w:u w:val="single"/>
          <w:shd w:val="clear" w:color="auto" w:fill="FFFFFF"/>
          <w:lang w:val="en-US" w:eastAsia="zh-CN" w:bidi="ar-SA"/>
        </w:rPr>
        <w:t>。</w:t>
      </w:r>
    </w:p>
    <w:p>
      <w:pPr>
        <w:widowControl w:val="0"/>
        <w:spacing w:line="360" w:lineRule="auto"/>
        <w:ind w:firstLine="520" w:firstLineChars="200"/>
        <w:jc w:val="both"/>
        <w:rPr>
          <w:rFonts w:ascii="宋体" w:hAnsi="宋体" w:eastAsia="宋体" w:cs="宋体"/>
          <w:strike/>
          <w:color w:val="auto"/>
          <w:kern w:val="0"/>
          <w:sz w:val="24"/>
          <w:szCs w:val="24"/>
          <w:highlight w:val="none"/>
          <w:u w:val="single"/>
          <w:shd w:val="clear" w:color="auto" w:fill="FFFFFF"/>
          <w:lang w:val="en-US" w:eastAsia="zh-CN" w:bidi="ar-SA"/>
        </w:rPr>
      </w:pPr>
      <w:r>
        <w:rPr>
          <w:rFonts w:ascii="宋体" w:hAnsi="宋体" w:eastAsia="宋体" w:cs="宋体"/>
          <w:color w:val="auto"/>
          <w:kern w:val="0"/>
          <w:sz w:val="24"/>
          <w:szCs w:val="24"/>
          <w:highlight w:val="none"/>
          <w:u w:val="single"/>
          <w:shd w:val="clear" w:color="auto" w:fill="FFFFFF"/>
          <w:lang w:val="en-US" w:eastAsia="zh-CN" w:bidi="ar-SA"/>
        </w:rPr>
        <w:t>3、</w:t>
      </w:r>
      <w:r>
        <w:rPr>
          <w:rFonts w:hint="eastAsia" w:ascii="宋体" w:hAnsi="宋体" w:eastAsia="宋体" w:cs="宋体"/>
          <w:color w:val="auto"/>
          <w:kern w:val="0"/>
          <w:sz w:val="24"/>
          <w:szCs w:val="24"/>
          <w:highlight w:val="none"/>
          <w:u w:val="single"/>
          <w:shd w:val="clear" w:color="auto" w:fill="FFFFFF"/>
          <w:lang w:val="en-US" w:eastAsia="zh-CN" w:bidi="ar-SA"/>
        </w:rPr>
        <w:t>其他</w:t>
      </w:r>
    </w:p>
    <w:p>
      <w:pPr>
        <w:widowControl w:val="0"/>
        <w:spacing w:line="360" w:lineRule="auto"/>
        <w:ind w:firstLine="520" w:firstLineChars="200"/>
        <w:jc w:val="both"/>
        <w:rPr>
          <w:rFonts w:ascii="宋体" w:hAnsi="宋体" w:eastAsia="宋体" w:cs="宋体"/>
          <w:color w:val="auto"/>
          <w:kern w:val="0"/>
          <w:sz w:val="24"/>
          <w:szCs w:val="24"/>
          <w:highlight w:val="none"/>
          <w:u w:val="single"/>
          <w:shd w:val="clear" w:color="auto" w:fill="FFFFFF"/>
          <w:lang w:eastAsia="zh-CN" w:bidi="ar-SA"/>
        </w:rPr>
      </w:pPr>
      <w:r>
        <w:rPr>
          <w:rFonts w:ascii="宋体" w:hAnsi="宋体" w:eastAsia="宋体" w:cs="宋体"/>
          <w:color w:val="auto"/>
          <w:kern w:val="0"/>
          <w:sz w:val="24"/>
          <w:szCs w:val="24"/>
          <w:highlight w:val="none"/>
          <w:u w:val="single"/>
          <w:shd w:val="clear" w:color="auto" w:fill="FFFFFF"/>
          <w:lang w:eastAsia="zh-CN" w:bidi="ar-SA"/>
        </w:rPr>
        <w:t>（1）定标委员会各成员在定标过程中，对任一投标文件的质疑，应当在投票结果公布前提出。投票结果公布后才提出的质疑，不可作为改变投票结果的依据。</w:t>
      </w:r>
    </w:p>
    <w:p>
      <w:pPr>
        <w:widowControl w:val="0"/>
        <w:spacing w:line="360" w:lineRule="auto"/>
        <w:ind w:firstLine="520" w:firstLineChars="200"/>
        <w:jc w:val="both"/>
        <w:rPr>
          <w:rFonts w:ascii="宋体" w:hAnsi="宋体" w:eastAsia="宋体" w:cs="宋体"/>
          <w:color w:val="auto"/>
          <w:kern w:val="0"/>
          <w:sz w:val="24"/>
          <w:szCs w:val="24"/>
          <w:highlight w:val="none"/>
          <w:u w:val="single"/>
          <w:shd w:val="clear" w:color="auto" w:fill="FFFFFF"/>
          <w:lang w:eastAsia="zh-CN" w:bidi="ar-SA"/>
        </w:rPr>
      </w:pPr>
      <w:r>
        <w:rPr>
          <w:rFonts w:ascii="宋体" w:hAnsi="宋体" w:eastAsia="宋体" w:cs="宋体"/>
          <w:color w:val="auto"/>
          <w:kern w:val="0"/>
          <w:sz w:val="24"/>
          <w:szCs w:val="24"/>
          <w:highlight w:val="none"/>
          <w:u w:val="single"/>
          <w:shd w:val="clear" w:color="auto" w:fill="FFFFFF"/>
          <w:lang w:eastAsia="zh-CN" w:bidi="ar-SA"/>
        </w:rPr>
        <w:t>若在定标期间，经定标委员会两人以上（含两人）以书面形式提出动议，定标委员会应当书面发出澄清通知，要求中标候选人对投标文件含义不明确的内容作出澄清。</w:t>
      </w:r>
    </w:p>
    <w:p>
      <w:pPr>
        <w:widowControl w:val="0"/>
        <w:spacing w:line="360" w:lineRule="auto"/>
        <w:ind w:firstLine="520" w:firstLineChars="200"/>
        <w:jc w:val="both"/>
        <w:rPr>
          <w:rFonts w:ascii="宋体" w:hAnsi="宋体" w:eastAsia="宋体" w:cs="宋体"/>
          <w:color w:val="auto"/>
          <w:kern w:val="0"/>
          <w:sz w:val="24"/>
          <w:szCs w:val="24"/>
          <w:highlight w:val="none"/>
          <w:u w:val="single"/>
          <w:shd w:val="clear" w:color="auto" w:fill="FFFFFF"/>
          <w:lang w:eastAsia="zh-CN" w:bidi="ar-SA"/>
        </w:rPr>
      </w:pPr>
      <w:r>
        <w:rPr>
          <w:rFonts w:ascii="宋体" w:hAnsi="宋体" w:eastAsia="宋体" w:cs="宋体"/>
          <w:color w:val="auto"/>
          <w:kern w:val="0"/>
          <w:sz w:val="24"/>
          <w:szCs w:val="24"/>
          <w:highlight w:val="none"/>
          <w:u w:val="single"/>
          <w:shd w:val="clear" w:color="auto" w:fill="FFFFFF"/>
          <w:lang w:eastAsia="zh-CN" w:bidi="ar-SA"/>
        </w:rPr>
        <w:t>中标候选人应以书面形式进行澄清，澄清中的承诺性意思表示在投标文件有效期内均对中标候选人有约束力。澄清不得超出投标文件的范围或改变投标文件的实质性内容，超出部分不作为定标委员会评审的依据。</w:t>
      </w:r>
    </w:p>
    <w:p>
      <w:pPr>
        <w:widowControl w:val="0"/>
        <w:spacing w:line="360" w:lineRule="auto"/>
        <w:ind w:firstLine="520" w:firstLineChars="200"/>
        <w:jc w:val="both"/>
        <w:rPr>
          <w:rFonts w:ascii="宋体" w:hAnsi="宋体" w:eastAsia="宋体" w:cs="宋体"/>
          <w:color w:val="auto"/>
          <w:kern w:val="0"/>
          <w:sz w:val="24"/>
          <w:szCs w:val="24"/>
          <w:highlight w:val="none"/>
          <w:u w:val="single"/>
          <w:shd w:val="clear" w:color="auto" w:fill="FFFFFF"/>
          <w:lang w:eastAsia="zh-CN" w:bidi="ar-SA"/>
        </w:rPr>
      </w:pPr>
      <w:r>
        <w:rPr>
          <w:rFonts w:ascii="宋体" w:hAnsi="宋体" w:eastAsia="宋体" w:cs="宋体"/>
          <w:color w:val="auto"/>
          <w:kern w:val="0"/>
          <w:sz w:val="24"/>
          <w:szCs w:val="24"/>
          <w:highlight w:val="none"/>
          <w:u w:val="single"/>
          <w:shd w:val="clear" w:color="auto" w:fill="FFFFFF"/>
          <w:lang w:eastAsia="zh-CN" w:bidi="ar-SA"/>
        </w:rPr>
        <w:t>定标委员会均应当阅读投标人的澄清，但应独立行使投票权。</w:t>
      </w:r>
    </w:p>
    <w:p>
      <w:pPr>
        <w:widowControl w:val="0"/>
        <w:spacing w:line="360" w:lineRule="auto"/>
        <w:ind w:firstLine="520" w:firstLineChars="200"/>
        <w:jc w:val="both"/>
        <w:rPr>
          <w:rFonts w:ascii="宋体" w:hAnsi="宋体" w:eastAsia="宋体" w:cs="宋体"/>
          <w:color w:val="auto"/>
          <w:kern w:val="0"/>
          <w:sz w:val="24"/>
          <w:szCs w:val="24"/>
          <w:highlight w:val="none"/>
          <w:u w:val="single"/>
          <w:shd w:val="clear" w:color="auto" w:fill="FFFFFF"/>
          <w:lang w:val="en-US" w:eastAsia="zh-CN" w:bidi="ar-SA"/>
        </w:rPr>
      </w:pPr>
      <w:r>
        <w:rPr>
          <w:rFonts w:ascii="宋体" w:hAnsi="宋体" w:eastAsia="宋体" w:cs="宋体"/>
          <w:color w:val="auto"/>
          <w:kern w:val="0"/>
          <w:sz w:val="24"/>
          <w:szCs w:val="24"/>
          <w:highlight w:val="none"/>
          <w:u w:val="single"/>
          <w:shd w:val="clear" w:color="auto" w:fill="FFFFFF"/>
          <w:lang w:val="en-US" w:eastAsia="zh-CN" w:bidi="ar-SA"/>
        </w:rPr>
        <w:t>（</w:t>
      </w:r>
      <w:r>
        <w:rPr>
          <w:rFonts w:ascii="宋体" w:hAnsi="宋体" w:eastAsia="宋体" w:cs="宋体"/>
          <w:color w:val="auto"/>
          <w:kern w:val="0"/>
          <w:sz w:val="24"/>
          <w:szCs w:val="24"/>
          <w:highlight w:val="none"/>
          <w:u w:val="single"/>
          <w:shd w:val="clear" w:color="auto" w:fill="FFFFFF"/>
          <w:lang w:eastAsia="zh-CN" w:bidi="ar-SA"/>
        </w:rPr>
        <w:t>2</w:t>
      </w:r>
      <w:r>
        <w:rPr>
          <w:rFonts w:ascii="宋体" w:hAnsi="宋体" w:eastAsia="宋体" w:cs="宋体"/>
          <w:color w:val="auto"/>
          <w:kern w:val="0"/>
          <w:sz w:val="24"/>
          <w:szCs w:val="24"/>
          <w:highlight w:val="none"/>
          <w:u w:val="single"/>
          <w:shd w:val="clear" w:color="auto" w:fill="FFFFFF"/>
          <w:lang w:val="en-US" w:eastAsia="zh-CN" w:bidi="ar-SA"/>
        </w:rPr>
        <w:t>）定标后出现中标人不符合法定情形的，</w:t>
      </w:r>
      <w:r>
        <w:rPr>
          <w:rFonts w:hint="eastAsia" w:ascii="宋体" w:hAnsi="宋体" w:eastAsia="宋体" w:cs="宋体"/>
          <w:color w:val="auto"/>
          <w:kern w:val="0"/>
          <w:sz w:val="24"/>
          <w:szCs w:val="24"/>
          <w:highlight w:val="none"/>
          <w:u w:val="single"/>
          <w:shd w:val="clear" w:color="auto" w:fill="FFFFFF"/>
          <w:lang w:val="en-US" w:eastAsia="zh-CN" w:bidi="ar-SA"/>
        </w:rPr>
        <w:t>招标人可从其他合格的中标候选人中采用原定标办法，由原定标委员会确定中标人，</w:t>
      </w:r>
      <w:r>
        <w:rPr>
          <w:rFonts w:ascii="宋体" w:hAnsi="宋体" w:eastAsia="宋体" w:cs="宋体"/>
          <w:color w:val="auto"/>
          <w:kern w:val="0"/>
          <w:sz w:val="24"/>
          <w:szCs w:val="24"/>
          <w:highlight w:val="none"/>
          <w:u w:val="single"/>
          <w:shd w:val="clear" w:color="auto" w:fill="FFFFFF"/>
          <w:lang w:val="en-US" w:eastAsia="zh-CN" w:bidi="ar-SA"/>
        </w:rPr>
        <w:t>也可以重新招标。</w:t>
      </w:r>
    </w:p>
    <w:p>
      <w:pPr>
        <w:widowControl w:val="0"/>
        <w:spacing w:line="360" w:lineRule="auto"/>
        <w:ind w:firstLine="520" w:firstLineChars="200"/>
        <w:jc w:val="both"/>
        <w:rPr>
          <w:rFonts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u w:val="single"/>
          <w:shd w:val="clear" w:color="auto" w:fill="FFFFFF"/>
          <w:lang w:val="en-US" w:eastAsia="zh-CN" w:bidi="ar-SA"/>
        </w:rPr>
        <w:t>（</w:t>
      </w:r>
      <w:r>
        <w:rPr>
          <w:rFonts w:ascii="宋体" w:hAnsi="宋体" w:eastAsia="宋体" w:cs="宋体"/>
          <w:color w:val="auto"/>
          <w:kern w:val="0"/>
          <w:sz w:val="24"/>
          <w:szCs w:val="24"/>
          <w:highlight w:val="none"/>
          <w:u w:val="single"/>
          <w:shd w:val="clear" w:color="auto" w:fill="FFFFFF"/>
          <w:lang w:eastAsia="zh-CN" w:bidi="ar-SA"/>
        </w:rPr>
        <w:t>3</w:t>
      </w:r>
      <w:r>
        <w:rPr>
          <w:rFonts w:ascii="宋体" w:hAnsi="宋体" w:eastAsia="宋体" w:cs="宋体"/>
          <w:color w:val="auto"/>
          <w:kern w:val="0"/>
          <w:sz w:val="24"/>
          <w:szCs w:val="24"/>
          <w:highlight w:val="none"/>
          <w:u w:val="single"/>
          <w:shd w:val="clear" w:color="auto" w:fill="FFFFFF"/>
          <w:lang w:val="en-US" w:eastAsia="zh-CN" w:bidi="ar-SA"/>
        </w:rPr>
        <w:t>）因质疑或投诉生效，需要重新评标或定标的，评标、定标信息（含业绩、奖项等）仍以投标截止时投标人的信息为准。因特殊原因需要延长投标有效期，投标人拒绝延长投标有效期的，仍参与评标、定标，但不被推荐为中标人。</w:t>
      </w:r>
    </w:p>
    <w:p>
      <w:pPr>
        <w:widowControl w:val="0"/>
        <w:spacing w:line="360" w:lineRule="auto"/>
        <w:ind w:firstLine="520" w:firstLineChars="200"/>
        <w:jc w:val="both"/>
        <w:rPr>
          <w:rFonts w:ascii="宋体" w:hAnsi="宋体" w:eastAsia="宋体" w:cs="宋体"/>
          <w:color w:val="auto"/>
          <w:kern w:val="0"/>
          <w:sz w:val="24"/>
          <w:szCs w:val="24"/>
          <w:highlight w:val="none"/>
          <w:u w:val="single"/>
          <w:shd w:val="clear" w:color="auto" w:fill="FFFFFF"/>
          <w:lang w:val="en-US" w:eastAsia="zh-CN" w:bidi="ar-SA"/>
        </w:rPr>
        <w:sectPr>
          <w:footerReference r:id="rId14" w:type="default"/>
          <w:pgSz w:w="11905" w:h="16838"/>
          <w:pgMar w:top="1440" w:right="1468" w:bottom="1440" w:left="1440" w:header="851" w:footer="992" w:gutter="0"/>
          <w:pgBorders>
            <w:top w:val="none" w:sz="0" w:space="0"/>
            <w:left w:val="none" w:sz="0" w:space="0"/>
            <w:bottom w:val="none" w:sz="0" w:space="0"/>
            <w:right w:val="none" w:sz="0" w:space="0"/>
          </w:pgBorders>
          <w:cols w:space="425" w:num="1"/>
          <w:rtlGutter w:val="0"/>
          <w:docGrid w:type="linesAndChars" w:linePitch="321" w:charSpace="4096"/>
        </w:sectPr>
      </w:pPr>
      <w:r>
        <w:rPr>
          <w:rFonts w:hint="eastAsia" w:ascii="宋体" w:hAnsi="宋体" w:eastAsia="宋体" w:cs="宋体"/>
          <w:color w:val="auto"/>
          <w:kern w:val="0"/>
          <w:sz w:val="24"/>
          <w:szCs w:val="24"/>
          <w:highlight w:val="none"/>
          <w:u w:val="single"/>
          <w:shd w:val="clear" w:color="auto" w:fill="FFFFFF"/>
          <w:lang w:val="en-US" w:eastAsia="zh-CN" w:bidi="ar-SA"/>
        </w:rPr>
        <w:t>（</w:t>
      </w:r>
      <w:r>
        <w:rPr>
          <w:rFonts w:hint="default" w:ascii="宋体" w:hAnsi="宋体" w:eastAsia="宋体" w:cs="宋体"/>
          <w:color w:val="auto"/>
          <w:kern w:val="0"/>
          <w:sz w:val="24"/>
          <w:szCs w:val="24"/>
          <w:highlight w:val="none"/>
          <w:u w:val="single"/>
          <w:shd w:val="clear" w:color="auto" w:fill="FFFFFF"/>
          <w:lang w:eastAsia="zh-CN" w:bidi="ar-SA"/>
        </w:rPr>
        <w:t>4</w:t>
      </w:r>
      <w:r>
        <w:rPr>
          <w:rFonts w:ascii="宋体" w:hAnsi="宋体" w:eastAsia="宋体" w:cs="宋体"/>
          <w:color w:val="auto"/>
          <w:kern w:val="0"/>
          <w:sz w:val="24"/>
          <w:szCs w:val="24"/>
          <w:highlight w:val="none"/>
          <w:u w:val="single"/>
          <w:shd w:val="clear" w:color="auto" w:fill="FFFFFF"/>
          <w:lang w:val="en-US" w:eastAsia="zh-CN" w:bidi="ar-SA"/>
        </w:rPr>
        <w:t>）投标人如在本项目中存在串通投标、弄虚作假、行贿情形且在评标过程中未被发现的，其投标不改变本项目评标结果。招标人按照《中华人民共和国招标投标法实施条例》第五十五条的规定确定中标人或重新招标。</w:t>
      </w:r>
    </w:p>
    <w:p>
      <w:pPr>
        <w:outlineLvl w:val="1"/>
        <w:rPr>
          <w:rFonts w:hint="eastAsia" w:ascii="宋体" w:hAnsi="宋体" w:eastAsia="宋体" w:cs="Times New Roman"/>
          <w:b/>
          <w:bCs/>
          <w:color w:val="auto"/>
          <w:kern w:val="44"/>
          <w:sz w:val="21"/>
          <w:szCs w:val="21"/>
          <w:highlight w:val="none"/>
          <w:lang w:val="en-US" w:eastAsia="zh-CN" w:bidi="ar-SA"/>
        </w:rPr>
      </w:pPr>
      <w:bookmarkStart w:id="70" w:name="_Toc19896"/>
      <w:r>
        <w:rPr>
          <w:rFonts w:hint="eastAsia" w:ascii="宋体" w:hAnsi="宋体" w:eastAsia="宋体" w:cs="Times New Roman"/>
          <w:b/>
          <w:bCs/>
          <w:color w:val="auto"/>
          <w:kern w:val="44"/>
          <w:sz w:val="21"/>
          <w:szCs w:val="21"/>
          <w:highlight w:val="none"/>
          <w:lang w:val="en-US" w:eastAsia="zh-CN" w:bidi="ar-SA"/>
        </w:rPr>
        <w:t>附录14-1  定标前准备工作</w:t>
      </w:r>
      <w:bookmarkEnd w:id="70"/>
    </w:p>
    <w:p>
      <w:pPr>
        <w:adjustRightInd w:val="0"/>
        <w:snapToGrid w:val="0"/>
        <w:spacing w:before="156" w:beforeLines="50" w:line="360" w:lineRule="auto"/>
        <w:jc w:val="center"/>
        <w:rPr>
          <w:rFonts w:hint="eastAsia" w:ascii="宋体" w:hAnsi="宋体" w:cs="宋体"/>
          <w:b/>
          <w:color w:val="auto"/>
          <w:sz w:val="24"/>
          <w:szCs w:val="24"/>
          <w:highlight w:val="none"/>
          <w:lang w:bidi="ar"/>
        </w:rPr>
      </w:pPr>
      <w:r>
        <w:rPr>
          <w:rFonts w:hint="eastAsia" w:ascii="宋体" w:hAnsi="宋体" w:cs="宋体"/>
          <w:b/>
          <w:color w:val="auto"/>
          <w:sz w:val="24"/>
          <w:szCs w:val="24"/>
          <w:highlight w:val="none"/>
          <w:lang w:bidi="ar"/>
        </w:rPr>
        <w:t>定标前准备工作</w:t>
      </w:r>
    </w:p>
    <w:p>
      <w:pPr>
        <w:adjustRightInd w:val="0"/>
        <w:snapToGrid w:val="0"/>
        <w:spacing w:line="360" w:lineRule="auto"/>
        <w:ind w:firstLine="732" w:firstLineChars="300"/>
        <w:jc w:val="left"/>
        <w:rPr>
          <w:rFonts w:hint="eastAsia" w:ascii="宋体" w:hAnsi="宋体"/>
          <w:color w:val="auto"/>
          <w:sz w:val="24"/>
          <w:highlight w:val="none"/>
          <w:lang w:bidi="ar"/>
        </w:rPr>
      </w:pPr>
      <w:r>
        <w:rPr>
          <w:rFonts w:hint="eastAsia" w:ascii="宋体" w:hAnsi="宋体"/>
          <w:color w:val="auto"/>
          <w:sz w:val="24"/>
          <w:highlight w:val="none"/>
          <w:lang w:bidi="ar"/>
        </w:rPr>
        <w:t xml:space="preserve">1、定标会议前，招标人组织招标代理及邀请知名设计专家（包括但不限于中国科学院院士、中国工程院院士、全国工程勘察设计大师、国内外资深专家、建筑行业具有广泛的影响力和良好声誉的知名人士等）共同组成工作小组（邀请人员应具备较高的专业技术水平，在对应的行业领域具有广泛的影响力和良好的声誉）。 定标委员会成员不得参与定标前期准备工作。 </w:t>
      </w:r>
    </w:p>
    <w:p>
      <w:pPr>
        <w:adjustRightInd w:val="0"/>
        <w:snapToGrid w:val="0"/>
        <w:spacing w:line="360" w:lineRule="auto"/>
        <w:ind w:firstLine="488" w:firstLineChars="200"/>
        <w:jc w:val="left"/>
        <w:rPr>
          <w:rFonts w:hint="eastAsia" w:ascii="宋体" w:hAnsi="宋体"/>
          <w:color w:val="auto"/>
          <w:sz w:val="24"/>
          <w:highlight w:val="none"/>
          <w:lang w:bidi="ar"/>
        </w:rPr>
      </w:pPr>
      <w:r>
        <w:rPr>
          <w:rFonts w:hint="eastAsia" w:ascii="宋体" w:hAnsi="宋体"/>
          <w:color w:val="auto"/>
          <w:sz w:val="24"/>
          <w:highlight w:val="none"/>
          <w:lang w:bidi="ar"/>
        </w:rPr>
        <w:t xml:space="preserve"> 2、工作小组分工：</w:t>
      </w:r>
    </w:p>
    <w:p>
      <w:pPr>
        <w:adjustRightInd w:val="0"/>
        <w:snapToGrid w:val="0"/>
        <w:spacing w:line="360" w:lineRule="auto"/>
        <w:ind w:firstLine="488" w:firstLineChars="200"/>
        <w:jc w:val="left"/>
        <w:rPr>
          <w:rFonts w:hint="eastAsia" w:ascii="宋体" w:hAnsi="宋体"/>
          <w:color w:val="auto"/>
          <w:sz w:val="24"/>
          <w:highlight w:val="none"/>
          <w:lang w:bidi="ar"/>
        </w:rPr>
      </w:pPr>
      <w:r>
        <w:rPr>
          <w:rFonts w:hint="eastAsia" w:ascii="宋体" w:hAnsi="宋体"/>
          <w:color w:val="auto"/>
          <w:sz w:val="24"/>
          <w:highlight w:val="none"/>
          <w:lang w:bidi="ar"/>
        </w:rPr>
        <w:t>（1）招标代理机构负责对商务标进行清标，包括资格审查情况、资信评审情况、团队投入人员情况等。</w:t>
      </w:r>
    </w:p>
    <w:p>
      <w:pPr>
        <w:adjustRightInd w:val="0"/>
        <w:snapToGrid w:val="0"/>
        <w:spacing w:line="360" w:lineRule="auto"/>
        <w:ind w:firstLine="488" w:firstLineChars="200"/>
        <w:jc w:val="left"/>
        <w:rPr>
          <w:rFonts w:hint="eastAsia" w:ascii="宋体" w:hAnsi="宋体"/>
          <w:color w:val="auto"/>
          <w:sz w:val="24"/>
          <w:highlight w:val="none"/>
          <w:lang w:bidi="ar"/>
        </w:rPr>
      </w:pPr>
      <w:r>
        <w:rPr>
          <w:rFonts w:hint="eastAsia" w:ascii="宋体" w:hAnsi="宋体"/>
          <w:color w:val="auto"/>
          <w:sz w:val="24"/>
          <w:highlight w:val="none"/>
          <w:lang w:bidi="ar"/>
        </w:rPr>
        <w:t>（2）知名设计专家对投标人的设计方案进行优劣性以及需求满足程度等技术复核工作，并提出各方案后续实施合理化建议等。</w:t>
      </w:r>
    </w:p>
    <w:p>
      <w:pPr>
        <w:adjustRightInd w:val="0"/>
        <w:snapToGrid w:val="0"/>
        <w:spacing w:line="360" w:lineRule="auto"/>
        <w:ind w:firstLine="488" w:firstLineChars="200"/>
        <w:jc w:val="left"/>
        <w:rPr>
          <w:rFonts w:hint="eastAsia" w:ascii="宋体" w:hAnsi="宋体"/>
          <w:color w:val="auto"/>
          <w:sz w:val="24"/>
          <w:highlight w:val="none"/>
          <w:lang w:bidi="ar"/>
        </w:rPr>
      </w:pPr>
      <w:r>
        <w:rPr>
          <w:rFonts w:hint="eastAsia" w:ascii="宋体" w:hAnsi="宋体"/>
          <w:color w:val="auto"/>
          <w:sz w:val="24"/>
          <w:highlight w:val="none"/>
          <w:lang w:bidi="ar"/>
        </w:rPr>
        <w:t>3、定标准备工作流程及要求</w:t>
      </w:r>
    </w:p>
    <w:p>
      <w:pPr>
        <w:adjustRightInd w:val="0"/>
        <w:snapToGrid w:val="0"/>
        <w:spacing w:line="360" w:lineRule="auto"/>
        <w:ind w:firstLine="488" w:firstLineChars="200"/>
        <w:jc w:val="left"/>
        <w:rPr>
          <w:rFonts w:hint="eastAsia" w:ascii="宋体" w:hAnsi="宋体"/>
          <w:color w:val="auto"/>
          <w:sz w:val="24"/>
          <w:highlight w:val="none"/>
          <w:lang w:bidi="ar"/>
        </w:rPr>
      </w:pPr>
      <w:r>
        <w:rPr>
          <w:rFonts w:hint="eastAsia" w:ascii="宋体" w:hAnsi="宋体"/>
          <w:color w:val="auto"/>
          <w:sz w:val="24"/>
          <w:highlight w:val="none"/>
          <w:lang w:bidi="ar"/>
        </w:rPr>
        <w:t>（1）定标准备工作应定标前完成，由招标人集中组织开展。</w:t>
      </w:r>
    </w:p>
    <w:p>
      <w:pPr>
        <w:adjustRightInd w:val="0"/>
        <w:snapToGrid w:val="0"/>
        <w:spacing w:line="360" w:lineRule="auto"/>
        <w:ind w:firstLine="488" w:firstLineChars="200"/>
        <w:jc w:val="left"/>
        <w:rPr>
          <w:rFonts w:hint="eastAsia" w:ascii="宋体" w:hAnsi="宋体"/>
          <w:color w:val="auto"/>
          <w:sz w:val="24"/>
          <w:highlight w:val="none"/>
          <w:lang w:bidi="ar"/>
        </w:rPr>
      </w:pPr>
      <w:r>
        <w:rPr>
          <w:rFonts w:hint="eastAsia" w:ascii="宋体" w:hAnsi="宋体"/>
          <w:color w:val="auto"/>
          <w:sz w:val="24"/>
          <w:highlight w:val="none"/>
          <w:lang w:bidi="ar"/>
        </w:rPr>
        <w:t>（2）招标人及招标代理单位将所有设计方案重新编号；</w:t>
      </w:r>
    </w:p>
    <w:p>
      <w:pPr>
        <w:adjustRightInd w:val="0"/>
        <w:snapToGrid w:val="0"/>
        <w:spacing w:line="360" w:lineRule="auto"/>
        <w:ind w:firstLine="488" w:firstLineChars="200"/>
        <w:jc w:val="left"/>
        <w:rPr>
          <w:rFonts w:hint="eastAsia" w:ascii="宋体" w:hAnsi="宋体"/>
          <w:color w:val="auto"/>
          <w:sz w:val="24"/>
          <w:highlight w:val="none"/>
          <w:lang w:bidi="ar"/>
        </w:rPr>
      </w:pPr>
      <w:r>
        <w:rPr>
          <w:rFonts w:hint="eastAsia" w:ascii="宋体" w:hAnsi="宋体"/>
          <w:color w:val="auto"/>
          <w:sz w:val="24"/>
          <w:highlight w:val="none"/>
          <w:lang w:bidi="ar"/>
        </w:rPr>
        <w:t>（3）工作小组按设计方案编号出具意见、建议；招标代理单位对商务文件进行清标。</w:t>
      </w:r>
    </w:p>
    <w:p>
      <w:pPr>
        <w:adjustRightInd w:val="0"/>
        <w:snapToGrid w:val="0"/>
        <w:spacing w:line="360" w:lineRule="auto"/>
        <w:ind w:firstLine="488" w:firstLineChars="200"/>
        <w:jc w:val="left"/>
        <w:rPr>
          <w:rFonts w:hint="eastAsia" w:ascii="宋体" w:hAnsi="宋体"/>
          <w:color w:val="auto"/>
          <w:sz w:val="24"/>
          <w:highlight w:val="none"/>
          <w:lang w:bidi="ar"/>
        </w:rPr>
      </w:pPr>
      <w:r>
        <w:rPr>
          <w:rFonts w:hint="eastAsia" w:ascii="宋体" w:hAnsi="宋体"/>
          <w:color w:val="auto"/>
          <w:sz w:val="24"/>
          <w:highlight w:val="none"/>
          <w:lang w:bidi="ar"/>
        </w:rPr>
        <w:t>（4）招标代理单位汇总设计专家意见、建议，按编号所对应的中标候选人出具清标报告。</w:t>
      </w:r>
    </w:p>
    <w:p>
      <w:pPr>
        <w:rPr>
          <w:rFonts w:hint="eastAsia" w:ascii="宋体" w:hAnsi="宋体" w:eastAsia="宋体" w:cs="Times New Roman"/>
          <w:b/>
          <w:bCs/>
          <w:color w:val="auto"/>
          <w:kern w:val="44"/>
          <w:sz w:val="21"/>
          <w:szCs w:val="21"/>
          <w:highlight w:val="none"/>
          <w:lang w:val="en-US" w:eastAsia="zh-CN" w:bidi="ar-SA"/>
        </w:rPr>
      </w:pPr>
    </w:p>
    <w:p>
      <w:pPr>
        <w:rPr>
          <w:rFonts w:hint="eastAsia" w:ascii="宋体" w:hAnsi="宋体" w:eastAsia="宋体" w:cs="Times New Roman"/>
          <w:b/>
          <w:bCs/>
          <w:color w:val="auto"/>
          <w:kern w:val="44"/>
          <w:sz w:val="21"/>
          <w:szCs w:val="21"/>
          <w:highlight w:val="none"/>
          <w:lang w:val="en-US" w:eastAsia="zh-CN" w:bidi="ar-SA"/>
        </w:rPr>
        <w:sectPr>
          <w:pgSz w:w="11905" w:h="16838"/>
          <w:pgMar w:top="1440" w:right="1468" w:bottom="1440" w:left="1440" w:header="851" w:footer="992" w:gutter="0"/>
          <w:pgBorders>
            <w:top w:val="none" w:sz="0" w:space="0"/>
            <w:left w:val="none" w:sz="0" w:space="0"/>
            <w:bottom w:val="none" w:sz="0" w:space="0"/>
            <w:right w:val="none" w:sz="0" w:space="0"/>
          </w:pgBorders>
          <w:cols w:space="0" w:num="1"/>
          <w:rtlGutter w:val="0"/>
          <w:docGrid w:type="linesAndChars" w:linePitch="321" w:charSpace="863"/>
        </w:sectPr>
      </w:pPr>
    </w:p>
    <w:p>
      <w:pPr>
        <w:outlineLvl w:val="1"/>
        <w:rPr>
          <w:rFonts w:hint="eastAsia" w:ascii="宋体" w:hAnsi="宋体" w:eastAsia="宋体" w:cs="Times New Roman"/>
          <w:b/>
          <w:bCs/>
          <w:color w:val="auto"/>
          <w:kern w:val="44"/>
          <w:sz w:val="21"/>
          <w:szCs w:val="21"/>
          <w:highlight w:val="none"/>
          <w:lang w:val="en-US" w:eastAsia="zh-CN" w:bidi="ar-SA"/>
        </w:rPr>
      </w:pPr>
      <w:bookmarkStart w:id="71" w:name="_Toc5197"/>
      <w:r>
        <w:rPr>
          <w:rFonts w:hint="eastAsia" w:ascii="宋体" w:hAnsi="宋体" w:eastAsia="宋体" w:cs="Times New Roman"/>
          <w:b/>
          <w:bCs/>
          <w:color w:val="auto"/>
          <w:kern w:val="44"/>
          <w:sz w:val="21"/>
          <w:szCs w:val="21"/>
          <w:highlight w:val="none"/>
          <w:lang w:val="en-US" w:eastAsia="zh-CN" w:bidi="ar-SA"/>
        </w:rPr>
        <w:t xml:space="preserve">附录15-1 </w:t>
      </w:r>
      <w:bookmarkStart w:id="72" w:name="OLE_LINK19"/>
      <w:r>
        <w:rPr>
          <w:rFonts w:hint="eastAsia" w:ascii="宋体" w:hAnsi="宋体" w:eastAsia="宋体" w:cs="Times New Roman"/>
          <w:b/>
          <w:bCs/>
          <w:color w:val="auto"/>
          <w:kern w:val="44"/>
          <w:sz w:val="21"/>
          <w:szCs w:val="21"/>
          <w:highlight w:val="none"/>
          <w:lang w:val="en-US" w:eastAsia="zh-CN" w:bidi="ar-SA"/>
        </w:rPr>
        <w:t>勘察设计</w:t>
      </w:r>
      <w:r>
        <w:rPr>
          <w:rFonts w:hint="default" w:ascii="宋体" w:hAnsi="宋体" w:eastAsia="宋体" w:cs="Times New Roman"/>
          <w:b/>
          <w:bCs/>
          <w:color w:val="auto"/>
          <w:kern w:val="44"/>
          <w:sz w:val="21"/>
          <w:szCs w:val="21"/>
          <w:highlight w:val="none"/>
          <w:lang w:val="en-US" w:eastAsia="zh-CN" w:bidi="ar-SA"/>
        </w:rPr>
        <w:t>工作</w:t>
      </w:r>
      <w:r>
        <w:rPr>
          <w:rFonts w:hint="eastAsia" w:ascii="宋体" w:hAnsi="宋体" w:eastAsia="宋体" w:cs="Times New Roman"/>
          <w:b/>
          <w:bCs/>
          <w:color w:val="auto"/>
          <w:kern w:val="44"/>
          <w:sz w:val="21"/>
          <w:szCs w:val="21"/>
          <w:highlight w:val="none"/>
          <w:lang w:val="en-US" w:eastAsia="zh-CN" w:bidi="ar-SA"/>
        </w:rPr>
        <w:t>方案评审记录表</w:t>
      </w:r>
      <w:bookmarkEnd w:id="71"/>
      <w:bookmarkEnd w:id="72"/>
    </w:p>
    <w:p>
      <w:pPr>
        <w:spacing w:line="360" w:lineRule="auto"/>
        <w:jc w:val="center"/>
        <w:rPr>
          <w:rFonts w:ascii="宋体" w:hAnsi="宋体" w:eastAsia="宋体" w:cs="Times New Roman"/>
          <w:color w:val="auto"/>
          <w:sz w:val="24"/>
          <w:highlight w:val="none"/>
        </w:rPr>
      </w:pPr>
      <w:bookmarkStart w:id="73" w:name="OLE_LINK16"/>
      <w:r>
        <w:rPr>
          <w:rFonts w:hint="default" w:ascii="宋体" w:hAnsi="宋体" w:eastAsia="宋体" w:cs="Times New Roman"/>
          <w:b/>
          <w:bCs/>
          <w:color w:val="auto"/>
          <w:sz w:val="32"/>
          <w:highlight w:val="none"/>
        </w:rPr>
        <w:t>勘察</w:t>
      </w:r>
      <w:r>
        <w:rPr>
          <w:rFonts w:hint="eastAsia" w:ascii="宋体" w:hAnsi="宋体" w:eastAsia="宋体" w:cs="Times New Roman"/>
          <w:b/>
          <w:bCs/>
          <w:color w:val="auto"/>
          <w:sz w:val="32"/>
          <w:highlight w:val="none"/>
        </w:rPr>
        <w:t>设计</w:t>
      </w:r>
      <w:r>
        <w:rPr>
          <w:rFonts w:hint="default" w:ascii="宋体" w:hAnsi="宋体" w:eastAsia="宋体" w:cs="Times New Roman"/>
          <w:b/>
          <w:bCs/>
          <w:color w:val="auto"/>
          <w:sz w:val="32"/>
          <w:highlight w:val="none"/>
        </w:rPr>
        <w:t>工作</w:t>
      </w:r>
      <w:r>
        <w:rPr>
          <w:rFonts w:hint="eastAsia" w:ascii="宋体" w:hAnsi="宋体" w:eastAsia="宋体" w:cs="Times New Roman"/>
          <w:b/>
          <w:bCs/>
          <w:color w:val="auto"/>
          <w:sz w:val="32"/>
          <w:highlight w:val="none"/>
        </w:rPr>
        <w:t>方案评审记录表</w:t>
      </w:r>
    </w:p>
    <w:p>
      <w:pPr>
        <w:spacing w:line="360" w:lineRule="auto"/>
        <w:rPr>
          <w:rFonts w:ascii="宋体" w:hAnsi="宋体" w:eastAsia="宋体" w:cs="Times New Roman"/>
          <w:color w:val="auto"/>
          <w:sz w:val="24"/>
          <w:highlight w:val="none"/>
        </w:rPr>
      </w:pPr>
      <w:r>
        <w:rPr>
          <w:rFonts w:hint="eastAsia" w:ascii="宋体" w:hAnsi="宋体" w:eastAsia="宋体" w:cs="Times New Roman"/>
          <w:color w:val="auto"/>
          <w:sz w:val="24"/>
          <w:highlight w:val="none"/>
        </w:rPr>
        <w:t>项目名称：</w:t>
      </w:r>
      <w:r>
        <w:rPr>
          <w:rFonts w:ascii="宋体" w:hAnsi="宋体" w:eastAsia="宋体" w:cs="Times New Roman"/>
          <w:color w:val="auto"/>
          <w:sz w:val="24"/>
          <w:highlight w:val="none"/>
        </w:rPr>
        <w:t xml:space="preserve">                                </w:t>
      </w:r>
      <w:bookmarkEnd w:id="73"/>
      <w:r>
        <w:rPr>
          <w:rFonts w:ascii="宋体" w:hAnsi="宋体" w:eastAsia="宋体" w:cs="Times New Roman"/>
          <w:color w:val="auto"/>
          <w:sz w:val="24"/>
          <w:highlight w:val="none"/>
        </w:rPr>
        <w:t xml:space="preserve">                                                               </w:t>
      </w:r>
    </w:p>
    <w:tbl>
      <w:tblPr>
        <w:tblStyle w:val="11"/>
        <w:tblW w:w="13803"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54"/>
        <w:gridCol w:w="8701"/>
        <w:gridCol w:w="1309"/>
        <w:gridCol w:w="1204"/>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 w:hRule="atLeast"/>
        </w:trPr>
        <w:tc>
          <w:tcPr>
            <w:tcW w:w="14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序号</w:t>
            </w:r>
          </w:p>
        </w:tc>
        <w:tc>
          <w:tcPr>
            <w:tcW w:w="870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主要评判因素</w:t>
            </w:r>
          </w:p>
        </w:tc>
        <w:tc>
          <w:tcPr>
            <w:tcW w:w="13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较好方案</w:t>
            </w:r>
          </w:p>
        </w:tc>
        <w:tc>
          <w:tcPr>
            <w:tcW w:w="1204"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一般方案</w:t>
            </w:r>
          </w:p>
        </w:tc>
        <w:tc>
          <w:tcPr>
            <w:tcW w:w="1135"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较差方案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99" w:hRule="atLeast"/>
        </w:trPr>
        <w:tc>
          <w:tcPr>
            <w:tcW w:w="14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1概念</w:t>
            </w:r>
          </w:p>
        </w:tc>
        <w:tc>
          <w:tcPr>
            <w:tcW w:w="870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default" w:ascii="宋体" w:hAnsi="宋体"/>
                <w:color w:val="auto"/>
                <w:highlight w:val="none"/>
              </w:rPr>
            </w:pPr>
            <w:r>
              <w:rPr>
                <w:rFonts w:hint="eastAsia" w:ascii="宋体" w:hAnsi="宋体"/>
                <w:color w:val="auto"/>
                <w:highlight w:val="none"/>
              </w:rPr>
              <w:t>符合适用、经济、绿色和美观原则，结合地理、气候、风俗、文化和个性特点，</w:t>
            </w:r>
            <w:r>
              <w:rPr>
                <w:rFonts w:hint="default" w:ascii="宋体" w:hAnsi="宋体"/>
                <w:color w:val="auto"/>
                <w:highlight w:val="none"/>
                <w:u w:val="single"/>
                <w:lang w:eastAsia="zh-CN"/>
              </w:rPr>
              <w:t>以塑造广州法冶建设标志性名片为目标，通过建筑形态表达，彰显法治精神与城市文化的融合。坚持  “以人为本”核心，深度融入现代化司法工作模式需求，营造兼具仪式感与亲和力的建筑环境；在设计理念上，突破传统司法建筑的刻板印象，探索法治文化与现代建筑的创新结合；在空间利用、智能化应用上要具备创新性和前瞻性；充分体现现代、科技、绿色、节能，实用、舒适，提升使用体验，打造集“标志性、功能性、人文性、可持续性”于一体的现代化法治建筑典范。</w:t>
            </w:r>
          </w:p>
        </w:tc>
        <w:tc>
          <w:tcPr>
            <w:tcW w:w="13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color w:val="auto"/>
                <w:kern w:val="2"/>
                <w:sz w:val="21"/>
                <w:szCs w:val="21"/>
                <w:highlight w:val="none"/>
              </w:rPr>
            </w:pPr>
          </w:p>
        </w:tc>
        <w:tc>
          <w:tcPr>
            <w:tcW w:w="1204"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color w:val="auto"/>
                <w:kern w:val="2"/>
                <w:sz w:val="21"/>
                <w:szCs w:val="21"/>
                <w:highlight w:val="none"/>
              </w:rPr>
            </w:pPr>
          </w:p>
        </w:tc>
        <w:tc>
          <w:tcPr>
            <w:tcW w:w="1135"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62" w:hRule="atLeast"/>
        </w:trPr>
        <w:tc>
          <w:tcPr>
            <w:tcW w:w="14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2规划</w:t>
            </w:r>
          </w:p>
        </w:tc>
        <w:tc>
          <w:tcPr>
            <w:tcW w:w="870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numPr>
                <w:ilvl w:val="0"/>
                <w:numId w:val="0"/>
              </w:numPr>
              <w:suppressLineNumbers w:val="0"/>
              <w:kinsoku/>
              <w:wordWrap/>
              <w:overflowPunct/>
              <w:topLinePunct w:val="0"/>
              <w:bidi w:val="0"/>
              <w:spacing w:before="0" w:beforeAutospacing="0" w:after="0" w:afterAutospacing="0" w:line="560" w:lineRule="exact"/>
              <w:ind w:left="0" w:right="0"/>
              <w:textAlignment w:val="auto"/>
              <w:rPr>
                <w:rFonts w:hint="default" w:ascii="宋体" w:hAnsi="宋体" w:eastAsia="宋体" w:cs="Times New Roman"/>
                <w:color w:val="auto"/>
                <w:kern w:val="2"/>
                <w:sz w:val="21"/>
                <w:szCs w:val="21"/>
                <w:highlight w:val="none"/>
              </w:rPr>
            </w:pPr>
            <w:r>
              <w:rPr>
                <w:rFonts w:hint="eastAsia" w:ascii="宋体" w:hAnsi="宋体"/>
                <w:color w:val="auto"/>
                <w:highlight w:val="none"/>
              </w:rPr>
              <w:t>符合规划设计条件，主要轴线布置合理，因地制宜、充分考虑地域环境条件，减少对周围环境的损害，建筑环境与空间造型和谐统一，充分协调好周边建筑景观的关系</w:t>
            </w:r>
            <w:r>
              <w:rPr>
                <w:rFonts w:hint="eastAsia" w:ascii="宋体" w:hAnsi="宋体"/>
                <w:color w:val="auto"/>
                <w:highlight w:val="none"/>
                <w:lang w:eastAsia="zh-CN"/>
              </w:rPr>
              <w:t>。</w:t>
            </w:r>
            <w:r>
              <w:rPr>
                <w:rFonts w:hint="default" w:ascii="宋体" w:hAnsi="宋体"/>
                <w:color w:val="auto"/>
                <w:highlight w:val="none"/>
                <w:u w:val="single"/>
              </w:rPr>
              <w:t>严格按照广州法治大厦的功能定位进行规划设计，在保证各项使用功能的同时要注重各使用单位运行的辅助功能、后勤保障功能、科技服务功能、安全防范功能的规划设计，各功能之间应相辅相成。</w:t>
            </w:r>
          </w:p>
        </w:tc>
        <w:tc>
          <w:tcPr>
            <w:tcW w:w="13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1"/>
                <w:szCs w:val="21"/>
                <w:highlight w:val="none"/>
              </w:rPr>
            </w:pPr>
          </w:p>
        </w:tc>
        <w:tc>
          <w:tcPr>
            <w:tcW w:w="1204"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1"/>
                <w:szCs w:val="21"/>
                <w:highlight w:val="none"/>
              </w:rPr>
            </w:pPr>
          </w:p>
        </w:tc>
        <w:tc>
          <w:tcPr>
            <w:tcW w:w="1135"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12" w:hRule="atLeast"/>
        </w:trPr>
        <w:tc>
          <w:tcPr>
            <w:tcW w:w="14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1"/>
                <w:szCs w:val="21"/>
                <w:highlight w:val="none"/>
                <w:lang w:val="en-US"/>
              </w:rPr>
            </w:pPr>
            <w:r>
              <w:rPr>
                <w:rFonts w:hint="eastAsia" w:ascii="宋体" w:hAnsi="宋体" w:eastAsia="宋体" w:cs="宋体"/>
                <w:color w:val="auto"/>
                <w:kern w:val="2"/>
                <w:sz w:val="21"/>
                <w:szCs w:val="21"/>
                <w:highlight w:val="none"/>
                <w:lang w:val="en-US" w:eastAsia="zh-CN" w:bidi="ar"/>
              </w:rPr>
              <w:t>3交通</w:t>
            </w:r>
          </w:p>
        </w:tc>
        <w:tc>
          <w:tcPr>
            <w:tcW w:w="870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default" w:ascii="宋体" w:hAnsi="宋体" w:eastAsia="宋体" w:cs="Times New Roman"/>
                <w:color w:val="auto"/>
                <w:kern w:val="2"/>
                <w:sz w:val="21"/>
                <w:szCs w:val="21"/>
                <w:highlight w:val="none"/>
              </w:rPr>
            </w:pPr>
            <w:r>
              <w:rPr>
                <w:rFonts w:hint="eastAsia" w:ascii="宋体" w:hAnsi="宋体"/>
                <w:color w:val="auto"/>
                <w:highlight w:val="none"/>
              </w:rPr>
              <w:t>交通流线清晰，电梯的位置和数量合理，停车体系完善，连接方便，避免交通阻隔和绕行，减少无效路程，可快速疏通人流，提高交通效率。</w:t>
            </w:r>
            <w:r>
              <w:rPr>
                <w:rFonts w:hint="eastAsia" w:ascii="宋体" w:hAnsi="宋体" w:eastAsia="宋体" w:cs="宋体"/>
                <w:color w:val="auto"/>
                <w:kern w:val="2"/>
                <w:sz w:val="21"/>
                <w:szCs w:val="21"/>
                <w:highlight w:val="none"/>
                <w:u w:val="single"/>
                <w:lang w:val="en-US" w:eastAsia="zh-CN" w:bidi="ar"/>
              </w:rPr>
              <w:t>停车位数量合理，满足办公使用需求。结合项目超高层建筑的功能分布和使用特点，合理进行竖向分区、交通组织、楼宇自控系统、流线设置</w:t>
            </w:r>
            <w:r>
              <w:rPr>
                <w:rFonts w:hint="default" w:ascii="宋体" w:hAnsi="宋体" w:eastAsia="宋体" w:cs="宋体"/>
                <w:color w:val="auto"/>
                <w:kern w:val="2"/>
                <w:sz w:val="21"/>
                <w:szCs w:val="21"/>
                <w:highlight w:val="none"/>
                <w:u w:val="single"/>
                <w:lang w:eastAsia="zh-CN" w:bidi="ar"/>
              </w:rPr>
              <w:t>。</w:t>
            </w:r>
          </w:p>
        </w:tc>
        <w:tc>
          <w:tcPr>
            <w:tcW w:w="13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1"/>
                <w:szCs w:val="21"/>
                <w:highlight w:val="none"/>
              </w:rPr>
            </w:pPr>
          </w:p>
        </w:tc>
        <w:tc>
          <w:tcPr>
            <w:tcW w:w="1204"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1"/>
                <w:szCs w:val="21"/>
                <w:highlight w:val="none"/>
              </w:rPr>
            </w:pPr>
          </w:p>
        </w:tc>
        <w:tc>
          <w:tcPr>
            <w:tcW w:w="1135"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29" w:hRule="atLeast"/>
        </w:trPr>
        <w:tc>
          <w:tcPr>
            <w:tcW w:w="14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4使用功能</w:t>
            </w:r>
          </w:p>
        </w:tc>
        <w:tc>
          <w:tcPr>
            <w:tcW w:w="870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default"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u w:val="single"/>
                <w:lang w:val="en-US" w:eastAsia="zh-CN" w:bidi="ar"/>
              </w:rPr>
              <w:t>满足使用单位较多，使用需求、使用习惯差异较大需求，以及部分空间需面向群众开放等多样使用需求。</w:t>
            </w:r>
            <w:r>
              <w:rPr>
                <w:rFonts w:hint="eastAsia" w:ascii="宋体" w:hAnsi="宋体"/>
                <w:color w:val="auto"/>
                <w:highlight w:val="none"/>
                <w:u w:val="single"/>
              </w:rPr>
              <w:t>建成协同工作、及时有效、综合、集成化的办公环境，优化提升业务流程的工作效率。</w:t>
            </w:r>
            <w:r>
              <w:rPr>
                <w:rFonts w:hint="eastAsia" w:ascii="宋体" w:hAnsi="宋体"/>
                <w:color w:val="auto"/>
                <w:highlight w:val="none"/>
              </w:rPr>
              <w:t>空间布局合理，噪声隔绝，避免视线干扰，房屋散热，空气流通，朝向和开窗合理。从使用者的角度考虑单元设计，具有预见性和适应性，舒适实用，功能齐全、满足使用要求，有充分的可实施性，多功能使用的灵活性，可再调整分隔，迅速、廉价地改变布局。</w:t>
            </w:r>
          </w:p>
        </w:tc>
        <w:tc>
          <w:tcPr>
            <w:tcW w:w="13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1"/>
                <w:szCs w:val="21"/>
                <w:highlight w:val="none"/>
              </w:rPr>
            </w:pPr>
          </w:p>
        </w:tc>
        <w:tc>
          <w:tcPr>
            <w:tcW w:w="1204"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1"/>
                <w:szCs w:val="21"/>
                <w:highlight w:val="none"/>
              </w:rPr>
            </w:pPr>
          </w:p>
        </w:tc>
        <w:tc>
          <w:tcPr>
            <w:tcW w:w="1135"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73" w:hRule="atLeast"/>
        </w:trPr>
        <w:tc>
          <w:tcPr>
            <w:tcW w:w="14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5建筑外观</w:t>
            </w:r>
          </w:p>
        </w:tc>
        <w:tc>
          <w:tcPr>
            <w:tcW w:w="870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numPr>
                <w:ilvl w:val="0"/>
                <w:numId w:val="0"/>
              </w:numPr>
              <w:suppressLineNumbers w:val="0"/>
              <w:kinsoku/>
              <w:wordWrap/>
              <w:overflowPunct/>
              <w:topLinePunct w:val="0"/>
              <w:bidi w:val="0"/>
              <w:spacing w:before="0" w:beforeAutospacing="0" w:after="0" w:afterAutospacing="0" w:line="560" w:lineRule="exact"/>
              <w:ind w:left="0" w:right="0"/>
              <w:textAlignment w:val="auto"/>
              <w:rPr>
                <w:rFonts w:hint="default" w:ascii="宋体" w:hAnsi="宋体" w:eastAsia="宋体" w:cs="Times New Roman"/>
                <w:color w:val="auto"/>
                <w:kern w:val="2"/>
                <w:sz w:val="21"/>
                <w:szCs w:val="21"/>
                <w:highlight w:val="none"/>
              </w:rPr>
            </w:pPr>
            <w:r>
              <w:rPr>
                <w:rFonts w:hint="eastAsia" w:ascii="宋体" w:hAnsi="宋体"/>
                <w:color w:val="auto"/>
                <w:highlight w:val="none"/>
              </w:rPr>
              <w:t>建筑形式清晰、细腻、精致、简洁，视觉效果良好，</w:t>
            </w:r>
            <w:r>
              <w:rPr>
                <w:rFonts w:hint="eastAsia" w:ascii="宋体" w:hAnsi="宋体" w:cstheme="minorBidi"/>
                <w:color w:val="auto"/>
                <w:kern w:val="2"/>
                <w:sz w:val="21"/>
                <w:highlight w:val="none"/>
              </w:rPr>
              <w:t>建筑外观与传统文化及周边环境整体和谐，</w:t>
            </w:r>
            <w:r>
              <w:rPr>
                <w:rFonts w:hint="default" w:ascii="宋体" w:hAnsi="宋体"/>
                <w:color w:val="auto"/>
                <w:highlight w:val="none"/>
                <w:u w:val="single"/>
                <w:lang w:eastAsia="zh-CN"/>
              </w:rPr>
              <w:t>整体建筑形象应庄严大方、稳重大气，能彰显法治的公正严明和不忘“以人为本”的理念，能体现现代化司法形象。立面设计应使用流畅简洁的线条，体现出庄重稳健的特质。采用现代建筑材料，如玻璃、金属等，以提升建筑的现代感和科技感。</w:t>
            </w:r>
          </w:p>
        </w:tc>
        <w:tc>
          <w:tcPr>
            <w:tcW w:w="13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1"/>
                <w:szCs w:val="21"/>
                <w:highlight w:val="none"/>
              </w:rPr>
            </w:pPr>
          </w:p>
        </w:tc>
        <w:tc>
          <w:tcPr>
            <w:tcW w:w="1204"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1"/>
                <w:szCs w:val="21"/>
                <w:highlight w:val="none"/>
              </w:rPr>
            </w:pPr>
          </w:p>
        </w:tc>
        <w:tc>
          <w:tcPr>
            <w:tcW w:w="1135"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14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821" w:leftChars="0" w:right="0" w:hanging="821" w:firstLineChars="0"/>
              <w:jc w:val="center"/>
              <w:rPr>
                <w:rFonts w:hint="default" w:ascii="宋体" w:hAnsi="宋体" w:eastAsia="宋体" w:cstheme="minorBidi"/>
                <w:bCs/>
                <w:color w:val="auto"/>
                <w:kern w:val="2"/>
                <w:sz w:val="21"/>
                <w:szCs w:val="21"/>
                <w:highlight w:val="none"/>
                <w:lang w:val="en-US" w:eastAsia="zh-CN" w:bidi="ar-SA"/>
              </w:rPr>
            </w:pPr>
            <w:r>
              <w:rPr>
                <w:rFonts w:hint="eastAsia" w:ascii="宋体" w:hAnsi="宋体"/>
                <w:bCs/>
                <w:color w:val="auto"/>
                <w:szCs w:val="21"/>
                <w:highlight w:val="none"/>
                <w:lang w:val="en-US" w:eastAsia="zh-CN"/>
              </w:rPr>
              <w:t>6无障碍</w:t>
            </w:r>
          </w:p>
        </w:tc>
        <w:tc>
          <w:tcPr>
            <w:tcW w:w="870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有残疾人专用通道、扶手、卫生间，轮椅从行人道上应能无障碍地到达公共建筑的任何房间，无障碍地到达建筑的首层电梯间或楼梯间，建筑物入口或地下停车库电梯间附近设置残疾人停车位。</w:t>
            </w:r>
          </w:p>
        </w:tc>
        <w:tc>
          <w:tcPr>
            <w:tcW w:w="13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1"/>
                <w:szCs w:val="21"/>
                <w:highlight w:val="none"/>
              </w:rPr>
            </w:pPr>
          </w:p>
        </w:tc>
        <w:tc>
          <w:tcPr>
            <w:tcW w:w="1204"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1"/>
                <w:szCs w:val="21"/>
                <w:highlight w:val="none"/>
              </w:rPr>
            </w:pPr>
          </w:p>
        </w:tc>
        <w:tc>
          <w:tcPr>
            <w:tcW w:w="1135"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12" w:hRule="atLeast"/>
        </w:trPr>
        <w:tc>
          <w:tcPr>
            <w:tcW w:w="14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7建筑经济</w:t>
            </w:r>
          </w:p>
        </w:tc>
        <w:tc>
          <w:tcPr>
            <w:tcW w:w="870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default"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设计模数协调，符合设计标准、规范，造价合理、指标准确，工程造价估算不突破规定的控制要求，</w:t>
            </w:r>
            <w:r>
              <w:rPr>
                <w:rFonts w:hint="eastAsia" w:ascii="宋体" w:hAnsi="宋体" w:eastAsia="宋体" w:cs="宋体"/>
                <w:color w:val="auto"/>
                <w:kern w:val="2"/>
                <w:sz w:val="21"/>
                <w:szCs w:val="21"/>
                <w:highlight w:val="none"/>
                <w:u w:val="single"/>
                <w:lang w:val="en-US" w:eastAsia="zh-CN" w:bidi="ar"/>
              </w:rPr>
              <w:t>材料与构造符合国情并适用于</w:t>
            </w:r>
            <w:r>
              <w:rPr>
                <w:rFonts w:hint="default" w:ascii="宋体" w:hAnsi="宋体" w:eastAsia="宋体" w:cs="宋体"/>
                <w:color w:val="auto"/>
                <w:kern w:val="2"/>
                <w:sz w:val="21"/>
                <w:szCs w:val="21"/>
                <w:highlight w:val="none"/>
                <w:u w:val="single"/>
                <w:lang w:eastAsia="zh-CN" w:bidi="ar"/>
              </w:rPr>
              <w:t>岭南</w:t>
            </w:r>
            <w:r>
              <w:rPr>
                <w:rFonts w:hint="eastAsia" w:ascii="宋体" w:hAnsi="宋体" w:eastAsia="宋体" w:cs="宋体"/>
                <w:color w:val="auto"/>
                <w:kern w:val="2"/>
                <w:sz w:val="21"/>
                <w:szCs w:val="21"/>
                <w:highlight w:val="none"/>
                <w:u w:val="single"/>
                <w:lang w:val="en-US" w:eastAsia="zh-CN" w:bidi="ar"/>
              </w:rPr>
              <w:t>地区</w:t>
            </w:r>
            <w:r>
              <w:rPr>
                <w:rFonts w:hint="eastAsia" w:ascii="宋体" w:hAnsi="宋体" w:eastAsia="宋体" w:cs="宋体"/>
                <w:color w:val="auto"/>
                <w:kern w:val="2"/>
                <w:sz w:val="21"/>
                <w:szCs w:val="21"/>
                <w:highlight w:val="none"/>
                <w:lang w:val="en-US" w:eastAsia="zh-CN" w:bidi="ar"/>
              </w:rPr>
              <w:t>，建成后节省管理和维护费用。同时充分体现限额设计技术应对策略。</w:t>
            </w:r>
          </w:p>
        </w:tc>
        <w:tc>
          <w:tcPr>
            <w:tcW w:w="13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1"/>
                <w:szCs w:val="21"/>
                <w:highlight w:val="none"/>
              </w:rPr>
            </w:pPr>
          </w:p>
        </w:tc>
        <w:tc>
          <w:tcPr>
            <w:tcW w:w="1204"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1"/>
                <w:szCs w:val="21"/>
                <w:highlight w:val="none"/>
              </w:rPr>
            </w:pPr>
          </w:p>
        </w:tc>
        <w:tc>
          <w:tcPr>
            <w:tcW w:w="1135"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80" w:hRule="atLeast"/>
        </w:trPr>
        <w:tc>
          <w:tcPr>
            <w:tcW w:w="14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8重难点分析及解决方案</w:t>
            </w:r>
          </w:p>
        </w:tc>
        <w:tc>
          <w:tcPr>
            <w:tcW w:w="870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针对本项目设计重点难点分析是否全面、具体，有无针对性，解决方案是否合理可行。</w:t>
            </w:r>
          </w:p>
          <w:p>
            <w:pPr>
              <w:keepNext w:val="0"/>
              <w:keepLines w:val="0"/>
              <w:suppressLineNumbers w:val="0"/>
              <w:spacing w:before="0" w:beforeAutospacing="0" w:after="0" w:afterAutospacing="0" w:line="360" w:lineRule="auto"/>
              <w:ind w:left="0" w:right="0" w:firstLineChars="0"/>
              <w:jc w:val="left"/>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备注：本项目的重点难点为：</w:t>
            </w:r>
          </w:p>
          <w:p>
            <w:pPr>
              <w:keepNext w:val="0"/>
              <w:keepLines w:val="0"/>
              <w:suppressLineNumbers w:val="0"/>
              <w:spacing w:before="0" w:beforeAutospacing="0" w:after="0" w:afterAutospacing="0" w:line="360" w:lineRule="auto"/>
              <w:ind w:left="0" w:right="0" w:firstLineChars="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snapToGrid w:val="0"/>
                <w:color w:val="auto"/>
                <w:sz w:val="21"/>
                <w:szCs w:val="21"/>
                <w:highlight w:val="none"/>
                <w:lang w:val="en-US" w:eastAsia="zh-CN"/>
              </w:rPr>
              <w:t>作为未来广州在粤港澳大湾区法治建设领域的标志性建筑，广州法治大厦</w:t>
            </w:r>
            <w:r>
              <w:rPr>
                <w:rFonts w:hint="eastAsia" w:ascii="宋体" w:hAnsi="宋体" w:eastAsia="宋体" w:cs="宋体"/>
                <w:b/>
                <w:bCs/>
                <w:dstrike w:val="0"/>
                <w:snapToGrid w:val="0"/>
                <w:color w:val="auto"/>
                <w:sz w:val="21"/>
                <w:szCs w:val="21"/>
                <w:highlight w:val="none"/>
                <w:lang w:val="en-US" w:eastAsia="zh-CN"/>
              </w:rPr>
              <w:t>彰显广州在推动区域法治一体化进程中的标志性工程，</w:t>
            </w:r>
            <w:r>
              <w:rPr>
                <w:rFonts w:hint="default" w:ascii="宋体" w:hAnsi="宋体" w:eastAsia="宋体" w:cs="宋体"/>
                <w:b/>
                <w:bCs/>
                <w:dstrike w:val="0"/>
                <w:snapToGrid w:val="0"/>
                <w:color w:val="auto"/>
                <w:sz w:val="21"/>
                <w:szCs w:val="21"/>
                <w:highlight w:val="none"/>
                <w:lang w:eastAsia="zh-CN"/>
              </w:rPr>
              <w:t>本项目</w:t>
            </w:r>
            <w:r>
              <w:rPr>
                <w:rFonts w:hint="default" w:ascii="宋体" w:hAnsi="宋体" w:eastAsia="宋体" w:cs="宋体"/>
                <w:b/>
                <w:bCs/>
                <w:snapToGrid w:val="0"/>
                <w:color w:val="auto"/>
                <w:sz w:val="21"/>
                <w:szCs w:val="21"/>
                <w:highlight w:val="none"/>
                <w:lang w:eastAsia="zh-CN"/>
              </w:rPr>
              <w:t>将吸纳广州互联网法院和广州仲裁委员会等政法单位入驻，承担探索网络法治中国样本、打造国际仲裁中心等重要使命，</w:t>
            </w:r>
            <w:r>
              <w:rPr>
                <w:rFonts w:hint="eastAsia" w:ascii="宋体" w:hAnsi="宋体" w:eastAsia="宋体" w:cs="宋体"/>
                <w:b/>
                <w:bCs/>
                <w:snapToGrid w:val="0"/>
                <w:color w:val="auto"/>
                <w:sz w:val="21"/>
                <w:szCs w:val="21"/>
                <w:highlight w:val="none"/>
                <w:lang w:val="en-US" w:eastAsia="zh-CN"/>
              </w:rPr>
              <w:t>项目整体设计特别是外立面设计需体现海珠云上片区法律服务业与数字经济产业集群融合互动的发展理念，并与琶洲西区整体城市设计相协调</w:t>
            </w:r>
            <w:r>
              <w:rPr>
                <w:rFonts w:hint="eastAsia" w:ascii="宋体" w:hAnsi="宋体" w:eastAsia="宋体" w:cs="宋体"/>
                <w:b/>
                <w:bCs/>
                <w:color w:val="auto"/>
                <w:sz w:val="21"/>
                <w:szCs w:val="21"/>
                <w:highlight w:val="none"/>
                <w:lang w:val="en-US" w:eastAsia="zh-CN"/>
              </w:rPr>
              <w:t>；</w:t>
            </w:r>
          </w:p>
          <w:p>
            <w:pPr>
              <w:keepNext w:val="0"/>
              <w:keepLines w:val="0"/>
              <w:suppressLineNumbers w:val="0"/>
              <w:spacing w:before="0" w:beforeAutospacing="0" w:after="0" w:afterAutospacing="0" w:line="360" w:lineRule="auto"/>
              <w:ind w:left="0" w:right="0" w:firstLineChars="0"/>
              <w:jc w:val="left"/>
              <w:rPr>
                <w:rFonts w:hint="eastAsia" w:ascii="宋体" w:hAnsi="宋体" w:eastAsia="宋体" w:cs="宋体"/>
                <w:b/>
                <w:bCs/>
                <w:snapToGrid w:val="0"/>
                <w:color w:val="auto"/>
                <w:sz w:val="21"/>
                <w:szCs w:val="21"/>
                <w:highlight w:val="none"/>
                <w:lang w:val="en-US" w:eastAsia="zh-CN"/>
              </w:rPr>
            </w:pPr>
            <w:r>
              <w:rPr>
                <w:rFonts w:hint="eastAsia" w:ascii="宋体" w:hAnsi="宋体" w:eastAsia="宋体" w:cs="宋体"/>
                <w:b/>
                <w:bCs/>
                <w:snapToGrid w:val="0"/>
                <w:color w:val="auto"/>
                <w:sz w:val="21"/>
                <w:szCs w:val="21"/>
                <w:highlight w:val="none"/>
                <w:lang w:val="en-US" w:eastAsia="zh-CN"/>
              </w:rPr>
              <w:t>（2）本项目精细化设计要求及投资控制要求较高，立项批复每平方工程费用少于同类型项目，设计单位需对落实限额设计要求作出分析论证，并着重就满足结构要求的基础上，分析项目装修、机电等内容的建设标准；</w:t>
            </w:r>
          </w:p>
          <w:p>
            <w:pPr>
              <w:keepNext w:val="0"/>
              <w:keepLines w:val="0"/>
              <w:suppressLineNumbers w:val="0"/>
              <w:spacing w:before="0" w:beforeAutospacing="0" w:after="0" w:afterAutospacing="0" w:line="360" w:lineRule="auto"/>
              <w:ind w:left="0" w:right="0" w:firstLineChars="0"/>
              <w:jc w:val="left"/>
              <w:rPr>
                <w:rFonts w:hint="eastAsia" w:ascii="宋体" w:hAnsi="宋体" w:eastAsia="宋体" w:cs="宋体"/>
                <w:b/>
                <w:bCs/>
                <w:snapToGrid w:val="0"/>
                <w:color w:val="auto"/>
                <w:sz w:val="21"/>
                <w:szCs w:val="21"/>
                <w:highlight w:val="none"/>
                <w:lang w:val="en-US" w:eastAsia="zh-CN"/>
              </w:rPr>
            </w:pPr>
            <w:r>
              <w:rPr>
                <w:rFonts w:hint="eastAsia" w:ascii="宋体" w:hAnsi="宋体" w:eastAsia="宋体" w:cs="宋体"/>
                <w:b/>
                <w:bCs/>
                <w:snapToGrid w:val="0"/>
                <w:color w:val="auto"/>
                <w:sz w:val="21"/>
                <w:szCs w:val="21"/>
                <w:highlight w:val="none"/>
                <w:lang w:val="en-US" w:eastAsia="zh-CN"/>
              </w:rPr>
              <w:t>（3）本项目使用单位较多，使用需求、使用习惯差异较大，同时部分空间需面向群众开放，设计单位对项目竖向交通、楼宇自控系统、流线设置等作分析建议；</w:t>
            </w:r>
          </w:p>
          <w:p>
            <w:pPr>
              <w:keepNext w:val="0"/>
              <w:keepLines w:val="0"/>
              <w:suppressLineNumbers w:val="0"/>
              <w:spacing w:before="0" w:beforeAutospacing="0" w:after="0" w:afterAutospacing="0" w:line="360" w:lineRule="auto"/>
              <w:ind w:left="0" w:right="0" w:firstLineChars="0"/>
              <w:jc w:val="left"/>
              <w:rPr>
                <w:rFonts w:hint="default"/>
                <w:color w:val="auto"/>
                <w:highlight w:val="none"/>
                <w:lang w:val="en-US" w:eastAsia="zh-CN"/>
              </w:rPr>
            </w:pPr>
            <w:r>
              <w:rPr>
                <w:rFonts w:hint="eastAsia" w:ascii="宋体" w:hAnsi="宋体" w:eastAsia="宋体" w:cs="宋体"/>
                <w:b/>
                <w:bCs/>
                <w:snapToGrid w:val="0"/>
                <w:color w:val="auto"/>
                <w:sz w:val="21"/>
                <w:szCs w:val="21"/>
                <w:highlight w:val="none"/>
                <w:lang w:val="en-US" w:eastAsia="zh-CN"/>
              </w:rPr>
              <w:t>（4）AH040331地块建筑已基本结构封顶，根据控制性详细规划，本项目规划地下空间可不退让无缝衔接，设计单位根据现状条件，在满足停车位规划要求的前提下对项目地下空间建设方案开展分析建议。</w:t>
            </w:r>
          </w:p>
        </w:tc>
        <w:tc>
          <w:tcPr>
            <w:tcW w:w="13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1"/>
                <w:szCs w:val="21"/>
                <w:highlight w:val="none"/>
              </w:rPr>
            </w:pPr>
          </w:p>
        </w:tc>
        <w:tc>
          <w:tcPr>
            <w:tcW w:w="1204"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1"/>
                <w:szCs w:val="21"/>
                <w:highlight w:val="none"/>
              </w:rPr>
            </w:pPr>
          </w:p>
        </w:tc>
        <w:tc>
          <w:tcPr>
            <w:tcW w:w="1135"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12" w:hRule="atLeast"/>
        </w:trPr>
        <w:tc>
          <w:tcPr>
            <w:tcW w:w="14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9绿建和景观</w:t>
            </w:r>
          </w:p>
        </w:tc>
        <w:tc>
          <w:tcPr>
            <w:tcW w:w="870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default"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设计方案符合</w:t>
            </w:r>
            <w:r>
              <w:rPr>
                <w:rFonts w:hint="eastAsia" w:ascii="宋体" w:hAnsi="宋体" w:eastAsia="宋体" w:cs="宋体"/>
                <w:b/>
                <w:bCs/>
                <w:color w:val="auto"/>
                <w:kern w:val="2"/>
                <w:sz w:val="21"/>
                <w:szCs w:val="21"/>
                <w:highlight w:val="none"/>
                <w:lang w:val="en-US" w:eastAsia="zh-CN" w:bidi="ar"/>
              </w:rPr>
              <w:t>超低能耗建筑、绿色建筑三星</w:t>
            </w:r>
            <w:r>
              <w:rPr>
                <w:rFonts w:hint="eastAsia" w:ascii="宋体" w:hAnsi="宋体" w:eastAsia="宋体" w:cs="宋体"/>
                <w:color w:val="auto"/>
                <w:kern w:val="2"/>
                <w:sz w:val="21"/>
                <w:szCs w:val="21"/>
                <w:highlight w:val="none"/>
                <w:lang w:val="en-US" w:eastAsia="zh-CN" w:bidi="ar"/>
              </w:rPr>
              <w:t>设计目标，采取的绿色技术措施充分考虑建筑所在地的气候特点，最大限度地节约资源、保护环境、减少污染，提供健康、适应和高效的使用空间。视野开阔、利用自然风光，合理布置绿化、水体，方便户外交流休息，以人文景观和自然景观相结合，结合所在地形进行绿化景观设计。</w:t>
            </w:r>
            <w:r>
              <w:rPr>
                <w:rFonts w:hint="eastAsia" w:ascii="宋体" w:hAnsi="宋体" w:eastAsia="宋体" w:cs="宋体"/>
                <w:color w:val="auto"/>
                <w:kern w:val="2"/>
                <w:sz w:val="21"/>
                <w:szCs w:val="21"/>
                <w:highlight w:val="none"/>
                <w:u w:val="single"/>
                <w:lang w:val="en-US" w:eastAsia="zh-CN" w:bidi="ar"/>
              </w:rPr>
              <w:t>充分考虑项目特点，崇尚可持续发展观，通过空间塑造、元素传承、技术创新，在满足业主需求的同时，实现与环境、生态的和谐共存。</w:t>
            </w:r>
          </w:p>
        </w:tc>
        <w:tc>
          <w:tcPr>
            <w:tcW w:w="13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1"/>
                <w:szCs w:val="21"/>
                <w:highlight w:val="none"/>
              </w:rPr>
            </w:pPr>
          </w:p>
        </w:tc>
        <w:tc>
          <w:tcPr>
            <w:tcW w:w="1204"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1"/>
                <w:szCs w:val="21"/>
                <w:highlight w:val="none"/>
              </w:rPr>
            </w:pPr>
          </w:p>
        </w:tc>
        <w:tc>
          <w:tcPr>
            <w:tcW w:w="1135"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综合评价</w:t>
            </w:r>
          </w:p>
        </w:tc>
        <w:tc>
          <w:tcPr>
            <w:tcW w:w="870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2"/>
                <w:sz w:val="21"/>
                <w:szCs w:val="21"/>
                <w:highlight w:val="none"/>
              </w:rPr>
            </w:pPr>
          </w:p>
        </w:tc>
        <w:tc>
          <w:tcPr>
            <w:tcW w:w="13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color w:val="auto"/>
                <w:kern w:val="2"/>
                <w:sz w:val="21"/>
                <w:szCs w:val="21"/>
                <w:highlight w:val="none"/>
              </w:rPr>
            </w:pPr>
          </w:p>
        </w:tc>
        <w:tc>
          <w:tcPr>
            <w:tcW w:w="1204"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color w:val="auto"/>
                <w:kern w:val="2"/>
                <w:sz w:val="21"/>
                <w:szCs w:val="21"/>
                <w:highlight w:val="none"/>
              </w:rPr>
            </w:pPr>
          </w:p>
        </w:tc>
        <w:tc>
          <w:tcPr>
            <w:tcW w:w="1135"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color w:val="auto"/>
                <w:kern w:val="2"/>
                <w:sz w:val="21"/>
                <w:szCs w:val="21"/>
                <w:highlight w:val="none"/>
              </w:rPr>
            </w:pPr>
          </w:p>
        </w:tc>
      </w:tr>
    </w:tbl>
    <w:p>
      <w:pPr>
        <w:spacing w:line="360" w:lineRule="auto"/>
        <w:rPr>
          <w:rFonts w:ascii="宋体" w:hAnsi="宋体" w:eastAsia="宋体" w:cs="Times New Roman"/>
          <w:color w:val="auto"/>
          <w:highlight w:val="none"/>
        </w:rPr>
      </w:pPr>
      <w:r>
        <w:rPr>
          <w:rFonts w:hint="eastAsia" w:ascii="宋体" w:hAnsi="宋体" w:eastAsia="宋体" w:cs="Times New Roman"/>
          <w:color w:val="auto"/>
          <w:sz w:val="21"/>
          <w:szCs w:val="21"/>
          <w:highlight w:val="none"/>
          <w:lang w:val="en-US" w:eastAsia="zh-CN"/>
        </w:rPr>
        <w:t>定标专家</w:t>
      </w:r>
      <w:r>
        <w:rPr>
          <w:rFonts w:hint="eastAsia" w:ascii="宋体" w:hAnsi="宋体" w:eastAsia="宋体" w:cs="Times New Roman"/>
          <w:color w:val="auto"/>
          <w:sz w:val="21"/>
          <w:szCs w:val="21"/>
          <w:highlight w:val="none"/>
        </w:rPr>
        <w:t>签名：</w:t>
      </w:r>
      <w:r>
        <w:rPr>
          <w:rFonts w:ascii="宋体" w:hAnsi="宋体" w:eastAsia="宋体" w:cs="Times New Roman"/>
          <w:color w:val="auto"/>
          <w:sz w:val="21"/>
          <w:szCs w:val="21"/>
          <w:highlight w:val="none"/>
        </w:rPr>
        <w:t xml:space="preserve">                                                                                   </w:t>
      </w:r>
      <w:r>
        <w:rPr>
          <w:rFonts w:ascii="宋体" w:hAnsi="宋体" w:eastAsia="宋体" w:cs="Times New Roman"/>
          <w:color w:val="auto"/>
          <w:highlight w:val="none"/>
        </w:rPr>
        <w:t>日期：   年   月   日</w:t>
      </w:r>
    </w:p>
    <w:p>
      <w:pPr>
        <w:outlineLvl w:val="9"/>
        <w:rPr>
          <w:rFonts w:hint="eastAsia" w:ascii="宋体" w:hAnsi="宋体" w:eastAsia="宋体" w:cs="Times New Roman"/>
          <w:b/>
          <w:bCs/>
          <w:color w:val="auto"/>
          <w:kern w:val="44"/>
          <w:sz w:val="21"/>
          <w:szCs w:val="21"/>
          <w:highlight w:val="none"/>
          <w:lang w:val="en-US" w:eastAsia="zh-CN" w:bidi="ar-SA"/>
        </w:rPr>
        <w:sectPr>
          <w:pgSz w:w="16838" w:h="11905" w:orient="landscape"/>
          <w:pgMar w:top="1440" w:right="1440" w:bottom="1468" w:left="144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pPr>
        <w:outlineLvl w:val="1"/>
        <w:rPr>
          <w:rFonts w:hint="default" w:ascii="宋体" w:hAnsi="宋体" w:eastAsia="宋体" w:cs="Times New Roman"/>
          <w:b/>
          <w:bCs/>
          <w:color w:val="auto"/>
          <w:kern w:val="44"/>
          <w:sz w:val="21"/>
          <w:szCs w:val="21"/>
          <w:highlight w:val="none"/>
          <w:lang w:val="en-US" w:eastAsia="zh-CN" w:bidi="ar-SA"/>
        </w:rPr>
      </w:pPr>
      <w:bookmarkStart w:id="74" w:name="_Toc17392"/>
      <w:r>
        <w:rPr>
          <w:rFonts w:hint="eastAsia" w:ascii="宋体" w:hAnsi="宋体" w:eastAsia="宋体" w:cs="Times New Roman"/>
          <w:b/>
          <w:bCs/>
          <w:color w:val="auto"/>
          <w:kern w:val="44"/>
          <w:sz w:val="21"/>
          <w:szCs w:val="21"/>
          <w:highlight w:val="none"/>
          <w:lang w:val="en-US" w:eastAsia="zh-CN" w:bidi="ar-SA"/>
        </w:rPr>
        <w:t>附录15-2 定标因素</w:t>
      </w:r>
      <w:bookmarkEnd w:id="74"/>
    </w:p>
    <w:p>
      <w:pPr>
        <w:widowControl w:val="0"/>
        <w:spacing w:line="360" w:lineRule="auto"/>
        <w:ind w:firstLine="0" w:firstLineChars="0"/>
        <w:jc w:val="center"/>
        <w:rPr>
          <w:rFonts w:hint="eastAsia" w:ascii="宋体" w:hAnsi="宋体" w:eastAsia="宋体" w:cs="Times New Roman"/>
          <w:b/>
          <w:bCs/>
          <w:color w:val="auto"/>
          <w:sz w:val="32"/>
          <w:highlight w:val="none"/>
          <w:lang w:val="en-US" w:eastAsia="zh-CN"/>
        </w:rPr>
      </w:pPr>
      <w:r>
        <w:rPr>
          <w:rFonts w:hint="eastAsia" w:ascii="宋体" w:hAnsi="宋体" w:eastAsia="宋体" w:cs="Times New Roman"/>
          <w:b/>
          <w:bCs/>
          <w:color w:val="auto"/>
          <w:sz w:val="32"/>
          <w:highlight w:val="none"/>
          <w:lang w:val="en-US" w:eastAsia="zh-CN"/>
        </w:rPr>
        <w:t>定标因素</w:t>
      </w:r>
    </w:p>
    <w:p>
      <w:pPr>
        <w:widowControl w:val="0"/>
        <w:spacing w:line="360" w:lineRule="auto"/>
        <w:ind w:firstLine="0" w:firstLineChars="0"/>
        <w:jc w:val="both"/>
        <w:rPr>
          <w:rFonts w:hint="eastAsia" w:ascii="宋体" w:hAnsi="宋体" w:eastAsia="宋体" w:cs="Times New Roman"/>
          <w:b/>
          <w:bCs/>
          <w:color w:val="auto"/>
          <w:kern w:val="44"/>
          <w:sz w:val="21"/>
          <w:szCs w:val="21"/>
          <w:highlight w:val="none"/>
          <w:lang w:val="en-US" w:eastAsia="zh-CN" w:bidi="ar-SA"/>
        </w:rPr>
      </w:pPr>
      <w:r>
        <w:rPr>
          <w:rFonts w:hint="eastAsia" w:ascii="宋体" w:hAnsi="宋体" w:eastAsia="宋体" w:cs="Times New Roman"/>
          <w:color w:val="auto"/>
          <w:sz w:val="24"/>
          <w:highlight w:val="none"/>
        </w:rPr>
        <w:t>项目名称：</w:t>
      </w:r>
      <w:r>
        <w:rPr>
          <w:rFonts w:ascii="宋体" w:hAnsi="宋体" w:eastAsia="宋体" w:cs="Times New Roman"/>
          <w:color w:val="auto"/>
          <w:sz w:val="24"/>
          <w:highlight w:val="none"/>
        </w:rPr>
        <w:t xml:space="preserve">                                </w:t>
      </w:r>
    </w:p>
    <w:tbl>
      <w:tblPr>
        <w:tblStyle w:val="11"/>
        <w:tblW w:w="89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813"/>
        <w:gridCol w:w="6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blHeader/>
        </w:trPr>
        <w:tc>
          <w:tcPr>
            <w:tcW w:w="1012" w:type="dxa"/>
            <w:vAlign w:val="center"/>
          </w:tcPr>
          <w:p>
            <w:pPr>
              <w:keepNext w:val="0"/>
              <w:keepLines w:val="0"/>
              <w:widowControl w:val="0"/>
              <w:suppressLineNumbers w:val="0"/>
              <w:spacing w:before="0" w:beforeAutospacing="0" w:after="0" w:afterAutospacing="0" w:line="360" w:lineRule="auto"/>
              <w:ind w:left="0" w:right="0" w:firstLine="0" w:firstLineChars="0"/>
              <w:jc w:val="center"/>
              <w:rPr>
                <w:rFonts w:hint="default"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u w:val="single"/>
                <w:shd w:val="clear" w:color="auto" w:fill="FFFFFF"/>
                <w:lang w:val="en-US" w:eastAsia="zh-CN" w:bidi="ar-SA"/>
              </w:rPr>
              <w:t>序号</w:t>
            </w:r>
          </w:p>
        </w:tc>
        <w:tc>
          <w:tcPr>
            <w:tcW w:w="1813" w:type="dxa"/>
            <w:vAlign w:val="center"/>
          </w:tcPr>
          <w:p>
            <w:pPr>
              <w:keepNext w:val="0"/>
              <w:keepLines w:val="0"/>
              <w:widowControl w:val="0"/>
              <w:suppressLineNumbers w:val="0"/>
              <w:spacing w:before="0" w:beforeAutospacing="0" w:after="0" w:afterAutospacing="0" w:line="360" w:lineRule="auto"/>
              <w:ind w:left="0" w:right="0" w:firstLine="0" w:firstLineChars="0"/>
              <w:jc w:val="center"/>
              <w:rPr>
                <w:rFonts w:hint="default"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u w:val="single"/>
                <w:shd w:val="clear" w:color="auto" w:fill="FFFFFF"/>
                <w:lang w:val="en-US" w:eastAsia="zh-CN" w:bidi="ar-SA"/>
              </w:rPr>
              <w:t>评审因素</w:t>
            </w:r>
          </w:p>
        </w:tc>
        <w:tc>
          <w:tcPr>
            <w:tcW w:w="6161" w:type="dxa"/>
            <w:vAlign w:val="center"/>
          </w:tcPr>
          <w:p>
            <w:pPr>
              <w:keepNext w:val="0"/>
              <w:keepLines w:val="0"/>
              <w:widowControl w:val="0"/>
              <w:suppressLineNumbers w:val="0"/>
              <w:spacing w:before="0" w:beforeAutospacing="0" w:after="0" w:afterAutospacing="0" w:line="360" w:lineRule="auto"/>
              <w:ind w:left="0" w:right="0" w:firstLine="0" w:firstLineChars="0"/>
              <w:jc w:val="center"/>
              <w:rPr>
                <w:rFonts w:hint="default"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u w:val="single"/>
                <w:shd w:val="clear" w:color="auto" w:fill="FFFFFF"/>
                <w:lang w:val="en-US" w:eastAsia="zh-CN" w:bidi="ar-SA"/>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trPr>
        <w:tc>
          <w:tcPr>
            <w:tcW w:w="1012" w:type="dxa"/>
            <w:vAlign w:val="center"/>
          </w:tcPr>
          <w:p>
            <w:pPr>
              <w:keepNext w:val="0"/>
              <w:keepLines w:val="0"/>
              <w:widowControl w:val="0"/>
              <w:suppressLineNumbers w:val="0"/>
              <w:spacing w:before="0" w:beforeAutospacing="0" w:after="0" w:afterAutospacing="0" w:line="360" w:lineRule="auto"/>
              <w:ind w:left="0" w:right="0" w:firstLine="0" w:firstLineChars="0"/>
              <w:jc w:val="center"/>
              <w:rPr>
                <w:rFonts w:hint="default" w:ascii="宋体" w:hAnsi="宋体" w:eastAsia="宋体" w:cs="宋体"/>
                <w:strike w:val="0"/>
                <w:color w:val="auto"/>
                <w:kern w:val="0"/>
                <w:sz w:val="24"/>
                <w:szCs w:val="24"/>
                <w:highlight w:val="none"/>
                <w:u w:val="single"/>
                <w:shd w:val="clear" w:color="auto" w:fill="FFFFFF"/>
                <w:lang w:val="en-US" w:eastAsia="zh-CN" w:bidi="ar-SA"/>
              </w:rPr>
            </w:pPr>
            <w:r>
              <w:rPr>
                <w:rFonts w:hint="default" w:ascii="宋体" w:hAnsi="宋体" w:eastAsia="宋体" w:cs="宋体"/>
                <w:strike w:val="0"/>
                <w:color w:val="auto"/>
                <w:kern w:val="0"/>
                <w:sz w:val="24"/>
                <w:szCs w:val="24"/>
                <w:highlight w:val="none"/>
                <w:u w:val="single"/>
                <w:shd w:val="clear" w:color="auto" w:fill="FFFFFF"/>
                <w:lang w:val="en-US" w:eastAsia="zh-CN" w:bidi="ar-SA"/>
              </w:rPr>
              <w:t>1</w:t>
            </w:r>
          </w:p>
        </w:tc>
        <w:tc>
          <w:tcPr>
            <w:tcW w:w="1813" w:type="dxa"/>
            <w:vAlign w:val="center"/>
          </w:tcPr>
          <w:p>
            <w:pPr>
              <w:keepNext w:val="0"/>
              <w:keepLines w:val="0"/>
              <w:widowControl w:val="0"/>
              <w:suppressLineNumbers w:val="0"/>
              <w:spacing w:before="0" w:beforeAutospacing="0" w:after="0" w:afterAutospacing="0" w:line="360" w:lineRule="auto"/>
              <w:ind w:left="0" w:right="0" w:firstLine="0" w:firstLineChars="0"/>
              <w:jc w:val="center"/>
              <w:rPr>
                <w:rFonts w:hint="default" w:ascii="宋体" w:hAnsi="宋体" w:eastAsia="宋体" w:cs="宋体"/>
                <w:strike w:val="0"/>
                <w:color w:val="auto"/>
                <w:kern w:val="0"/>
                <w:sz w:val="24"/>
                <w:szCs w:val="24"/>
                <w:highlight w:val="none"/>
                <w:u w:val="single"/>
                <w:shd w:val="clear" w:color="auto" w:fill="FFFFFF"/>
                <w:lang w:val="en-US" w:eastAsia="zh-CN" w:bidi="ar-SA"/>
              </w:rPr>
            </w:pPr>
            <w:r>
              <w:rPr>
                <w:rFonts w:hint="eastAsia" w:ascii="宋体" w:hAnsi="宋体" w:eastAsia="宋体" w:cs="宋体"/>
                <w:strike w:val="0"/>
                <w:color w:val="auto"/>
                <w:kern w:val="0"/>
                <w:sz w:val="24"/>
                <w:szCs w:val="24"/>
                <w:highlight w:val="none"/>
                <w:u w:val="single"/>
                <w:shd w:val="clear" w:color="auto" w:fill="FFFFFF"/>
                <w:lang w:val="en-US" w:eastAsia="zh-CN" w:bidi="ar-SA"/>
              </w:rPr>
              <w:t>价格因素</w:t>
            </w:r>
          </w:p>
        </w:tc>
        <w:tc>
          <w:tcPr>
            <w:tcW w:w="6161" w:type="dxa"/>
            <w:vAlign w:val="center"/>
          </w:tcPr>
          <w:p>
            <w:pPr>
              <w:keepNext w:val="0"/>
              <w:keepLines w:val="0"/>
              <w:widowControl w:val="0"/>
              <w:suppressLineNumbers w:val="0"/>
              <w:spacing w:before="0" w:beforeAutospacing="0" w:after="0" w:afterAutospacing="0" w:line="360" w:lineRule="auto"/>
              <w:ind w:left="0" w:right="0" w:firstLine="0" w:firstLineChars="0"/>
              <w:jc w:val="left"/>
              <w:rPr>
                <w:rFonts w:hint="eastAsia" w:ascii="宋体" w:hAnsi="宋体" w:eastAsia="宋体" w:cs="宋体"/>
                <w:strike w:val="0"/>
                <w:color w:val="auto"/>
                <w:kern w:val="0"/>
                <w:sz w:val="24"/>
                <w:szCs w:val="24"/>
                <w:highlight w:val="none"/>
                <w:u w:val="single"/>
                <w:shd w:val="clear" w:color="auto" w:fill="FFFFFF"/>
                <w:lang w:val="en-US" w:eastAsia="zh-CN" w:bidi="ar-SA"/>
              </w:rPr>
            </w:pPr>
            <w:r>
              <w:rPr>
                <w:rFonts w:hint="eastAsia" w:ascii="宋体" w:hAnsi="宋体" w:eastAsia="宋体" w:cs="宋体"/>
                <w:strike w:val="0"/>
                <w:color w:val="auto"/>
                <w:kern w:val="0"/>
                <w:sz w:val="24"/>
                <w:szCs w:val="24"/>
                <w:highlight w:val="none"/>
                <w:u w:val="single"/>
                <w:shd w:val="clear" w:color="auto" w:fill="FFFFFF"/>
                <w:lang w:val="en-US" w:eastAsia="zh-CN" w:bidi="ar-SA"/>
              </w:rPr>
              <w:t>定标委员会对合格的中标候选人投标报价进行分析，结合合格的中标候选人报价的合理性进行评审。</w:t>
            </w:r>
          </w:p>
          <w:p>
            <w:pPr>
              <w:keepNext w:val="0"/>
              <w:keepLines w:val="0"/>
              <w:widowControl/>
              <w:suppressLineNumbers w:val="0"/>
              <w:spacing w:before="1" w:beforeAutospacing="0" w:after="0" w:afterAutospacing="0" w:line="400" w:lineRule="exact"/>
              <w:ind w:left="0" w:right="0"/>
              <w:jc w:val="both"/>
              <w:rPr>
                <w:rFonts w:hint="default" w:ascii="宋体" w:hAnsi="宋体" w:eastAsia="宋体" w:cs="宋体"/>
                <w:b w:val="0"/>
                <w:bCs w:val="0"/>
                <w:color w:val="auto"/>
                <w:kern w:val="2"/>
                <w:sz w:val="24"/>
                <w:szCs w:val="24"/>
                <w:highlight w:val="none"/>
                <w:u w:val="single"/>
              </w:rPr>
            </w:pPr>
            <w:r>
              <w:rPr>
                <w:rFonts w:hint="eastAsia" w:ascii="宋体" w:hAnsi="宋体" w:eastAsia="宋体" w:cs="宋体"/>
                <w:b w:val="0"/>
                <w:bCs w:val="0"/>
                <w:color w:val="auto"/>
                <w:kern w:val="2"/>
                <w:sz w:val="24"/>
                <w:szCs w:val="24"/>
                <w:highlight w:val="none"/>
                <w:u w:val="single"/>
                <w:lang w:val="en-US" w:eastAsia="zh-CN" w:bidi="ar"/>
              </w:rPr>
              <w:t>【优】：投入的人员团队水平、设计服务质量和技术支持程度与报价的匹配度高。</w:t>
            </w:r>
          </w:p>
          <w:p>
            <w:pPr>
              <w:keepNext w:val="0"/>
              <w:keepLines w:val="0"/>
              <w:widowControl/>
              <w:suppressLineNumbers w:val="0"/>
              <w:spacing w:before="1" w:beforeAutospacing="0" w:after="0" w:afterAutospacing="0" w:line="400" w:lineRule="exact"/>
              <w:ind w:left="0" w:right="0"/>
              <w:jc w:val="both"/>
              <w:rPr>
                <w:rFonts w:hint="default" w:ascii="宋体" w:hAnsi="宋体" w:eastAsia="宋体" w:cs="宋体"/>
                <w:b w:val="0"/>
                <w:bCs w:val="0"/>
                <w:color w:val="auto"/>
                <w:kern w:val="2"/>
                <w:sz w:val="24"/>
                <w:szCs w:val="24"/>
                <w:highlight w:val="none"/>
                <w:u w:val="single"/>
              </w:rPr>
            </w:pPr>
            <w:r>
              <w:rPr>
                <w:rFonts w:hint="eastAsia" w:ascii="宋体" w:hAnsi="宋体" w:eastAsia="宋体" w:cs="宋体"/>
                <w:b w:val="0"/>
                <w:bCs w:val="0"/>
                <w:color w:val="auto"/>
                <w:kern w:val="2"/>
                <w:sz w:val="24"/>
                <w:szCs w:val="24"/>
                <w:highlight w:val="none"/>
                <w:u w:val="single"/>
                <w:lang w:val="en-US" w:eastAsia="zh-CN" w:bidi="ar"/>
              </w:rPr>
              <w:t>【中】：投入的人员团队水平、设计服务质量和技术支持程度与报价的匹配度一般。</w:t>
            </w:r>
          </w:p>
          <w:p>
            <w:pPr>
              <w:keepNext w:val="0"/>
              <w:keepLines w:val="0"/>
              <w:widowControl w:val="0"/>
              <w:suppressLineNumbers w:val="0"/>
              <w:spacing w:before="0" w:beforeAutospacing="0" w:after="0" w:afterAutospacing="0" w:line="360" w:lineRule="auto"/>
              <w:ind w:left="0" w:right="0" w:firstLine="0" w:firstLineChars="0"/>
              <w:jc w:val="left"/>
              <w:rPr>
                <w:rFonts w:hint="default" w:ascii="宋体" w:hAnsi="宋体" w:eastAsia="宋体" w:cs="宋体"/>
                <w:strike w:val="0"/>
                <w:color w:val="auto"/>
                <w:kern w:val="0"/>
                <w:sz w:val="24"/>
                <w:szCs w:val="24"/>
                <w:highlight w:val="none"/>
                <w:u w:val="single"/>
                <w:shd w:val="clear" w:color="auto" w:fill="FFFFFF"/>
                <w:lang w:val="en-US" w:eastAsia="zh-CN" w:bidi="ar-SA"/>
              </w:rPr>
            </w:pPr>
            <w:r>
              <w:rPr>
                <w:rFonts w:hint="eastAsia" w:ascii="宋体" w:hAnsi="宋体" w:eastAsia="宋体" w:cs="宋体"/>
                <w:b w:val="0"/>
                <w:bCs w:val="0"/>
                <w:color w:val="auto"/>
                <w:kern w:val="2"/>
                <w:sz w:val="24"/>
                <w:szCs w:val="24"/>
                <w:highlight w:val="none"/>
                <w:u w:val="single"/>
                <w:lang w:val="en-US" w:eastAsia="zh-CN" w:bidi="ar"/>
              </w:rPr>
              <w:t>【差】：投入的人员团队水平、设计服务质量和技术支持程度与报价的匹配度较低。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trPr>
        <w:tc>
          <w:tcPr>
            <w:tcW w:w="1012" w:type="dxa"/>
            <w:vAlign w:val="center"/>
          </w:tcPr>
          <w:p>
            <w:pPr>
              <w:keepNext w:val="0"/>
              <w:keepLines w:val="0"/>
              <w:widowControl w:val="0"/>
              <w:suppressLineNumbers w:val="0"/>
              <w:spacing w:before="0" w:beforeAutospacing="0" w:after="0" w:afterAutospacing="0" w:line="360" w:lineRule="auto"/>
              <w:ind w:left="0" w:right="0" w:firstLine="0" w:firstLineChars="0"/>
              <w:jc w:val="center"/>
              <w:rPr>
                <w:rFonts w:hint="default" w:ascii="宋体" w:hAnsi="宋体" w:eastAsia="宋体" w:cs="宋体"/>
                <w:strike w:val="0"/>
                <w:color w:val="auto"/>
                <w:kern w:val="0"/>
                <w:sz w:val="24"/>
                <w:szCs w:val="24"/>
                <w:highlight w:val="none"/>
                <w:u w:val="single"/>
                <w:shd w:val="clear" w:color="auto" w:fill="FFFFFF"/>
                <w:lang w:val="en-US" w:eastAsia="zh-CN" w:bidi="ar-SA"/>
              </w:rPr>
            </w:pPr>
            <w:r>
              <w:rPr>
                <w:rFonts w:hint="default" w:ascii="宋体" w:hAnsi="宋体" w:eastAsia="宋体" w:cs="宋体"/>
                <w:strike w:val="0"/>
                <w:color w:val="auto"/>
                <w:kern w:val="0"/>
                <w:sz w:val="24"/>
                <w:szCs w:val="24"/>
                <w:highlight w:val="none"/>
                <w:u w:val="single"/>
                <w:shd w:val="clear" w:color="auto" w:fill="FFFFFF"/>
                <w:lang w:val="en-US" w:eastAsia="zh-CN" w:bidi="ar-SA"/>
              </w:rPr>
              <w:t>2</w:t>
            </w:r>
          </w:p>
        </w:tc>
        <w:tc>
          <w:tcPr>
            <w:tcW w:w="1813" w:type="dxa"/>
            <w:vAlign w:val="center"/>
          </w:tcPr>
          <w:p>
            <w:pPr>
              <w:keepNext w:val="0"/>
              <w:keepLines w:val="0"/>
              <w:widowControl w:val="0"/>
              <w:suppressLineNumbers w:val="0"/>
              <w:spacing w:before="0" w:beforeAutospacing="0" w:after="0" w:afterAutospacing="0" w:line="360" w:lineRule="auto"/>
              <w:ind w:left="0" w:right="0" w:firstLine="0" w:firstLineChars="0"/>
              <w:jc w:val="center"/>
              <w:rPr>
                <w:rFonts w:hint="default" w:ascii="宋体" w:hAnsi="宋体" w:eastAsia="宋体" w:cs="宋体"/>
                <w:strike w:val="0"/>
                <w:color w:val="auto"/>
                <w:kern w:val="0"/>
                <w:sz w:val="24"/>
                <w:szCs w:val="24"/>
                <w:highlight w:val="none"/>
                <w:u w:val="single"/>
                <w:shd w:val="clear" w:color="auto" w:fill="FFFFFF"/>
                <w:lang w:val="en-US" w:eastAsia="zh-CN" w:bidi="ar-SA"/>
              </w:rPr>
            </w:pPr>
            <w:r>
              <w:rPr>
                <w:rFonts w:hint="eastAsia" w:ascii="宋体" w:hAnsi="宋体" w:eastAsia="宋体" w:cs="宋体"/>
                <w:strike w:val="0"/>
                <w:color w:val="auto"/>
                <w:kern w:val="0"/>
                <w:sz w:val="24"/>
                <w:szCs w:val="24"/>
                <w:highlight w:val="none"/>
                <w:u w:val="single"/>
                <w:shd w:val="clear" w:color="auto" w:fill="FFFFFF"/>
                <w:lang w:val="en-US" w:eastAsia="zh-CN" w:bidi="ar-SA"/>
              </w:rPr>
              <w:t>方案因素</w:t>
            </w:r>
          </w:p>
        </w:tc>
        <w:tc>
          <w:tcPr>
            <w:tcW w:w="6161" w:type="dxa"/>
            <w:vAlign w:val="center"/>
          </w:tcPr>
          <w:p>
            <w:pPr>
              <w:keepNext w:val="0"/>
              <w:keepLines w:val="0"/>
              <w:widowControl w:val="0"/>
              <w:suppressLineNumbers w:val="0"/>
              <w:spacing w:before="0" w:beforeAutospacing="0" w:after="0" w:afterAutospacing="0" w:line="360" w:lineRule="auto"/>
              <w:ind w:left="0" w:right="0" w:firstLine="0" w:firstLineChars="0"/>
              <w:jc w:val="left"/>
              <w:rPr>
                <w:rFonts w:hint="eastAsia" w:ascii="宋体" w:hAnsi="宋体" w:eastAsia="宋体" w:cs="宋体"/>
                <w:strike w:val="0"/>
                <w:color w:val="auto"/>
                <w:kern w:val="0"/>
                <w:sz w:val="24"/>
                <w:szCs w:val="24"/>
                <w:highlight w:val="none"/>
                <w:u w:val="single"/>
                <w:shd w:val="clear" w:color="auto" w:fill="FFFFFF"/>
                <w:lang w:val="en-US" w:eastAsia="zh-CN" w:bidi="ar-SA"/>
              </w:rPr>
            </w:pPr>
            <w:r>
              <w:rPr>
                <w:rFonts w:hint="eastAsia" w:ascii="宋体" w:hAnsi="宋体" w:eastAsia="宋体" w:cs="宋体"/>
                <w:strike w:val="0"/>
                <w:color w:val="auto"/>
                <w:kern w:val="0"/>
                <w:sz w:val="24"/>
                <w:szCs w:val="24"/>
                <w:highlight w:val="none"/>
                <w:u w:val="single"/>
                <w:shd w:val="clear" w:color="auto" w:fill="FFFFFF"/>
                <w:lang w:val="en-US" w:eastAsia="zh-CN" w:bidi="ar-SA"/>
              </w:rPr>
              <w:t>结合规划、景观、建筑外观、使用功能、交通、配套设施、经济、绿色节能等因素进行评审。</w:t>
            </w:r>
          </w:p>
          <w:p>
            <w:pPr>
              <w:keepNext w:val="0"/>
              <w:keepLines w:val="0"/>
              <w:widowControl w:val="0"/>
              <w:suppressLineNumbers w:val="0"/>
              <w:spacing w:before="0" w:beforeAutospacing="0" w:after="0" w:afterAutospacing="0" w:line="360" w:lineRule="auto"/>
              <w:ind w:left="0" w:right="0" w:firstLine="0" w:firstLineChars="0"/>
              <w:jc w:val="left"/>
              <w:rPr>
                <w:rFonts w:hint="default" w:ascii="宋体" w:hAnsi="宋体" w:eastAsia="宋体" w:cs="宋体"/>
                <w:strike w:val="0"/>
                <w:color w:val="auto"/>
                <w:kern w:val="0"/>
                <w:sz w:val="24"/>
                <w:szCs w:val="24"/>
                <w:highlight w:val="none"/>
                <w:u w:val="single"/>
                <w:shd w:val="clear" w:color="auto" w:fill="FFFFFF"/>
                <w:lang w:val="en-US" w:eastAsia="zh-CN" w:bidi="ar-SA"/>
              </w:rPr>
            </w:pPr>
            <w:r>
              <w:rPr>
                <w:rFonts w:hint="default" w:ascii="宋体" w:hAnsi="宋体" w:eastAsia="宋体" w:cs="宋体"/>
                <w:strike w:val="0"/>
                <w:color w:val="auto"/>
                <w:kern w:val="0"/>
                <w:sz w:val="24"/>
                <w:szCs w:val="24"/>
                <w:highlight w:val="none"/>
                <w:u w:val="single"/>
                <w:shd w:val="clear" w:color="auto" w:fill="FFFFFF"/>
                <w:lang w:val="en-US" w:eastAsia="zh-CN" w:bidi="ar-SA"/>
              </w:rPr>
              <w:t>【优】：总体方案满足招标人设计要求（详见本项目的设计任务书及相关附件）、符合设计的标准及要求（详见本项目的设计任务书及相关附件），项目实施方案完整，且方案合理可行的；</w:t>
            </w:r>
          </w:p>
          <w:p>
            <w:pPr>
              <w:keepNext w:val="0"/>
              <w:keepLines w:val="0"/>
              <w:widowControl w:val="0"/>
              <w:suppressLineNumbers w:val="0"/>
              <w:spacing w:before="0" w:beforeAutospacing="0" w:after="0" w:afterAutospacing="0" w:line="360" w:lineRule="auto"/>
              <w:ind w:left="0" w:right="0" w:firstLine="0" w:firstLineChars="0"/>
              <w:jc w:val="left"/>
              <w:rPr>
                <w:rFonts w:hint="default" w:ascii="宋体" w:hAnsi="宋体" w:eastAsia="宋体" w:cs="宋体"/>
                <w:strike w:val="0"/>
                <w:color w:val="auto"/>
                <w:kern w:val="0"/>
                <w:sz w:val="24"/>
                <w:szCs w:val="24"/>
                <w:highlight w:val="none"/>
                <w:u w:val="single"/>
                <w:shd w:val="clear" w:color="auto" w:fill="FFFFFF"/>
                <w:lang w:val="en-US" w:eastAsia="zh-CN" w:bidi="ar-SA"/>
              </w:rPr>
            </w:pPr>
            <w:r>
              <w:rPr>
                <w:rFonts w:hint="default" w:ascii="宋体" w:hAnsi="宋体" w:eastAsia="宋体" w:cs="宋体"/>
                <w:strike w:val="0"/>
                <w:color w:val="auto"/>
                <w:kern w:val="0"/>
                <w:sz w:val="24"/>
                <w:szCs w:val="24"/>
                <w:highlight w:val="none"/>
                <w:u w:val="single"/>
                <w:shd w:val="clear" w:color="auto" w:fill="FFFFFF"/>
                <w:lang w:val="en-US" w:eastAsia="zh-CN" w:bidi="ar-SA"/>
              </w:rPr>
              <w:t>【中】：总体方案满足招标人设计要求（详见本项目的设计任务书及相关附件）、符合设计的标准及要求（详详见本项目的设计任务书及相关附件），项目实施方案内容完整，但缺乏针对性的；</w:t>
            </w:r>
          </w:p>
          <w:p>
            <w:pPr>
              <w:keepNext w:val="0"/>
              <w:keepLines w:val="0"/>
              <w:widowControl w:val="0"/>
              <w:suppressLineNumbers w:val="0"/>
              <w:spacing w:before="0" w:beforeAutospacing="0" w:after="0" w:afterAutospacing="0" w:line="360" w:lineRule="auto"/>
              <w:ind w:left="0" w:right="0" w:firstLine="0" w:firstLineChars="0"/>
              <w:jc w:val="left"/>
              <w:rPr>
                <w:rFonts w:hint="default" w:ascii="宋体" w:hAnsi="宋体" w:eastAsia="宋体" w:cs="宋体"/>
                <w:strike w:val="0"/>
                <w:color w:val="auto"/>
                <w:kern w:val="0"/>
                <w:sz w:val="24"/>
                <w:szCs w:val="24"/>
                <w:highlight w:val="none"/>
                <w:u w:val="single"/>
                <w:shd w:val="clear" w:color="auto" w:fill="FFFFFF"/>
                <w:lang w:val="en-US" w:eastAsia="zh-CN" w:bidi="ar-SA"/>
              </w:rPr>
            </w:pPr>
            <w:r>
              <w:rPr>
                <w:rFonts w:hint="default" w:ascii="宋体" w:hAnsi="宋体" w:eastAsia="宋体" w:cs="宋体"/>
                <w:strike w:val="0"/>
                <w:color w:val="auto"/>
                <w:kern w:val="0"/>
                <w:sz w:val="24"/>
                <w:szCs w:val="24"/>
                <w:highlight w:val="none"/>
                <w:u w:val="single"/>
                <w:shd w:val="clear" w:color="auto" w:fill="FFFFFF"/>
                <w:lang w:val="en-US" w:eastAsia="zh-CN" w:bidi="ar-SA"/>
              </w:rPr>
              <w:t>【差】：总体方案</w:t>
            </w:r>
            <w:r>
              <w:rPr>
                <w:rFonts w:hint="default" w:ascii="宋体" w:hAnsi="宋体" w:eastAsia="宋体" w:cs="宋体"/>
                <w:strike w:val="0"/>
                <w:color w:val="auto"/>
                <w:kern w:val="0"/>
                <w:sz w:val="24"/>
                <w:szCs w:val="24"/>
                <w:highlight w:val="none"/>
                <w:u w:val="single"/>
                <w:shd w:val="clear" w:color="auto" w:fill="FFFFFF"/>
                <w:lang w:eastAsia="zh-CN" w:bidi="ar-SA"/>
              </w:rPr>
              <w:t>不</w:t>
            </w:r>
            <w:r>
              <w:rPr>
                <w:rFonts w:hint="default" w:ascii="宋体" w:hAnsi="宋体" w:eastAsia="宋体" w:cs="宋体"/>
                <w:strike w:val="0"/>
                <w:color w:val="auto"/>
                <w:kern w:val="0"/>
                <w:sz w:val="24"/>
                <w:szCs w:val="24"/>
                <w:highlight w:val="none"/>
                <w:u w:val="single"/>
                <w:shd w:val="clear" w:color="auto" w:fill="FFFFFF"/>
                <w:lang w:val="en-US" w:eastAsia="zh-CN" w:bidi="ar-SA"/>
              </w:rPr>
              <w:t>符合招标人设计要求（详见本项目的设计任务书及相关附件）；</w:t>
            </w:r>
            <w:r>
              <w:rPr>
                <w:rFonts w:hint="default" w:ascii="宋体" w:hAnsi="宋体" w:eastAsia="宋体" w:cs="宋体"/>
                <w:strike w:val="0"/>
                <w:color w:val="auto"/>
                <w:kern w:val="0"/>
                <w:sz w:val="24"/>
                <w:szCs w:val="24"/>
                <w:highlight w:val="none"/>
                <w:u w:val="single"/>
                <w:shd w:val="clear" w:color="auto" w:fill="FFFFFF"/>
                <w:lang w:eastAsia="zh-CN" w:bidi="ar-SA"/>
              </w:rPr>
              <w:t>或不</w:t>
            </w:r>
            <w:r>
              <w:rPr>
                <w:rFonts w:hint="default" w:ascii="宋体" w:hAnsi="宋体" w:eastAsia="宋体" w:cs="宋体"/>
                <w:strike w:val="0"/>
                <w:color w:val="auto"/>
                <w:kern w:val="0"/>
                <w:sz w:val="24"/>
                <w:szCs w:val="24"/>
                <w:highlight w:val="none"/>
                <w:u w:val="single"/>
                <w:shd w:val="clear" w:color="auto" w:fill="FFFFFF"/>
                <w:lang w:val="en-US" w:eastAsia="zh-CN" w:bidi="ar-SA"/>
              </w:rPr>
              <w:t>符合设计的标准及要求（详详见本项目的设计任务书及相关附件）</w:t>
            </w:r>
            <w:r>
              <w:rPr>
                <w:rFonts w:hint="default" w:ascii="宋体" w:hAnsi="宋体" w:eastAsia="宋体" w:cs="宋体"/>
                <w:strike w:val="0"/>
                <w:color w:val="auto"/>
                <w:kern w:val="0"/>
                <w:sz w:val="24"/>
                <w:szCs w:val="24"/>
                <w:highlight w:val="none"/>
                <w:u w:val="single"/>
                <w:shd w:val="clear" w:color="auto" w:fill="FFFFFF"/>
                <w:lang w:eastAsia="zh-CN" w:bidi="ar-SA"/>
              </w:rPr>
              <w:t>，</w:t>
            </w:r>
            <w:r>
              <w:rPr>
                <w:rFonts w:hint="default" w:ascii="宋体" w:hAnsi="宋体" w:eastAsia="宋体" w:cs="宋体"/>
                <w:strike w:val="0"/>
                <w:color w:val="auto"/>
                <w:kern w:val="0"/>
                <w:sz w:val="24"/>
                <w:szCs w:val="24"/>
                <w:highlight w:val="none"/>
                <w:u w:val="single"/>
                <w:shd w:val="clear" w:color="auto" w:fill="FFFFFF"/>
                <w:lang w:val="en-US" w:eastAsia="zh-CN" w:bidi="ar-SA"/>
              </w:rPr>
              <w:t>项目实施方案内容不完整，且缺乏可行性或针对性的。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012" w:type="dxa"/>
            <w:vAlign w:val="center"/>
          </w:tcPr>
          <w:p>
            <w:pPr>
              <w:keepNext w:val="0"/>
              <w:keepLines w:val="0"/>
              <w:widowControl w:val="0"/>
              <w:suppressLineNumbers w:val="0"/>
              <w:spacing w:before="0" w:beforeAutospacing="0" w:after="0" w:afterAutospacing="0" w:line="360" w:lineRule="auto"/>
              <w:ind w:left="0" w:right="0" w:firstLine="0" w:firstLineChars="0"/>
              <w:jc w:val="center"/>
              <w:rPr>
                <w:rFonts w:hint="default" w:ascii="宋体" w:hAnsi="宋体" w:eastAsia="宋体" w:cs="宋体"/>
                <w:strike w:val="0"/>
                <w:color w:val="auto"/>
                <w:kern w:val="0"/>
                <w:sz w:val="24"/>
                <w:szCs w:val="24"/>
                <w:highlight w:val="none"/>
                <w:u w:val="single"/>
                <w:shd w:val="clear" w:color="auto" w:fill="FFFFFF"/>
                <w:lang w:val="en-US" w:eastAsia="zh-CN" w:bidi="ar-SA"/>
              </w:rPr>
            </w:pPr>
            <w:r>
              <w:rPr>
                <w:rFonts w:hint="default" w:ascii="宋体" w:hAnsi="宋体" w:eastAsia="宋体" w:cs="宋体"/>
                <w:strike w:val="0"/>
                <w:color w:val="auto"/>
                <w:kern w:val="0"/>
                <w:sz w:val="24"/>
                <w:szCs w:val="24"/>
                <w:highlight w:val="none"/>
                <w:u w:val="single"/>
                <w:shd w:val="clear" w:color="auto" w:fill="FFFFFF"/>
                <w:lang w:val="en-US" w:eastAsia="zh-CN" w:bidi="ar-SA"/>
              </w:rPr>
              <w:t>3</w:t>
            </w:r>
          </w:p>
        </w:tc>
        <w:tc>
          <w:tcPr>
            <w:tcW w:w="1813" w:type="dxa"/>
            <w:vAlign w:val="center"/>
          </w:tcPr>
          <w:p>
            <w:pPr>
              <w:keepNext w:val="0"/>
              <w:keepLines w:val="0"/>
              <w:widowControl w:val="0"/>
              <w:suppressLineNumbers w:val="0"/>
              <w:spacing w:before="0" w:beforeAutospacing="0" w:after="0" w:afterAutospacing="0" w:line="360" w:lineRule="auto"/>
              <w:ind w:left="0" w:right="0" w:firstLine="0" w:firstLineChars="0"/>
              <w:jc w:val="center"/>
              <w:rPr>
                <w:rFonts w:hint="default" w:ascii="宋体" w:hAnsi="宋体" w:eastAsia="宋体" w:cs="宋体"/>
                <w:strike w:val="0"/>
                <w:color w:val="auto"/>
                <w:kern w:val="0"/>
                <w:sz w:val="24"/>
                <w:szCs w:val="24"/>
                <w:highlight w:val="none"/>
                <w:u w:val="single"/>
                <w:shd w:val="clear" w:color="auto" w:fill="FFFFFF"/>
                <w:lang w:val="en-US" w:eastAsia="zh-CN" w:bidi="ar-SA"/>
              </w:rPr>
            </w:pPr>
            <w:r>
              <w:rPr>
                <w:rFonts w:hint="eastAsia" w:ascii="宋体" w:hAnsi="宋体" w:eastAsia="宋体" w:cs="宋体"/>
                <w:strike w:val="0"/>
                <w:color w:val="auto"/>
                <w:kern w:val="0"/>
                <w:sz w:val="24"/>
                <w:szCs w:val="24"/>
                <w:highlight w:val="none"/>
                <w:u w:val="single"/>
                <w:shd w:val="clear" w:color="auto" w:fill="FFFFFF"/>
                <w:lang w:val="en-US" w:eastAsia="zh-CN" w:bidi="ar-SA"/>
              </w:rPr>
              <w:t>团队因素</w:t>
            </w:r>
          </w:p>
        </w:tc>
        <w:tc>
          <w:tcPr>
            <w:tcW w:w="6161" w:type="dxa"/>
            <w:vAlign w:val="center"/>
          </w:tcPr>
          <w:p>
            <w:pPr>
              <w:keepNext w:val="0"/>
              <w:keepLines w:val="0"/>
              <w:widowControl w:val="0"/>
              <w:numPr>
                <w:ilvl w:val="-1"/>
                <w:numId w:val="0"/>
              </w:numPr>
              <w:suppressLineNumbers w:val="0"/>
              <w:spacing w:before="0" w:beforeAutospacing="0" w:after="0" w:afterAutospacing="0" w:line="360" w:lineRule="auto"/>
              <w:ind w:left="0" w:right="0" w:firstLine="0" w:firstLineChars="0"/>
              <w:jc w:val="both"/>
              <w:rPr>
                <w:rFonts w:hint="default" w:ascii="宋体" w:hAnsi="宋体" w:eastAsia="宋体" w:cs="宋体"/>
                <w:strike w:val="0"/>
                <w:color w:val="auto"/>
                <w:kern w:val="0"/>
                <w:sz w:val="24"/>
                <w:szCs w:val="24"/>
                <w:highlight w:val="none"/>
                <w:u w:val="single"/>
                <w:shd w:val="clear" w:color="auto" w:fill="FFFFFF"/>
                <w:lang w:val="en-US" w:eastAsia="zh-CN" w:bidi="ar-SA"/>
              </w:rPr>
            </w:pPr>
            <w:r>
              <w:rPr>
                <w:rFonts w:hint="eastAsia" w:ascii="宋体" w:hAnsi="宋体" w:eastAsia="宋体" w:cs="宋体"/>
                <w:strike w:val="0"/>
                <w:color w:val="auto"/>
                <w:kern w:val="0"/>
                <w:sz w:val="24"/>
                <w:szCs w:val="24"/>
                <w:highlight w:val="none"/>
                <w:u w:val="single"/>
                <w:shd w:val="clear" w:color="auto" w:fill="FFFFFF"/>
                <w:lang w:val="en-US" w:eastAsia="zh-CN" w:bidi="ar-SA"/>
              </w:rPr>
              <w:t>包括项目负责人、各设计专业负责人等主要岗位人员的从业能力、业绩、奖项和经历进行评审。</w:t>
            </w:r>
          </w:p>
          <w:p>
            <w:pPr>
              <w:keepNext w:val="0"/>
              <w:keepLines w:val="0"/>
              <w:widowControl w:val="0"/>
              <w:numPr>
                <w:ilvl w:val="-1"/>
                <w:numId w:val="0"/>
              </w:numPr>
              <w:suppressLineNumbers w:val="0"/>
              <w:spacing w:before="0" w:beforeAutospacing="0" w:after="0" w:afterAutospacing="0" w:line="360" w:lineRule="auto"/>
              <w:ind w:left="0" w:right="0" w:firstLine="0" w:firstLineChars="0"/>
              <w:jc w:val="both"/>
              <w:rPr>
                <w:rFonts w:hint="eastAsia" w:ascii="宋体" w:hAnsi="宋体" w:eastAsia="宋体" w:cs="宋体"/>
                <w:color w:val="auto"/>
                <w:kern w:val="0"/>
                <w:sz w:val="24"/>
                <w:szCs w:val="24"/>
                <w:highlight w:val="none"/>
                <w:u w:val="single"/>
                <w:shd w:val="clear" w:color="auto" w:fill="FFFFFF"/>
                <w:vertAlign w:val="baseline"/>
                <w:lang w:val="en-US" w:eastAsia="zh-CN" w:bidi="ar-SA"/>
              </w:rPr>
            </w:pPr>
            <w:r>
              <w:rPr>
                <w:rFonts w:hint="eastAsia" w:ascii="宋体" w:hAnsi="宋体" w:eastAsia="宋体" w:cs="宋体"/>
                <w:color w:val="auto"/>
                <w:kern w:val="0"/>
                <w:sz w:val="24"/>
                <w:szCs w:val="24"/>
                <w:highlight w:val="none"/>
                <w:u w:val="single"/>
                <w:shd w:val="clear" w:color="auto" w:fill="FFFFFF"/>
                <w:vertAlign w:val="baseline"/>
                <w:lang w:val="en-US" w:eastAsia="zh-CN"/>
              </w:rPr>
              <w:t>备</w:t>
            </w:r>
            <w:r>
              <w:rPr>
                <w:rFonts w:hint="eastAsia" w:ascii="宋体" w:hAnsi="宋体" w:eastAsia="宋体" w:cs="宋体"/>
                <w:color w:val="auto"/>
                <w:kern w:val="0"/>
                <w:sz w:val="24"/>
                <w:szCs w:val="24"/>
                <w:highlight w:val="none"/>
                <w:u w:val="single"/>
                <w:shd w:val="clear" w:color="auto" w:fill="FFFFFF"/>
                <w:vertAlign w:val="baseline"/>
                <w:lang w:val="en-US" w:eastAsia="zh-CN" w:bidi="ar-SA"/>
              </w:rPr>
              <w:t>注：</w:t>
            </w:r>
          </w:p>
          <w:p>
            <w:pPr>
              <w:keepNext w:val="0"/>
              <w:keepLines w:val="0"/>
              <w:widowControl w:val="0"/>
              <w:numPr>
                <w:ilvl w:val="-1"/>
                <w:numId w:val="0"/>
              </w:numPr>
              <w:suppressLineNumbers w:val="0"/>
              <w:spacing w:before="0" w:beforeAutospacing="0" w:after="0" w:afterAutospacing="0" w:line="360" w:lineRule="auto"/>
              <w:ind w:left="0" w:right="0" w:firstLine="0" w:firstLineChars="0"/>
              <w:jc w:val="both"/>
              <w:rPr>
                <w:rFonts w:hint="eastAsia" w:ascii="宋体" w:hAnsi="宋体" w:eastAsia="宋体" w:cs="宋体"/>
                <w:color w:val="auto"/>
                <w:kern w:val="0"/>
                <w:sz w:val="24"/>
                <w:szCs w:val="24"/>
                <w:highlight w:val="none"/>
                <w:u w:val="single"/>
                <w:shd w:val="clear" w:color="auto" w:fill="FFFFFF"/>
                <w:vertAlign w:val="baseline"/>
                <w:lang w:val="en-US" w:eastAsia="zh-CN" w:bidi="ar-SA"/>
              </w:rPr>
            </w:pPr>
            <w:r>
              <w:rPr>
                <w:rFonts w:hint="eastAsia" w:ascii="宋体" w:hAnsi="宋体" w:eastAsia="宋体" w:cs="宋体"/>
                <w:color w:val="auto"/>
                <w:kern w:val="0"/>
                <w:sz w:val="24"/>
                <w:szCs w:val="24"/>
                <w:highlight w:val="none"/>
                <w:u w:val="single"/>
                <w:shd w:val="clear" w:color="auto" w:fill="FFFFFF"/>
                <w:vertAlign w:val="baseline"/>
                <w:lang w:val="en-US" w:eastAsia="zh-CN" w:bidi="ar-SA"/>
              </w:rPr>
              <w:t>1、需提供拟派的</w:t>
            </w:r>
            <w:r>
              <w:rPr>
                <w:rFonts w:hint="eastAsia" w:ascii="宋体" w:hAnsi="宋体" w:eastAsia="宋体" w:cs="宋体"/>
                <w:strike w:val="0"/>
                <w:color w:val="auto"/>
                <w:kern w:val="0"/>
                <w:sz w:val="24"/>
                <w:szCs w:val="24"/>
                <w:highlight w:val="none"/>
                <w:u w:val="single"/>
                <w:shd w:val="clear" w:color="auto" w:fill="FFFFFF"/>
                <w:lang w:val="en-US" w:eastAsia="zh-CN" w:bidi="ar-SA"/>
              </w:rPr>
              <w:t>项目负责人</w:t>
            </w:r>
            <w:r>
              <w:rPr>
                <w:rFonts w:hint="default" w:ascii="宋体" w:hAnsi="宋体" w:eastAsia="宋体" w:cs="宋体"/>
                <w:strike w:val="0"/>
                <w:color w:val="auto"/>
                <w:kern w:val="0"/>
                <w:sz w:val="24"/>
                <w:szCs w:val="24"/>
                <w:highlight w:val="none"/>
                <w:u w:val="single"/>
                <w:shd w:val="clear" w:color="auto" w:fill="FFFFFF"/>
                <w:lang w:eastAsia="zh-CN" w:bidi="ar-SA"/>
              </w:rPr>
              <w:t>，</w:t>
            </w:r>
            <w:r>
              <w:rPr>
                <w:rFonts w:hint="eastAsia" w:ascii="宋体" w:hAnsi="宋体" w:eastAsia="宋体" w:cs="宋体"/>
                <w:strike w:val="0"/>
                <w:color w:val="auto"/>
                <w:kern w:val="0"/>
                <w:sz w:val="24"/>
                <w:szCs w:val="24"/>
                <w:highlight w:val="none"/>
                <w:u w:val="single"/>
                <w:shd w:val="clear" w:color="auto" w:fill="FFFFFF"/>
                <w:lang w:val="en-US" w:eastAsia="zh-CN" w:bidi="ar-SA"/>
              </w:rPr>
              <w:t>各设计专业负责人等主要岗位</w:t>
            </w:r>
            <w:r>
              <w:rPr>
                <w:rFonts w:hint="eastAsia" w:ascii="宋体" w:hAnsi="宋体" w:eastAsia="宋体" w:cs="宋体"/>
                <w:b/>
                <w:bCs/>
                <w:color w:val="auto"/>
                <w:kern w:val="0"/>
                <w:sz w:val="24"/>
                <w:szCs w:val="24"/>
                <w:highlight w:val="none"/>
                <w:u w:val="single"/>
                <w:shd w:val="clear" w:color="auto" w:fill="FFFFFF"/>
                <w:lang w:val="en-US" w:eastAsia="zh-CN" w:bidi="ar-SA"/>
              </w:rPr>
              <w:t>（含结构专业负责人、建筑专业负责人、</w:t>
            </w:r>
            <w:r>
              <w:rPr>
                <w:rFonts w:hint="eastAsia" w:ascii="宋体" w:hAnsi="宋体" w:eastAsia="宋体" w:cs="宋体"/>
                <w:b/>
                <w:bCs/>
                <w:strike w:val="0"/>
                <w:color w:val="auto"/>
                <w:kern w:val="0"/>
                <w:sz w:val="24"/>
                <w:szCs w:val="24"/>
                <w:highlight w:val="none"/>
                <w:u w:val="single"/>
                <w:shd w:val="clear" w:color="auto" w:fill="FFFFFF"/>
                <w:lang w:val="en-US" w:eastAsia="zh-CN" w:bidi="ar-SA"/>
              </w:rPr>
              <w:t>园林专业负责人、</w:t>
            </w:r>
            <w:r>
              <w:rPr>
                <w:rFonts w:hint="eastAsia" w:ascii="宋体" w:hAnsi="宋体" w:eastAsia="宋体" w:cs="宋体"/>
                <w:b/>
                <w:bCs/>
                <w:color w:val="auto"/>
                <w:kern w:val="0"/>
                <w:sz w:val="24"/>
                <w:szCs w:val="24"/>
                <w:highlight w:val="none"/>
                <w:u w:val="single"/>
                <w:shd w:val="clear" w:color="auto" w:fill="FFFFFF"/>
                <w:lang w:eastAsia="zh-CN" w:bidi="ar-SA"/>
              </w:rPr>
              <w:t>造价</w:t>
            </w:r>
            <w:r>
              <w:rPr>
                <w:rFonts w:hint="eastAsia" w:ascii="宋体" w:hAnsi="宋体" w:eastAsia="宋体" w:cs="宋体"/>
                <w:b/>
                <w:bCs/>
                <w:color w:val="auto"/>
                <w:kern w:val="0"/>
                <w:sz w:val="24"/>
                <w:szCs w:val="24"/>
                <w:highlight w:val="none"/>
                <w:u w:val="single"/>
                <w:shd w:val="clear" w:color="auto" w:fill="FFFFFF"/>
                <w:lang w:val="en-US" w:eastAsia="zh-CN" w:bidi="ar-SA"/>
              </w:rPr>
              <w:t>负责人）</w:t>
            </w:r>
            <w:r>
              <w:rPr>
                <w:rFonts w:hint="eastAsia" w:ascii="宋体" w:hAnsi="宋体" w:eastAsia="宋体" w:cs="宋体"/>
                <w:strike w:val="0"/>
                <w:color w:val="auto"/>
                <w:kern w:val="0"/>
                <w:sz w:val="24"/>
                <w:szCs w:val="24"/>
                <w:highlight w:val="none"/>
                <w:u w:val="single"/>
                <w:shd w:val="clear" w:color="auto" w:fill="FFFFFF"/>
                <w:lang w:val="en-US" w:eastAsia="zh-CN" w:bidi="ar-SA"/>
              </w:rPr>
              <w:t>人员</w:t>
            </w:r>
            <w:r>
              <w:rPr>
                <w:rFonts w:hint="eastAsia" w:ascii="宋体" w:hAnsi="宋体" w:eastAsia="宋体" w:cs="宋体"/>
                <w:color w:val="auto"/>
                <w:kern w:val="0"/>
                <w:sz w:val="24"/>
                <w:szCs w:val="24"/>
                <w:highlight w:val="none"/>
                <w:u w:val="single"/>
                <w:shd w:val="clear" w:color="auto" w:fill="FFFFFF"/>
                <w:vertAlign w:val="baseline"/>
                <w:lang w:val="en-US" w:eastAsia="zh-CN" w:bidi="ar-SA"/>
              </w:rPr>
              <w:t>的职称证（如有）、注册证（如有）、投标截止时间近1个月（指2025年</w:t>
            </w:r>
            <w:r>
              <w:rPr>
                <w:rFonts w:hint="default" w:ascii="宋体" w:hAnsi="宋体" w:eastAsia="宋体" w:cs="宋体"/>
                <w:color w:val="auto"/>
                <w:kern w:val="0"/>
                <w:sz w:val="24"/>
                <w:szCs w:val="24"/>
                <w:highlight w:val="none"/>
                <w:u w:val="single"/>
                <w:shd w:val="clear" w:color="auto" w:fill="FFFFFF"/>
                <w:vertAlign w:val="baseline"/>
                <w:lang w:eastAsia="zh-CN" w:bidi="ar-SA"/>
              </w:rPr>
              <w:t>7</w:t>
            </w:r>
            <w:r>
              <w:rPr>
                <w:rFonts w:hint="eastAsia" w:ascii="宋体" w:hAnsi="宋体" w:eastAsia="宋体" w:cs="宋体"/>
                <w:color w:val="auto"/>
                <w:kern w:val="0"/>
                <w:sz w:val="24"/>
                <w:szCs w:val="24"/>
                <w:highlight w:val="none"/>
                <w:u w:val="single"/>
                <w:shd w:val="clear" w:color="auto" w:fill="FFFFFF"/>
                <w:vertAlign w:val="baseline"/>
                <w:lang w:val="en-US" w:eastAsia="zh-CN" w:bidi="ar-SA"/>
              </w:rPr>
              <w:t>月）在投标单位购买社保缴纳证明材料；如为退休人员，应提供退休证明及单位聘用证明文件扫描</w:t>
            </w:r>
            <w:r>
              <w:rPr>
                <w:rFonts w:hint="eastAsia" w:ascii="宋体" w:hAnsi="宋体" w:eastAsia="宋体" w:cs="宋体"/>
                <w:color w:val="auto"/>
                <w:kern w:val="0"/>
                <w:sz w:val="21"/>
                <w:szCs w:val="21"/>
                <w:highlight w:val="none"/>
                <w:u w:val="none"/>
                <w:shd w:val="clear" w:color="auto" w:fill="FFFFFF"/>
                <w:lang w:eastAsia="zh-CN" w:bidi="ar"/>
              </w:rPr>
              <w:t>；</w:t>
            </w:r>
            <w:r>
              <w:rPr>
                <w:rFonts w:hint="eastAsia" w:ascii="宋体" w:hAnsi="宋体" w:eastAsia="宋体" w:cs="宋体"/>
                <w:b/>
                <w:bCs/>
                <w:color w:val="auto"/>
                <w:kern w:val="0"/>
                <w:sz w:val="21"/>
                <w:szCs w:val="21"/>
                <w:highlight w:val="none"/>
                <w:u w:val="single"/>
                <w:shd w:val="clear" w:color="auto" w:fill="FFFFFF"/>
                <w:lang w:eastAsia="zh-CN" w:bidi="ar"/>
              </w:rPr>
              <w:t>如</w:t>
            </w:r>
            <w:r>
              <w:rPr>
                <w:rFonts w:hint="eastAsia" w:ascii="宋体" w:hAnsi="宋体" w:eastAsia="宋体" w:cs="宋体"/>
                <w:b/>
                <w:bCs/>
                <w:color w:val="auto"/>
                <w:kern w:val="0"/>
                <w:sz w:val="21"/>
                <w:szCs w:val="21"/>
                <w:highlight w:val="none"/>
                <w:u w:val="single"/>
                <w:shd w:val="clear" w:color="auto" w:fill="FFFFFF"/>
                <w:lang w:val="en-US" w:eastAsia="zh-CN" w:bidi="ar"/>
              </w:rPr>
              <w:t>为</w:t>
            </w:r>
            <w:r>
              <w:rPr>
                <w:rFonts w:hint="eastAsia" w:ascii="宋体" w:hAnsi="宋体" w:eastAsia="宋体" w:cs="宋体"/>
                <w:b/>
                <w:bCs/>
                <w:color w:val="auto"/>
                <w:kern w:val="0"/>
                <w:sz w:val="21"/>
                <w:szCs w:val="21"/>
                <w:highlight w:val="none"/>
                <w:u w:val="single"/>
                <w:shd w:val="clear" w:color="auto" w:fill="FFFFFF"/>
                <w:lang w:eastAsia="zh-CN" w:bidi="ar"/>
              </w:rPr>
              <w:t>高校从事工程</w:t>
            </w:r>
            <w:r>
              <w:rPr>
                <w:rFonts w:hint="eastAsia" w:ascii="宋体" w:hAnsi="宋体" w:eastAsia="宋体" w:cs="宋体"/>
                <w:b/>
                <w:bCs/>
                <w:color w:val="auto"/>
                <w:kern w:val="0"/>
                <w:sz w:val="21"/>
                <w:szCs w:val="21"/>
                <w:highlight w:val="none"/>
                <w:u w:val="single"/>
                <w:shd w:val="clear" w:color="auto" w:fill="FFFFFF"/>
                <w:lang w:val="en-US" w:eastAsia="zh-CN" w:bidi="ar"/>
              </w:rPr>
              <w:t>勘察</w:t>
            </w:r>
            <w:r>
              <w:rPr>
                <w:rFonts w:hint="eastAsia" w:ascii="宋体" w:hAnsi="宋体" w:eastAsia="宋体" w:cs="宋体"/>
                <w:b/>
                <w:bCs/>
                <w:color w:val="auto"/>
                <w:kern w:val="0"/>
                <w:sz w:val="21"/>
                <w:szCs w:val="21"/>
                <w:highlight w:val="none"/>
                <w:u w:val="single"/>
                <w:shd w:val="clear" w:color="auto" w:fill="FFFFFF"/>
                <w:lang w:eastAsia="zh-CN" w:bidi="ar"/>
              </w:rPr>
              <w:t>设计的人员社保缴纳单位与投标单位不一致的，除</w:t>
            </w:r>
            <w:r>
              <w:rPr>
                <w:rFonts w:hint="eastAsia" w:ascii="宋体" w:hAnsi="宋体" w:eastAsia="宋体" w:cs="宋体"/>
                <w:b/>
                <w:bCs/>
                <w:color w:val="auto"/>
                <w:kern w:val="0"/>
                <w:sz w:val="21"/>
                <w:szCs w:val="21"/>
                <w:highlight w:val="none"/>
                <w:u w:val="single"/>
                <w:shd w:val="clear" w:color="auto" w:fill="FFFFFF"/>
                <w:lang w:val="en-US" w:eastAsia="zh-CN" w:bidi="ar"/>
              </w:rPr>
              <w:t>需</w:t>
            </w:r>
            <w:r>
              <w:rPr>
                <w:rFonts w:hint="eastAsia" w:ascii="宋体" w:hAnsi="宋体" w:eastAsia="宋体" w:cs="宋体"/>
                <w:b/>
                <w:bCs/>
                <w:color w:val="auto"/>
                <w:kern w:val="0"/>
                <w:sz w:val="21"/>
                <w:szCs w:val="21"/>
                <w:highlight w:val="none"/>
                <w:u w:val="single"/>
                <w:shd w:val="clear" w:color="auto" w:fill="FFFFFF"/>
                <w:lang w:eastAsia="zh-CN" w:bidi="ar"/>
              </w:rPr>
              <w:t>提供社保</w:t>
            </w:r>
            <w:r>
              <w:rPr>
                <w:rFonts w:hint="eastAsia" w:ascii="宋体" w:hAnsi="宋体" w:eastAsia="宋体" w:cs="宋体"/>
                <w:b/>
                <w:bCs/>
                <w:color w:val="auto"/>
                <w:kern w:val="0"/>
                <w:sz w:val="21"/>
                <w:szCs w:val="21"/>
                <w:highlight w:val="none"/>
                <w:u w:val="single"/>
                <w:shd w:val="clear" w:color="auto" w:fill="FFFFFF"/>
                <w:lang w:val="en-US" w:eastAsia="zh-CN" w:bidi="ar"/>
              </w:rPr>
              <w:t>缴纳</w:t>
            </w:r>
            <w:r>
              <w:rPr>
                <w:rFonts w:hint="eastAsia" w:ascii="宋体" w:hAnsi="宋体" w:eastAsia="宋体" w:cs="宋体"/>
                <w:b/>
                <w:bCs/>
                <w:color w:val="auto"/>
                <w:kern w:val="0"/>
                <w:sz w:val="21"/>
                <w:szCs w:val="21"/>
                <w:highlight w:val="none"/>
                <w:u w:val="single"/>
                <w:shd w:val="clear" w:color="auto" w:fill="FFFFFF"/>
                <w:lang w:eastAsia="zh-CN" w:bidi="ar"/>
              </w:rPr>
              <w:t>证明</w:t>
            </w:r>
            <w:r>
              <w:rPr>
                <w:rFonts w:hint="eastAsia" w:ascii="宋体" w:hAnsi="宋体" w:eastAsia="宋体" w:cs="宋体"/>
                <w:b/>
                <w:bCs/>
                <w:color w:val="auto"/>
                <w:kern w:val="0"/>
                <w:sz w:val="21"/>
                <w:szCs w:val="21"/>
                <w:highlight w:val="none"/>
                <w:u w:val="single"/>
                <w:shd w:val="clear" w:color="auto" w:fill="FFFFFF"/>
                <w:lang w:val="en-US" w:eastAsia="zh-CN" w:bidi="ar"/>
              </w:rPr>
              <w:t>材料</w:t>
            </w:r>
            <w:r>
              <w:rPr>
                <w:rFonts w:hint="eastAsia" w:ascii="宋体" w:hAnsi="宋体" w:eastAsia="宋体" w:cs="宋体"/>
                <w:b/>
                <w:bCs/>
                <w:color w:val="auto"/>
                <w:kern w:val="0"/>
                <w:sz w:val="21"/>
                <w:szCs w:val="21"/>
                <w:highlight w:val="none"/>
                <w:u w:val="single"/>
                <w:shd w:val="clear" w:color="auto" w:fill="FFFFFF"/>
                <w:lang w:eastAsia="zh-CN" w:bidi="ar"/>
              </w:rPr>
              <w:t>扫描件，还需提供岗位所在单位上级人事主管部门出具的，人员为本校事业编制人员并在该企业工作</w:t>
            </w:r>
            <w:r>
              <w:rPr>
                <w:rFonts w:hint="eastAsia" w:ascii="宋体" w:hAnsi="宋体" w:eastAsia="宋体" w:cs="宋体"/>
                <w:b/>
                <w:bCs/>
                <w:color w:val="auto"/>
                <w:kern w:val="0"/>
                <w:sz w:val="21"/>
                <w:szCs w:val="21"/>
                <w:highlight w:val="none"/>
                <w:u w:val="single"/>
                <w:shd w:val="clear" w:color="auto" w:fill="FFFFFF"/>
                <w:lang w:val="en-US" w:eastAsia="zh-CN" w:bidi="ar"/>
              </w:rPr>
              <w:t>但</w:t>
            </w:r>
            <w:r>
              <w:rPr>
                <w:rFonts w:hint="eastAsia" w:ascii="宋体" w:hAnsi="宋体" w:eastAsia="宋体" w:cs="宋体"/>
                <w:b/>
                <w:bCs/>
                <w:color w:val="auto"/>
                <w:kern w:val="0"/>
                <w:sz w:val="21"/>
                <w:szCs w:val="21"/>
                <w:highlight w:val="none"/>
                <w:u w:val="single"/>
                <w:shd w:val="clear" w:color="auto" w:fill="FFFFFF"/>
                <w:lang w:eastAsia="zh-CN" w:bidi="ar"/>
              </w:rPr>
              <w:t>社保由高校统一缴纳的人事关系证明</w:t>
            </w:r>
            <w:r>
              <w:rPr>
                <w:rFonts w:hint="eastAsia" w:ascii="宋体" w:hAnsi="宋体" w:eastAsia="宋体" w:cs="宋体"/>
                <w:b/>
                <w:bCs/>
                <w:color w:val="auto"/>
                <w:kern w:val="0"/>
                <w:sz w:val="21"/>
                <w:szCs w:val="21"/>
                <w:highlight w:val="none"/>
                <w:u w:val="single"/>
                <w:shd w:val="clear" w:color="auto" w:fill="FFFFFF"/>
                <w:lang w:val="en-US" w:eastAsia="zh-CN" w:bidi="ar"/>
              </w:rPr>
              <w:t>文件</w:t>
            </w:r>
            <w:r>
              <w:rPr>
                <w:rFonts w:hint="eastAsia" w:ascii="宋体" w:hAnsi="宋体" w:eastAsia="宋体" w:cs="宋体"/>
                <w:b/>
                <w:bCs/>
                <w:color w:val="auto"/>
                <w:kern w:val="0"/>
                <w:sz w:val="21"/>
                <w:szCs w:val="21"/>
                <w:highlight w:val="none"/>
                <w:u w:val="single"/>
                <w:shd w:val="clear" w:color="auto" w:fill="FFFFFF"/>
                <w:lang w:eastAsia="zh-CN" w:bidi="ar"/>
              </w:rPr>
              <w:t>扫描件</w:t>
            </w:r>
            <w:r>
              <w:rPr>
                <w:rFonts w:hint="default" w:ascii="宋体" w:hAnsi="宋体" w:eastAsia="宋体" w:cs="宋体"/>
                <w:b/>
                <w:bCs/>
                <w:color w:val="auto"/>
                <w:kern w:val="0"/>
                <w:sz w:val="21"/>
                <w:szCs w:val="21"/>
                <w:highlight w:val="none"/>
                <w:u w:val="single"/>
                <w:shd w:val="clear" w:color="auto" w:fill="FFFFFF"/>
                <w:lang w:eastAsia="zh-CN" w:bidi="ar"/>
              </w:rPr>
              <w:t>。</w:t>
            </w:r>
          </w:p>
          <w:p>
            <w:pPr>
              <w:keepNext w:val="0"/>
              <w:keepLines w:val="0"/>
              <w:widowControl w:val="0"/>
              <w:numPr>
                <w:ilvl w:val="-1"/>
                <w:numId w:val="0"/>
              </w:numPr>
              <w:suppressLineNumbers w:val="0"/>
              <w:spacing w:before="0" w:beforeAutospacing="0" w:after="0" w:afterAutospacing="0" w:line="360" w:lineRule="auto"/>
              <w:ind w:left="0" w:leftChars="0" w:right="0" w:firstLine="0" w:firstLineChars="0"/>
              <w:jc w:val="both"/>
              <w:rPr>
                <w:rFonts w:hint="eastAsia" w:ascii="宋体" w:hAnsi="宋体" w:eastAsia="宋体" w:cs="宋体"/>
                <w:color w:val="auto"/>
                <w:kern w:val="0"/>
                <w:sz w:val="24"/>
                <w:szCs w:val="24"/>
                <w:highlight w:val="none"/>
                <w:u w:val="single"/>
                <w:shd w:val="clear" w:color="auto" w:fill="FFFFFF"/>
                <w:vertAlign w:val="baseline"/>
                <w:lang w:bidi="ar-SA"/>
              </w:rPr>
            </w:pPr>
            <w:r>
              <w:rPr>
                <w:rFonts w:hint="eastAsia" w:ascii="宋体" w:hAnsi="宋体" w:eastAsia="宋体" w:cs="宋体"/>
                <w:color w:val="auto"/>
                <w:kern w:val="0"/>
                <w:sz w:val="24"/>
                <w:szCs w:val="24"/>
                <w:highlight w:val="none"/>
                <w:u w:val="single"/>
                <w:shd w:val="clear" w:color="auto" w:fill="FFFFFF"/>
                <w:vertAlign w:val="baseline"/>
                <w:lang w:val="en-US" w:eastAsia="zh-CN" w:bidi="ar-SA"/>
              </w:rPr>
              <w:t>2、</w:t>
            </w:r>
            <w:r>
              <w:rPr>
                <w:rFonts w:hint="eastAsia" w:ascii="宋体" w:hAnsi="宋体" w:eastAsia="宋体" w:cs="宋体"/>
                <w:color w:val="auto"/>
                <w:kern w:val="0"/>
                <w:sz w:val="24"/>
                <w:szCs w:val="24"/>
                <w:highlight w:val="none"/>
                <w:u w:val="single"/>
                <w:shd w:val="clear" w:color="auto" w:fill="FFFFFF"/>
                <w:vertAlign w:val="baseline"/>
                <w:lang w:bidi="ar-SA"/>
              </w:rPr>
              <w:t>人员类似业绩指投标人拟派</w:t>
            </w:r>
            <w:r>
              <w:rPr>
                <w:rFonts w:hint="eastAsia" w:ascii="宋体" w:hAnsi="宋体" w:eastAsia="宋体" w:cs="宋体"/>
                <w:color w:val="auto"/>
                <w:kern w:val="0"/>
                <w:sz w:val="24"/>
                <w:szCs w:val="24"/>
                <w:highlight w:val="none"/>
                <w:u w:val="single"/>
                <w:shd w:val="clear" w:color="auto" w:fill="FFFFFF"/>
                <w:vertAlign w:val="baseline"/>
                <w:lang w:val="en-US" w:eastAsia="zh-CN" w:bidi="ar-SA"/>
              </w:rPr>
              <w:t>的</w:t>
            </w:r>
            <w:r>
              <w:rPr>
                <w:rFonts w:hint="eastAsia" w:ascii="宋体" w:hAnsi="宋体" w:eastAsia="宋体" w:cs="宋体"/>
                <w:strike w:val="0"/>
                <w:color w:val="auto"/>
                <w:kern w:val="0"/>
                <w:sz w:val="24"/>
                <w:szCs w:val="24"/>
                <w:highlight w:val="none"/>
                <w:u w:val="single"/>
                <w:shd w:val="clear" w:color="auto" w:fill="FFFFFF"/>
                <w:lang w:val="en-US" w:eastAsia="zh-CN" w:bidi="ar-SA"/>
              </w:rPr>
              <w:t>项目负责人</w:t>
            </w:r>
            <w:r>
              <w:rPr>
                <w:rFonts w:hint="default" w:ascii="宋体" w:hAnsi="宋体" w:eastAsia="宋体" w:cs="宋体"/>
                <w:strike w:val="0"/>
                <w:color w:val="auto"/>
                <w:kern w:val="0"/>
                <w:sz w:val="24"/>
                <w:szCs w:val="24"/>
                <w:highlight w:val="none"/>
                <w:u w:val="single"/>
                <w:shd w:val="clear" w:color="auto" w:fill="FFFFFF"/>
                <w:lang w:eastAsia="zh-CN" w:bidi="ar-SA"/>
              </w:rPr>
              <w:t>、</w:t>
            </w:r>
            <w:r>
              <w:rPr>
                <w:rFonts w:hint="eastAsia" w:ascii="宋体" w:hAnsi="宋体" w:eastAsia="宋体" w:cs="宋体"/>
                <w:strike w:val="0"/>
                <w:color w:val="auto"/>
                <w:kern w:val="0"/>
                <w:sz w:val="24"/>
                <w:szCs w:val="24"/>
                <w:highlight w:val="none"/>
                <w:u w:val="single"/>
                <w:shd w:val="clear" w:color="auto" w:fill="FFFFFF"/>
                <w:lang w:val="en-US" w:eastAsia="zh-CN" w:bidi="ar-SA"/>
              </w:rPr>
              <w:t>各设计专业负责人等主要岗位</w:t>
            </w:r>
            <w:r>
              <w:rPr>
                <w:rFonts w:hint="eastAsia" w:ascii="宋体" w:hAnsi="宋体" w:eastAsia="宋体" w:cs="宋体"/>
                <w:b/>
                <w:bCs/>
                <w:color w:val="auto"/>
                <w:kern w:val="0"/>
                <w:sz w:val="24"/>
                <w:szCs w:val="24"/>
                <w:highlight w:val="none"/>
                <w:u w:val="single"/>
                <w:shd w:val="clear" w:color="auto" w:fill="FFFFFF"/>
                <w:lang w:val="en-US" w:eastAsia="zh-CN" w:bidi="ar-SA"/>
              </w:rPr>
              <w:t>（含结构专业负责人、建筑专业负责人、</w:t>
            </w:r>
            <w:r>
              <w:rPr>
                <w:rFonts w:hint="eastAsia" w:ascii="宋体" w:hAnsi="宋体" w:eastAsia="宋体" w:cs="宋体"/>
                <w:b/>
                <w:bCs/>
                <w:strike w:val="0"/>
                <w:color w:val="auto"/>
                <w:kern w:val="0"/>
                <w:sz w:val="24"/>
                <w:szCs w:val="24"/>
                <w:highlight w:val="none"/>
                <w:u w:val="single"/>
                <w:shd w:val="clear" w:color="auto" w:fill="FFFFFF"/>
                <w:lang w:val="en-US" w:eastAsia="zh-CN" w:bidi="ar-SA"/>
              </w:rPr>
              <w:t>园林专业负责人</w:t>
            </w:r>
            <w:r>
              <w:rPr>
                <w:rFonts w:hint="eastAsia" w:ascii="宋体" w:hAnsi="宋体" w:eastAsia="宋体" w:cs="宋体"/>
                <w:b/>
                <w:bCs/>
                <w:color w:val="auto"/>
                <w:kern w:val="0"/>
                <w:sz w:val="24"/>
                <w:szCs w:val="24"/>
                <w:highlight w:val="none"/>
                <w:u w:val="single"/>
                <w:shd w:val="clear" w:color="auto" w:fill="FFFFFF"/>
                <w:lang w:val="en-US" w:eastAsia="zh-CN" w:bidi="ar-SA"/>
              </w:rPr>
              <w:t>）</w:t>
            </w:r>
            <w:r>
              <w:rPr>
                <w:rFonts w:hint="eastAsia" w:ascii="宋体" w:hAnsi="宋体" w:eastAsia="宋体" w:cs="宋体"/>
                <w:strike w:val="0"/>
                <w:color w:val="auto"/>
                <w:kern w:val="0"/>
                <w:sz w:val="24"/>
                <w:szCs w:val="24"/>
                <w:highlight w:val="none"/>
                <w:u w:val="single"/>
                <w:shd w:val="clear" w:color="auto" w:fill="FFFFFF"/>
                <w:lang w:val="en-US" w:eastAsia="zh-CN" w:bidi="ar-SA"/>
              </w:rPr>
              <w:t>人员</w:t>
            </w:r>
            <w:r>
              <w:rPr>
                <w:rFonts w:hint="eastAsia" w:ascii="宋体" w:hAnsi="宋体" w:eastAsia="宋体" w:cs="宋体"/>
                <w:color w:val="auto"/>
                <w:kern w:val="0"/>
                <w:sz w:val="24"/>
                <w:szCs w:val="24"/>
                <w:highlight w:val="none"/>
                <w:u w:val="single"/>
                <w:shd w:val="clear" w:color="auto" w:fill="FFFFFF"/>
                <w:vertAlign w:val="baseline"/>
                <w:lang w:bidi="ar-SA"/>
              </w:rPr>
              <w:t>自2019年1月1日至投标截止时间止，作为团队人员完成过的</w:t>
            </w:r>
            <w:r>
              <w:rPr>
                <w:rFonts w:hint="eastAsia" w:ascii="宋体" w:hAnsi="宋体" w:eastAsia="宋体" w:cs="宋体"/>
                <w:color w:val="auto"/>
                <w:kern w:val="0"/>
                <w:sz w:val="24"/>
                <w:szCs w:val="24"/>
                <w:highlight w:val="none"/>
                <w:u w:val="single"/>
                <w:shd w:val="clear" w:color="auto" w:fill="FFFFFF"/>
                <w:vertAlign w:val="baseline"/>
                <w:lang w:bidi="ar"/>
              </w:rPr>
              <w:t>总投资≥5</w:t>
            </w:r>
            <w:r>
              <w:rPr>
                <w:rFonts w:hint="eastAsia" w:ascii="宋体" w:hAnsi="宋体" w:eastAsia="宋体" w:cs="宋体"/>
                <w:color w:val="auto"/>
                <w:kern w:val="0"/>
                <w:sz w:val="24"/>
                <w:szCs w:val="24"/>
                <w:highlight w:val="none"/>
                <w:u w:val="single"/>
                <w:shd w:val="clear" w:color="auto" w:fill="FFFFFF"/>
                <w:vertAlign w:val="baseline"/>
                <w:lang w:val="en-US" w:eastAsia="zh-CN" w:bidi="ar"/>
              </w:rPr>
              <w:t>0000</w:t>
            </w:r>
            <w:r>
              <w:rPr>
                <w:rFonts w:hint="eastAsia" w:ascii="宋体" w:hAnsi="宋体" w:eastAsia="宋体" w:cs="宋体"/>
                <w:color w:val="auto"/>
                <w:kern w:val="0"/>
                <w:sz w:val="24"/>
                <w:szCs w:val="24"/>
                <w:highlight w:val="none"/>
                <w:u w:val="single"/>
                <w:shd w:val="clear" w:color="auto" w:fill="FFFFFF"/>
                <w:vertAlign w:val="baseline"/>
                <w:lang w:bidi="ar"/>
              </w:rPr>
              <w:t>万元或超高层（即建筑高度100米以上）的公共建筑类工程设计业绩</w:t>
            </w:r>
            <w:r>
              <w:rPr>
                <w:rFonts w:hint="eastAsia" w:ascii="宋体" w:hAnsi="宋体" w:eastAsia="宋体" w:cs="宋体"/>
                <w:color w:val="auto"/>
                <w:kern w:val="0"/>
                <w:sz w:val="24"/>
                <w:szCs w:val="24"/>
                <w:highlight w:val="none"/>
                <w:u w:val="single"/>
                <w:shd w:val="clear" w:color="auto" w:fill="FFFFFF"/>
                <w:vertAlign w:val="baseline"/>
                <w:lang w:bidi="ar-SA"/>
              </w:rPr>
              <w:t>；对于拟派团队</w:t>
            </w:r>
            <w:r>
              <w:rPr>
                <w:rFonts w:hint="default" w:ascii="宋体" w:hAnsi="宋体" w:eastAsia="宋体" w:cs="宋体"/>
                <w:color w:val="auto"/>
                <w:kern w:val="0"/>
                <w:sz w:val="24"/>
                <w:szCs w:val="24"/>
                <w:highlight w:val="none"/>
                <w:u w:val="single"/>
                <w:shd w:val="clear" w:color="auto" w:fill="FFFFFF"/>
                <w:vertAlign w:val="baseline"/>
                <w:lang w:bidi="ar-SA"/>
              </w:rPr>
              <w:t>主要</w:t>
            </w:r>
            <w:r>
              <w:rPr>
                <w:rFonts w:hint="eastAsia" w:ascii="宋体" w:hAnsi="宋体" w:eastAsia="宋体" w:cs="宋体"/>
                <w:color w:val="auto"/>
                <w:kern w:val="0"/>
                <w:sz w:val="24"/>
                <w:szCs w:val="24"/>
                <w:highlight w:val="none"/>
                <w:u w:val="single"/>
                <w:shd w:val="clear" w:color="auto" w:fill="FFFFFF"/>
                <w:vertAlign w:val="baseline"/>
                <w:lang w:bidi="ar-SA"/>
              </w:rPr>
              <w:t>岗位人员，</w:t>
            </w:r>
            <w:r>
              <w:rPr>
                <w:rFonts w:hint="eastAsia" w:ascii="宋体" w:hAnsi="宋体" w:eastAsia="宋体" w:cs="宋体"/>
                <w:color w:val="auto"/>
                <w:kern w:val="0"/>
                <w:sz w:val="24"/>
                <w:szCs w:val="24"/>
                <w:highlight w:val="none"/>
                <w:u w:val="single"/>
                <w:shd w:val="clear" w:color="auto" w:fill="FFFFFF"/>
                <w:lang w:val="en-US" w:eastAsia="zh-CN" w:bidi="ar"/>
              </w:rPr>
              <w:t>投标人自行选择</w:t>
            </w:r>
            <w:r>
              <w:rPr>
                <w:rFonts w:hint="default" w:ascii="宋体" w:hAnsi="宋体" w:eastAsia="宋体" w:cs="宋体"/>
                <w:color w:val="auto"/>
                <w:kern w:val="0"/>
                <w:sz w:val="24"/>
                <w:szCs w:val="24"/>
                <w:highlight w:val="none"/>
                <w:u w:val="single"/>
                <w:shd w:val="clear" w:color="auto" w:fill="FFFFFF"/>
                <w:lang w:eastAsia="zh-CN" w:bidi="ar"/>
              </w:rPr>
              <w:t>1</w:t>
            </w:r>
            <w:r>
              <w:rPr>
                <w:rFonts w:hint="eastAsia" w:ascii="宋体" w:hAnsi="宋体" w:eastAsia="宋体" w:cs="宋体"/>
                <w:color w:val="auto"/>
                <w:kern w:val="0"/>
                <w:sz w:val="24"/>
                <w:szCs w:val="24"/>
                <w:highlight w:val="none"/>
                <w:u w:val="single"/>
                <w:shd w:val="clear" w:color="auto" w:fill="FFFFFF"/>
                <w:lang w:val="en-US" w:eastAsia="zh-CN" w:bidi="ar"/>
              </w:rPr>
              <w:t>个符合本项目具体特点（</w:t>
            </w:r>
            <w:r>
              <w:rPr>
                <w:rFonts w:hint="eastAsia" w:ascii="宋体" w:hAnsi="宋体" w:eastAsia="宋体" w:cs="宋体"/>
                <w:color w:val="auto"/>
                <w:kern w:val="0"/>
                <w:sz w:val="24"/>
                <w:szCs w:val="24"/>
                <w:highlight w:val="none"/>
                <w:u w:val="single"/>
                <w:shd w:val="clear" w:color="auto" w:fill="FFFFFF"/>
                <w:vertAlign w:val="baseline"/>
                <w:lang w:bidi="ar"/>
              </w:rPr>
              <w:t>总投资≥5</w:t>
            </w:r>
            <w:r>
              <w:rPr>
                <w:rFonts w:hint="eastAsia" w:ascii="宋体" w:hAnsi="宋体" w:eastAsia="宋体" w:cs="宋体"/>
                <w:color w:val="auto"/>
                <w:kern w:val="0"/>
                <w:sz w:val="24"/>
                <w:szCs w:val="24"/>
                <w:highlight w:val="none"/>
                <w:u w:val="single"/>
                <w:shd w:val="clear" w:color="auto" w:fill="FFFFFF"/>
                <w:vertAlign w:val="baseline"/>
                <w:lang w:val="en-US" w:eastAsia="zh-CN" w:bidi="ar"/>
              </w:rPr>
              <w:t>0000</w:t>
            </w:r>
            <w:r>
              <w:rPr>
                <w:rFonts w:hint="eastAsia" w:ascii="宋体" w:hAnsi="宋体" w:eastAsia="宋体" w:cs="宋体"/>
                <w:color w:val="auto"/>
                <w:kern w:val="0"/>
                <w:sz w:val="24"/>
                <w:szCs w:val="24"/>
                <w:highlight w:val="none"/>
                <w:u w:val="single"/>
                <w:shd w:val="clear" w:color="auto" w:fill="FFFFFF"/>
                <w:vertAlign w:val="baseline"/>
                <w:lang w:bidi="ar"/>
              </w:rPr>
              <w:t>万元或超高层（即建筑高度100米以上）的公共建筑类工程设计</w:t>
            </w:r>
            <w:r>
              <w:rPr>
                <w:rFonts w:hint="eastAsia" w:ascii="宋体" w:hAnsi="宋体" w:eastAsia="宋体" w:cs="宋体"/>
                <w:color w:val="auto"/>
                <w:kern w:val="0"/>
                <w:sz w:val="24"/>
                <w:szCs w:val="24"/>
                <w:highlight w:val="none"/>
                <w:u w:val="single"/>
                <w:shd w:val="clear" w:color="auto" w:fill="FFFFFF"/>
                <w:lang w:val="en-US" w:eastAsia="zh-CN" w:bidi="ar"/>
              </w:rPr>
              <w:t>）有代表性业绩提供</w:t>
            </w:r>
            <w:r>
              <w:rPr>
                <w:rFonts w:hint="default" w:ascii="宋体" w:hAnsi="宋体" w:eastAsia="宋体" w:cs="宋体"/>
                <w:color w:val="auto"/>
                <w:kern w:val="0"/>
                <w:sz w:val="24"/>
                <w:szCs w:val="24"/>
                <w:highlight w:val="none"/>
                <w:u w:val="single"/>
                <w:shd w:val="clear" w:color="auto" w:fill="FFFFFF"/>
                <w:vertAlign w:val="baseline"/>
                <w:lang w:bidi="ar"/>
              </w:rPr>
              <w:t>即可</w:t>
            </w:r>
            <w:r>
              <w:rPr>
                <w:rFonts w:hint="eastAsia" w:ascii="宋体" w:hAnsi="宋体" w:eastAsia="宋体" w:cs="宋体"/>
                <w:color w:val="auto"/>
                <w:kern w:val="0"/>
                <w:sz w:val="24"/>
                <w:szCs w:val="24"/>
                <w:highlight w:val="none"/>
                <w:u w:val="single"/>
                <w:shd w:val="clear" w:color="auto" w:fill="FFFFFF"/>
                <w:vertAlign w:val="baseline"/>
                <w:lang w:bidi="ar-SA"/>
              </w:rPr>
              <w:t>（如有），需提供①合同关键页、②初步设计批复或施工图审查合格书作为业绩证明文件，业绩时间以初步设计批复或施工图审查合格书时间为准。如果合同或初步设计批复或施工图审查单位出具的施工图审查合格书不能证明人员的名字，必须另行提供有效证明文件证明。投标单位需提供能证明项目总投资</w:t>
            </w:r>
            <w:r>
              <w:rPr>
                <w:rFonts w:hint="default" w:ascii="宋体" w:hAnsi="宋体" w:eastAsia="宋体" w:cs="宋体"/>
                <w:color w:val="auto"/>
                <w:kern w:val="0"/>
                <w:sz w:val="24"/>
                <w:szCs w:val="24"/>
                <w:highlight w:val="none"/>
                <w:u w:val="single"/>
                <w:shd w:val="clear" w:color="auto" w:fill="FFFFFF"/>
                <w:vertAlign w:val="baseline"/>
                <w:lang w:bidi="ar-SA"/>
              </w:rPr>
              <w:t>或</w:t>
            </w:r>
            <w:r>
              <w:rPr>
                <w:rFonts w:hint="eastAsia" w:ascii="宋体" w:hAnsi="宋体" w:eastAsia="宋体" w:cs="宋体"/>
                <w:color w:val="auto"/>
                <w:kern w:val="0"/>
                <w:sz w:val="24"/>
                <w:szCs w:val="24"/>
                <w:highlight w:val="none"/>
                <w:u w:val="single"/>
                <w:shd w:val="clear" w:color="auto" w:fill="FFFFFF"/>
                <w:vertAlign w:val="baseline"/>
                <w:lang w:bidi="ar"/>
              </w:rPr>
              <w:t>建筑高度</w:t>
            </w:r>
            <w:r>
              <w:rPr>
                <w:rFonts w:hint="eastAsia" w:ascii="宋体" w:hAnsi="宋体" w:eastAsia="宋体" w:cs="宋体"/>
                <w:color w:val="auto"/>
                <w:kern w:val="0"/>
                <w:sz w:val="24"/>
                <w:szCs w:val="24"/>
                <w:highlight w:val="none"/>
                <w:u w:val="single"/>
                <w:shd w:val="clear" w:color="auto" w:fill="FFFFFF"/>
                <w:vertAlign w:val="baseline"/>
                <w:lang w:bidi="ar-SA"/>
              </w:rPr>
              <w:t>的证明文件扫描件，加盖投标人电子印章。总投资证明文件可以是项目建议书批文、可行性研究报告批文或企业投资项目备案证。合同中列明项目总投资的，可做为项目总投资证明文件。</w:t>
            </w:r>
          </w:p>
          <w:p>
            <w:pPr>
              <w:keepNext w:val="0"/>
              <w:keepLines w:val="0"/>
              <w:widowControl w:val="0"/>
              <w:numPr>
                <w:ilvl w:val="-1"/>
                <w:numId w:val="0"/>
              </w:numPr>
              <w:suppressLineNumbers w:val="0"/>
              <w:spacing w:before="0" w:beforeAutospacing="0" w:after="0" w:afterAutospacing="0" w:line="360" w:lineRule="auto"/>
              <w:ind w:left="0" w:right="0" w:firstLine="0" w:firstLineChars="0"/>
              <w:jc w:val="both"/>
              <w:rPr>
                <w:rFonts w:hint="default" w:ascii="宋体" w:hAnsi="宋体" w:eastAsia="宋体" w:cs="宋体"/>
                <w:strike w:val="0"/>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u w:val="single"/>
                <w:shd w:val="clear" w:color="auto" w:fill="FFFFFF"/>
                <w:vertAlign w:val="baseline"/>
                <w:lang w:bidi="ar-SA"/>
              </w:rPr>
              <w:t>3、人员</w:t>
            </w:r>
            <w:r>
              <w:rPr>
                <w:rFonts w:hint="default" w:ascii="宋体" w:hAnsi="宋体" w:eastAsia="宋体" w:cs="宋体"/>
                <w:color w:val="auto"/>
                <w:kern w:val="0"/>
                <w:sz w:val="24"/>
                <w:szCs w:val="24"/>
                <w:highlight w:val="none"/>
                <w:u w:val="single"/>
                <w:shd w:val="clear" w:color="auto" w:fill="FFFFFF"/>
                <w:vertAlign w:val="baseline"/>
                <w:lang w:bidi="ar-SA"/>
              </w:rPr>
              <w:t>奖项</w:t>
            </w:r>
            <w:r>
              <w:rPr>
                <w:rFonts w:hint="eastAsia" w:ascii="宋体" w:hAnsi="宋体" w:eastAsia="宋体" w:cs="宋体"/>
                <w:color w:val="auto"/>
                <w:kern w:val="0"/>
                <w:sz w:val="24"/>
                <w:szCs w:val="24"/>
                <w:highlight w:val="none"/>
                <w:u w:val="single"/>
                <w:shd w:val="clear" w:color="auto" w:fill="FFFFFF"/>
                <w:vertAlign w:val="baseline"/>
                <w:lang w:bidi="ar-SA"/>
              </w:rPr>
              <w:t>指投标人拟派</w:t>
            </w:r>
            <w:r>
              <w:rPr>
                <w:rFonts w:hint="eastAsia" w:ascii="宋体" w:hAnsi="宋体" w:eastAsia="宋体" w:cs="宋体"/>
                <w:color w:val="auto"/>
                <w:kern w:val="0"/>
                <w:sz w:val="24"/>
                <w:szCs w:val="24"/>
                <w:highlight w:val="none"/>
                <w:u w:val="single"/>
                <w:shd w:val="clear" w:color="auto" w:fill="FFFFFF"/>
                <w:vertAlign w:val="baseline"/>
                <w:lang w:val="en-US" w:eastAsia="zh-CN" w:bidi="ar-SA"/>
              </w:rPr>
              <w:t>的</w:t>
            </w:r>
            <w:r>
              <w:rPr>
                <w:rFonts w:hint="eastAsia" w:ascii="宋体" w:hAnsi="宋体" w:eastAsia="宋体" w:cs="宋体"/>
                <w:strike w:val="0"/>
                <w:color w:val="auto"/>
                <w:kern w:val="0"/>
                <w:sz w:val="24"/>
                <w:szCs w:val="24"/>
                <w:highlight w:val="none"/>
                <w:u w:val="single"/>
                <w:shd w:val="clear" w:color="auto" w:fill="FFFFFF"/>
                <w:lang w:val="en-US" w:eastAsia="zh-CN" w:bidi="ar-SA"/>
              </w:rPr>
              <w:t>项目负责人、各设计专业负责人等主要岗位</w:t>
            </w:r>
            <w:r>
              <w:rPr>
                <w:rFonts w:hint="eastAsia" w:ascii="宋体" w:hAnsi="宋体" w:eastAsia="宋体" w:cs="宋体"/>
                <w:b/>
                <w:bCs/>
                <w:color w:val="auto"/>
                <w:kern w:val="0"/>
                <w:sz w:val="24"/>
                <w:szCs w:val="24"/>
                <w:highlight w:val="none"/>
                <w:u w:val="single"/>
                <w:shd w:val="clear" w:color="auto" w:fill="FFFFFF"/>
                <w:lang w:val="en-US" w:eastAsia="zh-CN" w:bidi="ar-SA"/>
              </w:rPr>
              <w:t>（含结构专业负责人、建筑专业负责人、</w:t>
            </w:r>
            <w:r>
              <w:rPr>
                <w:rFonts w:hint="eastAsia" w:ascii="宋体" w:hAnsi="宋体" w:eastAsia="宋体" w:cs="宋体"/>
                <w:b/>
                <w:bCs/>
                <w:strike w:val="0"/>
                <w:color w:val="auto"/>
                <w:kern w:val="0"/>
                <w:sz w:val="24"/>
                <w:szCs w:val="24"/>
                <w:highlight w:val="none"/>
                <w:u w:val="single"/>
                <w:shd w:val="clear" w:color="auto" w:fill="FFFFFF"/>
                <w:lang w:val="en-US" w:eastAsia="zh-CN" w:bidi="ar-SA"/>
              </w:rPr>
              <w:t>园林专业负责人</w:t>
            </w:r>
            <w:r>
              <w:rPr>
                <w:rFonts w:hint="eastAsia" w:ascii="宋体" w:hAnsi="宋体" w:eastAsia="宋体" w:cs="宋体"/>
                <w:b/>
                <w:bCs/>
                <w:color w:val="auto"/>
                <w:kern w:val="0"/>
                <w:sz w:val="24"/>
                <w:szCs w:val="24"/>
                <w:highlight w:val="none"/>
                <w:u w:val="single"/>
                <w:shd w:val="clear" w:color="auto" w:fill="FFFFFF"/>
                <w:lang w:val="en-US" w:eastAsia="zh-CN" w:bidi="ar-SA"/>
              </w:rPr>
              <w:t>）</w:t>
            </w:r>
            <w:r>
              <w:rPr>
                <w:rFonts w:hint="eastAsia" w:ascii="宋体" w:hAnsi="宋体" w:eastAsia="宋体" w:cs="宋体"/>
                <w:strike w:val="0"/>
                <w:color w:val="auto"/>
                <w:kern w:val="0"/>
                <w:sz w:val="24"/>
                <w:szCs w:val="24"/>
                <w:highlight w:val="none"/>
                <w:u w:val="single"/>
                <w:shd w:val="clear" w:color="auto" w:fill="FFFFFF"/>
                <w:lang w:val="en-US" w:eastAsia="zh-CN" w:bidi="ar-SA"/>
              </w:rPr>
              <w:t>人员</w:t>
            </w:r>
            <w:r>
              <w:rPr>
                <w:rFonts w:hint="eastAsia" w:ascii="宋体" w:hAnsi="宋体" w:eastAsia="宋体" w:cs="宋体"/>
                <w:color w:val="auto"/>
                <w:kern w:val="0"/>
                <w:sz w:val="24"/>
                <w:szCs w:val="24"/>
                <w:highlight w:val="none"/>
                <w:u w:val="single"/>
                <w:shd w:val="clear" w:color="auto" w:fill="FFFFFF"/>
                <w:vertAlign w:val="baseline"/>
                <w:lang w:bidi="ar-SA"/>
              </w:rPr>
              <w:t>参与过的建筑工程设计项目，自2019年1月1日至投标截止时间止获得</w:t>
            </w:r>
            <w:r>
              <w:rPr>
                <w:rFonts w:hint="eastAsia" w:ascii="宋体" w:hAnsi="宋体" w:eastAsia="宋体" w:cs="宋体"/>
                <w:b/>
                <w:bCs/>
                <w:color w:val="auto"/>
                <w:kern w:val="0"/>
                <w:sz w:val="24"/>
                <w:szCs w:val="24"/>
                <w:highlight w:val="none"/>
                <w:u w:val="single"/>
                <w:shd w:val="clear" w:color="auto" w:fill="FFFFFF"/>
                <w:lang w:val="en-US" w:eastAsia="zh-CN" w:bidi="ar-SA"/>
              </w:rPr>
              <w:t>符合本项目具体特点（</w:t>
            </w:r>
            <w:r>
              <w:rPr>
                <w:rFonts w:hint="eastAsia" w:ascii="宋体" w:hAnsi="宋体" w:eastAsia="宋体" w:cs="宋体"/>
                <w:color w:val="auto"/>
                <w:kern w:val="0"/>
                <w:sz w:val="24"/>
                <w:szCs w:val="24"/>
                <w:highlight w:val="none"/>
                <w:u w:val="single"/>
                <w:shd w:val="clear" w:color="auto" w:fill="FFFFFF"/>
                <w:vertAlign w:val="baseline"/>
                <w:lang w:bidi="ar"/>
              </w:rPr>
              <w:t>总投资≥5</w:t>
            </w:r>
            <w:r>
              <w:rPr>
                <w:rFonts w:hint="eastAsia" w:ascii="宋体" w:hAnsi="宋体" w:eastAsia="宋体" w:cs="宋体"/>
                <w:color w:val="auto"/>
                <w:kern w:val="0"/>
                <w:sz w:val="24"/>
                <w:szCs w:val="24"/>
                <w:highlight w:val="none"/>
                <w:u w:val="single"/>
                <w:shd w:val="clear" w:color="auto" w:fill="FFFFFF"/>
                <w:vertAlign w:val="baseline"/>
                <w:lang w:val="en-US" w:eastAsia="zh-CN" w:bidi="ar"/>
              </w:rPr>
              <w:t>0000</w:t>
            </w:r>
            <w:r>
              <w:rPr>
                <w:rFonts w:hint="eastAsia" w:ascii="宋体" w:hAnsi="宋体" w:eastAsia="宋体" w:cs="宋体"/>
                <w:color w:val="auto"/>
                <w:kern w:val="0"/>
                <w:sz w:val="24"/>
                <w:szCs w:val="24"/>
                <w:highlight w:val="none"/>
                <w:u w:val="single"/>
                <w:shd w:val="clear" w:color="auto" w:fill="FFFFFF"/>
                <w:vertAlign w:val="baseline"/>
                <w:lang w:bidi="ar"/>
              </w:rPr>
              <w:t>万元或超高层（即建筑高度100米以上）的公共建筑类工程设计业绩</w:t>
            </w:r>
            <w:r>
              <w:rPr>
                <w:rFonts w:hint="eastAsia" w:ascii="宋体" w:hAnsi="宋体" w:eastAsia="宋体" w:cs="宋体"/>
                <w:b/>
                <w:bCs/>
                <w:color w:val="auto"/>
                <w:kern w:val="0"/>
                <w:sz w:val="24"/>
                <w:szCs w:val="24"/>
                <w:highlight w:val="none"/>
                <w:u w:val="single"/>
                <w:shd w:val="clear" w:color="auto" w:fill="FFFFFF"/>
                <w:lang w:val="en-US" w:eastAsia="zh-CN" w:bidi="ar-SA"/>
              </w:rPr>
              <w:t>）</w:t>
            </w:r>
            <w:r>
              <w:rPr>
                <w:rFonts w:hint="eastAsia" w:ascii="宋体" w:hAnsi="宋体" w:eastAsia="宋体" w:cs="宋体"/>
                <w:b/>
                <w:bCs/>
                <w:color w:val="auto"/>
                <w:kern w:val="0"/>
                <w:sz w:val="24"/>
                <w:szCs w:val="24"/>
                <w:highlight w:val="none"/>
                <w:u w:val="single"/>
                <w:shd w:val="clear" w:color="auto" w:fill="FFFFFF"/>
                <w:vertAlign w:val="baseline"/>
                <w:lang w:bidi="ar-SA"/>
              </w:rPr>
              <w:t>市级或以上设计奖项</w:t>
            </w:r>
            <w:r>
              <w:rPr>
                <w:rFonts w:hint="eastAsia" w:ascii="宋体" w:hAnsi="宋体" w:eastAsia="宋体" w:cs="宋体"/>
                <w:color w:val="auto"/>
                <w:kern w:val="0"/>
                <w:sz w:val="24"/>
                <w:szCs w:val="24"/>
                <w:highlight w:val="none"/>
                <w:u w:val="single"/>
                <w:shd w:val="clear" w:color="auto" w:fill="FFFFFF"/>
                <w:vertAlign w:val="baseline"/>
                <w:lang w:bidi="ar-SA"/>
              </w:rPr>
              <w:t>；</w:t>
            </w:r>
            <w:r>
              <w:rPr>
                <w:rFonts w:hint="eastAsia" w:ascii="宋体" w:hAnsi="宋体" w:eastAsia="宋体" w:cs="宋体"/>
                <w:color w:val="auto"/>
                <w:kern w:val="0"/>
                <w:sz w:val="21"/>
                <w:szCs w:val="21"/>
                <w:highlight w:val="none"/>
                <w:u w:val="single"/>
                <w:shd w:val="clear" w:fill="FFFFFF"/>
                <w:lang w:val="en-US" w:eastAsia="zh-CN" w:bidi="ar"/>
              </w:rPr>
              <w:t>对于拟派团队每一岗位人员，投标人自行选择1个符合本项目具体特点（总投资≥50000万元或超高层（即建筑高度100米以上）的公共建筑类设计）有代表性的奖项提供即可（如有），</w:t>
            </w:r>
            <w:r>
              <w:rPr>
                <w:rFonts w:hint="eastAsia" w:ascii="宋体" w:hAnsi="宋体" w:eastAsia="宋体" w:cs="宋体"/>
                <w:b w:val="0"/>
                <w:color w:val="auto"/>
                <w:kern w:val="0"/>
                <w:sz w:val="24"/>
                <w:szCs w:val="24"/>
                <w:highlight w:val="none"/>
                <w:u w:val="single"/>
                <w:shd w:val="clear" w:color="auto" w:fill="FFFFFF"/>
                <w:lang w:val="en-US" w:eastAsia="zh-CN" w:bidi="ar-SA"/>
              </w:rPr>
              <w:t>需提供获奖证书扫描件，上述文件均需加盖投标人电子印章；</w:t>
            </w:r>
            <w:r>
              <w:rPr>
                <w:rFonts w:hint="eastAsia" w:ascii="宋体" w:hAnsi="宋体" w:eastAsia="宋体" w:cs="宋体"/>
                <w:color w:val="auto"/>
                <w:kern w:val="0"/>
                <w:sz w:val="24"/>
                <w:szCs w:val="24"/>
                <w:highlight w:val="none"/>
                <w:u w:val="single"/>
                <w:shd w:val="clear" w:color="auto" w:fill="FFFFFF"/>
                <w:lang w:val="en-US" w:eastAsia="zh-CN" w:bidi="ar-SA"/>
              </w:rPr>
              <w:t>如果前述文件未能证明拟派人员的名字，</w:t>
            </w:r>
            <w:r>
              <w:rPr>
                <w:rFonts w:hint="eastAsia" w:ascii="宋体" w:hAnsi="宋体" w:eastAsia="宋体" w:cs="宋体"/>
                <w:b w:val="0"/>
                <w:color w:val="auto"/>
                <w:kern w:val="0"/>
                <w:sz w:val="24"/>
                <w:szCs w:val="24"/>
                <w:highlight w:val="none"/>
                <w:u w:val="single"/>
                <w:shd w:val="clear" w:color="auto" w:fill="FFFFFF"/>
                <w:lang w:val="en-US" w:eastAsia="zh-CN" w:bidi="ar-SA"/>
              </w:rPr>
              <w:t>需</w:t>
            </w:r>
            <w:r>
              <w:rPr>
                <w:rFonts w:hint="eastAsia" w:ascii="宋体" w:hAnsi="宋体" w:eastAsia="宋体" w:cs="宋体"/>
                <w:color w:val="auto"/>
                <w:kern w:val="0"/>
                <w:sz w:val="24"/>
                <w:szCs w:val="24"/>
                <w:highlight w:val="none"/>
                <w:u w:val="single"/>
                <w:shd w:val="clear" w:color="auto" w:fill="FFFFFF"/>
                <w:lang w:val="en-US" w:eastAsia="zh-CN" w:bidi="ar-SA"/>
              </w:rPr>
              <w:t>另行提供</w:t>
            </w:r>
            <w:r>
              <w:rPr>
                <w:rFonts w:hint="eastAsia" w:ascii="宋体" w:hAnsi="宋体" w:eastAsia="宋体" w:cs="宋体"/>
                <w:color w:val="auto"/>
                <w:kern w:val="0"/>
                <w:sz w:val="24"/>
                <w:szCs w:val="24"/>
                <w:highlight w:val="none"/>
                <w:u w:val="single"/>
                <w:shd w:val="clear" w:color="auto" w:fill="FFFFFF"/>
                <w:lang w:eastAsia="zh-CN" w:bidi="ar-SA"/>
              </w:rPr>
              <w:t>合同</w:t>
            </w:r>
            <w:r>
              <w:rPr>
                <w:rFonts w:hint="eastAsia" w:ascii="宋体" w:hAnsi="宋体" w:eastAsia="宋体" w:cs="宋体"/>
                <w:color w:val="auto"/>
                <w:kern w:val="0"/>
                <w:sz w:val="24"/>
                <w:szCs w:val="24"/>
                <w:highlight w:val="none"/>
                <w:u w:val="single"/>
                <w:shd w:val="clear" w:color="auto" w:fill="FFFFFF"/>
                <w:vertAlign w:val="baseline"/>
                <w:lang w:bidi="ar-SA"/>
              </w:rPr>
              <w:t>关键页</w:t>
            </w:r>
            <w:r>
              <w:rPr>
                <w:rFonts w:hint="default" w:ascii="宋体" w:hAnsi="宋体" w:eastAsia="宋体" w:cs="宋体"/>
                <w:color w:val="auto"/>
                <w:kern w:val="0"/>
                <w:sz w:val="24"/>
                <w:szCs w:val="24"/>
                <w:highlight w:val="none"/>
                <w:u w:val="single"/>
                <w:shd w:val="clear" w:color="auto" w:fill="FFFFFF"/>
                <w:lang w:eastAsia="zh-CN" w:bidi="ar-SA"/>
              </w:rPr>
              <w:t>、初步设计或施工图审查合格书、</w:t>
            </w:r>
            <w:r>
              <w:rPr>
                <w:rFonts w:hint="eastAsia" w:ascii="宋体" w:hAnsi="宋体" w:eastAsia="宋体" w:cs="宋体"/>
                <w:color w:val="auto"/>
                <w:kern w:val="0"/>
                <w:sz w:val="24"/>
                <w:szCs w:val="24"/>
                <w:highlight w:val="none"/>
                <w:u w:val="single"/>
                <w:shd w:val="clear" w:color="auto" w:fill="FFFFFF"/>
                <w:lang w:val="en-US" w:eastAsia="zh-CN" w:bidi="ar-SA"/>
              </w:rPr>
              <w:t>经合同委托方（甲方）盖章确认的有效证明文件。</w:t>
            </w:r>
            <w:r>
              <w:rPr>
                <w:rFonts w:hint="eastAsia" w:ascii="宋体" w:hAnsi="宋体" w:eastAsia="宋体" w:cs="宋体"/>
                <w:color w:val="auto"/>
                <w:kern w:val="0"/>
                <w:sz w:val="24"/>
                <w:szCs w:val="24"/>
                <w:highlight w:val="none"/>
                <w:u w:val="single"/>
                <w:shd w:val="clear" w:color="auto" w:fill="FFFFFF"/>
                <w:vertAlign w:val="baseline"/>
                <w:lang w:bidi="ar-SA"/>
              </w:rPr>
              <w:t>需提供能证明项目总投资</w:t>
            </w:r>
            <w:r>
              <w:rPr>
                <w:rFonts w:hint="default" w:ascii="宋体" w:hAnsi="宋体" w:eastAsia="宋体" w:cs="宋体"/>
                <w:color w:val="auto"/>
                <w:kern w:val="0"/>
                <w:sz w:val="24"/>
                <w:szCs w:val="24"/>
                <w:highlight w:val="none"/>
                <w:u w:val="single"/>
                <w:shd w:val="clear" w:color="auto" w:fill="FFFFFF"/>
                <w:vertAlign w:val="baseline"/>
                <w:lang w:bidi="ar-SA"/>
              </w:rPr>
              <w:t>或</w:t>
            </w:r>
            <w:r>
              <w:rPr>
                <w:rFonts w:hint="eastAsia" w:ascii="宋体" w:hAnsi="宋体" w:eastAsia="宋体" w:cs="宋体"/>
                <w:color w:val="auto"/>
                <w:kern w:val="0"/>
                <w:sz w:val="24"/>
                <w:szCs w:val="24"/>
                <w:highlight w:val="none"/>
                <w:u w:val="single"/>
                <w:shd w:val="clear" w:color="auto" w:fill="FFFFFF"/>
                <w:vertAlign w:val="baseline"/>
                <w:lang w:bidi="ar"/>
              </w:rPr>
              <w:t>建筑高度</w:t>
            </w:r>
            <w:r>
              <w:rPr>
                <w:rFonts w:hint="eastAsia" w:ascii="宋体" w:hAnsi="宋体" w:eastAsia="宋体" w:cs="宋体"/>
                <w:color w:val="auto"/>
                <w:kern w:val="0"/>
                <w:sz w:val="24"/>
                <w:szCs w:val="24"/>
                <w:highlight w:val="none"/>
                <w:u w:val="single"/>
                <w:shd w:val="clear" w:color="auto" w:fill="FFFFFF"/>
                <w:vertAlign w:val="baseline"/>
                <w:lang w:bidi="ar-SA"/>
              </w:rPr>
              <w:t>的证明文件扫描件，加盖投标人电子印章。总投资证明文件可以是项目建议书批文、可行性研究报告批文或企业投资项目备案证。合同中列明项目总投资的，可做为项目总投资证明文件。国家级设计奖项包括由国务院颁发的国家科学技术奖、由住建部颁发的全国优秀工程勘察设计奖、住建部的华夏建设科学技术奖励委员会颁发的华夏建设科学技术奖、</w:t>
            </w:r>
            <w:r>
              <w:rPr>
                <w:rFonts w:hint="eastAsia" w:ascii="宋体" w:hAnsi="宋体" w:eastAsia="宋体" w:cs="宋体"/>
                <w:color w:val="auto"/>
                <w:kern w:val="0"/>
                <w:sz w:val="24"/>
                <w:szCs w:val="24"/>
                <w:highlight w:val="none"/>
                <w:u w:val="single"/>
                <w:shd w:val="clear" w:color="auto" w:fill="FFFFFF"/>
                <w:lang w:val="en-US" w:eastAsia="zh-CN" w:bidi="ar-SA"/>
              </w:rPr>
              <w:t>中国勘察设计协会颁发的全国优秀工程勘察设计行业奖或工程勘察、建筑设计行业和市政公用工程优秀勘察设计奖（简称“行业优秀勘察设计奖”）</w:t>
            </w:r>
            <w:r>
              <w:rPr>
                <w:rFonts w:hint="eastAsia" w:ascii="宋体" w:hAnsi="宋体" w:eastAsia="宋体" w:cs="宋体"/>
                <w:color w:val="auto"/>
                <w:kern w:val="0"/>
                <w:sz w:val="24"/>
                <w:szCs w:val="24"/>
                <w:highlight w:val="none"/>
                <w:u w:val="single"/>
                <w:shd w:val="clear" w:color="auto" w:fill="FFFFFF"/>
                <w:vertAlign w:val="baseline"/>
                <w:lang w:bidi="ar-SA"/>
              </w:rPr>
              <w:t>；省级设计奖项包括省级（或直辖市</w:t>
            </w:r>
            <w:r>
              <w:rPr>
                <w:rFonts w:hint="eastAsia" w:ascii="宋体" w:hAnsi="宋体" w:eastAsia="宋体" w:cs="宋体"/>
                <w:color w:val="auto"/>
                <w:kern w:val="0"/>
                <w:sz w:val="24"/>
                <w:szCs w:val="24"/>
                <w:highlight w:val="none"/>
                <w:u w:val="single"/>
                <w:shd w:val="clear" w:color="auto" w:fill="FFFFFF"/>
                <w:lang w:val="en-US" w:eastAsia="zh-CN" w:bidi="ar-SA"/>
              </w:rPr>
              <w:t>、自治区</w:t>
            </w:r>
            <w:r>
              <w:rPr>
                <w:rFonts w:hint="eastAsia" w:ascii="宋体" w:hAnsi="宋体" w:eastAsia="宋体" w:cs="宋体"/>
                <w:color w:val="auto"/>
                <w:kern w:val="0"/>
                <w:sz w:val="24"/>
                <w:szCs w:val="24"/>
                <w:highlight w:val="none"/>
                <w:u w:val="single"/>
                <w:shd w:val="clear" w:color="auto" w:fill="FFFFFF"/>
                <w:vertAlign w:val="baseline"/>
                <w:lang w:bidi="ar-SA"/>
              </w:rPr>
              <w:t>）人民政府颁发的省（或直辖市</w:t>
            </w:r>
            <w:r>
              <w:rPr>
                <w:rFonts w:hint="eastAsia" w:ascii="宋体" w:hAnsi="宋体" w:eastAsia="宋体" w:cs="宋体"/>
                <w:color w:val="auto"/>
                <w:kern w:val="0"/>
                <w:sz w:val="24"/>
                <w:szCs w:val="24"/>
                <w:highlight w:val="none"/>
                <w:u w:val="single"/>
                <w:shd w:val="clear" w:color="auto" w:fill="FFFFFF"/>
                <w:lang w:val="en-US" w:eastAsia="zh-CN" w:bidi="ar-SA"/>
              </w:rPr>
              <w:t>、自治区</w:t>
            </w:r>
            <w:r>
              <w:rPr>
                <w:rFonts w:hint="eastAsia" w:ascii="宋体" w:hAnsi="宋体" w:eastAsia="宋体" w:cs="宋体"/>
                <w:color w:val="auto"/>
                <w:kern w:val="0"/>
                <w:sz w:val="24"/>
                <w:szCs w:val="24"/>
                <w:highlight w:val="none"/>
                <w:u w:val="single"/>
                <w:shd w:val="clear" w:color="auto" w:fill="FFFFFF"/>
                <w:vertAlign w:val="baseline"/>
                <w:lang w:bidi="ar-SA"/>
              </w:rPr>
              <w:t>）科学技术奖、省级（或直辖市</w:t>
            </w:r>
            <w:r>
              <w:rPr>
                <w:rFonts w:hint="eastAsia" w:ascii="宋体" w:hAnsi="宋体" w:eastAsia="宋体" w:cs="宋体"/>
                <w:color w:val="auto"/>
                <w:kern w:val="0"/>
                <w:sz w:val="24"/>
                <w:szCs w:val="24"/>
                <w:highlight w:val="none"/>
                <w:u w:val="single"/>
                <w:shd w:val="clear" w:color="auto" w:fill="FFFFFF"/>
                <w:lang w:val="en-US" w:eastAsia="zh-CN" w:bidi="ar-SA"/>
              </w:rPr>
              <w:t>、自治区</w:t>
            </w:r>
            <w:r>
              <w:rPr>
                <w:rFonts w:hint="eastAsia" w:ascii="宋体" w:hAnsi="宋体" w:eastAsia="宋体" w:cs="宋体"/>
                <w:color w:val="auto"/>
                <w:kern w:val="0"/>
                <w:sz w:val="24"/>
                <w:szCs w:val="24"/>
                <w:highlight w:val="none"/>
                <w:u w:val="single"/>
                <w:shd w:val="clear" w:color="auto" w:fill="FFFFFF"/>
                <w:vertAlign w:val="baseline"/>
                <w:lang w:bidi="ar-SA"/>
              </w:rPr>
              <w:t>）建设行政主管部门及省级（或直辖市</w:t>
            </w:r>
            <w:r>
              <w:rPr>
                <w:rFonts w:hint="eastAsia" w:ascii="宋体" w:hAnsi="宋体" w:eastAsia="宋体" w:cs="宋体"/>
                <w:color w:val="auto"/>
                <w:kern w:val="0"/>
                <w:sz w:val="24"/>
                <w:szCs w:val="24"/>
                <w:highlight w:val="none"/>
                <w:u w:val="single"/>
                <w:shd w:val="clear" w:color="auto" w:fill="FFFFFF"/>
                <w:lang w:val="en-US" w:eastAsia="zh-CN" w:bidi="ar-SA"/>
              </w:rPr>
              <w:t>、自治区</w:t>
            </w:r>
            <w:r>
              <w:rPr>
                <w:rFonts w:hint="eastAsia" w:ascii="宋体" w:hAnsi="宋体" w:eastAsia="宋体" w:cs="宋体"/>
                <w:color w:val="auto"/>
                <w:kern w:val="0"/>
                <w:sz w:val="24"/>
                <w:szCs w:val="24"/>
                <w:highlight w:val="none"/>
                <w:u w:val="single"/>
                <w:shd w:val="clear" w:color="auto" w:fill="FFFFFF"/>
                <w:vertAlign w:val="baseline"/>
                <w:lang w:bidi="ar-SA"/>
              </w:rPr>
              <w:t>）工程勘察设计行业协会颁发的省级（或直辖市</w:t>
            </w:r>
            <w:r>
              <w:rPr>
                <w:rFonts w:hint="eastAsia" w:ascii="宋体" w:hAnsi="宋体" w:eastAsia="宋体" w:cs="宋体"/>
                <w:color w:val="auto"/>
                <w:kern w:val="0"/>
                <w:sz w:val="24"/>
                <w:szCs w:val="24"/>
                <w:highlight w:val="none"/>
                <w:u w:val="single"/>
                <w:shd w:val="clear" w:color="auto" w:fill="FFFFFF"/>
                <w:lang w:val="en-US" w:eastAsia="zh-CN" w:bidi="ar-SA"/>
              </w:rPr>
              <w:t>、自治区</w:t>
            </w:r>
            <w:r>
              <w:rPr>
                <w:rFonts w:hint="eastAsia" w:ascii="宋体" w:hAnsi="宋体" w:eastAsia="宋体" w:cs="宋体"/>
                <w:color w:val="auto"/>
                <w:kern w:val="0"/>
                <w:sz w:val="24"/>
                <w:szCs w:val="24"/>
                <w:highlight w:val="none"/>
                <w:u w:val="single"/>
                <w:shd w:val="clear" w:color="auto" w:fill="FFFFFF"/>
                <w:vertAlign w:val="baseline"/>
                <w:lang w:bidi="ar-SA"/>
              </w:rPr>
              <w:t>）优秀勘察设计奖；市级设计奖项包括市级建设行</w:t>
            </w:r>
            <w:r>
              <w:rPr>
                <w:rFonts w:hint="eastAsia" w:ascii="宋体" w:hAnsi="宋体" w:eastAsia="宋体" w:cs="宋体"/>
                <w:color w:val="auto"/>
                <w:kern w:val="0"/>
                <w:sz w:val="24"/>
                <w:szCs w:val="24"/>
                <w:highlight w:val="none"/>
                <w:u w:val="single"/>
                <w:shd w:val="clear" w:color="auto" w:fill="FFFFFF"/>
                <w:vertAlign w:val="baseline"/>
              </w:rPr>
              <w:t>政主管部门或市级(含副省级)工程勘察设计行业协会颁发的优秀工程勘察设计奖、市级人民政府颁发的市科学技术奖。如颁发单位为行业协会的，还须提供该协会在“全国社会组织信用信息公示平台（试运行）”</w:t>
            </w:r>
            <w:r>
              <w:rPr>
                <w:rFonts w:hint="eastAsia" w:ascii="宋体" w:hAnsi="宋体" w:eastAsia="宋体" w:cs="宋体"/>
                <w:color w:val="auto"/>
                <w:kern w:val="0"/>
                <w:sz w:val="24"/>
                <w:szCs w:val="24"/>
                <w:highlight w:val="none"/>
                <w:u w:val="single"/>
                <w:shd w:val="clear" w:color="auto" w:fill="FFFFFF"/>
                <w:vertAlign w:val="baseline"/>
                <w:lang w:val="en-US" w:eastAsia="zh-CN"/>
              </w:rPr>
              <w:t>已</w:t>
            </w:r>
            <w:r>
              <w:rPr>
                <w:rFonts w:hint="eastAsia" w:ascii="宋体" w:hAnsi="宋体" w:eastAsia="宋体" w:cs="宋体"/>
                <w:color w:val="auto"/>
                <w:kern w:val="0"/>
                <w:sz w:val="24"/>
                <w:szCs w:val="24"/>
                <w:highlight w:val="none"/>
                <w:u w:val="single"/>
                <w:shd w:val="clear" w:color="auto" w:fill="FFFFFF"/>
                <w:vertAlign w:val="baseline"/>
              </w:rPr>
              <w:t>登记备案的查询信息截图页（网址：</w:t>
            </w:r>
            <w:r>
              <w:rPr>
                <w:rFonts w:hint="eastAsia" w:ascii="宋体" w:hAnsi="宋体" w:eastAsia="宋体" w:cs="宋体"/>
                <w:color w:val="auto"/>
                <w:kern w:val="0"/>
                <w:sz w:val="24"/>
                <w:szCs w:val="24"/>
                <w:highlight w:val="none"/>
                <w:u w:val="single"/>
                <w:shd w:val="clear" w:color="auto" w:fill="FFFFFF"/>
                <w:vertAlign w:val="baseline"/>
              </w:rPr>
              <w:fldChar w:fldCharType="begin"/>
            </w:r>
            <w:r>
              <w:rPr>
                <w:rFonts w:hint="eastAsia" w:ascii="宋体" w:hAnsi="宋体" w:eastAsia="宋体" w:cs="宋体"/>
                <w:color w:val="auto"/>
                <w:kern w:val="0"/>
                <w:sz w:val="24"/>
                <w:szCs w:val="24"/>
                <w:highlight w:val="none"/>
                <w:u w:val="single"/>
                <w:shd w:val="clear" w:color="auto" w:fill="FFFFFF"/>
                <w:vertAlign w:val="baseline"/>
              </w:rPr>
              <w:instrText xml:space="preserve"> HYPERLINK "https://xxgs.chinanpo.mca.gov.cn/gsxt/newList），奖项时间以获奖证书发证日期为准。" </w:instrText>
            </w:r>
            <w:r>
              <w:rPr>
                <w:rFonts w:hint="eastAsia" w:ascii="宋体" w:hAnsi="宋体" w:eastAsia="宋体" w:cs="宋体"/>
                <w:color w:val="auto"/>
                <w:kern w:val="0"/>
                <w:sz w:val="24"/>
                <w:szCs w:val="24"/>
                <w:highlight w:val="none"/>
                <w:u w:val="single"/>
                <w:shd w:val="clear" w:color="auto" w:fill="FFFFFF"/>
                <w:vertAlign w:val="baseline"/>
              </w:rPr>
              <w:fldChar w:fldCharType="separate"/>
            </w:r>
            <w:r>
              <w:rPr>
                <w:rStyle w:val="12"/>
                <w:rFonts w:hint="eastAsia" w:ascii="宋体" w:hAnsi="宋体" w:eastAsia="宋体" w:cs="宋体"/>
                <w:color w:val="auto"/>
                <w:kern w:val="0"/>
                <w:sz w:val="24"/>
                <w:szCs w:val="24"/>
                <w:highlight w:val="none"/>
                <w:u w:val="single"/>
                <w:shd w:val="clear" w:color="auto" w:fill="FFFFFF"/>
                <w:vertAlign w:val="baseline"/>
              </w:rPr>
              <w:t>https://xxgs.chinanpo.mca.gov.cn/gsxt/newList），奖项时间以获奖证书发证日期为准。</w:t>
            </w:r>
            <w:r>
              <w:rPr>
                <w:rFonts w:hint="eastAsia" w:ascii="宋体" w:hAnsi="宋体" w:eastAsia="宋体" w:cs="宋体"/>
                <w:color w:val="auto"/>
                <w:kern w:val="0"/>
                <w:sz w:val="24"/>
                <w:szCs w:val="24"/>
                <w:highlight w:val="none"/>
                <w:u w:val="single"/>
                <w:shd w:val="clear" w:color="auto" w:fill="FFFFFF"/>
                <w:vertAlign w:val="baseli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012" w:type="dxa"/>
            <w:vAlign w:val="center"/>
          </w:tcPr>
          <w:p>
            <w:pPr>
              <w:keepNext w:val="0"/>
              <w:keepLines w:val="0"/>
              <w:widowControl w:val="0"/>
              <w:suppressLineNumbers w:val="0"/>
              <w:spacing w:before="0" w:beforeAutospacing="0" w:after="0" w:afterAutospacing="0" w:line="360" w:lineRule="auto"/>
              <w:ind w:left="0" w:right="0" w:firstLine="0" w:firstLineChars="0"/>
              <w:jc w:val="center"/>
              <w:rPr>
                <w:rFonts w:hint="default" w:ascii="宋体" w:hAnsi="宋体" w:eastAsia="宋体" w:cs="宋体"/>
                <w:strike w:val="0"/>
                <w:color w:val="auto"/>
                <w:kern w:val="0"/>
                <w:sz w:val="24"/>
                <w:szCs w:val="24"/>
                <w:highlight w:val="none"/>
                <w:u w:val="single"/>
                <w:shd w:val="clear" w:color="auto" w:fill="FFFFFF"/>
                <w:lang w:val="en-US" w:eastAsia="zh-CN" w:bidi="ar-SA"/>
              </w:rPr>
            </w:pPr>
            <w:r>
              <w:rPr>
                <w:rFonts w:hint="default" w:ascii="宋体" w:hAnsi="宋体" w:eastAsia="宋体" w:cs="宋体"/>
                <w:strike w:val="0"/>
                <w:color w:val="auto"/>
                <w:kern w:val="0"/>
                <w:sz w:val="24"/>
                <w:szCs w:val="24"/>
                <w:highlight w:val="none"/>
                <w:u w:val="single"/>
                <w:shd w:val="clear" w:color="auto" w:fill="FFFFFF"/>
                <w:lang w:val="en-US" w:eastAsia="zh-CN" w:bidi="ar-SA"/>
              </w:rPr>
              <w:t>4</w:t>
            </w:r>
          </w:p>
        </w:tc>
        <w:tc>
          <w:tcPr>
            <w:tcW w:w="1813" w:type="dxa"/>
            <w:vAlign w:val="center"/>
          </w:tcPr>
          <w:p>
            <w:pPr>
              <w:keepNext w:val="0"/>
              <w:keepLines w:val="0"/>
              <w:widowControl w:val="0"/>
              <w:suppressLineNumbers w:val="0"/>
              <w:spacing w:before="0" w:beforeAutospacing="0" w:after="0" w:afterAutospacing="0" w:line="360" w:lineRule="auto"/>
              <w:ind w:left="0" w:right="0" w:firstLine="0" w:firstLineChars="0"/>
              <w:jc w:val="center"/>
              <w:rPr>
                <w:rFonts w:hint="default" w:ascii="宋体" w:hAnsi="宋体" w:eastAsia="宋体" w:cs="宋体"/>
                <w:strike w:val="0"/>
                <w:color w:val="auto"/>
                <w:kern w:val="0"/>
                <w:sz w:val="24"/>
                <w:szCs w:val="24"/>
                <w:highlight w:val="none"/>
                <w:u w:val="single"/>
                <w:shd w:val="clear" w:color="auto" w:fill="FFFFFF"/>
                <w:lang w:val="en-US" w:eastAsia="zh-CN" w:bidi="ar-SA"/>
              </w:rPr>
            </w:pPr>
            <w:r>
              <w:rPr>
                <w:rFonts w:hint="eastAsia" w:ascii="宋体" w:hAnsi="宋体" w:eastAsia="宋体" w:cs="宋体"/>
                <w:strike w:val="0"/>
                <w:color w:val="auto"/>
                <w:kern w:val="0"/>
                <w:sz w:val="24"/>
                <w:szCs w:val="24"/>
                <w:highlight w:val="none"/>
                <w:u w:val="single"/>
                <w:shd w:val="clear" w:color="auto" w:fill="FFFFFF"/>
                <w:lang w:val="en-US" w:eastAsia="zh-CN" w:bidi="ar-SA"/>
              </w:rPr>
              <w:t>业绩因素</w:t>
            </w:r>
          </w:p>
        </w:tc>
        <w:tc>
          <w:tcPr>
            <w:tcW w:w="6161" w:type="dxa"/>
            <w:vAlign w:val="center"/>
          </w:tcPr>
          <w:p>
            <w:pPr>
              <w:keepNext w:val="0"/>
              <w:keepLines w:val="0"/>
              <w:widowControl/>
              <w:suppressLineNumbers w:val="0"/>
              <w:spacing w:before="0" w:beforeAutospacing="0" w:after="0" w:afterAutospacing="0" w:line="360" w:lineRule="auto"/>
              <w:ind w:left="0" w:right="0" w:firstLine="0" w:firstLineChars="0"/>
              <w:jc w:val="left"/>
              <w:rPr>
                <w:rFonts w:hint="eastAsia" w:ascii="宋体" w:hAnsi="宋体" w:eastAsia="宋体" w:cs="宋体"/>
                <w:strike w:val="0"/>
                <w:color w:val="auto"/>
                <w:kern w:val="0"/>
                <w:sz w:val="24"/>
                <w:szCs w:val="24"/>
                <w:highlight w:val="none"/>
                <w:u w:val="single"/>
                <w:shd w:val="clear" w:color="auto" w:fill="FFFFFF"/>
                <w:lang w:val="en-US" w:eastAsia="zh-CN" w:bidi="ar-SA"/>
              </w:rPr>
            </w:pPr>
            <w:r>
              <w:rPr>
                <w:rFonts w:hint="eastAsia" w:ascii="宋体" w:hAnsi="宋体" w:eastAsia="宋体" w:cs="宋体"/>
                <w:strike w:val="0"/>
                <w:color w:val="auto"/>
                <w:kern w:val="0"/>
                <w:sz w:val="24"/>
                <w:szCs w:val="24"/>
                <w:highlight w:val="none"/>
                <w:u w:val="single"/>
                <w:shd w:val="clear" w:color="auto" w:fill="FFFFFF"/>
                <w:lang w:val="en-US" w:eastAsia="zh-CN" w:bidi="ar-SA"/>
              </w:rPr>
              <w:t>对投标人企业完成过的业绩经验、奖项等进行评审。</w:t>
            </w:r>
          </w:p>
          <w:p>
            <w:pPr>
              <w:keepNext w:val="0"/>
              <w:keepLines w:val="0"/>
              <w:widowControl/>
              <w:suppressLineNumbers w:val="0"/>
              <w:kinsoku/>
              <w:adjustRightInd/>
              <w:spacing w:before="0" w:beforeAutospacing="0" w:after="0" w:afterAutospacing="0" w:line="360" w:lineRule="auto"/>
              <w:ind w:left="0" w:right="0"/>
              <w:jc w:val="left"/>
              <w:textAlignment w:val="auto"/>
              <w:rPr>
                <w:rFonts w:hint="eastAsia" w:ascii="宋体" w:hAnsi="宋体" w:eastAsia="宋体" w:cs="宋体"/>
                <w:strike w:val="0"/>
                <w:color w:val="auto"/>
                <w:kern w:val="0"/>
                <w:sz w:val="24"/>
                <w:szCs w:val="24"/>
                <w:highlight w:val="none"/>
                <w:u w:val="single"/>
                <w:shd w:val="clear" w:color="auto" w:fill="FFFFFF"/>
                <w:lang w:val="en-US" w:eastAsia="zh-CN" w:bidi="ar-SA"/>
              </w:rPr>
            </w:pPr>
            <w:r>
              <w:rPr>
                <w:rFonts w:hint="eastAsia" w:ascii="宋体" w:hAnsi="宋体" w:eastAsia="宋体" w:cs="宋体"/>
                <w:strike w:val="0"/>
                <w:color w:val="auto"/>
                <w:kern w:val="0"/>
                <w:sz w:val="24"/>
                <w:szCs w:val="24"/>
                <w:highlight w:val="none"/>
                <w:u w:val="single"/>
                <w:shd w:val="clear" w:color="auto" w:fill="FFFFFF"/>
                <w:lang w:val="en-US" w:eastAsia="zh-CN" w:bidi="ar-SA"/>
              </w:rPr>
              <w:t>备注：</w:t>
            </w:r>
          </w:p>
          <w:p>
            <w:pPr>
              <w:keepNext w:val="0"/>
              <w:keepLines w:val="0"/>
              <w:widowControl w:val="0"/>
              <w:suppressLineNumbers w:val="0"/>
              <w:kinsoku/>
              <w:adjustRightInd/>
              <w:spacing w:before="0" w:beforeAutospacing="0" w:after="0" w:afterAutospacing="0" w:line="360" w:lineRule="auto"/>
              <w:ind w:left="0" w:right="0"/>
              <w:jc w:val="both"/>
              <w:textAlignment w:val="auto"/>
              <w:rPr>
                <w:rFonts w:hint="eastAsia" w:ascii="宋体" w:hAnsi="宋体" w:eastAsia="宋体" w:cs="宋体"/>
                <w:color w:val="auto"/>
                <w:kern w:val="0"/>
                <w:sz w:val="24"/>
                <w:szCs w:val="24"/>
                <w:highlight w:val="none"/>
                <w:u w:val="single"/>
                <w:shd w:val="clear" w:color="auto" w:fill="FFFFFF"/>
              </w:rPr>
            </w:pPr>
            <w:r>
              <w:rPr>
                <w:rFonts w:hint="eastAsia" w:ascii="宋体" w:hAnsi="宋体" w:eastAsia="宋体" w:cs="宋体"/>
                <w:color w:val="auto"/>
                <w:kern w:val="0"/>
                <w:sz w:val="24"/>
                <w:szCs w:val="24"/>
                <w:highlight w:val="none"/>
                <w:u w:val="single"/>
                <w:shd w:val="clear" w:color="auto" w:fill="FFFFFF"/>
                <w:vertAlign w:val="baseline"/>
              </w:rPr>
              <w:t>1、企业类似业绩指投标人自2019年1月1日至投标截止时间止，完成过的总投资≥</w:t>
            </w:r>
            <w:r>
              <w:rPr>
                <w:rFonts w:hint="default" w:ascii="宋体" w:hAnsi="宋体" w:eastAsia="宋体" w:cs="宋体"/>
                <w:color w:val="auto"/>
                <w:kern w:val="0"/>
                <w:sz w:val="24"/>
                <w:szCs w:val="24"/>
                <w:highlight w:val="none"/>
                <w:u w:val="single"/>
                <w:shd w:val="clear" w:color="auto" w:fill="FFFFFF"/>
                <w:vertAlign w:val="baseline"/>
              </w:rPr>
              <w:t>5</w:t>
            </w:r>
            <w:r>
              <w:rPr>
                <w:rFonts w:hint="eastAsia" w:ascii="宋体" w:hAnsi="宋体" w:eastAsia="宋体" w:cs="宋体"/>
                <w:color w:val="auto"/>
                <w:kern w:val="0"/>
                <w:sz w:val="24"/>
                <w:szCs w:val="24"/>
                <w:highlight w:val="none"/>
                <w:u w:val="single"/>
                <w:shd w:val="clear" w:color="auto" w:fill="FFFFFF"/>
                <w:vertAlign w:val="baseline"/>
                <w:lang w:val="en-US" w:eastAsia="zh-CN"/>
              </w:rPr>
              <w:t>0000</w:t>
            </w:r>
            <w:r>
              <w:rPr>
                <w:rFonts w:hint="eastAsia" w:ascii="宋体" w:hAnsi="宋体" w:eastAsia="宋体" w:cs="宋体"/>
                <w:color w:val="auto"/>
                <w:kern w:val="0"/>
                <w:sz w:val="24"/>
                <w:szCs w:val="24"/>
                <w:highlight w:val="none"/>
                <w:u w:val="single"/>
                <w:shd w:val="clear" w:color="auto" w:fill="FFFFFF"/>
                <w:vertAlign w:val="baseline"/>
              </w:rPr>
              <w:t>万元</w:t>
            </w:r>
            <w:r>
              <w:rPr>
                <w:rFonts w:hint="default" w:ascii="宋体" w:hAnsi="宋体" w:eastAsia="宋体" w:cs="宋体"/>
                <w:color w:val="auto"/>
                <w:kern w:val="0"/>
                <w:sz w:val="24"/>
                <w:szCs w:val="24"/>
                <w:highlight w:val="none"/>
                <w:u w:val="single"/>
                <w:shd w:val="clear" w:color="auto" w:fill="FFFFFF"/>
                <w:vertAlign w:val="baseline"/>
              </w:rPr>
              <w:t>或超高层（即建筑高度100米以上）的公共</w:t>
            </w:r>
            <w:r>
              <w:rPr>
                <w:rFonts w:hint="eastAsia" w:ascii="宋体" w:hAnsi="宋体" w:eastAsia="宋体" w:cs="宋体"/>
                <w:color w:val="auto"/>
                <w:kern w:val="0"/>
                <w:sz w:val="24"/>
                <w:szCs w:val="24"/>
                <w:highlight w:val="none"/>
                <w:u w:val="single"/>
                <w:shd w:val="clear" w:color="auto" w:fill="FFFFFF"/>
                <w:vertAlign w:val="baseline"/>
              </w:rPr>
              <w:t>建筑工程设计业绩；</w:t>
            </w:r>
            <w:r>
              <w:rPr>
                <w:rFonts w:hint="eastAsia" w:ascii="宋体" w:hAnsi="宋体" w:eastAsia="宋体" w:cs="宋体"/>
                <w:color w:val="auto"/>
                <w:kern w:val="0"/>
                <w:sz w:val="24"/>
                <w:szCs w:val="24"/>
                <w:highlight w:val="none"/>
                <w:u w:val="single"/>
                <w:shd w:val="clear" w:color="auto" w:fill="FFFFFF"/>
                <w:lang w:val="en-US" w:eastAsia="zh-CN" w:bidi="ar"/>
              </w:rPr>
              <w:t>投标人自行选择</w:t>
            </w:r>
            <w:r>
              <w:rPr>
                <w:rFonts w:hint="default" w:ascii="宋体" w:hAnsi="宋体" w:eastAsia="宋体" w:cs="宋体"/>
                <w:color w:val="auto"/>
                <w:kern w:val="0"/>
                <w:sz w:val="24"/>
                <w:szCs w:val="24"/>
                <w:highlight w:val="none"/>
                <w:u w:val="single"/>
                <w:shd w:val="clear" w:color="auto" w:fill="FFFFFF"/>
                <w:lang w:eastAsia="zh-CN" w:bidi="ar"/>
              </w:rPr>
              <w:t>1</w:t>
            </w:r>
            <w:r>
              <w:rPr>
                <w:rFonts w:hint="eastAsia" w:ascii="宋体" w:hAnsi="宋体" w:eastAsia="宋体" w:cs="宋体"/>
                <w:color w:val="auto"/>
                <w:kern w:val="0"/>
                <w:sz w:val="24"/>
                <w:szCs w:val="24"/>
                <w:highlight w:val="none"/>
                <w:u w:val="single"/>
                <w:shd w:val="clear" w:color="auto" w:fill="FFFFFF"/>
                <w:lang w:val="en-US" w:eastAsia="zh-CN" w:bidi="ar"/>
              </w:rPr>
              <w:t>个符合本项目具体特点（</w:t>
            </w:r>
            <w:r>
              <w:rPr>
                <w:rFonts w:hint="eastAsia" w:ascii="宋体" w:hAnsi="宋体" w:eastAsia="宋体" w:cs="宋体"/>
                <w:color w:val="auto"/>
                <w:kern w:val="0"/>
                <w:sz w:val="24"/>
                <w:szCs w:val="24"/>
                <w:highlight w:val="none"/>
                <w:u w:val="single"/>
                <w:shd w:val="clear" w:color="auto" w:fill="FFFFFF"/>
                <w:vertAlign w:val="baseline"/>
                <w:lang w:bidi="ar"/>
              </w:rPr>
              <w:t>总投资≥5</w:t>
            </w:r>
            <w:r>
              <w:rPr>
                <w:rFonts w:hint="eastAsia" w:ascii="宋体" w:hAnsi="宋体" w:eastAsia="宋体" w:cs="宋体"/>
                <w:color w:val="auto"/>
                <w:kern w:val="0"/>
                <w:sz w:val="24"/>
                <w:szCs w:val="24"/>
                <w:highlight w:val="none"/>
                <w:u w:val="single"/>
                <w:shd w:val="clear" w:color="auto" w:fill="FFFFFF"/>
                <w:vertAlign w:val="baseline"/>
                <w:lang w:val="en-US" w:eastAsia="zh-CN" w:bidi="ar"/>
              </w:rPr>
              <w:t>0000</w:t>
            </w:r>
            <w:r>
              <w:rPr>
                <w:rFonts w:hint="eastAsia" w:ascii="宋体" w:hAnsi="宋体" w:eastAsia="宋体" w:cs="宋体"/>
                <w:color w:val="auto"/>
                <w:kern w:val="0"/>
                <w:sz w:val="24"/>
                <w:szCs w:val="24"/>
                <w:highlight w:val="none"/>
                <w:u w:val="single"/>
                <w:shd w:val="clear" w:color="auto" w:fill="FFFFFF"/>
                <w:vertAlign w:val="baseline"/>
                <w:lang w:bidi="ar"/>
              </w:rPr>
              <w:t>万元或超高层（即建筑高度100米以上）的公共建筑工程设计</w:t>
            </w:r>
            <w:r>
              <w:rPr>
                <w:rFonts w:hint="eastAsia" w:ascii="宋体" w:hAnsi="宋体" w:eastAsia="宋体" w:cs="宋体"/>
                <w:color w:val="auto"/>
                <w:kern w:val="0"/>
                <w:sz w:val="24"/>
                <w:szCs w:val="24"/>
                <w:highlight w:val="none"/>
                <w:u w:val="single"/>
                <w:shd w:val="clear" w:color="auto" w:fill="FFFFFF"/>
                <w:lang w:val="en-US" w:eastAsia="zh-CN" w:bidi="ar"/>
              </w:rPr>
              <w:t>）有代表性业绩提供</w:t>
            </w:r>
            <w:r>
              <w:rPr>
                <w:rFonts w:hint="eastAsia" w:ascii="宋体" w:hAnsi="宋体" w:eastAsia="宋体" w:cs="宋体"/>
                <w:color w:val="auto"/>
                <w:kern w:val="0"/>
                <w:sz w:val="21"/>
                <w:szCs w:val="21"/>
                <w:highlight w:val="none"/>
                <w:u w:val="single"/>
                <w:shd w:val="clear" w:fill="FFFFFF"/>
                <w:lang w:val="en-US" w:eastAsia="zh-CN" w:bidi="ar"/>
              </w:rPr>
              <w:t>即可（如有）</w:t>
            </w:r>
            <w:r>
              <w:rPr>
                <w:rFonts w:hint="eastAsia" w:ascii="宋体" w:hAnsi="宋体" w:eastAsia="宋体" w:cs="宋体"/>
                <w:color w:val="auto"/>
                <w:kern w:val="0"/>
                <w:sz w:val="24"/>
                <w:szCs w:val="24"/>
                <w:highlight w:val="none"/>
                <w:u w:val="single"/>
                <w:shd w:val="clear" w:color="auto" w:fill="FFFFFF"/>
                <w:vertAlign w:val="baseline"/>
              </w:rPr>
              <w:t>，需提供①合同关键页、②初步设计批复或施工图审查合格书作为业绩证明文件，业绩时间以初步设计批复或施工图审查合格书时间为准。投标单位需提供能证明项目总投资</w:t>
            </w:r>
            <w:r>
              <w:rPr>
                <w:rFonts w:hint="default" w:ascii="宋体" w:hAnsi="宋体" w:eastAsia="宋体" w:cs="宋体"/>
                <w:color w:val="auto"/>
                <w:kern w:val="0"/>
                <w:sz w:val="24"/>
                <w:szCs w:val="24"/>
                <w:highlight w:val="none"/>
                <w:u w:val="single"/>
                <w:shd w:val="clear" w:color="auto" w:fill="FFFFFF"/>
                <w:vertAlign w:val="baseline"/>
                <w:lang w:bidi="ar-SA"/>
              </w:rPr>
              <w:t>或</w:t>
            </w:r>
            <w:r>
              <w:rPr>
                <w:rFonts w:hint="eastAsia" w:ascii="宋体" w:hAnsi="宋体" w:eastAsia="宋体" w:cs="宋体"/>
                <w:color w:val="auto"/>
                <w:kern w:val="0"/>
                <w:sz w:val="24"/>
                <w:szCs w:val="24"/>
                <w:highlight w:val="none"/>
                <w:u w:val="single"/>
                <w:shd w:val="clear" w:color="auto" w:fill="FFFFFF"/>
                <w:vertAlign w:val="baseline"/>
                <w:lang w:bidi="ar"/>
              </w:rPr>
              <w:t>建筑高度</w:t>
            </w:r>
            <w:r>
              <w:rPr>
                <w:rFonts w:hint="eastAsia" w:ascii="宋体" w:hAnsi="宋体" w:eastAsia="宋体" w:cs="宋体"/>
                <w:color w:val="auto"/>
                <w:kern w:val="0"/>
                <w:sz w:val="24"/>
                <w:szCs w:val="24"/>
                <w:highlight w:val="none"/>
                <w:u w:val="single"/>
                <w:shd w:val="clear" w:color="auto" w:fill="FFFFFF"/>
                <w:vertAlign w:val="baseline"/>
              </w:rPr>
              <w:t>的证明文件扫描件，加盖投标人电子印章。总投资证明文件可以是项目建议书批文、可行性研究报告批文或企业投资项目备案证。合同中列明项目总投资的，可做为项目总投资证明文件。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宋体" w:hAnsi="宋体" w:eastAsia="宋体" w:cs="宋体"/>
                <w:color w:val="auto"/>
                <w:kern w:val="0"/>
                <w:sz w:val="24"/>
                <w:szCs w:val="24"/>
                <w:highlight w:val="none"/>
                <w:u w:val="single"/>
                <w:shd w:val="clear" w:color="auto" w:fill="FFFFFF"/>
                <w:vertAlign w:val="baseline"/>
                <w:lang w:val="en-US" w:eastAsia="zh-CN"/>
              </w:rPr>
            </w:pPr>
            <w:r>
              <w:rPr>
                <w:rFonts w:hint="eastAsia" w:ascii="宋体" w:hAnsi="宋体" w:eastAsia="宋体" w:cs="宋体"/>
                <w:color w:val="auto"/>
                <w:kern w:val="0"/>
                <w:sz w:val="24"/>
                <w:szCs w:val="24"/>
                <w:highlight w:val="none"/>
                <w:u w:val="single"/>
                <w:shd w:val="clear" w:color="auto" w:fill="FFFFFF"/>
                <w:vertAlign w:val="baseline"/>
              </w:rPr>
              <w:t>2、企业类似业绩获奖指投标人完成过的总投资≥</w:t>
            </w:r>
            <w:r>
              <w:rPr>
                <w:rFonts w:hint="default" w:ascii="宋体" w:hAnsi="宋体" w:eastAsia="宋体" w:cs="宋体"/>
                <w:color w:val="auto"/>
                <w:kern w:val="0"/>
                <w:sz w:val="24"/>
                <w:szCs w:val="24"/>
                <w:highlight w:val="none"/>
                <w:u w:val="single"/>
                <w:shd w:val="clear" w:color="auto" w:fill="FFFFFF"/>
                <w:vertAlign w:val="baseline"/>
              </w:rPr>
              <w:t>5</w:t>
            </w:r>
            <w:r>
              <w:rPr>
                <w:rFonts w:hint="eastAsia" w:ascii="宋体" w:hAnsi="宋体" w:eastAsia="宋体" w:cs="宋体"/>
                <w:color w:val="auto"/>
                <w:kern w:val="0"/>
                <w:sz w:val="24"/>
                <w:szCs w:val="24"/>
                <w:highlight w:val="none"/>
                <w:u w:val="single"/>
                <w:shd w:val="clear" w:color="auto" w:fill="FFFFFF"/>
                <w:vertAlign w:val="baseline"/>
                <w:lang w:val="en-US" w:eastAsia="zh-CN"/>
              </w:rPr>
              <w:t>0000</w:t>
            </w:r>
            <w:r>
              <w:rPr>
                <w:rFonts w:hint="eastAsia" w:ascii="宋体" w:hAnsi="宋体" w:eastAsia="宋体" w:cs="宋体"/>
                <w:color w:val="auto"/>
                <w:kern w:val="0"/>
                <w:sz w:val="24"/>
                <w:szCs w:val="24"/>
                <w:highlight w:val="none"/>
                <w:u w:val="single"/>
                <w:shd w:val="clear" w:color="auto" w:fill="FFFFFF"/>
                <w:vertAlign w:val="baseline"/>
              </w:rPr>
              <w:t>万元</w:t>
            </w:r>
            <w:r>
              <w:rPr>
                <w:rFonts w:hint="default" w:ascii="宋体" w:hAnsi="宋体" w:eastAsia="宋体" w:cs="宋体"/>
                <w:color w:val="auto"/>
                <w:kern w:val="0"/>
                <w:sz w:val="24"/>
                <w:szCs w:val="24"/>
                <w:highlight w:val="none"/>
                <w:u w:val="single"/>
                <w:shd w:val="clear" w:color="auto" w:fill="FFFFFF"/>
                <w:vertAlign w:val="baseline"/>
              </w:rPr>
              <w:t>或超高层（即建筑高度100米以上）的</w:t>
            </w:r>
            <w:r>
              <w:rPr>
                <w:rFonts w:hint="eastAsia" w:ascii="宋体" w:hAnsi="宋体" w:eastAsia="宋体" w:cs="宋体"/>
                <w:color w:val="auto"/>
                <w:kern w:val="0"/>
                <w:sz w:val="24"/>
                <w:szCs w:val="24"/>
                <w:highlight w:val="none"/>
                <w:u w:val="single"/>
                <w:shd w:val="clear" w:color="auto" w:fill="FFFFFF"/>
                <w:vertAlign w:val="baseline"/>
              </w:rPr>
              <w:t>公共建筑类设计业绩，自2019年1月1日至投标截止时间止获得市级（含副省级）或以上设计奖项；需提供获奖证书扫描件，加盖投标人电子印章。</w:t>
            </w:r>
            <w:r>
              <w:rPr>
                <w:rFonts w:hint="eastAsia" w:ascii="宋体" w:hAnsi="宋体" w:eastAsia="宋体" w:cs="宋体"/>
                <w:color w:val="auto"/>
                <w:kern w:val="0"/>
                <w:sz w:val="21"/>
                <w:szCs w:val="21"/>
                <w:highlight w:val="none"/>
                <w:u w:val="single"/>
                <w:shd w:val="clear" w:fill="FFFFFF"/>
                <w:lang w:val="en-US" w:eastAsia="zh-CN" w:bidi="ar"/>
              </w:rPr>
              <w:t>投标人自行选择</w:t>
            </w:r>
            <w:r>
              <w:rPr>
                <w:rFonts w:hint="eastAsia" w:ascii="宋体" w:hAnsi="宋体" w:eastAsia="宋体" w:cs="宋体"/>
                <w:color w:val="auto"/>
                <w:kern w:val="0"/>
                <w:sz w:val="24"/>
                <w:szCs w:val="24"/>
                <w:highlight w:val="none"/>
                <w:u w:val="single"/>
                <w:shd w:val="clear" w:fill="FFFFFF"/>
                <w:lang w:val="en-US" w:eastAsia="zh-CN" w:bidi="ar"/>
              </w:rPr>
              <w:t>1个</w:t>
            </w:r>
            <w:r>
              <w:rPr>
                <w:rFonts w:hint="eastAsia" w:ascii="宋体" w:hAnsi="宋体" w:eastAsia="宋体" w:cs="宋体"/>
                <w:color w:val="auto"/>
                <w:kern w:val="0"/>
                <w:sz w:val="21"/>
                <w:szCs w:val="21"/>
                <w:highlight w:val="none"/>
                <w:u w:val="single"/>
                <w:shd w:val="clear" w:fill="FFFFFF"/>
                <w:lang w:val="en-US" w:eastAsia="zh-CN" w:bidi="ar"/>
              </w:rPr>
              <w:t>符合本项目具体特点（总投资≥50000万元或超高层（即建筑高度100米以上）的公共建筑类设计）有代表性的奖项提供即可（如有）。</w:t>
            </w:r>
            <w:r>
              <w:rPr>
                <w:rFonts w:hint="eastAsia" w:ascii="宋体" w:hAnsi="宋体" w:eastAsia="宋体" w:cs="宋体"/>
                <w:b w:val="0"/>
                <w:color w:val="auto"/>
                <w:kern w:val="0"/>
                <w:sz w:val="24"/>
                <w:szCs w:val="24"/>
                <w:highlight w:val="none"/>
                <w:u w:val="single"/>
                <w:shd w:val="clear" w:color="auto" w:fill="FFFFFF"/>
                <w:lang w:val="en-US" w:eastAsia="zh-CN" w:bidi="ar"/>
              </w:rPr>
              <w:t>需提供获奖证书扫描件，上述文件均需加盖投标人电子印章。投标单位需提供能证明项目总投资</w:t>
            </w:r>
            <w:r>
              <w:rPr>
                <w:rFonts w:hint="default" w:ascii="宋体" w:hAnsi="宋体" w:eastAsia="宋体" w:cs="宋体"/>
                <w:color w:val="auto"/>
                <w:kern w:val="0"/>
                <w:sz w:val="24"/>
                <w:szCs w:val="24"/>
                <w:highlight w:val="none"/>
                <w:u w:val="single"/>
                <w:shd w:val="clear" w:color="auto" w:fill="FFFFFF"/>
                <w:vertAlign w:val="baseline"/>
                <w:lang w:bidi="ar-SA"/>
              </w:rPr>
              <w:t>或</w:t>
            </w:r>
            <w:r>
              <w:rPr>
                <w:rFonts w:hint="eastAsia" w:ascii="宋体" w:hAnsi="宋体" w:eastAsia="宋体" w:cs="宋体"/>
                <w:color w:val="auto"/>
                <w:kern w:val="0"/>
                <w:sz w:val="24"/>
                <w:szCs w:val="24"/>
                <w:highlight w:val="none"/>
                <w:u w:val="single"/>
                <w:shd w:val="clear" w:color="auto" w:fill="FFFFFF"/>
                <w:vertAlign w:val="baseline"/>
                <w:lang w:bidi="ar"/>
              </w:rPr>
              <w:t>建筑高度</w:t>
            </w:r>
            <w:r>
              <w:rPr>
                <w:rFonts w:hint="eastAsia" w:ascii="宋体" w:hAnsi="宋体" w:eastAsia="宋体" w:cs="宋体"/>
                <w:b w:val="0"/>
                <w:color w:val="auto"/>
                <w:kern w:val="0"/>
                <w:sz w:val="24"/>
                <w:szCs w:val="24"/>
                <w:highlight w:val="none"/>
                <w:u w:val="single"/>
                <w:shd w:val="clear" w:color="auto" w:fill="FFFFFF"/>
                <w:lang w:val="en-US" w:eastAsia="zh-CN" w:bidi="ar"/>
              </w:rPr>
              <w:t>的证明文件扫描件，加盖投标人电子印章。总投资证明文件可以是项目建议书批文、可行性研究报告批文或企业投资项目备案证。合同中列明项目总投资的，可作为项目总投资证明文件。</w:t>
            </w:r>
            <w:r>
              <w:rPr>
                <w:rFonts w:hint="eastAsia" w:ascii="宋体" w:hAnsi="宋体" w:eastAsia="宋体" w:cs="宋体"/>
                <w:color w:val="auto"/>
                <w:kern w:val="0"/>
                <w:sz w:val="24"/>
                <w:szCs w:val="24"/>
                <w:highlight w:val="none"/>
                <w:u w:val="single"/>
                <w:shd w:val="clear" w:color="auto" w:fill="FFFFFF"/>
                <w:vertAlign w:val="baseline"/>
              </w:rPr>
              <w:t>国家级设计奖项包括由国务院颁发的国家科学技术奖、由住建部颁发的全国优秀工程勘察设计奖、住建部的华夏建设科学技术奖励委员会颁发的华夏建设科学技术奖、</w:t>
            </w:r>
            <w:r>
              <w:rPr>
                <w:rFonts w:hint="eastAsia" w:ascii="宋体" w:hAnsi="宋体" w:eastAsia="宋体" w:cs="宋体"/>
                <w:color w:val="auto"/>
                <w:kern w:val="0"/>
                <w:sz w:val="24"/>
                <w:szCs w:val="24"/>
                <w:highlight w:val="none"/>
                <w:u w:val="single"/>
                <w:shd w:val="clear" w:color="auto" w:fill="FFFFFF"/>
                <w:lang w:val="en-US" w:eastAsia="zh-CN" w:bidi="ar-SA"/>
              </w:rPr>
              <w:t>中国勘察设计协会颁发的全国优秀工程勘察设计行业奖或工程勘察、建筑设计行业和市政公用工程优秀勘察设计奖（简称“行业优秀勘察设计奖”）</w:t>
            </w:r>
            <w:r>
              <w:rPr>
                <w:rFonts w:hint="eastAsia" w:ascii="宋体" w:hAnsi="宋体" w:eastAsia="宋体" w:cs="宋体"/>
                <w:color w:val="auto"/>
                <w:kern w:val="0"/>
                <w:sz w:val="24"/>
                <w:szCs w:val="24"/>
                <w:highlight w:val="none"/>
                <w:u w:val="single"/>
                <w:shd w:val="clear" w:color="auto" w:fill="FFFFFF"/>
                <w:vertAlign w:val="baseline"/>
              </w:rPr>
              <w:t>；省级设计奖项包括省级（或直辖市</w:t>
            </w:r>
            <w:r>
              <w:rPr>
                <w:rFonts w:hint="eastAsia" w:ascii="宋体" w:hAnsi="宋体" w:eastAsia="宋体" w:cs="宋体"/>
                <w:color w:val="auto"/>
                <w:kern w:val="0"/>
                <w:sz w:val="24"/>
                <w:szCs w:val="24"/>
                <w:highlight w:val="none"/>
                <w:u w:val="single"/>
                <w:shd w:val="clear" w:color="auto" w:fill="FFFFFF"/>
                <w:lang w:val="en-US" w:eastAsia="zh-CN" w:bidi="ar-SA"/>
              </w:rPr>
              <w:t>、自治区</w:t>
            </w:r>
            <w:r>
              <w:rPr>
                <w:rFonts w:hint="eastAsia" w:ascii="宋体" w:hAnsi="宋体" w:eastAsia="宋体" w:cs="宋体"/>
                <w:color w:val="auto"/>
                <w:kern w:val="0"/>
                <w:sz w:val="24"/>
                <w:szCs w:val="24"/>
                <w:highlight w:val="none"/>
                <w:u w:val="single"/>
                <w:shd w:val="clear" w:color="auto" w:fill="FFFFFF"/>
                <w:vertAlign w:val="baseline"/>
              </w:rPr>
              <w:t>）人民政府颁发的省（或直辖市</w:t>
            </w:r>
            <w:r>
              <w:rPr>
                <w:rFonts w:hint="eastAsia" w:ascii="宋体" w:hAnsi="宋体" w:eastAsia="宋体" w:cs="宋体"/>
                <w:color w:val="auto"/>
                <w:kern w:val="0"/>
                <w:sz w:val="24"/>
                <w:szCs w:val="24"/>
                <w:highlight w:val="none"/>
                <w:u w:val="single"/>
                <w:shd w:val="clear" w:color="auto" w:fill="FFFFFF"/>
                <w:lang w:val="en-US" w:eastAsia="zh-CN" w:bidi="ar-SA"/>
              </w:rPr>
              <w:t>、自治区</w:t>
            </w:r>
            <w:r>
              <w:rPr>
                <w:rFonts w:hint="eastAsia" w:ascii="宋体" w:hAnsi="宋体" w:eastAsia="宋体" w:cs="宋体"/>
                <w:color w:val="auto"/>
                <w:kern w:val="0"/>
                <w:sz w:val="24"/>
                <w:szCs w:val="24"/>
                <w:highlight w:val="none"/>
                <w:u w:val="single"/>
                <w:shd w:val="clear" w:color="auto" w:fill="FFFFFF"/>
                <w:vertAlign w:val="baseline"/>
              </w:rPr>
              <w:t>）科学技术奖、省级（或直辖市</w:t>
            </w:r>
            <w:r>
              <w:rPr>
                <w:rFonts w:hint="eastAsia" w:ascii="宋体" w:hAnsi="宋体" w:eastAsia="宋体" w:cs="宋体"/>
                <w:color w:val="auto"/>
                <w:kern w:val="0"/>
                <w:sz w:val="24"/>
                <w:szCs w:val="24"/>
                <w:highlight w:val="none"/>
                <w:u w:val="single"/>
                <w:shd w:val="clear" w:color="auto" w:fill="FFFFFF"/>
                <w:lang w:val="en-US" w:eastAsia="zh-CN" w:bidi="ar-SA"/>
              </w:rPr>
              <w:t>、自治区</w:t>
            </w:r>
            <w:r>
              <w:rPr>
                <w:rFonts w:hint="eastAsia" w:ascii="宋体" w:hAnsi="宋体" w:eastAsia="宋体" w:cs="宋体"/>
                <w:color w:val="auto"/>
                <w:kern w:val="0"/>
                <w:sz w:val="24"/>
                <w:szCs w:val="24"/>
                <w:highlight w:val="none"/>
                <w:u w:val="single"/>
                <w:shd w:val="clear" w:color="auto" w:fill="FFFFFF"/>
                <w:vertAlign w:val="baseline"/>
              </w:rPr>
              <w:t>）建设行政主管部门及省级（或直辖市</w:t>
            </w:r>
            <w:r>
              <w:rPr>
                <w:rFonts w:hint="eastAsia" w:ascii="宋体" w:hAnsi="宋体" w:eastAsia="宋体" w:cs="宋体"/>
                <w:color w:val="auto"/>
                <w:kern w:val="0"/>
                <w:sz w:val="24"/>
                <w:szCs w:val="24"/>
                <w:highlight w:val="none"/>
                <w:u w:val="single"/>
                <w:shd w:val="clear" w:color="auto" w:fill="FFFFFF"/>
                <w:lang w:val="en-US" w:eastAsia="zh-CN" w:bidi="ar-SA"/>
              </w:rPr>
              <w:t>、自治区</w:t>
            </w:r>
            <w:r>
              <w:rPr>
                <w:rFonts w:hint="eastAsia" w:ascii="宋体" w:hAnsi="宋体" w:eastAsia="宋体" w:cs="宋体"/>
                <w:color w:val="auto"/>
                <w:kern w:val="0"/>
                <w:sz w:val="24"/>
                <w:szCs w:val="24"/>
                <w:highlight w:val="none"/>
                <w:u w:val="single"/>
                <w:shd w:val="clear" w:color="auto" w:fill="FFFFFF"/>
                <w:vertAlign w:val="baseline"/>
              </w:rPr>
              <w:t>）工程勘察设计行业协会颁发的省级（或直辖市</w:t>
            </w:r>
            <w:r>
              <w:rPr>
                <w:rFonts w:hint="eastAsia" w:ascii="宋体" w:hAnsi="宋体" w:eastAsia="宋体" w:cs="宋体"/>
                <w:color w:val="auto"/>
                <w:kern w:val="0"/>
                <w:sz w:val="24"/>
                <w:szCs w:val="24"/>
                <w:highlight w:val="none"/>
                <w:u w:val="single"/>
                <w:shd w:val="clear" w:color="auto" w:fill="FFFFFF"/>
                <w:lang w:val="en-US" w:eastAsia="zh-CN" w:bidi="ar-SA"/>
              </w:rPr>
              <w:t>、自治区</w:t>
            </w:r>
            <w:r>
              <w:rPr>
                <w:rFonts w:hint="eastAsia" w:ascii="宋体" w:hAnsi="宋体" w:eastAsia="宋体" w:cs="宋体"/>
                <w:color w:val="auto"/>
                <w:kern w:val="0"/>
                <w:sz w:val="24"/>
                <w:szCs w:val="24"/>
                <w:highlight w:val="none"/>
                <w:u w:val="single"/>
                <w:shd w:val="clear" w:color="auto" w:fill="FFFFFF"/>
                <w:vertAlign w:val="baseline"/>
              </w:rPr>
              <w:t>）优秀勘察设计奖；市级设计奖项包括市级建设行政主管部门或市级(含副省级)工程勘察设计行业协会颁发的优秀工程勘察设计奖、市级人民政府颁发的市科学技术奖。如颁发单位为行业协会的，还须提供该协会在“全国社会组织信用信息公示平台（试运行）”</w:t>
            </w:r>
            <w:r>
              <w:rPr>
                <w:rFonts w:hint="eastAsia" w:ascii="宋体" w:hAnsi="宋体" w:eastAsia="宋体" w:cs="宋体"/>
                <w:color w:val="auto"/>
                <w:kern w:val="0"/>
                <w:sz w:val="24"/>
                <w:szCs w:val="24"/>
                <w:highlight w:val="none"/>
                <w:u w:val="single"/>
                <w:shd w:val="clear" w:color="auto" w:fill="FFFFFF"/>
                <w:vertAlign w:val="baseline"/>
                <w:lang w:val="en-US" w:eastAsia="zh-CN"/>
              </w:rPr>
              <w:t>已</w:t>
            </w:r>
            <w:r>
              <w:rPr>
                <w:rFonts w:hint="eastAsia" w:ascii="宋体" w:hAnsi="宋体" w:eastAsia="宋体" w:cs="宋体"/>
                <w:color w:val="auto"/>
                <w:kern w:val="0"/>
                <w:sz w:val="24"/>
                <w:szCs w:val="24"/>
                <w:highlight w:val="none"/>
                <w:u w:val="single"/>
                <w:shd w:val="clear" w:color="auto" w:fill="FFFFFF"/>
                <w:vertAlign w:val="baseline"/>
              </w:rPr>
              <w:t>登记备案的查询信息截图页（网址：</w:t>
            </w:r>
            <w:r>
              <w:rPr>
                <w:rFonts w:hint="eastAsia" w:ascii="宋体" w:hAnsi="宋体" w:eastAsia="宋体" w:cs="宋体"/>
                <w:color w:val="auto"/>
                <w:kern w:val="0"/>
                <w:sz w:val="24"/>
                <w:szCs w:val="24"/>
                <w:highlight w:val="none"/>
                <w:u w:val="single"/>
                <w:shd w:val="clear" w:color="auto" w:fill="FFFFFF"/>
                <w:vertAlign w:val="baseline"/>
              </w:rPr>
              <w:fldChar w:fldCharType="begin"/>
            </w:r>
            <w:r>
              <w:rPr>
                <w:rFonts w:hint="eastAsia" w:ascii="宋体" w:hAnsi="宋体" w:eastAsia="宋体" w:cs="宋体"/>
                <w:color w:val="auto"/>
                <w:kern w:val="0"/>
                <w:sz w:val="24"/>
                <w:szCs w:val="24"/>
                <w:highlight w:val="none"/>
                <w:u w:val="single"/>
                <w:shd w:val="clear" w:color="auto" w:fill="FFFFFF"/>
                <w:vertAlign w:val="baseline"/>
              </w:rPr>
              <w:instrText xml:space="preserve"> HYPERLINK "https://xxgs.chinanpo.mca.gov.cn/gsxt/newList），奖项时间以获奖证书发证日期为准。" </w:instrText>
            </w:r>
            <w:r>
              <w:rPr>
                <w:rFonts w:hint="eastAsia" w:ascii="宋体" w:hAnsi="宋体" w:eastAsia="宋体" w:cs="宋体"/>
                <w:color w:val="auto"/>
                <w:kern w:val="0"/>
                <w:sz w:val="24"/>
                <w:szCs w:val="24"/>
                <w:highlight w:val="none"/>
                <w:u w:val="single"/>
                <w:shd w:val="clear" w:color="auto" w:fill="FFFFFF"/>
                <w:vertAlign w:val="baseline"/>
              </w:rPr>
              <w:fldChar w:fldCharType="separate"/>
            </w:r>
            <w:r>
              <w:rPr>
                <w:rFonts w:hint="eastAsia" w:ascii="宋体" w:hAnsi="宋体" w:eastAsia="宋体" w:cs="宋体"/>
                <w:color w:val="auto"/>
                <w:kern w:val="0"/>
                <w:sz w:val="24"/>
                <w:szCs w:val="24"/>
                <w:highlight w:val="none"/>
                <w:u w:val="single"/>
                <w:shd w:val="clear" w:color="auto" w:fill="FFFFFF"/>
                <w:vertAlign w:val="baseline"/>
              </w:rPr>
              <w:t>https://xxgs.chinanpo.mca.gov.cn/gsxt/newList），奖项时间以获奖证书发证日期为准。</w:t>
            </w:r>
            <w:r>
              <w:rPr>
                <w:rFonts w:hint="eastAsia" w:ascii="宋体" w:hAnsi="宋体" w:eastAsia="宋体" w:cs="宋体"/>
                <w:color w:val="auto"/>
                <w:kern w:val="0"/>
                <w:sz w:val="24"/>
                <w:szCs w:val="24"/>
                <w:highlight w:val="none"/>
                <w:u w:val="single"/>
                <w:shd w:val="clear" w:color="auto" w:fill="FFFFFF"/>
                <w:vertAlign w:val="baseli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012" w:type="dxa"/>
            <w:vAlign w:val="center"/>
          </w:tcPr>
          <w:p>
            <w:pPr>
              <w:keepNext w:val="0"/>
              <w:keepLines w:val="0"/>
              <w:widowControl w:val="0"/>
              <w:suppressLineNumbers w:val="0"/>
              <w:spacing w:before="0" w:beforeAutospacing="0" w:after="0" w:afterAutospacing="0" w:line="360" w:lineRule="auto"/>
              <w:ind w:left="0" w:right="0" w:firstLine="0" w:firstLineChars="0"/>
              <w:jc w:val="center"/>
              <w:rPr>
                <w:rFonts w:hint="default" w:ascii="宋体" w:hAnsi="宋体" w:eastAsia="宋体" w:cs="宋体"/>
                <w:strike w:val="0"/>
                <w:color w:val="auto"/>
                <w:kern w:val="0"/>
                <w:sz w:val="24"/>
                <w:szCs w:val="24"/>
                <w:highlight w:val="none"/>
                <w:u w:val="single"/>
                <w:shd w:val="clear" w:color="auto" w:fill="FFFFFF"/>
                <w:lang w:val="en-US" w:eastAsia="zh-CN" w:bidi="ar-SA"/>
              </w:rPr>
            </w:pPr>
            <w:r>
              <w:rPr>
                <w:rFonts w:hint="eastAsia" w:ascii="宋体" w:hAnsi="宋体" w:eastAsia="宋体" w:cs="宋体"/>
                <w:strike w:val="0"/>
                <w:color w:val="auto"/>
                <w:kern w:val="0"/>
                <w:sz w:val="24"/>
                <w:szCs w:val="24"/>
                <w:highlight w:val="none"/>
                <w:u w:val="single"/>
                <w:shd w:val="clear" w:color="auto" w:fill="FFFFFF"/>
                <w:lang w:val="en-US" w:eastAsia="zh-CN" w:bidi="ar-SA"/>
              </w:rPr>
              <w:t>5</w:t>
            </w:r>
          </w:p>
        </w:tc>
        <w:tc>
          <w:tcPr>
            <w:tcW w:w="1813" w:type="dxa"/>
            <w:vAlign w:val="center"/>
          </w:tcPr>
          <w:p>
            <w:pPr>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strike w:val="0"/>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u w:val="single"/>
                <w:shd w:val="clear" w:color="auto" w:fill="FFFFFF"/>
              </w:rPr>
              <w:t>答辩因素</w:t>
            </w:r>
          </w:p>
        </w:tc>
        <w:tc>
          <w:tcPr>
            <w:tcW w:w="616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Chars="0"/>
              <w:jc w:val="left"/>
              <w:textAlignment w:val="auto"/>
              <w:rPr>
                <w:rFonts w:hint="eastAsia"/>
                <w:color w:val="auto"/>
                <w:highlight w:val="none"/>
              </w:rPr>
            </w:pPr>
            <w:r>
              <w:rPr>
                <w:rFonts w:hint="eastAsia"/>
                <w:color w:val="auto"/>
                <w:highlight w:val="none"/>
              </w:rPr>
              <w:t>对合格的中标候选人拟派项目团队成员的答辩情况进行评审。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Chars="0"/>
              <w:jc w:val="left"/>
              <w:textAlignment w:val="auto"/>
              <w:rPr>
                <w:rFonts w:hint="eastAsia"/>
                <w:color w:val="auto"/>
                <w:highlight w:val="none"/>
              </w:rPr>
            </w:pPr>
            <w:r>
              <w:rPr>
                <w:rFonts w:hint="eastAsia"/>
                <w:color w:val="auto"/>
                <w:highlight w:val="none"/>
                <w:lang w:val="en-US" w:eastAsia="zh-CN"/>
              </w:rPr>
              <w:t>【优】答辩团队熟悉项目情况，对本项目的重点、难点认识深刻，应对措施合理可行；人员投入计划对推进工作进度有保障；实施时间安排合理可行；回答评委提问思路清晰、内容准确。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Chars="0"/>
              <w:jc w:val="left"/>
              <w:textAlignment w:val="auto"/>
              <w:rPr>
                <w:rFonts w:hint="eastAsia"/>
                <w:color w:val="auto"/>
                <w:highlight w:val="none"/>
              </w:rPr>
            </w:pPr>
            <w:r>
              <w:rPr>
                <w:rFonts w:hint="eastAsia"/>
                <w:color w:val="auto"/>
                <w:highlight w:val="none"/>
                <w:lang w:val="en-US" w:eastAsia="zh-CN"/>
              </w:rPr>
              <w:t>【中】答辩团队对项目情况基本了解，对本项目的重点、难点把握不够；人员投入计划对推进工作进度保障一般；实施时间安排合理性一般；回答评委提问不够清晰准确。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Chars="0"/>
              <w:jc w:val="left"/>
              <w:textAlignment w:val="auto"/>
              <w:rPr>
                <w:rFonts w:hint="eastAsia"/>
                <w:color w:val="auto"/>
                <w:highlight w:val="none"/>
              </w:rPr>
            </w:pPr>
            <w:r>
              <w:rPr>
                <w:rFonts w:hint="eastAsia"/>
                <w:color w:val="auto"/>
                <w:highlight w:val="none"/>
                <w:lang w:val="en-US" w:eastAsia="zh-CN"/>
              </w:rPr>
              <w:t>【差】答辩团队对项目情况不了解，对本项目的重点、难点不清晰；没有人员投入计划或对推进工作进度保障差；实施时间安排严重不合理；回答评委提问答非所问的或未能按要求出席参加答辩的。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Chars="0"/>
              <w:jc w:val="left"/>
              <w:textAlignment w:val="auto"/>
              <w:rPr>
                <w:rFonts w:hint="eastAsia"/>
                <w:color w:val="auto"/>
                <w:highlight w:val="none"/>
                <w:lang w:val="en-US" w:eastAsia="zh-CN"/>
              </w:rPr>
            </w:pPr>
            <w:r>
              <w:rPr>
                <w:rFonts w:hint="eastAsia"/>
                <w:color w:val="auto"/>
                <w:highlight w:val="none"/>
                <w:lang w:val="en-US" w:eastAsia="zh-CN"/>
              </w:rPr>
              <w:t>备注：本项目的重点难点为：</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color w:val="auto"/>
                <w:highlight w:val="none"/>
                <w:lang w:val="en-US" w:eastAsia="zh-CN"/>
              </w:rPr>
            </w:pPr>
            <w:r>
              <w:rPr>
                <w:rFonts w:hint="eastAsia"/>
                <w:color w:val="auto"/>
                <w:highlight w:val="none"/>
                <w:lang w:val="en-US" w:eastAsia="zh-CN"/>
              </w:rPr>
              <w:t>（1）作为未来广州在粤港澳大湾区法治建设领域的标志性建筑，广州法治大厦彰显广州在推动区域法治一体化进程中的标志性工程，</w:t>
            </w:r>
            <w:r>
              <w:rPr>
                <w:rFonts w:hint="default"/>
                <w:color w:val="auto"/>
                <w:highlight w:val="none"/>
                <w:lang w:eastAsia="zh-CN"/>
              </w:rPr>
              <w:t>本项目将吸纳广州互联网法院和广州仲裁委员会等政法单位入驻，承担探索网络法治中国样本、打造国际仲裁中心等重要使命，</w:t>
            </w:r>
            <w:r>
              <w:rPr>
                <w:rFonts w:hint="eastAsia"/>
                <w:color w:val="auto"/>
                <w:highlight w:val="none"/>
                <w:lang w:val="en-US" w:eastAsia="zh-CN"/>
              </w:rPr>
              <w:t>项目整体设计特别是外立面设计需体现海珠云上片区法律服务业与数字经济产业集群融合互动的发展理念，并与琶洲西区整体城市设计相协调；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Chars="0"/>
              <w:jc w:val="left"/>
              <w:textAlignment w:val="auto"/>
              <w:rPr>
                <w:rFonts w:hint="eastAsia"/>
                <w:color w:val="auto"/>
                <w:highlight w:val="none"/>
                <w:lang w:val="en-US" w:eastAsia="zh-CN"/>
              </w:rPr>
            </w:pPr>
            <w:r>
              <w:rPr>
                <w:rFonts w:hint="eastAsia"/>
                <w:color w:val="auto"/>
                <w:highlight w:val="none"/>
                <w:lang w:val="en-US" w:eastAsia="zh-CN"/>
              </w:rPr>
              <w:t>（2）本项目精细化设计要求及投资控制要求较高，立项批复每平方工程费用少于同类型项目，设计单位需对落实限额设计要求作出分析论证，并着重就满足结构要求的基础上，分析项目装修、机电等内容的建设标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Chars="0"/>
              <w:jc w:val="left"/>
              <w:textAlignment w:val="auto"/>
              <w:rPr>
                <w:rFonts w:hint="eastAsia"/>
                <w:color w:val="auto"/>
                <w:highlight w:val="none"/>
                <w:lang w:val="en-US" w:eastAsia="zh-CN"/>
              </w:rPr>
            </w:pPr>
            <w:r>
              <w:rPr>
                <w:rFonts w:hint="eastAsia"/>
                <w:color w:val="auto"/>
                <w:highlight w:val="none"/>
                <w:lang w:val="en-US" w:eastAsia="zh-CN"/>
              </w:rPr>
              <w:t>（3）本项目使用单位较多，使用需求、使用习惯差异较大，同时部分空间需面向群众开放，设计单位对项目竖向交通、楼宇自控系统、流线设置等作分析建议；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Chars="0"/>
              <w:jc w:val="left"/>
              <w:textAlignment w:val="auto"/>
              <w:rPr>
                <w:rFonts w:hint="eastAsia"/>
                <w:color w:val="auto"/>
                <w:highlight w:val="none"/>
                <w:lang w:val="en-US" w:eastAsia="zh-CN"/>
              </w:rPr>
            </w:pPr>
            <w:r>
              <w:rPr>
                <w:rFonts w:hint="eastAsia"/>
                <w:color w:val="auto"/>
                <w:highlight w:val="none"/>
                <w:lang w:val="en-US" w:eastAsia="zh-CN"/>
              </w:rPr>
              <w:t>（4）AH040331地块建筑已基本结构封顶，根据控制性详细规划，本项目规划地下空间可不退让无缝衔接，设计单位根据现状条件，在满足停车位规划要求的前提下对项目地下空间建设方案开展分析建议。</w:t>
            </w:r>
          </w:p>
          <w:p>
            <w:pPr>
              <w:pStyle w:val="2"/>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trPr>
        <w:tc>
          <w:tcPr>
            <w:tcW w:w="8986" w:type="dxa"/>
            <w:gridSpan w:val="3"/>
            <w:vAlign w:val="center"/>
          </w:tcPr>
          <w:p>
            <w:pPr>
              <w:keepNext w:val="0"/>
              <w:keepLines w:val="0"/>
              <w:widowControl w:val="0"/>
              <w:suppressLineNumbers w:val="0"/>
              <w:spacing w:before="0" w:beforeAutospacing="0" w:after="0" w:afterAutospacing="0" w:line="360" w:lineRule="auto"/>
              <w:ind w:left="0" w:right="0" w:firstLineChars="0"/>
              <w:jc w:val="both"/>
              <w:rPr>
                <w:rFonts w:hint="eastAsia" w:ascii="宋体" w:hAnsi="宋体" w:eastAsia="宋体" w:cs="宋体"/>
                <w:color w:val="auto"/>
                <w:kern w:val="0"/>
                <w:sz w:val="24"/>
                <w:szCs w:val="24"/>
                <w:highlight w:val="none"/>
                <w:u w:val="single"/>
                <w:shd w:val="clear" w:color="auto" w:fill="FFFFFF"/>
                <w:lang w:val="en-US" w:eastAsia="zh-CN"/>
              </w:rPr>
            </w:pPr>
            <w:r>
              <w:rPr>
                <w:rFonts w:hint="eastAsia" w:ascii="宋体" w:hAnsi="宋体"/>
                <w:b/>
                <w:bCs/>
                <w:strike w:val="0"/>
                <w:color w:val="auto"/>
                <w:highlight w:val="none"/>
                <w:u w:val="single"/>
                <w:lang w:val="en-US" w:eastAsia="zh-CN"/>
              </w:rPr>
              <w:t>备注：若为联合体投标，投标人的相关业绩、获奖、投入人员可由联合体各方</w:t>
            </w:r>
            <w:r>
              <w:rPr>
                <w:rFonts w:hint="default" w:ascii="宋体" w:hAnsi="宋体"/>
                <w:b/>
                <w:bCs/>
                <w:color w:val="auto"/>
                <w:highlight w:val="none"/>
                <w:u w:val="single"/>
                <w:lang w:eastAsia="zh-CN"/>
              </w:rPr>
              <w:t>（含合作设计方）</w:t>
            </w:r>
            <w:r>
              <w:rPr>
                <w:rFonts w:hint="eastAsia" w:ascii="宋体" w:hAnsi="宋体"/>
                <w:b/>
                <w:bCs/>
                <w:strike w:val="0"/>
                <w:color w:val="auto"/>
                <w:highlight w:val="none"/>
                <w:u w:val="single"/>
                <w:lang w:val="en-US" w:eastAsia="zh-CN"/>
              </w:rPr>
              <w:t>自行组合提供。</w:t>
            </w:r>
          </w:p>
        </w:tc>
      </w:tr>
    </w:tbl>
    <w:p>
      <w:pPr>
        <w:outlineLvl w:val="9"/>
        <w:rPr>
          <w:rFonts w:hint="eastAsia" w:ascii="宋体" w:hAnsi="宋体" w:eastAsia="宋体" w:cs="Times New Roman"/>
          <w:b/>
          <w:bCs/>
          <w:color w:val="auto"/>
          <w:kern w:val="44"/>
          <w:sz w:val="21"/>
          <w:szCs w:val="21"/>
          <w:highlight w:val="none"/>
          <w:lang w:val="en-US" w:eastAsia="zh-CN" w:bidi="ar-SA"/>
        </w:rPr>
      </w:pPr>
      <w:r>
        <w:rPr>
          <w:rFonts w:hint="eastAsia" w:ascii="宋体" w:hAnsi="宋体" w:eastAsia="宋体" w:cs="Times New Roman"/>
          <w:b/>
          <w:bCs/>
          <w:color w:val="auto"/>
          <w:kern w:val="44"/>
          <w:sz w:val="21"/>
          <w:szCs w:val="21"/>
          <w:highlight w:val="none"/>
          <w:lang w:val="en-US" w:eastAsia="zh-CN" w:bidi="ar-SA"/>
        </w:rPr>
        <w:br w:type="page"/>
      </w:r>
    </w:p>
    <w:p>
      <w:pPr>
        <w:outlineLvl w:val="1"/>
        <w:rPr>
          <w:rFonts w:ascii="宋体" w:hAnsi="宋体" w:eastAsia="宋体" w:cs="Times New Roman"/>
          <w:b/>
          <w:bCs/>
          <w:color w:val="auto"/>
          <w:kern w:val="44"/>
          <w:sz w:val="21"/>
          <w:szCs w:val="21"/>
          <w:highlight w:val="none"/>
          <w:lang w:val="en-US" w:eastAsia="zh-CN" w:bidi="ar-SA"/>
        </w:rPr>
      </w:pPr>
      <w:bookmarkStart w:id="75" w:name="_Toc27730"/>
      <w:r>
        <w:rPr>
          <w:rFonts w:hint="eastAsia" w:ascii="宋体" w:hAnsi="宋体" w:eastAsia="宋体" w:cs="Times New Roman"/>
          <w:b/>
          <w:bCs/>
          <w:color w:val="auto"/>
          <w:kern w:val="44"/>
          <w:sz w:val="21"/>
          <w:szCs w:val="21"/>
          <w:highlight w:val="none"/>
          <w:lang w:val="en-US" w:eastAsia="zh-CN" w:bidi="ar-SA"/>
        </w:rPr>
        <w:t>附</w:t>
      </w:r>
      <w:bookmarkStart w:id="76" w:name="OLE_LINK15"/>
      <w:r>
        <w:rPr>
          <w:rFonts w:hint="eastAsia" w:ascii="宋体" w:hAnsi="宋体" w:eastAsia="宋体" w:cs="Times New Roman"/>
          <w:b/>
          <w:bCs/>
          <w:color w:val="auto"/>
          <w:kern w:val="44"/>
          <w:sz w:val="21"/>
          <w:szCs w:val="21"/>
          <w:highlight w:val="none"/>
          <w:lang w:val="en-US" w:eastAsia="zh-CN" w:bidi="ar-SA"/>
        </w:rPr>
        <w:t>录</w:t>
      </w:r>
      <w:r>
        <w:rPr>
          <w:rFonts w:ascii="宋体" w:hAnsi="宋体" w:eastAsia="宋体" w:cs="Times New Roman"/>
          <w:b/>
          <w:bCs/>
          <w:color w:val="auto"/>
          <w:kern w:val="44"/>
          <w:sz w:val="21"/>
          <w:szCs w:val="21"/>
          <w:highlight w:val="none"/>
          <w:lang w:val="en-US" w:eastAsia="zh-CN" w:bidi="ar-SA"/>
        </w:rPr>
        <w:t>1</w:t>
      </w:r>
      <w:r>
        <w:rPr>
          <w:rFonts w:hint="eastAsia" w:ascii="宋体" w:hAnsi="宋体" w:eastAsia="宋体" w:cs="Times New Roman"/>
          <w:b/>
          <w:bCs/>
          <w:color w:val="auto"/>
          <w:kern w:val="44"/>
          <w:sz w:val="21"/>
          <w:szCs w:val="21"/>
          <w:highlight w:val="none"/>
          <w:lang w:val="en-US" w:eastAsia="zh-CN" w:bidi="ar-SA"/>
        </w:rPr>
        <w:t>6</w:t>
      </w:r>
      <w:r>
        <w:rPr>
          <w:rFonts w:ascii="宋体" w:hAnsi="宋体" w:eastAsia="宋体" w:cs="Times New Roman"/>
          <w:b/>
          <w:bCs/>
          <w:color w:val="auto"/>
          <w:kern w:val="44"/>
          <w:sz w:val="21"/>
          <w:szCs w:val="21"/>
          <w:highlight w:val="none"/>
          <w:lang w:val="en-US" w:eastAsia="zh-CN" w:bidi="ar-SA"/>
        </w:rPr>
        <w:t xml:space="preserve"> </w:t>
      </w:r>
      <w:r>
        <w:rPr>
          <w:rFonts w:hint="eastAsia" w:ascii="宋体" w:hAnsi="宋体" w:eastAsia="宋体" w:cs="Times New Roman"/>
          <w:b/>
          <w:bCs/>
          <w:color w:val="auto"/>
          <w:kern w:val="44"/>
          <w:sz w:val="21"/>
          <w:szCs w:val="21"/>
          <w:highlight w:val="none"/>
          <w:lang w:val="en-US" w:eastAsia="zh-CN" w:bidi="ar-SA"/>
        </w:rPr>
        <w:t>投标方案评语</w:t>
      </w:r>
      <w:bookmarkEnd w:id="75"/>
      <w:bookmarkEnd w:id="76"/>
    </w:p>
    <w:p>
      <w:pPr>
        <w:spacing w:line="360" w:lineRule="auto"/>
        <w:jc w:val="center"/>
        <w:rPr>
          <w:rFonts w:hint="eastAsia" w:ascii="宋体" w:hAnsi="宋体" w:eastAsia="宋体" w:cs="Times New Roman"/>
          <w:color w:val="auto"/>
          <w:sz w:val="24"/>
          <w:highlight w:val="none"/>
          <w:lang w:eastAsia="zh-CN"/>
        </w:rPr>
      </w:pPr>
      <w:r>
        <w:rPr>
          <w:rFonts w:ascii="宋体" w:hAnsi="宋体" w:eastAsia="宋体" w:cs="Times New Roman"/>
          <w:b/>
          <w:bCs/>
          <w:color w:val="auto"/>
          <w:sz w:val="32"/>
          <w:highlight w:val="none"/>
        </w:rPr>
        <w:t xml:space="preserve"> 投标方案评语</w:t>
      </w:r>
    </w:p>
    <w:p>
      <w:pPr>
        <w:spacing w:line="360" w:lineRule="auto"/>
        <w:rPr>
          <w:rFonts w:ascii="宋体" w:hAnsi="宋体" w:eastAsia="宋体" w:cs="Times New Roman"/>
          <w:color w:val="auto"/>
          <w:sz w:val="24"/>
          <w:highlight w:val="none"/>
        </w:rPr>
      </w:pPr>
      <w:r>
        <w:rPr>
          <w:rFonts w:hint="eastAsia" w:ascii="宋体" w:hAnsi="宋体" w:eastAsia="宋体" w:cs="Times New Roman"/>
          <w:color w:val="auto"/>
          <w:sz w:val="24"/>
          <w:highlight w:val="none"/>
        </w:rPr>
        <w:t>项目名称：</w:t>
      </w:r>
    </w:p>
    <w:tbl>
      <w:tblPr>
        <w:tblStyle w:val="11"/>
        <w:tblW w:w="9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7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42" w:type="dxa"/>
          </w:tcPr>
          <w:p>
            <w:pPr>
              <w:keepNext w:val="0"/>
              <w:keepLines w:val="0"/>
              <w:suppressLineNumbers w:val="0"/>
              <w:spacing w:before="0" w:beforeAutospacing="0" w:after="0" w:afterAutospacing="0" w:line="360" w:lineRule="auto"/>
              <w:ind w:left="0" w:right="0"/>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方案编号</w:t>
            </w:r>
          </w:p>
        </w:tc>
        <w:tc>
          <w:tcPr>
            <w:tcW w:w="7974" w:type="dxa"/>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sz w:val="24"/>
                <w:highlight w:val="none"/>
              </w:rPr>
            </w:pPr>
            <w:r>
              <w:rPr>
                <w:rFonts w:hint="eastAsia" w:ascii="宋体" w:hAnsi="宋体" w:eastAsia="宋体" w:cs="Times New Roman"/>
                <w:color w:val="auto"/>
                <w:sz w:val="24"/>
                <w:highlight w:val="none"/>
              </w:rPr>
              <w:t>评</w:t>
            </w:r>
            <w:r>
              <w:rPr>
                <w:rFonts w:hint="default" w:ascii="宋体" w:hAnsi="宋体" w:eastAsia="宋体" w:cs="Times New Roman"/>
                <w:color w:val="auto"/>
                <w:sz w:val="24"/>
                <w:highlight w:val="none"/>
              </w:rPr>
              <w:t xml:space="preserve">    </w:t>
            </w:r>
            <w:r>
              <w:rPr>
                <w:rFonts w:hint="eastAsia" w:ascii="宋体" w:hAnsi="宋体" w:eastAsia="宋体" w:cs="Times New Roman"/>
                <w:color w:val="auto"/>
                <w:sz w:val="24"/>
                <w:highlight w:val="none"/>
              </w:rPr>
              <w:t>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242" w:type="dxa"/>
          </w:tcPr>
          <w:p>
            <w:pPr>
              <w:keepNext w:val="0"/>
              <w:keepLines w:val="0"/>
              <w:suppressLineNumbers w:val="0"/>
              <w:spacing w:before="0" w:beforeAutospacing="0" w:after="0" w:afterAutospacing="0" w:line="360" w:lineRule="auto"/>
              <w:ind w:left="0" w:right="0"/>
              <w:rPr>
                <w:rFonts w:hint="default" w:ascii="宋体" w:hAnsi="宋体" w:eastAsia="宋体" w:cs="Times New Roman"/>
                <w:color w:val="auto"/>
                <w:highlight w:val="none"/>
              </w:rPr>
            </w:pPr>
          </w:p>
        </w:tc>
        <w:tc>
          <w:tcPr>
            <w:tcW w:w="7974" w:type="dxa"/>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242" w:type="dxa"/>
          </w:tcPr>
          <w:p>
            <w:pPr>
              <w:keepNext w:val="0"/>
              <w:keepLines w:val="0"/>
              <w:suppressLineNumbers w:val="0"/>
              <w:spacing w:before="0" w:beforeAutospacing="0" w:after="0" w:afterAutospacing="0" w:line="360" w:lineRule="auto"/>
              <w:ind w:left="0" w:right="0"/>
              <w:rPr>
                <w:rFonts w:hint="default" w:ascii="宋体" w:hAnsi="宋体" w:eastAsia="宋体" w:cs="Times New Roman"/>
                <w:color w:val="auto"/>
                <w:highlight w:val="none"/>
              </w:rPr>
            </w:pPr>
          </w:p>
        </w:tc>
        <w:tc>
          <w:tcPr>
            <w:tcW w:w="7974" w:type="dxa"/>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242" w:type="dxa"/>
          </w:tcPr>
          <w:p>
            <w:pPr>
              <w:keepNext w:val="0"/>
              <w:keepLines w:val="0"/>
              <w:suppressLineNumbers w:val="0"/>
              <w:spacing w:before="0" w:beforeAutospacing="0" w:after="0" w:afterAutospacing="0" w:line="360" w:lineRule="auto"/>
              <w:ind w:left="0" w:right="0"/>
              <w:rPr>
                <w:rFonts w:hint="default" w:ascii="宋体" w:hAnsi="宋体" w:eastAsia="宋体" w:cs="Times New Roman"/>
                <w:color w:val="auto"/>
                <w:highlight w:val="none"/>
              </w:rPr>
            </w:pPr>
          </w:p>
        </w:tc>
        <w:tc>
          <w:tcPr>
            <w:tcW w:w="7974" w:type="dxa"/>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242" w:type="dxa"/>
          </w:tcPr>
          <w:p>
            <w:pPr>
              <w:keepNext w:val="0"/>
              <w:keepLines w:val="0"/>
              <w:suppressLineNumbers w:val="0"/>
              <w:spacing w:before="0" w:beforeAutospacing="0" w:after="0" w:afterAutospacing="0" w:line="360" w:lineRule="auto"/>
              <w:ind w:left="0" w:right="0"/>
              <w:rPr>
                <w:rFonts w:hint="default" w:ascii="宋体" w:hAnsi="宋体" w:eastAsia="宋体" w:cs="Times New Roman"/>
                <w:color w:val="auto"/>
                <w:highlight w:val="none"/>
              </w:rPr>
            </w:pPr>
          </w:p>
        </w:tc>
        <w:tc>
          <w:tcPr>
            <w:tcW w:w="7974" w:type="dxa"/>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242" w:type="dxa"/>
          </w:tcPr>
          <w:p>
            <w:pPr>
              <w:keepNext w:val="0"/>
              <w:keepLines w:val="0"/>
              <w:suppressLineNumbers w:val="0"/>
              <w:spacing w:before="0" w:beforeAutospacing="0" w:after="0" w:afterAutospacing="0" w:line="360" w:lineRule="auto"/>
              <w:ind w:left="0" w:right="0"/>
              <w:rPr>
                <w:rFonts w:hint="default" w:ascii="宋体" w:hAnsi="宋体" w:eastAsia="宋体" w:cs="Times New Roman"/>
                <w:color w:val="auto"/>
                <w:highlight w:val="none"/>
              </w:rPr>
            </w:pPr>
          </w:p>
        </w:tc>
        <w:tc>
          <w:tcPr>
            <w:tcW w:w="7974" w:type="dxa"/>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242" w:type="dxa"/>
          </w:tcPr>
          <w:p>
            <w:pPr>
              <w:keepNext w:val="0"/>
              <w:keepLines w:val="0"/>
              <w:suppressLineNumbers w:val="0"/>
              <w:spacing w:before="0" w:beforeAutospacing="0" w:after="0" w:afterAutospacing="0" w:line="360" w:lineRule="auto"/>
              <w:ind w:left="0" w:right="0"/>
              <w:rPr>
                <w:rFonts w:hint="default" w:ascii="宋体" w:hAnsi="宋体" w:eastAsia="宋体" w:cs="Times New Roman"/>
                <w:color w:val="auto"/>
                <w:highlight w:val="none"/>
              </w:rPr>
            </w:pPr>
          </w:p>
        </w:tc>
        <w:tc>
          <w:tcPr>
            <w:tcW w:w="7974" w:type="dxa"/>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242" w:type="dxa"/>
          </w:tcPr>
          <w:p>
            <w:pPr>
              <w:keepNext w:val="0"/>
              <w:keepLines w:val="0"/>
              <w:suppressLineNumbers w:val="0"/>
              <w:spacing w:before="0" w:beforeAutospacing="0" w:after="0" w:afterAutospacing="0" w:line="360" w:lineRule="auto"/>
              <w:ind w:left="0" w:right="0"/>
              <w:rPr>
                <w:rFonts w:hint="default" w:ascii="宋体" w:hAnsi="宋体" w:eastAsia="宋体" w:cs="Times New Roman"/>
                <w:color w:val="auto"/>
                <w:highlight w:val="none"/>
              </w:rPr>
            </w:pPr>
          </w:p>
        </w:tc>
        <w:tc>
          <w:tcPr>
            <w:tcW w:w="7974" w:type="dxa"/>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242" w:type="dxa"/>
          </w:tcPr>
          <w:p>
            <w:pPr>
              <w:keepNext w:val="0"/>
              <w:keepLines w:val="0"/>
              <w:suppressLineNumbers w:val="0"/>
              <w:spacing w:before="0" w:beforeAutospacing="0" w:after="0" w:afterAutospacing="0" w:line="360" w:lineRule="auto"/>
              <w:ind w:left="0" w:right="0"/>
              <w:rPr>
                <w:rFonts w:hint="default" w:ascii="宋体" w:hAnsi="宋体" w:eastAsia="宋体" w:cs="Times New Roman"/>
                <w:color w:val="auto"/>
                <w:highlight w:val="none"/>
              </w:rPr>
            </w:pPr>
          </w:p>
        </w:tc>
        <w:tc>
          <w:tcPr>
            <w:tcW w:w="7974" w:type="dxa"/>
          </w:tcPr>
          <w:p>
            <w:pPr>
              <w:keepNext w:val="0"/>
              <w:keepLines w:val="0"/>
              <w:suppressLineNumbers w:val="0"/>
              <w:spacing w:before="0" w:beforeAutospacing="0" w:after="0" w:afterAutospacing="0" w:line="360" w:lineRule="auto"/>
              <w:ind w:left="0" w:right="0"/>
              <w:jc w:val="center"/>
              <w:rPr>
                <w:rFonts w:hint="default" w:ascii="宋体" w:hAnsi="宋体" w:eastAsia="宋体" w:cs="Times New Roman"/>
                <w:color w:val="auto"/>
                <w:highlight w:val="none"/>
              </w:rPr>
            </w:pPr>
          </w:p>
        </w:tc>
      </w:tr>
    </w:tbl>
    <w:p>
      <w:pPr>
        <w:spacing w:line="360" w:lineRule="auto"/>
        <w:rPr>
          <w:rFonts w:ascii="宋体" w:hAnsi="宋体" w:eastAsia="宋体" w:cs="Times New Roman"/>
          <w:color w:val="auto"/>
          <w:sz w:val="24"/>
          <w:highlight w:val="none"/>
        </w:rPr>
      </w:pPr>
    </w:p>
    <w:p>
      <w:pPr>
        <w:spacing w:line="360" w:lineRule="auto"/>
        <w:rPr>
          <w:rFonts w:hint="eastAsia" w:ascii="宋体" w:hAnsi="宋体" w:eastAsia="宋体" w:cs="Times New Roman"/>
          <w:color w:val="auto"/>
          <w:sz w:val="24"/>
          <w:highlight w:val="none"/>
        </w:rPr>
        <w:sectPr>
          <w:pgSz w:w="11906" w:h="16838"/>
          <w:pgMar w:top="1440" w:right="1466" w:bottom="1440" w:left="1440" w:header="851" w:footer="992" w:gutter="0"/>
          <w:pgBorders>
            <w:top w:val="none" w:sz="0" w:space="0"/>
            <w:left w:val="none" w:sz="0" w:space="0"/>
            <w:bottom w:val="none" w:sz="0" w:space="0"/>
            <w:right w:val="none" w:sz="0" w:space="0"/>
          </w:pgBorders>
          <w:cols w:space="720" w:num="1"/>
          <w:docGrid w:type="linesAndChars" w:linePitch="312" w:charSpace="0"/>
        </w:sectPr>
      </w:pPr>
      <w:r>
        <w:rPr>
          <w:rFonts w:hint="eastAsia" w:ascii="宋体" w:hAnsi="宋体" w:eastAsia="宋体" w:cs="Times New Roman"/>
          <w:color w:val="auto"/>
          <w:sz w:val="24"/>
          <w:highlight w:val="none"/>
          <w:lang w:val="en-US" w:eastAsia="zh-CN"/>
        </w:rPr>
        <w:t>定标专家</w:t>
      </w:r>
      <w:r>
        <w:rPr>
          <w:rFonts w:hint="eastAsia" w:ascii="宋体" w:hAnsi="宋体" w:eastAsia="宋体" w:cs="Times New Roman"/>
          <w:color w:val="auto"/>
          <w:sz w:val="24"/>
          <w:highlight w:val="none"/>
        </w:rPr>
        <w:t>签名：</w:t>
      </w:r>
      <w:r>
        <w:rPr>
          <w:rFonts w:ascii="宋体" w:hAnsi="宋体" w:eastAsia="宋体" w:cs="Times New Roman"/>
          <w:color w:val="auto"/>
          <w:sz w:val="24"/>
          <w:highlight w:val="none"/>
        </w:rPr>
        <w:t xml:space="preserve">                                </w:t>
      </w:r>
      <w:r>
        <w:rPr>
          <w:rFonts w:hint="eastAsia" w:ascii="宋体" w:hAnsi="宋体" w:eastAsia="宋体" w:cs="Times New Roman"/>
          <w:color w:val="auto"/>
          <w:sz w:val="24"/>
          <w:highlight w:val="none"/>
        </w:rPr>
        <w:t>日期：</w:t>
      </w:r>
      <w:r>
        <w:rPr>
          <w:rFonts w:ascii="宋体" w:hAnsi="宋体" w:eastAsia="宋体" w:cs="Times New Roman"/>
          <w:color w:val="auto"/>
          <w:sz w:val="24"/>
          <w:highlight w:val="none"/>
        </w:rPr>
        <w:t xml:space="preserve">       </w:t>
      </w:r>
      <w:r>
        <w:rPr>
          <w:rFonts w:hint="eastAsia" w:ascii="宋体" w:hAnsi="宋体" w:eastAsia="宋体" w:cs="Times New Roman"/>
          <w:color w:val="auto"/>
          <w:sz w:val="24"/>
          <w:highlight w:val="none"/>
        </w:rPr>
        <w:t>年</w:t>
      </w:r>
      <w:r>
        <w:rPr>
          <w:rFonts w:ascii="宋体" w:hAnsi="宋体" w:eastAsia="宋体" w:cs="Times New Roman"/>
          <w:color w:val="auto"/>
          <w:sz w:val="24"/>
          <w:highlight w:val="none"/>
        </w:rPr>
        <w:t xml:space="preserve">    </w:t>
      </w:r>
      <w:r>
        <w:rPr>
          <w:rFonts w:hint="eastAsia" w:ascii="宋体" w:hAnsi="宋体" w:eastAsia="宋体" w:cs="Times New Roman"/>
          <w:color w:val="auto"/>
          <w:sz w:val="24"/>
          <w:highlight w:val="none"/>
        </w:rPr>
        <w:t>月</w:t>
      </w:r>
      <w:r>
        <w:rPr>
          <w:rFonts w:ascii="宋体" w:hAnsi="宋体" w:eastAsia="宋体" w:cs="Times New Roman"/>
          <w:color w:val="auto"/>
          <w:sz w:val="24"/>
          <w:highlight w:val="none"/>
        </w:rPr>
        <w:t xml:space="preserve">    </w:t>
      </w:r>
      <w:r>
        <w:rPr>
          <w:rFonts w:hint="eastAsia" w:ascii="宋体" w:hAnsi="宋体" w:eastAsia="宋体" w:cs="Times New Roman"/>
          <w:color w:val="auto"/>
          <w:sz w:val="24"/>
          <w:highlight w:val="none"/>
        </w:rPr>
        <w:t>日</w:t>
      </w:r>
    </w:p>
    <w:p>
      <w:pPr>
        <w:outlineLvl w:val="1"/>
        <w:rPr>
          <w:rFonts w:ascii="Times New Roman" w:hAnsi="Times New Roman" w:eastAsia="宋体" w:cs="Times New Roman"/>
          <w:b w:val="0"/>
          <w:bCs/>
          <w:color w:val="auto"/>
          <w:kern w:val="44"/>
          <w:sz w:val="32"/>
          <w:szCs w:val="44"/>
          <w:highlight w:val="none"/>
          <w:lang w:val="en-US" w:eastAsia="zh-CN" w:bidi="ar-SA"/>
        </w:rPr>
      </w:pPr>
      <w:bookmarkStart w:id="77" w:name="_Toc18683"/>
      <w:r>
        <w:rPr>
          <w:rFonts w:hint="eastAsia" w:ascii="宋体" w:hAnsi="宋体" w:eastAsia="宋体" w:cs="Times New Roman"/>
          <w:b/>
          <w:bCs/>
          <w:color w:val="auto"/>
          <w:kern w:val="44"/>
          <w:sz w:val="21"/>
          <w:szCs w:val="21"/>
          <w:highlight w:val="none"/>
          <w:lang w:val="en-US" w:eastAsia="zh-CN" w:bidi="ar-SA"/>
        </w:rPr>
        <w:t>附录</w:t>
      </w:r>
      <w:r>
        <w:rPr>
          <w:rFonts w:ascii="宋体" w:hAnsi="宋体" w:eastAsia="宋体" w:cs="Times New Roman"/>
          <w:b/>
          <w:bCs/>
          <w:color w:val="auto"/>
          <w:kern w:val="44"/>
          <w:sz w:val="21"/>
          <w:szCs w:val="21"/>
          <w:highlight w:val="none"/>
          <w:lang w:val="en-US" w:eastAsia="zh-CN" w:bidi="ar-SA"/>
        </w:rPr>
        <w:t>16-</w:t>
      </w:r>
      <w:r>
        <w:rPr>
          <w:rFonts w:hint="eastAsia" w:ascii="宋体" w:hAnsi="宋体" w:eastAsia="宋体" w:cs="Times New Roman"/>
          <w:b/>
          <w:bCs/>
          <w:color w:val="auto"/>
          <w:kern w:val="44"/>
          <w:sz w:val="21"/>
          <w:szCs w:val="21"/>
          <w:highlight w:val="none"/>
          <w:lang w:val="en-US" w:eastAsia="zh-CN" w:bidi="ar-SA"/>
        </w:rPr>
        <w:t>1投票表格</w:t>
      </w:r>
      <w:bookmarkEnd w:id="77"/>
    </w:p>
    <w:p>
      <w:pPr>
        <w:widowControl/>
        <w:snapToGrid w:val="0"/>
        <w:spacing w:before="0" w:beforeAutospacing="0" w:after="0" w:afterAutospacing="0" w:line="360" w:lineRule="auto"/>
        <w:ind w:firstLine="649" w:firstLineChars="202"/>
        <w:jc w:val="center"/>
        <w:rPr>
          <w:rFonts w:ascii="宋体" w:hAnsi="宋体" w:eastAsia="宋体" w:cs="Times New Roman"/>
          <w:b/>
          <w:color w:val="auto"/>
          <w:kern w:val="0"/>
          <w:sz w:val="32"/>
          <w:szCs w:val="24"/>
          <w:highlight w:val="none"/>
          <w:lang w:val="en-US" w:eastAsia="zh-CN" w:bidi="ar-SA"/>
        </w:rPr>
      </w:pPr>
      <w:r>
        <w:rPr>
          <w:rFonts w:hint="eastAsia" w:ascii="宋体" w:hAnsi="宋体" w:eastAsia="宋体" w:cs="Times New Roman"/>
          <w:b/>
          <w:color w:val="auto"/>
          <w:kern w:val="0"/>
          <w:sz w:val="32"/>
          <w:szCs w:val="24"/>
          <w:highlight w:val="none"/>
          <w:u w:val="single"/>
          <w:lang w:val="en-US" w:eastAsia="zh-CN" w:bidi="ar-SA"/>
        </w:rPr>
        <w:t>确定优胜方案</w:t>
      </w:r>
      <w:r>
        <w:rPr>
          <w:rFonts w:hint="eastAsia" w:ascii="宋体" w:hAnsi="宋体" w:eastAsia="宋体" w:cs="Times New Roman"/>
          <w:b/>
          <w:color w:val="auto"/>
          <w:kern w:val="0"/>
          <w:sz w:val="32"/>
          <w:szCs w:val="24"/>
          <w:highlight w:val="none"/>
          <w:lang w:val="en-US" w:eastAsia="zh-CN" w:bidi="ar-SA"/>
        </w:rPr>
        <w:t>投票表格</w:t>
      </w:r>
    </w:p>
    <w:p>
      <w:pPr>
        <w:spacing w:line="360" w:lineRule="auto"/>
        <w:rPr>
          <w:rFonts w:ascii="宋体" w:hAnsi="宋体" w:eastAsia="宋体" w:cs="Times New Roman"/>
          <w:color w:val="auto"/>
          <w:sz w:val="24"/>
          <w:highlight w:val="none"/>
        </w:rPr>
      </w:pPr>
      <w:r>
        <w:rPr>
          <w:rFonts w:hint="eastAsia" w:ascii="宋体" w:hAnsi="宋体" w:eastAsia="宋体" w:cs="Times New Roman"/>
          <w:color w:val="auto"/>
          <w:sz w:val="24"/>
          <w:highlight w:val="none"/>
        </w:rPr>
        <w:t>项目名称：</w:t>
      </w:r>
      <w:r>
        <w:rPr>
          <w:rFonts w:ascii="宋体" w:hAnsi="宋体" w:eastAsia="宋体" w:cs="Times New Roman"/>
          <w:color w:val="auto"/>
          <w:sz w:val="24"/>
          <w:highlight w:val="none"/>
          <w:u w:val="single"/>
        </w:rPr>
        <w:t xml:space="preserve">                             </w:t>
      </w:r>
    </w:p>
    <w:tbl>
      <w:tblPr>
        <w:tblStyle w:val="11"/>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17"/>
        <w:gridCol w:w="918"/>
        <w:gridCol w:w="917"/>
        <w:gridCol w:w="918"/>
        <w:gridCol w:w="917"/>
        <w:gridCol w:w="918"/>
        <w:gridCol w:w="917"/>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88" w:type="dxa"/>
            <w:tcBorders>
              <w:top w:val="double" w:color="auto" w:sz="4" w:space="0"/>
              <w:left w:val="double" w:color="auto" w:sz="4" w:space="0"/>
              <w:bottom w:val="doub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4"/>
                <w:highlight w:val="none"/>
              </w:rPr>
            </w:pPr>
            <w:r>
              <w:rPr>
                <w:rFonts w:hint="eastAsia" w:ascii="宋体" w:hAnsi="宋体"/>
                <w:color w:val="auto"/>
                <w:sz w:val="24"/>
                <w:highlight w:val="none"/>
              </w:rPr>
              <w:t>第    轮</w:t>
            </w:r>
          </w:p>
        </w:tc>
        <w:tc>
          <w:tcPr>
            <w:tcW w:w="917" w:type="dxa"/>
            <w:tcBorders>
              <w:top w:val="double" w:color="auto" w:sz="4" w:space="0"/>
              <w:left w:val="single" w:color="auto" w:sz="4" w:space="0"/>
              <w:bottom w:val="double" w:color="auto" w:sz="4" w:space="0"/>
            </w:tcBorders>
            <w:noWrap w:val="0"/>
            <w:vAlign w:val="top"/>
          </w:tcPr>
          <w:p>
            <w:pPr>
              <w:keepNext w:val="0"/>
              <w:keepLines w:val="0"/>
              <w:suppressLineNumbers w:val="0"/>
              <w:spacing w:before="0" w:beforeAutospacing="0" w:after="0" w:afterAutospacing="0" w:line="360" w:lineRule="auto"/>
              <w:ind w:left="0" w:right="0"/>
              <w:rPr>
                <w:rFonts w:hint="default" w:ascii="宋体" w:hAnsi="宋体"/>
                <w:color w:val="auto"/>
                <w:sz w:val="24"/>
                <w:highlight w:val="none"/>
              </w:rPr>
            </w:pPr>
          </w:p>
        </w:tc>
        <w:tc>
          <w:tcPr>
            <w:tcW w:w="918" w:type="dxa"/>
            <w:tcBorders>
              <w:top w:val="double" w:color="auto" w:sz="4" w:space="0"/>
              <w:bottom w:val="double" w:color="auto" w:sz="4" w:space="0"/>
            </w:tcBorders>
            <w:noWrap w:val="0"/>
            <w:vAlign w:val="top"/>
          </w:tcPr>
          <w:p>
            <w:pPr>
              <w:keepNext w:val="0"/>
              <w:keepLines w:val="0"/>
              <w:suppressLineNumbers w:val="0"/>
              <w:spacing w:before="0" w:beforeAutospacing="0" w:after="0" w:afterAutospacing="0" w:line="360" w:lineRule="auto"/>
              <w:ind w:left="0" w:right="0"/>
              <w:rPr>
                <w:rFonts w:hint="default" w:ascii="宋体" w:hAnsi="宋体"/>
                <w:color w:val="auto"/>
                <w:sz w:val="24"/>
                <w:highlight w:val="none"/>
              </w:rPr>
            </w:pPr>
          </w:p>
        </w:tc>
        <w:tc>
          <w:tcPr>
            <w:tcW w:w="917" w:type="dxa"/>
            <w:tcBorders>
              <w:top w:val="double" w:color="auto" w:sz="4" w:space="0"/>
              <w:bottom w:val="double" w:color="auto" w:sz="4" w:space="0"/>
            </w:tcBorders>
            <w:noWrap w:val="0"/>
            <w:vAlign w:val="top"/>
          </w:tcPr>
          <w:p>
            <w:pPr>
              <w:keepNext w:val="0"/>
              <w:keepLines w:val="0"/>
              <w:suppressLineNumbers w:val="0"/>
              <w:spacing w:before="0" w:beforeAutospacing="0" w:after="0" w:afterAutospacing="0" w:line="360" w:lineRule="auto"/>
              <w:ind w:left="0" w:right="0"/>
              <w:rPr>
                <w:rFonts w:hint="default" w:ascii="宋体" w:hAnsi="宋体"/>
                <w:color w:val="auto"/>
                <w:sz w:val="24"/>
                <w:highlight w:val="none"/>
              </w:rPr>
            </w:pPr>
          </w:p>
        </w:tc>
        <w:tc>
          <w:tcPr>
            <w:tcW w:w="918" w:type="dxa"/>
            <w:tcBorders>
              <w:top w:val="double" w:color="auto" w:sz="4" w:space="0"/>
              <w:bottom w:val="double" w:color="auto" w:sz="4" w:space="0"/>
            </w:tcBorders>
            <w:noWrap w:val="0"/>
            <w:vAlign w:val="top"/>
          </w:tcPr>
          <w:p>
            <w:pPr>
              <w:keepNext w:val="0"/>
              <w:keepLines w:val="0"/>
              <w:suppressLineNumbers w:val="0"/>
              <w:spacing w:before="0" w:beforeAutospacing="0" w:after="0" w:afterAutospacing="0" w:line="360" w:lineRule="auto"/>
              <w:ind w:left="0" w:right="0"/>
              <w:rPr>
                <w:rFonts w:hint="default" w:ascii="宋体" w:hAnsi="宋体"/>
                <w:color w:val="auto"/>
                <w:sz w:val="24"/>
                <w:highlight w:val="none"/>
              </w:rPr>
            </w:pPr>
          </w:p>
        </w:tc>
        <w:tc>
          <w:tcPr>
            <w:tcW w:w="917" w:type="dxa"/>
            <w:tcBorders>
              <w:top w:val="double" w:color="auto" w:sz="4" w:space="0"/>
              <w:bottom w:val="double" w:color="auto" w:sz="4" w:space="0"/>
            </w:tcBorders>
            <w:noWrap w:val="0"/>
            <w:vAlign w:val="top"/>
          </w:tcPr>
          <w:p>
            <w:pPr>
              <w:keepNext w:val="0"/>
              <w:keepLines w:val="0"/>
              <w:suppressLineNumbers w:val="0"/>
              <w:spacing w:before="0" w:beforeAutospacing="0" w:after="0" w:afterAutospacing="0" w:line="360" w:lineRule="auto"/>
              <w:ind w:left="0" w:right="0"/>
              <w:rPr>
                <w:rFonts w:hint="default" w:ascii="宋体" w:hAnsi="宋体"/>
                <w:color w:val="auto"/>
                <w:sz w:val="24"/>
                <w:highlight w:val="none"/>
              </w:rPr>
            </w:pPr>
          </w:p>
        </w:tc>
        <w:tc>
          <w:tcPr>
            <w:tcW w:w="918" w:type="dxa"/>
            <w:tcBorders>
              <w:top w:val="double" w:color="auto" w:sz="4" w:space="0"/>
              <w:bottom w:val="double" w:color="auto" w:sz="4" w:space="0"/>
            </w:tcBorders>
            <w:noWrap w:val="0"/>
            <w:vAlign w:val="top"/>
          </w:tcPr>
          <w:p>
            <w:pPr>
              <w:keepNext w:val="0"/>
              <w:keepLines w:val="0"/>
              <w:suppressLineNumbers w:val="0"/>
              <w:spacing w:before="0" w:beforeAutospacing="0" w:after="0" w:afterAutospacing="0" w:line="360" w:lineRule="auto"/>
              <w:ind w:left="0" w:right="0"/>
              <w:rPr>
                <w:rFonts w:hint="default" w:ascii="宋体" w:hAnsi="宋体"/>
                <w:color w:val="auto"/>
                <w:sz w:val="24"/>
                <w:highlight w:val="none"/>
              </w:rPr>
            </w:pPr>
          </w:p>
        </w:tc>
        <w:tc>
          <w:tcPr>
            <w:tcW w:w="917" w:type="dxa"/>
            <w:tcBorders>
              <w:top w:val="double" w:color="auto" w:sz="4" w:space="0"/>
              <w:bottom w:val="double" w:color="auto" w:sz="4" w:space="0"/>
            </w:tcBorders>
            <w:noWrap w:val="0"/>
            <w:vAlign w:val="top"/>
          </w:tcPr>
          <w:p>
            <w:pPr>
              <w:keepNext w:val="0"/>
              <w:keepLines w:val="0"/>
              <w:suppressLineNumbers w:val="0"/>
              <w:spacing w:before="0" w:beforeAutospacing="0" w:after="0" w:afterAutospacing="0" w:line="360" w:lineRule="auto"/>
              <w:ind w:left="0" w:right="0"/>
              <w:rPr>
                <w:rFonts w:hint="default" w:ascii="宋体" w:hAnsi="宋体"/>
                <w:color w:val="auto"/>
                <w:sz w:val="24"/>
                <w:highlight w:val="none"/>
              </w:rPr>
            </w:pPr>
          </w:p>
        </w:tc>
        <w:tc>
          <w:tcPr>
            <w:tcW w:w="918" w:type="dxa"/>
            <w:tcBorders>
              <w:top w:val="double" w:color="auto" w:sz="4" w:space="0"/>
              <w:bottom w:val="double" w:color="auto" w:sz="4" w:space="0"/>
              <w:right w:val="double" w:color="auto" w:sz="4" w:space="0"/>
            </w:tcBorders>
            <w:noWrap w:val="0"/>
            <w:vAlign w:val="top"/>
          </w:tcPr>
          <w:p>
            <w:pPr>
              <w:keepNext w:val="0"/>
              <w:keepLines w:val="0"/>
              <w:suppressLineNumbers w:val="0"/>
              <w:spacing w:before="0" w:beforeAutospacing="0" w:after="0" w:afterAutospacing="0" w:line="360" w:lineRule="auto"/>
              <w:ind w:left="0" w:right="0"/>
              <w:rPr>
                <w:rFonts w:hint="default"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88" w:type="dxa"/>
            <w:tcBorders>
              <w:top w:val="double" w:color="auto" w:sz="4" w:space="0"/>
              <w:left w:val="double" w:color="auto" w:sz="4" w:space="0"/>
              <w:bottom w:val="doub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4"/>
                <w:highlight w:val="none"/>
              </w:rPr>
            </w:pPr>
            <w:r>
              <w:rPr>
                <w:rFonts w:hint="eastAsia" w:ascii="宋体" w:hAnsi="宋体"/>
                <w:color w:val="auto"/>
                <w:sz w:val="24"/>
                <w:highlight w:val="none"/>
              </w:rPr>
              <w:t>第    轮</w:t>
            </w:r>
          </w:p>
        </w:tc>
        <w:tc>
          <w:tcPr>
            <w:tcW w:w="1835" w:type="dxa"/>
            <w:gridSpan w:val="2"/>
            <w:tcBorders>
              <w:top w:val="double" w:color="auto" w:sz="4" w:space="0"/>
              <w:left w:val="single" w:color="auto" w:sz="4" w:space="0"/>
              <w:bottom w:val="double" w:color="auto" w:sz="4" w:space="0"/>
            </w:tcBorders>
            <w:noWrap w:val="0"/>
            <w:vAlign w:val="top"/>
          </w:tcPr>
          <w:p>
            <w:pPr>
              <w:keepNext w:val="0"/>
              <w:keepLines w:val="0"/>
              <w:suppressLineNumbers w:val="0"/>
              <w:spacing w:before="0" w:beforeAutospacing="0" w:after="0" w:afterAutospacing="0" w:line="360" w:lineRule="auto"/>
              <w:ind w:left="0" w:right="0"/>
              <w:rPr>
                <w:rFonts w:hint="default" w:ascii="宋体" w:hAnsi="宋体"/>
                <w:color w:val="auto"/>
                <w:sz w:val="24"/>
                <w:highlight w:val="none"/>
              </w:rPr>
            </w:pPr>
          </w:p>
        </w:tc>
        <w:tc>
          <w:tcPr>
            <w:tcW w:w="1835" w:type="dxa"/>
            <w:gridSpan w:val="2"/>
            <w:tcBorders>
              <w:top w:val="double" w:color="auto" w:sz="4" w:space="0"/>
              <w:bottom w:val="double" w:color="auto" w:sz="4" w:space="0"/>
            </w:tcBorders>
            <w:noWrap w:val="0"/>
            <w:vAlign w:val="top"/>
          </w:tcPr>
          <w:p>
            <w:pPr>
              <w:keepNext w:val="0"/>
              <w:keepLines w:val="0"/>
              <w:suppressLineNumbers w:val="0"/>
              <w:spacing w:before="0" w:beforeAutospacing="0" w:after="0" w:afterAutospacing="0" w:line="360" w:lineRule="auto"/>
              <w:ind w:left="0" w:right="0"/>
              <w:rPr>
                <w:rFonts w:hint="default" w:ascii="宋体" w:hAnsi="宋体"/>
                <w:color w:val="auto"/>
                <w:sz w:val="24"/>
                <w:highlight w:val="none"/>
              </w:rPr>
            </w:pPr>
          </w:p>
        </w:tc>
        <w:tc>
          <w:tcPr>
            <w:tcW w:w="1835" w:type="dxa"/>
            <w:gridSpan w:val="2"/>
            <w:tcBorders>
              <w:top w:val="double" w:color="auto" w:sz="4" w:space="0"/>
              <w:bottom w:val="double" w:color="auto" w:sz="4" w:space="0"/>
            </w:tcBorders>
            <w:noWrap w:val="0"/>
            <w:vAlign w:val="top"/>
          </w:tcPr>
          <w:p>
            <w:pPr>
              <w:keepNext w:val="0"/>
              <w:keepLines w:val="0"/>
              <w:suppressLineNumbers w:val="0"/>
              <w:spacing w:before="0" w:beforeAutospacing="0" w:after="0" w:afterAutospacing="0" w:line="360" w:lineRule="auto"/>
              <w:ind w:left="0" w:right="0"/>
              <w:rPr>
                <w:rFonts w:hint="default" w:ascii="宋体" w:hAnsi="宋体"/>
                <w:color w:val="auto"/>
                <w:sz w:val="24"/>
                <w:highlight w:val="none"/>
              </w:rPr>
            </w:pPr>
          </w:p>
        </w:tc>
        <w:tc>
          <w:tcPr>
            <w:tcW w:w="1835" w:type="dxa"/>
            <w:gridSpan w:val="2"/>
            <w:tcBorders>
              <w:top w:val="double" w:color="auto" w:sz="4" w:space="0"/>
              <w:bottom w:val="double" w:color="auto" w:sz="4" w:space="0"/>
              <w:right w:val="double" w:color="auto" w:sz="4" w:space="0"/>
            </w:tcBorders>
            <w:noWrap w:val="0"/>
            <w:vAlign w:val="top"/>
          </w:tcPr>
          <w:p>
            <w:pPr>
              <w:keepNext w:val="0"/>
              <w:keepLines w:val="0"/>
              <w:suppressLineNumbers w:val="0"/>
              <w:spacing w:before="0" w:beforeAutospacing="0" w:after="0" w:afterAutospacing="0" w:line="360" w:lineRule="auto"/>
              <w:ind w:left="0" w:right="0"/>
              <w:rPr>
                <w:rFonts w:hint="default"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88" w:type="dxa"/>
            <w:tcBorders>
              <w:top w:val="double" w:color="auto" w:sz="4" w:space="0"/>
              <w:left w:val="double" w:color="auto" w:sz="4" w:space="0"/>
              <w:bottom w:val="doub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4"/>
                <w:highlight w:val="none"/>
              </w:rPr>
            </w:pPr>
            <w:r>
              <w:rPr>
                <w:rFonts w:hint="eastAsia" w:ascii="宋体" w:hAnsi="宋体"/>
                <w:color w:val="auto"/>
                <w:sz w:val="24"/>
                <w:highlight w:val="none"/>
              </w:rPr>
              <w:t>第    轮</w:t>
            </w:r>
          </w:p>
        </w:tc>
        <w:tc>
          <w:tcPr>
            <w:tcW w:w="3670" w:type="dxa"/>
            <w:gridSpan w:val="4"/>
            <w:tcBorders>
              <w:top w:val="double" w:color="auto" w:sz="4" w:space="0"/>
              <w:left w:val="single" w:color="auto" w:sz="4" w:space="0"/>
              <w:bottom w:val="double" w:color="auto" w:sz="4" w:space="0"/>
            </w:tcBorders>
            <w:noWrap w:val="0"/>
            <w:vAlign w:val="top"/>
          </w:tcPr>
          <w:p>
            <w:pPr>
              <w:keepNext w:val="0"/>
              <w:keepLines w:val="0"/>
              <w:suppressLineNumbers w:val="0"/>
              <w:spacing w:before="0" w:beforeAutospacing="0" w:after="0" w:afterAutospacing="0" w:line="360" w:lineRule="auto"/>
              <w:ind w:left="0" w:right="0"/>
              <w:rPr>
                <w:rFonts w:hint="default" w:ascii="宋体" w:hAnsi="宋体"/>
                <w:color w:val="auto"/>
                <w:sz w:val="24"/>
                <w:highlight w:val="none"/>
              </w:rPr>
            </w:pPr>
          </w:p>
        </w:tc>
        <w:tc>
          <w:tcPr>
            <w:tcW w:w="3670" w:type="dxa"/>
            <w:gridSpan w:val="4"/>
            <w:tcBorders>
              <w:top w:val="double" w:color="auto" w:sz="4" w:space="0"/>
              <w:bottom w:val="double" w:color="auto" w:sz="4" w:space="0"/>
              <w:right w:val="double" w:color="auto" w:sz="4" w:space="0"/>
            </w:tcBorders>
            <w:noWrap w:val="0"/>
            <w:vAlign w:val="top"/>
          </w:tcPr>
          <w:p>
            <w:pPr>
              <w:keepNext w:val="0"/>
              <w:keepLines w:val="0"/>
              <w:suppressLineNumbers w:val="0"/>
              <w:spacing w:before="0" w:beforeAutospacing="0" w:after="0" w:afterAutospacing="0" w:line="360" w:lineRule="auto"/>
              <w:ind w:left="0" w:right="0"/>
              <w:rPr>
                <w:rFonts w:hint="default"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88" w:type="dxa"/>
            <w:tcBorders>
              <w:top w:val="double" w:color="auto" w:sz="4" w:space="0"/>
              <w:left w:val="double" w:color="auto" w:sz="4" w:space="0"/>
              <w:bottom w:val="doub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olor w:val="auto"/>
                <w:sz w:val="24"/>
                <w:highlight w:val="none"/>
              </w:rPr>
            </w:pPr>
            <w:r>
              <w:rPr>
                <w:rFonts w:hint="eastAsia" w:ascii="宋体" w:hAnsi="宋体"/>
                <w:color w:val="auto"/>
                <w:sz w:val="24"/>
                <w:highlight w:val="none"/>
              </w:rPr>
              <w:t>第    轮</w:t>
            </w:r>
          </w:p>
        </w:tc>
        <w:tc>
          <w:tcPr>
            <w:tcW w:w="7340" w:type="dxa"/>
            <w:gridSpan w:val="8"/>
            <w:tcBorders>
              <w:top w:val="double" w:color="auto" w:sz="4" w:space="0"/>
              <w:left w:val="single" w:color="auto" w:sz="4" w:space="0"/>
              <w:bottom w:val="double" w:color="auto" w:sz="4" w:space="0"/>
              <w:right w:val="double" w:color="auto" w:sz="4" w:space="0"/>
            </w:tcBorders>
            <w:noWrap w:val="0"/>
            <w:vAlign w:val="top"/>
          </w:tcPr>
          <w:p>
            <w:pPr>
              <w:keepNext w:val="0"/>
              <w:keepLines w:val="0"/>
              <w:suppressLineNumbers w:val="0"/>
              <w:spacing w:before="0" w:beforeAutospacing="0" w:after="0" w:afterAutospacing="0" w:line="360" w:lineRule="auto"/>
              <w:ind w:left="0" w:right="0"/>
              <w:rPr>
                <w:rFonts w:hint="default" w:ascii="宋体" w:hAnsi="宋体"/>
                <w:color w:val="auto"/>
                <w:sz w:val="24"/>
                <w:highlight w:val="none"/>
              </w:rPr>
            </w:pPr>
          </w:p>
        </w:tc>
      </w:tr>
    </w:tbl>
    <w:p>
      <w:pPr>
        <w:keepNext w:val="0"/>
        <w:keepLines w:val="0"/>
        <w:widowControl/>
        <w:suppressLineNumbers w:val="0"/>
        <w:spacing w:before="0" w:beforeAutospacing="0" w:after="0" w:afterAutospacing="0" w:line="360" w:lineRule="auto"/>
        <w:ind w:left="0" w:right="0"/>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sz w:val="24"/>
          <w:highlight w:val="none"/>
        </w:rPr>
        <w:t>正式投票规则：以上表格用于正式投票，从上到下每轮投票限使用一行空格，每个空格限填一个单位名称，同一行的空格内的单位名称不得重复。每轮投票允许选择的总数即下一轮候选总数，</w:t>
      </w:r>
      <w:r>
        <w:rPr>
          <w:rFonts w:hint="eastAsia" w:ascii="宋体" w:hAnsi="宋体" w:eastAsia="宋体" w:cs="Arial"/>
          <w:color w:val="auto"/>
          <w:sz w:val="24"/>
          <w:highlight w:val="none"/>
        </w:rPr>
        <w:t>以得票多的投标单位当选为</w:t>
      </w:r>
      <w:r>
        <w:rPr>
          <w:rFonts w:hint="eastAsia" w:ascii="宋体" w:hAnsi="宋体" w:eastAsia="宋体" w:cs="Times New Roman"/>
          <w:color w:val="auto"/>
          <w:sz w:val="24"/>
          <w:highlight w:val="none"/>
        </w:rPr>
        <w:t>下一轮投票的候选投标单位</w:t>
      </w:r>
      <w:r>
        <w:rPr>
          <w:rFonts w:hint="eastAsia" w:ascii="宋体" w:hAnsi="宋体" w:eastAsia="宋体" w:cs="Arial"/>
          <w:color w:val="auto"/>
          <w:sz w:val="24"/>
          <w:highlight w:val="none"/>
        </w:rPr>
        <w:t>。</w:t>
      </w:r>
      <w:r>
        <w:rPr>
          <w:rFonts w:hint="eastAsia" w:ascii="宋体" w:hAnsi="宋体" w:eastAsia="宋体" w:cs="Times New Roman"/>
          <w:color w:val="auto"/>
          <w:sz w:val="24"/>
          <w:highlight w:val="none"/>
        </w:rPr>
        <w:t>不能进入下一轮的投标单位，根据本轮得票数量确定名次。</w:t>
      </w:r>
      <w:r>
        <w:rPr>
          <w:rFonts w:hint="eastAsia" w:ascii="宋体" w:hAnsi="宋体" w:eastAsia="宋体" w:cs="Arial"/>
          <w:color w:val="auto"/>
          <w:sz w:val="24"/>
          <w:highlight w:val="none"/>
        </w:rPr>
        <w:t>遇票数相等不能确定入选下一轮的投标单位时，</w:t>
      </w:r>
      <w:r>
        <w:rPr>
          <w:rFonts w:hint="eastAsia" w:ascii="宋体" w:hAnsi="宋体" w:eastAsia="宋体" w:cs="Times New Roman"/>
          <w:color w:val="auto"/>
          <w:sz w:val="24"/>
          <w:highlight w:val="none"/>
        </w:rPr>
        <w:t>应进行附加投票，以确定名次。每轮正式投票允许选择</w:t>
      </w:r>
      <w:r>
        <w:rPr>
          <w:rFonts w:hint="eastAsia" w:ascii="宋体" w:hAnsi="宋体" w:eastAsia="宋体" w:cs="Arial"/>
          <w:color w:val="auto"/>
          <w:sz w:val="24"/>
          <w:highlight w:val="none"/>
        </w:rPr>
        <w:t>投标单位</w:t>
      </w:r>
      <w:r>
        <w:rPr>
          <w:rFonts w:hint="eastAsia" w:ascii="宋体" w:hAnsi="宋体" w:eastAsia="宋体" w:cs="Times New Roman"/>
          <w:color w:val="auto"/>
          <w:sz w:val="24"/>
          <w:highlight w:val="none"/>
        </w:rPr>
        <w:t>总数如下：</w:t>
      </w:r>
    </w:p>
    <w:tbl>
      <w:tblPr>
        <w:tblStyle w:val="11"/>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303"/>
        <w:gridCol w:w="2011"/>
        <w:gridCol w:w="2011"/>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Pr>
        <w:tc>
          <w:tcPr>
            <w:tcW w:w="230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default" w:ascii="宋体" w:hAnsi="宋体" w:eastAsia="宋体" w:cs="Times New Roman"/>
                <w:color w:val="auto"/>
                <w:kern w:val="2"/>
                <w:sz w:val="24"/>
                <w:szCs w:val="24"/>
                <w:highlight w:val="none"/>
              </w:rPr>
            </w:pPr>
          </w:p>
        </w:tc>
        <w:tc>
          <w:tcPr>
            <w:tcW w:w="6217"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每轮正式投票允许选择总数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Pr>
        <w:tc>
          <w:tcPr>
            <w:tcW w:w="230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default"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投标人数</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3至4</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5至8</w:t>
            </w:r>
          </w:p>
        </w:tc>
        <w:tc>
          <w:tcPr>
            <w:tcW w:w="21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9人或以上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Pr>
        <w:tc>
          <w:tcPr>
            <w:tcW w:w="230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default"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第1轮</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w:t>
            </w:r>
          </w:p>
        </w:tc>
        <w:tc>
          <w:tcPr>
            <w:tcW w:w="21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Pr>
        <w:tc>
          <w:tcPr>
            <w:tcW w:w="230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default"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第2轮</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p>
        </w:tc>
        <w:tc>
          <w:tcPr>
            <w:tcW w:w="21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0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default"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第3轮</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w:t>
            </w:r>
          </w:p>
        </w:tc>
        <w:tc>
          <w:tcPr>
            <w:tcW w:w="21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0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default"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第4轮</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rPr>
            </w:pPr>
          </w:p>
        </w:tc>
        <w:tc>
          <w:tcPr>
            <w:tcW w:w="21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w:t>
            </w:r>
          </w:p>
        </w:tc>
      </w:tr>
    </w:tbl>
    <w:p>
      <w:pPr>
        <w:spacing w:line="360" w:lineRule="auto"/>
        <w:ind w:firstLine="480"/>
        <w:rPr>
          <w:rFonts w:ascii="宋体" w:hAnsi="宋体" w:eastAsia="宋体" w:cs="Times New Roman"/>
          <w:color w:val="auto"/>
          <w:sz w:val="24"/>
          <w:highlight w:val="none"/>
        </w:rPr>
      </w:pPr>
      <w:r>
        <w:rPr>
          <w:rFonts w:ascii="宋体" w:hAnsi="宋体" w:eastAsia="宋体" w:cs="Times New Roman"/>
          <w:color w:val="auto"/>
          <w:sz w:val="24"/>
          <w:highlight w:val="none"/>
        </w:rPr>
        <w:t>(1)投票结束后，点票人员对投票人数、票数和每票应选方案总数加以核对和统计，作废的选票不得统计，并向定标委员会报告。</w:t>
      </w:r>
    </w:p>
    <w:p>
      <w:pPr>
        <w:spacing w:line="360" w:lineRule="auto"/>
        <w:ind w:firstLine="480"/>
        <w:rPr>
          <w:rFonts w:ascii="宋体" w:hAnsi="宋体" w:eastAsia="宋体" w:cs="Times New Roman"/>
          <w:color w:val="auto"/>
          <w:sz w:val="24"/>
          <w:highlight w:val="none"/>
        </w:rPr>
      </w:pPr>
      <w:r>
        <w:rPr>
          <w:rFonts w:ascii="宋体" w:hAnsi="宋体" w:eastAsia="宋体" w:cs="Times New Roman"/>
          <w:color w:val="auto"/>
          <w:sz w:val="24"/>
          <w:highlight w:val="none"/>
        </w:rPr>
        <w:t>(2)定标委员会成员应当独立投票，自投票开始至最终排名统计结果公布期间，任何人不得非法干预、影响投票过程，不得透露、协商、改变投票结果，不得使用通信联络工具。</w:t>
      </w:r>
    </w:p>
    <w:p>
      <w:pPr>
        <w:spacing w:line="360" w:lineRule="auto"/>
        <w:rPr>
          <w:rFonts w:ascii="宋体" w:hAnsi="宋体" w:eastAsia="宋体" w:cs="Times New Roman"/>
          <w:color w:val="auto"/>
          <w:sz w:val="24"/>
          <w:highlight w:val="none"/>
        </w:rPr>
      </w:pPr>
      <w:r>
        <w:rPr>
          <w:rFonts w:hint="eastAsia" w:ascii="宋体" w:hAnsi="宋体" w:eastAsia="宋体" w:cs="Times New Roman"/>
          <w:color w:val="auto"/>
          <w:sz w:val="24"/>
          <w:highlight w:val="none"/>
        </w:rPr>
        <w:t>签名：</w:t>
      </w:r>
      <w:r>
        <w:rPr>
          <w:rFonts w:ascii="宋体" w:hAnsi="宋体" w:eastAsia="宋体" w:cs="Times New Roman"/>
          <w:color w:val="auto"/>
          <w:sz w:val="24"/>
          <w:highlight w:val="none"/>
        </w:rPr>
        <w:t xml:space="preserve">                              </w:t>
      </w:r>
      <w:r>
        <w:rPr>
          <w:rFonts w:hint="eastAsia" w:ascii="宋体" w:hAnsi="宋体" w:eastAsia="宋体" w:cs="Times New Roman"/>
          <w:color w:val="auto"/>
          <w:sz w:val="24"/>
          <w:highlight w:val="none"/>
        </w:rPr>
        <w:t>日期：</w:t>
      </w:r>
      <w:r>
        <w:rPr>
          <w:rFonts w:ascii="宋体" w:hAnsi="宋体" w:eastAsia="宋体" w:cs="Times New Roman"/>
          <w:color w:val="auto"/>
          <w:sz w:val="24"/>
          <w:highlight w:val="none"/>
        </w:rPr>
        <w:t xml:space="preserve">     </w:t>
      </w:r>
      <w:r>
        <w:rPr>
          <w:rFonts w:hint="eastAsia" w:ascii="宋体" w:hAnsi="宋体" w:eastAsia="宋体" w:cs="Times New Roman"/>
          <w:color w:val="auto"/>
          <w:sz w:val="24"/>
          <w:highlight w:val="none"/>
        </w:rPr>
        <w:t>年</w:t>
      </w:r>
      <w:r>
        <w:rPr>
          <w:rFonts w:ascii="宋体" w:hAnsi="宋体" w:eastAsia="宋体" w:cs="Times New Roman"/>
          <w:color w:val="auto"/>
          <w:sz w:val="24"/>
          <w:highlight w:val="none"/>
        </w:rPr>
        <w:t xml:space="preserve">    </w:t>
      </w:r>
      <w:r>
        <w:rPr>
          <w:rFonts w:hint="eastAsia" w:ascii="宋体" w:hAnsi="宋体" w:eastAsia="宋体" w:cs="Times New Roman"/>
          <w:color w:val="auto"/>
          <w:sz w:val="24"/>
          <w:highlight w:val="none"/>
        </w:rPr>
        <w:t>月</w:t>
      </w:r>
      <w:r>
        <w:rPr>
          <w:rFonts w:ascii="宋体" w:hAnsi="宋体" w:eastAsia="宋体" w:cs="Times New Roman"/>
          <w:color w:val="auto"/>
          <w:sz w:val="24"/>
          <w:highlight w:val="none"/>
        </w:rPr>
        <w:t xml:space="preserve">    </w:t>
      </w:r>
      <w:r>
        <w:rPr>
          <w:rFonts w:hint="eastAsia" w:ascii="宋体" w:hAnsi="宋体" w:eastAsia="宋体" w:cs="Times New Roman"/>
          <w:color w:val="auto"/>
          <w:sz w:val="24"/>
          <w:highlight w:val="none"/>
        </w:rPr>
        <w:t>日</w:t>
      </w:r>
    </w:p>
    <w:p>
      <w:pPr>
        <w:widowControl/>
        <w:jc w:val="left"/>
        <w:rPr>
          <w:rFonts w:ascii="Calibri" w:hAnsi="Calibri" w:eastAsia="宋体" w:cs="Times New Roman"/>
          <w:color w:val="auto"/>
          <w:highlight w:val="none"/>
        </w:rPr>
      </w:pPr>
      <w:r>
        <w:rPr>
          <w:rFonts w:ascii="Calibri" w:hAnsi="Calibri" w:eastAsia="宋体" w:cs="Times New Roman"/>
          <w:color w:val="auto"/>
          <w:highlight w:val="none"/>
        </w:rPr>
        <w:br w:type="page"/>
      </w:r>
    </w:p>
    <w:p>
      <w:pPr>
        <w:outlineLvl w:val="1"/>
        <w:rPr>
          <w:rFonts w:ascii="宋体" w:hAnsi="宋体" w:eastAsia="宋体" w:cs="Times New Roman"/>
          <w:b/>
          <w:bCs/>
          <w:color w:val="auto"/>
          <w:kern w:val="44"/>
          <w:sz w:val="21"/>
          <w:szCs w:val="21"/>
          <w:highlight w:val="none"/>
          <w:lang w:val="en-US" w:eastAsia="zh-CN" w:bidi="ar-SA"/>
        </w:rPr>
      </w:pPr>
      <w:bookmarkStart w:id="78" w:name="_Toc32388"/>
      <w:r>
        <w:rPr>
          <w:rFonts w:hint="eastAsia" w:ascii="宋体" w:hAnsi="宋体" w:eastAsia="宋体" w:cs="Times New Roman"/>
          <w:b/>
          <w:bCs/>
          <w:color w:val="auto"/>
          <w:kern w:val="44"/>
          <w:sz w:val="21"/>
          <w:szCs w:val="21"/>
          <w:highlight w:val="none"/>
          <w:lang w:val="en-US" w:eastAsia="zh-CN" w:bidi="ar-SA"/>
        </w:rPr>
        <w:t>附录</w:t>
      </w:r>
      <w:r>
        <w:rPr>
          <w:rFonts w:ascii="宋体" w:hAnsi="宋体" w:eastAsia="宋体" w:cs="Times New Roman"/>
          <w:b/>
          <w:bCs/>
          <w:color w:val="auto"/>
          <w:kern w:val="44"/>
          <w:sz w:val="21"/>
          <w:szCs w:val="21"/>
          <w:highlight w:val="none"/>
          <w:lang w:val="en-US" w:eastAsia="zh-CN" w:bidi="ar-SA"/>
        </w:rPr>
        <w:t>16-</w:t>
      </w:r>
      <w:r>
        <w:rPr>
          <w:rFonts w:hint="eastAsia" w:ascii="宋体" w:hAnsi="宋体" w:eastAsia="宋体" w:cs="Times New Roman"/>
          <w:b/>
          <w:bCs/>
          <w:color w:val="auto"/>
          <w:kern w:val="44"/>
          <w:sz w:val="21"/>
          <w:szCs w:val="21"/>
          <w:highlight w:val="none"/>
          <w:lang w:val="en-US" w:eastAsia="zh-CN" w:bidi="ar-SA"/>
        </w:rPr>
        <w:t>2</w:t>
      </w:r>
      <w:r>
        <w:rPr>
          <w:rFonts w:ascii="宋体" w:hAnsi="宋体" w:eastAsia="宋体" w:cs="Times New Roman"/>
          <w:b/>
          <w:bCs/>
          <w:color w:val="auto"/>
          <w:kern w:val="44"/>
          <w:sz w:val="21"/>
          <w:szCs w:val="21"/>
          <w:highlight w:val="none"/>
          <w:lang w:val="en-US" w:eastAsia="zh-CN" w:bidi="ar-SA"/>
        </w:rPr>
        <w:t xml:space="preserve"> </w:t>
      </w:r>
      <w:r>
        <w:rPr>
          <w:rFonts w:hint="eastAsia" w:ascii="宋体" w:hAnsi="宋体" w:eastAsia="宋体" w:cs="Times New Roman"/>
          <w:b/>
          <w:bCs/>
          <w:color w:val="auto"/>
          <w:kern w:val="44"/>
          <w:sz w:val="21"/>
          <w:szCs w:val="21"/>
          <w:highlight w:val="none"/>
          <w:lang w:val="en-US" w:eastAsia="zh-CN" w:bidi="ar-SA"/>
        </w:rPr>
        <w:t>定标评语</w:t>
      </w:r>
      <w:bookmarkEnd w:id="78"/>
    </w:p>
    <w:p>
      <w:pPr>
        <w:spacing w:before="400"/>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定标评语</w:t>
      </w:r>
    </w:p>
    <w:p>
      <w:pPr>
        <w:spacing w:before="240"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项目名称：</w:t>
      </w:r>
      <w:r>
        <w:rPr>
          <w:rFonts w:ascii="宋体" w:hAnsi="宋体" w:eastAsia="宋体" w:cs="Times New Roman"/>
          <w:color w:val="auto"/>
          <w:szCs w:val="21"/>
          <w:highlight w:val="none"/>
          <w:u w:val="single"/>
        </w:rPr>
        <w:t xml:space="preserve">                             </w:t>
      </w:r>
    </w:p>
    <w:tbl>
      <w:tblPr>
        <w:tblStyle w:val="11"/>
        <w:tblW w:w="8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6"/>
        <w:gridCol w:w="2304"/>
        <w:gridCol w:w="1523"/>
        <w:gridCol w:w="3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1646" w:type="dxa"/>
            <w:tcBorders>
              <w:top w:val="single" w:color="auto" w:sz="4" w:space="0"/>
              <w:left w:val="single" w:color="auto" w:sz="4" w:space="0"/>
              <w:bottom w:val="single" w:color="auto" w:sz="4" w:space="0"/>
              <w:right w:val="single" w:color="auto" w:sz="4" w:space="0"/>
              <w:tl2br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highlight w:val="none"/>
              </w:rPr>
            </w:pPr>
            <w:r>
              <w:rPr>
                <w:rFonts w:hint="default" w:ascii="宋体" w:hAnsi="宋体" w:eastAsia="宋体" w:cs="Times New Roman"/>
                <w:color w:val="auto"/>
                <w:szCs w:val="21"/>
                <w:highlight w:val="none"/>
              </w:rPr>
              <w:t xml:space="preserve">       项目</w:t>
            </w:r>
          </w:p>
          <w:p>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方案编号</w:t>
            </w:r>
          </w:p>
        </w:tc>
        <w:tc>
          <w:tcPr>
            <w:tcW w:w="23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合格中标候选人名称</w:t>
            </w:r>
          </w:p>
        </w:tc>
        <w:tc>
          <w:tcPr>
            <w:tcW w:w="49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eastAsia="宋体" w:cs="Times New Roman"/>
                <w:strike w:val="0"/>
                <w:color w:val="auto"/>
                <w:szCs w:val="21"/>
                <w:highlight w:val="none"/>
              </w:rPr>
            </w:pPr>
            <w:r>
              <w:rPr>
                <w:rFonts w:hint="eastAsia" w:ascii="宋体" w:hAnsi="宋体" w:eastAsia="宋体" w:cs="Times New Roman"/>
                <w:strike w:val="0"/>
                <w:color w:val="auto"/>
                <w:szCs w:val="21"/>
                <w:highlight w:val="none"/>
              </w:rPr>
              <w:t>评语（针对价格因素、</w:t>
            </w:r>
            <w:r>
              <w:rPr>
                <w:rFonts w:hint="eastAsia" w:ascii="Calibri" w:hAnsi="Calibri" w:eastAsia="宋体" w:cs="Times New Roman"/>
                <w:strike w:val="0"/>
                <w:color w:val="auto"/>
                <w:highlight w:val="none"/>
              </w:rPr>
              <w:t>方案因素、团队因素、业绩因素</w:t>
            </w:r>
            <w:r>
              <w:rPr>
                <w:rFonts w:hint="eastAsia" w:ascii="Calibri" w:hAnsi="Calibri" w:eastAsia="宋体" w:cs="Times New Roman"/>
                <w:strike w:val="0"/>
                <w:color w:val="auto"/>
                <w:highlight w:val="none"/>
                <w:lang w:eastAsia="zh-CN"/>
              </w:rPr>
              <w:t>、</w:t>
            </w:r>
            <w:r>
              <w:rPr>
                <w:rFonts w:hint="eastAsia" w:ascii="Calibri" w:hAnsi="Calibri" w:eastAsia="宋体" w:cs="Times New Roman"/>
                <w:strike w:val="0"/>
                <w:color w:val="auto"/>
                <w:highlight w:val="none"/>
                <w:lang w:val="en-US" w:eastAsia="zh-CN"/>
              </w:rPr>
              <w:t>答辩因素</w:t>
            </w:r>
            <w:r>
              <w:rPr>
                <w:rFonts w:hint="eastAsia" w:ascii="Calibri" w:hAnsi="Calibri" w:eastAsia="宋体" w:cs="Times New Roman"/>
                <w:strike w:val="0"/>
                <w:color w:val="auto"/>
                <w:highlight w:val="none"/>
              </w:rPr>
              <w:t>撰写评语</w:t>
            </w:r>
            <w:r>
              <w:rPr>
                <w:rFonts w:hint="eastAsia" w:ascii="宋体" w:hAnsi="宋体" w:eastAsia="宋体" w:cs="Times New Roman"/>
                <w:strike w:val="0"/>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1646"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highlight w:val="none"/>
              </w:rPr>
            </w:pPr>
          </w:p>
        </w:tc>
        <w:tc>
          <w:tcPr>
            <w:tcW w:w="2304"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highlight w:val="none"/>
              </w:rPr>
            </w:pP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Calibri" w:hAnsi="Calibri" w:eastAsia="宋体" w:cs="Times New Roman"/>
                <w:strike w:val="0"/>
                <w:color w:val="auto"/>
                <w:highlight w:val="none"/>
              </w:rPr>
            </w:pPr>
            <w:r>
              <w:rPr>
                <w:rFonts w:hint="eastAsia" w:ascii="Calibri" w:hAnsi="Calibri" w:eastAsia="宋体" w:cs="Times New Roman"/>
                <w:strike w:val="0"/>
                <w:color w:val="auto"/>
                <w:highlight w:val="none"/>
              </w:rPr>
              <w:t>价格因素</w:t>
            </w:r>
          </w:p>
        </w:tc>
        <w:tc>
          <w:tcPr>
            <w:tcW w:w="34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Calibri" w:hAnsi="Calibri" w:eastAsia="宋体" w:cs="Times New Roman"/>
                <w:strike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1646"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highlight w:val="none"/>
              </w:rPr>
            </w:pPr>
          </w:p>
        </w:tc>
        <w:tc>
          <w:tcPr>
            <w:tcW w:w="2304"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highlight w:val="none"/>
              </w:rPr>
            </w:pP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Calibri" w:hAnsi="Calibri" w:eastAsia="宋体" w:cs="Times New Roman"/>
                <w:strike w:val="0"/>
                <w:color w:val="auto"/>
                <w:highlight w:val="none"/>
              </w:rPr>
            </w:pPr>
            <w:r>
              <w:rPr>
                <w:rFonts w:hint="eastAsia" w:ascii="Calibri" w:hAnsi="Calibri" w:eastAsia="宋体" w:cs="Times New Roman"/>
                <w:strike w:val="0"/>
                <w:color w:val="auto"/>
                <w:highlight w:val="none"/>
              </w:rPr>
              <w:t>方案因素</w:t>
            </w:r>
          </w:p>
        </w:tc>
        <w:tc>
          <w:tcPr>
            <w:tcW w:w="34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Calibri" w:hAnsi="Calibri" w:eastAsia="宋体" w:cs="Times New Roman"/>
                <w:strike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646"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Times New Roman"/>
                <w:color w:val="auto"/>
                <w:szCs w:val="21"/>
                <w:highlight w:val="none"/>
              </w:rPr>
            </w:pPr>
          </w:p>
        </w:tc>
        <w:tc>
          <w:tcPr>
            <w:tcW w:w="2304"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Times New Roman"/>
                <w:color w:val="auto"/>
                <w:szCs w:val="21"/>
                <w:highlight w:val="none"/>
              </w:rPr>
            </w:pP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Calibri" w:hAnsi="Calibri" w:eastAsia="宋体" w:cs="Times New Roman"/>
                <w:strike w:val="0"/>
                <w:color w:val="auto"/>
                <w:highlight w:val="none"/>
              </w:rPr>
            </w:pPr>
            <w:r>
              <w:rPr>
                <w:rFonts w:hint="eastAsia" w:ascii="Calibri" w:hAnsi="Calibri" w:eastAsia="宋体" w:cs="Times New Roman"/>
                <w:strike w:val="0"/>
                <w:color w:val="auto"/>
                <w:highlight w:val="none"/>
              </w:rPr>
              <w:t>业绩因素</w:t>
            </w:r>
          </w:p>
        </w:tc>
        <w:tc>
          <w:tcPr>
            <w:tcW w:w="34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Calibri" w:hAnsi="Calibri" w:eastAsia="宋体" w:cs="Times New Roman"/>
                <w:strike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646"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Times New Roman"/>
                <w:color w:val="auto"/>
                <w:szCs w:val="21"/>
                <w:highlight w:val="none"/>
              </w:rPr>
            </w:pPr>
          </w:p>
        </w:tc>
        <w:tc>
          <w:tcPr>
            <w:tcW w:w="2304"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Times New Roman"/>
                <w:color w:val="auto"/>
                <w:szCs w:val="21"/>
                <w:highlight w:val="none"/>
              </w:rPr>
            </w:pP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Calibri" w:hAnsi="Calibri" w:eastAsia="宋体" w:cs="Times New Roman"/>
                <w:strike w:val="0"/>
                <w:color w:val="auto"/>
                <w:highlight w:val="none"/>
              </w:rPr>
            </w:pPr>
            <w:r>
              <w:rPr>
                <w:rFonts w:hint="eastAsia" w:ascii="Calibri" w:hAnsi="Calibri" w:eastAsia="宋体" w:cs="Times New Roman"/>
                <w:strike w:val="0"/>
                <w:color w:val="auto"/>
                <w:highlight w:val="none"/>
              </w:rPr>
              <w:t>团队因素</w:t>
            </w:r>
          </w:p>
        </w:tc>
        <w:tc>
          <w:tcPr>
            <w:tcW w:w="34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Calibri" w:hAnsi="Calibri" w:eastAsia="宋体" w:cs="Times New Roman"/>
                <w:strike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646"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Times New Roman"/>
                <w:color w:val="auto"/>
                <w:szCs w:val="21"/>
                <w:highlight w:val="none"/>
              </w:rPr>
            </w:pPr>
          </w:p>
        </w:tc>
        <w:tc>
          <w:tcPr>
            <w:tcW w:w="2304"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Times New Roman"/>
                <w:color w:val="auto"/>
                <w:szCs w:val="21"/>
                <w:highlight w:val="none"/>
              </w:rPr>
            </w:pP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Calibri" w:hAnsi="Calibri" w:eastAsia="宋体" w:cs="Times New Roman"/>
                <w:strike w:val="0"/>
                <w:color w:val="auto"/>
                <w:highlight w:val="none"/>
              </w:rPr>
            </w:pPr>
            <w:bookmarkStart w:id="79" w:name="OLE_LINK14"/>
            <w:r>
              <w:rPr>
                <w:rFonts w:hint="eastAsia" w:ascii="Calibri" w:hAnsi="Calibri" w:eastAsia="宋体" w:cs="Times New Roman"/>
                <w:strike w:val="0"/>
                <w:color w:val="auto"/>
                <w:highlight w:val="none"/>
                <w:lang w:val="en-US" w:eastAsia="zh-CN"/>
              </w:rPr>
              <w:t>答辩</w:t>
            </w:r>
            <w:r>
              <w:rPr>
                <w:rFonts w:hint="eastAsia" w:ascii="Calibri" w:hAnsi="Calibri" w:eastAsia="宋体" w:cs="Times New Roman"/>
                <w:strike w:val="0"/>
                <w:color w:val="auto"/>
                <w:highlight w:val="none"/>
              </w:rPr>
              <w:t>因素</w:t>
            </w:r>
            <w:bookmarkEnd w:id="79"/>
          </w:p>
        </w:tc>
        <w:tc>
          <w:tcPr>
            <w:tcW w:w="34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Calibri" w:hAnsi="Calibri" w:eastAsia="宋体" w:cs="Times New Roman"/>
                <w:strike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646"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Times New Roman"/>
                <w:color w:val="auto"/>
                <w:szCs w:val="21"/>
                <w:highlight w:val="none"/>
              </w:rPr>
            </w:pPr>
          </w:p>
        </w:tc>
        <w:tc>
          <w:tcPr>
            <w:tcW w:w="2304"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Times New Roman"/>
                <w:color w:val="auto"/>
                <w:szCs w:val="21"/>
                <w:highlight w:val="none"/>
              </w:rPr>
            </w:pP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rPr>
                <w:rFonts w:hint="default" w:ascii="Calibri" w:hAnsi="Calibri" w:eastAsia="宋体" w:cs="Times New Roman"/>
                <w:strike w:val="0"/>
                <w:color w:val="auto"/>
                <w:highlight w:val="none"/>
              </w:rPr>
            </w:pPr>
            <w:r>
              <w:rPr>
                <w:rFonts w:hint="eastAsia" w:ascii="Calibri" w:hAnsi="Calibri" w:eastAsia="宋体" w:cs="Times New Roman"/>
                <w:strike w:val="0"/>
                <w:color w:val="auto"/>
                <w:highlight w:val="none"/>
              </w:rPr>
              <w:t>价格因素</w:t>
            </w:r>
          </w:p>
        </w:tc>
        <w:tc>
          <w:tcPr>
            <w:tcW w:w="34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Calibri" w:hAnsi="Calibri" w:eastAsia="宋体" w:cs="Times New Roman"/>
                <w:strike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646"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Times New Roman"/>
                <w:color w:val="auto"/>
                <w:szCs w:val="21"/>
                <w:highlight w:val="none"/>
              </w:rPr>
            </w:pPr>
          </w:p>
        </w:tc>
        <w:tc>
          <w:tcPr>
            <w:tcW w:w="2304"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Times New Roman"/>
                <w:color w:val="auto"/>
                <w:szCs w:val="21"/>
                <w:highlight w:val="none"/>
              </w:rPr>
            </w:pP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rPr>
                <w:rFonts w:hint="default" w:ascii="Calibri" w:hAnsi="Calibri" w:eastAsia="宋体" w:cs="Times New Roman"/>
                <w:strike w:val="0"/>
                <w:color w:val="auto"/>
                <w:highlight w:val="none"/>
              </w:rPr>
            </w:pPr>
            <w:r>
              <w:rPr>
                <w:rFonts w:hint="eastAsia" w:ascii="Calibri" w:hAnsi="Calibri" w:eastAsia="宋体" w:cs="Times New Roman"/>
                <w:strike w:val="0"/>
                <w:color w:val="auto"/>
                <w:highlight w:val="none"/>
              </w:rPr>
              <w:t>方案因素</w:t>
            </w:r>
          </w:p>
        </w:tc>
        <w:tc>
          <w:tcPr>
            <w:tcW w:w="34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Calibri" w:hAnsi="Calibri" w:eastAsia="宋体" w:cs="Times New Roman"/>
                <w:strike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646"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Times New Roman"/>
                <w:color w:val="auto"/>
                <w:szCs w:val="21"/>
                <w:highlight w:val="none"/>
              </w:rPr>
            </w:pPr>
          </w:p>
        </w:tc>
        <w:tc>
          <w:tcPr>
            <w:tcW w:w="2304"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Times New Roman"/>
                <w:color w:val="auto"/>
                <w:szCs w:val="21"/>
                <w:highlight w:val="none"/>
              </w:rPr>
            </w:pP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rPr>
                <w:rFonts w:hint="default" w:ascii="Calibri" w:hAnsi="Calibri" w:eastAsia="宋体" w:cs="Times New Roman"/>
                <w:strike w:val="0"/>
                <w:color w:val="auto"/>
                <w:highlight w:val="none"/>
              </w:rPr>
            </w:pPr>
            <w:r>
              <w:rPr>
                <w:rFonts w:hint="eastAsia" w:ascii="Calibri" w:hAnsi="Calibri" w:eastAsia="宋体" w:cs="Times New Roman"/>
                <w:strike w:val="0"/>
                <w:color w:val="auto"/>
                <w:highlight w:val="none"/>
              </w:rPr>
              <w:t>业绩因素</w:t>
            </w:r>
          </w:p>
        </w:tc>
        <w:tc>
          <w:tcPr>
            <w:tcW w:w="34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Calibri" w:hAnsi="Calibri" w:eastAsia="宋体" w:cs="Times New Roman"/>
                <w:strike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646"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Times New Roman"/>
                <w:color w:val="auto"/>
                <w:szCs w:val="21"/>
                <w:highlight w:val="none"/>
              </w:rPr>
            </w:pPr>
          </w:p>
        </w:tc>
        <w:tc>
          <w:tcPr>
            <w:tcW w:w="2304"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Times New Roman"/>
                <w:color w:val="auto"/>
                <w:szCs w:val="21"/>
                <w:highlight w:val="none"/>
              </w:rPr>
            </w:pP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rPr>
                <w:rFonts w:hint="default" w:ascii="Calibri" w:hAnsi="Calibri" w:eastAsia="宋体" w:cs="Times New Roman"/>
                <w:strike w:val="0"/>
                <w:color w:val="auto"/>
                <w:highlight w:val="none"/>
              </w:rPr>
            </w:pPr>
            <w:r>
              <w:rPr>
                <w:rFonts w:hint="eastAsia" w:ascii="Calibri" w:hAnsi="Calibri" w:eastAsia="宋体" w:cs="Times New Roman"/>
                <w:strike w:val="0"/>
                <w:color w:val="auto"/>
                <w:highlight w:val="none"/>
              </w:rPr>
              <w:t>团队因素</w:t>
            </w:r>
          </w:p>
        </w:tc>
        <w:tc>
          <w:tcPr>
            <w:tcW w:w="34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Calibri" w:hAnsi="Calibri" w:eastAsia="宋体" w:cs="Times New Roman"/>
                <w:strike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646"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Times New Roman"/>
                <w:color w:val="auto"/>
                <w:szCs w:val="21"/>
                <w:highlight w:val="none"/>
              </w:rPr>
            </w:pPr>
          </w:p>
        </w:tc>
        <w:tc>
          <w:tcPr>
            <w:tcW w:w="2304"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Times New Roman"/>
                <w:color w:val="auto"/>
                <w:szCs w:val="21"/>
                <w:highlight w:val="none"/>
              </w:rPr>
            </w:pP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rightChars="0"/>
              <w:rPr>
                <w:rFonts w:hint="default" w:ascii="Calibri" w:hAnsi="Calibri" w:eastAsia="宋体" w:cs="Times New Roman"/>
                <w:strike w:val="0"/>
                <w:color w:val="auto"/>
                <w:highlight w:val="none"/>
              </w:rPr>
            </w:pPr>
            <w:r>
              <w:rPr>
                <w:rFonts w:hint="eastAsia" w:ascii="Calibri" w:hAnsi="Calibri" w:eastAsia="宋体" w:cs="Times New Roman"/>
                <w:strike w:val="0"/>
                <w:color w:val="auto"/>
                <w:highlight w:val="none"/>
                <w:lang w:val="en-US" w:eastAsia="zh-CN"/>
              </w:rPr>
              <w:t>答辩</w:t>
            </w:r>
            <w:r>
              <w:rPr>
                <w:rFonts w:hint="eastAsia" w:ascii="Calibri" w:hAnsi="Calibri" w:eastAsia="宋体" w:cs="Times New Roman"/>
                <w:strike w:val="0"/>
                <w:color w:val="auto"/>
                <w:highlight w:val="none"/>
              </w:rPr>
              <w:t>因素</w:t>
            </w:r>
          </w:p>
        </w:tc>
        <w:tc>
          <w:tcPr>
            <w:tcW w:w="34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Calibri" w:hAnsi="Calibri" w:eastAsia="宋体" w:cs="Times New Roman"/>
                <w:strike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646" w:type="dxa"/>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c>
          <w:tcPr>
            <w:tcW w:w="2304" w:type="dxa"/>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Times New Roman"/>
                <w:color w:val="auto"/>
                <w:szCs w:val="21"/>
                <w:highlight w:val="none"/>
              </w:rPr>
            </w:pP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Calibri" w:hAnsi="Calibri" w:eastAsia="宋体" w:cs="Times New Roman"/>
                <w:color w:val="auto"/>
                <w:highlight w:val="none"/>
              </w:rPr>
            </w:pPr>
            <w:r>
              <w:rPr>
                <w:rFonts w:hint="eastAsia" w:ascii="Calibri" w:hAnsi="Calibri" w:eastAsia="宋体" w:cs="Times New Roman"/>
                <w:color w:val="auto"/>
                <w:highlight w:val="none"/>
              </w:rPr>
              <w:t>……</w:t>
            </w:r>
          </w:p>
        </w:tc>
        <w:tc>
          <w:tcPr>
            <w:tcW w:w="34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Calibri" w:hAnsi="Calibri" w:eastAsia="宋体" w:cs="Times New Roman"/>
                <w:color w:val="auto"/>
                <w:highlight w:val="none"/>
              </w:rPr>
            </w:pPr>
          </w:p>
        </w:tc>
      </w:tr>
    </w:tbl>
    <w:p>
      <w:pPr>
        <w:spacing w:line="360" w:lineRule="auto"/>
        <w:ind w:firstLine="420" w:firstLineChars="200"/>
        <w:rPr>
          <w:rFonts w:ascii="宋体" w:hAnsi="宋体" w:eastAsia="宋体" w:cs="Times New Roman"/>
          <w:color w:val="auto"/>
          <w:highlight w:val="none"/>
        </w:rPr>
      </w:pPr>
      <w:r>
        <w:rPr>
          <w:rFonts w:ascii="宋体" w:hAnsi="宋体" w:eastAsia="宋体" w:cs="Times New Roman"/>
          <w:color w:val="auto"/>
          <w:szCs w:val="21"/>
          <w:highlight w:val="none"/>
        </w:rPr>
        <w:t xml:space="preserve"> </w:t>
      </w:r>
    </w:p>
    <w:p>
      <w:pPr>
        <w:spacing w:line="360" w:lineRule="auto"/>
        <w:rPr>
          <w:rFonts w:ascii="宋体" w:hAnsi="宋体" w:eastAsia="宋体" w:cs="Times New Roman"/>
          <w:color w:val="auto"/>
          <w:szCs w:val="21"/>
          <w:highlight w:val="none"/>
        </w:rPr>
      </w:pPr>
    </w:p>
    <w:p>
      <w:pPr>
        <w:widowControl/>
        <w:snapToGrid w:val="0"/>
        <w:spacing w:before="0" w:beforeAutospacing="0" w:after="0" w:afterAutospacing="0" w:line="360" w:lineRule="auto"/>
        <w:jc w:val="left"/>
        <w:rPr>
          <w:rFonts w:ascii="宋体" w:hAnsi="宋体" w:eastAsia="宋体" w:cs="Times New Roman"/>
          <w:color w:val="auto"/>
          <w:kern w:val="0"/>
          <w:sz w:val="24"/>
          <w:szCs w:val="21"/>
          <w:highlight w:val="none"/>
          <w:lang w:val="en-US" w:eastAsia="zh-CN" w:bidi="ar-SA"/>
        </w:rPr>
      </w:pPr>
      <w:r>
        <w:rPr>
          <w:rFonts w:hint="eastAsia" w:ascii="宋体" w:hAnsi="宋体" w:eastAsia="宋体" w:cs="Times New Roman"/>
          <w:color w:val="auto"/>
          <w:kern w:val="0"/>
          <w:sz w:val="24"/>
          <w:szCs w:val="21"/>
          <w:highlight w:val="none"/>
          <w:lang w:val="en-US" w:eastAsia="zh-CN" w:bidi="ar-SA"/>
        </w:rPr>
        <w:t>签名：</w:t>
      </w:r>
      <w:r>
        <w:rPr>
          <w:rFonts w:ascii="宋体" w:hAnsi="宋体" w:eastAsia="宋体" w:cs="Times New Roman"/>
          <w:color w:val="auto"/>
          <w:kern w:val="0"/>
          <w:sz w:val="24"/>
          <w:szCs w:val="21"/>
          <w:highlight w:val="none"/>
          <w:lang w:val="en-US" w:eastAsia="zh-CN" w:bidi="ar-SA"/>
        </w:rPr>
        <w:t xml:space="preserve">                                 </w:t>
      </w:r>
      <w:r>
        <w:rPr>
          <w:rFonts w:hint="eastAsia" w:ascii="宋体" w:hAnsi="宋体" w:eastAsia="宋体" w:cs="Times New Roman"/>
          <w:color w:val="auto"/>
          <w:kern w:val="0"/>
          <w:sz w:val="24"/>
          <w:szCs w:val="21"/>
          <w:highlight w:val="none"/>
          <w:lang w:val="en-US" w:eastAsia="zh-CN" w:bidi="ar-SA"/>
        </w:rPr>
        <w:t>日期：</w:t>
      </w:r>
      <w:r>
        <w:rPr>
          <w:rFonts w:ascii="宋体" w:hAnsi="宋体" w:eastAsia="宋体" w:cs="Times New Roman"/>
          <w:color w:val="auto"/>
          <w:kern w:val="0"/>
          <w:sz w:val="24"/>
          <w:szCs w:val="21"/>
          <w:highlight w:val="none"/>
          <w:lang w:val="en-US" w:eastAsia="zh-CN" w:bidi="ar-SA"/>
        </w:rPr>
        <w:t xml:space="preserve">     </w:t>
      </w:r>
      <w:r>
        <w:rPr>
          <w:rFonts w:hint="eastAsia" w:ascii="宋体" w:hAnsi="宋体" w:eastAsia="宋体" w:cs="Times New Roman"/>
          <w:color w:val="auto"/>
          <w:kern w:val="0"/>
          <w:sz w:val="24"/>
          <w:szCs w:val="21"/>
          <w:highlight w:val="none"/>
          <w:lang w:val="en-US" w:eastAsia="zh-CN" w:bidi="ar-SA"/>
        </w:rPr>
        <w:t>年</w:t>
      </w:r>
      <w:r>
        <w:rPr>
          <w:rFonts w:ascii="宋体" w:hAnsi="宋体" w:eastAsia="宋体" w:cs="Times New Roman"/>
          <w:color w:val="auto"/>
          <w:kern w:val="0"/>
          <w:sz w:val="24"/>
          <w:szCs w:val="21"/>
          <w:highlight w:val="none"/>
          <w:lang w:val="en-US" w:eastAsia="zh-CN" w:bidi="ar-SA"/>
        </w:rPr>
        <w:t xml:space="preserve">    </w:t>
      </w:r>
      <w:r>
        <w:rPr>
          <w:rFonts w:hint="eastAsia" w:ascii="宋体" w:hAnsi="宋体" w:eastAsia="宋体" w:cs="Times New Roman"/>
          <w:color w:val="auto"/>
          <w:kern w:val="0"/>
          <w:sz w:val="24"/>
          <w:szCs w:val="21"/>
          <w:highlight w:val="none"/>
          <w:lang w:val="en-US" w:eastAsia="zh-CN" w:bidi="ar-SA"/>
        </w:rPr>
        <w:t>月</w:t>
      </w:r>
      <w:r>
        <w:rPr>
          <w:rFonts w:ascii="宋体" w:hAnsi="宋体" w:eastAsia="宋体" w:cs="Times New Roman"/>
          <w:color w:val="auto"/>
          <w:kern w:val="0"/>
          <w:sz w:val="24"/>
          <w:szCs w:val="21"/>
          <w:highlight w:val="none"/>
          <w:lang w:val="en-US" w:eastAsia="zh-CN" w:bidi="ar-SA"/>
        </w:rPr>
        <w:t xml:space="preserve">    </w:t>
      </w:r>
      <w:r>
        <w:rPr>
          <w:rFonts w:hint="eastAsia" w:ascii="宋体" w:hAnsi="宋体" w:eastAsia="宋体" w:cs="Times New Roman"/>
          <w:color w:val="auto"/>
          <w:kern w:val="0"/>
          <w:sz w:val="24"/>
          <w:szCs w:val="21"/>
          <w:highlight w:val="none"/>
          <w:lang w:val="en-US" w:eastAsia="zh-CN" w:bidi="ar-SA"/>
        </w:rPr>
        <w:t>日</w:t>
      </w:r>
    </w:p>
    <w:p>
      <w:pPr>
        <w:widowControl/>
        <w:snapToGrid w:val="0"/>
        <w:spacing w:before="0" w:beforeAutospacing="0" w:after="0" w:afterAutospacing="0" w:line="360" w:lineRule="auto"/>
        <w:jc w:val="left"/>
        <w:rPr>
          <w:rFonts w:ascii="宋体" w:hAnsi="宋体" w:eastAsia="宋体" w:cs="Times New Roman"/>
          <w:color w:val="auto"/>
          <w:kern w:val="0"/>
          <w:sz w:val="24"/>
          <w:szCs w:val="21"/>
          <w:highlight w:val="none"/>
          <w:lang w:val="en-US" w:eastAsia="zh-CN" w:bidi="ar-SA"/>
        </w:rPr>
      </w:pPr>
    </w:p>
    <w:p>
      <w:pPr>
        <w:widowControl/>
        <w:jc w:val="left"/>
        <w:rPr>
          <w:rFonts w:ascii="宋体" w:hAnsi="宋体" w:eastAsia="宋体" w:cs="Times New Roman"/>
          <w:b/>
          <w:color w:val="auto"/>
          <w:kern w:val="0"/>
          <w:szCs w:val="21"/>
          <w:highlight w:val="none"/>
          <w:shd w:val="clear" w:color="auto" w:fill="FFFFFF"/>
        </w:rPr>
      </w:pPr>
      <w:r>
        <w:rPr>
          <w:rFonts w:ascii="Calibri" w:hAnsi="Calibri" w:eastAsia="宋体" w:cs="Times New Roman"/>
          <w:b/>
          <w:color w:val="auto"/>
          <w:szCs w:val="21"/>
          <w:highlight w:val="none"/>
          <w:shd w:val="clear" w:color="auto" w:fill="FFFFFF"/>
        </w:rPr>
        <w:br w:type="page"/>
      </w:r>
    </w:p>
    <w:p>
      <w:pPr>
        <w:outlineLvl w:val="1"/>
        <w:rPr>
          <w:rFonts w:ascii="Times New Roman" w:hAnsi="Times New Roman" w:eastAsia="宋体" w:cs="Times New Roman"/>
          <w:b w:val="0"/>
          <w:bCs/>
          <w:color w:val="auto"/>
          <w:kern w:val="44"/>
          <w:sz w:val="32"/>
          <w:szCs w:val="44"/>
          <w:highlight w:val="none"/>
          <w:lang w:val="en-US" w:eastAsia="zh-CN" w:bidi="ar-SA"/>
        </w:rPr>
      </w:pPr>
      <w:bookmarkStart w:id="80" w:name="_Toc21643"/>
      <w:r>
        <w:rPr>
          <w:rFonts w:hint="eastAsia" w:ascii="宋体" w:hAnsi="宋体" w:eastAsia="宋体" w:cs="Times New Roman"/>
          <w:b/>
          <w:bCs/>
          <w:color w:val="auto"/>
          <w:kern w:val="44"/>
          <w:sz w:val="21"/>
          <w:szCs w:val="21"/>
          <w:highlight w:val="none"/>
          <w:lang w:val="en-US" w:eastAsia="zh-CN" w:bidi="ar-SA"/>
        </w:rPr>
        <w:t>附录</w:t>
      </w:r>
      <w:r>
        <w:rPr>
          <w:rFonts w:ascii="宋体" w:hAnsi="宋体" w:eastAsia="宋体" w:cs="Times New Roman"/>
          <w:b/>
          <w:bCs/>
          <w:color w:val="auto"/>
          <w:kern w:val="44"/>
          <w:sz w:val="21"/>
          <w:szCs w:val="21"/>
          <w:highlight w:val="none"/>
          <w:lang w:val="en-US" w:eastAsia="zh-CN" w:bidi="ar-SA"/>
        </w:rPr>
        <w:t>16-</w:t>
      </w:r>
      <w:r>
        <w:rPr>
          <w:rFonts w:hint="eastAsia" w:ascii="宋体" w:hAnsi="宋体" w:eastAsia="宋体" w:cs="Times New Roman"/>
          <w:b/>
          <w:bCs/>
          <w:color w:val="auto"/>
          <w:kern w:val="44"/>
          <w:sz w:val="21"/>
          <w:szCs w:val="21"/>
          <w:highlight w:val="none"/>
          <w:lang w:val="en-US" w:eastAsia="zh-CN" w:bidi="ar-SA"/>
        </w:rPr>
        <w:t>3</w:t>
      </w:r>
      <w:r>
        <w:rPr>
          <w:rFonts w:ascii="宋体" w:hAnsi="宋体" w:eastAsia="宋体" w:cs="Times New Roman"/>
          <w:b/>
          <w:bCs/>
          <w:color w:val="auto"/>
          <w:kern w:val="44"/>
          <w:sz w:val="21"/>
          <w:szCs w:val="21"/>
          <w:highlight w:val="none"/>
          <w:lang w:val="en-US" w:eastAsia="zh-CN" w:bidi="ar-SA"/>
        </w:rPr>
        <w:t xml:space="preserve"> </w:t>
      </w:r>
      <w:r>
        <w:rPr>
          <w:rFonts w:hint="eastAsia" w:ascii="宋体" w:hAnsi="宋体" w:eastAsia="宋体" w:cs="Times New Roman"/>
          <w:b/>
          <w:bCs/>
          <w:color w:val="auto"/>
          <w:kern w:val="44"/>
          <w:sz w:val="21"/>
          <w:szCs w:val="21"/>
          <w:highlight w:val="none"/>
          <w:lang w:val="en-US" w:eastAsia="zh-CN" w:bidi="ar-SA"/>
        </w:rPr>
        <w:t>投票表格</w:t>
      </w:r>
      <w:bookmarkEnd w:id="80"/>
    </w:p>
    <w:p>
      <w:pPr>
        <w:keepNext w:val="0"/>
        <w:keepLines w:val="0"/>
        <w:widowControl/>
        <w:suppressLineNumbers w:val="0"/>
        <w:snapToGrid w:val="0"/>
        <w:spacing w:before="0" w:beforeAutospacing="0" w:after="0" w:afterAutospacing="0" w:line="360" w:lineRule="auto"/>
        <w:ind w:left="0" w:right="0" w:firstLine="649" w:firstLineChars="202"/>
        <w:jc w:val="center"/>
        <w:rPr>
          <w:rFonts w:hint="eastAsia" w:ascii="宋体" w:hAnsi="宋体" w:eastAsia="宋体" w:cs="Times New Roman"/>
          <w:b/>
          <w:color w:val="auto"/>
          <w:kern w:val="0"/>
          <w:sz w:val="32"/>
          <w:szCs w:val="32"/>
          <w:highlight w:val="none"/>
        </w:rPr>
      </w:pPr>
      <w:r>
        <w:rPr>
          <w:rFonts w:hint="eastAsia" w:ascii="宋体" w:hAnsi="宋体" w:eastAsia="宋体" w:cs="宋体"/>
          <w:b/>
          <w:color w:val="auto"/>
          <w:kern w:val="0"/>
          <w:sz w:val="32"/>
          <w:szCs w:val="32"/>
          <w:highlight w:val="none"/>
          <w:u w:val="single"/>
          <w:lang w:val="en-US" w:eastAsia="zh-CN" w:bidi="ar"/>
        </w:rPr>
        <w:t>确定中标人</w:t>
      </w:r>
      <w:r>
        <w:rPr>
          <w:rFonts w:hint="eastAsia" w:ascii="宋体" w:hAnsi="宋体" w:eastAsia="宋体" w:cs="宋体"/>
          <w:b/>
          <w:color w:val="auto"/>
          <w:kern w:val="0"/>
          <w:sz w:val="32"/>
          <w:szCs w:val="32"/>
          <w:highlight w:val="none"/>
          <w:lang w:val="en-US" w:eastAsia="zh-CN" w:bidi="ar"/>
        </w:rPr>
        <w:t>投票表格</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项目名称：</w:t>
      </w:r>
      <w:r>
        <w:rPr>
          <w:rFonts w:hint="eastAsia" w:ascii="宋体" w:hAnsi="宋体" w:eastAsia="宋体" w:cs="Times New Roman"/>
          <w:color w:val="auto"/>
          <w:kern w:val="2"/>
          <w:sz w:val="24"/>
          <w:szCs w:val="24"/>
          <w:highlight w:val="none"/>
          <w:u w:val="single"/>
          <w:lang w:val="en-US" w:eastAsia="zh-CN" w:bidi="ar"/>
        </w:rPr>
        <w:t xml:space="preserve">                             </w:t>
      </w:r>
    </w:p>
    <w:tbl>
      <w:tblPr>
        <w:tblStyle w:val="11"/>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88"/>
        <w:gridCol w:w="917"/>
        <w:gridCol w:w="918"/>
        <w:gridCol w:w="917"/>
        <w:gridCol w:w="918"/>
        <w:gridCol w:w="917"/>
        <w:gridCol w:w="918"/>
        <w:gridCol w:w="917"/>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cantSplit/>
          <w:trHeight w:val="614" w:hRule="atLeast"/>
          <w:jc w:val="center"/>
        </w:trPr>
        <w:tc>
          <w:tcPr>
            <w:tcW w:w="1188" w:type="dxa"/>
            <w:tcBorders>
              <w:top w:val="double" w:color="auto" w:sz="2" w:space="0"/>
              <w:left w:val="double" w:color="auto" w:sz="2" w:space="0"/>
              <w:bottom w:val="double" w:color="auto" w:sz="2"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第    轮</w:t>
            </w:r>
          </w:p>
        </w:tc>
        <w:tc>
          <w:tcPr>
            <w:tcW w:w="917" w:type="dxa"/>
            <w:tcBorders>
              <w:top w:val="double" w:color="auto" w:sz="2" w:space="0"/>
              <w:left w:val="nil"/>
              <w:bottom w:val="double" w:color="auto" w:sz="2"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2"/>
                <w:sz w:val="24"/>
                <w:szCs w:val="24"/>
                <w:highlight w:val="none"/>
              </w:rPr>
            </w:pPr>
          </w:p>
        </w:tc>
        <w:tc>
          <w:tcPr>
            <w:tcW w:w="918" w:type="dxa"/>
            <w:tcBorders>
              <w:top w:val="double" w:color="auto" w:sz="2" w:space="0"/>
              <w:left w:val="nil"/>
              <w:bottom w:val="double" w:color="auto" w:sz="2"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2"/>
                <w:sz w:val="24"/>
                <w:szCs w:val="24"/>
                <w:highlight w:val="none"/>
              </w:rPr>
            </w:pPr>
          </w:p>
        </w:tc>
        <w:tc>
          <w:tcPr>
            <w:tcW w:w="917" w:type="dxa"/>
            <w:tcBorders>
              <w:top w:val="double" w:color="auto" w:sz="2" w:space="0"/>
              <w:left w:val="nil"/>
              <w:bottom w:val="double" w:color="auto" w:sz="2"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2"/>
                <w:sz w:val="24"/>
                <w:szCs w:val="24"/>
                <w:highlight w:val="none"/>
              </w:rPr>
            </w:pPr>
          </w:p>
        </w:tc>
        <w:tc>
          <w:tcPr>
            <w:tcW w:w="918" w:type="dxa"/>
            <w:tcBorders>
              <w:top w:val="double" w:color="auto" w:sz="2" w:space="0"/>
              <w:left w:val="nil"/>
              <w:bottom w:val="double" w:color="auto" w:sz="2"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2"/>
                <w:sz w:val="24"/>
                <w:szCs w:val="24"/>
                <w:highlight w:val="none"/>
              </w:rPr>
            </w:pPr>
          </w:p>
        </w:tc>
        <w:tc>
          <w:tcPr>
            <w:tcW w:w="917" w:type="dxa"/>
            <w:tcBorders>
              <w:top w:val="double" w:color="auto" w:sz="2" w:space="0"/>
              <w:left w:val="nil"/>
              <w:bottom w:val="double" w:color="auto" w:sz="2"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2"/>
                <w:sz w:val="24"/>
                <w:szCs w:val="24"/>
                <w:highlight w:val="none"/>
              </w:rPr>
            </w:pPr>
          </w:p>
        </w:tc>
        <w:tc>
          <w:tcPr>
            <w:tcW w:w="918" w:type="dxa"/>
            <w:tcBorders>
              <w:top w:val="double" w:color="auto" w:sz="2" w:space="0"/>
              <w:left w:val="nil"/>
              <w:bottom w:val="double" w:color="auto" w:sz="2"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2"/>
                <w:sz w:val="24"/>
                <w:szCs w:val="24"/>
                <w:highlight w:val="none"/>
              </w:rPr>
            </w:pPr>
          </w:p>
        </w:tc>
        <w:tc>
          <w:tcPr>
            <w:tcW w:w="917" w:type="dxa"/>
            <w:tcBorders>
              <w:top w:val="double" w:color="auto" w:sz="2" w:space="0"/>
              <w:left w:val="nil"/>
              <w:bottom w:val="double" w:color="auto" w:sz="2"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2"/>
                <w:sz w:val="24"/>
                <w:szCs w:val="24"/>
                <w:highlight w:val="none"/>
              </w:rPr>
            </w:pPr>
          </w:p>
        </w:tc>
        <w:tc>
          <w:tcPr>
            <w:tcW w:w="918" w:type="dxa"/>
            <w:tcBorders>
              <w:top w:val="double" w:color="auto" w:sz="2" w:space="0"/>
              <w:left w:val="nil"/>
              <w:bottom w:val="double" w:color="auto" w:sz="2" w:space="0"/>
              <w:right w:val="double" w:color="auto" w:sz="2"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14" w:hRule="atLeast"/>
          <w:jc w:val="center"/>
        </w:trPr>
        <w:tc>
          <w:tcPr>
            <w:tcW w:w="1188" w:type="dxa"/>
            <w:tcBorders>
              <w:top w:val="double" w:color="auto" w:sz="2" w:space="0"/>
              <w:left w:val="double" w:color="auto" w:sz="2" w:space="0"/>
              <w:bottom w:val="double" w:color="auto" w:sz="2"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第    轮</w:t>
            </w:r>
          </w:p>
        </w:tc>
        <w:tc>
          <w:tcPr>
            <w:tcW w:w="1835" w:type="dxa"/>
            <w:gridSpan w:val="2"/>
            <w:tcBorders>
              <w:top w:val="double" w:color="auto" w:sz="2" w:space="0"/>
              <w:left w:val="nil"/>
              <w:bottom w:val="double" w:color="auto" w:sz="2"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2"/>
                <w:sz w:val="24"/>
                <w:szCs w:val="24"/>
                <w:highlight w:val="none"/>
              </w:rPr>
            </w:pPr>
          </w:p>
        </w:tc>
        <w:tc>
          <w:tcPr>
            <w:tcW w:w="1835" w:type="dxa"/>
            <w:gridSpan w:val="2"/>
            <w:tcBorders>
              <w:top w:val="double" w:color="auto" w:sz="2" w:space="0"/>
              <w:left w:val="nil"/>
              <w:bottom w:val="double" w:color="auto" w:sz="2"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2"/>
                <w:sz w:val="24"/>
                <w:szCs w:val="24"/>
                <w:highlight w:val="none"/>
              </w:rPr>
            </w:pPr>
          </w:p>
        </w:tc>
        <w:tc>
          <w:tcPr>
            <w:tcW w:w="1835" w:type="dxa"/>
            <w:gridSpan w:val="2"/>
            <w:tcBorders>
              <w:top w:val="double" w:color="auto" w:sz="2" w:space="0"/>
              <w:left w:val="nil"/>
              <w:bottom w:val="double" w:color="auto" w:sz="2"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2"/>
                <w:sz w:val="24"/>
                <w:szCs w:val="24"/>
                <w:highlight w:val="none"/>
              </w:rPr>
            </w:pPr>
          </w:p>
        </w:tc>
        <w:tc>
          <w:tcPr>
            <w:tcW w:w="1835" w:type="dxa"/>
            <w:gridSpan w:val="2"/>
            <w:tcBorders>
              <w:top w:val="double" w:color="auto" w:sz="2" w:space="0"/>
              <w:left w:val="nil"/>
              <w:bottom w:val="double" w:color="auto" w:sz="2" w:space="0"/>
              <w:right w:val="double" w:color="auto" w:sz="2"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88" w:type="dxa"/>
            <w:tcBorders>
              <w:top w:val="double" w:color="auto" w:sz="2" w:space="0"/>
              <w:left w:val="double" w:color="auto" w:sz="2" w:space="0"/>
              <w:bottom w:val="double" w:color="auto" w:sz="2"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第    轮</w:t>
            </w:r>
          </w:p>
        </w:tc>
        <w:tc>
          <w:tcPr>
            <w:tcW w:w="3670" w:type="dxa"/>
            <w:gridSpan w:val="4"/>
            <w:tcBorders>
              <w:top w:val="double" w:color="auto" w:sz="2" w:space="0"/>
              <w:left w:val="nil"/>
              <w:bottom w:val="double" w:color="auto" w:sz="2"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2"/>
                <w:sz w:val="24"/>
                <w:szCs w:val="24"/>
                <w:highlight w:val="none"/>
              </w:rPr>
            </w:pPr>
          </w:p>
        </w:tc>
        <w:tc>
          <w:tcPr>
            <w:tcW w:w="3670" w:type="dxa"/>
            <w:gridSpan w:val="4"/>
            <w:tcBorders>
              <w:top w:val="double" w:color="auto" w:sz="2" w:space="0"/>
              <w:left w:val="nil"/>
              <w:bottom w:val="double" w:color="auto" w:sz="2" w:space="0"/>
              <w:right w:val="double" w:color="auto" w:sz="2"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14" w:hRule="atLeast"/>
          <w:jc w:val="center"/>
        </w:trPr>
        <w:tc>
          <w:tcPr>
            <w:tcW w:w="1188" w:type="dxa"/>
            <w:tcBorders>
              <w:top w:val="double" w:color="auto" w:sz="2" w:space="0"/>
              <w:left w:val="double" w:color="auto" w:sz="2" w:space="0"/>
              <w:bottom w:val="double" w:color="auto" w:sz="2"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第    轮</w:t>
            </w:r>
          </w:p>
        </w:tc>
        <w:tc>
          <w:tcPr>
            <w:tcW w:w="7340" w:type="dxa"/>
            <w:gridSpan w:val="8"/>
            <w:tcBorders>
              <w:top w:val="double" w:color="auto" w:sz="2" w:space="0"/>
              <w:left w:val="nil"/>
              <w:bottom w:val="double" w:color="auto" w:sz="2" w:space="0"/>
              <w:right w:val="double" w:color="auto" w:sz="2"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2"/>
                <w:sz w:val="24"/>
                <w:szCs w:val="24"/>
                <w:highlight w:val="none"/>
              </w:rPr>
            </w:pPr>
          </w:p>
        </w:tc>
      </w:tr>
    </w:tbl>
    <w:p>
      <w:pPr>
        <w:keepNext w:val="0"/>
        <w:keepLines w:val="0"/>
        <w:widowControl/>
        <w:suppressLineNumbers w:val="0"/>
        <w:spacing w:before="0" w:beforeAutospacing="0" w:after="0" w:afterAutospacing="0" w:line="360" w:lineRule="auto"/>
        <w:ind w:left="0" w:right="0"/>
        <w:jc w:val="left"/>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正式投票规则：以上表格用于正式投票，从上到下每轮投票限使用一行空格，每个空格限填一个单位名称，同一行的空格内的单位名称不得重复。每轮投票允许选择的总数即下一轮候选总数，以得票多的投标单位当选为下一轮投票的候选投标单位。遇票数相等不能确定入选下一轮的投标单位时，应进行附加投票</w:t>
      </w:r>
      <w:r>
        <w:rPr>
          <w:rFonts w:hint="eastAsia" w:ascii="宋体" w:hAnsi="宋体" w:eastAsia="宋体" w:cs="宋体"/>
          <w:strike w:val="0"/>
          <w:dstrike w:val="0"/>
          <w:color w:val="auto"/>
          <w:kern w:val="2"/>
          <w:sz w:val="24"/>
          <w:szCs w:val="24"/>
          <w:highlight w:val="none"/>
          <w:lang w:val="en-US" w:eastAsia="zh-CN" w:bidi="ar"/>
        </w:rPr>
        <w:t>，</w:t>
      </w:r>
      <w:r>
        <w:rPr>
          <w:rFonts w:hint="default" w:ascii="宋体" w:hAnsi="宋体" w:eastAsia="宋体" w:cs="宋体"/>
          <w:strike w:val="0"/>
          <w:dstrike w:val="0"/>
          <w:color w:val="auto"/>
          <w:kern w:val="2"/>
          <w:sz w:val="24"/>
          <w:szCs w:val="24"/>
          <w:highlight w:val="none"/>
          <w:lang w:eastAsia="zh-CN" w:bidi="ar"/>
        </w:rPr>
        <w:t>以确定进入下一轮的投标单位</w:t>
      </w:r>
      <w:r>
        <w:rPr>
          <w:rFonts w:hint="eastAsia" w:ascii="宋体" w:hAnsi="宋体" w:eastAsia="宋体" w:cs="宋体"/>
          <w:color w:val="auto"/>
          <w:kern w:val="2"/>
          <w:sz w:val="24"/>
          <w:szCs w:val="24"/>
          <w:highlight w:val="none"/>
          <w:lang w:val="en-US" w:eastAsia="zh-CN" w:bidi="ar"/>
        </w:rPr>
        <w:t>。每轮正式投票允许选择投标单位总数如下：</w:t>
      </w:r>
    </w:p>
    <w:tbl>
      <w:tblPr>
        <w:tblStyle w:val="11"/>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303"/>
        <w:gridCol w:w="2011"/>
        <w:gridCol w:w="2011"/>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Pr>
        <w:tc>
          <w:tcPr>
            <w:tcW w:w="230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2"/>
                <w:sz w:val="24"/>
                <w:szCs w:val="24"/>
                <w:highlight w:val="none"/>
              </w:rPr>
            </w:pPr>
          </w:p>
        </w:tc>
        <w:tc>
          <w:tcPr>
            <w:tcW w:w="6217" w:type="dxa"/>
            <w:gridSpan w:val="3"/>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每轮正式投票允许选择总数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Pr>
        <w:tc>
          <w:tcPr>
            <w:tcW w:w="230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投标人数</w:t>
            </w:r>
          </w:p>
        </w:tc>
        <w:tc>
          <w:tcPr>
            <w:tcW w:w="201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3至4</w:t>
            </w:r>
          </w:p>
        </w:tc>
        <w:tc>
          <w:tcPr>
            <w:tcW w:w="201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5至8</w:t>
            </w:r>
          </w:p>
        </w:tc>
        <w:tc>
          <w:tcPr>
            <w:tcW w:w="2195"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9人或以上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0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第1轮</w:t>
            </w:r>
          </w:p>
        </w:tc>
        <w:tc>
          <w:tcPr>
            <w:tcW w:w="201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p>
        </w:tc>
        <w:tc>
          <w:tcPr>
            <w:tcW w:w="201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w:t>
            </w:r>
          </w:p>
        </w:tc>
        <w:tc>
          <w:tcPr>
            <w:tcW w:w="2195"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0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第2轮</w:t>
            </w:r>
          </w:p>
        </w:tc>
        <w:tc>
          <w:tcPr>
            <w:tcW w:w="201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w:t>
            </w:r>
          </w:p>
        </w:tc>
        <w:tc>
          <w:tcPr>
            <w:tcW w:w="201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p>
        </w:tc>
        <w:tc>
          <w:tcPr>
            <w:tcW w:w="2195"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Pr>
        <w:tc>
          <w:tcPr>
            <w:tcW w:w="230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第3轮</w:t>
            </w:r>
          </w:p>
        </w:tc>
        <w:tc>
          <w:tcPr>
            <w:tcW w:w="201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color w:val="auto"/>
                <w:kern w:val="2"/>
                <w:sz w:val="24"/>
                <w:szCs w:val="24"/>
                <w:highlight w:val="none"/>
              </w:rPr>
            </w:pPr>
          </w:p>
        </w:tc>
        <w:tc>
          <w:tcPr>
            <w:tcW w:w="201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w:t>
            </w:r>
          </w:p>
        </w:tc>
        <w:tc>
          <w:tcPr>
            <w:tcW w:w="2195"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Pr>
        <w:tc>
          <w:tcPr>
            <w:tcW w:w="230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第4轮</w:t>
            </w:r>
          </w:p>
        </w:tc>
        <w:tc>
          <w:tcPr>
            <w:tcW w:w="201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color w:val="auto"/>
                <w:kern w:val="2"/>
                <w:sz w:val="24"/>
                <w:szCs w:val="24"/>
                <w:highlight w:val="none"/>
              </w:rPr>
            </w:pPr>
          </w:p>
        </w:tc>
        <w:tc>
          <w:tcPr>
            <w:tcW w:w="201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color w:val="auto"/>
                <w:kern w:val="2"/>
                <w:sz w:val="24"/>
                <w:szCs w:val="24"/>
                <w:highlight w:val="none"/>
              </w:rPr>
            </w:pPr>
          </w:p>
        </w:tc>
        <w:tc>
          <w:tcPr>
            <w:tcW w:w="2195"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w:t>
            </w:r>
          </w:p>
        </w:tc>
      </w:tr>
    </w:tbl>
    <w:p>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(1)投票结束后，点票人员对投票人数、票数和每票应选方案总数加以核对和统计，作废的选票不得统计，并向定标委员会报告。</w:t>
      </w:r>
    </w:p>
    <w:p>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(2)定标委员会成员应当独立投票，自投票开始至最终排名统计结果公布期间，任何人不得非法干预、影响投票过程，不得透露、协商、改变投票结果，不得使用通信联络工具。</w:t>
      </w:r>
    </w:p>
    <w:p>
      <w:pPr>
        <w:keepNext w:val="0"/>
        <w:keepLines w:val="0"/>
        <w:widowControl w:val="0"/>
        <w:suppressLineNumbers w:val="0"/>
        <w:spacing w:before="0" w:beforeAutospacing="0" w:after="0" w:afterAutospacing="0"/>
        <w:ind w:left="0" w:right="0"/>
        <w:jc w:val="both"/>
        <w:rPr>
          <w:color w:val="auto"/>
          <w:highlight w:val="none"/>
        </w:rPr>
      </w:pPr>
      <w:r>
        <w:rPr>
          <w:rFonts w:hint="eastAsia" w:ascii="宋体" w:hAnsi="宋体" w:eastAsia="宋体" w:cs="宋体"/>
          <w:color w:val="auto"/>
          <w:kern w:val="2"/>
          <w:sz w:val="24"/>
          <w:szCs w:val="24"/>
          <w:highlight w:val="none"/>
          <w:lang w:val="en-US" w:eastAsia="zh-CN" w:bidi="ar"/>
        </w:rPr>
        <w:t>签名：</w:t>
      </w:r>
      <w:r>
        <w:rPr>
          <w:rFonts w:hint="eastAsia" w:ascii="宋体" w:hAnsi="宋体"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日期：</w:t>
      </w:r>
      <w:r>
        <w:rPr>
          <w:rFonts w:hint="eastAsia" w:ascii="宋体" w:hAnsi="宋体"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eastAsia" w:ascii="宋体" w:hAnsi="宋体"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eastAsia" w:ascii="宋体" w:hAnsi="宋体"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pPr>
        <w:spacing w:line="360" w:lineRule="auto"/>
        <w:rPr>
          <w:rFonts w:ascii="宋体" w:hAnsi="宋体" w:eastAsia="宋体" w:cs="Times New Roman"/>
          <w:color w:val="auto"/>
          <w:sz w:val="24"/>
          <w:highlight w:val="none"/>
        </w:rPr>
      </w:pPr>
    </w:p>
    <w:p>
      <w:pPr>
        <w:widowControl/>
        <w:jc w:val="left"/>
        <w:rPr>
          <w:rFonts w:ascii="Calibri" w:hAnsi="Calibri" w:eastAsia="宋体" w:cs="Times New Roman"/>
          <w:color w:val="auto"/>
          <w:highlight w:val="none"/>
        </w:rPr>
      </w:pPr>
      <w:r>
        <w:rPr>
          <w:rFonts w:ascii="Calibri" w:hAnsi="Calibri" w:eastAsia="宋体" w:cs="Times New Roman"/>
          <w:color w:val="auto"/>
          <w:highlight w:val="none"/>
        </w:rPr>
        <w:br w:type="page"/>
      </w:r>
    </w:p>
    <w:p>
      <w:pPr>
        <w:outlineLvl w:val="1"/>
        <w:rPr>
          <w:rFonts w:ascii="宋体" w:hAnsi="宋体" w:eastAsia="宋体" w:cs="Times New Roman"/>
          <w:b/>
          <w:bCs/>
          <w:color w:val="auto"/>
          <w:kern w:val="44"/>
          <w:sz w:val="21"/>
          <w:szCs w:val="21"/>
          <w:highlight w:val="none"/>
          <w:lang w:val="en-US" w:eastAsia="zh-CN" w:bidi="ar-SA"/>
        </w:rPr>
      </w:pPr>
      <w:bookmarkStart w:id="81" w:name="_Toc8959"/>
      <w:r>
        <w:rPr>
          <w:rFonts w:hint="eastAsia" w:ascii="宋体" w:hAnsi="宋体" w:eastAsia="宋体" w:cs="Times New Roman"/>
          <w:b/>
          <w:bCs/>
          <w:color w:val="auto"/>
          <w:kern w:val="44"/>
          <w:sz w:val="21"/>
          <w:szCs w:val="21"/>
          <w:highlight w:val="none"/>
          <w:lang w:val="en-US" w:eastAsia="zh-CN" w:bidi="ar-SA"/>
        </w:rPr>
        <w:t>附录</w:t>
      </w:r>
      <w:r>
        <w:rPr>
          <w:rFonts w:ascii="宋体" w:hAnsi="宋体" w:eastAsia="宋体" w:cs="Times New Roman"/>
          <w:b/>
          <w:bCs/>
          <w:color w:val="auto"/>
          <w:kern w:val="44"/>
          <w:sz w:val="21"/>
          <w:szCs w:val="21"/>
          <w:highlight w:val="none"/>
          <w:lang w:val="en-US" w:eastAsia="zh-CN" w:bidi="ar-SA"/>
        </w:rPr>
        <w:t>17</w:t>
      </w:r>
      <w:r>
        <w:rPr>
          <w:rFonts w:hint="eastAsia" w:ascii="宋体" w:hAnsi="宋体" w:eastAsia="宋体" w:cs="Times New Roman"/>
          <w:b/>
          <w:bCs/>
          <w:color w:val="auto"/>
          <w:kern w:val="44"/>
          <w:sz w:val="21"/>
          <w:szCs w:val="21"/>
          <w:highlight w:val="none"/>
          <w:lang w:val="en-US" w:eastAsia="zh-CN" w:bidi="ar-SA"/>
        </w:rPr>
        <w:t>拟投入的人员基本情况及主要负责人简历表</w:t>
      </w:r>
      <w:bookmarkEnd w:id="81"/>
    </w:p>
    <w:p>
      <w:pPr>
        <w:widowControl/>
        <w:snapToGrid w:val="0"/>
        <w:spacing w:before="0" w:beforeAutospacing="0" w:after="0" w:afterAutospacing="0" w:line="360" w:lineRule="auto"/>
        <w:ind w:firstLine="649" w:firstLineChars="202"/>
        <w:jc w:val="center"/>
        <w:rPr>
          <w:rFonts w:ascii="宋体" w:hAnsi="宋体" w:eastAsia="宋体" w:cs="Times New Roman"/>
          <w:b/>
          <w:color w:val="auto"/>
          <w:kern w:val="0"/>
          <w:sz w:val="32"/>
          <w:szCs w:val="24"/>
          <w:highlight w:val="none"/>
          <w:lang w:val="en-US" w:eastAsia="zh-CN" w:bidi="ar-SA"/>
        </w:rPr>
      </w:pPr>
    </w:p>
    <w:p>
      <w:pPr>
        <w:jc w:val="center"/>
        <w:rPr>
          <w:rFonts w:ascii="Calibri" w:hAnsi="Calibri" w:eastAsia="宋体" w:cs="Times New Roman"/>
          <w:b/>
          <w:color w:val="auto"/>
          <w:sz w:val="32"/>
          <w:szCs w:val="32"/>
          <w:highlight w:val="none"/>
        </w:rPr>
      </w:pPr>
      <w:r>
        <w:rPr>
          <w:rFonts w:hint="eastAsia" w:ascii="Calibri" w:hAnsi="Calibri" w:eastAsia="宋体" w:cs="Times New Roman"/>
          <w:b/>
          <w:color w:val="auto"/>
          <w:sz w:val="32"/>
          <w:szCs w:val="32"/>
          <w:highlight w:val="none"/>
        </w:rPr>
        <w:t>本项目拟投入的人员基本情况汇总表</w:t>
      </w:r>
    </w:p>
    <w:tbl>
      <w:tblPr>
        <w:tblStyle w:val="11"/>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1101"/>
        <w:gridCol w:w="664"/>
        <w:gridCol w:w="619"/>
        <w:gridCol w:w="566"/>
        <w:gridCol w:w="678"/>
        <w:gridCol w:w="1126"/>
        <w:gridCol w:w="624"/>
        <w:gridCol w:w="2260"/>
        <w:gridCol w:w="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blHeader/>
          <w:jc w:val="center"/>
        </w:trPr>
        <w:tc>
          <w:tcPr>
            <w:tcW w:w="482"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101"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664"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619"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执业资格</w:t>
            </w:r>
          </w:p>
        </w:tc>
        <w:tc>
          <w:tcPr>
            <w:tcW w:w="566"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w:t>
            </w:r>
          </w:p>
        </w:tc>
        <w:tc>
          <w:tcPr>
            <w:tcW w:w="678"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从事相关工作年限</w:t>
            </w:r>
          </w:p>
        </w:tc>
        <w:tc>
          <w:tcPr>
            <w:tcW w:w="1126"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在本项目担任的职务</w:t>
            </w:r>
          </w:p>
        </w:tc>
        <w:tc>
          <w:tcPr>
            <w:tcW w:w="624"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人员数量</w:t>
            </w:r>
          </w:p>
        </w:tc>
        <w:tc>
          <w:tcPr>
            <w:tcW w:w="2260"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基本要求</w:t>
            </w:r>
          </w:p>
        </w:tc>
        <w:tc>
          <w:tcPr>
            <w:tcW w:w="639"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2"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lang w:val="en-US" w:eastAsia="zh-CN"/>
              </w:rPr>
            </w:pPr>
            <w:bookmarkStart w:id="82" w:name="OLE_LINK30" w:colFirst="1" w:colLast="8"/>
            <w:bookmarkStart w:id="83" w:name="OLE_LINK31" w:colFirst="7" w:colLast="7"/>
            <w:r>
              <w:rPr>
                <w:rFonts w:hint="eastAsia" w:ascii="宋体" w:hAnsi="宋体" w:eastAsia="宋体" w:cs="宋体"/>
                <w:color w:val="auto"/>
                <w:szCs w:val="21"/>
                <w:highlight w:val="none"/>
                <w:lang w:val="en-US" w:eastAsia="zh-CN"/>
              </w:rPr>
              <w:t>1</w:t>
            </w:r>
          </w:p>
        </w:tc>
        <w:tc>
          <w:tcPr>
            <w:tcW w:w="1101"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664"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619"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pacing w:val="-6"/>
                <w:szCs w:val="21"/>
                <w:highlight w:val="none"/>
              </w:rPr>
            </w:pPr>
          </w:p>
        </w:tc>
        <w:tc>
          <w:tcPr>
            <w:tcW w:w="566"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pacing w:val="-6"/>
                <w:szCs w:val="21"/>
                <w:highlight w:val="none"/>
              </w:rPr>
            </w:pPr>
          </w:p>
        </w:tc>
        <w:tc>
          <w:tcPr>
            <w:tcW w:w="678"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126"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Courier New"/>
                <w:color w:val="auto"/>
                <w:kern w:val="2"/>
                <w:sz w:val="21"/>
                <w:szCs w:val="21"/>
                <w:highlight w:val="none"/>
                <w:lang w:val="en-US" w:eastAsia="zh-CN" w:bidi="ar-SA"/>
              </w:rPr>
            </w:pPr>
            <w:r>
              <w:rPr>
                <w:rFonts w:hint="eastAsia" w:ascii="宋体" w:hAnsi="宋体" w:cs="Courier New"/>
                <w:color w:val="auto"/>
                <w:sz w:val="21"/>
                <w:szCs w:val="21"/>
                <w:highlight w:val="none"/>
              </w:rPr>
              <w:t>总负责人</w:t>
            </w:r>
          </w:p>
        </w:tc>
        <w:tc>
          <w:tcPr>
            <w:tcW w:w="624" w:type="dxa"/>
            <w:noWrap w:val="0"/>
            <w:vAlign w:val="center"/>
          </w:tcPr>
          <w:p>
            <w:pPr>
              <w:keepNext w:val="0"/>
              <w:keepLines w:val="0"/>
              <w:suppressLineNumbers w:val="0"/>
              <w:snapToGrid w:val="0"/>
              <w:spacing w:before="0" w:beforeAutospacing="0" w:after="0" w:afterAutospacing="0"/>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260"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Courier New" w:eastAsiaTheme="minorEastAsia"/>
                <w:color w:val="auto"/>
                <w:kern w:val="2"/>
                <w:sz w:val="21"/>
                <w:szCs w:val="21"/>
                <w:highlight w:val="none"/>
                <w:lang w:val="en-US" w:eastAsia="zh-CN" w:bidi="ar-SA"/>
              </w:rPr>
            </w:pPr>
            <w:r>
              <w:rPr>
                <w:rFonts w:hint="eastAsia" w:ascii="宋体" w:hAnsi="宋体" w:cs="Courier New"/>
                <w:color w:val="auto"/>
                <w:sz w:val="21"/>
                <w:szCs w:val="21"/>
                <w:highlight w:val="none"/>
              </w:rPr>
              <w:t>设计单位副职领导及以上职务</w:t>
            </w:r>
            <w:r>
              <w:rPr>
                <w:rFonts w:hint="eastAsia" w:asciiTheme="minorEastAsia" w:hAnsiTheme="minorEastAsia" w:eastAsiaTheme="minorEastAsia" w:cstheme="minorEastAsia"/>
                <w:i w:val="0"/>
                <w:iCs w:val="0"/>
                <w:strike w:val="0"/>
                <w:color w:val="auto"/>
                <w:sz w:val="21"/>
                <w:szCs w:val="21"/>
                <w:highlight w:val="none"/>
                <w:lang w:eastAsia="zh-CN"/>
              </w:rPr>
              <w:t>，</w:t>
            </w:r>
            <w:r>
              <w:rPr>
                <w:rFonts w:hint="eastAsia" w:asciiTheme="minorEastAsia" w:hAnsiTheme="minorEastAsia" w:eastAsiaTheme="minorEastAsia" w:cstheme="minorEastAsia"/>
                <w:b w:val="0"/>
                <w:bCs w:val="0"/>
                <w:i w:val="0"/>
                <w:iCs w:val="0"/>
                <w:strike w:val="0"/>
                <w:color w:val="auto"/>
                <w:sz w:val="21"/>
                <w:szCs w:val="21"/>
                <w:highlight w:val="none"/>
                <w:lang w:val="en-US" w:eastAsia="zh-CN"/>
              </w:rPr>
              <w:t>参与过</w:t>
            </w:r>
            <w:r>
              <w:rPr>
                <w:rFonts w:hint="default" w:asciiTheme="minorEastAsia" w:hAnsiTheme="minorEastAsia" w:cstheme="minorEastAsia"/>
                <w:b w:val="0"/>
                <w:bCs w:val="0"/>
                <w:i w:val="0"/>
                <w:iCs w:val="0"/>
                <w:strike w:val="0"/>
                <w:color w:val="auto"/>
                <w:sz w:val="21"/>
                <w:szCs w:val="21"/>
                <w:highlight w:val="none"/>
                <w:lang w:eastAsia="zh-CN"/>
              </w:rPr>
              <w:t>类似</w:t>
            </w:r>
            <w:r>
              <w:rPr>
                <w:rFonts w:hint="eastAsia" w:asciiTheme="minorEastAsia" w:hAnsiTheme="minorEastAsia" w:eastAsiaTheme="minorEastAsia" w:cstheme="minorEastAsia"/>
                <w:b w:val="0"/>
                <w:bCs w:val="0"/>
                <w:i w:val="0"/>
                <w:iCs w:val="0"/>
                <w:strike w:val="0"/>
                <w:color w:val="auto"/>
                <w:sz w:val="21"/>
                <w:szCs w:val="21"/>
                <w:highlight w:val="none"/>
                <w:lang w:val="en-US" w:eastAsia="zh-CN"/>
              </w:rPr>
              <w:t>项目</w:t>
            </w:r>
            <w:r>
              <w:rPr>
                <w:rFonts w:hint="default" w:asciiTheme="minorEastAsia" w:hAnsiTheme="minorEastAsia" w:cstheme="minorEastAsia"/>
                <w:b w:val="0"/>
                <w:bCs w:val="0"/>
                <w:i w:val="0"/>
                <w:iCs w:val="0"/>
                <w:strike w:val="0"/>
                <w:color w:val="auto"/>
                <w:sz w:val="21"/>
                <w:szCs w:val="21"/>
                <w:highlight w:val="none"/>
                <w:lang w:eastAsia="zh-CN"/>
              </w:rPr>
              <w:t>设计工作经验</w:t>
            </w:r>
            <w:r>
              <w:rPr>
                <w:rFonts w:hint="eastAsia" w:asciiTheme="minorEastAsia" w:hAnsiTheme="minorEastAsia" w:eastAsiaTheme="minorEastAsia" w:cstheme="minorEastAsia"/>
                <w:i w:val="0"/>
                <w:iCs w:val="0"/>
                <w:color w:val="auto"/>
                <w:sz w:val="21"/>
                <w:szCs w:val="21"/>
                <w:highlight w:val="none"/>
                <w:lang w:val="en-US" w:eastAsia="zh-CN"/>
              </w:rPr>
              <w:t>。</w:t>
            </w:r>
          </w:p>
        </w:tc>
        <w:tc>
          <w:tcPr>
            <w:tcW w:w="639" w:type="dxa"/>
            <w:noWrap w:val="0"/>
            <w:vAlign w:val="center"/>
          </w:tcPr>
          <w:p>
            <w:pPr>
              <w:keepNext w:val="0"/>
              <w:keepLines w:val="0"/>
              <w:suppressLineNumbers w:val="0"/>
              <w:snapToGrid w:val="0"/>
              <w:spacing w:before="0" w:beforeAutospacing="0" w:after="0" w:afterAutospacing="0"/>
              <w:ind w:left="0" w:right="0"/>
              <w:jc w:val="both"/>
              <w:rPr>
                <w:rFonts w:hint="eastAsia" w:ascii="宋体" w:hAnsi="宋体" w:eastAsia="宋体" w:cs="宋体"/>
                <w:color w:val="auto"/>
                <w:szCs w:val="21"/>
                <w:highlight w:val="none"/>
              </w:rPr>
            </w:pPr>
          </w:p>
        </w:tc>
      </w:tr>
      <w:bookmarkEnd w:id="8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2"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1101" w:type="dxa"/>
            <w:noWrap w:val="0"/>
            <w:vAlign w:val="center"/>
          </w:tcPr>
          <w:p>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color w:val="auto"/>
                <w:szCs w:val="21"/>
                <w:highlight w:val="none"/>
              </w:rPr>
            </w:pPr>
          </w:p>
        </w:tc>
        <w:tc>
          <w:tcPr>
            <w:tcW w:w="664" w:type="dxa"/>
            <w:noWrap w:val="0"/>
            <w:vAlign w:val="center"/>
          </w:tcPr>
          <w:p>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color w:val="auto"/>
                <w:szCs w:val="21"/>
                <w:highlight w:val="none"/>
              </w:rPr>
            </w:pPr>
          </w:p>
        </w:tc>
        <w:tc>
          <w:tcPr>
            <w:tcW w:w="619" w:type="dxa"/>
            <w:noWrap w:val="0"/>
            <w:vAlign w:val="center"/>
          </w:tcPr>
          <w:p>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color w:val="auto"/>
                <w:szCs w:val="21"/>
                <w:highlight w:val="none"/>
              </w:rPr>
            </w:pPr>
          </w:p>
        </w:tc>
        <w:tc>
          <w:tcPr>
            <w:tcW w:w="566" w:type="dxa"/>
            <w:noWrap w:val="0"/>
            <w:vAlign w:val="center"/>
          </w:tcPr>
          <w:p>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color w:val="auto"/>
                <w:szCs w:val="21"/>
                <w:highlight w:val="none"/>
              </w:rPr>
            </w:pPr>
          </w:p>
        </w:tc>
        <w:tc>
          <w:tcPr>
            <w:tcW w:w="678" w:type="dxa"/>
            <w:noWrap w:val="0"/>
            <w:vAlign w:val="center"/>
          </w:tcPr>
          <w:p>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color w:val="auto"/>
                <w:szCs w:val="21"/>
                <w:highlight w:val="none"/>
              </w:rPr>
            </w:pPr>
          </w:p>
        </w:tc>
        <w:tc>
          <w:tcPr>
            <w:tcW w:w="1126"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Courier New"/>
                <w:color w:val="auto"/>
                <w:kern w:val="2"/>
                <w:sz w:val="21"/>
                <w:szCs w:val="21"/>
                <w:highlight w:val="none"/>
                <w:lang w:val="en-US" w:eastAsia="zh-CN" w:bidi="ar-SA"/>
              </w:rPr>
            </w:pPr>
            <w:r>
              <w:rPr>
                <w:rFonts w:hint="eastAsia" w:ascii="宋体" w:hAnsi="宋体" w:cs="Courier New"/>
                <w:color w:val="auto"/>
                <w:sz w:val="21"/>
                <w:szCs w:val="21"/>
                <w:highlight w:val="none"/>
              </w:rPr>
              <w:t>项目负责人</w:t>
            </w:r>
          </w:p>
        </w:tc>
        <w:tc>
          <w:tcPr>
            <w:tcW w:w="624" w:type="dxa"/>
            <w:noWrap w:val="0"/>
            <w:vAlign w:val="center"/>
          </w:tcPr>
          <w:p>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260"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Courier New" w:eastAsiaTheme="minorEastAsia"/>
                <w:color w:val="auto"/>
                <w:kern w:val="2"/>
                <w:sz w:val="21"/>
                <w:szCs w:val="21"/>
                <w:highlight w:val="none"/>
                <w:lang w:val="en-US" w:eastAsia="zh-CN" w:bidi="ar-SA"/>
              </w:rPr>
            </w:pPr>
            <w:r>
              <w:rPr>
                <w:rFonts w:hint="eastAsia" w:ascii="宋体" w:hAnsi="宋体" w:cs="Courier New"/>
                <w:color w:val="auto"/>
                <w:sz w:val="21"/>
                <w:szCs w:val="21"/>
                <w:highlight w:val="none"/>
              </w:rPr>
              <w:t>按招标公告要求</w:t>
            </w:r>
          </w:p>
        </w:tc>
        <w:tc>
          <w:tcPr>
            <w:tcW w:w="639" w:type="dxa"/>
            <w:noWrap w:val="0"/>
            <w:vAlign w:val="center"/>
          </w:tcPr>
          <w:p>
            <w:pPr>
              <w:keepNext w:val="0"/>
              <w:keepLines w:val="0"/>
              <w:suppressLineNumbers w:val="0"/>
              <w:snapToGrid w:val="0"/>
              <w:spacing w:before="0" w:beforeAutospacing="0" w:after="0" w:afterAutospacing="0"/>
              <w:ind w:left="0" w:right="0"/>
              <w:jc w:val="both"/>
              <w:rPr>
                <w:rFonts w:hint="eastAsia" w:ascii="宋体" w:hAnsi="宋体" w:eastAsia="宋体" w:cs="宋体"/>
                <w:color w:val="auto"/>
                <w:szCs w:val="21"/>
                <w:highlight w:val="none"/>
              </w:rPr>
            </w:pPr>
          </w:p>
        </w:tc>
      </w:tr>
      <w:bookmarkEnd w:id="8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2"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1101" w:type="dxa"/>
            <w:noWrap w:val="0"/>
            <w:vAlign w:val="center"/>
          </w:tcPr>
          <w:p>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color w:val="auto"/>
                <w:szCs w:val="21"/>
                <w:highlight w:val="none"/>
              </w:rPr>
            </w:pPr>
          </w:p>
        </w:tc>
        <w:tc>
          <w:tcPr>
            <w:tcW w:w="664" w:type="dxa"/>
            <w:noWrap w:val="0"/>
            <w:vAlign w:val="center"/>
          </w:tcPr>
          <w:p>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color w:val="auto"/>
                <w:szCs w:val="21"/>
                <w:highlight w:val="none"/>
              </w:rPr>
            </w:pPr>
          </w:p>
        </w:tc>
        <w:tc>
          <w:tcPr>
            <w:tcW w:w="619" w:type="dxa"/>
            <w:noWrap w:val="0"/>
            <w:vAlign w:val="center"/>
          </w:tcPr>
          <w:p>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color w:val="auto"/>
                <w:szCs w:val="21"/>
                <w:highlight w:val="none"/>
              </w:rPr>
            </w:pPr>
          </w:p>
        </w:tc>
        <w:tc>
          <w:tcPr>
            <w:tcW w:w="566" w:type="dxa"/>
            <w:noWrap w:val="0"/>
            <w:vAlign w:val="center"/>
          </w:tcPr>
          <w:p>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color w:val="auto"/>
                <w:szCs w:val="21"/>
                <w:highlight w:val="none"/>
              </w:rPr>
            </w:pPr>
          </w:p>
        </w:tc>
        <w:tc>
          <w:tcPr>
            <w:tcW w:w="678" w:type="dxa"/>
            <w:noWrap w:val="0"/>
            <w:vAlign w:val="center"/>
          </w:tcPr>
          <w:p>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color w:val="auto"/>
                <w:szCs w:val="21"/>
                <w:highlight w:val="none"/>
              </w:rPr>
            </w:pPr>
          </w:p>
        </w:tc>
        <w:tc>
          <w:tcPr>
            <w:tcW w:w="1126"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Courier New"/>
                <w:color w:val="auto"/>
                <w:kern w:val="2"/>
                <w:sz w:val="21"/>
                <w:szCs w:val="21"/>
                <w:highlight w:val="none"/>
                <w:lang w:val="en-US" w:eastAsia="zh-CN" w:bidi="ar-SA"/>
              </w:rPr>
            </w:pPr>
            <w:r>
              <w:rPr>
                <w:rFonts w:hint="eastAsia" w:ascii="宋体" w:hAnsi="宋体" w:cs="Courier New"/>
                <w:color w:val="auto"/>
                <w:sz w:val="21"/>
                <w:szCs w:val="21"/>
                <w:highlight w:val="none"/>
              </w:rPr>
              <w:t>结构专业负责人</w:t>
            </w:r>
          </w:p>
        </w:tc>
        <w:tc>
          <w:tcPr>
            <w:tcW w:w="624" w:type="dxa"/>
            <w:noWrap w:val="0"/>
            <w:vAlign w:val="center"/>
          </w:tcPr>
          <w:p>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p>
        </w:tc>
        <w:tc>
          <w:tcPr>
            <w:tcW w:w="2260"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Courier New"/>
                <w:color w:val="auto"/>
                <w:sz w:val="21"/>
                <w:szCs w:val="21"/>
                <w:highlight w:val="none"/>
                <w:lang w:val="en-US" w:eastAsia="zh-CN"/>
              </w:rPr>
            </w:pPr>
            <w:r>
              <w:rPr>
                <w:rFonts w:hint="eastAsia" w:ascii="宋体" w:hAnsi="宋体" w:cs="Courier New"/>
                <w:color w:val="auto"/>
                <w:sz w:val="21"/>
                <w:szCs w:val="21"/>
                <w:highlight w:val="none"/>
              </w:rPr>
              <w:t>一级注册结构工程师，</w:t>
            </w:r>
            <w:r>
              <w:rPr>
                <w:rFonts w:hint="eastAsia" w:ascii="宋体" w:hAnsi="宋体" w:cs="Courier New"/>
                <w:color w:val="auto"/>
                <w:sz w:val="21"/>
                <w:szCs w:val="21"/>
                <w:highlight w:val="none"/>
                <w:lang w:val="en-US" w:eastAsia="zh-CN"/>
              </w:rPr>
              <w:t>具有工程类相关专业</w:t>
            </w:r>
            <w:r>
              <w:rPr>
                <w:rFonts w:hint="eastAsia" w:ascii="宋体" w:hAnsi="宋体" w:cs="Courier New"/>
                <w:color w:val="auto"/>
                <w:sz w:val="21"/>
                <w:szCs w:val="21"/>
                <w:highlight w:val="none"/>
              </w:rPr>
              <w:t>高级</w:t>
            </w:r>
            <w:r>
              <w:rPr>
                <w:rFonts w:hint="eastAsia" w:ascii="宋体" w:hAnsi="宋体" w:cs="Courier New"/>
                <w:color w:val="auto"/>
                <w:sz w:val="21"/>
                <w:szCs w:val="21"/>
                <w:highlight w:val="none"/>
                <w:lang w:eastAsia="zh-CN"/>
              </w:rPr>
              <w:t>（</w:t>
            </w:r>
            <w:r>
              <w:rPr>
                <w:rFonts w:hint="eastAsia" w:ascii="宋体" w:hAnsi="宋体" w:cs="Courier New"/>
                <w:color w:val="auto"/>
                <w:sz w:val="21"/>
                <w:szCs w:val="21"/>
                <w:highlight w:val="none"/>
                <w:lang w:val="en-US" w:eastAsia="zh-CN"/>
              </w:rPr>
              <w:t>或以上</w:t>
            </w:r>
            <w:r>
              <w:rPr>
                <w:rFonts w:hint="eastAsia" w:ascii="宋体" w:hAnsi="宋体" w:cs="Courier New"/>
                <w:color w:val="auto"/>
                <w:sz w:val="21"/>
                <w:szCs w:val="21"/>
                <w:highlight w:val="none"/>
                <w:lang w:eastAsia="zh-CN"/>
              </w:rPr>
              <w:t>）</w:t>
            </w:r>
            <w:r>
              <w:rPr>
                <w:rFonts w:hint="eastAsia" w:ascii="宋体" w:hAnsi="宋体" w:cs="Courier New"/>
                <w:color w:val="auto"/>
                <w:sz w:val="21"/>
                <w:szCs w:val="21"/>
                <w:highlight w:val="none"/>
              </w:rPr>
              <w:t>技术职称</w:t>
            </w:r>
            <w:r>
              <w:rPr>
                <w:rFonts w:hint="eastAsia" w:ascii="宋体" w:hAnsi="宋体" w:cs="Courier New"/>
                <w:b w:val="0"/>
                <w:bCs w:val="0"/>
                <w:strike w:val="0"/>
                <w:color w:val="auto"/>
                <w:sz w:val="21"/>
                <w:szCs w:val="21"/>
                <w:highlight w:val="none"/>
                <w:lang w:eastAsia="zh-CN"/>
              </w:rPr>
              <w:t>，</w:t>
            </w:r>
            <w:r>
              <w:rPr>
                <w:rFonts w:hint="default" w:asciiTheme="minorEastAsia" w:hAnsiTheme="minorEastAsia" w:cstheme="minorEastAsia"/>
                <w:b w:val="0"/>
                <w:bCs w:val="0"/>
                <w:i w:val="0"/>
                <w:iCs w:val="0"/>
                <w:strike w:val="0"/>
                <w:color w:val="auto"/>
                <w:sz w:val="21"/>
                <w:szCs w:val="21"/>
                <w:highlight w:val="none"/>
                <w:lang w:eastAsia="zh-CN"/>
              </w:rPr>
              <w:t>参与过类似项目设计工作经验</w:t>
            </w:r>
            <w:r>
              <w:rPr>
                <w:rFonts w:hint="eastAsia" w:asciiTheme="minorEastAsia" w:hAnsiTheme="minorEastAsia" w:eastAsiaTheme="minorEastAsia" w:cstheme="minorEastAsia"/>
                <w:i w:val="0"/>
                <w:iCs w:val="0"/>
                <w:strike w:val="0"/>
                <w:color w:val="auto"/>
                <w:sz w:val="21"/>
                <w:szCs w:val="21"/>
                <w:highlight w:val="none"/>
                <w:lang w:val="en-US" w:eastAsia="zh-CN"/>
              </w:rPr>
              <w:t>。</w:t>
            </w:r>
          </w:p>
        </w:tc>
        <w:tc>
          <w:tcPr>
            <w:tcW w:w="639" w:type="dxa"/>
            <w:noWrap w:val="0"/>
            <w:vAlign w:val="center"/>
          </w:tcPr>
          <w:p>
            <w:pPr>
              <w:keepNext w:val="0"/>
              <w:keepLines w:val="0"/>
              <w:suppressLineNumbers w:val="0"/>
              <w:snapToGrid w:val="0"/>
              <w:spacing w:before="0" w:beforeAutospacing="0" w:after="0" w:afterAutospacing="0"/>
              <w:ind w:left="0" w:right="0"/>
              <w:jc w:val="both"/>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2"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p>
        </w:tc>
        <w:tc>
          <w:tcPr>
            <w:tcW w:w="1101" w:type="dxa"/>
            <w:noWrap w:val="0"/>
            <w:vAlign w:val="center"/>
          </w:tcPr>
          <w:p>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color w:val="auto"/>
                <w:szCs w:val="21"/>
                <w:highlight w:val="none"/>
              </w:rPr>
            </w:pPr>
          </w:p>
        </w:tc>
        <w:tc>
          <w:tcPr>
            <w:tcW w:w="664" w:type="dxa"/>
            <w:noWrap w:val="0"/>
            <w:vAlign w:val="center"/>
          </w:tcPr>
          <w:p>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color w:val="auto"/>
                <w:szCs w:val="21"/>
                <w:highlight w:val="none"/>
              </w:rPr>
            </w:pPr>
          </w:p>
        </w:tc>
        <w:tc>
          <w:tcPr>
            <w:tcW w:w="619" w:type="dxa"/>
            <w:noWrap w:val="0"/>
            <w:vAlign w:val="center"/>
          </w:tcPr>
          <w:p>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color w:val="auto"/>
                <w:szCs w:val="21"/>
                <w:highlight w:val="none"/>
              </w:rPr>
            </w:pPr>
          </w:p>
        </w:tc>
        <w:tc>
          <w:tcPr>
            <w:tcW w:w="566" w:type="dxa"/>
            <w:noWrap w:val="0"/>
            <w:vAlign w:val="center"/>
          </w:tcPr>
          <w:p>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color w:val="auto"/>
                <w:szCs w:val="21"/>
                <w:highlight w:val="none"/>
              </w:rPr>
            </w:pPr>
          </w:p>
        </w:tc>
        <w:tc>
          <w:tcPr>
            <w:tcW w:w="678" w:type="dxa"/>
            <w:noWrap w:val="0"/>
            <w:vAlign w:val="center"/>
          </w:tcPr>
          <w:p>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color w:val="auto"/>
                <w:szCs w:val="21"/>
                <w:highlight w:val="none"/>
              </w:rPr>
            </w:pPr>
          </w:p>
        </w:tc>
        <w:tc>
          <w:tcPr>
            <w:tcW w:w="1126"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Courier New"/>
                <w:color w:val="auto"/>
                <w:kern w:val="2"/>
                <w:sz w:val="21"/>
                <w:szCs w:val="21"/>
                <w:highlight w:val="none"/>
                <w:lang w:val="en-US" w:eastAsia="zh-CN" w:bidi="ar-SA"/>
              </w:rPr>
            </w:pPr>
            <w:r>
              <w:rPr>
                <w:rFonts w:hint="eastAsia" w:ascii="宋体" w:hAnsi="宋体" w:cs="Courier New"/>
                <w:color w:val="auto"/>
                <w:sz w:val="21"/>
                <w:szCs w:val="21"/>
                <w:highlight w:val="none"/>
              </w:rPr>
              <w:t>建筑专业负责人</w:t>
            </w:r>
          </w:p>
        </w:tc>
        <w:tc>
          <w:tcPr>
            <w:tcW w:w="624" w:type="dxa"/>
            <w:noWrap w:val="0"/>
            <w:vAlign w:val="center"/>
          </w:tcPr>
          <w:p>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p>
        </w:tc>
        <w:tc>
          <w:tcPr>
            <w:tcW w:w="2260"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Courier New" w:eastAsiaTheme="minorEastAsia"/>
                <w:color w:val="auto"/>
                <w:sz w:val="21"/>
                <w:szCs w:val="21"/>
                <w:highlight w:val="none"/>
                <w:lang w:eastAsia="zh-CN"/>
              </w:rPr>
            </w:pPr>
            <w:r>
              <w:rPr>
                <w:rFonts w:hint="eastAsia" w:ascii="宋体" w:hAnsi="宋体" w:cs="Courier New"/>
                <w:color w:val="auto"/>
                <w:sz w:val="21"/>
                <w:szCs w:val="21"/>
                <w:highlight w:val="none"/>
              </w:rPr>
              <w:t>一级注册建筑师，</w:t>
            </w:r>
            <w:r>
              <w:rPr>
                <w:rFonts w:hint="eastAsia" w:ascii="宋体" w:hAnsi="宋体" w:cs="Courier New"/>
                <w:color w:val="auto"/>
                <w:sz w:val="21"/>
                <w:szCs w:val="21"/>
                <w:highlight w:val="none"/>
                <w:lang w:val="en-US" w:eastAsia="zh-CN"/>
              </w:rPr>
              <w:t>具有工程类相关专业</w:t>
            </w:r>
            <w:r>
              <w:rPr>
                <w:rFonts w:hint="eastAsia" w:ascii="宋体" w:hAnsi="宋体" w:cs="Courier New"/>
                <w:color w:val="auto"/>
                <w:sz w:val="21"/>
                <w:szCs w:val="21"/>
                <w:highlight w:val="none"/>
              </w:rPr>
              <w:t>高级</w:t>
            </w:r>
            <w:r>
              <w:rPr>
                <w:rFonts w:hint="eastAsia" w:ascii="宋体" w:hAnsi="宋体" w:cs="Courier New"/>
                <w:color w:val="auto"/>
                <w:sz w:val="21"/>
                <w:szCs w:val="21"/>
                <w:highlight w:val="none"/>
                <w:lang w:eastAsia="zh-CN"/>
              </w:rPr>
              <w:t>（</w:t>
            </w:r>
            <w:r>
              <w:rPr>
                <w:rFonts w:hint="eastAsia" w:ascii="宋体" w:hAnsi="宋体" w:cs="Courier New"/>
                <w:color w:val="auto"/>
                <w:sz w:val="21"/>
                <w:szCs w:val="21"/>
                <w:highlight w:val="none"/>
                <w:lang w:val="en-US" w:eastAsia="zh-CN"/>
              </w:rPr>
              <w:t>或以上</w:t>
            </w:r>
            <w:r>
              <w:rPr>
                <w:rFonts w:hint="eastAsia" w:ascii="宋体" w:hAnsi="宋体" w:cs="Courier New"/>
                <w:color w:val="auto"/>
                <w:sz w:val="21"/>
                <w:szCs w:val="21"/>
                <w:highlight w:val="none"/>
                <w:lang w:eastAsia="zh-CN"/>
              </w:rPr>
              <w:t>）</w:t>
            </w:r>
            <w:r>
              <w:rPr>
                <w:rFonts w:hint="eastAsia" w:ascii="宋体" w:hAnsi="宋体" w:cs="Courier New"/>
                <w:color w:val="auto"/>
                <w:sz w:val="21"/>
                <w:szCs w:val="21"/>
                <w:highlight w:val="none"/>
              </w:rPr>
              <w:t>技术职称</w:t>
            </w:r>
            <w:r>
              <w:rPr>
                <w:rFonts w:hint="default" w:ascii="宋体" w:hAnsi="宋体" w:cs="Courier New"/>
                <w:color w:val="auto"/>
                <w:sz w:val="21"/>
                <w:szCs w:val="21"/>
                <w:highlight w:val="none"/>
              </w:rPr>
              <w:t>，</w:t>
            </w:r>
            <w:r>
              <w:rPr>
                <w:rFonts w:hint="default" w:ascii="宋体" w:hAnsi="宋体" w:cs="Courier New"/>
                <w:strike w:val="0"/>
                <w:color w:val="auto"/>
                <w:sz w:val="21"/>
                <w:szCs w:val="21"/>
                <w:highlight w:val="none"/>
                <w:lang w:eastAsia="zh-CN"/>
              </w:rPr>
              <w:t>参与过类似项目</w:t>
            </w:r>
            <w:r>
              <w:rPr>
                <w:rFonts w:hint="default" w:asciiTheme="minorEastAsia" w:hAnsiTheme="minorEastAsia" w:cstheme="minorEastAsia"/>
                <w:b w:val="0"/>
                <w:bCs w:val="0"/>
                <w:i w:val="0"/>
                <w:iCs w:val="0"/>
                <w:strike w:val="0"/>
                <w:color w:val="auto"/>
                <w:sz w:val="21"/>
                <w:szCs w:val="21"/>
                <w:highlight w:val="none"/>
                <w:lang w:eastAsia="zh-CN"/>
              </w:rPr>
              <w:t>设计工作经验</w:t>
            </w:r>
            <w:r>
              <w:rPr>
                <w:rFonts w:hint="default" w:ascii="宋体" w:hAnsi="宋体" w:cs="Courier New"/>
                <w:strike w:val="0"/>
                <w:color w:val="auto"/>
                <w:sz w:val="21"/>
                <w:szCs w:val="21"/>
                <w:highlight w:val="none"/>
                <w:lang w:eastAsia="zh-CN"/>
              </w:rPr>
              <w:t>。</w:t>
            </w:r>
          </w:p>
        </w:tc>
        <w:tc>
          <w:tcPr>
            <w:tcW w:w="639" w:type="dxa"/>
            <w:noWrap w:val="0"/>
            <w:vAlign w:val="center"/>
          </w:tcPr>
          <w:p>
            <w:pPr>
              <w:keepNext w:val="0"/>
              <w:keepLines w:val="0"/>
              <w:suppressLineNumbers w:val="0"/>
              <w:snapToGrid w:val="0"/>
              <w:spacing w:before="0" w:beforeAutospacing="0" w:after="0" w:afterAutospacing="0"/>
              <w:ind w:left="0" w:right="0"/>
              <w:jc w:val="both"/>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2" w:type="dxa"/>
            <w:noWrap w:val="0"/>
            <w:vAlign w:val="center"/>
          </w:tcPr>
          <w:p>
            <w:pPr>
              <w:keepNext w:val="0"/>
              <w:keepLines w:val="0"/>
              <w:suppressLineNumbers w:val="0"/>
              <w:snapToGrid w:val="0"/>
              <w:spacing w:before="0" w:beforeAutospacing="0" w:after="0" w:afterAutospacing="0"/>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p>
        </w:tc>
        <w:tc>
          <w:tcPr>
            <w:tcW w:w="1101" w:type="dxa"/>
            <w:noWrap w:val="0"/>
            <w:vAlign w:val="center"/>
          </w:tcPr>
          <w:p>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color w:val="auto"/>
                <w:szCs w:val="21"/>
                <w:highlight w:val="none"/>
              </w:rPr>
            </w:pPr>
          </w:p>
        </w:tc>
        <w:tc>
          <w:tcPr>
            <w:tcW w:w="664" w:type="dxa"/>
            <w:noWrap w:val="0"/>
            <w:vAlign w:val="center"/>
          </w:tcPr>
          <w:p>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color w:val="auto"/>
                <w:szCs w:val="21"/>
                <w:highlight w:val="none"/>
              </w:rPr>
            </w:pPr>
          </w:p>
        </w:tc>
        <w:tc>
          <w:tcPr>
            <w:tcW w:w="619" w:type="dxa"/>
            <w:noWrap w:val="0"/>
            <w:vAlign w:val="center"/>
          </w:tcPr>
          <w:p>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color w:val="auto"/>
                <w:szCs w:val="21"/>
                <w:highlight w:val="none"/>
              </w:rPr>
            </w:pPr>
          </w:p>
        </w:tc>
        <w:tc>
          <w:tcPr>
            <w:tcW w:w="566" w:type="dxa"/>
            <w:noWrap w:val="0"/>
            <w:vAlign w:val="center"/>
          </w:tcPr>
          <w:p>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color w:val="auto"/>
                <w:szCs w:val="21"/>
                <w:highlight w:val="none"/>
              </w:rPr>
            </w:pPr>
          </w:p>
        </w:tc>
        <w:tc>
          <w:tcPr>
            <w:tcW w:w="678" w:type="dxa"/>
            <w:noWrap w:val="0"/>
            <w:vAlign w:val="center"/>
          </w:tcPr>
          <w:p>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color w:val="auto"/>
                <w:szCs w:val="21"/>
                <w:highlight w:val="none"/>
              </w:rPr>
            </w:pPr>
          </w:p>
        </w:tc>
        <w:tc>
          <w:tcPr>
            <w:tcW w:w="1126"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Courier New"/>
                <w:color w:val="auto"/>
                <w:sz w:val="21"/>
                <w:szCs w:val="21"/>
                <w:highlight w:val="none"/>
              </w:rPr>
            </w:pPr>
            <w:r>
              <w:rPr>
                <w:rFonts w:hint="eastAsia" w:asciiTheme="minorEastAsia" w:hAnsiTheme="minorEastAsia" w:eastAsiaTheme="minorEastAsia" w:cstheme="minorEastAsia"/>
                <w:i w:val="0"/>
                <w:iCs w:val="0"/>
                <w:color w:val="auto"/>
                <w:sz w:val="21"/>
                <w:szCs w:val="21"/>
                <w:highlight w:val="none"/>
                <w:lang w:val="en-US" w:eastAsia="zh-CN"/>
              </w:rPr>
              <w:t>岩土专业负责人</w:t>
            </w:r>
          </w:p>
        </w:tc>
        <w:tc>
          <w:tcPr>
            <w:tcW w:w="624" w:type="dxa"/>
            <w:noWrap w:val="0"/>
            <w:vAlign w:val="center"/>
          </w:tcPr>
          <w:p>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260"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Courier New"/>
                <w:color w:val="auto"/>
                <w:sz w:val="21"/>
                <w:szCs w:val="21"/>
                <w:highlight w:val="none"/>
              </w:rPr>
            </w:pPr>
            <w:r>
              <w:rPr>
                <w:rFonts w:hint="eastAsia" w:asciiTheme="minorEastAsia" w:hAnsiTheme="minorEastAsia" w:eastAsiaTheme="minorEastAsia" w:cstheme="minorEastAsia"/>
                <w:i w:val="0"/>
                <w:iCs w:val="0"/>
                <w:color w:val="auto"/>
                <w:sz w:val="21"/>
                <w:szCs w:val="21"/>
                <w:highlight w:val="none"/>
              </w:rPr>
              <w:t>一级注册</w:t>
            </w:r>
            <w:r>
              <w:rPr>
                <w:rFonts w:hint="eastAsia" w:asciiTheme="minorEastAsia" w:hAnsiTheme="minorEastAsia" w:eastAsiaTheme="minorEastAsia" w:cstheme="minorEastAsia"/>
                <w:i w:val="0"/>
                <w:iCs w:val="0"/>
                <w:color w:val="auto"/>
                <w:sz w:val="21"/>
                <w:szCs w:val="21"/>
                <w:highlight w:val="none"/>
                <w:lang w:val="en-US" w:eastAsia="zh-CN"/>
              </w:rPr>
              <w:t>岩土工程</w:t>
            </w:r>
            <w:r>
              <w:rPr>
                <w:rFonts w:hint="eastAsia" w:asciiTheme="minorEastAsia" w:hAnsiTheme="minorEastAsia" w:eastAsiaTheme="minorEastAsia" w:cstheme="minorEastAsia"/>
                <w:i w:val="0"/>
                <w:iCs w:val="0"/>
                <w:color w:val="auto"/>
                <w:sz w:val="21"/>
                <w:szCs w:val="21"/>
                <w:highlight w:val="none"/>
              </w:rPr>
              <w:t>师，</w:t>
            </w:r>
            <w:r>
              <w:rPr>
                <w:rFonts w:hint="eastAsia" w:ascii="宋体" w:hAnsi="宋体" w:cs="Courier New"/>
                <w:color w:val="auto"/>
                <w:sz w:val="21"/>
                <w:szCs w:val="21"/>
                <w:highlight w:val="none"/>
                <w:lang w:val="en-US" w:eastAsia="zh-CN"/>
              </w:rPr>
              <w:t>具有工程类相关专业</w:t>
            </w:r>
            <w:r>
              <w:rPr>
                <w:rFonts w:hint="eastAsia" w:ascii="宋体" w:hAnsi="宋体" w:cs="Courier New"/>
                <w:color w:val="auto"/>
                <w:sz w:val="21"/>
                <w:szCs w:val="21"/>
                <w:highlight w:val="none"/>
              </w:rPr>
              <w:t>高级</w:t>
            </w:r>
            <w:r>
              <w:rPr>
                <w:rFonts w:hint="eastAsia" w:ascii="宋体" w:hAnsi="宋体" w:cs="Courier New"/>
                <w:color w:val="auto"/>
                <w:sz w:val="21"/>
                <w:szCs w:val="21"/>
                <w:highlight w:val="none"/>
                <w:lang w:eastAsia="zh-CN"/>
              </w:rPr>
              <w:t>（</w:t>
            </w:r>
            <w:r>
              <w:rPr>
                <w:rFonts w:hint="eastAsia" w:ascii="宋体" w:hAnsi="宋体" w:cs="Courier New"/>
                <w:color w:val="auto"/>
                <w:sz w:val="21"/>
                <w:szCs w:val="21"/>
                <w:highlight w:val="none"/>
                <w:lang w:val="en-US" w:eastAsia="zh-CN"/>
              </w:rPr>
              <w:t>或以上</w:t>
            </w:r>
            <w:r>
              <w:rPr>
                <w:rFonts w:hint="eastAsia" w:ascii="宋体" w:hAnsi="宋体" w:cs="Courier New"/>
                <w:color w:val="auto"/>
                <w:sz w:val="21"/>
                <w:szCs w:val="21"/>
                <w:highlight w:val="none"/>
                <w:lang w:eastAsia="zh-CN"/>
              </w:rPr>
              <w:t>）</w:t>
            </w:r>
            <w:r>
              <w:rPr>
                <w:rFonts w:hint="eastAsia" w:ascii="宋体" w:hAnsi="宋体" w:cs="Courier New"/>
                <w:color w:val="auto"/>
                <w:sz w:val="21"/>
                <w:szCs w:val="21"/>
                <w:highlight w:val="none"/>
              </w:rPr>
              <w:t>技术职称</w:t>
            </w:r>
            <w:r>
              <w:rPr>
                <w:rFonts w:hint="default" w:ascii="宋体" w:hAnsi="宋体" w:cs="Courier New"/>
                <w:color w:val="auto"/>
                <w:sz w:val="21"/>
                <w:szCs w:val="21"/>
                <w:highlight w:val="none"/>
              </w:rPr>
              <w:t>，</w:t>
            </w:r>
            <w:r>
              <w:rPr>
                <w:rFonts w:hint="default" w:ascii="宋体" w:hAnsi="宋体" w:cs="Courier New"/>
                <w:strike w:val="0"/>
                <w:color w:val="auto"/>
                <w:sz w:val="21"/>
                <w:szCs w:val="21"/>
                <w:highlight w:val="none"/>
                <w:lang w:eastAsia="zh-CN"/>
              </w:rPr>
              <w:t>参与过类似项目</w:t>
            </w:r>
            <w:r>
              <w:rPr>
                <w:rFonts w:hint="default" w:asciiTheme="minorEastAsia" w:hAnsiTheme="minorEastAsia" w:cstheme="minorEastAsia"/>
                <w:b w:val="0"/>
                <w:bCs w:val="0"/>
                <w:i w:val="0"/>
                <w:iCs w:val="0"/>
                <w:strike w:val="0"/>
                <w:color w:val="auto"/>
                <w:sz w:val="21"/>
                <w:szCs w:val="21"/>
                <w:highlight w:val="none"/>
                <w:lang w:eastAsia="zh-CN"/>
              </w:rPr>
              <w:t>设计工作经验</w:t>
            </w:r>
            <w:r>
              <w:rPr>
                <w:rFonts w:hint="default" w:ascii="宋体" w:hAnsi="宋体" w:cs="Courier New"/>
                <w:strike w:val="0"/>
                <w:color w:val="auto"/>
                <w:sz w:val="21"/>
                <w:szCs w:val="21"/>
                <w:highlight w:val="none"/>
                <w:lang w:eastAsia="zh-CN"/>
              </w:rPr>
              <w:t>。</w:t>
            </w:r>
          </w:p>
        </w:tc>
        <w:tc>
          <w:tcPr>
            <w:tcW w:w="639" w:type="dxa"/>
            <w:noWrap w:val="0"/>
            <w:vAlign w:val="center"/>
          </w:tcPr>
          <w:p>
            <w:pPr>
              <w:keepNext w:val="0"/>
              <w:keepLines w:val="0"/>
              <w:suppressLineNumbers w:val="0"/>
              <w:snapToGrid w:val="0"/>
              <w:spacing w:before="0" w:beforeAutospacing="0" w:after="0" w:afterAutospacing="0"/>
              <w:ind w:left="0" w:right="0"/>
              <w:jc w:val="both"/>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2"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lang w:val="en-US" w:eastAsia="zh-CN"/>
              </w:rPr>
            </w:pPr>
            <w:bookmarkStart w:id="84" w:name="OLE_LINK24" w:colFirst="6" w:colLast="8"/>
            <w:r>
              <w:rPr>
                <w:rFonts w:hint="eastAsia" w:ascii="宋体" w:hAnsi="宋体" w:eastAsia="宋体" w:cs="宋体"/>
                <w:color w:val="auto"/>
                <w:szCs w:val="21"/>
                <w:highlight w:val="none"/>
                <w:lang w:val="en-US" w:eastAsia="zh-CN"/>
              </w:rPr>
              <w:t>6</w:t>
            </w:r>
          </w:p>
        </w:tc>
        <w:tc>
          <w:tcPr>
            <w:tcW w:w="1101" w:type="dxa"/>
            <w:noWrap w:val="0"/>
            <w:vAlign w:val="center"/>
          </w:tcPr>
          <w:p>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color w:val="auto"/>
                <w:szCs w:val="21"/>
                <w:highlight w:val="none"/>
              </w:rPr>
            </w:pPr>
          </w:p>
        </w:tc>
        <w:tc>
          <w:tcPr>
            <w:tcW w:w="664" w:type="dxa"/>
            <w:noWrap w:val="0"/>
            <w:vAlign w:val="center"/>
          </w:tcPr>
          <w:p>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color w:val="auto"/>
                <w:szCs w:val="21"/>
                <w:highlight w:val="none"/>
              </w:rPr>
            </w:pPr>
          </w:p>
        </w:tc>
        <w:tc>
          <w:tcPr>
            <w:tcW w:w="619" w:type="dxa"/>
            <w:noWrap w:val="0"/>
            <w:vAlign w:val="center"/>
          </w:tcPr>
          <w:p>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color w:val="auto"/>
                <w:szCs w:val="21"/>
                <w:highlight w:val="none"/>
              </w:rPr>
            </w:pPr>
          </w:p>
        </w:tc>
        <w:tc>
          <w:tcPr>
            <w:tcW w:w="566" w:type="dxa"/>
            <w:noWrap w:val="0"/>
            <w:vAlign w:val="center"/>
          </w:tcPr>
          <w:p>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color w:val="auto"/>
                <w:szCs w:val="21"/>
                <w:highlight w:val="none"/>
              </w:rPr>
            </w:pPr>
          </w:p>
        </w:tc>
        <w:tc>
          <w:tcPr>
            <w:tcW w:w="678" w:type="dxa"/>
            <w:noWrap w:val="0"/>
            <w:vAlign w:val="center"/>
          </w:tcPr>
          <w:p>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color w:val="auto"/>
                <w:szCs w:val="21"/>
                <w:highlight w:val="none"/>
              </w:rPr>
            </w:pPr>
          </w:p>
        </w:tc>
        <w:tc>
          <w:tcPr>
            <w:tcW w:w="1126"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Courier New"/>
                <w:color w:val="auto"/>
                <w:kern w:val="2"/>
                <w:sz w:val="21"/>
                <w:szCs w:val="21"/>
                <w:highlight w:val="none"/>
                <w:lang w:val="en-US" w:eastAsia="zh-CN" w:bidi="ar-SA"/>
              </w:rPr>
            </w:pPr>
            <w:r>
              <w:rPr>
                <w:rFonts w:hint="eastAsia" w:ascii="宋体" w:hAnsi="宋体" w:cs="Courier New"/>
                <w:color w:val="auto"/>
                <w:sz w:val="21"/>
                <w:szCs w:val="21"/>
                <w:highlight w:val="none"/>
              </w:rPr>
              <w:t>暖通专业负责人</w:t>
            </w:r>
          </w:p>
        </w:tc>
        <w:tc>
          <w:tcPr>
            <w:tcW w:w="624" w:type="dxa"/>
            <w:noWrap w:val="0"/>
            <w:vAlign w:val="center"/>
          </w:tcPr>
          <w:p>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2260"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Courier New"/>
                <w:color w:val="auto"/>
                <w:sz w:val="21"/>
                <w:szCs w:val="21"/>
                <w:highlight w:val="none"/>
                <w:lang w:val="en-US" w:eastAsia="zh-CN"/>
              </w:rPr>
            </w:pPr>
            <w:r>
              <w:rPr>
                <w:rFonts w:hint="eastAsia" w:ascii="宋体" w:hAnsi="宋体" w:cs="Courier New"/>
                <w:color w:val="auto"/>
                <w:sz w:val="21"/>
                <w:szCs w:val="21"/>
                <w:highlight w:val="none"/>
              </w:rPr>
              <w:t>注册设备工程师（暖通），</w:t>
            </w:r>
            <w:r>
              <w:rPr>
                <w:rFonts w:hint="eastAsia" w:ascii="宋体" w:hAnsi="宋体" w:cs="Courier New"/>
                <w:color w:val="auto"/>
                <w:sz w:val="21"/>
                <w:szCs w:val="21"/>
                <w:highlight w:val="none"/>
                <w:lang w:val="en-US" w:eastAsia="zh-CN"/>
              </w:rPr>
              <w:t>具有工程类相关专业</w:t>
            </w:r>
            <w:r>
              <w:rPr>
                <w:rFonts w:hint="eastAsia" w:ascii="宋体" w:hAnsi="宋体" w:cs="Courier New"/>
                <w:color w:val="auto"/>
                <w:sz w:val="21"/>
                <w:szCs w:val="21"/>
                <w:highlight w:val="none"/>
              </w:rPr>
              <w:t>高级</w:t>
            </w:r>
            <w:r>
              <w:rPr>
                <w:rFonts w:hint="eastAsia" w:ascii="宋体" w:hAnsi="宋体" w:cs="Courier New"/>
                <w:color w:val="auto"/>
                <w:sz w:val="21"/>
                <w:szCs w:val="21"/>
                <w:highlight w:val="none"/>
                <w:lang w:eastAsia="zh-CN"/>
              </w:rPr>
              <w:t>（</w:t>
            </w:r>
            <w:r>
              <w:rPr>
                <w:rFonts w:hint="eastAsia" w:ascii="宋体" w:hAnsi="宋体" w:cs="Courier New"/>
                <w:color w:val="auto"/>
                <w:sz w:val="21"/>
                <w:szCs w:val="21"/>
                <w:highlight w:val="none"/>
                <w:lang w:val="en-US" w:eastAsia="zh-CN"/>
              </w:rPr>
              <w:t>或以上</w:t>
            </w:r>
            <w:r>
              <w:rPr>
                <w:rFonts w:hint="eastAsia" w:ascii="宋体" w:hAnsi="宋体" w:cs="Courier New"/>
                <w:color w:val="auto"/>
                <w:sz w:val="21"/>
                <w:szCs w:val="21"/>
                <w:highlight w:val="none"/>
                <w:lang w:eastAsia="zh-CN"/>
              </w:rPr>
              <w:t>）</w:t>
            </w:r>
            <w:r>
              <w:rPr>
                <w:rFonts w:hint="eastAsia" w:ascii="宋体" w:hAnsi="宋体" w:cs="Courier New"/>
                <w:color w:val="auto"/>
                <w:sz w:val="21"/>
                <w:szCs w:val="21"/>
                <w:highlight w:val="none"/>
              </w:rPr>
              <w:t>技术职称</w:t>
            </w:r>
            <w:r>
              <w:rPr>
                <w:rFonts w:hint="default" w:ascii="宋体" w:hAnsi="宋体" w:cs="Courier New"/>
                <w:color w:val="auto"/>
                <w:sz w:val="21"/>
                <w:szCs w:val="21"/>
                <w:highlight w:val="none"/>
              </w:rPr>
              <w:t>，参与过类似项目</w:t>
            </w:r>
            <w:r>
              <w:rPr>
                <w:rFonts w:hint="default" w:asciiTheme="minorEastAsia" w:hAnsiTheme="minorEastAsia" w:cstheme="minorEastAsia"/>
                <w:b w:val="0"/>
                <w:bCs w:val="0"/>
                <w:i w:val="0"/>
                <w:iCs w:val="0"/>
                <w:strike w:val="0"/>
                <w:color w:val="auto"/>
                <w:sz w:val="21"/>
                <w:szCs w:val="21"/>
                <w:highlight w:val="none"/>
                <w:lang w:eastAsia="zh-CN"/>
              </w:rPr>
              <w:t>设计工作经验</w:t>
            </w:r>
            <w:r>
              <w:rPr>
                <w:rFonts w:hint="default" w:ascii="宋体" w:hAnsi="宋体" w:cs="Courier New"/>
                <w:color w:val="auto"/>
                <w:sz w:val="21"/>
                <w:szCs w:val="21"/>
                <w:highlight w:val="none"/>
              </w:rPr>
              <w:t>。</w:t>
            </w:r>
          </w:p>
        </w:tc>
        <w:tc>
          <w:tcPr>
            <w:tcW w:w="639" w:type="dxa"/>
            <w:noWrap w:val="0"/>
            <w:vAlign w:val="center"/>
          </w:tcPr>
          <w:p>
            <w:pPr>
              <w:keepNext w:val="0"/>
              <w:keepLines w:val="0"/>
              <w:suppressLineNumbers w:val="0"/>
              <w:snapToGrid w:val="0"/>
              <w:spacing w:before="0" w:beforeAutospacing="0" w:after="0" w:afterAutospacing="0"/>
              <w:ind w:left="0" w:right="0"/>
              <w:jc w:val="both"/>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2"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w:t>
            </w:r>
          </w:p>
        </w:tc>
        <w:tc>
          <w:tcPr>
            <w:tcW w:w="1101" w:type="dxa"/>
            <w:noWrap w:val="0"/>
            <w:vAlign w:val="center"/>
          </w:tcPr>
          <w:p>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color w:val="auto"/>
                <w:szCs w:val="21"/>
                <w:highlight w:val="none"/>
              </w:rPr>
            </w:pPr>
          </w:p>
        </w:tc>
        <w:tc>
          <w:tcPr>
            <w:tcW w:w="664" w:type="dxa"/>
            <w:noWrap w:val="0"/>
            <w:vAlign w:val="center"/>
          </w:tcPr>
          <w:p>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color w:val="auto"/>
                <w:szCs w:val="21"/>
                <w:highlight w:val="none"/>
              </w:rPr>
            </w:pPr>
          </w:p>
        </w:tc>
        <w:tc>
          <w:tcPr>
            <w:tcW w:w="619" w:type="dxa"/>
            <w:noWrap w:val="0"/>
            <w:vAlign w:val="center"/>
          </w:tcPr>
          <w:p>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color w:val="auto"/>
                <w:szCs w:val="21"/>
                <w:highlight w:val="none"/>
              </w:rPr>
            </w:pPr>
          </w:p>
        </w:tc>
        <w:tc>
          <w:tcPr>
            <w:tcW w:w="566" w:type="dxa"/>
            <w:noWrap w:val="0"/>
            <w:vAlign w:val="center"/>
          </w:tcPr>
          <w:p>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color w:val="auto"/>
                <w:szCs w:val="21"/>
                <w:highlight w:val="none"/>
              </w:rPr>
            </w:pPr>
          </w:p>
        </w:tc>
        <w:tc>
          <w:tcPr>
            <w:tcW w:w="678" w:type="dxa"/>
            <w:noWrap w:val="0"/>
            <w:vAlign w:val="center"/>
          </w:tcPr>
          <w:p>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宋体"/>
                <w:color w:val="auto"/>
                <w:szCs w:val="21"/>
                <w:highlight w:val="none"/>
              </w:rPr>
            </w:pPr>
          </w:p>
        </w:tc>
        <w:tc>
          <w:tcPr>
            <w:tcW w:w="1126"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Courier New"/>
                <w:color w:val="auto"/>
                <w:kern w:val="2"/>
                <w:sz w:val="21"/>
                <w:szCs w:val="21"/>
                <w:highlight w:val="none"/>
                <w:lang w:val="en-US" w:eastAsia="zh-CN" w:bidi="ar-SA"/>
              </w:rPr>
            </w:pPr>
            <w:r>
              <w:rPr>
                <w:rFonts w:hint="eastAsia" w:ascii="宋体" w:hAnsi="宋体" w:cs="Courier New"/>
                <w:color w:val="auto"/>
                <w:sz w:val="21"/>
                <w:szCs w:val="21"/>
                <w:highlight w:val="none"/>
              </w:rPr>
              <w:t>园林专业负责人</w:t>
            </w:r>
          </w:p>
        </w:tc>
        <w:tc>
          <w:tcPr>
            <w:tcW w:w="624" w:type="dxa"/>
            <w:noWrap w:val="0"/>
            <w:vAlign w:val="center"/>
          </w:tcPr>
          <w:p>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2260"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Courier New"/>
                <w:color w:val="auto"/>
                <w:sz w:val="21"/>
                <w:szCs w:val="21"/>
                <w:highlight w:val="none"/>
                <w:lang w:eastAsia="zh-CN"/>
              </w:rPr>
            </w:pPr>
            <w:r>
              <w:rPr>
                <w:rFonts w:hint="eastAsia" w:ascii="宋体" w:hAnsi="宋体" w:cs="Courier New"/>
                <w:color w:val="auto"/>
                <w:sz w:val="21"/>
                <w:szCs w:val="21"/>
                <w:highlight w:val="none"/>
              </w:rPr>
              <w:t>园林</w:t>
            </w:r>
            <w:r>
              <w:rPr>
                <w:rFonts w:hint="default" w:ascii="宋体" w:hAnsi="宋体" w:cs="Courier New"/>
                <w:color w:val="auto"/>
                <w:sz w:val="21"/>
                <w:szCs w:val="21"/>
                <w:highlight w:val="none"/>
              </w:rPr>
              <w:t>相关</w:t>
            </w:r>
            <w:r>
              <w:rPr>
                <w:rFonts w:hint="eastAsia" w:ascii="宋体" w:hAnsi="宋体" w:cs="Courier New"/>
                <w:color w:val="auto"/>
                <w:sz w:val="21"/>
                <w:szCs w:val="21"/>
                <w:highlight w:val="none"/>
              </w:rPr>
              <w:t>专业高级</w:t>
            </w:r>
            <w:r>
              <w:rPr>
                <w:rFonts w:hint="eastAsia" w:ascii="宋体" w:hAnsi="宋体" w:cs="Courier New"/>
                <w:color w:val="auto"/>
                <w:sz w:val="21"/>
                <w:szCs w:val="21"/>
                <w:highlight w:val="none"/>
                <w:lang w:eastAsia="zh-CN"/>
              </w:rPr>
              <w:t>（</w:t>
            </w:r>
            <w:r>
              <w:rPr>
                <w:rFonts w:hint="eastAsia" w:ascii="宋体" w:hAnsi="宋体" w:cs="Courier New"/>
                <w:color w:val="auto"/>
                <w:sz w:val="21"/>
                <w:szCs w:val="21"/>
                <w:highlight w:val="none"/>
                <w:lang w:val="en-US" w:eastAsia="zh-CN"/>
              </w:rPr>
              <w:t>或以上</w:t>
            </w:r>
            <w:r>
              <w:rPr>
                <w:rFonts w:hint="eastAsia" w:ascii="宋体" w:hAnsi="宋体" w:cs="Courier New"/>
                <w:color w:val="auto"/>
                <w:sz w:val="21"/>
                <w:szCs w:val="21"/>
                <w:highlight w:val="none"/>
                <w:lang w:eastAsia="zh-CN"/>
              </w:rPr>
              <w:t>）</w:t>
            </w:r>
            <w:r>
              <w:rPr>
                <w:rFonts w:hint="eastAsia" w:ascii="宋体" w:hAnsi="宋体" w:cs="Courier New"/>
                <w:color w:val="auto"/>
                <w:sz w:val="21"/>
                <w:szCs w:val="21"/>
                <w:highlight w:val="none"/>
              </w:rPr>
              <w:t>技术职称</w:t>
            </w:r>
            <w:r>
              <w:rPr>
                <w:rFonts w:hint="eastAsia" w:ascii="宋体" w:hAnsi="宋体" w:cs="Courier New"/>
                <w:color w:val="auto"/>
                <w:sz w:val="21"/>
                <w:szCs w:val="21"/>
                <w:highlight w:val="none"/>
                <w:lang w:eastAsia="zh-CN"/>
              </w:rPr>
              <w:t>，</w:t>
            </w:r>
            <w:r>
              <w:rPr>
                <w:rFonts w:hint="eastAsia" w:ascii="宋体" w:hAnsi="宋体" w:cs="Courier New"/>
                <w:b w:val="0"/>
                <w:bCs w:val="0"/>
                <w:color w:val="auto"/>
                <w:sz w:val="21"/>
                <w:szCs w:val="21"/>
                <w:highlight w:val="none"/>
              </w:rPr>
              <w:t>从事</w:t>
            </w:r>
            <w:r>
              <w:rPr>
                <w:rFonts w:hint="eastAsia" w:asciiTheme="minorEastAsia" w:hAnsiTheme="minorEastAsia" w:eastAsiaTheme="minorEastAsia" w:cstheme="minorEastAsia"/>
                <w:b w:val="0"/>
                <w:bCs w:val="0"/>
                <w:i w:val="0"/>
                <w:iCs w:val="0"/>
                <w:color w:val="auto"/>
                <w:sz w:val="21"/>
                <w:szCs w:val="21"/>
                <w:highlight w:val="none"/>
              </w:rPr>
              <w:t>本专业工作</w:t>
            </w:r>
            <w:r>
              <w:rPr>
                <w:rFonts w:hint="eastAsia" w:asciiTheme="minorEastAsia" w:hAnsiTheme="minorEastAsia" w:eastAsiaTheme="minorEastAsia" w:cstheme="minorEastAsia"/>
                <w:b w:val="0"/>
                <w:bCs w:val="0"/>
                <w:i w:val="0"/>
                <w:iCs w:val="0"/>
                <w:color w:val="auto"/>
                <w:sz w:val="21"/>
                <w:szCs w:val="21"/>
                <w:highlight w:val="none"/>
                <w:lang w:val="en-US" w:eastAsia="zh-CN"/>
              </w:rPr>
              <w:t>10</w:t>
            </w:r>
            <w:r>
              <w:rPr>
                <w:rFonts w:hint="eastAsia" w:asciiTheme="minorEastAsia" w:hAnsiTheme="minorEastAsia" w:eastAsiaTheme="minorEastAsia" w:cstheme="minorEastAsia"/>
                <w:b w:val="0"/>
                <w:bCs w:val="0"/>
                <w:i w:val="0"/>
                <w:iCs w:val="0"/>
                <w:color w:val="auto"/>
                <w:sz w:val="21"/>
                <w:szCs w:val="21"/>
                <w:highlight w:val="none"/>
              </w:rPr>
              <w:t>年</w:t>
            </w:r>
            <w:r>
              <w:rPr>
                <w:rFonts w:hint="eastAsia" w:asciiTheme="minorEastAsia" w:hAnsiTheme="minorEastAsia" w:cstheme="minorEastAsia"/>
                <w:b w:val="0"/>
                <w:bCs w:val="0"/>
                <w:i w:val="0"/>
                <w:iCs w:val="0"/>
                <w:color w:val="auto"/>
                <w:sz w:val="21"/>
                <w:szCs w:val="21"/>
                <w:highlight w:val="none"/>
                <w:lang w:val="en-US" w:eastAsia="zh-CN"/>
              </w:rPr>
              <w:t>或</w:t>
            </w:r>
            <w:r>
              <w:rPr>
                <w:rFonts w:hint="eastAsia" w:asciiTheme="minorEastAsia" w:hAnsiTheme="minorEastAsia" w:eastAsiaTheme="minorEastAsia" w:cstheme="minorEastAsia"/>
                <w:b w:val="0"/>
                <w:bCs w:val="0"/>
                <w:i w:val="0"/>
                <w:iCs w:val="0"/>
                <w:color w:val="auto"/>
                <w:sz w:val="21"/>
                <w:szCs w:val="21"/>
                <w:highlight w:val="none"/>
              </w:rPr>
              <w:t>以上</w:t>
            </w:r>
            <w:r>
              <w:rPr>
                <w:rFonts w:hint="eastAsia" w:asciiTheme="minorEastAsia" w:hAnsiTheme="minorEastAsia" w:eastAsiaTheme="minorEastAsia" w:cstheme="minorEastAsia"/>
                <w:b w:val="0"/>
                <w:bCs w:val="0"/>
                <w:i w:val="0"/>
                <w:iCs w:val="0"/>
                <w:color w:val="auto"/>
                <w:sz w:val="21"/>
                <w:szCs w:val="21"/>
                <w:highlight w:val="none"/>
                <w:lang w:eastAsia="zh-CN"/>
              </w:rPr>
              <w:t>。</w:t>
            </w:r>
            <w:r>
              <w:rPr>
                <w:rFonts w:hint="default" w:asciiTheme="minorEastAsia" w:hAnsiTheme="minorEastAsia" w:cstheme="minorEastAsia"/>
                <w:b w:val="0"/>
                <w:bCs w:val="0"/>
                <w:i w:val="0"/>
                <w:iCs w:val="0"/>
                <w:color w:val="auto"/>
                <w:sz w:val="21"/>
                <w:szCs w:val="21"/>
                <w:highlight w:val="none"/>
                <w:lang w:eastAsia="zh-CN"/>
              </w:rPr>
              <w:t>参与过</w:t>
            </w:r>
            <w:r>
              <w:rPr>
                <w:rFonts w:hint="default" w:ascii="宋体" w:hAnsi="宋体" w:cs="Courier New"/>
                <w:color w:val="auto"/>
                <w:sz w:val="21"/>
                <w:szCs w:val="21"/>
                <w:highlight w:val="none"/>
              </w:rPr>
              <w:t>类似项目</w:t>
            </w:r>
            <w:r>
              <w:rPr>
                <w:rFonts w:hint="default" w:asciiTheme="minorEastAsia" w:hAnsiTheme="minorEastAsia" w:cstheme="minorEastAsia"/>
                <w:b w:val="0"/>
                <w:bCs w:val="0"/>
                <w:i w:val="0"/>
                <w:iCs w:val="0"/>
                <w:strike w:val="0"/>
                <w:color w:val="auto"/>
                <w:sz w:val="21"/>
                <w:szCs w:val="21"/>
                <w:highlight w:val="none"/>
                <w:lang w:eastAsia="zh-CN"/>
              </w:rPr>
              <w:t>设计工作经验</w:t>
            </w:r>
            <w:r>
              <w:rPr>
                <w:rFonts w:hint="default" w:asciiTheme="minorEastAsia" w:hAnsiTheme="minorEastAsia" w:cstheme="minorEastAsia"/>
                <w:b w:val="0"/>
                <w:bCs w:val="0"/>
                <w:i w:val="0"/>
                <w:iCs w:val="0"/>
                <w:color w:val="auto"/>
                <w:sz w:val="21"/>
                <w:szCs w:val="21"/>
                <w:highlight w:val="none"/>
                <w:lang w:eastAsia="zh-CN"/>
              </w:rPr>
              <w:t>。</w:t>
            </w:r>
          </w:p>
        </w:tc>
        <w:tc>
          <w:tcPr>
            <w:tcW w:w="639" w:type="dxa"/>
            <w:noWrap w:val="0"/>
            <w:vAlign w:val="center"/>
          </w:tcPr>
          <w:p>
            <w:pPr>
              <w:keepNext w:val="0"/>
              <w:keepLines w:val="0"/>
              <w:suppressLineNumbers w:val="0"/>
              <w:snapToGrid w:val="0"/>
              <w:spacing w:before="0" w:beforeAutospacing="0" w:after="0" w:afterAutospacing="0"/>
              <w:ind w:left="0" w:right="0"/>
              <w:jc w:val="both"/>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2"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w:t>
            </w:r>
          </w:p>
        </w:tc>
        <w:tc>
          <w:tcPr>
            <w:tcW w:w="1101" w:type="dxa"/>
            <w:noWrap w:val="0"/>
            <w:vAlign w:val="center"/>
          </w:tcPr>
          <w:p>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color w:val="auto"/>
                <w:szCs w:val="21"/>
                <w:highlight w:val="none"/>
              </w:rPr>
            </w:pPr>
          </w:p>
        </w:tc>
        <w:tc>
          <w:tcPr>
            <w:tcW w:w="664" w:type="dxa"/>
            <w:noWrap w:val="0"/>
            <w:vAlign w:val="center"/>
          </w:tcPr>
          <w:p>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color w:val="auto"/>
                <w:szCs w:val="21"/>
                <w:highlight w:val="none"/>
              </w:rPr>
            </w:pPr>
          </w:p>
        </w:tc>
        <w:tc>
          <w:tcPr>
            <w:tcW w:w="619" w:type="dxa"/>
            <w:noWrap w:val="0"/>
            <w:vAlign w:val="center"/>
          </w:tcPr>
          <w:p>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color w:val="auto"/>
                <w:szCs w:val="21"/>
                <w:highlight w:val="none"/>
              </w:rPr>
            </w:pPr>
          </w:p>
        </w:tc>
        <w:tc>
          <w:tcPr>
            <w:tcW w:w="566" w:type="dxa"/>
            <w:noWrap w:val="0"/>
            <w:vAlign w:val="center"/>
          </w:tcPr>
          <w:p>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color w:val="auto"/>
                <w:szCs w:val="21"/>
                <w:highlight w:val="none"/>
              </w:rPr>
            </w:pPr>
          </w:p>
        </w:tc>
        <w:tc>
          <w:tcPr>
            <w:tcW w:w="678" w:type="dxa"/>
            <w:noWrap w:val="0"/>
            <w:vAlign w:val="center"/>
          </w:tcPr>
          <w:p>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color w:val="auto"/>
                <w:szCs w:val="21"/>
                <w:highlight w:val="none"/>
              </w:rPr>
            </w:pPr>
          </w:p>
        </w:tc>
        <w:tc>
          <w:tcPr>
            <w:tcW w:w="1126"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Courier New"/>
                <w:color w:val="auto"/>
                <w:kern w:val="2"/>
                <w:sz w:val="21"/>
                <w:szCs w:val="21"/>
                <w:highlight w:val="none"/>
                <w:lang w:val="en-US" w:eastAsia="zh-CN" w:bidi="ar-SA"/>
              </w:rPr>
            </w:pPr>
            <w:r>
              <w:rPr>
                <w:rFonts w:hint="eastAsia" w:ascii="宋体" w:hAnsi="宋体" w:cs="Courier New"/>
                <w:color w:val="auto"/>
                <w:sz w:val="21"/>
                <w:szCs w:val="21"/>
                <w:highlight w:val="none"/>
              </w:rPr>
              <w:t>电气专业负责人</w:t>
            </w:r>
          </w:p>
        </w:tc>
        <w:tc>
          <w:tcPr>
            <w:tcW w:w="624" w:type="dxa"/>
            <w:noWrap w:val="0"/>
            <w:vAlign w:val="center"/>
          </w:tcPr>
          <w:p>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2260"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Courier New"/>
                <w:color w:val="auto"/>
                <w:sz w:val="21"/>
                <w:szCs w:val="21"/>
                <w:highlight w:val="none"/>
                <w:lang w:val="en-US" w:eastAsia="zh-CN"/>
              </w:rPr>
            </w:pPr>
            <w:r>
              <w:rPr>
                <w:rFonts w:hint="eastAsia" w:ascii="宋体" w:hAnsi="宋体" w:cs="Courier New"/>
                <w:color w:val="auto"/>
                <w:sz w:val="21"/>
                <w:szCs w:val="21"/>
                <w:highlight w:val="none"/>
              </w:rPr>
              <w:t>注册电气工程师，</w:t>
            </w:r>
            <w:r>
              <w:rPr>
                <w:rFonts w:hint="eastAsia" w:ascii="宋体" w:hAnsi="宋体" w:cs="Courier New"/>
                <w:color w:val="auto"/>
                <w:sz w:val="21"/>
                <w:szCs w:val="21"/>
                <w:highlight w:val="none"/>
                <w:lang w:val="en-US" w:eastAsia="zh-CN"/>
              </w:rPr>
              <w:t>具有工程类相关专业</w:t>
            </w:r>
            <w:r>
              <w:rPr>
                <w:rFonts w:hint="eastAsia" w:ascii="宋体" w:hAnsi="宋体" w:cs="Courier New"/>
                <w:color w:val="auto"/>
                <w:sz w:val="21"/>
                <w:szCs w:val="21"/>
                <w:highlight w:val="none"/>
              </w:rPr>
              <w:t>高级</w:t>
            </w:r>
            <w:r>
              <w:rPr>
                <w:rFonts w:hint="eastAsia" w:ascii="宋体" w:hAnsi="宋体" w:cs="Courier New"/>
                <w:color w:val="auto"/>
                <w:sz w:val="21"/>
                <w:szCs w:val="21"/>
                <w:highlight w:val="none"/>
                <w:lang w:eastAsia="zh-CN"/>
              </w:rPr>
              <w:t>（</w:t>
            </w:r>
            <w:r>
              <w:rPr>
                <w:rFonts w:hint="eastAsia" w:ascii="宋体" w:hAnsi="宋体" w:cs="Courier New"/>
                <w:color w:val="auto"/>
                <w:sz w:val="21"/>
                <w:szCs w:val="21"/>
                <w:highlight w:val="none"/>
                <w:lang w:val="en-US" w:eastAsia="zh-CN"/>
              </w:rPr>
              <w:t>或以上</w:t>
            </w:r>
            <w:r>
              <w:rPr>
                <w:rFonts w:hint="eastAsia" w:ascii="宋体" w:hAnsi="宋体" w:cs="Courier New"/>
                <w:color w:val="auto"/>
                <w:sz w:val="21"/>
                <w:szCs w:val="21"/>
                <w:highlight w:val="none"/>
                <w:lang w:eastAsia="zh-CN"/>
              </w:rPr>
              <w:t>）</w:t>
            </w:r>
            <w:r>
              <w:rPr>
                <w:rFonts w:hint="eastAsia" w:ascii="宋体" w:hAnsi="宋体" w:cs="Courier New"/>
                <w:color w:val="auto"/>
                <w:sz w:val="21"/>
                <w:szCs w:val="21"/>
                <w:highlight w:val="none"/>
              </w:rPr>
              <w:t>技术职称</w:t>
            </w:r>
            <w:r>
              <w:rPr>
                <w:rFonts w:hint="default" w:ascii="宋体" w:hAnsi="宋体" w:cs="Courier New"/>
                <w:color w:val="auto"/>
                <w:sz w:val="21"/>
                <w:szCs w:val="21"/>
                <w:highlight w:val="none"/>
              </w:rPr>
              <w:t>，参与过类似项目</w:t>
            </w:r>
            <w:r>
              <w:rPr>
                <w:rFonts w:hint="default" w:asciiTheme="minorEastAsia" w:hAnsiTheme="minorEastAsia" w:cstheme="minorEastAsia"/>
                <w:b w:val="0"/>
                <w:bCs w:val="0"/>
                <w:i w:val="0"/>
                <w:iCs w:val="0"/>
                <w:strike w:val="0"/>
                <w:color w:val="auto"/>
                <w:sz w:val="21"/>
                <w:szCs w:val="21"/>
                <w:highlight w:val="none"/>
                <w:lang w:eastAsia="zh-CN"/>
              </w:rPr>
              <w:t>设计工作经验</w:t>
            </w:r>
            <w:r>
              <w:rPr>
                <w:rFonts w:hint="default" w:ascii="宋体" w:hAnsi="宋体" w:cs="Courier New"/>
                <w:color w:val="auto"/>
                <w:sz w:val="21"/>
                <w:szCs w:val="21"/>
                <w:highlight w:val="none"/>
              </w:rPr>
              <w:t>。</w:t>
            </w:r>
          </w:p>
        </w:tc>
        <w:tc>
          <w:tcPr>
            <w:tcW w:w="639" w:type="dxa"/>
            <w:noWrap w:val="0"/>
            <w:vAlign w:val="center"/>
          </w:tcPr>
          <w:p>
            <w:pPr>
              <w:keepNext w:val="0"/>
              <w:keepLines w:val="0"/>
              <w:suppressLineNumbers w:val="0"/>
              <w:snapToGrid w:val="0"/>
              <w:spacing w:before="0" w:beforeAutospacing="0" w:after="0" w:afterAutospacing="0"/>
              <w:ind w:left="0" w:right="0"/>
              <w:jc w:val="both"/>
              <w:rPr>
                <w:rFonts w:hint="eastAsia" w:ascii="宋体" w:hAnsi="宋体" w:eastAsia="宋体" w:cs="宋体"/>
                <w:color w:val="auto"/>
                <w:szCs w:val="21"/>
                <w:highlight w:val="none"/>
              </w:rPr>
            </w:pPr>
          </w:p>
        </w:tc>
      </w:tr>
      <w:bookmarkEnd w:id="8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2"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101"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664"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619"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566"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678"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126"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Courier New"/>
                <w:color w:val="auto"/>
                <w:kern w:val="2"/>
                <w:sz w:val="21"/>
                <w:szCs w:val="21"/>
                <w:highlight w:val="none"/>
                <w:lang w:val="en-US" w:eastAsia="zh-CN" w:bidi="ar-SA"/>
              </w:rPr>
            </w:pPr>
            <w:r>
              <w:rPr>
                <w:rFonts w:hint="eastAsia" w:ascii="宋体" w:hAnsi="宋体" w:cs="Courier New"/>
                <w:color w:val="auto"/>
                <w:sz w:val="21"/>
                <w:szCs w:val="21"/>
                <w:highlight w:val="none"/>
              </w:rPr>
              <w:t>智能化专业负责人</w:t>
            </w:r>
          </w:p>
        </w:tc>
        <w:tc>
          <w:tcPr>
            <w:tcW w:w="624" w:type="dxa"/>
            <w:noWrap w:val="0"/>
            <w:vAlign w:val="center"/>
          </w:tcPr>
          <w:p>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2260"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Courier New"/>
                <w:color w:val="auto"/>
                <w:sz w:val="21"/>
                <w:szCs w:val="21"/>
                <w:highlight w:val="none"/>
                <w:lang w:val="en-US" w:eastAsia="zh-CN"/>
              </w:rPr>
            </w:pPr>
            <w:r>
              <w:rPr>
                <w:rFonts w:hint="eastAsia" w:ascii="宋体" w:hAnsi="宋体" w:cs="Courier New"/>
                <w:color w:val="auto"/>
                <w:sz w:val="21"/>
                <w:szCs w:val="21"/>
                <w:highlight w:val="none"/>
              </w:rPr>
              <w:t>注册电气工程师，</w:t>
            </w:r>
            <w:r>
              <w:rPr>
                <w:rFonts w:hint="eastAsia" w:ascii="宋体" w:hAnsi="宋体" w:cs="Courier New"/>
                <w:color w:val="auto"/>
                <w:sz w:val="21"/>
                <w:szCs w:val="21"/>
                <w:highlight w:val="none"/>
                <w:lang w:val="en-US" w:eastAsia="zh-CN"/>
              </w:rPr>
              <w:t>具有工程类相关专业</w:t>
            </w:r>
            <w:r>
              <w:rPr>
                <w:rFonts w:hint="eastAsia" w:ascii="宋体" w:hAnsi="宋体" w:cs="Courier New"/>
                <w:color w:val="auto"/>
                <w:sz w:val="21"/>
                <w:szCs w:val="21"/>
                <w:highlight w:val="none"/>
              </w:rPr>
              <w:t>高级</w:t>
            </w:r>
            <w:r>
              <w:rPr>
                <w:rFonts w:hint="eastAsia" w:ascii="宋体" w:hAnsi="宋体" w:cs="Courier New"/>
                <w:color w:val="auto"/>
                <w:sz w:val="21"/>
                <w:szCs w:val="21"/>
                <w:highlight w:val="none"/>
                <w:lang w:eastAsia="zh-CN"/>
              </w:rPr>
              <w:t>（</w:t>
            </w:r>
            <w:r>
              <w:rPr>
                <w:rFonts w:hint="eastAsia" w:ascii="宋体" w:hAnsi="宋体" w:cs="Courier New"/>
                <w:color w:val="auto"/>
                <w:sz w:val="21"/>
                <w:szCs w:val="21"/>
                <w:highlight w:val="none"/>
                <w:lang w:val="en-US" w:eastAsia="zh-CN"/>
              </w:rPr>
              <w:t>或以上</w:t>
            </w:r>
            <w:r>
              <w:rPr>
                <w:rFonts w:hint="eastAsia" w:ascii="宋体" w:hAnsi="宋体" w:cs="Courier New"/>
                <w:color w:val="auto"/>
                <w:sz w:val="21"/>
                <w:szCs w:val="21"/>
                <w:highlight w:val="none"/>
                <w:lang w:eastAsia="zh-CN"/>
              </w:rPr>
              <w:t>）</w:t>
            </w:r>
            <w:r>
              <w:rPr>
                <w:rFonts w:hint="eastAsia" w:ascii="宋体" w:hAnsi="宋体" w:cs="Courier New"/>
                <w:color w:val="auto"/>
                <w:sz w:val="21"/>
                <w:szCs w:val="21"/>
                <w:highlight w:val="none"/>
              </w:rPr>
              <w:t>技术职称</w:t>
            </w:r>
            <w:r>
              <w:rPr>
                <w:rFonts w:hint="default" w:ascii="宋体" w:hAnsi="宋体" w:cs="Courier New"/>
                <w:color w:val="auto"/>
                <w:sz w:val="21"/>
                <w:szCs w:val="21"/>
                <w:highlight w:val="none"/>
              </w:rPr>
              <w:t>，参与过类似项目</w:t>
            </w:r>
            <w:r>
              <w:rPr>
                <w:rFonts w:hint="default" w:asciiTheme="minorEastAsia" w:hAnsiTheme="minorEastAsia" w:cstheme="minorEastAsia"/>
                <w:b w:val="0"/>
                <w:bCs w:val="0"/>
                <w:i w:val="0"/>
                <w:iCs w:val="0"/>
                <w:strike w:val="0"/>
                <w:color w:val="auto"/>
                <w:sz w:val="21"/>
                <w:szCs w:val="21"/>
                <w:highlight w:val="none"/>
                <w:lang w:eastAsia="zh-CN"/>
              </w:rPr>
              <w:t>设计工作经验</w:t>
            </w:r>
            <w:r>
              <w:rPr>
                <w:rFonts w:hint="default" w:ascii="宋体" w:hAnsi="宋体" w:cs="Courier New"/>
                <w:color w:val="auto"/>
                <w:sz w:val="21"/>
                <w:szCs w:val="21"/>
                <w:highlight w:val="none"/>
              </w:rPr>
              <w:t>。</w:t>
            </w:r>
          </w:p>
        </w:tc>
        <w:tc>
          <w:tcPr>
            <w:tcW w:w="639" w:type="dxa"/>
            <w:noWrap w:val="0"/>
            <w:vAlign w:val="center"/>
          </w:tcPr>
          <w:p>
            <w:pPr>
              <w:keepNext w:val="0"/>
              <w:keepLines w:val="0"/>
              <w:suppressLineNumbers w:val="0"/>
              <w:snapToGrid w:val="0"/>
              <w:spacing w:before="0" w:beforeAutospacing="0" w:after="0" w:afterAutospacing="0"/>
              <w:ind w:left="0" w:right="0"/>
              <w:jc w:val="both"/>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2" w:type="dxa"/>
            <w:noWrap w:val="0"/>
            <w:vAlign w:val="center"/>
          </w:tcPr>
          <w:p>
            <w:pPr>
              <w:keepNext w:val="0"/>
              <w:keepLines w:val="0"/>
              <w:suppressLineNumbers w:val="0"/>
              <w:snapToGrid w:val="0"/>
              <w:spacing w:before="0" w:beforeAutospacing="0" w:after="0" w:afterAutospacing="0"/>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101"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664"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619"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566"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678"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126"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Courier New"/>
                <w:color w:val="auto"/>
                <w:kern w:val="2"/>
                <w:sz w:val="21"/>
                <w:szCs w:val="21"/>
                <w:highlight w:val="none"/>
                <w:lang w:val="en-US" w:eastAsia="zh-CN" w:bidi="ar-SA"/>
              </w:rPr>
            </w:pPr>
            <w:r>
              <w:rPr>
                <w:rFonts w:hint="eastAsia" w:ascii="宋体" w:hAnsi="宋体" w:cs="Courier New"/>
                <w:color w:val="auto"/>
                <w:sz w:val="21"/>
                <w:szCs w:val="21"/>
                <w:highlight w:val="none"/>
              </w:rPr>
              <w:t>给排水专业负责人</w:t>
            </w:r>
          </w:p>
        </w:tc>
        <w:tc>
          <w:tcPr>
            <w:tcW w:w="624" w:type="dxa"/>
            <w:noWrap w:val="0"/>
            <w:vAlign w:val="center"/>
          </w:tcPr>
          <w:p>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2260"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Courier New" w:eastAsiaTheme="minorEastAsia"/>
                <w:color w:val="auto"/>
                <w:sz w:val="21"/>
                <w:szCs w:val="21"/>
                <w:highlight w:val="none"/>
                <w:lang w:val="en-US" w:eastAsia="zh-CN"/>
              </w:rPr>
            </w:pPr>
            <w:r>
              <w:rPr>
                <w:rFonts w:hint="eastAsia" w:ascii="宋体" w:hAnsi="宋体" w:cs="Courier New"/>
                <w:color w:val="auto"/>
                <w:sz w:val="21"/>
                <w:szCs w:val="21"/>
                <w:highlight w:val="none"/>
              </w:rPr>
              <w:t>注册设备工程师（给排水），</w:t>
            </w:r>
            <w:r>
              <w:rPr>
                <w:rFonts w:hint="eastAsia" w:ascii="宋体" w:hAnsi="宋体" w:cs="Courier New"/>
                <w:color w:val="auto"/>
                <w:sz w:val="21"/>
                <w:szCs w:val="21"/>
                <w:highlight w:val="none"/>
                <w:lang w:val="en-US" w:eastAsia="zh-CN"/>
              </w:rPr>
              <w:t>具有工程类相关专业</w:t>
            </w:r>
            <w:r>
              <w:rPr>
                <w:rFonts w:hint="eastAsia" w:ascii="宋体" w:hAnsi="宋体" w:cs="Courier New"/>
                <w:color w:val="auto"/>
                <w:sz w:val="21"/>
                <w:szCs w:val="21"/>
                <w:highlight w:val="none"/>
              </w:rPr>
              <w:t>高级</w:t>
            </w:r>
            <w:r>
              <w:rPr>
                <w:rFonts w:hint="eastAsia" w:ascii="宋体" w:hAnsi="宋体" w:cs="Courier New"/>
                <w:color w:val="auto"/>
                <w:sz w:val="21"/>
                <w:szCs w:val="21"/>
                <w:highlight w:val="none"/>
                <w:lang w:eastAsia="zh-CN"/>
              </w:rPr>
              <w:t>（</w:t>
            </w:r>
            <w:r>
              <w:rPr>
                <w:rFonts w:hint="eastAsia" w:ascii="宋体" w:hAnsi="宋体" w:cs="Courier New"/>
                <w:color w:val="auto"/>
                <w:sz w:val="21"/>
                <w:szCs w:val="21"/>
                <w:highlight w:val="none"/>
                <w:lang w:val="en-US" w:eastAsia="zh-CN"/>
              </w:rPr>
              <w:t>或以上</w:t>
            </w:r>
            <w:r>
              <w:rPr>
                <w:rFonts w:hint="eastAsia" w:ascii="宋体" w:hAnsi="宋体" w:cs="Courier New"/>
                <w:color w:val="auto"/>
                <w:sz w:val="21"/>
                <w:szCs w:val="21"/>
                <w:highlight w:val="none"/>
                <w:lang w:eastAsia="zh-CN"/>
              </w:rPr>
              <w:t>）</w:t>
            </w:r>
            <w:r>
              <w:rPr>
                <w:rFonts w:hint="eastAsia" w:ascii="宋体" w:hAnsi="宋体" w:cs="Courier New"/>
                <w:color w:val="auto"/>
                <w:sz w:val="21"/>
                <w:szCs w:val="21"/>
                <w:highlight w:val="none"/>
              </w:rPr>
              <w:t>技术职称</w:t>
            </w:r>
            <w:r>
              <w:rPr>
                <w:rFonts w:hint="default" w:ascii="宋体" w:hAnsi="宋体" w:cs="Courier New"/>
                <w:color w:val="auto"/>
                <w:sz w:val="21"/>
                <w:szCs w:val="21"/>
                <w:highlight w:val="none"/>
              </w:rPr>
              <w:t>，参与过类似项目</w:t>
            </w:r>
            <w:r>
              <w:rPr>
                <w:rFonts w:hint="default" w:asciiTheme="minorEastAsia" w:hAnsiTheme="minorEastAsia" w:cstheme="minorEastAsia"/>
                <w:b w:val="0"/>
                <w:bCs w:val="0"/>
                <w:i w:val="0"/>
                <w:iCs w:val="0"/>
                <w:strike w:val="0"/>
                <w:color w:val="auto"/>
                <w:sz w:val="21"/>
                <w:szCs w:val="21"/>
                <w:highlight w:val="none"/>
                <w:lang w:eastAsia="zh-CN"/>
              </w:rPr>
              <w:t>设计工作经验</w:t>
            </w:r>
            <w:r>
              <w:rPr>
                <w:rFonts w:hint="default" w:ascii="宋体" w:hAnsi="宋体" w:cs="Courier New"/>
                <w:color w:val="auto"/>
                <w:sz w:val="21"/>
                <w:szCs w:val="21"/>
                <w:highlight w:val="none"/>
              </w:rPr>
              <w:t>。</w:t>
            </w:r>
          </w:p>
        </w:tc>
        <w:tc>
          <w:tcPr>
            <w:tcW w:w="639" w:type="dxa"/>
            <w:noWrap w:val="0"/>
            <w:vAlign w:val="center"/>
          </w:tcPr>
          <w:p>
            <w:pPr>
              <w:keepNext w:val="0"/>
              <w:keepLines w:val="0"/>
              <w:suppressLineNumbers w:val="0"/>
              <w:snapToGrid w:val="0"/>
              <w:spacing w:before="0" w:beforeAutospacing="0" w:after="0" w:afterAutospacing="0"/>
              <w:ind w:left="0" w:right="0"/>
              <w:jc w:val="both"/>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2" w:type="dxa"/>
            <w:noWrap w:val="0"/>
            <w:vAlign w:val="center"/>
          </w:tcPr>
          <w:p>
            <w:pPr>
              <w:keepNext w:val="0"/>
              <w:keepLines w:val="0"/>
              <w:suppressLineNumbers w:val="0"/>
              <w:snapToGrid w:val="0"/>
              <w:spacing w:before="0" w:beforeAutospacing="0" w:after="0" w:afterAutospacing="0"/>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101"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664"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619"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566"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678"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12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Courier New"/>
                <w:color w:val="auto"/>
                <w:kern w:val="2"/>
                <w:sz w:val="21"/>
                <w:szCs w:val="21"/>
                <w:highlight w:val="none"/>
                <w:lang w:val="en-US" w:eastAsia="zh-CN" w:bidi="ar-SA"/>
              </w:rPr>
            </w:pPr>
            <w:r>
              <w:rPr>
                <w:rFonts w:hint="eastAsia" w:ascii="宋体" w:hAnsi="宋体" w:cs="Courier New"/>
                <w:color w:val="auto"/>
                <w:sz w:val="21"/>
                <w:szCs w:val="21"/>
                <w:highlight w:val="none"/>
              </w:rPr>
              <w:t>报建负责人</w:t>
            </w:r>
          </w:p>
        </w:tc>
        <w:tc>
          <w:tcPr>
            <w:tcW w:w="624" w:type="dxa"/>
            <w:noWrap w:val="0"/>
            <w:vAlign w:val="center"/>
          </w:tcPr>
          <w:p>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260"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Courier New"/>
                <w:color w:val="auto"/>
                <w:sz w:val="21"/>
                <w:szCs w:val="21"/>
                <w:highlight w:val="none"/>
                <w:lang w:val="en-US" w:eastAsia="zh-CN"/>
              </w:rPr>
            </w:pPr>
            <w:r>
              <w:rPr>
                <w:rFonts w:hint="eastAsia" w:ascii="宋体" w:hAnsi="宋体" w:cs="Courier New"/>
                <w:color w:val="auto"/>
                <w:sz w:val="21"/>
                <w:szCs w:val="21"/>
                <w:highlight w:val="none"/>
              </w:rPr>
              <w:t>工程技术</w:t>
            </w:r>
            <w:r>
              <w:rPr>
                <w:rFonts w:hint="default" w:ascii="宋体" w:hAnsi="宋体" w:cs="Courier New"/>
                <w:color w:val="auto"/>
                <w:sz w:val="21"/>
                <w:szCs w:val="21"/>
                <w:highlight w:val="none"/>
              </w:rPr>
              <w:t>相关</w:t>
            </w:r>
            <w:r>
              <w:rPr>
                <w:rFonts w:hint="eastAsia" w:ascii="宋体" w:hAnsi="宋体" w:cs="Courier New"/>
                <w:color w:val="auto"/>
                <w:sz w:val="21"/>
                <w:szCs w:val="21"/>
                <w:highlight w:val="none"/>
              </w:rPr>
              <w:t>专业高级</w:t>
            </w:r>
            <w:r>
              <w:rPr>
                <w:rFonts w:hint="eastAsia" w:ascii="宋体" w:hAnsi="宋体" w:cs="Courier New"/>
                <w:color w:val="auto"/>
                <w:sz w:val="21"/>
                <w:szCs w:val="21"/>
                <w:highlight w:val="none"/>
                <w:lang w:eastAsia="zh-CN"/>
              </w:rPr>
              <w:t>（</w:t>
            </w:r>
            <w:r>
              <w:rPr>
                <w:rFonts w:hint="eastAsia" w:ascii="宋体" w:hAnsi="宋体" w:cs="Courier New"/>
                <w:color w:val="auto"/>
                <w:sz w:val="21"/>
                <w:szCs w:val="21"/>
                <w:highlight w:val="none"/>
                <w:lang w:val="en-US" w:eastAsia="zh-CN"/>
              </w:rPr>
              <w:t>或以上</w:t>
            </w:r>
            <w:r>
              <w:rPr>
                <w:rFonts w:hint="eastAsia" w:ascii="宋体" w:hAnsi="宋体" w:cs="Courier New"/>
                <w:color w:val="auto"/>
                <w:sz w:val="21"/>
                <w:szCs w:val="21"/>
                <w:highlight w:val="none"/>
                <w:lang w:eastAsia="zh-CN"/>
              </w:rPr>
              <w:t>）</w:t>
            </w:r>
            <w:r>
              <w:rPr>
                <w:rFonts w:hint="eastAsia" w:ascii="宋体" w:hAnsi="宋体" w:cs="Courier New"/>
                <w:color w:val="auto"/>
                <w:sz w:val="21"/>
                <w:szCs w:val="21"/>
                <w:highlight w:val="none"/>
              </w:rPr>
              <w:t>技术职称或者从事</w:t>
            </w:r>
            <w:r>
              <w:rPr>
                <w:rFonts w:hint="eastAsia" w:ascii="宋体" w:hAnsi="宋体" w:cs="Courier New"/>
                <w:color w:val="auto"/>
                <w:sz w:val="21"/>
                <w:szCs w:val="21"/>
                <w:highlight w:val="none"/>
                <w:lang w:val="en-US" w:eastAsia="zh-CN"/>
              </w:rPr>
              <w:t>工程类</w:t>
            </w:r>
            <w:r>
              <w:rPr>
                <w:rFonts w:hint="eastAsia" w:ascii="宋体" w:hAnsi="宋体" w:cs="Courier New"/>
                <w:color w:val="auto"/>
                <w:sz w:val="21"/>
                <w:szCs w:val="21"/>
                <w:highlight w:val="none"/>
              </w:rPr>
              <w:t>相关专业工作</w:t>
            </w:r>
            <w:r>
              <w:rPr>
                <w:rFonts w:hint="default" w:ascii="宋体" w:hAnsi="宋体" w:cs="Courier New"/>
                <w:color w:val="auto"/>
                <w:sz w:val="21"/>
                <w:szCs w:val="21"/>
                <w:highlight w:val="none"/>
              </w:rPr>
              <w:t>5</w:t>
            </w:r>
            <w:r>
              <w:rPr>
                <w:rFonts w:hint="eastAsia" w:ascii="宋体" w:hAnsi="宋体" w:cs="Courier New"/>
                <w:color w:val="auto"/>
                <w:sz w:val="21"/>
                <w:szCs w:val="21"/>
                <w:highlight w:val="none"/>
              </w:rPr>
              <w:t>年</w:t>
            </w:r>
            <w:r>
              <w:rPr>
                <w:rFonts w:hint="eastAsia" w:ascii="宋体" w:hAnsi="宋体" w:cs="Courier New"/>
                <w:color w:val="auto"/>
                <w:sz w:val="21"/>
                <w:szCs w:val="21"/>
                <w:highlight w:val="none"/>
                <w:lang w:eastAsia="zh-CN"/>
              </w:rPr>
              <w:t>（</w:t>
            </w:r>
            <w:r>
              <w:rPr>
                <w:rFonts w:hint="eastAsia" w:ascii="宋体" w:hAnsi="宋体" w:cs="Courier New"/>
                <w:color w:val="auto"/>
                <w:sz w:val="21"/>
                <w:szCs w:val="21"/>
                <w:highlight w:val="none"/>
                <w:lang w:val="en-US" w:eastAsia="zh-CN"/>
              </w:rPr>
              <w:t>或以上</w:t>
            </w:r>
            <w:r>
              <w:rPr>
                <w:rFonts w:hint="eastAsia" w:ascii="宋体" w:hAnsi="宋体" w:cs="Courier New"/>
                <w:color w:val="auto"/>
                <w:sz w:val="21"/>
                <w:szCs w:val="21"/>
                <w:highlight w:val="none"/>
                <w:lang w:eastAsia="zh-CN"/>
              </w:rPr>
              <w:t>）</w:t>
            </w:r>
            <w:r>
              <w:rPr>
                <w:rFonts w:hint="eastAsia" w:ascii="宋体" w:hAnsi="宋体" w:cs="Courier New"/>
                <w:color w:val="auto"/>
                <w:sz w:val="21"/>
                <w:szCs w:val="21"/>
                <w:highlight w:val="none"/>
              </w:rPr>
              <w:t>的中级技术职称</w:t>
            </w:r>
          </w:p>
        </w:tc>
        <w:tc>
          <w:tcPr>
            <w:tcW w:w="639" w:type="dxa"/>
            <w:noWrap w:val="0"/>
            <w:vAlign w:val="center"/>
          </w:tcPr>
          <w:p>
            <w:pPr>
              <w:keepNext w:val="0"/>
              <w:keepLines w:val="0"/>
              <w:suppressLineNumbers w:val="0"/>
              <w:snapToGrid w:val="0"/>
              <w:spacing w:before="0" w:beforeAutospacing="0" w:after="0" w:afterAutospacing="0"/>
              <w:ind w:left="0" w:right="0"/>
              <w:jc w:val="both"/>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2" w:type="dxa"/>
            <w:noWrap w:val="0"/>
            <w:vAlign w:val="center"/>
          </w:tcPr>
          <w:p>
            <w:pPr>
              <w:keepNext w:val="0"/>
              <w:keepLines w:val="0"/>
              <w:suppressLineNumbers w:val="0"/>
              <w:snapToGrid w:val="0"/>
              <w:spacing w:before="0" w:beforeAutospacing="0" w:after="0" w:afterAutospacing="0"/>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default" w:ascii="宋体" w:hAnsi="宋体" w:eastAsia="宋体" w:cs="宋体"/>
                <w:color w:val="auto"/>
                <w:szCs w:val="21"/>
                <w:highlight w:val="none"/>
                <w:lang w:eastAsia="zh-CN"/>
              </w:rPr>
              <w:t>2</w:t>
            </w:r>
          </w:p>
        </w:tc>
        <w:tc>
          <w:tcPr>
            <w:tcW w:w="1101"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664"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619"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566"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678"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126"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Courier New" w:eastAsiaTheme="minorEastAsia"/>
                <w:color w:val="auto"/>
                <w:kern w:val="2"/>
                <w:sz w:val="21"/>
                <w:szCs w:val="21"/>
                <w:highlight w:val="none"/>
                <w:lang w:val="en-US" w:eastAsia="zh-CN" w:bidi="ar-SA"/>
              </w:rPr>
            </w:pPr>
            <w:r>
              <w:rPr>
                <w:rFonts w:hint="default" w:ascii="宋体" w:hAnsi="宋体" w:cs="Courier New"/>
                <w:color w:val="auto"/>
                <w:sz w:val="21"/>
                <w:szCs w:val="21"/>
                <w:highlight w:val="none"/>
              </w:rPr>
              <w:t>勘察</w:t>
            </w:r>
            <w:r>
              <w:rPr>
                <w:rFonts w:hint="eastAsia" w:ascii="宋体" w:hAnsi="宋体" w:cs="Courier New"/>
                <w:color w:val="auto"/>
                <w:sz w:val="21"/>
                <w:szCs w:val="21"/>
                <w:highlight w:val="none"/>
              </w:rPr>
              <w:t>项目负责人</w:t>
            </w:r>
          </w:p>
        </w:tc>
        <w:tc>
          <w:tcPr>
            <w:tcW w:w="624" w:type="dxa"/>
            <w:noWrap w:val="0"/>
            <w:vAlign w:val="center"/>
          </w:tcPr>
          <w:p>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260"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Courier New"/>
                <w:color w:val="auto"/>
                <w:sz w:val="21"/>
                <w:szCs w:val="21"/>
                <w:highlight w:val="none"/>
                <w:lang w:val="en-US" w:eastAsia="zh-CN"/>
              </w:rPr>
            </w:pPr>
            <w:r>
              <w:rPr>
                <w:rFonts w:hint="eastAsia" w:ascii="宋体" w:hAnsi="宋体" w:cs="Courier New"/>
                <w:color w:val="auto"/>
                <w:sz w:val="21"/>
                <w:szCs w:val="21"/>
                <w:highlight w:val="none"/>
                <w:lang w:val="en-US" w:eastAsia="zh-CN"/>
              </w:rPr>
              <w:t>一级</w:t>
            </w:r>
            <w:r>
              <w:rPr>
                <w:rFonts w:hint="eastAsia" w:ascii="宋体" w:hAnsi="宋体" w:cs="Courier New"/>
                <w:color w:val="auto"/>
                <w:sz w:val="21"/>
                <w:szCs w:val="21"/>
                <w:highlight w:val="none"/>
              </w:rPr>
              <w:t>注册岩土工程师，</w:t>
            </w:r>
            <w:r>
              <w:rPr>
                <w:rFonts w:hint="eastAsia" w:ascii="宋体" w:hAnsi="宋体" w:cs="Courier New"/>
                <w:color w:val="auto"/>
                <w:sz w:val="21"/>
                <w:szCs w:val="21"/>
                <w:highlight w:val="none"/>
                <w:lang w:val="en-US" w:eastAsia="zh-CN"/>
              </w:rPr>
              <w:t>具有工程类相关</w:t>
            </w:r>
            <w:r>
              <w:rPr>
                <w:rFonts w:hint="eastAsia" w:ascii="宋体" w:hAnsi="宋体" w:cs="Courier New"/>
                <w:color w:val="auto"/>
                <w:sz w:val="21"/>
                <w:szCs w:val="21"/>
                <w:highlight w:val="none"/>
              </w:rPr>
              <w:t>专业高级</w:t>
            </w:r>
            <w:r>
              <w:rPr>
                <w:rFonts w:hint="eastAsia" w:ascii="宋体" w:hAnsi="宋体" w:cs="Courier New"/>
                <w:color w:val="auto"/>
                <w:sz w:val="21"/>
                <w:szCs w:val="21"/>
                <w:highlight w:val="none"/>
                <w:lang w:eastAsia="zh-CN"/>
              </w:rPr>
              <w:t>（</w:t>
            </w:r>
            <w:r>
              <w:rPr>
                <w:rFonts w:hint="eastAsia" w:ascii="宋体" w:hAnsi="宋体" w:cs="Courier New"/>
                <w:color w:val="auto"/>
                <w:sz w:val="21"/>
                <w:szCs w:val="21"/>
                <w:highlight w:val="none"/>
                <w:lang w:val="en-US" w:eastAsia="zh-CN"/>
              </w:rPr>
              <w:t>或以上</w:t>
            </w:r>
            <w:r>
              <w:rPr>
                <w:rFonts w:hint="eastAsia" w:ascii="宋体" w:hAnsi="宋体" w:cs="Courier New"/>
                <w:color w:val="auto"/>
                <w:sz w:val="21"/>
                <w:szCs w:val="21"/>
                <w:highlight w:val="none"/>
                <w:lang w:eastAsia="zh-CN"/>
              </w:rPr>
              <w:t>）</w:t>
            </w:r>
            <w:r>
              <w:rPr>
                <w:rFonts w:hint="eastAsia" w:ascii="宋体" w:hAnsi="宋体" w:cs="Courier New"/>
                <w:color w:val="auto"/>
                <w:sz w:val="21"/>
                <w:szCs w:val="21"/>
                <w:highlight w:val="none"/>
              </w:rPr>
              <w:t>技术职称</w:t>
            </w:r>
          </w:p>
        </w:tc>
        <w:tc>
          <w:tcPr>
            <w:tcW w:w="639" w:type="dxa"/>
            <w:noWrap w:val="0"/>
            <w:vAlign w:val="center"/>
          </w:tcPr>
          <w:p>
            <w:pPr>
              <w:keepNext w:val="0"/>
              <w:keepLines w:val="0"/>
              <w:suppressLineNumbers w:val="0"/>
              <w:snapToGrid w:val="0"/>
              <w:spacing w:before="0" w:beforeAutospacing="0" w:after="0" w:afterAutospacing="0"/>
              <w:ind w:left="0" w:right="0"/>
              <w:jc w:val="both"/>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2" w:type="dxa"/>
            <w:noWrap w:val="0"/>
            <w:vAlign w:val="center"/>
          </w:tcPr>
          <w:p>
            <w:pPr>
              <w:keepNext w:val="0"/>
              <w:keepLines w:val="0"/>
              <w:suppressLineNumbers w:val="0"/>
              <w:snapToGrid w:val="0"/>
              <w:spacing w:before="0" w:beforeAutospacing="0" w:after="0" w:afterAutospacing="0"/>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default" w:ascii="宋体" w:hAnsi="宋体" w:eastAsia="宋体" w:cs="宋体"/>
                <w:color w:val="auto"/>
                <w:szCs w:val="21"/>
                <w:highlight w:val="none"/>
                <w:lang w:eastAsia="zh-CN"/>
              </w:rPr>
              <w:t>3</w:t>
            </w:r>
          </w:p>
        </w:tc>
        <w:tc>
          <w:tcPr>
            <w:tcW w:w="1101"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664"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619"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566"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678"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126"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Courier New" w:eastAsiaTheme="minorEastAsia"/>
                <w:color w:val="auto"/>
                <w:kern w:val="2"/>
                <w:sz w:val="21"/>
                <w:szCs w:val="21"/>
                <w:highlight w:val="none"/>
                <w:lang w:val="en-US" w:eastAsia="zh-CN" w:bidi="ar-SA"/>
              </w:rPr>
            </w:pPr>
            <w:r>
              <w:rPr>
                <w:rFonts w:hint="eastAsia" w:ascii="宋体" w:hAnsi="宋体" w:cs="Courier New"/>
                <w:color w:val="auto"/>
                <w:sz w:val="21"/>
                <w:szCs w:val="21"/>
                <w:highlight w:val="none"/>
                <w:lang w:val="en-US" w:eastAsia="zh-CN"/>
              </w:rPr>
              <w:t>勘察</w:t>
            </w:r>
            <w:r>
              <w:rPr>
                <w:rFonts w:hint="eastAsia" w:ascii="宋体" w:hAnsi="宋体" w:cs="Courier New"/>
                <w:color w:val="auto"/>
                <w:sz w:val="21"/>
                <w:szCs w:val="21"/>
                <w:highlight w:val="none"/>
              </w:rPr>
              <w:t>现场负责人</w:t>
            </w:r>
          </w:p>
        </w:tc>
        <w:tc>
          <w:tcPr>
            <w:tcW w:w="624" w:type="dxa"/>
            <w:noWrap w:val="0"/>
            <w:vAlign w:val="center"/>
          </w:tcPr>
          <w:p>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260"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Courier New"/>
                <w:color w:val="auto"/>
                <w:sz w:val="21"/>
                <w:szCs w:val="21"/>
                <w:highlight w:val="none"/>
                <w:lang w:val="en-US" w:eastAsia="zh-CN"/>
              </w:rPr>
            </w:pPr>
            <w:r>
              <w:rPr>
                <w:rFonts w:hint="eastAsia" w:asciiTheme="minorEastAsia" w:hAnsiTheme="minorEastAsia" w:eastAsiaTheme="minorEastAsia" w:cstheme="minorEastAsia"/>
                <w:i w:val="0"/>
                <w:iCs w:val="0"/>
                <w:color w:val="auto"/>
                <w:sz w:val="21"/>
                <w:szCs w:val="21"/>
                <w:highlight w:val="none"/>
                <w:lang w:val="en-US" w:eastAsia="zh-CN"/>
              </w:rPr>
              <w:t>二级或以上</w:t>
            </w:r>
            <w:r>
              <w:rPr>
                <w:rFonts w:hint="eastAsia" w:ascii="宋体" w:hAnsi="宋体" w:cs="Courier New"/>
                <w:color w:val="auto"/>
                <w:sz w:val="21"/>
                <w:szCs w:val="21"/>
                <w:highlight w:val="none"/>
              </w:rPr>
              <w:t>注册岩土工程师，</w:t>
            </w:r>
            <w:r>
              <w:rPr>
                <w:rFonts w:hint="eastAsia" w:ascii="宋体" w:hAnsi="宋体" w:cs="Courier New"/>
                <w:color w:val="auto"/>
                <w:sz w:val="21"/>
                <w:szCs w:val="21"/>
                <w:highlight w:val="none"/>
                <w:lang w:val="en-US" w:eastAsia="zh-CN"/>
              </w:rPr>
              <w:t>具有工程类相关</w:t>
            </w:r>
            <w:r>
              <w:rPr>
                <w:rFonts w:hint="eastAsia" w:ascii="宋体" w:hAnsi="宋体" w:cs="Courier New"/>
                <w:color w:val="auto"/>
                <w:sz w:val="21"/>
                <w:szCs w:val="21"/>
                <w:highlight w:val="none"/>
              </w:rPr>
              <w:t>专业高级</w:t>
            </w:r>
            <w:r>
              <w:rPr>
                <w:rFonts w:hint="eastAsia" w:ascii="宋体" w:hAnsi="宋体" w:cs="Courier New"/>
                <w:color w:val="auto"/>
                <w:sz w:val="21"/>
                <w:szCs w:val="21"/>
                <w:highlight w:val="none"/>
                <w:lang w:eastAsia="zh-CN"/>
              </w:rPr>
              <w:t>（</w:t>
            </w:r>
            <w:r>
              <w:rPr>
                <w:rFonts w:hint="eastAsia" w:ascii="宋体" w:hAnsi="宋体" w:cs="Courier New"/>
                <w:color w:val="auto"/>
                <w:sz w:val="21"/>
                <w:szCs w:val="21"/>
                <w:highlight w:val="none"/>
                <w:lang w:val="en-US" w:eastAsia="zh-CN"/>
              </w:rPr>
              <w:t>或以上</w:t>
            </w:r>
            <w:r>
              <w:rPr>
                <w:rFonts w:hint="eastAsia" w:ascii="宋体" w:hAnsi="宋体" w:cs="Courier New"/>
                <w:color w:val="auto"/>
                <w:sz w:val="21"/>
                <w:szCs w:val="21"/>
                <w:highlight w:val="none"/>
                <w:lang w:eastAsia="zh-CN"/>
              </w:rPr>
              <w:t>）</w:t>
            </w:r>
            <w:r>
              <w:rPr>
                <w:rFonts w:hint="eastAsia" w:ascii="宋体" w:hAnsi="宋体" w:cs="Courier New"/>
                <w:color w:val="auto"/>
                <w:sz w:val="21"/>
                <w:szCs w:val="21"/>
                <w:highlight w:val="none"/>
              </w:rPr>
              <w:t>技术职称或者从事</w:t>
            </w:r>
            <w:r>
              <w:rPr>
                <w:rFonts w:hint="eastAsia" w:ascii="宋体" w:hAnsi="宋体" w:cs="Courier New"/>
                <w:color w:val="auto"/>
                <w:sz w:val="21"/>
                <w:szCs w:val="21"/>
                <w:highlight w:val="none"/>
                <w:lang w:val="en-US" w:eastAsia="zh-CN"/>
              </w:rPr>
              <w:t>工程类</w:t>
            </w:r>
            <w:r>
              <w:rPr>
                <w:rFonts w:hint="eastAsia" w:ascii="宋体" w:hAnsi="宋体" w:cs="Courier New"/>
                <w:color w:val="auto"/>
                <w:sz w:val="21"/>
                <w:szCs w:val="21"/>
                <w:highlight w:val="none"/>
              </w:rPr>
              <w:t>工作10年</w:t>
            </w:r>
            <w:r>
              <w:rPr>
                <w:rFonts w:hint="eastAsia" w:ascii="宋体" w:hAnsi="宋体" w:cs="Courier New"/>
                <w:color w:val="auto"/>
                <w:sz w:val="21"/>
                <w:szCs w:val="21"/>
                <w:highlight w:val="none"/>
                <w:lang w:eastAsia="zh-CN"/>
              </w:rPr>
              <w:t>（</w:t>
            </w:r>
            <w:r>
              <w:rPr>
                <w:rFonts w:hint="eastAsia" w:ascii="宋体" w:hAnsi="宋体" w:cs="Courier New"/>
                <w:color w:val="auto"/>
                <w:sz w:val="21"/>
                <w:szCs w:val="21"/>
                <w:highlight w:val="none"/>
                <w:lang w:val="en-US" w:eastAsia="zh-CN"/>
              </w:rPr>
              <w:t>或以上</w:t>
            </w:r>
            <w:r>
              <w:rPr>
                <w:rFonts w:hint="eastAsia" w:ascii="宋体" w:hAnsi="宋体" w:cs="Courier New"/>
                <w:color w:val="auto"/>
                <w:sz w:val="21"/>
                <w:szCs w:val="21"/>
                <w:highlight w:val="none"/>
                <w:lang w:eastAsia="zh-CN"/>
              </w:rPr>
              <w:t>）</w:t>
            </w:r>
            <w:r>
              <w:rPr>
                <w:rFonts w:hint="eastAsia" w:ascii="宋体" w:hAnsi="宋体" w:cs="Courier New"/>
                <w:color w:val="auto"/>
                <w:sz w:val="21"/>
                <w:szCs w:val="21"/>
                <w:highlight w:val="none"/>
              </w:rPr>
              <w:t>的中级技术职称</w:t>
            </w:r>
          </w:p>
        </w:tc>
        <w:tc>
          <w:tcPr>
            <w:tcW w:w="639" w:type="dxa"/>
            <w:noWrap w:val="0"/>
            <w:vAlign w:val="center"/>
          </w:tcPr>
          <w:p>
            <w:pPr>
              <w:keepNext w:val="0"/>
              <w:keepLines w:val="0"/>
              <w:suppressLineNumbers w:val="0"/>
              <w:snapToGrid w:val="0"/>
              <w:spacing w:before="0" w:beforeAutospacing="0" w:after="0" w:afterAutospacing="0"/>
              <w:ind w:left="0" w:right="0"/>
              <w:jc w:val="both"/>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2" w:type="dxa"/>
            <w:noWrap w:val="0"/>
            <w:vAlign w:val="center"/>
          </w:tcPr>
          <w:p>
            <w:pPr>
              <w:keepNext w:val="0"/>
              <w:keepLines w:val="0"/>
              <w:suppressLineNumbers w:val="0"/>
              <w:snapToGrid w:val="0"/>
              <w:spacing w:before="0" w:beforeAutospacing="0" w:after="0" w:afterAutospacing="0"/>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default" w:ascii="宋体" w:hAnsi="宋体" w:eastAsia="宋体" w:cs="宋体"/>
                <w:color w:val="auto"/>
                <w:szCs w:val="21"/>
                <w:highlight w:val="none"/>
                <w:lang w:eastAsia="zh-CN"/>
              </w:rPr>
              <w:t>4</w:t>
            </w:r>
          </w:p>
        </w:tc>
        <w:tc>
          <w:tcPr>
            <w:tcW w:w="1101"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664"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619"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566"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678"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126"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Courier New" w:eastAsiaTheme="minorEastAsia"/>
                <w:color w:val="auto"/>
                <w:kern w:val="2"/>
                <w:sz w:val="21"/>
                <w:szCs w:val="21"/>
                <w:highlight w:val="none"/>
                <w:lang w:val="en-US" w:eastAsia="zh-CN" w:bidi="ar-SA"/>
              </w:rPr>
            </w:pPr>
            <w:r>
              <w:rPr>
                <w:rFonts w:hint="eastAsia" w:ascii="宋体" w:hAnsi="宋体" w:cs="Courier New"/>
                <w:color w:val="auto"/>
                <w:sz w:val="21"/>
                <w:szCs w:val="21"/>
                <w:highlight w:val="none"/>
                <w:lang w:val="en-US" w:eastAsia="zh-CN"/>
              </w:rPr>
              <w:t>勘察</w:t>
            </w:r>
            <w:r>
              <w:rPr>
                <w:rFonts w:hint="eastAsia" w:ascii="宋体" w:hAnsi="宋体" w:cs="Courier New"/>
                <w:color w:val="auto"/>
                <w:sz w:val="21"/>
                <w:szCs w:val="21"/>
                <w:highlight w:val="none"/>
              </w:rPr>
              <w:t>现场配合人</w:t>
            </w:r>
          </w:p>
        </w:tc>
        <w:tc>
          <w:tcPr>
            <w:tcW w:w="624" w:type="dxa"/>
            <w:noWrap w:val="0"/>
            <w:vAlign w:val="center"/>
          </w:tcPr>
          <w:p>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260"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Courier New"/>
                <w:color w:val="auto"/>
                <w:sz w:val="21"/>
                <w:szCs w:val="21"/>
                <w:highlight w:val="none"/>
                <w:lang w:val="en-US" w:eastAsia="zh-CN"/>
              </w:rPr>
            </w:pPr>
            <w:r>
              <w:rPr>
                <w:rFonts w:hint="default" w:ascii="宋体" w:hAnsi="宋体" w:cs="Courier New"/>
                <w:color w:val="auto"/>
                <w:sz w:val="21"/>
                <w:szCs w:val="21"/>
                <w:highlight w:val="none"/>
              </w:rPr>
              <w:t>具有</w:t>
            </w:r>
            <w:r>
              <w:rPr>
                <w:rFonts w:hint="eastAsia" w:ascii="宋体" w:hAnsi="宋体" w:cs="Courier New"/>
                <w:color w:val="auto"/>
                <w:sz w:val="21"/>
                <w:szCs w:val="21"/>
                <w:highlight w:val="none"/>
              </w:rPr>
              <w:t>工程</w:t>
            </w:r>
            <w:r>
              <w:rPr>
                <w:rFonts w:hint="default" w:ascii="宋体" w:hAnsi="宋体" w:cs="Courier New"/>
                <w:color w:val="auto"/>
                <w:sz w:val="21"/>
                <w:szCs w:val="21"/>
                <w:highlight w:val="none"/>
              </w:rPr>
              <w:t>类相关</w:t>
            </w:r>
            <w:r>
              <w:rPr>
                <w:rFonts w:hint="eastAsia" w:ascii="宋体" w:hAnsi="宋体" w:cs="Courier New"/>
                <w:color w:val="auto"/>
                <w:sz w:val="21"/>
                <w:szCs w:val="21"/>
                <w:highlight w:val="none"/>
              </w:rPr>
              <w:t>专业高级</w:t>
            </w:r>
            <w:r>
              <w:rPr>
                <w:rFonts w:hint="eastAsia" w:ascii="宋体" w:hAnsi="宋体" w:cs="Courier New"/>
                <w:color w:val="auto"/>
                <w:sz w:val="21"/>
                <w:szCs w:val="21"/>
                <w:highlight w:val="none"/>
                <w:lang w:eastAsia="zh-CN"/>
              </w:rPr>
              <w:t>（</w:t>
            </w:r>
            <w:r>
              <w:rPr>
                <w:rFonts w:hint="eastAsia" w:ascii="宋体" w:hAnsi="宋体" w:cs="Courier New"/>
                <w:color w:val="auto"/>
                <w:sz w:val="21"/>
                <w:szCs w:val="21"/>
                <w:highlight w:val="none"/>
                <w:lang w:val="en-US" w:eastAsia="zh-CN"/>
              </w:rPr>
              <w:t>或以上</w:t>
            </w:r>
            <w:r>
              <w:rPr>
                <w:rFonts w:hint="eastAsia" w:ascii="宋体" w:hAnsi="宋体" w:cs="Courier New"/>
                <w:color w:val="auto"/>
                <w:sz w:val="21"/>
                <w:szCs w:val="21"/>
                <w:highlight w:val="none"/>
                <w:lang w:eastAsia="zh-CN"/>
              </w:rPr>
              <w:t>）</w:t>
            </w:r>
            <w:r>
              <w:rPr>
                <w:rFonts w:hint="eastAsia" w:ascii="宋体" w:hAnsi="宋体" w:cs="Courier New"/>
                <w:color w:val="auto"/>
                <w:sz w:val="21"/>
                <w:szCs w:val="21"/>
                <w:highlight w:val="none"/>
              </w:rPr>
              <w:t>技术职称或者从事</w:t>
            </w:r>
            <w:r>
              <w:rPr>
                <w:rFonts w:hint="eastAsia" w:ascii="宋体" w:hAnsi="宋体" w:cs="Courier New"/>
                <w:color w:val="auto"/>
                <w:sz w:val="21"/>
                <w:szCs w:val="21"/>
                <w:highlight w:val="none"/>
                <w:lang w:val="en-US" w:eastAsia="zh-CN"/>
              </w:rPr>
              <w:t>工程类</w:t>
            </w:r>
            <w:r>
              <w:rPr>
                <w:rFonts w:hint="eastAsia" w:ascii="宋体" w:hAnsi="宋体" w:cs="Courier New"/>
                <w:color w:val="auto"/>
                <w:sz w:val="21"/>
                <w:szCs w:val="21"/>
                <w:highlight w:val="none"/>
              </w:rPr>
              <w:t>工作8年</w:t>
            </w:r>
            <w:r>
              <w:rPr>
                <w:rFonts w:hint="eastAsia" w:ascii="宋体" w:hAnsi="宋体" w:cs="Courier New"/>
                <w:color w:val="auto"/>
                <w:sz w:val="21"/>
                <w:szCs w:val="21"/>
                <w:highlight w:val="none"/>
                <w:lang w:eastAsia="zh-CN"/>
              </w:rPr>
              <w:t>（</w:t>
            </w:r>
            <w:r>
              <w:rPr>
                <w:rFonts w:hint="eastAsia" w:ascii="宋体" w:hAnsi="宋体" w:cs="Courier New"/>
                <w:color w:val="auto"/>
                <w:sz w:val="21"/>
                <w:szCs w:val="21"/>
                <w:highlight w:val="none"/>
                <w:lang w:val="en-US" w:eastAsia="zh-CN"/>
              </w:rPr>
              <w:t>或以上</w:t>
            </w:r>
            <w:r>
              <w:rPr>
                <w:rFonts w:hint="eastAsia" w:ascii="宋体" w:hAnsi="宋体" w:cs="Courier New"/>
                <w:color w:val="auto"/>
                <w:sz w:val="21"/>
                <w:szCs w:val="21"/>
                <w:highlight w:val="none"/>
                <w:lang w:eastAsia="zh-CN"/>
              </w:rPr>
              <w:t>）</w:t>
            </w:r>
            <w:r>
              <w:rPr>
                <w:rFonts w:hint="eastAsia" w:ascii="宋体" w:hAnsi="宋体" w:cs="Courier New"/>
                <w:color w:val="auto"/>
                <w:sz w:val="21"/>
                <w:szCs w:val="21"/>
                <w:highlight w:val="none"/>
              </w:rPr>
              <w:t>的中级技术职称</w:t>
            </w:r>
          </w:p>
        </w:tc>
        <w:tc>
          <w:tcPr>
            <w:tcW w:w="639" w:type="dxa"/>
            <w:noWrap w:val="0"/>
            <w:vAlign w:val="center"/>
          </w:tcPr>
          <w:p>
            <w:pPr>
              <w:keepNext w:val="0"/>
              <w:keepLines w:val="0"/>
              <w:suppressLineNumbers w:val="0"/>
              <w:snapToGrid w:val="0"/>
              <w:spacing w:before="0" w:beforeAutospacing="0" w:after="0" w:afterAutospacing="0"/>
              <w:ind w:left="0" w:right="0"/>
              <w:jc w:val="both"/>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2" w:type="dxa"/>
            <w:noWrap w:val="0"/>
            <w:vAlign w:val="center"/>
          </w:tcPr>
          <w:p>
            <w:pPr>
              <w:keepNext w:val="0"/>
              <w:keepLines w:val="0"/>
              <w:suppressLineNumbers w:val="0"/>
              <w:snapToGrid w:val="0"/>
              <w:spacing w:before="0" w:beforeAutospacing="0" w:after="0" w:afterAutospacing="0"/>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w:t>
            </w:r>
          </w:p>
        </w:tc>
        <w:tc>
          <w:tcPr>
            <w:tcW w:w="1101"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664"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619"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566"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678"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126" w:type="dxa"/>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Courier New"/>
                <w:color w:val="auto"/>
                <w:sz w:val="21"/>
                <w:szCs w:val="21"/>
                <w:highlight w:val="none"/>
                <w:lang w:val="en-US" w:eastAsia="zh-CN"/>
              </w:rPr>
            </w:pPr>
            <w:r>
              <w:rPr>
                <w:rFonts w:hint="eastAsia" w:asciiTheme="minorEastAsia" w:hAnsiTheme="minorEastAsia" w:cstheme="minorEastAsia"/>
                <w:i w:val="0"/>
                <w:iCs w:val="0"/>
                <w:color w:val="auto"/>
                <w:sz w:val="21"/>
                <w:szCs w:val="21"/>
                <w:highlight w:val="none"/>
                <w:lang w:val="en-US" w:eastAsia="zh-CN"/>
              </w:rPr>
              <w:t>造价</w:t>
            </w:r>
            <w:r>
              <w:rPr>
                <w:rFonts w:hint="eastAsia" w:asciiTheme="minorEastAsia" w:hAnsiTheme="minorEastAsia" w:eastAsiaTheme="minorEastAsia" w:cstheme="minorEastAsia"/>
                <w:i w:val="0"/>
                <w:iCs w:val="0"/>
                <w:color w:val="auto"/>
                <w:sz w:val="21"/>
                <w:szCs w:val="21"/>
                <w:highlight w:val="none"/>
              </w:rPr>
              <w:t>负责人</w:t>
            </w:r>
          </w:p>
        </w:tc>
        <w:tc>
          <w:tcPr>
            <w:tcW w:w="624" w:type="dxa"/>
            <w:noWrap w:val="0"/>
            <w:vAlign w:val="center"/>
          </w:tcPr>
          <w:p>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260" w:type="dxa"/>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s="Courier New"/>
                <w:color w:val="auto"/>
                <w:sz w:val="21"/>
                <w:szCs w:val="21"/>
                <w:highlight w:val="none"/>
              </w:rPr>
            </w:pPr>
            <w:r>
              <w:rPr>
                <w:rFonts w:hint="eastAsia" w:asciiTheme="minorEastAsia" w:hAnsiTheme="minorEastAsia" w:eastAsiaTheme="minorEastAsia" w:cstheme="minorEastAsia"/>
                <w:i w:val="0"/>
                <w:iCs w:val="0"/>
                <w:color w:val="auto"/>
                <w:sz w:val="21"/>
                <w:szCs w:val="21"/>
                <w:highlight w:val="none"/>
                <w:lang w:eastAsia="zh-CN"/>
              </w:rPr>
              <w:t>一级注册造价工程师，</w:t>
            </w:r>
            <w:r>
              <w:rPr>
                <w:rFonts w:hint="eastAsia" w:ascii="宋体" w:hAnsi="宋体" w:cs="Courier New"/>
                <w:color w:val="auto"/>
                <w:sz w:val="21"/>
                <w:szCs w:val="21"/>
                <w:highlight w:val="none"/>
              </w:rPr>
              <w:t>高级</w:t>
            </w:r>
            <w:r>
              <w:rPr>
                <w:rFonts w:hint="eastAsia" w:ascii="宋体" w:hAnsi="宋体" w:cs="Courier New"/>
                <w:color w:val="auto"/>
                <w:sz w:val="21"/>
                <w:szCs w:val="21"/>
                <w:highlight w:val="none"/>
                <w:lang w:eastAsia="zh-CN"/>
              </w:rPr>
              <w:t>（</w:t>
            </w:r>
            <w:r>
              <w:rPr>
                <w:rFonts w:hint="eastAsia" w:ascii="宋体" w:hAnsi="宋体" w:cs="Courier New"/>
                <w:color w:val="auto"/>
                <w:sz w:val="21"/>
                <w:szCs w:val="21"/>
                <w:highlight w:val="none"/>
                <w:lang w:val="en-US" w:eastAsia="zh-CN"/>
              </w:rPr>
              <w:t>或以上</w:t>
            </w:r>
            <w:r>
              <w:rPr>
                <w:rFonts w:hint="eastAsia" w:ascii="宋体" w:hAnsi="宋体" w:cs="Courier New"/>
                <w:color w:val="auto"/>
                <w:sz w:val="21"/>
                <w:szCs w:val="21"/>
                <w:highlight w:val="none"/>
                <w:lang w:eastAsia="zh-CN"/>
              </w:rPr>
              <w:t>）</w:t>
            </w:r>
            <w:r>
              <w:rPr>
                <w:rFonts w:hint="eastAsia" w:asciiTheme="minorEastAsia" w:hAnsiTheme="minorEastAsia" w:eastAsiaTheme="minorEastAsia" w:cstheme="minorEastAsia"/>
                <w:i w:val="0"/>
                <w:iCs w:val="0"/>
                <w:color w:val="auto"/>
                <w:sz w:val="21"/>
                <w:szCs w:val="21"/>
                <w:highlight w:val="none"/>
                <w:lang w:val="en-US" w:eastAsia="zh-CN"/>
              </w:rPr>
              <w:t>技术职称</w:t>
            </w:r>
            <w:r>
              <w:rPr>
                <w:rFonts w:hint="eastAsia" w:asciiTheme="minorEastAsia" w:hAnsiTheme="minorEastAsia" w:eastAsiaTheme="minorEastAsia" w:cstheme="minorEastAsia"/>
                <w:b w:val="0"/>
                <w:bCs w:val="0"/>
                <w:i w:val="0"/>
                <w:iCs w:val="0"/>
                <w:strike w:val="0"/>
                <w:color w:val="auto"/>
                <w:sz w:val="21"/>
                <w:szCs w:val="21"/>
                <w:highlight w:val="none"/>
                <w:lang w:val="en-US" w:eastAsia="zh-CN"/>
              </w:rPr>
              <w:t>，参与过</w:t>
            </w:r>
            <w:r>
              <w:rPr>
                <w:rFonts w:hint="default" w:ascii="宋体" w:hAnsi="宋体" w:cs="Courier New"/>
                <w:color w:val="auto"/>
                <w:sz w:val="21"/>
                <w:szCs w:val="21"/>
                <w:highlight w:val="none"/>
              </w:rPr>
              <w:t>类似项目</w:t>
            </w:r>
            <w:r>
              <w:rPr>
                <w:rFonts w:hint="default" w:asciiTheme="minorEastAsia" w:hAnsiTheme="minorEastAsia" w:cstheme="minorEastAsia"/>
                <w:b w:val="0"/>
                <w:bCs w:val="0"/>
                <w:i w:val="0"/>
                <w:iCs w:val="0"/>
                <w:strike w:val="0"/>
                <w:color w:val="auto"/>
                <w:sz w:val="21"/>
                <w:szCs w:val="21"/>
                <w:highlight w:val="none"/>
                <w:lang w:eastAsia="zh-CN"/>
              </w:rPr>
              <w:t>造价工作经验</w:t>
            </w:r>
            <w:r>
              <w:rPr>
                <w:rFonts w:hint="eastAsia" w:asciiTheme="minorEastAsia" w:hAnsiTheme="minorEastAsia" w:eastAsiaTheme="minorEastAsia" w:cstheme="minorEastAsia"/>
                <w:b w:val="0"/>
                <w:bCs w:val="0"/>
                <w:i w:val="0"/>
                <w:iCs w:val="0"/>
                <w:strike w:val="0"/>
                <w:color w:val="auto"/>
                <w:sz w:val="21"/>
                <w:szCs w:val="21"/>
                <w:highlight w:val="none"/>
                <w:lang w:val="en-US" w:eastAsia="zh-CN"/>
              </w:rPr>
              <w:t>。</w:t>
            </w:r>
          </w:p>
        </w:tc>
        <w:tc>
          <w:tcPr>
            <w:tcW w:w="639" w:type="dxa"/>
            <w:noWrap w:val="0"/>
            <w:vAlign w:val="center"/>
          </w:tcPr>
          <w:p>
            <w:pPr>
              <w:keepNext w:val="0"/>
              <w:keepLines w:val="0"/>
              <w:suppressLineNumbers w:val="0"/>
              <w:snapToGrid w:val="0"/>
              <w:spacing w:before="0" w:beforeAutospacing="0" w:after="0" w:afterAutospacing="0"/>
              <w:ind w:left="0" w:right="0"/>
              <w:jc w:val="both"/>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2" w:type="dxa"/>
            <w:noWrap w:val="0"/>
            <w:vAlign w:val="center"/>
          </w:tcPr>
          <w:p>
            <w:pPr>
              <w:keepNext w:val="0"/>
              <w:keepLines w:val="0"/>
              <w:suppressLineNumbers w:val="0"/>
              <w:snapToGrid w:val="0"/>
              <w:spacing w:before="0" w:beforeAutospacing="0" w:after="0" w:afterAutospacing="0"/>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16</w:t>
            </w:r>
          </w:p>
        </w:tc>
        <w:tc>
          <w:tcPr>
            <w:tcW w:w="1101"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664"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619"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566"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678"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126" w:type="dxa"/>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Courier New"/>
                <w:color w:val="auto"/>
                <w:sz w:val="21"/>
                <w:szCs w:val="21"/>
                <w:highlight w:val="none"/>
                <w:lang w:val="en-US" w:eastAsia="zh-CN"/>
              </w:rPr>
            </w:pPr>
            <w:r>
              <w:rPr>
                <w:rFonts w:hint="eastAsia" w:asciiTheme="minorEastAsia" w:hAnsiTheme="minorEastAsia" w:eastAsiaTheme="minorEastAsia" w:cstheme="minorEastAsia"/>
                <w:i w:val="0"/>
                <w:iCs w:val="0"/>
                <w:color w:val="auto"/>
                <w:sz w:val="21"/>
                <w:szCs w:val="21"/>
                <w:highlight w:val="none"/>
                <w:lang w:val="en-US" w:eastAsia="zh-CN"/>
              </w:rPr>
              <w:t>土建</w:t>
            </w:r>
            <w:r>
              <w:rPr>
                <w:rFonts w:hint="eastAsia" w:asciiTheme="minorEastAsia" w:hAnsiTheme="minorEastAsia" w:eastAsiaTheme="minorEastAsia" w:cstheme="minorEastAsia"/>
                <w:i w:val="0"/>
                <w:iCs w:val="0"/>
                <w:color w:val="auto"/>
                <w:sz w:val="21"/>
                <w:szCs w:val="21"/>
                <w:highlight w:val="none"/>
              </w:rPr>
              <w:t>专业</w:t>
            </w:r>
            <w:r>
              <w:rPr>
                <w:rFonts w:hint="eastAsia" w:asciiTheme="minorEastAsia" w:hAnsiTheme="minorEastAsia" w:cstheme="minorEastAsia"/>
                <w:i w:val="0"/>
                <w:iCs w:val="0"/>
                <w:color w:val="auto"/>
                <w:sz w:val="21"/>
                <w:szCs w:val="21"/>
                <w:highlight w:val="none"/>
                <w:lang w:val="en-US" w:eastAsia="zh-CN"/>
              </w:rPr>
              <w:t>造价</w:t>
            </w:r>
            <w:r>
              <w:rPr>
                <w:rFonts w:hint="eastAsia" w:asciiTheme="minorEastAsia" w:hAnsiTheme="minorEastAsia" w:eastAsiaTheme="minorEastAsia" w:cstheme="minorEastAsia"/>
                <w:i w:val="0"/>
                <w:iCs w:val="0"/>
                <w:color w:val="auto"/>
                <w:sz w:val="21"/>
                <w:szCs w:val="21"/>
                <w:highlight w:val="none"/>
              </w:rPr>
              <w:t>负责人</w:t>
            </w:r>
          </w:p>
        </w:tc>
        <w:tc>
          <w:tcPr>
            <w:tcW w:w="624" w:type="dxa"/>
            <w:noWrap w:val="0"/>
            <w:vAlign w:val="center"/>
          </w:tcPr>
          <w:p>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260" w:type="dxa"/>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s="Courier New"/>
                <w:color w:val="auto"/>
                <w:sz w:val="21"/>
                <w:szCs w:val="21"/>
                <w:highlight w:val="none"/>
              </w:rPr>
            </w:pPr>
            <w:r>
              <w:rPr>
                <w:rFonts w:hint="eastAsia" w:asciiTheme="minorEastAsia" w:hAnsiTheme="minorEastAsia" w:eastAsiaTheme="minorEastAsia" w:cstheme="minorEastAsia"/>
                <w:i w:val="0"/>
                <w:iCs w:val="0"/>
                <w:color w:val="auto"/>
                <w:sz w:val="21"/>
                <w:szCs w:val="21"/>
                <w:highlight w:val="none"/>
              </w:rPr>
              <w:t>一级注册造价工程师</w:t>
            </w:r>
            <w:r>
              <w:rPr>
                <w:rFonts w:hint="eastAsia" w:asciiTheme="minorEastAsia" w:hAnsiTheme="minorEastAsia" w:eastAsiaTheme="minorEastAsia" w:cstheme="minorEastAsia"/>
                <w:i w:val="0"/>
                <w:iCs w:val="0"/>
                <w:color w:val="auto"/>
                <w:sz w:val="21"/>
                <w:szCs w:val="21"/>
                <w:highlight w:val="none"/>
                <w:lang w:eastAsia="zh-CN"/>
              </w:rPr>
              <w:t>（土建专业）、工程类高级（或以上）职称。</w:t>
            </w:r>
            <w:r>
              <w:rPr>
                <w:rFonts w:hint="default" w:asciiTheme="minorEastAsia" w:hAnsiTheme="minorEastAsia" w:cstheme="minorEastAsia"/>
                <w:b w:val="0"/>
                <w:bCs w:val="0"/>
                <w:i w:val="0"/>
                <w:iCs w:val="0"/>
                <w:strike w:val="0"/>
                <w:color w:val="auto"/>
                <w:sz w:val="21"/>
                <w:szCs w:val="21"/>
                <w:highlight w:val="none"/>
                <w:lang w:eastAsia="zh-CN"/>
              </w:rPr>
              <w:t>参与过</w:t>
            </w:r>
            <w:r>
              <w:rPr>
                <w:rFonts w:hint="default" w:ascii="宋体" w:hAnsi="宋体" w:cs="Courier New"/>
                <w:color w:val="auto"/>
                <w:sz w:val="21"/>
                <w:szCs w:val="21"/>
                <w:highlight w:val="none"/>
              </w:rPr>
              <w:t>类似项目</w:t>
            </w:r>
            <w:r>
              <w:rPr>
                <w:rFonts w:hint="default" w:asciiTheme="minorEastAsia" w:hAnsiTheme="minorEastAsia" w:cstheme="minorEastAsia"/>
                <w:b w:val="0"/>
                <w:bCs w:val="0"/>
                <w:i w:val="0"/>
                <w:iCs w:val="0"/>
                <w:strike w:val="0"/>
                <w:color w:val="auto"/>
                <w:sz w:val="21"/>
                <w:szCs w:val="21"/>
                <w:highlight w:val="none"/>
                <w:lang w:eastAsia="zh-CN"/>
              </w:rPr>
              <w:t>造价工作经验。</w:t>
            </w:r>
          </w:p>
        </w:tc>
        <w:tc>
          <w:tcPr>
            <w:tcW w:w="639" w:type="dxa"/>
            <w:noWrap w:val="0"/>
            <w:vAlign w:val="center"/>
          </w:tcPr>
          <w:p>
            <w:pPr>
              <w:keepNext w:val="0"/>
              <w:keepLines w:val="0"/>
              <w:suppressLineNumbers w:val="0"/>
              <w:snapToGrid w:val="0"/>
              <w:spacing w:before="0" w:beforeAutospacing="0" w:after="0" w:afterAutospacing="0"/>
              <w:ind w:left="0" w:right="0"/>
              <w:jc w:val="both"/>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2" w:type="dxa"/>
            <w:noWrap w:val="0"/>
            <w:vAlign w:val="center"/>
          </w:tcPr>
          <w:p>
            <w:pPr>
              <w:keepNext w:val="0"/>
              <w:keepLines w:val="0"/>
              <w:suppressLineNumbers w:val="0"/>
              <w:snapToGrid w:val="0"/>
              <w:spacing w:before="0" w:beforeAutospacing="0" w:after="0" w:afterAutospacing="0"/>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17</w:t>
            </w:r>
          </w:p>
        </w:tc>
        <w:tc>
          <w:tcPr>
            <w:tcW w:w="1101"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664"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619"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566"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678"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126" w:type="dxa"/>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Courier New"/>
                <w:color w:val="auto"/>
                <w:sz w:val="21"/>
                <w:szCs w:val="21"/>
                <w:highlight w:val="none"/>
                <w:lang w:val="en-US" w:eastAsia="zh-CN"/>
              </w:rPr>
            </w:pPr>
            <w:r>
              <w:rPr>
                <w:rFonts w:hint="eastAsia" w:asciiTheme="minorEastAsia" w:hAnsiTheme="minorEastAsia" w:eastAsiaTheme="minorEastAsia" w:cstheme="minorEastAsia"/>
                <w:i w:val="0"/>
                <w:iCs w:val="0"/>
                <w:color w:val="auto"/>
                <w:sz w:val="21"/>
                <w:szCs w:val="21"/>
                <w:highlight w:val="none"/>
                <w:lang w:val="en-US" w:eastAsia="zh-CN"/>
              </w:rPr>
              <w:t>安装</w:t>
            </w:r>
            <w:r>
              <w:rPr>
                <w:rFonts w:hint="eastAsia" w:asciiTheme="minorEastAsia" w:hAnsiTheme="minorEastAsia" w:eastAsiaTheme="minorEastAsia" w:cstheme="minorEastAsia"/>
                <w:i w:val="0"/>
                <w:iCs w:val="0"/>
                <w:color w:val="auto"/>
                <w:sz w:val="21"/>
                <w:szCs w:val="21"/>
                <w:highlight w:val="none"/>
              </w:rPr>
              <w:t>专业</w:t>
            </w:r>
            <w:r>
              <w:rPr>
                <w:rFonts w:hint="eastAsia" w:asciiTheme="minorEastAsia" w:hAnsiTheme="minorEastAsia" w:cstheme="minorEastAsia"/>
                <w:i w:val="0"/>
                <w:iCs w:val="0"/>
                <w:color w:val="auto"/>
                <w:sz w:val="21"/>
                <w:szCs w:val="21"/>
                <w:highlight w:val="none"/>
                <w:lang w:val="en-US" w:eastAsia="zh-CN"/>
              </w:rPr>
              <w:t>造价</w:t>
            </w:r>
            <w:r>
              <w:rPr>
                <w:rFonts w:hint="eastAsia" w:asciiTheme="minorEastAsia" w:hAnsiTheme="minorEastAsia" w:eastAsiaTheme="minorEastAsia" w:cstheme="minorEastAsia"/>
                <w:i w:val="0"/>
                <w:iCs w:val="0"/>
                <w:color w:val="auto"/>
                <w:sz w:val="21"/>
                <w:szCs w:val="21"/>
                <w:highlight w:val="none"/>
              </w:rPr>
              <w:t>负责人</w:t>
            </w:r>
          </w:p>
        </w:tc>
        <w:tc>
          <w:tcPr>
            <w:tcW w:w="624" w:type="dxa"/>
            <w:noWrap w:val="0"/>
            <w:vAlign w:val="center"/>
          </w:tcPr>
          <w:p>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260" w:type="dxa"/>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s="Courier New"/>
                <w:color w:val="auto"/>
                <w:sz w:val="21"/>
                <w:szCs w:val="21"/>
                <w:highlight w:val="none"/>
              </w:rPr>
            </w:pPr>
            <w:r>
              <w:rPr>
                <w:rFonts w:hint="eastAsia" w:asciiTheme="minorEastAsia" w:hAnsiTheme="minorEastAsia" w:eastAsiaTheme="minorEastAsia" w:cstheme="minorEastAsia"/>
                <w:i w:val="0"/>
                <w:iCs w:val="0"/>
                <w:color w:val="auto"/>
                <w:sz w:val="21"/>
                <w:szCs w:val="21"/>
                <w:highlight w:val="none"/>
              </w:rPr>
              <w:t>一级注册造价工程师（</w:t>
            </w:r>
            <w:r>
              <w:rPr>
                <w:rFonts w:hint="eastAsia" w:asciiTheme="minorEastAsia" w:hAnsiTheme="minorEastAsia" w:eastAsiaTheme="minorEastAsia" w:cstheme="minorEastAsia"/>
                <w:i w:val="0"/>
                <w:iCs w:val="0"/>
                <w:color w:val="auto"/>
                <w:sz w:val="21"/>
                <w:szCs w:val="21"/>
                <w:highlight w:val="none"/>
                <w:lang w:val="en-US" w:eastAsia="zh-CN"/>
              </w:rPr>
              <w:t>安装</w:t>
            </w:r>
            <w:r>
              <w:rPr>
                <w:rFonts w:hint="eastAsia" w:asciiTheme="minorEastAsia" w:hAnsiTheme="minorEastAsia" w:eastAsiaTheme="minorEastAsia" w:cstheme="minorEastAsia"/>
                <w:i w:val="0"/>
                <w:iCs w:val="0"/>
                <w:color w:val="auto"/>
                <w:sz w:val="21"/>
                <w:szCs w:val="21"/>
                <w:highlight w:val="none"/>
              </w:rPr>
              <w:t>专业）、工程类高级（或以上）职称。</w:t>
            </w:r>
            <w:r>
              <w:rPr>
                <w:rFonts w:hint="default" w:asciiTheme="minorEastAsia" w:hAnsiTheme="minorEastAsia" w:cstheme="minorEastAsia"/>
                <w:b w:val="0"/>
                <w:bCs w:val="0"/>
                <w:i w:val="0"/>
                <w:iCs w:val="0"/>
                <w:strike w:val="0"/>
                <w:color w:val="auto"/>
                <w:sz w:val="21"/>
                <w:szCs w:val="21"/>
                <w:highlight w:val="none"/>
                <w:lang w:eastAsia="zh-CN"/>
              </w:rPr>
              <w:t>参与过</w:t>
            </w:r>
            <w:r>
              <w:rPr>
                <w:rFonts w:hint="default" w:ascii="宋体" w:hAnsi="宋体" w:cs="Courier New"/>
                <w:color w:val="auto"/>
                <w:sz w:val="21"/>
                <w:szCs w:val="21"/>
                <w:highlight w:val="none"/>
              </w:rPr>
              <w:t>类似项目</w:t>
            </w:r>
            <w:r>
              <w:rPr>
                <w:rFonts w:hint="default" w:asciiTheme="minorEastAsia" w:hAnsiTheme="minorEastAsia" w:cstheme="minorEastAsia"/>
                <w:b w:val="0"/>
                <w:bCs w:val="0"/>
                <w:i w:val="0"/>
                <w:iCs w:val="0"/>
                <w:strike w:val="0"/>
                <w:color w:val="auto"/>
                <w:sz w:val="21"/>
                <w:szCs w:val="21"/>
                <w:highlight w:val="none"/>
                <w:lang w:eastAsia="zh-CN"/>
              </w:rPr>
              <w:t>造价工作经验。</w:t>
            </w:r>
          </w:p>
        </w:tc>
        <w:tc>
          <w:tcPr>
            <w:tcW w:w="639" w:type="dxa"/>
            <w:noWrap w:val="0"/>
            <w:vAlign w:val="center"/>
          </w:tcPr>
          <w:p>
            <w:pPr>
              <w:keepNext w:val="0"/>
              <w:keepLines w:val="0"/>
              <w:suppressLineNumbers w:val="0"/>
              <w:snapToGrid w:val="0"/>
              <w:spacing w:before="0" w:beforeAutospacing="0" w:after="0" w:afterAutospacing="0"/>
              <w:ind w:left="0" w:right="0"/>
              <w:jc w:val="both"/>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2" w:type="dxa"/>
            <w:noWrap w:val="0"/>
            <w:vAlign w:val="center"/>
          </w:tcPr>
          <w:p>
            <w:pPr>
              <w:keepNext w:val="0"/>
              <w:keepLines w:val="0"/>
              <w:suppressLineNumbers w:val="0"/>
              <w:snapToGrid w:val="0"/>
              <w:spacing w:before="0" w:beforeAutospacing="0" w:after="0" w:afterAutospacing="0"/>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18</w:t>
            </w:r>
          </w:p>
        </w:tc>
        <w:tc>
          <w:tcPr>
            <w:tcW w:w="1101"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664"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619"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566"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678"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126" w:type="dxa"/>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Courier New"/>
                <w:color w:val="auto"/>
                <w:sz w:val="21"/>
                <w:szCs w:val="21"/>
                <w:highlight w:val="none"/>
                <w:lang w:val="en-US" w:eastAsia="zh-CN"/>
              </w:rPr>
            </w:pPr>
            <w:r>
              <w:rPr>
                <w:rFonts w:hint="eastAsia" w:asciiTheme="minorEastAsia" w:hAnsiTheme="minorEastAsia" w:eastAsiaTheme="minorEastAsia" w:cstheme="minorEastAsia"/>
                <w:i w:val="0"/>
                <w:iCs w:val="0"/>
                <w:color w:val="auto"/>
                <w:sz w:val="21"/>
                <w:szCs w:val="21"/>
                <w:highlight w:val="none"/>
                <w:lang w:val="en-US" w:eastAsia="zh-CN"/>
              </w:rPr>
              <w:t>土建</w:t>
            </w:r>
            <w:r>
              <w:rPr>
                <w:rFonts w:hint="eastAsia" w:asciiTheme="minorEastAsia" w:hAnsiTheme="minorEastAsia" w:cstheme="minorEastAsia"/>
                <w:i w:val="0"/>
                <w:iCs w:val="0"/>
                <w:color w:val="auto"/>
                <w:sz w:val="21"/>
                <w:szCs w:val="21"/>
                <w:highlight w:val="none"/>
                <w:lang w:val="en-US" w:eastAsia="zh-CN"/>
              </w:rPr>
              <w:t>造价</w:t>
            </w:r>
            <w:r>
              <w:rPr>
                <w:rFonts w:hint="eastAsia" w:asciiTheme="minorEastAsia" w:hAnsiTheme="minorEastAsia" w:eastAsiaTheme="minorEastAsia" w:cstheme="minorEastAsia"/>
                <w:i w:val="0"/>
                <w:iCs w:val="0"/>
                <w:color w:val="auto"/>
                <w:sz w:val="21"/>
                <w:szCs w:val="21"/>
                <w:highlight w:val="none"/>
                <w:lang w:val="en-US" w:eastAsia="zh-CN"/>
              </w:rPr>
              <w:t>工程师</w:t>
            </w:r>
          </w:p>
        </w:tc>
        <w:tc>
          <w:tcPr>
            <w:tcW w:w="624" w:type="dxa"/>
            <w:noWrap w:val="0"/>
            <w:vAlign w:val="center"/>
          </w:tcPr>
          <w:p>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260" w:type="dxa"/>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s="Courier New"/>
                <w:color w:val="auto"/>
                <w:sz w:val="21"/>
                <w:szCs w:val="21"/>
                <w:highlight w:val="none"/>
              </w:rPr>
            </w:pPr>
            <w:r>
              <w:rPr>
                <w:rFonts w:hint="eastAsia" w:asciiTheme="minorEastAsia" w:hAnsiTheme="minorEastAsia" w:eastAsiaTheme="minorEastAsia" w:cstheme="minorEastAsia"/>
                <w:i w:val="0"/>
                <w:iCs w:val="0"/>
                <w:color w:val="auto"/>
                <w:sz w:val="21"/>
                <w:szCs w:val="21"/>
                <w:highlight w:val="none"/>
                <w:lang w:val="en-US" w:eastAsia="zh-CN"/>
              </w:rPr>
              <w:t>二级或以上注册造价工程师（土建专业）</w:t>
            </w:r>
            <w:r>
              <w:rPr>
                <w:rFonts w:hint="default" w:asciiTheme="minorEastAsia" w:hAnsiTheme="minorEastAsia" w:cstheme="minorEastAsia"/>
                <w:i w:val="0"/>
                <w:iCs w:val="0"/>
                <w:color w:val="auto"/>
                <w:sz w:val="21"/>
                <w:szCs w:val="21"/>
                <w:highlight w:val="none"/>
                <w:lang w:eastAsia="zh-CN"/>
              </w:rPr>
              <w:t>，</w:t>
            </w:r>
            <w:r>
              <w:rPr>
                <w:rFonts w:hint="default" w:asciiTheme="minorEastAsia" w:hAnsiTheme="minorEastAsia" w:cstheme="minorEastAsia"/>
                <w:b w:val="0"/>
                <w:bCs w:val="0"/>
                <w:i w:val="0"/>
                <w:iCs w:val="0"/>
                <w:strike w:val="0"/>
                <w:color w:val="auto"/>
                <w:sz w:val="21"/>
                <w:szCs w:val="21"/>
                <w:highlight w:val="none"/>
                <w:lang w:eastAsia="zh-CN"/>
              </w:rPr>
              <w:t>参与过</w:t>
            </w:r>
            <w:r>
              <w:rPr>
                <w:rFonts w:hint="default" w:ascii="宋体" w:hAnsi="宋体" w:cs="Courier New"/>
                <w:color w:val="auto"/>
                <w:sz w:val="21"/>
                <w:szCs w:val="21"/>
                <w:highlight w:val="none"/>
              </w:rPr>
              <w:t>类似项目</w:t>
            </w:r>
            <w:r>
              <w:rPr>
                <w:rFonts w:hint="default" w:asciiTheme="minorEastAsia" w:hAnsiTheme="minorEastAsia" w:cstheme="minorEastAsia"/>
                <w:b w:val="0"/>
                <w:bCs w:val="0"/>
                <w:i w:val="0"/>
                <w:iCs w:val="0"/>
                <w:strike w:val="0"/>
                <w:color w:val="auto"/>
                <w:sz w:val="21"/>
                <w:szCs w:val="21"/>
                <w:highlight w:val="none"/>
                <w:lang w:eastAsia="zh-CN"/>
              </w:rPr>
              <w:t>造价工作经验。</w:t>
            </w:r>
          </w:p>
        </w:tc>
        <w:tc>
          <w:tcPr>
            <w:tcW w:w="639" w:type="dxa"/>
            <w:noWrap w:val="0"/>
            <w:vAlign w:val="center"/>
          </w:tcPr>
          <w:p>
            <w:pPr>
              <w:keepNext w:val="0"/>
              <w:keepLines w:val="0"/>
              <w:suppressLineNumbers w:val="0"/>
              <w:snapToGrid w:val="0"/>
              <w:spacing w:before="0" w:beforeAutospacing="0" w:after="0" w:afterAutospacing="0"/>
              <w:ind w:left="0" w:right="0"/>
              <w:jc w:val="both"/>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2" w:type="dxa"/>
            <w:noWrap w:val="0"/>
            <w:vAlign w:val="center"/>
          </w:tcPr>
          <w:p>
            <w:pPr>
              <w:keepNext w:val="0"/>
              <w:keepLines w:val="0"/>
              <w:suppressLineNumbers w:val="0"/>
              <w:snapToGrid w:val="0"/>
              <w:spacing w:before="0" w:beforeAutospacing="0" w:after="0" w:afterAutospacing="0"/>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19</w:t>
            </w:r>
          </w:p>
        </w:tc>
        <w:tc>
          <w:tcPr>
            <w:tcW w:w="1101"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664"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619"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566"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678"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126" w:type="dxa"/>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Courier New"/>
                <w:color w:val="auto"/>
                <w:sz w:val="21"/>
                <w:szCs w:val="21"/>
                <w:highlight w:val="none"/>
                <w:lang w:val="en-US" w:eastAsia="zh-CN"/>
              </w:rPr>
            </w:pPr>
            <w:r>
              <w:rPr>
                <w:rFonts w:hint="eastAsia" w:asciiTheme="minorEastAsia" w:hAnsiTheme="minorEastAsia" w:eastAsiaTheme="minorEastAsia" w:cstheme="minorEastAsia"/>
                <w:i w:val="0"/>
                <w:iCs w:val="0"/>
                <w:color w:val="auto"/>
                <w:sz w:val="21"/>
                <w:szCs w:val="21"/>
                <w:highlight w:val="none"/>
                <w:lang w:val="en-US" w:eastAsia="zh-CN"/>
              </w:rPr>
              <w:t>安装</w:t>
            </w:r>
            <w:r>
              <w:rPr>
                <w:rFonts w:hint="eastAsia" w:asciiTheme="minorEastAsia" w:hAnsiTheme="minorEastAsia" w:cstheme="minorEastAsia"/>
                <w:i w:val="0"/>
                <w:iCs w:val="0"/>
                <w:color w:val="auto"/>
                <w:sz w:val="21"/>
                <w:szCs w:val="21"/>
                <w:highlight w:val="none"/>
                <w:lang w:val="en-US" w:eastAsia="zh-CN"/>
              </w:rPr>
              <w:t>造价</w:t>
            </w:r>
            <w:r>
              <w:rPr>
                <w:rFonts w:hint="eastAsia" w:asciiTheme="minorEastAsia" w:hAnsiTheme="minorEastAsia" w:eastAsiaTheme="minorEastAsia" w:cstheme="minorEastAsia"/>
                <w:i w:val="0"/>
                <w:iCs w:val="0"/>
                <w:color w:val="auto"/>
                <w:sz w:val="21"/>
                <w:szCs w:val="21"/>
                <w:highlight w:val="none"/>
                <w:lang w:val="en-US" w:eastAsia="zh-CN"/>
              </w:rPr>
              <w:t>工程师</w:t>
            </w:r>
          </w:p>
        </w:tc>
        <w:tc>
          <w:tcPr>
            <w:tcW w:w="624" w:type="dxa"/>
            <w:noWrap w:val="0"/>
            <w:vAlign w:val="center"/>
          </w:tcPr>
          <w:p>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260" w:type="dxa"/>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s="Courier New"/>
                <w:color w:val="auto"/>
                <w:sz w:val="21"/>
                <w:szCs w:val="21"/>
                <w:highlight w:val="none"/>
              </w:rPr>
            </w:pPr>
            <w:r>
              <w:rPr>
                <w:rFonts w:hint="eastAsia" w:asciiTheme="minorEastAsia" w:hAnsiTheme="minorEastAsia" w:eastAsiaTheme="minorEastAsia" w:cstheme="minorEastAsia"/>
                <w:i w:val="0"/>
                <w:iCs w:val="0"/>
                <w:color w:val="auto"/>
                <w:sz w:val="21"/>
                <w:szCs w:val="21"/>
                <w:highlight w:val="none"/>
                <w:lang w:val="en-US" w:eastAsia="zh-CN"/>
              </w:rPr>
              <w:t>二级或以上注册造价工程师（安装专业）</w:t>
            </w:r>
            <w:r>
              <w:rPr>
                <w:rFonts w:hint="default" w:asciiTheme="minorEastAsia" w:hAnsiTheme="minorEastAsia" w:cstheme="minorEastAsia"/>
                <w:i w:val="0"/>
                <w:iCs w:val="0"/>
                <w:color w:val="auto"/>
                <w:sz w:val="21"/>
                <w:szCs w:val="21"/>
                <w:highlight w:val="none"/>
                <w:lang w:eastAsia="zh-CN"/>
              </w:rPr>
              <w:t>，参与过</w:t>
            </w:r>
            <w:r>
              <w:rPr>
                <w:rFonts w:hint="default" w:ascii="宋体" w:hAnsi="宋体" w:cs="Courier New"/>
                <w:color w:val="auto"/>
                <w:sz w:val="21"/>
                <w:szCs w:val="21"/>
                <w:highlight w:val="none"/>
              </w:rPr>
              <w:t>类似项目</w:t>
            </w:r>
            <w:r>
              <w:rPr>
                <w:rFonts w:hint="default" w:asciiTheme="minorEastAsia" w:hAnsiTheme="minorEastAsia" w:cstheme="minorEastAsia"/>
                <w:b w:val="0"/>
                <w:bCs w:val="0"/>
                <w:i w:val="0"/>
                <w:iCs w:val="0"/>
                <w:strike w:val="0"/>
                <w:color w:val="auto"/>
                <w:sz w:val="21"/>
                <w:szCs w:val="21"/>
                <w:highlight w:val="none"/>
                <w:lang w:eastAsia="zh-CN"/>
              </w:rPr>
              <w:t>造价工作经验</w:t>
            </w:r>
            <w:r>
              <w:rPr>
                <w:rFonts w:hint="default" w:asciiTheme="minorEastAsia" w:hAnsiTheme="minorEastAsia" w:cstheme="minorEastAsia"/>
                <w:i w:val="0"/>
                <w:iCs w:val="0"/>
                <w:color w:val="auto"/>
                <w:sz w:val="21"/>
                <w:szCs w:val="21"/>
                <w:highlight w:val="none"/>
                <w:lang w:eastAsia="zh-CN"/>
              </w:rPr>
              <w:t>。</w:t>
            </w:r>
          </w:p>
        </w:tc>
        <w:tc>
          <w:tcPr>
            <w:tcW w:w="639" w:type="dxa"/>
            <w:noWrap w:val="0"/>
            <w:vAlign w:val="center"/>
          </w:tcPr>
          <w:p>
            <w:pPr>
              <w:keepNext w:val="0"/>
              <w:keepLines w:val="0"/>
              <w:suppressLineNumbers w:val="0"/>
              <w:snapToGrid w:val="0"/>
              <w:spacing w:before="0" w:beforeAutospacing="0" w:after="0" w:afterAutospacing="0"/>
              <w:ind w:left="0" w:right="0"/>
              <w:jc w:val="both"/>
              <w:rPr>
                <w:rFonts w:hint="eastAsia" w:ascii="宋体" w:hAnsi="宋体" w:eastAsia="宋体" w:cs="宋体"/>
                <w:color w:val="auto"/>
                <w:szCs w:val="21"/>
                <w:highlight w:val="none"/>
              </w:rPr>
            </w:pPr>
          </w:p>
        </w:tc>
      </w:tr>
    </w:tbl>
    <w:p>
      <w:pPr>
        <w:adjustRightInd w:val="0"/>
        <w:snapToGrid w:val="0"/>
        <w:spacing w:line="360" w:lineRule="auto"/>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备注：①投标人应根据勘察设计任务书要求和招标项目的实际需要，</w:t>
      </w:r>
      <w:r>
        <w:rPr>
          <w:rFonts w:hint="eastAsia" w:ascii="宋体" w:hAnsi="宋体" w:eastAsia="宋体" w:cs="Courier New"/>
          <w:color w:val="auto"/>
          <w:sz w:val="24"/>
          <w:szCs w:val="21"/>
          <w:highlight w:val="none"/>
        </w:rPr>
        <w:t>列出总负责人、项目负责人及各专业负责人，如结构专业负责人、建筑专业负责人、暖通专业负责人、园林专业负责人、电气专业负责人、智能化专业负责人、给排水专业负责人、概预算专业负责人、报建负责人、勘察</w:t>
      </w:r>
      <w:r>
        <w:rPr>
          <w:rFonts w:hint="default" w:ascii="宋体" w:hAnsi="宋体" w:eastAsia="宋体" w:cs="Courier New"/>
          <w:color w:val="auto"/>
          <w:sz w:val="24"/>
          <w:szCs w:val="21"/>
          <w:highlight w:val="none"/>
        </w:rPr>
        <w:t>项目</w:t>
      </w:r>
      <w:r>
        <w:rPr>
          <w:rFonts w:hint="eastAsia" w:ascii="宋体" w:hAnsi="宋体" w:eastAsia="宋体" w:cs="Courier New"/>
          <w:color w:val="auto"/>
          <w:sz w:val="24"/>
          <w:szCs w:val="21"/>
          <w:highlight w:val="none"/>
        </w:rPr>
        <w:t>负责人</w:t>
      </w:r>
      <w:r>
        <w:rPr>
          <w:rFonts w:hint="eastAsia" w:ascii="宋体" w:hAnsi="宋体" w:eastAsia="宋体" w:cs="Courier New"/>
          <w:color w:val="auto"/>
          <w:sz w:val="24"/>
          <w:szCs w:val="21"/>
          <w:highlight w:val="none"/>
          <w:lang w:eastAsia="zh-CN"/>
        </w:rPr>
        <w:t>、</w:t>
      </w:r>
      <w:r>
        <w:rPr>
          <w:rFonts w:hint="eastAsia" w:ascii="宋体" w:hAnsi="宋体" w:eastAsia="宋体" w:cs="Courier New"/>
          <w:color w:val="auto"/>
          <w:sz w:val="24"/>
          <w:szCs w:val="21"/>
          <w:highlight w:val="none"/>
          <w:lang w:val="en-US" w:eastAsia="zh-CN"/>
        </w:rPr>
        <w:t>勘察</w:t>
      </w:r>
      <w:r>
        <w:rPr>
          <w:rFonts w:hint="eastAsia" w:ascii="宋体" w:hAnsi="宋体" w:eastAsia="宋体" w:cs="Courier New"/>
          <w:color w:val="auto"/>
          <w:sz w:val="24"/>
          <w:szCs w:val="21"/>
          <w:highlight w:val="none"/>
        </w:rPr>
        <w:t>现场负责人</w:t>
      </w:r>
      <w:r>
        <w:rPr>
          <w:rFonts w:hint="eastAsia" w:ascii="宋体" w:hAnsi="宋体" w:eastAsia="宋体" w:cs="Courier New"/>
          <w:color w:val="auto"/>
          <w:sz w:val="24"/>
          <w:szCs w:val="21"/>
          <w:highlight w:val="none"/>
          <w:lang w:eastAsia="zh-CN"/>
        </w:rPr>
        <w:t>、</w:t>
      </w:r>
      <w:r>
        <w:rPr>
          <w:rFonts w:hint="eastAsia" w:ascii="宋体" w:hAnsi="宋体" w:eastAsia="宋体" w:cs="Courier New"/>
          <w:color w:val="auto"/>
          <w:sz w:val="24"/>
          <w:szCs w:val="21"/>
          <w:highlight w:val="none"/>
          <w:lang w:val="en-US" w:eastAsia="zh-CN"/>
        </w:rPr>
        <w:t>勘察</w:t>
      </w:r>
      <w:r>
        <w:rPr>
          <w:rFonts w:hint="eastAsia" w:ascii="宋体" w:hAnsi="宋体" w:eastAsia="宋体" w:cs="Courier New"/>
          <w:color w:val="auto"/>
          <w:sz w:val="24"/>
          <w:szCs w:val="21"/>
          <w:highlight w:val="none"/>
        </w:rPr>
        <w:t>现场配合人等各专业负责人，需提供相关证书扫描件</w:t>
      </w:r>
      <w:r>
        <w:rPr>
          <w:rFonts w:hint="eastAsia" w:ascii="宋体" w:hAnsi="宋体" w:eastAsia="宋体" w:cs="Times New Roman"/>
          <w:color w:val="auto"/>
          <w:sz w:val="24"/>
          <w:highlight w:val="none"/>
        </w:rPr>
        <w:t>。</w:t>
      </w:r>
    </w:p>
    <w:p>
      <w:pPr>
        <w:keepNext w:val="0"/>
        <w:keepLines w:val="0"/>
        <w:widowControl w:val="0"/>
        <w:suppressLineNumbers w:val="0"/>
        <w:topLinePunct/>
        <w:adjustRightInd w:val="0"/>
        <w:snapToGrid w:val="0"/>
        <w:spacing w:before="0" w:beforeAutospacing="0" w:after="0" w:afterAutospacing="0" w:line="360" w:lineRule="auto"/>
        <w:ind w:left="124" w:leftChars="59" w:right="0" w:firstLine="480" w:firstLineChars="200"/>
        <w:jc w:val="both"/>
        <w:rPr>
          <w:rFonts w:hint="default" w:ascii="Times New Roman" w:hAnsi="Times New Roman" w:cs="宋体"/>
          <w:color w:val="auto"/>
          <w:spacing w:val="4"/>
          <w:kern w:val="0"/>
          <w:sz w:val="22"/>
          <w:highlight w:val="none"/>
          <w:lang w:eastAsia="zh-CN" w:bidi="ar"/>
        </w:rPr>
      </w:pPr>
      <w:r>
        <w:rPr>
          <w:rFonts w:hint="eastAsia" w:ascii="宋体" w:hAnsi="宋体" w:eastAsia="宋体" w:cs="Times New Roman"/>
          <w:color w:val="auto"/>
          <w:sz w:val="24"/>
          <w:highlight w:val="none"/>
        </w:rPr>
        <w:t>②投标人应按本表所列的项目负责人和各专业负责人填写主要负责人简历表。</w:t>
      </w:r>
      <w:r>
        <w:rPr>
          <w:rFonts w:hint="eastAsia" w:ascii="宋体" w:hAnsi="宋体" w:eastAsia="宋体" w:cs="Times New Roman"/>
          <w:b/>
          <w:color w:val="auto"/>
          <w:kern w:val="2"/>
          <w:sz w:val="24"/>
          <w:szCs w:val="24"/>
          <w:highlight w:val="none"/>
          <w:u w:val="single"/>
          <w:lang w:val="en-US" w:eastAsia="zh-CN" w:bidi="ar"/>
        </w:rPr>
        <w:t>“基本要求”中的相应工作年限</w:t>
      </w:r>
      <w:r>
        <w:rPr>
          <w:rFonts w:hint="eastAsia" w:ascii="宋体" w:hAnsi="宋体" w:eastAsia="宋体" w:cs="宋体"/>
          <w:b/>
          <w:color w:val="auto"/>
          <w:kern w:val="2"/>
          <w:sz w:val="24"/>
          <w:szCs w:val="24"/>
          <w:highlight w:val="none"/>
          <w:u w:val="single"/>
          <w:lang w:val="en-US" w:eastAsia="zh-CN" w:bidi="ar"/>
        </w:rPr>
        <w:t>要求均以上表中投标人填写的</w:t>
      </w:r>
      <w:r>
        <w:rPr>
          <w:rFonts w:hint="eastAsia" w:ascii="宋体" w:hAnsi="宋体" w:eastAsia="宋体" w:cs="Times New Roman"/>
          <w:b/>
          <w:color w:val="auto"/>
          <w:kern w:val="2"/>
          <w:sz w:val="24"/>
          <w:szCs w:val="24"/>
          <w:highlight w:val="none"/>
          <w:u w:val="single"/>
          <w:lang w:val="en-US" w:eastAsia="zh-CN" w:bidi="ar"/>
        </w:rPr>
        <w:t>“从事相关工作年限”为准。</w:t>
      </w:r>
      <w:r>
        <w:rPr>
          <w:rFonts w:hint="eastAsia" w:ascii="宋体" w:hAnsi="宋体" w:eastAsia="宋体" w:cs="宋体"/>
          <w:b/>
          <w:color w:val="auto"/>
          <w:kern w:val="2"/>
          <w:sz w:val="24"/>
          <w:szCs w:val="24"/>
          <w:highlight w:val="none"/>
          <w:u w:val="single"/>
          <w:lang w:val="en-US" w:eastAsia="zh-CN" w:bidi="ar"/>
        </w:rPr>
        <w:t>类似项目指</w:t>
      </w:r>
      <w:r>
        <w:rPr>
          <w:rFonts w:hint="eastAsia" w:ascii="宋体" w:hAnsi="宋体" w:eastAsia="宋体" w:cs="宋体"/>
          <w:color w:val="auto"/>
          <w:kern w:val="0"/>
          <w:sz w:val="24"/>
          <w:szCs w:val="24"/>
          <w:highlight w:val="none"/>
          <w:u w:val="single"/>
          <w:shd w:val="clear" w:fill="FFFFFF"/>
          <w:lang w:val="en-US" w:eastAsia="zh-CN" w:bidi="ar"/>
        </w:rPr>
        <w:t>总投资≥50000万元或超高层（即建筑高度100米以上）的公共建筑类工程，</w:t>
      </w:r>
      <w:r>
        <w:rPr>
          <w:rFonts w:hint="eastAsia" w:ascii="宋体" w:hAnsi="宋体" w:eastAsia="宋体" w:cs="宋体"/>
          <w:color w:val="auto"/>
          <w:kern w:val="2"/>
          <w:sz w:val="24"/>
          <w:szCs w:val="24"/>
          <w:highlight w:val="none"/>
          <w:u w:val="single"/>
          <w:lang w:val="en-US" w:eastAsia="zh-CN" w:bidi="ar"/>
        </w:rPr>
        <w:t>其中定标因素涉及的主要岗位人员以定标因素要求为评判依据。</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③投标人拟投入的人员应为本单位人员，并提供本表所列人员的提供投标截止时间</w:t>
      </w:r>
      <w:r>
        <w:rPr>
          <w:rFonts w:hint="eastAsia" w:ascii="宋体" w:hAnsi="宋体" w:eastAsia="宋体" w:cs="Times New Roman"/>
          <w:color w:val="auto"/>
          <w:sz w:val="24"/>
          <w:highlight w:val="none"/>
          <w:lang w:val="en-US" w:eastAsia="zh-CN"/>
        </w:rPr>
        <w:t>近</w:t>
      </w:r>
      <w:r>
        <w:rPr>
          <w:rFonts w:hint="eastAsia" w:ascii="宋体" w:hAnsi="宋体" w:eastAsia="宋体" w:cs="Times New Roman"/>
          <w:color w:val="auto"/>
          <w:sz w:val="24"/>
          <w:highlight w:val="none"/>
        </w:rPr>
        <w:t>1个月（指</w:t>
      </w:r>
      <w:r>
        <w:rPr>
          <w:rFonts w:hint="eastAsia" w:ascii="宋体" w:hAnsi="宋体" w:eastAsia="宋体" w:cs="Times New Roman"/>
          <w:color w:val="auto"/>
          <w:sz w:val="24"/>
          <w:highlight w:val="none"/>
          <w:lang w:eastAsia="zh-CN"/>
        </w:rPr>
        <w:t>2025年</w:t>
      </w:r>
      <w:r>
        <w:rPr>
          <w:rFonts w:hint="default" w:ascii="宋体" w:hAnsi="宋体" w:eastAsia="宋体" w:cs="Times New Roman"/>
          <w:color w:val="auto"/>
          <w:sz w:val="24"/>
          <w:highlight w:val="none"/>
          <w:lang w:eastAsia="zh-CN"/>
        </w:rPr>
        <w:t>7</w:t>
      </w:r>
      <w:r>
        <w:rPr>
          <w:rFonts w:hint="eastAsia" w:ascii="宋体" w:hAnsi="宋体" w:eastAsia="宋体" w:cs="Times New Roman"/>
          <w:color w:val="auto"/>
          <w:sz w:val="24"/>
          <w:highlight w:val="none"/>
          <w:lang w:eastAsia="zh-CN"/>
        </w:rPr>
        <w:t>月</w:t>
      </w:r>
      <w:r>
        <w:rPr>
          <w:rFonts w:hint="eastAsia" w:ascii="宋体" w:hAnsi="宋体" w:eastAsia="宋体" w:cs="Times New Roman"/>
          <w:color w:val="auto"/>
          <w:sz w:val="24"/>
          <w:highlight w:val="none"/>
        </w:rPr>
        <w:t>）在本投标单位购买社保缴纳证明材料</w:t>
      </w:r>
      <w:r>
        <w:rPr>
          <w:rFonts w:hint="eastAsia" w:ascii="宋体" w:hAnsi="宋体" w:eastAsia="宋体" w:cs="宋体"/>
          <w:color w:val="auto"/>
          <w:kern w:val="0"/>
          <w:sz w:val="24"/>
          <w:szCs w:val="24"/>
          <w:highlight w:val="none"/>
          <w:u w:val="single"/>
          <w:shd w:val="clear" w:fill="FFFFFF"/>
          <w:lang w:val="en-US" w:eastAsia="zh-CN" w:bidi="ar"/>
        </w:rPr>
        <w:t>；如为退休人员，应提供退休证明及单位聘用证明文件</w:t>
      </w:r>
      <w:r>
        <w:rPr>
          <w:rFonts w:hint="default" w:ascii="宋体" w:hAnsi="宋体" w:eastAsia="宋体" w:cs="宋体"/>
          <w:color w:val="auto"/>
          <w:kern w:val="0"/>
          <w:sz w:val="24"/>
          <w:szCs w:val="24"/>
          <w:highlight w:val="none"/>
          <w:u w:val="single"/>
          <w:shd w:val="clear" w:fill="FFFFFF"/>
          <w:lang w:eastAsia="zh-CN" w:bidi="ar"/>
        </w:rPr>
        <w:t>扫描</w:t>
      </w:r>
      <w:r>
        <w:rPr>
          <w:rFonts w:hint="eastAsia" w:ascii="宋体" w:hAnsi="宋体" w:eastAsia="宋体" w:cs="宋体"/>
          <w:color w:val="auto"/>
          <w:kern w:val="0"/>
          <w:sz w:val="24"/>
          <w:szCs w:val="24"/>
          <w:highlight w:val="none"/>
          <w:u w:val="single"/>
          <w:shd w:val="clear" w:fill="FFFFFF"/>
          <w:lang w:val="en-US" w:eastAsia="zh-CN" w:bidi="ar"/>
        </w:rPr>
        <w:t>件</w:t>
      </w:r>
      <w:r>
        <w:rPr>
          <w:rFonts w:hint="eastAsia" w:ascii="宋体" w:hAnsi="宋体" w:eastAsia="宋体" w:cs="宋体"/>
          <w:color w:val="auto"/>
          <w:kern w:val="0"/>
          <w:sz w:val="21"/>
          <w:szCs w:val="21"/>
          <w:highlight w:val="none"/>
          <w:u w:val="none"/>
          <w:shd w:val="clear" w:color="auto" w:fill="FFFFFF"/>
          <w:lang w:eastAsia="zh-CN" w:bidi="ar"/>
        </w:rPr>
        <w:t>；</w:t>
      </w:r>
      <w:r>
        <w:rPr>
          <w:rFonts w:hint="eastAsia" w:ascii="宋体" w:hAnsi="宋体" w:eastAsia="宋体" w:cs="宋体"/>
          <w:b/>
          <w:bCs/>
          <w:color w:val="auto"/>
          <w:kern w:val="0"/>
          <w:sz w:val="24"/>
          <w:szCs w:val="24"/>
          <w:highlight w:val="none"/>
          <w:u w:val="single"/>
          <w:shd w:val="clear" w:color="auto" w:fill="FFFFFF"/>
          <w:lang w:eastAsia="zh-CN" w:bidi="ar"/>
        </w:rPr>
        <w:t>如</w:t>
      </w:r>
      <w:r>
        <w:rPr>
          <w:rFonts w:hint="eastAsia" w:ascii="宋体" w:hAnsi="宋体" w:eastAsia="宋体" w:cs="宋体"/>
          <w:b/>
          <w:bCs/>
          <w:color w:val="auto"/>
          <w:kern w:val="0"/>
          <w:sz w:val="24"/>
          <w:szCs w:val="24"/>
          <w:highlight w:val="none"/>
          <w:u w:val="single"/>
          <w:shd w:val="clear" w:color="auto" w:fill="FFFFFF"/>
          <w:lang w:val="en-US" w:eastAsia="zh-CN" w:bidi="ar"/>
        </w:rPr>
        <w:t>为</w:t>
      </w:r>
      <w:r>
        <w:rPr>
          <w:rFonts w:hint="eastAsia" w:ascii="宋体" w:hAnsi="宋体" w:eastAsia="宋体" w:cs="宋体"/>
          <w:b/>
          <w:bCs/>
          <w:color w:val="auto"/>
          <w:kern w:val="0"/>
          <w:sz w:val="24"/>
          <w:szCs w:val="24"/>
          <w:highlight w:val="none"/>
          <w:u w:val="single"/>
          <w:shd w:val="clear" w:color="auto" w:fill="FFFFFF"/>
          <w:lang w:eastAsia="zh-CN" w:bidi="ar"/>
        </w:rPr>
        <w:t>高校从事工程</w:t>
      </w:r>
      <w:r>
        <w:rPr>
          <w:rFonts w:hint="eastAsia" w:ascii="宋体" w:hAnsi="宋体" w:eastAsia="宋体" w:cs="宋体"/>
          <w:b/>
          <w:bCs/>
          <w:color w:val="auto"/>
          <w:kern w:val="0"/>
          <w:sz w:val="24"/>
          <w:szCs w:val="24"/>
          <w:highlight w:val="none"/>
          <w:u w:val="single"/>
          <w:shd w:val="clear" w:color="auto" w:fill="FFFFFF"/>
          <w:lang w:val="en-US" w:eastAsia="zh-CN" w:bidi="ar"/>
        </w:rPr>
        <w:t>勘察</w:t>
      </w:r>
      <w:r>
        <w:rPr>
          <w:rFonts w:hint="eastAsia" w:ascii="宋体" w:hAnsi="宋体" w:eastAsia="宋体" w:cs="宋体"/>
          <w:b/>
          <w:bCs/>
          <w:color w:val="auto"/>
          <w:kern w:val="0"/>
          <w:sz w:val="24"/>
          <w:szCs w:val="24"/>
          <w:highlight w:val="none"/>
          <w:u w:val="single"/>
          <w:shd w:val="clear" w:color="auto" w:fill="FFFFFF"/>
          <w:lang w:eastAsia="zh-CN" w:bidi="ar"/>
        </w:rPr>
        <w:t>设计的人员社保缴纳单位与投标单位不一致的，除</w:t>
      </w:r>
      <w:r>
        <w:rPr>
          <w:rFonts w:hint="eastAsia" w:ascii="宋体" w:hAnsi="宋体" w:eastAsia="宋体" w:cs="宋体"/>
          <w:b/>
          <w:bCs/>
          <w:color w:val="auto"/>
          <w:kern w:val="0"/>
          <w:sz w:val="24"/>
          <w:szCs w:val="24"/>
          <w:highlight w:val="none"/>
          <w:u w:val="single"/>
          <w:shd w:val="clear" w:color="auto" w:fill="FFFFFF"/>
          <w:lang w:val="en-US" w:eastAsia="zh-CN" w:bidi="ar"/>
        </w:rPr>
        <w:t>需</w:t>
      </w:r>
      <w:r>
        <w:rPr>
          <w:rFonts w:hint="eastAsia" w:ascii="宋体" w:hAnsi="宋体" w:eastAsia="宋体" w:cs="宋体"/>
          <w:b/>
          <w:bCs/>
          <w:color w:val="auto"/>
          <w:kern w:val="0"/>
          <w:sz w:val="24"/>
          <w:szCs w:val="24"/>
          <w:highlight w:val="none"/>
          <w:u w:val="single"/>
          <w:shd w:val="clear" w:color="auto" w:fill="FFFFFF"/>
          <w:lang w:eastAsia="zh-CN" w:bidi="ar"/>
        </w:rPr>
        <w:t>提供社保</w:t>
      </w:r>
      <w:r>
        <w:rPr>
          <w:rFonts w:hint="eastAsia" w:ascii="宋体" w:hAnsi="宋体" w:eastAsia="宋体" w:cs="宋体"/>
          <w:b/>
          <w:bCs/>
          <w:color w:val="auto"/>
          <w:kern w:val="0"/>
          <w:sz w:val="24"/>
          <w:szCs w:val="24"/>
          <w:highlight w:val="none"/>
          <w:u w:val="single"/>
          <w:shd w:val="clear" w:color="auto" w:fill="FFFFFF"/>
          <w:lang w:val="en-US" w:eastAsia="zh-CN" w:bidi="ar"/>
        </w:rPr>
        <w:t>缴纳</w:t>
      </w:r>
      <w:r>
        <w:rPr>
          <w:rFonts w:hint="eastAsia" w:ascii="宋体" w:hAnsi="宋体" w:eastAsia="宋体" w:cs="宋体"/>
          <w:b/>
          <w:bCs/>
          <w:color w:val="auto"/>
          <w:kern w:val="0"/>
          <w:sz w:val="24"/>
          <w:szCs w:val="24"/>
          <w:highlight w:val="none"/>
          <w:u w:val="single"/>
          <w:shd w:val="clear" w:color="auto" w:fill="FFFFFF"/>
          <w:lang w:eastAsia="zh-CN" w:bidi="ar"/>
        </w:rPr>
        <w:t>证明</w:t>
      </w:r>
      <w:r>
        <w:rPr>
          <w:rFonts w:hint="eastAsia" w:ascii="宋体" w:hAnsi="宋体" w:eastAsia="宋体" w:cs="宋体"/>
          <w:b/>
          <w:bCs/>
          <w:color w:val="auto"/>
          <w:kern w:val="0"/>
          <w:sz w:val="24"/>
          <w:szCs w:val="24"/>
          <w:highlight w:val="none"/>
          <w:u w:val="single"/>
          <w:shd w:val="clear" w:color="auto" w:fill="FFFFFF"/>
          <w:lang w:val="en-US" w:eastAsia="zh-CN" w:bidi="ar"/>
        </w:rPr>
        <w:t>材料</w:t>
      </w:r>
      <w:r>
        <w:rPr>
          <w:rFonts w:hint="eastAsia" w:ascii="宋体" w:hAnsi="宋体" w:eastAsia="宋体" w:cs="宋体"/>
          <w:b/>
          <w:bCs/>
          <w:color w:val="auto"/>
          <w:kern w:val="0"/>
          <w:sz w:val="24"/>
          <w:szCs w:val="24"/>
          <w:highlight w:val="none"/>
          <w:u w:val="single"/>
          <w:shd w:val="clear" w:color="auto" w:fill="FFFFFF"/>
          <w:lang w:eastAsia="zh-CN" w:bidi="ar"/>
        </w:rPr>
        <w:t>扫描件，还需提供岗位所在单位上级人事主管部门出具的，人员为本校事业编制人员并在该企业工作</w:t>
      </w:r>
      <w:r>
        <w:rPr>
          <w:rFonts w:hint="eastAsia" w:ascii="宋体" w:hAnsi="宋体" w:eastAsia="宋体" w:cs="宋体"/>
          <w:b/>
          <w:bCs/>
          <w:color w:val="auto"/>
          <w:kern w:val="0"/>
          <w:sz w:val="24"/>
          <w:szCs w:val="24"/>
          <w:highlight w:val="none"/>
          <w:u w:val="single"/>
          <w:shd w:val="clear" w:color="auto" w:fill="FFFFFF"/>
          <w:lang w:val="en-US" w:eastAsia="zh-CN" w:bidi="ar"/>
        </w:rPr>
        <w:t>但</w:t>
      </w:r>
      <w:r>
        <w:rPr>
          <w:rFonts w:hint="eastAsia" w:ascii="宋体" w:hAnsi="宋体" w:eastAsia="宋体" w:cs="宋体"/>
          <w:b/>
          <w:bCs/>
          <w:color w:val="auto"/>
          <w:kern w:val="0"/>
          <w:sz w:val="24"/>
          <w:szCs w:val="24"/>
          <w:highlight w:val="none"/>
          <w:u w:val="single"/>
          <w:shd w:val="clear" w:color="auto" w:fill="FFFFFF"/>
          <w:lang w:eastAsia="zh-CN" w:bidi="ar"/>
        </w:rPr>
        <w:t>社保由高校统一缴纳的人事关系证明</w:t>
      </w:r>
      <w:r>
        <w:rPr>
          <w:rFonts w:hint="eastAsia" w:ascii="宋体" w:hAnsi="宋体" w:eastAsia="宋体" w:cs="宋体"/>
          <w:b/>
          <w:bCs/>
          <w:color w:val="auto"/>
          <w:kern w:val="0"/>
          <w:sz w:val="24"/>
          <w:szCs w:val="24"/>
          <w:highlight w:val="none"/>
          <w:u w:val="single"/>
          <w:shd w:val="clear" w:color="auto" w:fill="FFFFFF"/>
          <w:lang w:val="en-US" w:eastAsia="zh-CN" w:bidi="ar"/>
        </w:rPr>
        <w:t>文件</w:t>
      </w:r>
      <w:r>
        <w:rPr>
          <w:rFonts w:hint="eastAsia" w:ascii="宋体" w:hAnsi="宋体" w:eastAsia="宋体" w:cs="宋体"/>
          <w:b/>
          <w:bCs/>
          <w:color w:val="auto"/>
          <w:kern w:val="0"/>
          <w:sz w:val="24"/>
          <w:szCs w:val="24"/>
          <w:highlight w:val="none"/>
          <w:u w:val="single"/>
          <w:shd w:val="clear" w:color="auto" w:fill="FFFFFF"/>
          <w:lang w:eastAsia="zh-CN" w:bidi="ar"/>
        </w:rPr>
        <w:t>扫描件</w:t>
      </w:r>
      <w:r>
        <w:rPr>
          <w:rFonts w:hint="default" w:ascii="宋体" w:hAnsi="宋体" w:eastAsia="宋体" w:cs="宋体"/>
          <w:b/>
          <w:bCs/>
          <w:color w:val="auto"/>
          <w:kern w:val="0"/>
          <w:sz w:val="24"/>
          <w:szCs w:val="24"/>
          <w:highlight w:val="none"/>
          <w:u w:val="single"/>
          <w:shd w:val="clear" w:color="auto" w:fill="FFFFFF"/>
          <w:lang w:eastAsia="zh-CN" w:bidi="ar"/>
        </w:rPr>
        <w:t>。</w:t>
      </w:r>
    </w:p>
    <w:p>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Times New Roman"/>
          <w:color w:val="auto"/>
          <w:sz w:val="24"/>
          <w:highlight w:val="none"/>
        </w:rPr>
        <w:t>④投标人拟投入每个专业其他参与工作的人员不少于2人（中标后提供，需满足招标人要求）</w:t>
      </w:r>
      <w:r>
        <w:rPr>
          <w:rFonts w:hint="eastAsia" w:ascii="宋体" w:hAnsi="宋体" w:eastAsia="宋体" w:cs="宋体"/>
          <w:color w:val="auto"/>
          <w:kern w:val="2"/>
          <w:sz w:val="24"/>
          <w:szCs w:val="24"/>
          <w:highlight w:val="none"/>
          <w:lang w:val="en-US" w:eastAsia="zh-CN" w:bidi="ar"/>
        </w:rPr>
        <w:t>。</w:t>
      </w:r>
    </w:p>
    <w:p>
      <w:pPr>
        <w:widowControl w:val="0"/>
        <w:spacing w:after="0" w:line="360" w:lineRule="auto"/>
        <w:ind w:left="0" w:firstLine="480"/>
        <w:jc w:val="both"/>
        <w:rPr>
          <w:rFonts w:hint="eastAsia" w:ascii="宋体" w:hAnsi="宋体" w:eastAsia="宋体" w:cs="Times New Roman"/>
          <w:b w:val="0"/>
          <w:bCs w:val="0"/>
          <w:color w:val="auto"/>
          <w:sz w:val="24"/>
          <w:highlight w:val="none"/>
          <w:u w:val="none"/>
          <w:lang w:val="en-US" w:eastAsia="zh-CN"/>
        </w:rPr>
      </w:pPr>
      <w:r>
        <w:rPr>
          <w:rFonts w:hint="eastAsia" w:ascii="宋体" w:hAnsi="宋体" w:eastAsia="宋体" w:cs="Times New Roman"/>
          <w:b w:val="0"/>
          <w:bCs w:val="0"/>
          <w:color w:val="auto"/>
          <w:sz w:val="24"/>
          <w:highlight w:val="none"/>
          <w:u w:val="none"/>
          <w:lang w:val="en-US" w:eastAsia="zh-CN"/>
        </w:rPr>
        <w:t>⑤若为联合体投标，投标人拟投入的人员可由联合体各方</w:t>
      </w:r>
      <w:r>
        <w:rPr>
          <w:rFonts w:hint="eastAsia" w:ascii="宋体" w:hAnsi="宋体" w:eastAsia="宋体" w:cs="Times New Roman"/>
          <w:b w:val="0"/>
          <w:bCs w:val="0"/>
          <w:color w:val="auto"/>
          <w:sz w:val="24"/>
          <w:highlight w:val="none"/>
          <w:u w:val="none"/>
          <w:lang w:eastAsia="zh-CN"/>
        </w:rPr>
        <w:t>（含合作设计方）</w:t>
      </w:r>
      <w:r>
        <w:rPr>
          <w:rFonts w:hint="eastAsia" w:ascii="宋体" w:hAnsi="宋体" w:eastAsia="宋体" w:cs="Times New Roman"/>
          <w:b w:val="0"/>
          <w:bCs w:val="0"/>
          <w:color w:val="auto"/>
          <w:sz w:val="24"/>
          <w:highlight w:val="none"/>
          <w:u w:val="none"/>
          <w:lang w:val="en-US" w:eastAsia="zh-CN"/>
        </w:rPr>
        <w:t>自行组合提供。</w:t>
      </w:r>
    </w:p>
    <w:p>
      <w:pPr>
        <w:widowControl w:val="0"/>
        <w:spacing w:after="0" w:line="360" w:lineRule="auto"/>
        <w:ind w:left="0" w:firstLine="480"/>
        <w:jc w:val="both"/>
        <w:rPr>
          <w:rFonts w:hint="default" w:ascii="宋体" w:hAnsi="宋体" w:eastAsia="宋体" w:cs="Times New Roman"/>
          <w:b w:val="0"/>
          <w:bCs w:val="0"/>
          <w:color w:val="auto"/>
          <w:sz w:val="24"/>
          <w:highlight w:val="none"/>
          <w:u w:val="none"/>
          <w:lang w:val="en-US" w:eastAsia="zh-CN"/>
        </w:rPr>
      </w:pPr>
      <w:r>
        <w:rPr>
          <w:rFonts w:hint="eastAsia" w:ascii="宋体" w:hAnsi="宋体" w:eastAsia="宋体" w:cs="Times New Roman"/>
          <w:b w:val="0"/>
          <w:bCs w:val="0"/>
          <w:color w:val="auto"/>
          <w:sz w:val="24"/>
          <w:highlight w:val="none"/>
          <w:u w:val="none"/>
          <w:lang w:val="en-US" w:eastAsia="zh-CN"/>
        </w:rPr>
        <w:fldChar w:fldCharType="begin"/>
      </w:r>
      <w:r>
        <w:rPr>
          <w:rFonts w:hint="eastAsia" w:ascii="宋体" w:hAnsi="宋体" w:eastAsia="宋体" w:cs="Times New Roman"/>
          <w:b w:val="0"/>
          <w:bCs w:val="0"/>
          <w:color w:val="auto"/>
          <w:sz w:val="24"/>
          <w:highlight w:val="none"/>
          <w:u w:val="none"/>
          <w:lang w:val="en-US" w:eastAsia="zh-CN"/>
        </w:rPr>
        <w:instrText xml:space="preserve"> = 6 \* GB3 \* MERGEFORMAT </w:instrText>
      </w:r>
      <w:r>
        <w:rPr>
          <w:rFonts w:hint="eastAsia" w:ascii="宋体" w:hAnsi="宋体" w:eastAsia="宋体" w:cs="Times New Roman"/>
          <w:b w:val="0"/>
          <w:bCs w:val="0"/>
          <w:color w:val="auto"/>
          <w:sz w:val="24"/>
          <w:highlight w:val="none"/>
          <w:u w:val="none"/>
          <w:lang w:val="en-US" w:eastAsia="zh-CN"/>
        </w:rPr>
        <w:fldChar w:fldCharType="separate"/>
      </w:r>
      <w:r>
        <w:rPr>
          <w:color w:val="auto"/>
          <w:highlight w:val="none"/>
        </w:rPr>
        <w:t>⑥</w:t>
      </w:r>
      <w:r>
        <w:rPr>
          <w:rFonts w:hint="eastAsia" w:ascii="宋体" w:hAnsi="宋体" w:eastAsia="宋体" w:cs="Times New Roman"/>
          <w:b w:val="0"/>
          <w:bCs w:val="0"/>
          <w:color w:val="auto"/>
          <w:sz w:val="24"/>
          <w:highlight w:val="none"/>
          <w:u w:val="none"/>
          <w:lang w:val="en-US" w:eastAsia="zh-CN"/>
        </w:rPr>
        <w:fldChar w:fldCharType="end"/>
      </w:r>
      <w:r>
        <w:rPr>
          <w:rFonts w:hint="default" w:ascii="宋体" w:hAnsi="宋体" w:eastAsia="宋体" w:cs="Times New Roman"/>
          <w:b w:val="0"/>
          <w:bCs w:val="0"/>
          <w:color w:val="auto"/>
          <w:sz w:val="24"/>
          <w:highlight w:val="none"/>
          <w:u w:val="none"/>
          <w:lang w:val="en-US" w:eastAsia="zh-CN"/>
        </w:rPr>
        <w:t>按照《造价工程师职业资格制度规定》的规定，根据原人事部、原建设部发布的《造价工程师执业资格制度暂行规定》（人发〔1996〕77号）取得的造价工程师执业资格，并经注册且在有效期内的，等同于一级注册造价工程师。</w:t>
      </w:r>
    </w:p>
    <w:p>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Times New Roman"/>
          <w:b w:val="0"/>
          <w:bCs w:val="0"/>
          <w:color w:val="auto"/>
          <w:sz w:val="24"/>
          <w:highlight w:val="none"/>
          <w:u w:val="none"/>
          <w:lang w:val="en-US" w:eastAsia="zh-CN"/>
        </w:rPr>
      </w:pPr>
      <w:r>
        <w:rPr>
          <w:rFonts w:hint="default" w:ascii="Calibri" w:hAnsi="Calibri" w:eastAsia="宋体" w:cs="Times New Roman"/>
          <w:color w:val="auto"/>
          <w:kern w:val="2"/>
          <w:sz w:val="24"/>
          <w:szCs w:val="24"/>
          <w:highlight w:val="none"/>
          <w:lang w:val="en-US" w:eastAsia="zh-CN" w:bidi="ar"/>
        </w:rPr>
        <w:t>⑦</w:t>
      </w:r>
      <w:r>
        <w:rPr>
          <w:rFonts w:hint="eastAsia" w:ascii="宋体" w:hAnsi="宋体" w:eastAsia="宋体" w:cs="宋体"/>
          <w:color w:val="auto"/>
          <w:kern w:val="2"/>
          <w:sz w:val="24"/>
          <w:szCs w:val="24"/>
          <w:highlight w:val="none"/>
          <w:lang w:val="en-US" w:eastAsia="zh-CN" w:bidi="ar"/>
        </w:rPr>
        <w:t>除定标因素评审项涉及到的人员需按定标因素要求提供外，本表其余人员不作为评标及定标的评审依据，但投标人中标后需按不低于上述人员基本要求投入人员。</w:t>
      </w:r>
      <w:r>
        <w:rPr>
          <w:rFonts w:hint="eastAsia" w:ascii="宋体" w:hAnsi="宋体" w:eastAsia="宋体" w:cs="Times New Roman"/>
          <w:b w:val="0"/>
          <w:bCs w:val="0"/>
          <w:color w:val="auto"/>
          <w:sz w:val="24"/>
          <w:highlight w:val="none"/>
          <w:u w:val="none"/>
          <w:lang w:val="en-US" w:eastAsia="zh-CN"/>
        </w:rPr>
        <w:br w:type="page"/>
      </w:r>
    </w:p>
    <w:p>
      <w:pPr>
        <w:jc w:val="center"/>
        <w:rPr>
          <w:rFonts w:ascii="Calibri" w:hAnsi="Calibri" w:eastAsia="宋体" w:cs="Times New Roman"/>
          <w:b/>
          <w:color w:val="auto"/>
          <w:sz w:val="32"/>
          <w:szCs w:val="32"/>
          <w:highlight w:val="none"/>
        </w:rPr>
      </w:pPr>
      <w:r>
        <w:rPr>
          <w:rFonts w:hint="eastAsia" w:ascii="Calibri" w:hAnsi="Calibri" w:eastAsia="宋体" w:cs="Times New Roman"/>
          <w:b/>
          <w:color w:val="auto"/>
          <w:sz w:val="32"/>
          <w:szCs w:val="32"/>
          <w:highlight w:val="none"/>
        </w:rPr>
        <w:t>主要负责人简历表</w:t>
      </w:r>
    </w:p>
    <w:tbl>
      <w:tblPr>
        <w:tblStyle w:val="11"/>
        <w:tblW w:w="8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678"/>
        <w:gridCol w:w="1095"/>
        <w:gridCol w:w="372"/>
        <w:gridCol w:w="861"/>
        <w:gridCol w:w="1368"/>
        <w:gridCol w:w="491"/>
        <w:gridCol w:w="1287"/>
        <w:gridCol w:w="144"/>
        <w:gridCol w:w="1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57" w:type="dxa"/>
            <w:gridSpan w:val="2"/>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姓名</w:t>
            </w:r>
          </w:p>
        </w:tc>
        <w:tc>
          <w:tcPr>
            <w:tcW w:w="1095" w:type="dxa"/>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highlight w:val="none"/>
              </w:rPr>
            </w:pPr>
          </w:p>
        </w:tc>
        <w:tc>
          <w:tcPr>
            <w:tcW w:w="1233" w:type="dxa"/>
            <w:gridSpan w:val="2"/>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年龄</w:t>
            </w:r>
          </w:p>
        </w:tc>
        <w:tc>
          <w:tcPr>
            <w:tcW w:w="1368" w:type="dxa"/>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highlight w:val="none"/>
              </w:rPr>
            </w:pPr>
          </w:p>
        </w:tc>
        <w:tc>
          <w:tcPr>
            <w:tcW w:w="1778" w:type="dxa"/>
            <w:gridSpan w:val="2"/>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学历</w:t>
            </w:r>
          </w:p>
        </w:tc>
        <w:tc>
          <w:tcPr>
            <w:tcW w:w="1917" w:type="dxa"/>
            <w:gridSpan w:val="2"/>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57" w:type="dxa"/>
            <w:gridSpan w:val="2"/>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职称</w:t>
            </w:r>
          </w:p>
        </w:tc>
        <w:tc>
          <w:tcPr>
            <w:tcW w:w="1095" w:type="dxa"/>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highlight w:val="none"/>
              </w:rPr>
            </w:pPr>
          </w:p>
        </w:tc>
        <w:tc>
          <w:tcPr>
            <w:tcW w:w="1233" w:type="dxa"/>
            <w:gridSpan w:val="2"/>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专业</w:t>
            </w:r>
          </w:p>
        </w:tc>
        <w:tc>
          <w:tcPr>
            <w:tcW w:w="1368" w:type="dxa"/>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highlight w:val="none"/>
              </w:rPr>
            </w:pPr>
          </w:p>
        </w:tc>
        <w:tc>
          <w:tcPr>
            <w:tcW w:w="1778" w:type="dxa"/>
            <w:gridSpan w:val="2"/>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拟在本工程</w:t>
            </w:r>
          </w:p>
          <w:p>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任职</w:t>
            </w:r>
          </w:p>
        </w:tc>
        <w:tc>
          <w:tcPr>
            <w:tcW w:w="1917" w:type="dxa"/>
            <w:gridSpan w:val="2"/>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352" w:type="dxa"/>
            <w:gridSpan w:val="3"/>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执业资格</w:t>
            </w:r>
          </w:p>
        </w:tc>
        <w:tc>
          <w:tcPr>
            <w:tcW w:w="2601" w:type="dxa"/>
            <w:gridSpan w:val="3"/>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highlight w:val="none"/>
              </w:rPr>
            </w:pPr>
          </w:p>
        </w:tc>
        <w:tc>
          <w:tcPr>
            <w:tcW w:w="1778" w:type="dxa"/>
            <w:gridSpan w:val="2"/>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资格证书</w:t>
            </w:r>
          </w:p>
        </w:tc>
        <w:tc>
          <w:tcPr>
            <w:tcW w:w="1917" w:type="dxa"/>
            <w:gridSpan w:val="2"/>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352" w:type="dxa"/>
            <w:gridSpan w:val="3"/>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获奖证书</w:t>
            </w:r>
          </w:p>
        </w:tc>
        <w:tc>
          <w:tcPr>
            <w:tcW w:w="2601" w:type="dxa"/>
            <w:gridSpan w:val="3"/>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highlight w:val="none"/>
              </w:rPr>
            </w:pPr>
          </w:p>
        </w:tc>
        <w:tc>
          <w:tcPr>
            <w:tcW w:w="1778" w:type="dxa"/>
            <w:gridSpan w:val="2"/>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获奖年份</w:t>
            </w:r>
          </w:p>
        </w:tc>
        <w:tc>
          <w:tcPr>
            <w:tcW w:w="1917" w:type="dxa"/>
            <w:gridSpan w:val="2"/>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257" w:type="dxa"/>
            <w:gridSpan w:val="2"/>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毕业学校</w:t>
            </w:r>
          </w:p>
        </w:tc>
        <w:tc>
          <w:tcPr>
            <w:tcW w:w="7391" w:type="dxa"/>
            <w:gridSpan w:val="8"/>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648" w:type="dxa"/>
            <w:gridSpan w:val="10"/>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color w:val="auto"/>
                <w:kern w:val="0"/>
                <w:highlight w:val="none"/>
              </w:rPr>
            </w:pPr>
            <w:r>
              <w:rPr>
                <w:rFonts w:hint="eastAsia" w:ascii="宋体" w:hAnsi="宋体"/>
                <w:color w:val="auto"/>
                <w:sz w:val="24"/>
                <w:szCs w:val="24"/>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79" w:type="dxa"/>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序号</w:t>
            </w:r>
          </w:p>
        </w:tc>
        <w:tc>
          <w:tcPr>
            <w:tcW w:w="2145" w:type="dxa"/>
            <w:gridSpan w:val="3"/>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时间</w:t>
            </w:r>
          </w:p>
        </w:tc>
        <w:tc>
          <w:tcPr>
            <w:tcW w:w="2720" w:type="dxa"/>
            <w:gridSpan w:val="3"/>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kern w:val="0"/>
                <w:highlight w:val="none"/>
              </w:rPr>
              <w:t>参加</w:t>
            </w:r>
            <w:r>
              <w:rPr>
                <w:rFonts w:hint="eastAsia" w:ascii="宋体" w:hAnsi="宋体" w:eastAsia="宋体" w:cs="Times New Roman"/>
                <w:color w:val="auto"/>
                <w:spacing w:val="-2"/>
                <w:kern w:val="0"/>
                <w:highlight w:val="none"/>
              </w:rPr>
              <w:t>过</w:t>
            </w:r>
            <w:r>
              <w:rPr>
                <w:rFonts w:hint="eastAsia" w:ascii="宋体" w:hAnsi="宋体" w:eastAsia="宋体" w:cs="Times New Roman"/>
                <w:color w:val="auto"/>
                <w:kern w:val="0"/>
                <w:highlight w:val="none"/>
              </w:rPr>
              <w:t>的</w:t>
            </w:r>
            <w:r>
              <w:rPr>
                <w:rFonts w:hint="eastAsia" w:ascii="宋体" w:hAnsi="宋体" w:eastAsia="宋体" w:cs="Times New Roman"/>
                <w:color w:val="auto"/>
                <w:spacing w:val="-2"/>
                <w:kern w:val="0"/>
                <w:highlight w:val="none"/>
              </w:rPr>
              <w:t>类</w:t>
            </w:r>
            <w:r>
              <w:rPr>
                <w:rFonts w:hint="eastAsia" w:ascii="宋体" w:hAnsi="宋体" w:eastAsia="宋体" w:cs="Times New Roman"/>
                <w:color w:val="auto"/>
                <w:kern w:val="0"/>
                <w:highlight w:val="none"/>
              </w:rPr>
              <w:t>似</w:t>
            </w:r>
            <w:r>
              <w:rPr>
                <w:rFonts w:hint="eastAsia" w:ascii="宋体" w:hAnsi="宋体" w:eastAsia="宋体" w:cs="Times New Roman"/>
                <w:color w:val="auto"/>
                <w:spacing w:val="-2"/>
                <w:kern w:val="0"/>
                <w:highlight w:val="none"/>
              </w:rPr>
              <w:t>项</w:t>
            </w:r>
            <w:r>
              <w:rPr>
                <w:rFonts w:hint="eastAsia" w:ascii="宋体" w:hAnsi="宋体" w:eastAsia="宋体" w:cs="Times New Roman"/>
                <w:color w:val="auto"/>
                <w:kern w:val="0"/>
                <w:highlight w:val="none"/>
              </w:rPr>
              <w:t>目</w:t>
            </w:r>
          </w:p>
        </w:tc>
        <w:tc>
          <w:tcPr>
            <w:tcW w:w="1431" w:type="dxa"/>
            <w:gridSpan w:val="2"/>
            <w:vAlign w:val="center"/>
          </w:tcPr>
          <w:p>
            <w:pPr>
              <w:keepNext w:val="0"/>
              <w:keepLines w:val="0"/>
              <w:widowControl w:val="0"/>
              <w:suppressLineNumbers w:val="0"/>
              <w:spacing w:before="0" w:beforeAutospacing="0" w:after="0" w:afterAutospacing="0"/>
              <w:ind w:left="0" w:right="0" w:firstLine="0" w:firstLineChars="0"/>
              <w:jc w:val="both"/>
              <w:rPr>
                <w:rFonts w:hint="default" w:ascii="Times New Roman" w:hAnsi="Times New Roman" w:eastAsia="宋体" w:cs="Times New Roman"/>
                <w:color w:val="auto"/>
                <w:kern w:val="2"/>
                <w:sz w:val="21"/>
                <w:szCs w:val="24"/>
                <w:highlight w:val="none"/>
                <w:lang w:val="en-US" w:eastAsia="zh-CN" w:bidi="ar-SA"/>
              </w:rPr>
            </w:pPr>
            <w:r>
              <w:rPr>
                <w:rFonts w:hint="eastAsia" w:ascii="宋体" w:hAnsi="宋体" w:eastAsia="宋体" w:cs="Times New Roman"/>
                <w:color w:val="auto"/>
                <w:kern w:val="0"/>
                <w:sz w:val="21"/>
                <w:szCs w:val="24"/>
                <w:highlight w:val="none"/>
                <w:lang w:val="en-US" w:eastAsia="zh-CN" w:bidi="ar-SA"/>
              </w:rPr>
              <w:t>担任</w:t>
            </w:r>
            <w:r>
              <w:rPr>
                <w:rFonts w:hint="eastAsia" w:ascii="宋体" w:hAnsi="宋体" w:eastAsia="宋体" w:cs="Times New Roman"/>
                <w:color w:val="auto"/>
                <w:spacing w:val="-2"/>
                <w:kern w:val="0"/>
                <w:sz w:val="21"/>
                <w:szCs w:val="24"/>
                <w:highlight w:val="none"/>
                <w:lang w:val="en-US" w:eastAsia="zh-CN" w:bidi="ar-SA"/>
              </w:rPr>
              <w:t>职</w:t>
            </w:r>
            <w:r>
              <w:rPr>
                <w:rFonts w:hint="eastAsia" w:ascii="宋体" w:hAnsi="宋体" w:eastAsia="宋体" w:cs="Times New Roman"/>
                <w:color w:val="auto"/>
                <w:kern w:val="0"/>
                <w:sz w:val="21"/>
                <w:szCs w:val="24"/>
                <w:highlight w:val="none"/>
                <w:lang w:val="en-US" w:eastAsia="zh-CN" w:bidi="ar-SA"/>
              </w:rPr>
              <w:t>务</w:t>
            </w:r>
          </w:p>
        </w:tc>
        <w:tc>
          <w:tcPr>
            <w:tcW w:w="1773" w:type="dxa"/>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kern w:val="0"/>
                <w:highlight w:val="none"/>
              </w:rPr>
              <w:t>发包</w:t>
            </w:r>
            <w:r>
              <w:rPr>
                <w:rFonts w:hint="eastAsia" w:ascii="宋体" w:hAnsi="宋体" w:eastAsia="宋体" w:cs="Times New Roman"/>
                <w:color w:val="auto"/>
                <w:spacing w:val="-2"/>
                <w:kern w:val="0"/>
                <w:highlight w:val="none"/>
              </w:rPr>
              <w:t>人</w:t>
            </w:r>
            <w:r>
              <w:rPr>
                <w:rFonts w:hint="eastAsia" w:ascii="宋体" w:hAnsi="宋体" w:eastAsia="宋体" w:cs="Times New Roman"/>
                <w:color w:val="auto"/>
                <w:kern w:val="0"/>
                <w:highlight w:val="none"/>
              </w:rPr>
              <w:t>及</w:t>
            </w:r>
            <w:r>
              <w:rPr>
                <w:rFonts w:hint="eastAsia" w:ascii="宋体" w:hAnsi="宋体" w:eastAsia="宋体" w:cs="Times New Roman"/>
                <w:color w:val="auto"/>
                <w:spacing w:val="-2"/>
                <w:kern w:val="0"/>
                <w:highlight w:val="none"/>
              </w:rPr>
              <w:t>联</w:t>
            </w:r>
            <w:r>
              <w:rPr>
                <w:rFonts w:hint="eastAsia" w:ascii="宋体" w:hAnsi="宋体" w:eastAsia="宋体" w:cs="Times New Roman"/>
                <w:color w:val="auto"/>
                <w:kern w:val="0"/>
                <w:highlight w:val="none"/>
              </w:rPr>
              <w:t>系</w:t>
            </w:r>
            <w:r>
              <w:rPr>
                <w:rFonts w:hint="eastAsia" w:ascii="宋体" w:hAnsi="宋体" w:eastAsia="宋体" w:cs="Times New Roman"/>
                <w:color w:val="auto"/>
                <w:spacing w:val="-2"/>
                <w:kern w:val="0"/>
                <w:highlight w:val="none"/>
              </w:rPr>
              <w:t>电</w:t>
            </w:r>
            <w:r>
              <w:rPr>
                <w:rFonts w:hint="eastAsia" w:ascii="宋体" w:hAnsi="宋体" w:eastAsia="宋体" w:cs="Times New Roman"/>
                <w:color w:val="auto"/>
                <w:kern w:val="0"/>
                <w:highlight w:val="none"/>
              </w:rPr>
              <w:t>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79" w:type="dxa"/>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highlight w:val="none"/>
              </w:rPr>
            </w:pPr>
          </w:p>
        </w:tc>
        <w:tc>
          <w:tcPr>
            <w:tcW w:w="2145" w:type="dxa"/>
            <w:gridSpan w:val="3"/>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highlight w:val="none"/>
              </w:rPr>
            </w:pPr>
          </w:p>
        </w:tc>
        <w:tc>
          <w:tcPr>
            <w:tcW w:w="2720" w:type="dxa"/>
            <w:gridSpan w:val="3"/>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highlight w:val="none"/>
              </w:rPr>
            </w:pPr>
          </w:p>
        </w:tc>
        <w:tc>
          <w:tcPr>
            <w:tcW w:w="1431" w:type="dxa"/>
            <w:gridSpan w:val="2"/>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highlight w:val="none"/>
              </w:rPr>
            </w:pPr>
          </w:p>
        </w:tc>
        <w:tc>
          <w:tcPr>
            <w:tcW w:w="1773" w:type="dxa"/>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79" w:type="dxa"/>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highlight w:val="none"/>
              </w:rPr>
            </w:pPr>
          </w:p>
        </w:tc>
        <w:tc>
          <w:tcPr>
            <w:tcW w:w="2145" w:type="dxa"/>
            <w:gridSpan w:val="3"/>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highlight w:val="none"/>
              </w:rPr>
            </w:pPr>
          </w:p>
        </w:tc>
        <w:tc>
          <w:tcPr>
            <w:tcW w:w="2720" w:type="dxa"/>
            <w:gridSpan w:val="3"/>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highlight w:val="none"/>
              </w:rPr>
            </w:pPr>
          </w:p>
        </w:tc>
        <w:tc>
          <w:tcPr>
            <w:tcW w:w="1431" w:type="dxa"/>
            <w:gridSpan w:val="2"/>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highlight w:val="none"/>
              </w:rPr>
            </w:pPr>
          </w:p>
        </w:tc>
        <w:tc>
          <w:tcPr>
            <w:tcW w:w="1773" w:type="dxa"/>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szCs w:val="21"/>
                <w:highlight w:val="none"/>
              </w:rPr>
            </w:pPr>
          </w:p>
        </w:tc>
      </w:tr>
    </w:tbl>
    <w:p>
      <w:pPr>
        <w:spacing w:line="360" w:lineRule="auto"/>
        <w:ind w:left="450" w:leftChars="100" w:hanging="240" w:hangingChars="100"/>
        <w:rPr>
          <w:rFonts w:ascii="宋体" w:hAnsi="宋体" w:eastAsia="宋体" w:cs="Times New Roman"/>
          <w:color w:val="auto"/>
          <w:sz w:val="24"/>
          <w:highlight w:val="none"/>
        </w:rPr>
      </w:pPr>
      <w:r>
        <w:rPr>
          <w:rFonts w:hint="eastAsia" w:ascii="宋体" w:hAnsi="宋体" w:eastAsia="宋体" w:cs="Times New Roman"/>
          <w:color w:val="auto"/>
          <w:sz w:val="24"/>
          <w:highlight w:val="none"/>
        </w:rPr>
        <w:t>备注：需提供相关获奖证书、类型项目参与证明材料扫描件（如有）。</w:t>
      </w:r>
    </w:p>
    <w:p>
      <w:pPr>
        <w:outlineLvl w:val="1"/>
        <w:rPr>
          <w:rFonts w:ascii="宋体" w:hAnsi="宋体" w:eastAsia="宋体" w:cs="Times New Roman"/>
          <w:b/>
          <w:bCs/>
          <w:color w:val="auto"/>
          <w:kern w:val="44"/>
          <w:sz w:val="21"/>
          <w:szCs w:val="21"/>
          <w:highlight w:val="none"/>
          <w:lang w:val="en-US" w:eastAsia="zh-CN" w:bidi="ar-SA"/>
        </w:rPr>
      </w:pPr>
      <w:r>
        <w:rPr>
          <w:rFonts w:ascii="宋体" w:hAnsi="宋体" w:eastAsia="宋体" w:cs="Times New Roman"/>
          <w:b/>
          <w:bCs/>
          <w:color w:val="auto"/>
          <w:kern w:val="0"/>
          <w:sz w:val="24"/>
          <w:szCs w:val="44"/>
          <w:highlight w:val="none"/>
          <w:lang w:val="zh-CN" w:eastAsia="zh-CN" w:bidi="ar-SA"/>
        </w:rPr>
        <w:br w:type="page"/>
      </w:r>
      <w:bookmarkStart w:id="85" w:name="_Toc26807"/>
      <w:r>
        <w:rPr>
          <w:rFonts w:hint="eastAsia" w:ascii="宋体" w:hAnsi="宋体" w:eastAsia="宋体" w:cs="Times New Roman"/>
          <w:b/>
          <w:bCs/>
          <w:color w:val="auto"/>
          <w:kern w:val="44"/>
          <w:sz w:val="21"/>
          <w:szCs w:val="21"/>
          <w:highlight w:val="none"/>
          <w:lang w:val="en-US" w:eastAsia="zh-CN" w:bidi="ar-SA"/>
        </w:rPr>
        <w:t>附录</w:t>
      </w:r>
      <w:r>
        <w:rPr>
          <w:rFonts w:ascii="宋体" w:hAnsi="宋体" w:eastAsia="宋体" w:cs="Times New Roman"/>
          <w:b/>
          <w:bCs/>
          <w:color w:val="auto"/>
          <w:kern w:val="44"/>
          <w:sz w:val="21"/>
          <w:szCs w:val="21"/>
          <w:highlight w:val="none"/>
          <w:lang w:val="en-US" w:eastAsia="zh-CN" w:bidi="ar-SA"/>
        </w:rPr>
        <w:t xml:space="preserve">18 </w:t>
      </w:r>
      <w:r>
        <w:rPr>
          <w:rFonts w:hint="eastAsia" w:ascii="宋体" w:hAnsi="宋体" w:eastAsia="宋体" w:cs="Times New Roman"/>
          <w:b/>
          <w:bCs/>
          <w:color w:val="auto"/>
          <w:kern w:val="44"/>
          <w:sz w:val="21"/>
          <w:szCs w:val="21"/>
          <w:highlight w:val="none"/>
          <w:lang w:val="en-US" w:eastAsia="zh-CN" w:bidi="ar-SA"/>
        </w:rPr>
        <w:t>投标人已完成项目及获奖情况</w:t>
      </w:r>
      <w:bookmarkEnd w:id="85"/>
    </w:p>
    <w:p>
      <w:pPr>
        <w:widowControl/>
        <w:snapToGrid w:val="0"/>
        <w:spacing w:before="0" w:beforeAutospacing="0" w:after="0" w:afterAutospacing="0" w:line="360" w:lineRule="auto"/>
        <w:jc w:val="left"/>
        <w:rPr>
          <w:rFonts w:ascii="宋体" w:hAnsi="宋体" w:eastAsia="宋体" w:cs="Times New Roman"/>
          <w:color w:val="auto"/>
          <w:kern w:val="0"/>
          <w:sz w:val="21"/>
          <w:szCs w:val="21"/>
          <w:highlight w:val="none"/>
          <w:lang w:val="en-US" w:eastAsia="zh-CN" w:bidi="ar-SA"/>
        </w:rPr>
      </w:pPr>
    </w:p>
    <w:p>
      <w:pPr>
        <w:jc w:val="center"/>
        <w:rPr>
          <w:rFonts w:ascii="宋体" w:hAnsi="宋体" w:eastAsia="宋体" w:cs="Times New Roman"/>
          <w:b/>
          <w:color w:val="auto"/>
          <w:spacing w:val="2"/>
          <w:kern w:val="0"/>
          <w:position w:val="-1"/>
          <w:sz w:val="32"/>
          <w:szCs w:val="32"/>
          <w:highlight w:val="none"/>
        </w:rPr>
      </w:pPr>
      <w:r>
        <w:rPr>
          <w:rFonts w:hint="eastAsia" w:ascii="宋体" w:hAnsi="宋体" w:eastAsia="宋体" w:cs="Times New Roman"/>
          <w:b/>
          <w:color w:val="auto"/>
          <w:spacing w:val="2"/>
          <w:kern w:val="0"/>
          <w:position w:val="-1"/>
          <w:sz w:val="32"/>
          <w:szCs w:val="32"/>
          <w:highlight w:val="none"/>
        </w:rPr>
        <w:t>投标人已完成项目及获奖情况</w:t>
      </w:r>
    </w:p>
    <w:p>
      <w:pPr>
        <w:jc w:val="center"/>
        <w:rPr>
          <w:rFonts w:ascii="宋体" w:hAnsi="宋体" w:eastAsia="宋体" w:cs="Times New Roman"/>
          <w:color w:val="auto"/>
          <w:spacing w:val="2"/>
          <w:kern w:val="0"/>
          <w:position w:val="-1"/>
          <w:sz w:val="32"/>
          <w:szCs w:val="32"/>
          <w:highlight w:val="none"/>
        </w:rPr>
      </w:pPr>
    </w:p>
    <w:tbl>
      <w:tblPr>
        <w:tblStyle w:val="11"/>
        <w:tblW w:w="93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2"/>
        <w:gridCol w:w="1824"/>
        <w:gridCol w:w="1824"/>
        <w:gridCol w:w="1824"/>
        <w:gridCol w:w="1178"/>
        <w:gridCol w:w="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8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Calibri"/>
                <w:color w:val="auto"/>
                <w:szCs w:val="21"/>
                <w:highlight w:val="none"/>
              </w:rPr>
            </w:pPr>
            <w:r>
              <w:rPr>
                <w:rFonts w:hint="eastAsia" w:ascii="宋体" w:hAnsi="宋体" w:eastAsia="宋体" w:cs="Times New Roman"/>
                <w:color w:val="auto"/>
                <w:highlight w:val="none"/>
              </w:rPr>
              <w:t>合同签订时间</w:t>
            </w:r>
          </w:p>
        </w:tc>
        <w:tc>
          <w:tcPr>
            <w:tcW w:w="182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Calibri"/>
                <w:color w:val="auto"/>
                <w:szCs w:val="21"/>
                <w:highlight w:val="none"/>
              </w:rPr>
            </w:pPr>
            <w:r>
              <w:rPr>
                <w:rFonts w:hint="eastAsia" w:ascii="宋体" w:hAnsi="宋体" w:eastAsia="宋体" w:cs="Times New Roman"/>
                <w:color w:val="auto"/>
                <w:highlight w:val="none"/>
              </w:rPr>
              <w:t>项目概况</w:t>
            </w:r>
          </w:p>
        </w:tc>
        <w:tc>
          <w:tcPr>
            <w:tcW w:w="182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Calibri"/>
                <w:color w:val="auto"/>
                <w:szCs w:val="21"/>
                <w:highlight w:val="none"/>
              </w:rPr>
            </w:pPr>
            <w:r>
              <w:rPr>
                <w:rFonts w:hint="eastAsia" w:ascii="宋体" w:hAnsi="宋体" w:eastAsia="宋体" w:cs="Times New Roman"/>
                <w:color w:val="auto"/>
                <w:highlight w:val="none"/>
              </w:rPr>
              <w:t>业主单位</w:t>
            </w:r>
          </w:p>
        </w:tc>
        <w:tc>
          <w:tcPr>
            <w:tcW w:w="182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Calibri"/>
                <w:color w:val="auto"/>
                <w:szCs w:val="21"/>
                <w:highlight w:val="none"/>
              </w:rPr>
            </w:pPr>
            <w:r>
              <w:rPr>
                <w:rFonts w:hint="eastAsia" w:ascii="宋体" w:hAnsi="宋体" w:eastAsia="宋体" w:cs="Times New Roman"/>
                <w:color w:val="auto"/>
                <w:highlight w:val="none"/>
              </w:rPr>
              <w:t>完成情况</w:t>
            </w:r>
          </w:p>
        </w:tc>
        <w:tc>
          <w:tcPr>
            <w:tcW w:w="117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Calibri"/>
                <w:color w:val="auto"/>
                <w:szCs w:val="21"/>
                <w:highlight w:val="none"/>
              </w:rPr>
            </w:pPr>
            <w:r>
              <w:rPr>
                <w:rFonts w:hint="eastAsia" w:ascii="宋体" w:hAnsi="宋体" w:eastAsia="宋体" w:cs="Calibri"/>
                <w:color w:val="auto"/>
                <w:szCs w:val="21"/>
                <w:highlight w:val="none"/>
              </w:rPr>
              <w:t>获奖情况</w:t>
            </w:r>
          </w:p>
        </w:tc>
        <w:tc>
          <w:tcPr>
            <w:tcW w:w="89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color w:val="auto"/>
                <w:highlight w:val="none"/>
              </w:rPr>
            </w:pPr>
            <w:r>
              <w:rPr>
                <w:rFonts w:hint="eastAsia" w:ascii="宋体" w:hAnsi="宋体" w:eastAsia="宋体" w:cs="Times New Roman"/>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8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Calibri"/>
                <w:color w:val="auto"/>
                <w:szCs w:val="21"/>
                <w:highlight w:val="none"/>
              </w:rPr>
            </w:pPr>
          </w:p>
        </w:tc>
        <w:tc>
          <w:tcPr>
            <w:tcW w:w="182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Calibri"/>
                <w:color w:val="auto"/>
                <w:szCs w:val="21"/>
                <w:highlight w:val="none"/>
              </w:rPr>
            </w:pPr>
          </w:p>
        </w:tc>
        <w:tc>
          <w:tcPr>
            <w:tcW w:w="182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Calibri"/>
                <w:color w:val="auto"/>
                <w:szCs w:val="21"/>
                <w:highlight w:val="none"/>
              </w:rPr>
            </w:pPr>
          </w:p>
        </w:tc>
        <w:tc>
          <w:tcPr>
            <w:tcW w:w="182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Calibri"/>
                <w:color w:val="auto"/>
                <w:szCs w:val="21"/>
                <w:highlight w:val="none"/>
              </w:rPr>
            </w:pPr>
          </w:p>
        </w:tc>
        <w:tc>
          <w:tcPr>
            <w:tcW w:w="117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Calibri"/>
                <w:color w:val="auto"/>
                <w:szCs w:val="21"/>
                <w:highlight w:val="none"/>
              </w:rPr>
            </w:pPr>
          </w:p>
        </w:tc>
        <w:tc>
          <w:tcPr>
            <w:tcW w:w="894"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eastAsia="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8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Calibri"/>
                <w:color w:val="auto"/>
                <w:szCs w:val="21"/>
                <w:highlight w:val="none"/>
              </w:rPr>
            </w:pPr>
          </w:p>
        </w:tc>
        <w:tc>
          <w:tcPr>
            <w:tcW w:w="182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Calibri"/>
                <w:color w:val="auto"/>
                <w:szCs w:val="21"/>
                <w:highlight w:val="none"/>
              </w:rPr>
            </w:pPr>
          </w:p>
        </w:tc>
        <w:tc>
          <w:tcPr>
            <w:tcW w:w="182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Calibri"/>
                <w:color w:val="auto"/>
                <w:szCs w:val="21"/>
                <w:highlight w:val="none"/>
              </w:rPr>
            </w:pPr>
          </w:p>
        </w:tc>
        <w:tc>
          <w:tcPr>
            <w:tcW w:w="182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Calibri"/>
                <w:color w:val="auto"/>
                <w:szCs w:val="21"/>
                <w:highlight w:val="none"/>
              </w:rPr>
            </w:pPr>
          </w:p>
        </w:tc>
        <w:tc>
          <w:tcPr>
            <w:tcW w:w="117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Calibri"/>
                <w:color w:val="auto"/>
                <w:szCs w:val="21"/>
                <w:highlight w:val="none"/>
              </w:rPr>
            </w:pPr>
          </w:p>
        </w:tc>
        <w:tc>
          <w:tcPr>
            <w:tcW w:w="894"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eastAsia="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8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Calibri"/>
                <w:color w:val="auto"/>
                <w:szCs w:val="21"/>
                <w:highlight w:val="none"/>
              </w:rPr>
            </w:pPr>
          </w:p>
        </w:tc>
        <w:tc>
          <w:tcPr>
            <w:tcW w:w="182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Calibri"/>
                <w:color w:val="auto"/>
                <w:szCs w:val="21"/>
                <w:highlight w:val="none"/>
              </w:rPr>
            </w:pPr>
          </w:p>
        </w:tc>
        <w:tc>
          <w:tcPr>
            <w:tcW w:w="182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Calibri"/>
                <w:color w:val="auto"/>
                <w:szCs w:val="21"/>
                <w:highlight w:val="none"/>
              </w:rPr>
            </w:pPr>
          </w:p>
        </w:tc>
        <w:tc>
          <w:tcPr>
            <w:tcW w:w="182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Calibri"/>
                <w:color w:val="auto"/>
                <w:szCs w:val="21"/>
                <w:highlight w:val="none"/>
              </w:rPr>
            </w:pPr>
          </w:p>
        </w:tc>
        <w:tc>
          <w:tcPr>
            <w:tcW w:w="117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Calibri"/>
                <w:color w:val="auto"/>
                <w:szCs w:val="21"/>
                <w:highlight w:val="none"/>
              </w:rPr>
            </w:pPr>
          </w:p>
        </w:tc>
        <w:tc>
          <w:tcPr>
            <w:tcW w:w="894"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eastAsia="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8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Calibri"/>
                <w:color w:val="auto"/>
                <w:szCs w:val="21"/>
                <w:highlight w:val="none"/>
              </w:rPr>
            </w:pPr>
          </w:p>
        </w:tc>
        <w:tc>
          <w:tcPr>
            <w:tcW w:w="182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Calibri"/>
                <w:color w:val="auto"/>
                <w:szCs w:val="21"/>
                <w:highlight w:val="none"/>
              </w:rPr>
            </w:pPr>
          </w:p>
        </w:tc>
        <w:tc>
          <w:tcPr>
            <w:tcW w:w="182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Calibri"/>
                <w:color w:val="auto"/>
                <w:szCs w:val="21"/>
                <w:highlight w:val="none"/>
              </w:rPr>
            </w:pPr>
          </w:p>
        </w:tc>
        <w:tc>
          <w:tcPr>
            <w:tcW w:w="182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Calibri"/>
                <w:color w:val="auto"/>
                <w:szCs w:val="21"/>
                <w:highlight w:val="none"/>
              </w:rPr>
            </w:pPr>
          </w:p>
        </w:tc>
        <w:tc>
          <w:tcPr>
            <w:tcW w:w="117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Calibri"/>
                <w:color w:val="auto"/>
                <w:szCs w:val="21"/>
                <w:highlight w:val="none"/>
              </w:rPr>
            </w:pPr>
          </w:p>
        </w:tc>
        <w:tc>
          <w:tcPr>
            <w:tcW w:w="894"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eastAsia="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82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Calibri"/>
                <w:color w:val="auto"/>
                <w:szCs w:val="21"/>
                <w:highlight w:val="none"/>
              </w:rPr>
            </w:pPr>
          </w:p>
        </w:tc>
        <w:tc>
          <w:tcPr>
            <w:tcW w:w="182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Calibri"/>
                <w:color w:val="auto"/>
                <w:szCs w:val="21"/>
                <w:highlight w:val="none"/>
              </w:rPr>
            </w:pPr>
          </w:p>
        </w:tc>
        <w:tc>
          <w:tcPr>
            <w:tcW w:w="182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Calibri"/>
                <w:color w:val="auto"/>
                <w:szCs w:val="21"/>
                <w:highlight w:val="none"/>
              </w:rPr>
            </w:pPr>
          </w:p>
        </w:tc>
        <w:tc>
          <w:tcPr>
            <w:tcW w:w="182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Calibri"/>
                <w:color w:val="auto"/>
                <w:szCs w:val="21"/>
                <w:highlight w:val="none"/>
              </w:rPr>
            </w:pPr>
          </w:p>
        </w:tc>
        <w:tc>
          <w:tcPr>
            <w:tcW w:w="117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Calibri"/>
                <w:color w:val="auto"/>
                <w:szCs w:val="21"/>
                <w:highlight w:val="none"/>
              </w:rPr>
            </w:pPr>
          </w:p>
        </w:tc>
        <w:tc>
          <w:tcPr>
            <w:tcW w:w="894"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eastAsia="宋体" w:cs="Calibri"/>
                <w:color w:val="auto"/>
                <w:szCs w:val="21"/>
                <w:highlight w:val="none"/>
              </w:rPr>
            </w:pPr>
          </w:p>
        </w:tc>
      </w:tr>
    </w:tbl>
    <w:p>
      <w:pPr>
        <w:spacing w:line="360" w:lineRule="auto"/>
        <w:jc w:val="left"/>
        <w:rPr>
          <w:rFonts w:ascii="宋体" w:hAnsi="宋体" w:eastAsia="宋体" w:cs="Calibri"/>
          <w:color w:val="auto"/>
          <w:sz w:val="18"/>
          <w:szCs w:val="18"/>
          <w:highlight w:val="none"/>
        </w:rPr>
      </w:pPr>
      <w:r>
        <w:rPr>
          <w:rFonts w:hint="eastAsia" w:ascii="宋体" w:hAnsi="宋体" w:eastAsia="宋体" w:cs="Times New Roman"/>
          <w:color w:val="auto"/>
          <w:highlight w:val="none"/>
        </w:rPr>
        <w:t>注：投标人应将已完成的类似项目情况填入本表中，</w:t>
      </w:r>
      <w:r>
        <w:rPr>
          <w:rFonts w:hint="eastAsia" w:ascii="宋体" w:hAnsi="宋体" w:eastAsia="宋体" w:cs="宋体"/>
          <w:color w:val="auto"/>
          <w:kern w:val="1"/>
          <w:szCs w:val="21"/>
          <w:highlight w:val="none"/>
        </w:rPr>
        <w:t>需提供合同关键页扫描件作为业绩证明文件，</w:t>
      </w:r>
      <w:r>
        <w:rPr>
          <w:rFonts w:ascii="宋体" w:hAnsi="宋体" w:eastAsia="宋体" w:cs="Calibri"/>
          <w:color w:val="auto"/>
          <w:sz w:val="18"/>
          <w:szCs w:val="18"/>
          <w:highlight w:val="none"/>
        </w:rPr>
        <w:t xml:space="preserve"> </w:t>
      </w:r>
      <w:r>
        <w:rPr>
          <w:rFonts w:hint="eastAsia" w:ascii="宋体" w:hAnsi="宋体" w:eastAsia="宋体" w:cs="宋体"/>
          <w:color w:val="auto"/>
          <w:kern w:val="1"/>
          <w:szCs w:val="21"/>
          <w:highlight w:val="none"/>
        </w:rPr>
        <w:t>并提供获奖证书扫描件作为获奖证明材料（如有）。</w:t>
      </w:r>
    </w:p>
    <w:p>
      <w:pPr>
        <w:widowControl/>
        <w:jc w:val="left"/>
        <w:rPr>
          <w:rFonts w:ascii="宋体" w:hAnsi="宋体" w:eastAsia="宋体" w:cs="Times New Roman"/>
          <w:color w:val="auto"/>
          <w:kern w:val="0"/>
          <w:sz w:val="24"/>
          <w:highlight w:val="none"/>
        </w:rPr>
      </w:pPr>
      <w:r>
        <w:rPr>
          <w:rFonts w:ascii="宋体" w:hAnsi="宋体" w:eastAsia="宋体" w:cs="Times New Roman"/>
          <w:color w:val="auto"/>
          <w:kern w:val="0"/>
          <w:sz w:val="24"/>
          <w:highlight w:val="none"/>
        </w:rPr>
        <w:br w:type="page"/>
      </w:r>
    </w:p>
    <w:p>
      <w:pPr>
        <w:outlineLvl w:val="1"/>
        <w:rPr>
          <w:rFonts w:ascii="宋体" w:hAnsi="宋体" w:eastAsia="宋体" w:cs="Times New Roman"/>
          <w:b/>
          <w:bCs/>
          <w:color w:val="auto"/>
          <w:kern w:val="44"/>
          <w:sz w:val="21"/>
          <w:szCs w:val="21"/>
          <w:highlight w:val="none"/>
          <w:lang w:val="en-US" w:eastAsia="zh-CN" w:bidi="ar-SA"/>
        </w:rPr>
      </w:pPr>
      <w:bookmarkStart w:id="86" w:name="_Toc23616"/>
      <w:r>
        <w:rPr>
          <w:rFonts w:hint="eastAsia" w:ascii="宋体" w:hAnsi="宋体" w:eastAsia="宋体" w:cs="Times New Roman"/>
          <w:b/>
          <w:bCs/>
          <w:color w:val="auto"/>
          <w:kern w:val="44"/>
          <w:sz w:val="21"/>
          <w:szCs w:val="21"/>
          <w:highlight w:val="none"/>
          <w:lang w:val="en-US" w:eastAsia="zh-CN" w:bidi="ar-SA"/>
        </w:rPr>
        <w:t>附录</w:t>
      </w:r>
      <w:r>
        <w:rPr>
          <w:rFonts w:ascii="宋体" w:hAnsi="宋体" w:eastAsia="宋体" w:cs="Times New Roman"/>
          <w:b/>
          <w:bCs/>
          <w:color w:val="auto"/>
          <w:kern w:val="44"/>
          <w:sz w:val="21"/>
          <w:szCs w:val="21"/>
          <w:highlight w:val="none"/>
          <w:lang w:val="en-US" w:eastAsia="zh-CN" w:bidi="ar-SA"/>
        </w:rPr>
        <w:t xml:space="preserve">19 </w:t>
      </w:r>
      <w:r>
        <w:rPr>
          <w:rFonts w:ascii="宋体" w:hAnsi="宋体" w:eastAsia="宋体" w:cs="Times New Roman"/>
          <w:b/>
          <w:bCs/>
          <w:color w:val="auto"/>
          <w:kern w:val="44"/>
          <w:sz w:val="21"/>
          <w:szCs w:val="21"/>
          <w:highlight w:val="none"/>
          <w:lang w:eastAsia="zh-CN" w:bidi="ar-SA"/>
        </w:rPr>
        <w:t>基础资料和</w:t>
      </w:r>
      <w:r>
        <w:rPr>
          <w:rFonts w:hint="eastAsia" w:ascii="宋体" w:hAnsi="宋体" w:eastAsia="宋体" w:cs="Times New Roman"/>
          <w:b/>
          <w:bCs/>
          <w:color w:val="auto"/>
          <w:kern w:val="44"/>
          <w:sz w:val="21"/>
          <w:szCs w:val="21"/>
          <w:highlight w:val="none"/>
          <w:lang w:val="en-US" w:eastAsia="zh-CN" w:bidi="ar-SA"/>
        </w:rPr>
        <w:t>勘察设计任务书</w:t>
      </w:r>
      <w:bookmarkEnd w:id="86"/>
    </w:p>
    <w:p>
      <w:pPr>
        <w:spacing w:line="360" w:lineRule="auto"/>
        <w:ind w:firstLine="480" w:firstLineChars="200"/>
        <w:rPr>
          <w:rFonts w:ascii="黑体" w:hAnsi="黑体" w:eastAsia="黑体" w:cs="Times New Roman"/>
          <w:color w:val="auto"/>
          <w:sz w:val="24"/>
          <w:highlight w:val="none"/>
        </w:rPr>
      </w:pPr>
    </w:p>
    <w:p>
      <w:pPr>
        <w:spacing w:line="360" w:lineRule="auto"/>
        <w:ind w:firstLine="480" w:firstLineChars="200"/>
        <w:rPr>
          <w:rFonts w:ascii="黑体" w:hAnsi="黑体" w:eastAsia="黑体" w:cs="Times New Roman"/>
          <w:color w:val="auto"/>
          <w:sz w:val="24"/>
          <w:highlight w:val="none"/>
        </w:rPr>
      </w:pPr>
    </w:p>
    <w:p>
      <w:pPr>
        <w:spacing w:line="360" w:lineRule="auto"/>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基础资料和</w:t>
      </w:r>
      <w:r>
        <w:rPr>
          <w:rFonts w:hint="eastAsia" w:ascii="宋体" w:hAnsi="宋体" w:eastAsia="宋体" w:cs="Times New Roman"/>
          <w:b/>
          <w:color w:val="auto"/>
          <w:sz w:val="32"/>
          <w:szCs w:val="32"/>
          <w:highlight w:val="none"/>
          <w:lang w:val="en-US" w:eastAsia="zh-CN"/>
        </w:rPr>
        <w:t>勘察</w:t>
      </w:r>
      <w:r>
        <w:rPr>
          <w:rFonts w:hint="eastAsia" w:ascii="宋体" w:hAnsi="宋体" w:eastAsia="宋体" w:cs="Times New Roman"/>
          <w:b/>
          <w:color w:val="auto"/>
          <w:sz w:val="32"/>
          <w:szCs w:val="32"/>
          <w:highlight w:val="none"/>
        </w:rPr>
        <w:t>设计任务书</w:t>
      </w:r>
    </w:p>
    <w:p>
      <w:pPr>
        <w:spacing w:line="360" w:lineRule="auto"/>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u w:val="single"/>
        </w:rPr>
        <w:t>另册</w:t>
      </w:r>
    </w:p>
    <w:p>
      <w:pPr>
        <w:keepNext w:val="0"/>
        <w:keepLines w:val="0"/>
        <w:widowControl w:val="0"/>
        <w:suppressLineNumbers w:val="0"/>
        <w:spacing w:before="0" w:beforeAutospacing="0" w:after="0" w:afterAutospacing="0"/>
        <w:ind w:left="0" w:right="0"/>
        <w:jc w:val="both"/>
        <w:outlineLvl w:val="1"/>
        <w:rPr>
          <w:rFonts w:hint="eastAsia" w:ascii="宋体" w:hAnsi="宋体" w:eastAsia="宋体" w:cs="Times New Roman"/>
          <w:b/>
          <w:color w:val="auto"/>
          <w:sz w:val="32"/>
          <w:szCs w:val="32"/>
          <w:highlight w:val="none"/>
          <w:u w:val="single"/>
        </w:rPr>
      </w:pPr>
    </w:p>
    <w:p>
      <w:pPr>
        <w:keepNext w:val="0"/>
        <w:keepLines w:val="0"/>
        <w:widowControl w:val="0"/>
        <w:suppressLineNumbers w:val="0"/>
        <w:spacing w:before="0" w:beforeAutospacing="0" w:after="0" w:afterAutospacing="0"/>
        <w:ind w:left="0" w:right="0"/>
        <w:jc w:val="both"/>
        <w:outlineLvl w:val="1"/>
        <w:rPr>
          <w:rFonts w:hint="eastAsia" w:ascii="宋体" w:hAnsi="宋体" w:eastAsia="宋体" w:cs="Times New Roman"/>
          <w:b/>
          <w:color w:val="auto"/>
          <w:sz w:val="32"/>
          <w:szCs w:val="32"/>
          <w:highlight w:val="none"/>
          <w:u w:val="single"/>
        </w:rPr>
      </w:pPr>
    </w:p>
    <w:p>
      <w:pPr>
        <w:keepNext w:val="0"/>
        <w:keepLines w:val="0"/>
        <w:widowControl w:val="0"/>
        <w:suppressLineNumbers w:val="0"/>
        <w:spacing w:before="0" w:beforeAutospacing="0" w:after="0" w:afterAutospacing="0"/>
        <w:ind w:left="0" w:right="0"/>
        <w:jc w:val="both"/>
        <w:outlineLvl w:val="1"/>
        <w:rPr>
          <w:rFonts w:hint="eastAsia" w:ascii="宋体" w:hAnsi="宋体" w:eastAsia="宋体" w:cs="宋体"/>
          <w:b/>
          <w:color w:val="auto"/>
          <w:kern w:val="44"/>
          <w:sz w:val="21"/>
          <w:szCs w:val="21"/>
          <w:highlight w:val="none"/>
          <w:lang w:val="en-US" w:eastAsia="zh-CN" w:bidi="ar"/>
        </w:rPr>
      </w:pPr>
    </w:p>
    <w:p>
      <w:pPr>
        <w:keepNext w:val="0"/>
        <w:keepLines w:val="0"/>
        <w:widowControl w:val="0"/>
        <w:suppressLineNumbers w:val="0"/>
        <w:spacing w:before="0" w:beforeAutospacing="0" w:after="0" w:afterAutospacing="0"/>
        <w:ind w:left="0" w:right="0"/>
        <w:jc w:val="both"/>
        <w:outlineLvl w:val="1"/>
        <w:rPr>
          <w:rFonts w:hint="eastAsia" w:ascii="宋体" w:hAnsi="宋体" w:eastAsia="宋体" w:cs="宋体"/>
          <w:b/>
          <w:color w:val="auto"/>
          <w:kern w:val="44"/>
          <w:sz w:val="21"/>
          <w:szCs w:val="21"/>
          <w:highlight w:val="none"/>
          <w:lang w:val="en-US" w:eastAsia="zh-CN" w:bidi="ar"/>
        </w:rPr>
      </w:pPr>
    </w:p>
    <w:p>
      <w:pPr>
        <w:keepNext w:val="0"/>
        <w:keepLines w:val="0"/>
        <w:widowControl w:val="0"/>
        <w:suppressLineNumbers w:val="0"/>
        <w:spacing w:before="0" w:beforeAutospacing="0" w:after="0" w:afterAutospacing="0"/>
        <w:ind w:left="0" w:right="0"/>
        <w:jc w:val="both"/>
        <w:outlineLvl w:val="1"/>
        <w:rPr>
          <w:rFonts w:hint="eastAsia" w:ascii="宋体" w:hAnsi="宋体" w:eastAsia="宋体" w:cs="宋体"/>
          <w:b/>
          <w:color w:val="auto"/>
          <w:kern w:val="44"/>
          <w:sz w:val="21"/>
          <w:szCs w:val="21"/>
          <w:highlight w:val="none"/>
          <w:lang w:val="en-US" w:eastAsia="zh-CN" w:bidi="ar"/>
        </w:rPr>
      </w:pPr>
    </w:p>
    <w:p>
      <w:pPr>
        <w:keepNext w:val="0"/>
        <w:keepLines w:val="0"/>
        <w:widowControl w:val="0"/>
        <w:suppressLineNumbers w:val="0"/>
        <w:spacing w:before="0" w:beforeAutospacing="0" w:after="0" w:afterAutospacing="0"/>
        <w:ind w:left="0" w:right="0"/>
        <w:jc w:val="both"/>
        <w:outlineLvl w:val="1"/>
        <w:rPr>
          <w:rFonts w:hint="eastAsia" w:ascii="宋体" w:hAnsi="宋体" w:eastAsia="宋体" w:cs="宋体"/>
          <w:b/>
          <w:color w:val="auto"/>
          <w:kern w:val="44"/>
          <w:sz w:val="21"/>
          <w:szCs w:val="21"/>
          <w:highlight w:val="none"/>
          <w:lang w:val="en-US" w:eastAsia="zh-CN" w:bidi="ar"/>
        </w:rPr>
      </w:pPr>
    </w:p>
    <w:p>
      <w:pPr>
        <w:keepNext w:val="0"/>
        <w:keepLines w:val="0"/>
        <w:widowControl w:val="0"/>
        <w:suppressLineNumbers w:val="0"/>
        <w:spacing w:before="0" w:beforeAutospacing="0" w:after="0" w:afterAutospacing="0"/>
        <w:ind w:left="0" w:right="0"/>
        <w:jc w:val="both"/>
        <w:outlineLvl w:val="1"/>
        <w:rPr>
          <w:rFonts w:hint="eastAsia" w:ascii="宋体" w:hAnsi="宋体" w:eastAsia="宋体" w:cs="宋体"/>
          <w:b/>
          <w:color w:val="auto"/>
          <w:kern w:val="44"/>
          <w:sz w:val="21"/>
          <w:szCs w:val="21"/>
          <w:highlight w:val="none"/>
          <w:lang w:val="en-US" w:eastAsia="zh-CN" w:bidi="ar"/>
        </w:rPr>
      </w:pPr>
    </w:p>
    <w:p>
      <w:pPr>
        <w:keepNext w:val="0"/>
        <w:keepLines w:val="0"/>
        <w:widowControl w:val="0"/>
        <w:suppressLineNumbers w:val="0"/>
        <w:spacing w:before="0" w:beforeAutospacing="0" w:after="0" w:afterAutospacing="0"/>
        <w:ind w:left="0" w:right="0"/>
        <w:jc w:val="both"/>
        <w:outlineLvl w:val="1"/>
        <w:rPr>
          <w:rFonts w:hint="eastAsia" w:ascii="宋体" w:hAnsi="宋体" w:eastAsia="宋体" w:cs="宋体"/>
          <w:b/>
          <w:color w:val="auto"/>
          <w:kern w:val="44"/>
          <w:sz w:val="21"/>
          <w:szCs w:val="21"/>
          <w:highlight w:val="none"/>
          <w:lang w:val="en-US" w:eastAsia="zh-CN" w:bidi="ar"/>
        </w:rPr>
      </w:pPr>
    </w:p>
    <w:p>
      <w:pPr>
        <w:keepNext w:val="0"/>
        <w:keepLines w:val="0"/>
        <w:widowControl w:val="0"/>
        <w:suppressLineNumbers w:val="0"/>
        <w:spacing w:before="0" w:beforeAutospacing="0" w:after="0" w:afterAutospacing="0"/>
        <w:ind w:left="0" w:right="0"/>
        <w:jc w:val="both"/>
        <w:outlineLvl w:val="1"/>
        <w:rPr>
          <w:rFonts w:hint="eastAsia" w:ascii="宋体" w:hAnsi="宋体" w:eastAsia="宋体" w:cs="宋体"/>
          <w:b/>
          <w:color w:val="auto"/>
          <w:kern w:val="44"/>
          <w:sz w:val="21"/>
          <w:szCs w:val="21"/>
          <w:highlight w:val="none"/>
          <w:lang w:val="en-US" w:eastAsia="zh-CN" w:bidi="ar"/>
        </w:rPr>
      </w:pPr>
    </w:p>
    <w:p>
      <w:pPr>
        <w:keepNext w:val="0"/>
        <w:keepLines w:val="0"/>
        <w:widowControl w:val="0"/>
        <w:suppressLineNumbers w:val="0"/>
        <w:spacing w:before="0" w:beforeAutospacing="0" w:after="0" w:afterAutospacing="0"/>
        <w:ind w:left="0" w:right="0"/>
        <w:jc w:val="both"/>
        <w:outlineLvl w:val="1"/>
        <w:rPr>
          <w:rFonts w:hint="eastAsia" w:ascii="宋体" w:hAnsi="宋体" w:eastAsia="宋体" w:cs="宋体"/>
          <w:b/>
          <w:color w:val="auto"/>
          <w:kern w:val="44"/>
          <w:sz w:val="21"/>
          <w:szCs w:val="21"/>
          <w:highlight w:val="none"/>
          <w:lang w:val="en-US" w:eastAsia="zh-CN" w:bidi="ar"/>
        </w:rPr>
      </w:pPr>
    </w:p>
    <w:p>
      <w:pPr>
        <w:keepNext w:val="0"/>
        <w:keepLines w:val="0"/>
        <w:widowControl w:val="0"/>
        <w:suppressLineNumbers w:val="0"/>
        <w:spacing w:before="0" w:beforeAutospacing="0" w:after="0" w:afterAutospacing="0"/>
        <w:ind w:left="0" w:right="0"/>
        <w:jc w:val="both"/>
        <w:outlineLvl w:val="1"/>
        <w:rPr>
          <w:rFonts w:hint="eastAsia" w:ascii="宋体" w:hAnsi="宋体" w:eastAsia="宋体" w:cs="宋体"/>
          <w:b/>
          <w:color w:val="auto"/>
          <w:kern w:val="44"/>
          <w:sz w:val="21"/>
          <w:szCs w:val="21"/>
          <w:highlight w:val="none"/>
          <w:lang w:val="en-US" w:eastAsia="zh-CN" w:bidi="ar"/>
        </w:rPr>
      </w:pPr>
    </w:p>
    <w:p>
      <w:pPr>
        <w:keepNext w:val="0"/>
        <w:keepLines w:val="0"/>
        <w:widowControl w:val="0"/>
        <w:suppressLineNumbers w:val="0"/>
        <w:spacing w:before="0" w:beforeAutospacing="0" w:after="0" w:afterAutospacing="0"/>
        <w:ind w:left="0" w:right="0"/>
        <w:jc w:val="both"/>
        <w:outlineLvl w:val="1"/>
        <w:rPr>
          <w:rFonts w:hint="eastAsia" w:ascii="宋体" w:hAnsi="宋体" w:eastAsia="宋体" w:cs="宋体"/>
          <w:b/>
          <w:color w:val="auto"/>
          <w:kern w:val="44"/>
          <w:sz w:val="21"/>
          <w:szCs w:val="21"/>
          <w:highlight w:val="none"/>
          <w:lang w:val="en-US" w:eastAsia="zh-CN" w:bidi="ar"/>
        </w:rPr>
      </w:pPr>
    </w:p>
    <w:p>
      <w:pPr>
        <w:keepNext w:val="0"/>
        <w:keepLines w:val="0"/>
        <w:widowControl w:val="0"/>
        <w:suppressLineNumbers w:val="0"/>
        <w:spacing w:before="0" w:beforeAutospacing="0" w:after="0" w:afterAutospacing="0"/>
        <w:ind w:left="0" w:right="0"/>
        <w:jc w:val="both"/>
        <w:outlineLvl w:val="1"/>
        <w:rPr>
          <w:rFonts w:hint="eastAsia" w:ascii="宋体" w:hAnsi="宋体" w:eastAsia="宋体" w:cs="宋体"/>
          <w:b/>
          <w:color w:val="auto"/>
          <w:kern w:val="44"/>
          <w:sz w:val="21"/>
          <w:szCs w:val="21"/>
          <w:highlight w:val="none"/>
          <w:lang w:val="en-US" w:eastAsia="zh-CN" w:bidi="ar"/>
        </w:rPr>
      </w:pPr>
    </w:p>
    <w:p>
      <w:pPr>
        <w:keepNext w:val="0"/>
        <w:keepLines w:val="0"/>
        <w:widowControl w:val="0"/>
        <w:suppressLineNumbers w:val="0"/>
        <w:spacing w:before="0" w:beforeAutospacing="0" w:after="0" w:afterAutospacing="0"/>
        <w:ind w:left="0" w:right="0"/>
        <w:jc w:val="both"/>
        <w:outlineLvl w:val="1"/>
        <w:rPr>
          <w:rFonts w:hint="eastAsia" w:ascii="宋体" w:hAnsi="宋体" w:eastAsia="宋体" w:cs="宋体"/>
          <w:b/>
          <w:color w:val="auto"/>
          <w:kern w:val="44"/>
          <w:sz w:val="21"/>
          <w:szCs w:val="21"/>
          <w:highlight w:val="none"/>
          <w:lang w:val="en-US" w:eastAsia="zh-CN" w:bidi="ar"/>
        </w:rPr>
      </w:pPr>
    </w:p>
    <w:p>
      <w:pPr>
        <w:keepNext w:val="0"/>
        <w:keepLines w:val="0"/>
        <w:widowControl w:val="0"/>
        <w:suppressLineNumbers w:val="0"/>
        <w:spacing w:before="0" w:beforeAutospacing="0" w:after="0" w:afterAutospacing="0"/>
        <w:ind w:left="0" w:right="0"/>
        <w:jc w:val="both"/>
        <w:outlineLvl w:val="1"/>
        <w:rPr>
          <w:rFonts w:hint="eastAsia" w:ascii="宋体" w:hAnsi="宋体" w:eastAsia="宋体" w:cs="宋体"/>
          <w:b/>
          <w:color w:val="auto"/>
          <w:kern w:val="44"/>
          <w:sz w:val="21"/>
          <w:szCs w:val="21"/>
          <w:highlight w:val="none"/>
          <w:lang w:val="en-US" w:eastAsia="zh-CN" w:bidi="ar"/>
        </w:rPr>
      </w:pPr>
    </w:p>
    <w:p>
      <w:pPr>
        <w:keepNext w:val="0"/>
        <w:keepLines w:val="0"/>
        <w:widowControl w:val="0"/>
        <w:suppressLineNumbers w:val="0"/>
        <w:spacing w:before="0" w:beforeAutospacing="0" w:after="0" w:afterAutospacing="0"/>
        <w:ind w:left="0" w:right="0"/>
        <w:jc w:val="both"/>
        <w:outlineLvl w:val="1"/>
        <w:rPr>
          <w:rFonts w:hint="eastAsia" w:ascii="宋体" w:hAnsi="宋体" w:eastAsia="宋体" w:cs="宋体"/>
          <w:b/>
          <w:color w:val="auto"/>
          <w:kern w:val="44"/>
          <w:sz w:val="21"/>
          <w:szCs w:val="21"/>
          <w:highlight w:val="none"/>
          <w:lang w:val="en-US" w:eastAsia="zh-CN" w:bidi="ar"/>
        </w:rPr>
      </w:pPr>
    </w:p>
    <w:p>
      <w:pPr>
        <w:keepNext w:val="0"/>
        <w:keepLines w:val="0"/>
        <w:widowControl w:val="0"/>
        <w:suppressLineNumbers w:val="0"/>
        <w:spacing w:before="0" w:beforeAutospacing="0" w:after="0" w:afterAutospacing="0"/>
        <w:ind w:left="0" w:right="0"/>
        <w:jc w:val="both"/>
        <w:outlineLvl w:val="1"/>
        <w:rPr>
          <w:rFonts w:hint="eastAsia" w:ascii="宋体" w:hAnsi="宋体" w:eastAsia="宋体" w:cs="宋体"/>
          <w:b/>
          <w:color w:val="auto"/>
          <w:kern w:val="44"/>
          <w:sz w:val="21"/>
          <w:szCs w:val="21"/>
          <w:highlight w:val="none"/>
          <w:lang w:val="en-US" w:eastAsia="zh-CN" w:bidi="ar"/>
        </w:rPr>
      </w:pPr>
    </w:p>
    <w:p>
      <w:pPr>
        <w:keepNext w:val="0"/>
        <w:keepLines w:val="0"/>
        <w:widowControl w:val="0"/>
        <w:suppressLineNumbers w:val="0"/>
        <w:spacing w:before="0" w:beforeAutospacing="0" w:after="0" w:afterAutospacing="0"/>
        <w:ind w:left="0" w:right="0"/>
        <w:jc w:val="both"/>
        <w:outlineLvl w:val="1"/>
        <w:rPr>
          <w:rFonts w:hint="eastAsia" w:ascii="宋体" w:hAnsi="宋体" w:eastAsia="宋体" w:cs="宋体"/>
          <w:b/>
          <w:color w:val="auto"/>
          <w:kern w:val="44"/>
          <w:sz w:val="21"/>
          <w:szCs w:val="21"/>
          <w:highlight w:val="none"/>
          <w:lang w:val="en-US" w:eastAsia="zh-CN" w:bidi="ar"/>
        </w:rPr>
      </w:pPr>
    </w:p>
    <w:p>
      <w:pPr>
        <w:keepNext w:val="0"/>
        <w:keepLines w:val="0"/>
        <w:widowControl w:val="0"/>
        <w:suppressLineNumbers w:val="0"/>
        <w:spacing w:before="0" w:beforeAutospacing="0" w:after="0" w:afterAutospacing="0"/>
        <w:ind w:left="0" w:right="0"/>
        <w:jc w:val="both"/>
        <w:outlineLvl w:val="1"/>
        <w:rPr>
          <w:rFonts w:hint="eastAsia" w:ascii="宋体" w:hAnsi="宋体" w:eastAsia="宋体" w:cs="宋体"/>
          <w:b/>
          <w:color w:val="auto"/>
          <w:kern w:val="44"/>
          <w:sz w:val="21"/>
          <w:szCs w:val="21"/>
          <w:highlight w:val="none"/>
          <w:lang w:val="en-US" w:eastAsia="zh-CN" w:bidi="ar"/>
        </w:rPr>
      </w:pPr>
    </w:p>
    <w:p>
      <w:pPr>
        <w:keepNext w:val="0"/>
        <w:keepLines w:val="0"/>
        <w:widowControl w:val="0"/>
        <w:suppressLineNumbers w:val="0"/>
        <w:spacing w:before="0" w:beforeAutospacing="0" w:after="0" w:afterAutospacing="0"/>
        <w:ind w:left="0" w:right="0"/>
        <w:jc w:val="both"/>
        <w:outlineLvl w:val="1"/>
        <w:rPr>
          <w:rFonts w:hint="eastAsia" w:ascii="宋体" w:hAnsi="宋体" w:eastAsia="宋体" w:cs="宋体"/>
          <w:b/>
          <w:color w:val="auto"/>
          <w:kern w:val="44"/>
          <w:sz w:val="21"/>
          <w:szCs w:val="21"/>
          <w:highlight w:val="none"/>
          <w:lang w:val="en-US" w:eastAsia="zh-CN" w:bidi="ar"/>
        </w:rPr>
      </w:pPr>
    </w:p>
    <w:p>
      <w:pPr>
        <w:keepNext w:val="0"/>
        <w:keepLines w:val="0"/>
        <w:widowControl w:val="0"/>
        <w:suppressLineNumbers w:val="0"/>
        <w:spacing w:before="0" w:beforeAutospacing="0" w:after="0" w:afterAutospacing="0"/>
        <w:ind w:left="0" w:right="0"/>
        <w:jc w:val="both"/>
        <w:outlineLvl w:val="1"/>
        <w:rPr>
          <w:rFonts w:hint="eastAsia" w:ascii="宋体" w:hAnsi="宋体" w:eastAsia="宋体" w:cs="宋体"/>
          <w:b/>
          <w:color w:val="auto"/>
          <w:kern w:val="44"/>
          <w:sz w:val="21"/>
          <w:szCs w:val="21"/>
          <w:highlight w:val="none"/>
          <w:lang w:val="en-US" w:eastAsia="zh-CN" w:bidi="ar"/>
        </w:rPr>
      </w:pPr>
    </w:p>
    <w:p>
      <w:pPr>
        <w:keepNext w:val="0"/>
        <w:keepLines w:val="0"/>
        <w:widowControl w:val="0"/>
        <w:suppressLineNumbers w:val="0"/>
        <w:spacing w:before="0" w:beforeAutospacing="0" w:after="0" w:afterAutospacing="0"/>
        <w:ind w:left="0" w:right="0"/>
        <w:jc w:val="both"/>
        <w:outlineLvl w:val="1"/>
        <w:rPr>
          <w:rFonts w:hint="eastAsia" w:ascii="宋体" w:hAnsi="宋体" w:eastAsia="宋体" w:cs="宋体"/>
          <w:b/>
          <w:color w:val="auto"/>
          <w:kern w:val="44"/>
          <w:sz w:val="21"/>
          <w:szCs w:val="21"/>
          <w:highlight w:val="none"/>
          <w:lang w:val="en-US" w:eastAsia="zh-CN" w:bidi="ar"/>
        </w:rPr>
      </w:pPr>
    </w:p>
    <w:p>
      <w:pPr>
        <w:keepNext w:val="0"/>
        <w:keepLines w:val="0"/>
        <w:widowControl w:val="0"/>
        <w:suppressLineNumbers w:val="0"/>
        <w:spacing w:before="0" w:beforeAutospacing="0" w:after="0" w:afterAutospacing="0"/>
        <w:ind w:left="0" w:right="0"/>
        <w:jc w:val="both"/>
        <w:outlineLvl w:val="1"/>
        <w:rPr>
          <w:rFonts w:hint="eastAsia" w:ascii="宋体" w:hAnsi="宋体" w:eastAsia="宋体" w:cs="宋体"/>
          <w:b/>
          <w:color w:val="auto"/>
          <w:kern w:val="44"/>
          <w:sz w:val="21"/>
          <w:szCs w:val="21"/>
          <w:highlight w:val="none"/>
          <w:lang w:val="en-US" w:eastAsia="zh-CN" w:bidi="ar"/>
        </w:rPr>
      </w:pPr>
    </w:p>
    <w:p>
      <w:pPr>
        <w:keepNext w:val="0"/>
        <w:keepLines w:val="0"/>
        <w:widowControl w:val="0"/>
        <w:suppressLineNumbers w:val="0"/>
        <w:spacing w:before="0" w:beforeAutospacing="0" w:after="0" w:afterAutospacing="0"/>
        <w:ind w:left="0" w:right="0"/>
        <w:jc w:val="both"/>
        <w:outlineLvl w:val="1"/>
        <w:rPr>
          <w:rFonts w:hint="eastAsia" w:ascii="宋体" w:hAnsi="宋体" w:eastAsia="宋体" w:cs="宋体"/>
          <w:b/>
          <w:color w:val="auto"/>
          <w:kern w:val="44"/>
          <w:sz w:val="21"/>
          <w:szCs w:val="21"/>
          <w:highlight w:val="none"/>
          <w:lang w:val="en-US" w:eastAsia="zh-CN" w:bidi="ar"/>
        </w:rPr>
      </w:pPr>
    </w:p>
    <w:p>
      <w:pPr>
        <w:keepNext w:val="0"/>
        <w:keepLines w:val="0"/>
        <w:widowControl w:val="0"/>
        <w:suppressLineNumbers w:val="0"/>
        <w:spacing w:before="0" w:beforeAutospacing="0" w:after="0" w:afterAutospacing="0"/>
        <w:ind w:left="0" w:right="0"/>
        <w:jc w:val="both"/>
        <w:outlineLvl w:val="1"/>
        <w:rPr>
          <w:rFonts w:hint="eastAsia" w:ascii="宋体" w:hAnsi="宋体" w:eastAsia="宋体" w:cs="宋体"/>
          <w:b/>
          <w:color w:val="auto"/>
          <w:kern w:val="44"/>
          <w:sz w:val="21"/>
          <w:szCs w:val="21"/>
          <w:highlight w:val="none"/>
          <w:lang w:val="en-US" w:eastAsia="zh-CN" w:bidi="ar"/>
        </w:rPr>
      </w:pPr>
    </w:p>
    <w:p>
      <w:pPr>
        <w:keepNext w:val="0"/>
        <w:keepLines w:val="0"/>
        <w:widowControl w:val="0"/>
        <w:suppressLineNumbers w:val="0"/>
        <w:spacing w:before="0" w:beforeAutospacing="0" w:after="0" w:afterAutospacing="0"/>
        <w:ind w:left="0" w:right="0"/>
        <w:jc w:val="both"/>
        <w:outlineLvl w:val="1"/>
        <w:rPr>
          <w:rFonts w:hint="eastAsia" w:ascii="宋体" w:hAnsi="宋体" w:eastAsia="宋体" w:cs="宋体"/>
          <w:b/>
          <w:color w:val="auto"/>
          <w:kern w:val="44"/>
          <w:sz w:val="21"/>
          <w:szCs w:val="21"/>
          <w:highlight w:val="none"/>
          <w:lang w:val="en-US" w:eastAsia="zh-CN" w:bidi="ar"/>
        </w:rPr>
      </w:pPr>
    </w:p>
    <w:p>
      <w:pPr>
        <w:keepNext w:val="0"/>
        <w:keepLines w:val="0"/>
        <w:widowControl w:val="0"/>
        <w:suppressLineNumbers w:val="0"/>
        <w:spacing w:before="0" w:beforeAutospacing="0" w:after="0" w:afterAutospacing="0"/>
        <w:ind w:left="0" w:right="0"/>
        <w:jc w:val="both"/>
        <w:outlineLvl w:val="1"/>
        <w:rPr>
          <w:rFonts w:hint="eastAsia" w:ascii="宋体" w:hAnsi="宋体" w:eastAsia="宋体" w:cs="宋体"/>
          <w:b/>
          <w:color w:val="auto"/>
          <w:kern w:val="44"/>
          <w:sz w:val="21"/>
          <w:szCs w:val="21"/>
          <w:highlight w:val="none"/>
          <w:lang w:val="en-US" w:eastAsia="zh-CN" w:bidi="ar"/>
        </w:rPr>
      </w:pPr>
    </w:p>
    <w:p>
      <w:pPr>
        <w:keepNext w:val="0"/>
        <w:keepLines w:val="0"/>
        <w:widowControl w:val="0"/>
        <w:suppressLineNumbers w:val="0"/>
        <w:spacing w:before="0" w:beforeAutospacing="0" w:after="0" w:afterAutospacing="0"/>
        <w:ind w:left="0" w:right="0"/>
        <w:jc w:val="both"/>
        <w:outlineLvl w:val="1"/>
        <w:rPr>
          <w:rFonts w:hint="eastAsia" w:ascii="宋体" w:hAnsi="宋体" w:eastAsia="宋体" w:cs="宋体"/>
          <w:b/>
          <w:color w:val="auto"/>
          <w:kern w:val="44"/>
          <w:sz w:val="21"/>
          <w:szCs w:val="21"/>
          <w:highlight w:val="none"/>
          <w:lang w:val="en-US" w:eastAsia="zh-CN" w:bidi="ar"/>
        </w:rPr>
      </w:pPr>
    </w:p>
    <w:p>
      <w:pPr>
        <w:keepNext w:val="0"/>
        <w:keepLines w:val="0"/>
        <w:widowControl w:val="0"/>
        <w:suppressLineNumbers w:val="0"/>
        <w:spacing w:before="0" w:beforeAutospacing="0" w:after="0" w:afterAutospacing="0"/>
        <w:ind w:left="0" w:right="0"/>
        <w:jc w:val="both"/>
        <w:outlineLvl w:val="1"/>
        <w:rPr>
          <w:rFonts w:hint="eastAsia" w:ascii="宋体" w:hAnsi="宋体" w:eastAsia="宋体" w:cs="宋体"/>
          <w:b/>
          <w:color w:val="auto"/>
          <w:kern w:val="44"/>
          <w:sz w:val="21"/>
          <w:szCs w:val="21"/>
          <w:highlight w:val="none"/>
          <w:lang w:val="en-US" w:eastAsia="zh-CN" w:bidi="ar"/>
        </w:rPr>
      </w:pPr>
    </w:p>
    <w:p>
      <w:pPr>
        <w:keepNext w:val="0"/>
        <w:keepLines w:val="0"/>
        <w:widowControl w:val="0"/>
        <w:suppressLineNumbers w:val="0"/>
        <w:spacing w:before="0" w:beforeAutospacing="0" w:after="0" w:afterAutospacing="0"/>
        <w:ind w:left="0" w:right="0"/>
        <w:jc w:val="both"/>
        <w:outlineLvl w:val="1"/>
        <w:rPr>
          <w:rFonts w:hint="eastAsia" w:ascii="宋体" w:hAnsi="宋体" w:eastAsia="宋体" w:cs="宋体"/>
          <w:b/>
          <w:color w:val="auto"/>
          <w:kern w:val="44"/>
          <w:sz w:val="21"/>
          <w:szCs w:val="21"/>
          <w:highlight w:val="none"/>
          <w:lang w:val="en-US" w:eastAsia="zh-CN" w:bidi="ar"/>
        </w:rPr>
      </w:pPr>
    </w:p>
    <w:p>
      <w:pPr>
        <w:keepNext w:val="0"/>
        <w:keepLines w:val="0"/>
        <w:widowControl w:val="0"/>
        <w:suppressLineNumbers w:val="0"/>
        <w:spacing w:before="0" w:beforeAutospacing="0" w:after="0" w:afterAutospacing="0"/>
        <w:ind w:left="0" w:right="0"/>
        <w:jc w:val="both"/>
        <w:outlineLvl w:val="1"/>
        <w:rPr>
          <w:rFonts w:hint="eastAsia" w:ascii="宋体" w:hAnsi="宋体" w:eastAsia="宋体" w:cs="宋体"/>
          <w:b/>
          <w:color w:val="auto"/>
          <w:kern w:val="44"/>
          <w:sz w:val="21"/>
          <w:szCs w:val="21"/>
          <w:highlight w:val="none"/>
          <w:lang w:val="en-US" w:eastAsia="zh-CN" w:bidi="ar"/>
        </w:rPr>
      </w:pPr>
    </w:p>
    <w:p>
      <w:pPr>
        <w:keepNext w:val="0"/>
        <w:keepLines w:val="0"/>
        <w:widowControl w:val="0"/>
        <w:suppressLineNumbers w:val="0"/>
        <w:spacing w:before="0" w:beforeAutospacing="0" w:after="0" w:afterAutospacing="0"/>
        <w:ind w:left="0" w:right="0"/>
        <w:jc w:val="both"/>
        <w:outlineLvl w:val="1"/>
        <w:rPr>
          <w:rFonts w:hint="eastAsia" w:ascii="宋体" w:hAnsi="宋体" w:eastAsia="宋体" w:cs="宋体"/>
          <w:b/>
          <w:color w:val="auto"/>
          <w:kern w:val="44"/>
          <w:sz w:val="21"/>
          <w:szCs w:val="21"/>
          <w:highlight w:val="none"/>
          <w:lang w:val="en-US" w:eastAsia="zh-CN" w:bidi="ar"/>
        </w:rPr>
      </w:pPr>
    </w:p>
    <w:p>
      <w:pPr>
        <w:keepNext w:val="0"/>
        <w:keepLines w:val="0"/>
        <w:widowControl w:val="0"/>
        <w:suppressLineNumbers w:val="0"/>
        <w:spacing w:before="0" w:beforeAutospacing="0" w:after="0" w:afterAutospacing="0"/>
        <w:ind w:left="0" w:right="0"/>
        <w:jc w:val="both"/>
        <w:outlineLvl w:val="1"/>
        <w:rPr>
          <w:rFonts w:hint="eastAsia" w:ascii="宋体" w:hAnsi="宋体" w:eastAsia="宋体" w:cs="宋体"/>
          <w:b/>
          <w:color w:val="auto"/>
          <w:kern w:val="44"/>
          <w:sz w:val="21"/>
          <w:szCs w:val="21"/>
          <w:highlight w:val="none"/>
          <w:lang w:val="en-US" w:eastAsia="zh-CN" w:bidi="ar"/>
        </w:rPr>
      </w:pPr>
    </w:p>
    <w:p>
      <w:pPr>
        <w:keepNext w:val="0"/>
        <w:keepLines w:val="0"/>
        <w:widowControl w:val="0"/>
        <w:suppressLineNumbers w:val="0"/>
        <w:spacing w:before="0" w:beforeAutospacing="0" w:after="0" w:afterAutospacing="0"/>
        <w:ind w:left="0" w:right="0"/>
        <w:jc w:val="both"/>
        <w:outlineLvl w:val="1"/>
        <w:rPr>
          <w:rFonts w:hint="eastAsia" w:ascii="宋体" w:hAnsi="宋体" w:eastAsia="宋体" w:cs="宋体"/>
          <w:b/>
          <w:color w:val="auto"/>
          <w:kern w:val="44"/>
          <w:sz w:val="21"/>
          <w:szCs w:val="21"/>
          <w:highlight w:val="none"/>
          <w:lang w:val="en-US" w:eastAsia="zh-CN" w:bidi="ar"/>
        </w:rPr>
      </w:pPr>
    </w:p>
    <w:p>
      <w:pPr>
        <w:keepNext w:val="0"/>
        <w:keepLines w:val="0"/>
        <w:widowControl w:val="0"/>
        <w:suppressLineNumbers w:val="0"/>
        <w:spacing w:before="0" w:beforeAutospacing="0" w:after="0" w:afterAutospacing="0"/>
        <w:ind w:left="0" w:right="0"/>
        <w:jc w:val="both"/>
        <w:outlineLvl w:val="1"/>
        <w:rPr>
          <w:rFonts w:hint="eastAsia" w:ascii="宋体" w:hAnsi="宋体" w:eastAsia="宋体" w:cs="Times New Roman"/>
          <w:b/>
          <w:color w:val="auto"/>
          <w:kern w:val="44"/>
          <w:sz w:val="21"/>
          <w:szCs w:val="21"/>
          <w:highlight w:val="none"/>
        </w:rPr>
      </w:pPr>
      <w:bookmarkStart w:id="87" w:name="_Toc27590"/>
      <w:r>
        <w:rPr>
          <w:rFonts w:hint="eastAsia" w:ascii="宋体" w:hAnsi="宋体" w:eastAsia="宋体" w:cs="宋体"/>
          <w:b/>
          <w:color w:val="auto"/>
          <w:kern w:val="44"/>
          <w:sz w:val="21"/>
          <w:szCs w:val="21"/>
          <w:highlight w:val="none"/>
          <w:lang w:val="en-US" w:eastAsia="zh-CN" w:bidi="ar"/>
        </w:rPr>
        <w:t>附录20</w:t>
      </w:r>
      <w:r>
        <w:rPr>
          <w:rFonts w:hint="eastAsia" w:ascii="宋体" w:hAnsi="宋体" w:eastAsia="宋体" w:cs="Times New Roman"/>
          <w:b/>
          <w:color w:val="auto"/>
          <w:kern w:val="44"/>
          <w:sz w:val="21"/>
          <w:szCs w:val="21"/>
          <w:highlight w:val="none"/>
          <w:lang w:val="en-US" w:eastAsia="zh-CN" w:bidi="ar"/>
        </w:rPr>
        <w:t xml:space="preserve"> </w:t>
      </w:r>
      <w:r>
        <w:rPr>
          <w:rFonts w:hint="eastAsia" w:ascii="宋体" w:hAnsi="宋体" w:eastAsia="宋体" w:cs="宋体"/>
          <w:b/>
          <w:color w:val="auto"/>
          <w:kern w:val="44"/>
          <w:sz w:val="21"/>
          <w:szCs w:val="21"/>
          <w:highlight w:val="none"/>
          <w:lang w:val="en-US" w:eastAsia="zh-CN" w:bidi="ar"/>
        </w:rPr>
        <w:t>优胜设计方案奖励协议</w:t>
      </w:r>
      <w:bookmarkEnd w:id="87"/>
    </w:p>
    <w:p>
      <w:pPr>
        <w:keepNext w:val="0"/>
        <w:keepLines w:val="0"/>
        <w:widowControl w:val="0"/>
        <w:suppressLineNumbers w:val="0"/>
        <w:spacing w:before="0" w:beforeAutospacing="0" w:after="0" w:afterAutospacing="0" w:line="360" w:lineRule="auto"/>
        <w:ind w:left="0" w:right="0" w:firstLine="480" w:firstLineChars="200"/>
        <w:jc w:val="both"/>
        <w:rPr>
          <w:rFonts w:hint="eastAsia" w:ascii="黑体" w:hAnsi="宋体" w:eastAsia="黑体" w:cs="Times New Roman"/>
          <w:color w:val="auto"/>
          <w:kern w:val="2"/>
          <w:sz w:val="24"/>
          <w:szCs w:val="24"/>
          <w:highlight w:val="none"/>
        </w:rPr>
      </w:pPr>
      <w:r>
        <w:rPr>
          <w:rFonts w:hint="eastAsia" w:ascii="黑体" w:hAnsi="宋体" w:eastAsia="黑体" w:cs="Times New Roman"/>
          <w:color w:val="auto"/>
          <w:kern w:val="2"/>
          <w:sz w:val="24"/>
          <w:szCs w:val="24"/>
          <w:highlight w:val="none"/>
          <w:lang w:val="en-US" w:eastAsia="zh-CN" w:bidi="ar"/>
        </w:rPr>
        <w:t xml:space="preserve">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黑体" w:hAnsi="宋体" w:eastAsia="黑体" w:cs="Times New Roman"/>
          <w:color w:val="auto"/>
          <w:kern w:val="2"/>
          <w:sz w:val="24"/>
          <w:szCs w:val="24"/>
          <w:highlight w:val="none"/>
        </w:rPr>
      </w:pPr>
      <w:r>
        <w:rPr>
          <w:rFonts w:hint="eastAsia" w:ascii="黑体" w:hAnsi="宋体" w:eastAsia="黑体" w:cs="Times New Roman"/>
          <w:color w:val="auto"/>
          <w:kern w:val="2"/>
          <w:sz w:val="24"/>
          <w:szCs w:val="24"/>
          <w:highlight w:val="none"/>
          <w:lang w:val="en-US" w:eastAsia="zh-CN" w:bidi="ar"/>
        </w:rPr>
        <w:t xml:space="preserve"> </w:t>
      </w:r>
    </w:p>
    <w:p>
      <w:pPr>
        <w:pStyle w:val="6"/>
        <w:widowControl/>
        <w:rPr>
          <w:rFonts w:hint="eastAsia" w:ascii="宋体" w:hAnsi="宋体" w:eastAsia="宋体" w:cs="Times New Roman"/>
          <w:b w:val="0"/>
          <w:color w:val="auto"/>
          <w:spacing w:val="-20"/>
          <w:kern w:val="10"/>
          <w:sz w:val="44"/>
          <w:szCs w:val="44"/>
          <w:highlight w:val="none"/>
        </w:rPr>
      </w:pPr>
      <w:r>
        <w:rPr>
          <w:rFonts w:hint="eastAsia" w:ascii="宋体" w:hAnsi="宋体" w:eastAsia="宋体" w:cs="Times New Roman"/>
          <w:b w:val="0"/>
          <w:color w:val="auto"/>
          <w:spacing w:val="-20"/>
          <w:kern w:val="10"/>
          <w:sz w:val="44"/>
          <w:szCs w:val="44"/>
          <w:highlight w:val="none"/>
        </w:rPr>
        <w:t xml:space="preserve"> </w:t>
      </w:r>
    </w:p>
    <w:p>
      <w:pPr>
        <w:pStyle w:val="6"/>
        <w:widowControl/>
        <w:rPr>
          <w:rFonts w:hint="eastAsia" w:ascii="宋体" w:hAnsi="宋体" w:eastAsia="宋体" w:cs="Times New Roman"/>
          <w:b w:val="0"/>
          <w:color w:val="auto"/>
          <w:spacing w:val="-20"/>
          <w:kern w:val="10"/>
          <w:sz w:val="44"/>
          <w:szCs w:val="44"/>
          <w:highlight w:val="none"/>
        </w:rPr>
      </w:pPr>
      <w:r>
        <w:rPr>
          <w:rFonts w:hint="eastAsia" w:ascii="宋体" w:hAnsi="宋体" w:eastAsia="宋体" w:cs="宋体"/>
          <w:b w:val="0"/>
          <w:color w:val="auto"/>
          <w:spacing w:val="-20"/>
          <w:kern w:val="10"/>
          <w:sz w:val="44"/>
          <w:szCs w:val="44"/>
          <w:highlight w:val="none"/>
        </w:rPr>
        <w:t>优胜设计方案奖励协议</w:t>
      </w:r>
    </w:p>
    <w:p>
      <w:pPr>
        <w:pStyle w:val="6"/>
        <w:widowControl/>
        <w:rPr>
          <w:rFonts w:hint="eastAsia" w:ascii="宋体" w:hAnsi="宋体" w:eastAsia="宋体" w:cs="Times New Roman"/>
          <w:b w:val="0"/>
          <w:color w:val="auto"/>
          <w:spacing w:val="-20"/>
          <w:kern w:val="10"/>
          <w:sz w:val="32"/>
          <w:szCs w:val="32"/>
          <w:highlight w:val="none"/>
        </w:rPr>
      </w:pPr>
      <w:r>
        <w:rPr>
          <w:rFonts w:hint="default" w:cs="Times New Roman"/>
          <w:b w:val="0"/>
          <w:color w:val="auto"/>
          <w:spacing w:val="-20"/>
          <w:kern w:val="10"/>
          <w:sz w:val="32"/>
          <w:szCs w:val="32"/>
          <w:highlight w:val="none"/>
        </w:rPr>
        <w:t>（一等奖）</w:t>
      </w:r>
      <w:r>
        <w:rPr>
          <w:rFonts w:hint="eastAsia" w:ascii="宋体" w:hAnsi="宋体" w:eastAsia="宋体" w:cs="Times New Roman"/>
          <w:b w:val="0"/>
          <w:color w:val="auto"/>
          <w:spacing w:val="-20"/>
          <w:kern w:val="10"/>
          <w:sz w:val="32"/>
          <w:szCs w:val="32"/>
          <w:highlight w:val="none"/>
        </w:rPr>
        <w:t xml:space="preserve"> </w:t>
      </w:r>
    </w:p>
    <w:p>
      <w:pPr>
        <w:pStyle w:val="6"/>
        <w:widowControl/>
        <w:jc w:val="center"/>
        <w:rPr>
          <w:rFonts w:hint="eastAsia" w:ascii="宋体" w:hAnsi="宋体" w:eastAsia="宋体" w:cs="Times New Roman"/>
          <w:b w:val="0"/>
          <w:bCs/>
          <w:color w:val="auto"/>
          <w:spacing w:val="0"/>
          <w:kern w:val="0"/>
          <w:sz w:val="24"/>
          <w:szCs w:val="24"/>
          <w:highlight w:val="none"/>
          <w:u w:val="single"/>
        </w:rPr>
      </w:pPr>
      <w:r>
        <w:rPr>
          <w:rFonts w:hint="eastAsia" w:ascii="宋体" w:hAnsi="宋体" w:eastAsia="宋体" w:cs="宋体"/>
          <w:b w:val="0"/>
          <w:bCs/>
          <w:color w:val="auto"/>
          <w:spacing w:val="0"/>
          <w:kern w:val="0"/>
          <w:sz w:val="24"/>
          <w:szCs w:val="24"/>
          <w:highlight w:val="none"/>
          <w:u w:val="single"/>
        </w:rPr>
        <w:t>（注：若中标人为优胜设计方案设计单位，则无需单独签署本协议）</w:t>
      </w:r>
    </w:p>
    <w:p>
      <w:pPr>
        <w:pStyle w:val="6"/>
        <w:widowControl/>
        <w:jc w:val="both"/>
        <w:rPr>
          <w:rFonts w:hint="eastAsia" w:ascii="宋体" w:hAnsi="宋体" w:eastAsia="宋体" w:cs="Times New Roman"/>
          <w:b w:val="0"/>
          <w:color w:val="auto"/>
          <w:spacing w:val="-20"/>
          <w:kern w:val="10"/>
          <w:sz w:val="44"/>
          <w:szCs w:val="44"/>
          <w:highlight w:val="none"/>
        </w:rPr>
      </w:pPr>
      <w:r>
        <w:rPr>
          <w:rFonts w:hint="eastAsia" w:ascii="宋体" w:hAnsi="宋体" w:eastAsia="宋体" w:cs="Times New Roman"/>
          <w:b w:val="0"/>
          <w:color w:val="auto"/>
          <w:spacing w:val="-20"/>
          <w:kern w:val="10"/>
          <w:sz w:val="44"/>
          <w:szCs w:val="44"/>
          <w:highlight w:val="none"/>
        </w:rPr>
        <w:t xml:space="preserve"> </w:t>
      </w:r>
    </w:p>
    <w:p>
      <w:pPr>
        <w:keepNext w:val="0"/>
        <w:keepLines w:val="0"/>
        <w:widowControl w:val="0"/>
        <w:suppressLineNumbers w:val="0"/>
        <w:spacing w:before="156" w:beforeLines="50" w:beforeAutospacing="0" w:after="156" w:afterLines="50" w:afterAutospacing="0" w:line="600" w:lineRule="exact"/>
        <w:ind w:left="1924" w:leftChars="200" w:right="0" w:hanging="1504" w:hangingChars="470"/>
        <w:jc w:val="left"/>
        <w:rPr>
          <w:rFonts w:hint="eastAsia" w:ascii="宋体" w:hAnsi="宋体" w:eastAsia="宋体" w:cs="Times New Roman"/>
          <w:bCs/>
          <w:color w:val="auto"/>
          <w:spacing w:val="20"/>
          <w:kern w:val="2"/>
          <w:sz w:val="28"/>
          <w:szCs w:val="28"/>
          <w:highlight w:val="none"/>
          <w:u w:val="single"/>
        </w:rPr>
      </w:pPr>
      <w:r>
        <w:rPr>
          <w:rFonts w:hint="eastAsia" w:ascii="宋体" w:hAnsi="宋体" w:eastAsia="宋体" w:cs="宋体"/>
          <w:color w:val="auto"/>
          <w:spacing w:val="20"/>
          <w:kern w:val="2"/>
          <w:sz w:val="28"/>
          <w:szCs w:val="28"/>
          <w:highlight w:val="none"/>
          <w:lang w:val="en-US" w:eastAsia="zh-CN" w:bidi="ar"/>
        </w:rPr>
        <w:t>项目名称：</w:t>
      </w:r>
      <w:r>
        <w:rPr>
          <w:rFonts w:hint="eastAsia" w:ascii="宋体" w:hAnsi="宋体" w:eastAsia="宋体" w:cs="宋体"/>
          <w:bCs/>
          <w:color w:val="auto"/>
          <w:kern w:val="2"/>
          <w:sz w:val="28"/>
          <w:szCs w:val="28"/>
          <w:highlight w:val="none"/>
          <w:u w:val="single"/>
          <w:lang w:val="en-US" w:eastAsia="zh-CN" w:bidi="ar"/>
        </w:rPr>
        <w:t>广州法治大厦项目勘察设计</w:t>
      </w:r>
    </w:p>
    <w:p>
      <w:pPr>
        <w:keepNext w:val="0"/>
        <w:keepLines w:val="0"/>
        <w:widowControl w:val="0"/>
        <w:suppressLineNumbers w:val="0"/>
        <w:spacing w:before="156" w:beforeLines="50" w:beforeAutospacing="0" w:after="156" w:afterLines="50" w:afterAutospacing="0" w:line="600" w:lineRule="exact"/>
        <w:ind w:left="1540" w:leftChars="200" w:right="0" w:hanging="1120" w:hangingChars="350"/>
        <w:jc w:val="both"/>
        <w:rPr>
          <w:rFonts w:hint="eastAsia" w:ascii="宋体" w:hAnsi="宋体" w:eastAsia="宋体" w:cs="Times New Roman"/>
          <w:bCs/>
          <w:color w:val="auto"/>
          <w:kern w:val="2"/>
          <w:sz w:val="28"/>
          <w:szCs w:val="28"/>
          <w:highlight w:val="none"/>
          <w:u w:val="single"/>
        </w:rPr>
      </w:pPr>
      <w:r>
        <w:rPr>
          <w:rFonts w:hint="eastAsia" w:ascii="宋体" w:hAnsi="宋体" w:eastAsia="宋体" w:cs="宋体"/>
          <w:color w:val="auto"/>
          <w:spacing w:val="20"/>
          <w:kern w:val="2"/>
          <w:sz w:val="28"/>
          <w:szCs w:val="28"/>
          <w:highlight w:val="none"/>
          <w:lang w:val="en-US" w:eastAsia="zh-CN" w:bidi="ar"/>
        </w:rPr>
        <w:t>协议名称：</w:t>
      </w:r>
      <w:r>
        <w:rPr>
          <w:rFonts w:hint="eastAsia" w:ascii="宋体" w:hAnsi="宋体" w:eastAsia="宋体" w:cs="宋体"/>
          <w:bCs/>
          <w:color w:val="auto"/>
          <w:kern w:val="2"/>
          <w:sz w:val="28"/>
          <w:szCs w:val="28"/>
          <w:highlight w:val="none"/>
          <w:u w:val="single"/>
          <w:lang w:val="en-US" w:eastAsia="zh-CN" w:bidi="ar"/>
        </w:rPr>
        <w:t>广州法治大厦项目优胜</w:t>
      </w:r>
      <w:r>
        <w:rPr>
          <w:rFonts w:hint="eastAsia" w:ascii="宋体" w:hAnsi="宋体" w:eastAsia="宋体" w:cs="宋体"/>
          <w:bCs/>
          <w:color w:val="auto"/>
          <w:spacing w:val="20"/>
          <w:kern w:val="2"/>
          <w:sz w:val="28"/>
          <w:szCs w:val="28"/>
          <w:highlight w:val="none"/>
          <w:u w:val="single"/>
          <w:lang w:val="en-US" w:eastAsia="zh-CN" w:bidi="ar"/>
        </w:rPr>
        <w:t>设计方案</w:t>
      </w:r>
      <w:r>
        <w:rPr>
          <w:rFonts w:hint="eastAsia" w:ascii="宋体" w:hAnsi="宋体" w:eastAsia="宋体" w:cs="宋体"/>
          <w:bCs/>
          <w:color w:val="auto"/>
          <w:kern w:val="2"/>
          <w:sz w:val="28"/>
          <w:szCs w:val="28"/>
          <w:highlight w:val="none"/>
          <w:u w:val="single"/>
          <w:lang w:val="en-US" w:eastAsia="zh-CN" w:bidi="ar"/>
        </w:rPr>
        <w:t>奖励协议</w:t>
      </w:r>
    </w:p>
    <w:p>
      <w:pPr>
        <w:keepNext w:val="0"/>
        <w:keepLines w:val="0"/>
        <w:widowControl w:val="0"/>
        <w:suppressLineNumbers w:val="0"/>
        <w:spacing w:before="156" w:beforeLines="50" w:beforeAutospacing="0" w:after="156" w:afterLines="50" w:afterAutospacing="0" w:line="600" w:lineRule="exact"/>
        <w:ind w:left="1540" w:leftChars="200" w:right="0" w:hanging="1120" w:hangingChars="350"/>
        <w:jc w:val="both"/>
        <w:rPr>
          <w:rFonts w:hint="eastAsia" w:ascii="宋体" w:hAnsi="宋体" w:eastAsia="宋体" w:cs="Times New Roman"/>
          <w:color w:val="auto"/>
          <w:spacing w:val="20"/>
          <w:kern w:val="2"/>
          <w:sz w:val="28"/>
          <w:szCs w:val="28"/>
          <w:highlight w:val="none"/>
          <w:u w:val="single"/>
        </w:rPr>
      </w:pPr>
      <w:r>
        <w:rPr>
          <w:rFonts w:hint="eastAsia" w:ascii="宋体" w:hAnsi="宋体" w:eastAsia="宋体" w:cs="宋体"/>
          <w:color w:val="auto"/>
          <w:spacing w:val="20"/>
          <w:kern w:val="2"/>
          <w:sz w:val="28"/>
          <w:szCs w:val="28"/>
          <w:highlight w:val="none"/>
          <w:lang w:val="en-US" w:eastAsia="zh-CN" w:bidi="ar"/>
        </w:rPr>
        <w:t>协议编号：</w:t>
      </w:r>
      <w:r>
        <w:rPr>
          <w:rFonts w:hint="eastAsia" w:ascii="宋体" w:hAnsi="宋体" w:eastAsia="宋体" w:cs="Times New Roman"/>
          <w:color w:val="auto"/>
          <w:spacing w:val="20"/>
          <w:kern w:val="2"/>
          <w:sz w:val="28"/>
          <w:szCs w:val="28"/>
          <w:highlight w:val="none"/>
          <w:u w:val="single"/>
          <w:lang w:val="en-US" w:eastAsia="zh-CN" w:bidi="ar"/>
        </w:rPr>
        <w:t xml:space="preserve">                        </w:t>
      </w:r>
    </w:p>
    <w:p>
      <w:pPr>
        <w:keepNext w:val="0"/>
        <w:keepLines w:val="0"/>
        <w:widowControl w:val="0"/>
        <w:suppressLineNumbers w:val="0"/>
        <w:spacing w:before="156" w:beforeLines="50" w:beforeAutospacing="0" w:after="156" w:afterLines="50" w:afterAutospacing="0" w:line="600" w:lineRule="exact"/>
        <w:ind w:left="1540" w:leftChars="200" w:right="0" w:hanging="1120" w:hangingChars="350"/>
        <w:jc w:val="both"/>
        <w:rPr>
          <w:rFonts w:hint="eastAsia" w:ascii="宋体" w:hAnsi="宋体" w:eastAsia="宋体" w:cs="Times New Roman"/>
          <w:bCs/>
          <w:color w:val="auto"/>
          <w:spacing w:val="-20"/>
          <w:kern w:val="2"/>
          <w:sz w:val="28"/>
          <w:szCs w:val="28"/>
          <w:highlight w:val="none"/>
          <w:u w:val="single"/>
        </w:rPr>
      </w:pPr>
      <w:r>
        <w:rPr>
          <w:rFonts w:hint="eastAsia" w:ascii="宋体" w:hAnsi="宋体" w:eastAsia="宋体" w:cs="宋体"/>
          <w:color w:val="auto"/>
          <w:spacing w:val="20"/>
          <w:kern w:val="2"/>
          <w:sz w:val="28"/>
          <w:szCs w:val="28"/>
          <w:highlight w:val="none"/>
          <w:lang w:val="en-US" w:eastAsia="zh-CN" w:bidi="ar"/>
        </w:rPr>
        <w:t>甲方（招标人）：</w:t>
      </w:r>
      <w:r>
        <w:rPr>
          <w:rFonts w:hint="eastAsia" w:ascii="宋体" w:hAnsi="宋体" w:eastAsia="宋体" w:cs="宋体"/>
          <w:bCs/>
          <w:color w:val="auto"/>
          <w:spacing w:val="-20"/>
          <w:kern w:val="2"/>
          <w:sz w:val="28"/>
          <w:szCs w:val="28"/>
          <w:highlight w:val="none"/>
          <w:u w:val="single"/>
          <w:lang w:val="en-US" w:eastAsia="zh-CN" w:bidi="ar"/>
        </w:rPr>
        <w:t>广州市重点公共建设项目管理中心</w:t>
      </w:r>
    </w:p>
    <w:p>
      <w:pPr>
        <w:keepNext w:val="0"/>
        <w:keepLines w:val="0"/>
        <w:widowControl w:val="0"/>
        <w:suppressLineNumbers w:val="0"/>
        <w:spacing w:before="156" w:beforeLines="50" w:beforeAutospacing="0" w:after="156" w:afterLines="50" w:afterAutospacing="0" w:line="600" w:lineRule="exact"/>
        <w:ind w:left="1540" w:leftChars="200" w:right="0" w:hanging="1120" w:hangingChars="350"/>
        <w:jc w:val="both"/>
        <w:rPr>
          <w:rFonts w:hint="eastAsia" w:ascii="宋体" w:hAnsi="宋体" w:eastAsia="宋体" w:cs="Times New Roman"/>
          <w:color w:val="auto"/>
          <w:spacing w:val="20"/>
          <w:kern w:val="2"/>
          <w:sz w:val="28"/>
          <w:szCs w:val="28"/>
          <w:highlight w:val="none"/>
          <w:u w:val="single"/>
        </w:rPr>
      </w:pPr>
      <w:r>
        <w:rPr>
          <w:rFonts w:hint="eastAsia" w:ascii="宋体" w:hAnsi="宋体" w:eastAsia="宋体" w:cs="宋体"/>
          <w:color w:val="auto"/>
          <w:spacing w:val="20"/>
          <w:kern w:val="2"/>
          <w:sz w:val="28"/>
          <w:szCs w:val="28"/>
          <w:highlight w:val="none"/>
          <w:lang w:val="en-US" w:eastAsia="zh-CN" w:bidi="ar"/>
        </w:rPr>
        <w:t>乙方（设计方案优胜单位）：</w:t>
      </w:r>
      <w:r>
        <w:rPr>
          <w:rFonts w:hint="eastAsia" w:ascii="宋体" w:hAnsi="宋体" w:eastAsia="宋体" w:cs="Times New Roman"/>
          <w:color w:val="auto"/>
          <w:spacing w:val="20"/>
          <w:kern w:val="2"/>
          <w:sz w:val="28"/>
          <w:szCs w:val="28"/>
          <w:highlight w:val="none"/>
          <w:u w:val="single"/>
          <w:lang w:val="en-US" w:eastAsia="zh-CN" w:bidi="ar"/>
        </w:rPr>
        <w:t xml:space="preserve">                 </w:t>
      </w:r>
    </w:p>
    <w:p>
      <w:pPr>
        <w:keepNext w:val="0"/>
        <w:keepLines w:val="0"/>
        <w:widowControl w:val="0"/>
        <w:suppressLineNumbers w:val="0"/>
        <w:spacing w:before="156" w:beforeLines="50" w:beforeAutospacing="0" w:after="156" w:afterLines="50" w:afterAutospacing="0" w:line="600" w:lineRule="exact"/>
        <w:ind w:left="1540" w:leftChars="200" w:right="0" w:hanging="1120" w:hangingChars="350"/>
        <w:jc w:val="both"/>
        <w:rPr>
          <w:rFonts w:hint="eastAsia" w:ascii="宋体" w:hAnsi="宋体" w:eastAsia="宋体" w:cs="Times New Roman"/>
          <w:color w:val="auto"/>
          <w:spacing w:val="20"/>
          <w:kern w:val="2"/>
          <w:sz w:val="28"/>
          <w:szCs w:val="28"/>
          <w:highlight w:val="none"/>
        </w:rPr>
      </w:pPr>
      <w:r>
        <w:rPr>
          <w:rFonts w:hint="eastAsia" w:ascii="宋体" w:hAnsi="宋体" w:eastAsia="宋体" w:cs="Times New Roman"/>
          <w:color w:val="auto"/>
          <w:spacing w:val="20"/>
          <w:kern w:val="2"/>
          <w:sz w:val="28"/>
          <w:szCs w:val="28"/>
          <w:highlight w:val="none"/>
          <w:lang w:val="en-US" w:eastAsia="zh-CN" w:bidi="ar"/>
        </w:rPr>
        <w:t xml:space="preserve"> </w:t>
      </w:r>
    </w:p>
    <w:p>
      <w:pPr>
        <w:keepNext w:val="0"/>
        <w:keepLines w:val="0"/>
        <w:widowControl w:val="0"/>
        <w:suppressLineNumbers w:val="0"/>
        <w:spacing w:before="156" w:beforeLines="50" w:beforeAutospacing="0" w:after="156" w:afterLines="50" w:afterAutospacing="0" w:line="600" w:lineRule="exact"/>
        <w:ind w:left="0" w:leftChars="0" w:right="0" w:firstLine="1920" w:firstLineChars="600"/>
        <w:jc w:val="both"/>
        <w:rPr>
          <w:rFonts w:hint="eastAsia" w:ascii="宋体" w:hAnsi="宋体" w:eastAsia="宋体" w:cs="Times New Roman"/>
          <w:color w:val="auto"/>
          <w:spacing w:val="20"/>
          <w:kern w:val="2"/>
          <w:sz w:val="28"/>
          <w:szCs w:val="28"/>
          <w:highlight w:val="none"/>
        </w:rPr>
      </w:pPr>
      <w:r>
        <w:rPr>
          <w:rFonts w:hint="eastAsia" w:ascii="宋体" w:hAnsi="宋体" w:eastAsia="宋体" w:cs="宋体"/>
          <w:color w:val="auto"/>
          <w:spacing w:val="20"/>
          <w:kern w:val="2"/>
          <w:sz w:val="28"/>
          <w:szCs w:val="28"/>
          <w:highlight w:val="none"/>
          <w:lang w:val="en-US" w:eastAsia="zh-CN" w:bidi="ar"/>
        </w:rPr>
        <w:t>签约地点：中国广州</w:t>
      </w:r>
    </w:p>
    <w:p>
      <w:pPr>
        <w:keepNext w:val="0"/>
        <w:keepLines w:val="0"/>
        <w:widowControl w:val="0"/>
        <w:suppressLineNumbers w:val="0"/>
        <w:spacing w:before="156" w:beforeLines="50" w:beforeAutospacing="0" w:after="156" w:afterLines="50" w:afterAutospacing="0" w:line="600" w:lineRule="exact"/>
        <w:ind w:left="0" w:leftChars="0" w:right="0" w:firstLine="1920" w:firstLineChars="600"/>
        <w:jc w:val="both"/>
        <w:rPr>
          <w:rFonts w:hint="eastAsia" w:ascii="宋体" w:hAnsi="宋体" w:eastAsia="宋体" w:cs="Times New Roman"/>
          <w:color w:val="auto"/>
          <w:spacing w:val="20"/>
          <w:kern w:val="2"/>
          <w:sz w:val="28"/>
          <w:szCs w:val="28"/>
          <w:highlight w:val="none"/>
        </w:rPr>
      </w:pPr>
      <w:r>
        <w:rPr>
          <w:rFonts w:hint="eastAsia" w:ascii="宋体" w:hAnsi="宋体" w:eastAsia="宋体" w:cs="宋体"/>
          <w:color w:val="auto"/>
          <w:spacing w:val="20"/>
          <w:kern w:val="2"/>
          <w:sz w:val="28"/>
          <w:szCs w:val="28"/>
          <w:highlight w:val="none"/>
          <w:lang w:val="en-US" w:eastAsia="zh-CN" w:bidi="ar"/>
        </w:rPr>
        <w:t>签</w:t>
      </w:r>
      <w:r>
        <w:rPr>
          <w:rFonts w:hint="eastAsia" w:ascii="宋体" w:hAnsi="宋体" w:eastAsia="宋体" w:cs="Times New Roman"/>
          <w:color w:val="auto"/>
          <w:spacing w:val="20"/>
          <w:kern w:val="2"/>
          <w:sz w:val="28"/>
          <w:szCs w:val="28"/>
          <w:highlight w:val="none"/>
          <w:lang w:val="en-US" w:eastAsia="zh-CN" w:bidi="ar"/>
        </w:rPr>
        <w:t xml:space="preserve"> </w:t>
      </w:r>
      <w:r>
        <w:rPr>
          <w:rFonts w:hint="eastAsia" w:ascii="宋体" w:hAnsi="宋体" w:eastAsia="宋体" w:cs="宋体"/>
          <w:color w:val="auto"/>
          <w:spacing w:val="20"/>
          <w:kern w:val="2"/>
          <w:sz w:val="28"/>
          <w:szCs w:val="28"/>
          <w:highlight w:val="none"/>
          <w:lang w:val="en-US" w:eastAsia="zh-CN" w:bidi="ar"/>
        </w:rPr>
        <w:t>订</w:t>
      </w:r>
      <w:r>
        <w:rPr>
          <w:rFonts w:hint="eastAsia" w:ascii="宋体" w:hAnsi="宋体" w:eastAsia="宋体" w:cs="Times New Roman"/>
          <w:color w:val="auto"/>
          <w:spacing w:val="20"/>
          <w:kern w:val="2"/>
          <w:sz w:val="28"/>
          <w:szCs w:val="28"/>
          <w:highlight w:val="none"/>
          <w:lang w:val="en-US" w:eastAsia="zh-CN" w:bidi="ar"/>
        </w:rPr>
        <w:t xml:space="preserve"> </w:t>
      </w:r>
      <w:r>
        <w:rPr>
          <w:rFonts w:hint="eastAsia" w:ascii="宋体" w:hAnsi="宋体" w:eastAsia="宋体" w:cs="宋体"/>
          <w:color w:val="auto"/>
          <w:spacing w:val="20"/>
          <w:kern w:val="2"/>
          <w:sz w:val="28"/>
          <w:szCs w:val="28"/>
          <w:highlight w:val="none"/>
          <w:lang w:val="en-US" w:eastAsia="zh-CN" w:bidi="ar"/>
        </w:rPr>
        <w:t>日</w:t>
      </w:r>
      <w:r>
        <w:rPr>
          <w:rFonts w:hint="eastAsia" w:ascii="宋体" w:hAnsi="宋体" w:eastAsia="宋体" w:cs="Times New Roman"/>
          <w:color w:val="auto"/>
          <w:spacing w:val="20"/>
          <w:kern w:val="2"/>
          <w:sz w:val="28"/>
          <w:szCs w:val="28"/>
          <w:highlight w:val="none"/>
          <w:lang w:val="en-US" w:eastAsia="zh-CN" w:bidi="ar"/>
        </w:rPr>
        <w:t xml:space="preserve"> </w:t>
      </w:r>
      <w:r>
        <w:rPr>
          <w:rFonts w:hint="eastAsia" w:ascii="宋体" w:hAnsi="宋体" w:eastAsia="宋体" w:cs="宋体"/>
          <w:color w:val="auto"/>
          <w:spacing w:val="20"/>
          <w:kern w:val="2"/>
          <w:sz w:val="28"/>
          <w:szCs w:val="28"/>
          <w:highlight w:val="none"/>
          <w:lang w:val="en-US" w:eastAsia="zh-CN" w:bidi="ar"/>
        </w:rPr>
        <w:t>期：二○</w:t>
      </w:r>
      <w:r>
        <w:rPr>
          <w:rFonts w:hint="eastAsia" w:ascii="宋体" w:hAnsi="宋体" w:eastAsia="宋体" w:cs="Times New Roman"/>
          <w:color w:val="auto"/>
          <w:spacing w:val="20"/>
          <w:kern w:val="2"/>
          <w:sz w:val="28"/>
          <w:szCs w:val="28"/>
          <w:highlight w:val="none"/>
          <w:lang w:val="en-US" w:eastAsia="zh-CN" w:bidi="ar"/>
        </w:rPr>
        <w:t xml:space="preserve">   </w:t>
      </w:r>
      <w:r>
        <w:rPr>
          <w:rFonts w:hint="eastAsia" w:ascii="宋体" w:hAnsi="宋体" w:eastAsia="宋体" w:cs="宋体"/>
          <w:color w:val="auto"/>
          <w:spacing w:val="20"/>
          <w:kern w:val="2"/>
          <w:sz w:val="28"/>
          <w:szCs w:val="28"/>
          <w:highlight w:val="none"/>
          <w:lang w:val="en-US" w:eastAsia="zh-CN" w:bidi="ar"/>
        </w:rPr>
        <w:t>年</w:t>
      </w:r>
      <w:r>
        <w:rPr>
          <w:rFonts w:hint="eastAsia" w:ascii="宋体" w:hAnsi="宋体" w:eastAsia="宋体" w:cs="Times New Roman"/>
          <w:color w:val="auto"/>
          <w:spacing w:val="20"/>
          <w:kern w:val="2"/>
          <w:sz w:val="28"/>
          <w:szCs w:val="28"/>
          <w:highlight w:val="none"/>
          <w:u w:val="single"/>
          <w:lang w:val="en-US" w:eastAsia="zh-CN" w:bidi="ar"/>
        </w:rPr>
        <w:t xml:space="preserve">     </w:t>
      </w:r>
      <w:r>
        <w:rPr>
          <w:rFonts w:hint="eastAsia" w:ascii="宋体" w:hAnsi="宋体" w:eastAsia="宋体" w:cs="宋体"/>
          <w:color w:val="auto"/>
          <w:spacing w:val="20"/>
          <w:kern w:val="2"/>
          <w:sz w:val="28"/>
          <w:szCs w:val="28"/>
          <w:highlight w:val="none"/>
          <w:lang w:val="en-US" w:eastAsia="zh-CN" w:bidi="ar"/>
        </w:rPr>
        <w:t>月</w:t>
      </w:r>
      <w:r>
        <w:rPr>
          <w:rFonts w:hint="eastAsia" w:ascii="宋体" w:hAnsi="宋体" w:eastAsia="宋体" w:cs="Times New Roman"/>
          <w:color w:val="auto"/>
          <w:spacing w:val="20"/>
          <w:kern w:val="2"/>
          <w:sz w:val="28"/>
          <w:szCs w:val="28"/>
          <w:highlight w:val="none"/>
          <w:u w:val="single"/>
          <w:lang w:val="en-US" w:eastAsia="zh-CN" w:bidi="ar"/>
        </w:rPr>
        <w:t xml:space="preserve">     </w:t>
      </w:r>
      <w:r>
        <w:rPr>
          <w:rFonts w:hint="eastAsia" w:ascii="宋体" w:hAnsi="宋体" w:eastAsia="宋体" w:cs="宋体"/>
          <w:color w:val="auto"/>
          <w:spacing w:val="20"/>
          <w:kern w:val="2"/>
          <w:sz w:val="28"/>
          <w:szCs w:val="28"/>
          <w:highlight w:val="none"/>
          <w:lang w:val="en-US" w:eastAsia="zh-CN" w:bidi="ar"/>
        </w:rPr>
        <w:t>日</w:t>
      </w:r>
    </w:p>
    <w:p>
      <w:pPr>
        <w:pStyle w:val="6"/>
        <w:widowControl/>
        <w:spacing w:line="240" w:lineRule="exact"/>
        <w:rPr>
          <w:rFonts w:hint="eastAsia" w:ascii="宋体" w:hAnsi="宋体" w:eastAsia="宋体" w:cs="Times New Roman"/>
          <w:b w:val="0"/>
          <w:color w:val="auto"/>
          <w:spacing w:val="-20"/>
          <w:kern w:val="10"/>
          <w:sz w:val="44"/>
          <w:szCs w:val="44"/>
          <w:highlight w:val="none"/>
        </w:rPr>
      </w:pPr>
      <w:r>
        <w:rPr>
          <w:rFonts w:hint="eastAsia" w:ascii="宋体" w:hAnsi="宋体" w:eastAsia="宋体" w:cs="Times New Roman"/>
          <w:b w:val="0"/>
          <w:color w:val="auto"/>
          <w:spacing w:val="-20"/>
          <w:kern w:val="10"/>
          <w:sz w:val="44"/>
          <w:szCs w:val="44"/>
          <w:highlight w:val="none"/>
        </w:rPr>
        <w:t xml:space="preserve"> </w:t>
      </w:r>
    </w:p>
    <w:p>
      <w:pPr>
        <w:keepNext w:val="0"/>
        <w:keepLines w:val="0"/>
        <w:widowControl w:val="0"/>
        <w:suppressLineNumbers w:val="0"/>
        <w:spacing w:before="0" w:beforeAutospacing="0" w:after="0" w:afterAutospacing="0"/>
        <w:ind w:left="0" w:right="0"/>
        <w:jc w:val="both"/>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bidi="ar"/>
        </w:rPr>
        <w:t xml:space="preserve"> </w:t>
      </w:r>
    </w:p>
    <w:p>
      <w:pPr>
        <w:keepNext w:val="0"/>
        <w:keepLines w:val="0"/>
        <w:widowControl w:val="0"/>
        <w:suppressLineNumbers w:val="0"/>
        <w:adjustRightInd w:val="0"/>
        <w:spacing w:before="0" w:beforeAutospacing="0" w:after="0" w:afterAutospacing="0" w:line="360" w:lineRule="atLeast"/>
        <w:ind w:left="0" w:right="0"/>
        <w:jc w:val="both"/>
        <w:rPr>
          <w:rFonts w:hint="eastAsia" w:ascii="宋体" w:hAnsi="宋体" w:eastAsia="宋体" w:cs="宋体"/>
          <w:color w:val="auto"/>
          <w:highlight w:val="none"/>
          <w:lang w:val="en-US"/>
        </w:rPr>
      </w:pPr>
      <w:r>
        <w:rPr>
          <w:rFonts w:hint="eastAsia" w:ascii="宋体" w:hAnsi="宋体" w:eastAsia="宋体" w:cs="Times New Roman"/>
          <w:color w:val="auto"/>
          <w:kern w:val="2"/>
          <w:sz w:val="21"/>
          <w:szCs w:val="21"/>
          <w:highlight w:val="none"/>
          <w:lang w:val="en-US" w:eastAsia="zh-CN" w:bidi="ar"/>
        </w:rPr>
        <w:br w:type="page"/>
      </w:r>
    </w:p>
    <w:p>
      <w:pPr>
        <w:keepNext w:val="0"/>
        <w:keepLines w:val="0"/>
        <w:widowControl w:val="0"/>
        <w:suppressLineNumbers w:val="0"/>
        <w:adjustRightInd w:val="0"/>
        <w:spacing w:before="0" w:beforeAutospacing="0" w:after="0" w:afterAutospacing="0" w:line="360" w:lineRule="auto"/>
        <w:ind w:left="0" w:right="0"/>
        <w:jc w:val="both"/>
        <w:rPr>
          <w:rFonts w:hint="eastAsia" w:ascii="宋体" w:hAnsi="宋体" w:eastAsia="宋体" w:cs="宋体"/>
          <w:color w:val="auto"/>
          <w:szCs w:val="24"/>
          <w:highlight w:val="none"/>
          <w:lang w:val="en-US"/>
        </w:rPr>
      </w:pPr>
      <w:r>
        <w:rPr>
          <w:rFonts w:hint="eastAsia" w:ascii="宋体" w:hAnsi="宋体" w:eastAsia="宋体" w:cs="宋体"/>
          <w:color w:val="auto"/>
          <w:kern w:val="0"/>
          <w:sz w:val="24"/>
          <w:szCs w:val="24"/>
          <w:highlight w:val="none"/>
          <w:lang w:val="en-US" w:eastAsia="zh-CN" w:bidi="ar"/>
        </w:rPr>
        <w:t>甲方：</w:t>
      </w:r>
      <w:r>
        <w:rPr>
          <w:rFonts w:hint="eastAsia" w:ascii="宋体" w:hAnsi="宋体" w:eastAsia="宋体" w:cs="宋体"/>
          <w:color w:val="auto"/>
          <w:kern w:val="0"/>
          <w:sz w:val="24"/>
          <w:szCs w:val="24"/>
          <w:highlight w:val="none"/>
          <w:u w:val="single"/>
          <w:lang w:val="en-US" w:eastAsia="zh-CN" w:bidi="ar"/>
        </w:rPr>
        <w:t>广州市重点公共建设项目管理中心</w:t>
      </w:r>
    </w:p>
    <w:p>
      <w:pPr>
        <w:keepNext w:val="0"/>
        <w:keepLines w:val="0"/>
        <w:widowControl w:val="0"/>
        <w:suppressLineNumbers w:val="0"/>
        <w:adjustRightInd w:val="0"/>
        <w:spacing w:before="0" w:beforeAutospacing="0" w:after="0" w:afterAutospacing="0" w:line="360" w:lineRule="auto"/>
        <w:ind w:left="0" w:right="0"/>
        <w:jc w:val="both"/>
        <w:rPr>
          <w:rFonts w:hint="eastAsia" w:ascii="宋体" w:hAnsi="宋体" w:eastAsia="宋体" w:cs="宋体"/>
          <w:color w:val="auto"/>
          <w:szCs w:val="24"/>
          <w:highlight w:val="none"/>
          <w:lang w:val="en-US"/>
        </w:rPr>
      </w:pPr>
      <w:r>
        <w:rPr>
          <w:rFonts w:hint="eastAsia" w:ascii="宋体" w:hAnsi="宋体" w:eastAsia="宋体" w:cs="宋体"/>
          <w:color w:val="auto"/>
          <w:kern w:val="0"/>
          <w:sz w:val="24"/>
          <w:szCs w:val="24"/>
          <w:highlight w:val="none"/>
          <w:lang w:val="en-US" w:eastAsia="zh-CN" w:bidi="ar"/>
        </w:rPr>
        <w:t>乙方：</w:t>
      </w:r>
      <w:r>
        <w:rPr>
          <w:rFonts w:hint="eastAsia" w:ascii="宋体" w:hAnsi="宋体" w:eastAsia="宋体" w:cs="宋体"/>
          <w:color w:val="auto"/>
          <w:spacing w:val="20"/>
          <w:kern w:val="0"/>
          <w:sz w:val="24"/>
          <w:szCs w:val="24"/>
          <w:highlight w:val="none"/>
          <w:u w:val="single"/>
          <w:lang w:val="en-US" w:eastAsia="zh-CN" w:bidi="ar"/>
        </w:rPr>
        <w:t xml:space="preserve">                  </w:t>
      </w:r>
    </w:p>
    <w:p>
      <w:pPr>
        <w:keepNext w:val="0"/>
        <w:keepLines w:val="0"/>
        <w:widowControl w:val="0"/>
        <w:suppressLineNumbers w:val="0"/>
        <w:adjustRightInd w:val="0"/>
        <w:spacing w:before="0" w:beforeAutospacing="0" w:after="0" w:afterAutospacing="0" w:line="360" w:lineRule="auto"/>
        <w:ind w:left="0" w:right="0" w:firstLine="420" w:firstLineChars="200"/>
        <w:jc w:val="both"/>
        <w:rPr>
          <w:rFonts w:hint="eastAsia" w:ascii="宋体" w:hAnsi="宋体" w:eastAsia="宋体" w:cs="宋体"/>
          <w:color w:val="auto"/>
          <w:szCs w:val="24"/>
          <w:highlight w:val="none"/>
          <w:lang w:val="en-US"/>
        </w:rPr>
      </w:pPr>
    </w:p>
    <w:p>
      <w:pPr>
        <w:keepNext w:val="0"/>
        <w:keepLines w:val="0"/>
        <w:widowControl w:val="0"/>
        <w:suppressLineNumbers w:val="0"/>
        <w:adjustRightInd w:val="0"/>
        <w:spacing w:before="0" w:beforeAutospacing="0" w:after="0" w:afterAutospacing="0" w:line="360" w:lineRule="auto"/>
        <w:ind w:left="0" w:right="0" w:firstLine="480" w:firstLineChars="200"/>
        <w:jc w:val="both"/>
        <w:rPr>
          <w:rFonts w:hint="eastAsia" w:ascii="宋体" w:hAnsi="宋体" w:eastAsia="宋体" w:cs="宋体"/>
          <w:color w:val="auto"/>
          <w:szCs w:val="24"/>
          <w:highlight w:val="none"/>
          <w:lang w:val="en-US"/>
        </w:rPr>
      </w:pPr>
      <w:r>
        <w:rPr>
          <w:rFonts w:hint="eastAsia" w:ascii="宋体" w:hAnsi="宋体" w:eastAsia="宋体" w:cs="宋体"/>
          <w:color w:val="auto"/>
          <w:kern w:val="0"/>
          <w:sz w:val="24"/>
          <w:szCs w:val="24"/>
          <w:highlight w:val="none"/>
          <w:lang w:val="en-US" w:eastAsia="zh-CN" w:bidi="ar"/>
        </w:rPr>
        <w:t>乙方参加由甲方组织的</w:t>
      </w:r>
      <w:r>
        <w:rPr>
          <w:rFonts w:hint="eastAsia" w:ascii="宋体" w:hAnsi="宋体" w:eastAsia="宋体" w:cs="宋体"/>
          <w:b/>
          <w:color w:val="auto"/>
          <w:kern w:val="0"/>
          <w:sz w:val="24"/>
          <w:szCs w:val="24"/>
          <w:highlight w:val="none"/>
          <w:u w:val="single"/>
          <w:lang w:val="en-US" w:eastAsia="zh-CN" w:bidi="ar"/>
        </w:rPr>
        <w:t>广州法治大厦项目勘察设计</w:t>
      </w:r>
      <w:r>
        <w:rPr>
          <w:rFonts w:hint="eastAsia" w:ascii="宋体" w:hAnsi="宋体" w:eastAsia="宋体" w:cs="宋体"/>
          <w:color w:val="auto"/>
          <w:kern w:val="0"/>
          <w:sz w:val="24"/>
          <w:szCs w:val="24"/>
          <w:highlight w:val="none"/>
          <w:lang w:val="en-US" w:eastAsia="zh-CN" w:bidi="ar"/>
        </w:rPr>
        <w:t>，经依法评审，根据招标相关文件的条款约定，由乙方设计的投标设计方案符合下列情况：</w:t>
      </w:r>
    </w:p>
    <w:p>
      <w:pPr>
        <w:keepNext w:val="0"/>
        <w:keepLines w:val="0"/>
        <w:widowControl w:val="0"/>
        <w:suppressLineNumbers w:val="0"/>
        <w:adjustRightInd w:val="0"/>
        <w:spacing w:before="0" w:beforeAutospacing="0" w:after="0" w:afterAutospacing="0" w:line="360" w:lineRule="auto"/>
        <w:ind w:left="0" w:right="0" w:firstLine="480" w:firstLineChars="200"/>
        <w:jc w:val="both"/>
        <w:rPr>
          <w:rFonts w:hint="eastAsia" w:ascii="宋体" w:hAnsi="宋体" w:eastAsia="宋体" w:cs="宋体"/>
          <w:color w:val="auto"/>
          <w:szCs w:val="24"/>
          <w:highlight w:val="none"/>
          <w:lang w:val="en-US"/>
        </w:rPr>
      </w:pPr>
      <w:r>
        <w:rPr>
          <w:rFonts w:hint="eastAsia" w:ascii="宋体" w:hAnsi="宋体" w:eastAsia="宋体" w:cs="宋体"/>
          <w:color w:val="auto"/>
          <w:kern w:val="0"/>
          <w:sz w:val="24"/>
          <w:szCs w:val="24"/>
          <w:highlight w:val="none"/>
          <w:lang w:val="en-US" w:eastAsia="zh-CN" w:bidi="ar"/>
        </w:rPr>
        <w:t>经评审委员会认定，乙方提交的投标设计方案获得设计方案优胜奖第</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名，符合</w:t>
      </w:r>
      <w:r>
        <w:rPr>
          <w:rFonts w:hint="eastAsia" w:ascii="Times New Roman" w:hAnsi="Times New Roman" w:eastAsia="宋体" w:cs="宋体"/>
          <w:color w:val="auto"/>
          <w:kern w:val="0"/>
          <w:sz w:val="24"/>
          <w:szCs w:val="20"/>
          <w:highlight w:val="none"/>
          <w:lang w:val="en-US" w:eastAsia="zh-CN" w:bidi="ar"/>
        </w:rPr>
        <w:t>优胜设计方案</w:t>
      </w:r>
      <w:r>
        <w:rPr>
          <w:rFonts w:hint="eastAsia" w:ascii="宋体" w:hAnsi="宋体" w:eastAsia="宋体" w:cs="宋体"/>
          <w:color w:val="auto"/>
          <w:kern w:val="0"/>
          <w:sz w:val="24"/>
          <w:szCs w:val="24"/>
          <w:highlight w:val="none"/>
          <w:lang w:val="en-US" w:eastAsia="zh-CN" w:bidi="ar"/>
        </w:rPr>
        <w:t>奖励条件。</w:t>
      </w:r>
    </w:p>
    <w:p>
      <w:pPr>
        <w:keepNext w:val="0"/>
        <w:keepLines w:val="0"/>
        <w:widowControl w:val="0"/>
        <w:suppressLineNumbers w:val="0"/>
        <w:adjustRightInd w:val="0"/>
        <w:spacing w:before="0" w:beforeAutospacing="0" w:after="0" w:afterAutospacing="0" w:line="360" w:lineRule="auto"/>
        <w:ind w:left="0" w:right="0" w:firstLine="480" w:firstLineChars="200"/>
        <w:jc w:val="both"/>
        <w:rPr>
          <w:rFonts w:hint="eastAsia" w:ascii="宋体" w:hAnsi="宋体" w:eastAsia="宋体" w:cs="宋体"/>
          <w:color w:val="auto"/>
          <w:szCs w:val="24"/>
          <w:highlight w:val="none"/>
          <w:lang w:val="en-US"/>
        </w:rPr>
      </w:pPr>
      <w:r>
        <w:rPr>
          <w:rFonts w:hint="eastAsia" w:ascii="宋体" w:hAnsi="宋体" w:eastAsia="宋体" w:cs="宋体"/>
          <w:color w:val="auto"/>
          <w:kern w:val="0"/>
          <w:sz w:val="24"/>
          <w:szCs w:val="24"/>
          <w:highlight w:val="none"/>
          <w:lang w:val="en-US" w:eastAsia="zh-CN" w:bidi="ar"/>
        </w:rPr>
        <w:t>经甲乙双方友好协商，就</w:t>
      </w:r>
      <w:r>
        <w:rPr>
          <w:rFonts w:hint="eastAsia" w:ascii="Times New Roman" w:hAnsi="Times New Roman" w:eastAsia="宋体" w:cs="宋体"/>
          <w:color w:val="auto"/>
          <w:kern w:val="0"/>
          <w:sz w:val="24"/>
          <w:szCs w:val="20"/>
          <w:highlight w:val="none"/>
          <w:lang w:val="en-US" w:eastAsia="zh-CN" w:bidi="ar"/>
        </w:rPr>
        <w:t>优胜</w:t>
      </w:r>
      <w:r>
        <w:rPr>
          <w:rFonts w:hint="eastAsia" w:ascii="宋体" w:hAnsi="宋体" w:eastAsia="宋体" w:cs="宋体"/>
          <w:color w:val="auto"/>
          <w:kern w:val="0"/>
          <w:sz w:val="24"/>
          <w:szCs w:val="24"/>
          <w:highlight w:val="none"/>
          <w:lang w:val="en-US" w:eastAsia="zh-CN" w:bidi="ar"/>
        </w:rPr>
        <w:t>设计方案奖励金支付事宜，签订本协议。</w:t>
      </w:r>
    </w:p>
    <w:p>
      <w:pPr>
        <w:keepNext w:val="0"/>
        <w:keepLines w:val="0"/>
        <w:widowControl w:val="0"/>
        <w:suppressLineNumbers w:val="0"/>
        <w:adjustRightInd w:val="0"/>
        <w:spacing w:before="0" w:beforeAutospacing="0" w:after="0" w:afterAutospacing="0" w:line="360" w:lineRule="auto"/>
        <w:ind w:left="0" w:right="0" w:firstLine="482"/>
        <w:jc w:val="both"/>
        <w:rPr>
          <w:rFonts w:hint="eastAsia" w:ascii="宋体" w:hAnsi="宋体" w:eastAsia="宋体" w:cs="宋体"/>
          <w:color w:val="auto"/>
          <w:szCs w:val="24"/>
          <w:highlight w:val="none"/>
          <w:lang w:val="en-US"/>
        </w:rPr>
      </w:pPr>
    </w:p>
    <w:p>
      <w:pPr>
        <w:keepNext w:val="0"/>
        <w:keepLines w:val="0"/>
        <w:widowControl w:val="0"/>
        <w:suppressLineNumbers w:val="0"/>
        <w:adjustRightInd w:val="0"/>
        <w:spacing w:before="0" w:beforeAutospacing="0" w:after="0" w:afterAutospacing="0" w:line="360" w:lineRule="auto"/>
        <w:ind w:left="0" w:right="0"/>
        <w:jc w:val="both"/>
        <w:rPr>
          <w:rFonts w:hint="eastAsia" w:ascii="宋体" w:hAnsi="宋体" w:eastAsia="宋体" w:cs="宋体"/>
          <w:b/>
          <w:bCs w:val="0"/>
          <w:color w:val="auto"/>
          <w:szCs w:val="24"/>
          <w:highlight w:val="none"/>
          <w:lang w:val="en-US"/>
        </w:rPr>
      </w:pPr>
      <w:r>
        <w:rPr>
          <w:rFonts w:hint="eastAsia" w:ascii="宋体" w:hAnsi="宋体" w:eastAsia="宋体" w:cs="宋体"/>
          <w:b/>
          <w:bCs w:val="0"/>
          <w:color w:val="auto"/>
          <w:kern w:val="0"/>
          <w:sz w:val="24"/>
          <w:szCs w:val="24"/>
          <w:highlight w:val="none"/>
          <w:lang w:val="en-US" w:eastAsia="zh-CN" w:bidi="ar"/>
        </w:rPr>
        <w:t>第一条  本协议依据下列文件签订</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szCs w:val="24"/>
          <w:highlight w:val="none"/>
          <w:lang w:val="en-US"/>
        </w:rPr>
      </w:pPr>
      <w:r>
        <w:rPr>
          <w:rFonts w:hint="eastAsia" w:ascii="宋体" w:hAnsi="宋体" w:eastAsia="宋体" w:cs="宋体"/>
          <w:color w:val="auto"/>
          <w:kern w:val="0"/>
          <w:sz w:val="24"/>
          <w:szCs w:val="24"/>
          <w:highlight w:val="none"/>
          <w:lang w:val="en-US" w:eastAsia="zh-CN" w:bidi="ar"/>
        </w:rPr>
        <w:t>1.1广州法治大厦项目勘察设计招标文件、专家评审报告等相关资料。</w:t>
      </w:r>
    </w:p>
    <w:p>
      <w:pPr>
        <w:keepNext w:val="0"/>
        <w:keepLines w:val="0"/>
        <w:widowControl w:val="0"/>
        <w:suppressLineNumbers w:val="0"/>
        <w:adjustRightInd w:val="0"/>
        <w:spacing w:before="0" w:beforeAutospacing="0" w:after="0" w:afterAutospacing="0" w:line="360" w:lineRule="auto"/>
        <w:ind w:left="0" w:right="0" w:firstLine="482"/>
        <w:jc w:val="both"/>
        <w:rPr>
          <w:rFonts w:hint="eastAsia" w:ascii="宋体" w:hAnsi="宋体" w:eastAsia="宋体" w:cs="宋体"/>
          <w:color w:val="auto"/>
          <w:szCs w:val="24"/>
          <w:highlight w:val="none"/>
          <w:lang w:val="en-US"/>
        </w:rPr>
      </w:pPr>
    </w:p>
    <w:p>
      <w:pPr>
        <w:keepNext w:val="0"/>
        <w:keepLines w:val="0"/>
        <w:widowControl w:val="0"/>
        <w:suppressLineNumbers w:val="0"/>
        <w:adjustRightInd w:val="0"/>
        <w:spacing w:before="0" w:beforeAutospacing="0" w:after="0" w:afterAutospacing="0" w:line="360" w:lineRule="auto"/>
        <w:ind w:left="0" w:right="0"/>
        <w:jc w:val="both"/>
        <w:rPr>
          <w:rFonts w:hint="eastAsia" w:ascii="宋体" w:hAnsi="宋体" w:eastAsia="宋体" w:cs="宋体"/>
          <w:b/>
          <w:bCs w:val="0"/>
          <w:color w:val="auto"/>
          <w:szCs w:val="24"/>
          <w:highlight w:val="none"/>
          <w:lang w:val="en-US"/>
        </w:rPr>
      </w:pPr>
      <w:r>
        <w:rPr>
          <w:rFonts w:hint="eastAsia" w:ascii="宋体" w:hAnsi="宋体" w:eastAsia="宋体" w:cs="宋体"/>
          <w:b/>
          <w:bCs w:val="0"/>
          <w:color w:val="auto"/>
          <w:kern w:val="0"/>
          <w:sz w:val="24"/>
          <w:szCs w:val="24"/>
          <w:highlight w:val="none"/>
          <w:lang w:val="en-US" w:eastAsia="zh-CN" w:bidi="ar"/>
        </w:rPr>
        <w:t>第二条  乙方需完成的工作</w:t>
      </w:r>
    </w:p>
    <w:p>
      <w:pPr>
        <w:keepNext w:val="0"/>
        <w:keepLines w:val="0"/>
        <w:widowControl w:val="0"/>
        <w:suppressLineNumbers w:val="0"/>
        <w:adjustRightInd w:val="0"/>
        <w:spacing w:before="0" w:beforeAutospacing="0" w:after="0" w:afterAutospacing="0" w:line="360" w:lineRule="auto"/>
        <w:ind w:left="0" w:right="0"/>
        <w:jc w:val="both"/>
        <w:rPr>
          <w:rFonts w:hint="eastAsia" w:ascii="宋体" w:hAnsi="宋体" w:eastAsia="宋体" w:cs="宋体"/>
          <w:color w:val="auto"/>
          <w:szCs w:val="24"/>
          <w:highlight w:val="none"/>
          <w:lang w:val="en-US"/>
        </w:rPr>
      </w:pPr>
    </w:p>
    <w:p>
      <w:pPr>
        <w:keepNext w:val="0"/>
        <w:keepLines w:val="0"/>
        <w:widowControl w:val="0"/>
        <w:suppressLineNumbers w:val="0"/>
        <w:adjustRightInd w:val="0"/>
        <w:spacing w:before="0" w:beforeAutospacing="0" w:after="0" w:afterAutospacing="0" w:line="360" w:lineRule="auto"/>
        <w:ind w:left="0" w:right="0" w:firstLine="480" w:firstLineChars="200"/>
        <w:jc w:val="both"/>
        <w:rPr>
          <w:rFonts w:hint="eastAsia" w:ascii="宋体" w:hAnsi="宋体" w:eastAsia="宋体" w:cs="宋体"/>
          <w:color w:val="auto"/>
          <w:kern w:val="2"/>
          <w:szCs w:val="24"/>
          <w:highlight w:val="none"/>
          <w:u w:val="single"/>
          <w:lang w:val="en-US" w:bidi="ar"/>
        </w:rPr>
      </w:pPr>
      <w:r>
        <w:rPr>
          <w:rFonts w:hint="eastAsia" w:ascii="宋体" w:hAnsi="宋体" w:eastAsia="宋体" w:cs="宋体"/>
          <w:color w:val="auto"/>
          <w:kern w:val="0"/>
          <w:sz w:val="24"/>
          <w:szCs w:val="24"/>
          <w:highlight w:val="none"/>
          <w:lang w:val="en-US" w:eastAsia="zh-CN" w:bidi="ar"/>
        </w:rPr>
        <w:t>1、乙方</w:t>
      </w:r>
      <w:r>
        <w:rPr>
          <w:rFonts w:hint="eastAsia" w:ascii="宋体" w:hAnsi="宋体" w:eastAsia="宋体" w:cs="宋体"/>
          <w:color w:val="auto"/>
          <w:kern w:val="2"/>
          <w:sz w:val="24"/>
          <w:szCs w:val="24"/>
          <w:highlight w:val="none"/>
          <w:u w:val="single"/>
          <w:lang w:val="en-US" w:eastAsia="zh-CN" w:bidi="ar"/>
        </w:rPr>
        <w:t>配合中标人（若其不是中标人）的设计方案深化提出咨询意见，对设计成果质量进行把关，对成果的可行性及合理性提出优化建议，意见以书面形式（一式4份）提交甲方，直至项目通过方案联审。</w:t>
      </w:r>
    </w:p>
    <w:p>
      <w:pPr>
        <w:keepNext w:val="0"/>
        <w:keepLines w:val="0"/>
        <w:widowControl w:val="0"/>
        <w:suppressLineNumbers w:val="0"/>
        <w:adjustRightInd w:val="0"/>
        <w:spacing w:before="0" w:beforeAutospacing="0" w:after="0" w:afterAutospacing="0" w:line="360" w:lineRule="auto"/>
        <w:ind w:left="0" w:right="0" w:firstLine="480" w:firstLineChars="200"/>
        <w:jc w:val="both"/>
        <w:rPr>
          <w:rFonts w:hint="eastAsia" w:ascii="宋体" w:hAnsi="宋体" w:eastAsia="宋体" w:cs="宋体"/>
          <w:bCs/>
          <w:color w:val="auto"/>
          <w:szCs w:val="24"/>
          <w:highlight w:val="none"/>
          <w:lang w:val="en-US"/>
        </w:rPr>
      </w:pPr>
      <w:r>
        <w:rPr>
          <w:rFonts w:hint="eastAsia" w:ascii="宋体" w:hAnsi="宋体" w:eastAsia="宋体" w:cs="宋体"/>
          <w:bCs/>
          <w:color w:val="auto"/>
          <w:kern w:val="0"/>
          <w:sz w:val="24"/>
          <w:szCs w:val="24"/>
          <w:highlight w:val="none"/>
          <w:lang w:val="en-US" w:eastAsia="zh-CN" w:bidi="ar"/>
        </w:rPr>
        <w:t>2、按甲方通知要求线下参加重大方案汇报会议，主创团队需作为方案优胜团队进行汇报，参与次数不得少于20次</w:t>
      </w:r>
      <w:r>
        <w:rPr>
          <w:rFonts w:hint="default" w:ascii="宋体" w:hAnsi="宋体" w:eastAsia="宋体" w:cs="宋体"/>
          <w:bCs/>
          <w:color w:val="auto"/>
          <w:kern w:val="0"/>
          <w:sz w:val="24"/>
          <w:szCs w:val="24"/>
          <w:highlight w:val="none"/>
          <w:lang w:eastAsia="zh-CN" w:bidi="ar"/>
        </w:rPr>
        <w:t>（</w:t>
      </w:r>
      <w:r>
        <w:rPr>
          <w:rFonts w:hint="eastAsia" w:ascii="宋体" w:hAnsi="宋体" w:eastAsia="宋体" w:cs="宋体"/>
          <w:bCs/>
          <w:color w:val="auto"/>
          <w:kern w:val="0"/>
          <w:sz w:val="24"/>
          <w:szCs w:val="24"/>
          <w:highlight w:val="none"/>
          <w:lang w:val="en-US" w:eastAsia="zh-CN" w:bidi="ar"/>
        </w:rPr>
        <w:t>具体参与次数以甲方要求为准</w:t>
      </w:r>
      <w:r>
        <w:rPr>
          <w:rFonts w:hint="default" w:ascii="宋体" w:hAnsi="宋体" w:eastAsia="宋体" w:cs="宋体"/>
          <w:bCs/>
          <w:color w:val="auto"/>
          <w:kern w:val="0"/>
          <w:sz w:val="24"/>
          <w:szCs w:val="24"/>
          <w:highlight w:val="none"/>
          <w:lang w:eastAsia="zh-CN" w:bidi="ar"/>
        </w:rPr>
        <w:t>）</w:t>
      </w:r>
      <w:r>
        <w:rPr>
          <w:rFonts w:hint="eastAsia" w:ascii="宋体" w:hAnsi="宋体" w:eastAsia="宋体" w:cs="宋体"/>
          <w:bCs/>
          <w:color w:val="auto"/>
          <w:kern w:val="0"/>
          <w:sz w:val="24"/>
          <w:szCs w:val="24"/>
          <w:highlight w:val="none"/>
          <w:lang w:val="en-US" w:eastAsia="zh-CN" w:bidi="ar"/>
        </w:rPr>
        <w:t>。</w:t>
      </w:r>
    </w:p>
    <w:p>
      <w:pPr>
        <w:keepNext w:val="0"/>
        <w:keepLines w:val="0"/>
        <w:widowControl w:val="0"/>
        <w:suppressLineNumbers w:val="0"/>
        <w:adjustRightInd w:val="0"/>
        <w:spacing w:before="0" w:beforeAutospacing="0" w:after="0" w:afterAutospacing="0" w:line="360" w:lineRule="auto"/>
        <w:ind w:left="0" w:right="0" w:firstLine="482"/>
        <w:jc w:val="both"/>
        <w:rPr>
          <w:rFonts w:hint="eastAsia" w:ascii="宋体" w:hAnsi="宋体" w:eastAsia="宋体" w:cs="宋体"/>
          <w:color w:val="auto"/>
          <w:szCs w:val="24"/>
          <w:highlight w:val="none"/>
          <w:lang w:val="en-US"/>
        </w:rPr>
      </w:pPr>
    </w:p>
    <w:p>
      <w:pPr>
        <w:keepNext w:val="0"/>
        <w:keepLines w:val="0"/>
        <w:widowControl w:val="0"/>
        <w:suppressLineNumbers w:val="0"/>
        <w:adjustRightInd w:val="0"/>
        <w:spacing w:before="0" w:beforeAutospacing="0" w:after="0" w:afterAutospacing="0" w:line="360" w:lineRule="auto"/>
        <w:ind w:left="0" w:right="0" w:firstLine="482"/>
        <w:jc w:val="both"/>
        <w:rPr>
          <w:rFonts w:hint="eastAsia" w:ascii="宋体" w:hAnsi="宋体" w:eastAsia="宋体" w:cs="宋体"/>
          <w:b/>
          <w:bCs w:val="0"/>
          <w:color w:val="auto"/>
          <w:szCs w:val="24"/>
          <w:highlight w:val="none"/>
          <w:lang w:val="en-US"/>
        </w:rPr>
      </w:pPr>
      <w:r>
        <w:rPr>
          <w:rFonts w:hint="eastAsia" w:ascii="宋体" w:hAnsi="宋体" w:eastAsia="宋体" w:cs="宋体"/>
          <w:b/>
          <w:bCs w:val="0"/>
          <w:color w:val="auto"/>
          <w:kern w:val="0"/>
          <w:sz w:val="24"/>
          <w:szCs w:val="24"/>
          <w:highlight w:val="none"/>
          <w:lang w:val="en-US" w:eastAsia="zh-CN" w:bidi="ar"/>
        </w:rPr>
        <w:t>第三条  奖励金额</w:t>
      </w:r>
    </w:p>
    <w:p>
      <w:pPr>
        <w:keepNext w:val="0"/>
        <w:keepLines w:val="0"/>
        <w:widowControl w:val="0"/>
        <w:suppressLineNumbers w:val="0"/>
        <w:adjustRightInd w:val="0"/>
        <w:spacing w:before="0" w:beforeAutospacing="0" w:after="0" w:afterAutospacing="0" w:line="360" w:lineRule="auto"/>
        <w:ind w:left="0" w:right="0" w:firstLine="482"/>
        <w:jc w:val="both"/>
        <w:rPr>
          <w:rFonts w:hint="eastAsia" w:ascii="宋体" w:hAnsi="宋体" w:eastAsia="宋体" w:cs="宋体"/>
          <w:color w:val="auto"/>
          <w:szCs w:val="24"/>
          <w:highlight w:val="none"/>
          <w:lang w:val="en-US"/>
        </w:rPr>
      </w:pPr>
      <w:r>
        <w:rPr>
          <w:rFonts w:hint="eastAsia" w:ascii="宋体" w:hAnsi="宋体" w:eastAsia="宋体" w:cs="宋体"/>
          <w:color w:val="auto"/>
          <w:kern w:val="0"/>
          <w:sz w:val="24"/>
          <w:szCs w:val="24"/>
          <w:highlight w:val="none"/>
          <w:lang w:val="en-US" w:eastAsia="zh-CN" w:bidi="ar"/>
        </w:rPr>
        <w:t>3.1 本奖励金额的确定依据：按本协议第一条相关规定执行。</w:t>
      </w:r>
    </w:p>
    <w:p>
      <w:pPr>
        <w:keepNext w:val="0"/>
        <w:keepLines w:val="0"/>
        <w:widowControl w:val="0"/>
        <w:suppressLineNumbers w:val="0"/>
        <w:adjustRightInd w:val="0"/>
        <w:spacing w:before="0" w:beforeAutospacing="0" w:after="0" w:afterAutospacing="0" w:line="360" w:lineRule="auto"/>
        <w:ind w:left="0" w:right="0" w:firstLine="482"/>
        <w:jc w:val="both"/>
        <w:rPr>
          <w:rFonts w:hint="eastAsia" w:ascii="宋体" w:hAnsi="宋体" w:eastAsia="宋体" w:cs="宋体"/>
          <w:color w:val="auto"/>
          <w:szCs w:val="24"/>
          <w:highlight w:val="none"/>
          <w:u w:val="single"/>
          <w:lang w:val="en-US"/>
        </w:rPr>
      </w:pPr>
      <w:r>
        <w:rPr>
          <w:rFonts w:hint="eastAsia" w:ascii="宋体" w:hAnsi="宋体" w:eastAsia="宋体" w:cs="宋体"/>
          <w:color w:val="auto"/>
          <w:kern w:val="0"/>
          <w:sz w:val="24"/>
          <w:szCs w:val="24"/>
          <w:highlight w:val="none"/>
          <w:lang w:val="en-US" w:eastAsia="zh-CN" w:bidi="ar"/>
        </w:rPr>
        <w:t>3.2 奖励金额</w:t>
      </w:r>
      <w:r>
        <w:rPr>
          <w:rFonts w:hint="eastAsia" w:ascii="宋体" w:hAnsi="宋体" w:eastAsia="宋体" w:cs="宋体"/>
          <w:color w:val="auto"/>
          <w:kern w:val="0"/>
          <w:sz w:val="24"/>
          <w:szCs w:val="24"/>
          <w:highlight w:val="none"/>
          <w:u w:val="single"/>
          <w:lang w:val="en-US" w:eastAsia="zh-CN" w:bidi="ar"/>
        </w:rPr>
        <w:t>：       元 。</w:t>
      </w:r>
    </w:p>
    <w:p>
      <w:pPr>
        <w:keepNext w:val="0"/>
        <w:keepLines w:val="0"/>
        <w:widowControl w:val="0"/>
        <w:suppressLineNumbers w:val="0"/>
        <w:adjustRightInd w:val="0"/>
        <w:spacing w:before="0" w:beforeAutospacing="0" w:after="0" w:afterAutospacing="0" w:line="360" w:lineRule="auto"/>
        <w:ind w:left="0" w:right="0" w:firstLine="482"/>
        <w:jc w:val="both"/>
        <w:rPr>
          <w:rFonts w:hint="eastAsia" w:ascii="宋体" w:hAnsi="宋体" w:eastAsia="宋体" w:cs="宋体"/>
          <w:color w:val="auto"/>
          <w:szCs w:val="24"/>
          <w:highlight w:val="none"/>
          <w:lang w:val="en-US"/>
        </w:rPr>
      </w:pPr>
      <w:r>
        <w:rPr>
          <w:rFonts w:hint="eastAsia" w:ascii="宋体" w:hAnsi="宋体" w:eastAsia="宋体" w:cs="宋体"/>
          <w:color w:val="auto"/>
          <w:kern w:val="0"/>
          <w:sz w:val="24"/>
          <w:szCs w:val="24"/>
          <w:highlight w:val="none"/>
          <w:lang w:val="en-US" w:eastAsia="zh-CN" w:bidi="ar"/>
        </w:rPr>
        <w:t>3.3 如确实需要将人民币折算成外币支付的，汇率按照付汇当天银行水单的汇卖价为准。</w:t>
      </w:r>
    </w:p>
    <w:p>
      <w:pPr>
        <w:keepNext w:val="0"/>
        <w:keepLines w:val="0"/>
        <w:widowControl w:val="0"/>
        <w:suppressLineNumbers w:val="0"/>
        <w:adjustRightInd w:val="0"/>
        <w:spacing w:before="0" w:beforeAutospacing="0" w:after="0" w:afterAutospacing="0" w:line="360" w:lineRule="auto"/>
        <w:ind w:left="0" w:right="0" w:firstLine="482"/>
        <w:jc w:val="both"/>
        <w:rPr>
          <w:rFonts w:hint="eastAsia" w:ascii="宋体" w:hAnsi="宋体" w:eastAsia="宋体" w:cs="宋体"/>
          <w:bCs/>
          <w:color w:val="auto"/>
          <w:szCs w:val="24"/>
          <w:highlight w:val="none"/>
          <w:lang w:val="en-US"/>
        </w:rPr>
      </w:pPr>
      <w:r>
        <w:rPr>
          <w:rFonts w:hint="eastAsia" w:ascii="宋体" w:hAnsi="宋体" w:eastAsia="宋体" w:cs="宋体"/>
          <w:bCs/>
          <w:color w:val="auto"/>
          <w:kern w:val="0"/>
          <w:sz w:val="24"/>
          <w:szCs w:val="24"/>
          <w:highlight w:val="none"/>
          <w:lang w:val="en-US" w:eastAsia="zh-CN" w:bidi="ar"/>
        </w:rPr>
        <w:t>3.4 以上</w:t>
      </w:r>
      <w:r>
        <w:rPr>
          <w:rFonts w:hint="eastAsia" w:ascii="宋体" w:hAnsi="宋体" w:eastAsia="宋体" w:cs="宋体"/>
          <w:color w:val="auto"/>
          <w:kern w:val="0"/>
          <w:sz w:val="24"/>
          <w:szCs w:val="24"/>
          <w:highlight w:val="none"/>
          <w:lang w:val="en-US" w:eastAsia="zh-CN" w:bidi="ar"/>
        </w:rPr>
        <w:t>奖励金</w:t>
      </w:r>
      <w:r>
        <w:rPr>
          <w:rFonts w:hint="eastAsia" w:ascii="宋体" w:hAnsi="宋体" w:eastAsia="宋体" w:cs="宋体"/>
          <w:bCs/>
          <w:color w:val="auto"/>
          <w:kern w:val="0"/>
          <w:sz w:val="24"/>
          <w:szCs w:val="24"/>
          <w:highlight w:val="none"/>
          <w:lang w:val="en-US" w:eastAsia="zh-CN" w:bidi="ar"/>
        </w:rPr>
        <w:t>为含税金额。</w:t>
      </w:r>
    </w:p>
    <w:p>
      <w:pPr>
        <w:keepNext w:val="0"/>
        <w:keepLines w:val="0"/>
        <w:widowControl w:val="0"/>
        <w:suppressLineNumbers w:val="0"/>
        <w:adjustRightInd w:val="0"/>
        <w:spacing w:before="0" w:beforeAutospacing="0" w:after="0" w:afterAutospacing="0" w:line="360" w:lineRule="auto"/>
        <w:ind w:left="0" w:right="0" w:firstLine="482"/>
        <w:jc w:val="both"/>
        <w:rPr>
          <w:rFonts w:hint="eastAsia" w:ascii="宋体" w:hAnsi="宋体" w:eastAsia="宋体" w:cs="宋体"/>
          <w:bCs/>
          <w:color w:val="auto"/>
          <w:szCs w:val="24"/>
          <w:highlight w:val="none"/>
          <w:lang w:val="en-US"/>
        </w:rPr>
      </w:pPr>
      <w:r>
        <w:rPr>
          <w:rFonts w:hint="eastAsia" w:ascii="宋体" w:hAnsi="宋体" w:eastAsia="宋体" w:cs="宋体"/>
          <w:bCs/>
          <w:color w:val="auto"/>
          <w:kern w:val="0"/>
          <w:sz w:val="24"/>
          <w:szCs w:val="24"/>
          <w:highlight w:val="none"/>
          <w:lang w:val="en-US" w:eastAsia="zh-CN" w:bidi="ar"/>
        </w:rPr>
        <w:t>3.5 支付</w:t>
      </w:r>
      <w:r>
        <w:rPr>
          <w:rFonts w:hint="eastAsia" w:ascii="宋体" w:hAnsi="宋体" w:eastAsia="宋体" w:cs="宋体"/>
          <w:color w:val="auto"/>
          <w:kern w:val="0"/>
          <w:sz w:val="24"/>
          <w:szCs w:val="24"/>
          <w:highlight w:val="none"/>
          <w:lang w:val="en-US" w:eastAsia="zh-CN" w:bidi="ar"/>
        </w:rPr>
        <w:t>奖励金</w:t>
      </w:r>
      <w:r>
        <w:rPr>
          <w:rFonts w:hint="eastAsia" w:ascii="宋体" w:hAnsi="宋体" w:eastAsia="宋体" w:cs="宋体"/>
          <w:bCs/>
          <w:color w:val="auto"/>
          <w:kern w:val="0"/>
          <w:sz w:val="24"/>
          <w:szCs w:val="24"/>
          <w:highlight w:val="none"/>
          <w:lang w:val="en-US" w:eastAsia="zh-CN" w:bidi="ar"/>
        </w:rPr>
        <w:t>后乙方提交的所有方案及相关资料、文件（含过程文件，包括文件、资料图纸、数据等）的知识产权和所有权归甲方所有。</w:t>
      </w:r>
    </w:p>
    <w:p>
      <w:pPr>
        <w:keepNext w:val="0"/>
        <w:keepLines w:val="0"/>
        <w:widowControl w:val="0"/>
        <w:suppressLineNumbers w:val="0"/>
        <w:adjustRightInd w:val="0"/>
        <w:spacing w:before="0" w:beforeAutospacing="0" w:after="0" w:afterAutospacing="0" w:line="360" w:lineRule="auto"/>
        <w:ind w:left="0" w:right="0" w:firstLine="482"/>
        <w:jc w:val="both"/>
        <w:rPr>
          <w:rFonts w:hint="eastAsia" w:ascii="宋体" w:hAnsi="宋体" w:eastAsia="宋体" w:cs="宋体"/>
          <w:bCs/>
          <w:color w:val="auto"/>
          <w:szCs w:val="24"/>
          <w:highlight w:val="none"/>
          <w:lang w:val="en-US"/>
        </w:rPr>
      </w:pPr>
      <w:r>
        <w:rPr>
          <w:rFonts w:hint="eastAsia" w:ascii="宋体" w:hAnsi="宋体" w:eastAsia="宋体" w:cs="宋体"/>
          <w:bCs/>
          <w:color w:val="auto"/>
          <w:kern w:val="0"/>
          <w:sz w:val="24"/>
          <w:szCs w:val="24"/>
          <w:highlight w:val="none"/>
          <w:lang w:val="en-US" w:eastAsia="zh-CN" w:bidi="ar"/>
        </w:rPr>
        <w:t>3.6 若乙方不符合本项目的投标单位资格要求，或在投标文件中有作假、违规行为，一经核实，即取消乙方的获奖资格；或乙方提交</w:t>
      </w:r>
      <w:r>
        <w:rPr>
          <w:rFonts w:hint="eastAsia" w:ascii="宋体" w:hAnsi="宋体" w:eastAsia="宋体" w:cs="宋体"/>
          <w:color w:val="auto"/>
          <w:kern w:val="0"/>
          <w:sz w:val="24"/>
          <w:szCs w:val="24"/>
          <w:highlight w:val="none"/>
          <w:lang w:val="en-US" w:eastAsia="zh-CN" w:bidi="ar"/>
        </w:rPr>
        <w:t>的设计方案经评审委员会审查视为无效成</w:t>
      </w:r>
      <w:r>
        <w:rPr>
          <w:rFonts w:hint="eastAsia" w:ascii="宋体" w:hAnsi="宋体" w:eastAsia="宋体" w:cs="宋体"/>
          <w:bCs/>
          <w:color w:val="auto"/>
          <w:kern w:val="0"/>
          <w:sz w:val="24"/>
          <w:szCs w:val="24"/>
          <w:highlight w:val="none"/>
          <w:lang w:val="en-US" w:eastAsia="zh-CN" w:bidi="ar"/>
        </w:rPr>
        <w:t>果，甲方有权不向乙方支付奖励金，并要求乙方赔偿甲方因此遭受的损失。</w:t>
      </w:r>
    </w:p>
    <w:p>
      <w:pPr>
        <w:keepNext w:val="0"/>
        <w:keepLines w:val="0"/>
        <w:widowControl w:val="0"/>
        <w:suppressLineNumbers w:val="0"/>
        <w:adjustRightInd w:val="0"/>
        <w:spacing w:before="0" w:beforeAutospacing="0" w:after="0" w:afterAutospacing="0" w:line="360" w:lineRule="auto"/>
        <w:ind w:left="0" w:right="0" w:firstLine="482"/>
        <w:jc w:val="both"/>
        <w:rPr>
          <w:rFonts w:hint="eastAsia" w:ascii="宋体" w:hAnsi="宋体" w:eastAsia="宋体" w:cs="宋体"/>
          <w:color w:val="auto"/>
          <w:szCs w:val="24"/>
          <w:highlight w:val="none"/>
          <w:lang w:val="en-US"/>
        </w:rPr>
      </w:pPr>
    </w:p>
    <w:p>
      <w:pPr>
        <w:keepNext w:val="0"/>
        <w:keepLines w:val="0"/>
        <w:widowControl w:val="0"/>
        <w:suppressLineNumbers w:val="0"/>
        <w:adjustRightInd w:val="0"/>
        <w:spacing w:before="0" w:beforeAutospacing="0" w:after="0" w:afterAutospacing="0" w:line="360" w:lineRule="auto"/>
        <w:ind w:left="0" w:right="0" w:firstLine="482"/>
        <w:jc w:val="both"/>
        <w:rPr>
          <w:rFonts w:hint="eastAsia" w:ascii="宋体" w:hAnsi="宋体" w:eastAsia="宋体" w:cs="宋体"/>
          <w:b/>
          <w:bCs w:val="0"/>
          <w:color w:val="auto"/>
          <w:szCs w:val="24"/>
          <w:highlight w:val="none"/>
          <w:lang w:val="en-US"/>
        </w:rPr>
      </w:pPr>
      <w:r>
        <w:rPr>
          <w:rFonts w:hint="eastAsia" w:ascii="宋体" w:hAnsi="宋体" w:eastAsia="宋体" w:cs="宋体"/>
          <w:b/>
          <w:bCs w:val="0"/>
          <w:color w:val="auto"/>
          <w:kern w:val="0"/>
          <w:sz w:val="24"/>
          <w:szCs w:val="24"/>
          <w:highlight w:val="none"/>
          <w:lang w:val="en-US" w:eastAsia="zh-CN" w:bidi="ar"/>
        </w:rPr>
        <w:t>第四条  支付时间及方式</w:t>
      </w:r>
    </w:p>
    <w:p>
      <w:pPr>
        <w:keepNext w:val="0"/>
        <w:keepLines w:val="0"/>
        <w:widowControl w:val="0"/>
        <w:suppressLineNumbers w:val="0"/>
        <w:tabs>
          <w:tab w:val="left" w:pos="993"/>
        </w:tabs>
        <w:adjustRightInd w:val="0"/>
        <w:spacing w:before="0" w:beforeAutospacing="0" w:after="0" w:afterAutospacing="0" w:line="360" w:lineRule="auto"/>
        <w:ind w:left="0" w:right="0" w:firstLine="482"/>
        <w:jc w:val="both"/>
        <w:rPr>
          <w:rFonts w:hint="eastAsia" w:ascii="宋体" w:hAnsi="宋体" w:eastAsia="宋体" w:cs="宋体"/>
          <w:color w:val="auto"/>
          <w:szCs w:val="24"/>
          <w:highlight w:val="none"/>
          <w:lang w:val="en-US"/>
        </w:rPr>
      </w:pPr>
      <w:r>
        <w:rPr>
          <w:rFonts w:hint="eastAsia" w:ascii="宋体" w:hAnsi="宋体" w:eastAsia="宋体" w:cs="宋体"/>
          <w:bCs/>
          <w:color w:val="auto"/>
          <w:kern w:val="0"/>
          <w:sz w:val="24"/>
          <w:szCs w:val="24"/>
          <w:highlight w:val="none"/>
          <w:lang w:val="en-US" w:eastAsia="zh-CN" w:bidi="ar"/>
        </w:rPr>
        <w:t>4.1支付时间：</w:t>
      </w:r>
      <w:r>
        <w:rPr>
          <w:rFonts w:hint="eastAsia" w:ascii="宋体" w:hAnsi="宋体" w:eastAsia="宋体" w:cs="宋体"/>
          <w:color w:val="auto"/>
          <w:kern w:val="0"/>
          <w:sz w:val="24"/>
          <w:szCs w:val="24"/>
          <w:highlight w:val="none"/>
          <w:lang w:val="en-US" w:eastAsia="zh-CN" w:bidi="ar"/>
        </w:rPr>
        <w:t>签订《优胜设计方案奖励协议》后，支付本协议奖励金额的60%；本项目取得方案联审后，支付本协议奖励金剩余金额。</w:t>
      </w:r>
    </w:p>
    <w:p>
      <w:pPr>
        <w:keepNext w:val="0"/>
        <w:keepLines w:val="0"/>
        <w:widowControl w:val="0"/>
        <w:suppressLineNumbers w:val="0"/>
        <w:adjustRightInd w:val="0"/>
        <w:spacing w:before="0" w:beforeAutospacing="0" w:after="0" w:afterAutospacing="0" w:line="360" w:lineRule="auto"/>
        <w:ind w:left="0" w:right="0" w:firstLine="482"/>
        <w:jc w:val="both"/>
        <w:rPr>
          <w:rFonts w:hint="eastAsia" w:ascii="宋体" w:hAnsi="宋体" w:eastAsia="宋体" w:cs="宋体"/>
          <w:bCs/>
          <w:color w:val="auto"/>
          <w:szCs w:val="24"/>
          <w:highlight w:val="none"/>
          <w:lang w:val="en-US"/>
        </w:rPr>
      </w:pPr>
      <w:r>
        <w:rPr>
          <w:rFonts w:hint="eastAsia" w:ascii="宋体" w:hAnsi="宋体" w:eastAsia="宋体" w:cs="宋体"/>
          <w:bCs/>
          <w:color w:val="auto"/>
          <w:kern w:val="0"/>
          <w:sz w:val="24"/>
          <w:szCs w:val="24"/>
          <w:highlight w:val="none"/>
          <w:lang w:val="en-US" w:eastAsia="zh-CN" w:bidi="ar"/>
        </w:rPr>
        <w:t>4.2 乙方为中国境内个人及企业的，应自行办理完税手续，并提供有效的税局发票；乙方为中国境外个人及企业的，应提供发票并办理中国境内完税手续（甲方可协助乙方办理中国境内相关完税手续）。</w:t>
      </w:r>
    </w:p>
    <w:p>
      <w:pPr>
        <w:keepNext w:val="0"/>
        <w:keepLines w:val="0"/>
        <w:widowControl w:val="0"/>
        <w:suppressLineNumbers w:val="0"/>
        <w:adjustRightInd w:val="0"/>
        <w:spacing w:before="0" w:beforeAutospacing="0" w:after="0" w:afterAutospacing="0" w:line="360" w:lineRule="auto"/>
        <w:ind w:left="0" w:right="0" w:firstLine="482"/>
        <w:jc w:val="both"/>
        <w:rPr>
          <w:rFonts w:hint="eastAsia" w:ascii="宋体" w:hAnsi="宋体" w:eastAsia="宋体" w:cs="宋体"/>
          <w:color w:val="auto"/>
          <w:szCs w:val="24"/>
          <w:highlight w:val="none"/>
          <w:lang w:val="en-US"/>
        </w:rPr>
      </w:pPr>
    </w:p>
    <w:p>
      <w:pPr>
        <w:keepNext w:val="0"/>
        <w:keepLines w:val="0"/>
        <w:widowControl w:val="0"/>
        <w:suppressLineNumbers w:val="0"/>
        <w:adjustRightInd w:val="0"/>
        <w:spacing w:before="0" w:beforeAutospacing="0" w:after="0" w:afterAutospacing="0" w:line="360" w:lineRule="auto"/>
        <w:ind w:left="0" w:right="0" w:firstLine="482"/>
        <w:jc w:val="both"/>
        <w:rPr>
          <w:rFonts w:hint="eastAsia" w:ascii="宋体" w:hAnsi="宋体" w:eastAsia="宋体" w:cs="宋体"/>
          <w:b/>
          <w:bCs w:val="0"/>
          <w:color w:val="auto"/>
          <w:szCs w:val="24"/>
          <w:highlight w:val="none"/>
          <w:lang w:val="en-US"/>
        </w:rPr>
      </w:pPr>
      <w:r>
        <w:rPr>
          <w:rFonts w:hint="eastAsia" w:ascii="宋体" w:hAnsi="宋体" w:eastAsia="宋体" w:cs="宋体"/>
          <w:b/>
          <w:bCs w:val="0"/>
          <w:color w:val="auto"/>
          <w:kern w:val="0"/>
          <w:sz w:val="24"/>
          <w:szCs w:val="24"/>
          <w:highlight w:val="none"/>
          <w:lang w:val="en-US" w:eastAsia="zh-CN" w:bidi="ar"/>
        </w:rPr>
        <w:t>第五条  双方权利与义务</w:t>
      </w:r>
    </w:p>
    <w:p>
      <w:pPr>
        <w:keepNext w:val="0"/>
        <w:keepLines w:val="0"/>
        <w:widowControl w:val="0"/>
        <w:suppressLineNumbers w:val="0"/>
        <w:adjustRightInd w:val="0"/>
        <w:spacing w:before="0" w:beforeAutospacing="0" w:after="0" w:afterAutospacing="0" w:line="360" w:lineRule="auto"/>
        <w:ind w:left="0" w:right="0" w:firstLine="482"/>
        <w:jc w:val="both"/>
        <w:rPr>
          <w:rFonts w:hint="eastAsia" w:ascii="宋体" w:hAnsi="宋体" w:eastAsia="宋体" w:cs="宋体"/>
          <w:b/>
          <w:bCs w:val="0"/>
          <w:color w:val="auto"/>
          <w:szCs w:val="24"/>
          <w:highlight w:val="none"/>
          <w:lang w:val="en-US"/>
        </w:rPr>
      </w:pPr>
      <w:r>
        <w:rPr>
          <w:rFonts w:hint="eastAsia" w:ascii="宋体" w:hAnsi="宋体" w:eastAsia="宋体" w:cs="宋体"/>
          <w:b/>
          <w:bCs w:val="0"/>
          <w:color w:val="auto"/>
          <w:kern w:val="0"/>
          <w:sz w:val="24"/>
          <w:szCs w:val="24"/>
          <w:highlight w:val="none"/>
          <w:lang w:val="en-US" w:eastAsia="zh-CN" w:bidi="ar"/>
        </w:rPr>
        <w:t>5.1 甲方权利与义务</w:t>
      </w:r>
    </w:p>
    <w:p>
      <w:pPr>
        <w:keepNext w:val="0"/>
        <w:keepLines w:val="0"/>
        <w:widowControl w:val="0"/>
        <w:suppressLineNumbers w:val="0"/>
        <w:tabs>
          <w:tab w:val="left" w:pos="993"/>
        </w:tabs>
        <w:adjustRightInd w:val="0"/>
        <w:spacing w:before="0" w:beforeAutospacing="0" w:after="0" w:afterAutospacing="0" w:line="360" w:lineRule="auto"/>
        <w:ind w:left="0" w:right="0" w:firstLine="482"/>
        <w:jc w:val="both"/>
        <w:rPr>
          <w:rFonts w:hint="eastAsia" w:ascii="宋体" w:hAnsi="宋体" w:eastAsia="宋体" w:cs="宋体"/>
          <w:bCs/>
          <w:color w:val="auto"/>
          <w:szCs w:val="24"/>
          <w:highlight w:val="none"/>
          <w:lang w:val="en-US"/>
        </w:rPr>
      </w:pPr>
      <w:r>
        <w:rPr>
          <w:rFonts w:hint="eastAsia" w:ascii="宋体" w:hAnsi="宋体" w:eastAsia="宋体" w:cs="宋体"/>
          <w:bCs/>
          <w:color w:val="auto"/>
          <w:kern w:val="0"/>
          <w:sz w:val="24"/>
          <w:szCs w:val="24"/>
          <w:highlight w:val="none"/>
          <w:lang w:val="en-US" w:eastAsia="zh-CN" w:bidi="ar"/>
        </w:rPr>
        <w:t>（1）甲方应按协议约定支付</w:t>
      </w:r>
      <w:r>
        <w:rPr>
          <w:rFonts w:hint="eastAsia" w:ascii="宋体" w:hAnsi="宋体" w:eastAsia="宋体" w:cs="宋体"/>
          <w:color w:val="auto"/>
          <w:kern w:val="0"/>
          <w:sz w:val="24"/>
          <w:szCs w:val="24"/>
          <w:highlight w:val="none"/>
          <w:lang w:val="en-US" w:eastAsia="zh-CN" w:bidi="ar"/>
        </w:rPr>
        <w:t>优胜设计方案</w:t>
      </w:r>
      <w:r>
        <w:rPr>
          <w:rFonts w:hint="eastAsia" w:ascii="宋体" w:hAnsi="宋体" w:eastAsia="宋体" w:cs="宋体"/>
          <w:bCs/>
          <w:color w:val="auto"/>
          <w:kern w:val="0"/>
          <w:sz w:val="24"/>
          <w:szCs w:val="24"/>
          <w:highlight w:val="none"/>
          <w:lang w:val="en-US" w:eastAsia="zh-CN" w:bidi="ar"/>
        </w:rPr>
        <w:t>奖励金。</w:t>
      </w:r>
    </w:p>
    <w:p>
      <w:pPr>
        <w:keepNext w:val="0"/>
        <w:keepLines w:val="0"/>
        <w:widowControl w:val="0"/>
        <w:suppressLineNumbers w:val="0"/>
        <w:adjustRightInd w:val="0"/>
        <w:spacing w:before="0" w:beforeAutospacing="0" w:after="0" w:afterAutospacing="0" w:line="360" w:lineRule="auto"/>
        <w:ind w:left="0" w:right="0" w:firstLine="482"/>
        <w:jc w:val="both"/>
        <w:rPr>
          <w:rFonts w:hint="eastAsia" w:ascii="宋体" w:hAnsi="宋体" w:eastAsia="宋体" w:cs="宋体"/>
          <w:color w:val="auto"/>
          <w:szCs w:val="24"/>
          <w:highlight w:val="none"/>
          <w:lang w:val="en-US"/>
        </w:rPr>
      </w:pPr>
      <w:r>
        <w:rPr>
          <w:rFonts w:hint="eastAsia" w:ascii="宋体" w:hAnsi="宋体" w:eastAsia="宋体" w:cs="宋体"/>
          <w:bCs/>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甲方在支付奖励金50%后，乙方的</w:t>
      </w:r>
      <w:r>
        <w:rPr>
          <w:rFonts w:hint="eastAsia" w:ascii="宋体" w:hAnsi="宋体" w:eastAsia="宋体" w:cs="宋体"/>
          <w:bCs/>
          <w:color w:val="auto"/>
          <w:kern w:val="0"/>
          <w:sz w:val="24"/>
          <w:szCs w:val="24"/>
          <w:highlight w:val="none"/>
          <w:lang w:val="en-US" w:eastAsia="zh-CN" w:bidi="ar"/>
        </w:rPr>
        <w:t>设计方案视为甲方委托创作的作品，</w:t>
      </w:r>
      <w:r>
        <w:rPr>
          <w:rFonts w:hint="eastAsia" w:ascii="宋体" w:hAnsi="宋体" w:eastAsia="宋体" w:cs="宋体"/>
          <w:color w:val="auto"/>
          <w:kern w:val="0"/>
          <w:sz w:val="24"/>
          <w:szCs w:val="24"/>
          <w:highlight w:val="none"/>
          <w:lang w:val="en-US" w:eastAsia="zh-CN" w:bidi="ar"/>
        </w:rPr>
        <w:t>乙方设计方案的著作权、版权、专利权和使用权</w:t>
      </w:r>
      <w:r>
        <w:rPr>
          <w:rFonts w:hint="eastAsia" w:ascii="宋体" w:hAnsi="宋体" w:eastAsia="宋体" w:cs="宋体"/>
          <w:bCs/>
          <w:color w:val="auto"/>
          <w:kern w:val="0"/>
          <w:sz w:val="24"/>
          <w:szCs w:val="24"/>
          <w:highlight w:val="none"/>
          <w:lang w:val="en-US" w:eastAsia="zh-CN" w:bidi="ar"/>
        </w:rPr>
        <w:t>归甲方所有，署名权除外</w:t>
      </w:r>
      <w:r>
        <w:rPr>
          <w:rFonts w:hint="eastAsia" w:ascii="宋体" w:hAnsi="宋体" w:eastAsia="宋体" w:cs="宋体"/>
          <w:color w:val="auto"/>
          <w:kern w:val="0"/>
          <w:sz w:val="24"/>
          <w:szCs w:val="24"/>
          <w:highlight w:val="none"/>
          <w:lang w:val="en-US" w:eastAsia="zh-CN" w:bidi="ar"/>
        </w:rPr>
        <w:t>。</w:t>
      </w:r>
    </w:p>
    <w:p>
      <w:pPr>
        <w:keepNext w:val="0"/>
        <w:keepLines w:val="0"/>
        <w:widowControl w:val="0"/>
        <w:suppressLineNumbers w:val="0"/>
        <w:tabs>
          <w:tab w:val="left" w:pos="993"/>
        </w:tabs>
        <w:adjustRightInd w:val="0"/>
        <w:spacing w:before="0" w:beforeAutospacing="0" w:after="0" w:afterAutospacing="0" w:line="360" w:lineRule="auto"/>
        <w:ind w:left="0" w:right="0" w:firstLine="482"/>
        <w:jc w:val="both"/>
        <w:rPr>
          <w:rFonts w:hint="default" w:ascii="宋体" w:hAnsi="宋体" w:eastAsia="宋体" w:cs="宋体"/>
          <w:color w:val="auto"/>
          <w:kern w:val="2"/>
          <w:sz w:val="21"/>
          <w:szCs w:val="21"/>
          <w:highlight w:val="none"/>
        </w:rPr>
      </w:pPr>
      <w:r>
        <w:rPr>
          <w:rFonts w:hint="eastAsia" w:ascii="宋体" w:hAnsi="宋体" w:eastAsia="宋体" w:cs="宋体"/>
          <w:bCs/>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甲方（或经甲方许可时，甲方委托的第三方）有权自由使用、修改乙方的设计成果。未经甲方许可，乙方及任何第三方不得使用或修改该设计成果。甲方（或经甲方许可时，甲方委托的第三方）修改乙方设计成果而产生的设计成果，其著作权归甲方所有。若甲方（或经甲方许可时，甲方委托的第三方）修改乙方设计成果时，乙方共同参与修改过程，提出咨询、优化意见等，修改原乙方设计成果而产生的方案设计阶段成果的著作权仍归甲方所有，但甲方许可并委托其修改乙方设计成果的第三方与乙方均有署名权，署名顺序不做固定，具有署名权的各方均有权在对外宣传等用途中以对自身有利的方式调整署名顺序，各方互不持异议。</w:t>
      </w:r>
    </w:p>
    <w:p>
      <w:pPr>
        <w:keepNext w:val="0"/>
        <w:keepLines w:val="0"/>
        <w:widowControl w:val="0"/>
        <w:suppressLineNumbers w:val="0"/>
        <w:tabs>
          <w:tab w:val="left" w:pos="993"/>
        </w:tabs>
        <w:adjustRightInd w:val="0"/>
        <w:spacing w:before="0" w:beforeAutospacing="0" w:after="0" w:afterAutospacing="0" w:line="360" w:lineRule="auto"/>
        <w:ind w:left="0" w:right="0" w:firstLine="482"/>
        <w:jc w:val="both"/>
        <w:rPr>
          <w:rFonts w:hint="eastAsia" w:ascii="宋体" w:hAnsi="宋体" w:eastAsia="宋体" w:cs="宋体"/>
          <w:color w:val="auto"/>
          <w:szCs w:val="24"/>
          <w:highlight w:val="none"/>
          <w:lang w:val="en-US"/>
        </w:rPr>
      </w:pPr>
    </w:p>
    <w:p>
      <w:pPr>
        <w:keepNext w:val="0"/>
        <w:keepLines w:val="0"/>
        <w:widowControl w:val="0"/>
        <w:suppressLineNumbers w:val="0"/>
        <w:tabs>
          <w:tab w:val="left" w:pos="993"/>
        </w:tabs>
        <w:adjustRightInd w:val="0"/>
        <w:spacing w:before="0" w:beforeAutospacing="0" w:after="0" w:afterAutospacing="0" w:line="360" w:lineRule="auto"/>
        <w:ind w:left="0" w:right="0" w:firstLine="482"/>
        <w:jc w:val="both"/>
        <w:rPr>
          <w:rFonts w:hint="eastAsia" w:ascii="宋体" w:hAnsi="宋体" w:eastAsia="宋体" w:cs="宋体"/>
          <w:bCs/>
          <w:color w:val="auto"/>
          <w:szCs w:val="24"/>
          <w:highlight w:val="none"/>
          <w:lang w:val="en-US"/>
        </w:rPr>
      </w:pPr>
      <w:r>
        <w:rPr>
          <w:rFonts w:hint="eastAsia" w:ascii="宋体" w:hAnsi="宋体" w:eastAsia="宋体" w:cs="宋体"/>
          <w:color w:val="auto"/>
          <w:kern w:val="0"/>
          <w:sz w:val="24"/>
          <w:szCs w:val="24"/>
          <w:highlight w:val="none"/>
          <w:lang w:val="en-US" w:eastAsia="zh-CN" w:bidi="ar"/>
        </w:rPr>
        <w:t>（4）乙方违反本协议约定的，甲方有权单方解除本协议，将乙方纳入甲方的不诚信供应商名单，追究乙方的违约赔偿责任。</w:t>
      </w:r>
    </w:p>
    <w:p>
      <w:pPr>
        <w:keepNext w:val="0"/>
        <w:keepLines w:val="0"/>
        <w:widowControl w:val="0"/>
        <w:suppressLineNumbers w:val="0"/>
        <w:tabs>
          <w:tab w:val="left" w:pos="993"/>
        </w:tabs>
        <w:adjustRightInd w:val="0"/>
        <w:spacing w:before="0" w:beforeAutospacing="0" w:after="0" w:afterAutospacing="0" w:line="360" w:lineRule="auto"/>
        <w:ind w:left="0" w:right="0"/>
        <w:jc w:val="both"/>
        <w:rPr>
          <w:rFonts w:hint="eastAsia" w:ascii="宋体" w:hAnsi="宋体" w:eastAsia="宋体" w:cs="宋体"/>
          <w:b/>
          <w:bCs w:val="0"/>
          <w:color w:val="auto"/>
          <w:szCs w:val="24"/>
          <w:highlight w:val="none"/>
          <w:lang w:val="en-US"/>
        </w:rPr>
      </w:pPr>
    </w:p>
    <w:p>
      <w:pPr>
        <w:keepNext w:val="0"/>
        <w:keepLines w:val="0"/>
        <w:widowControl w:val="0"/>
        <w:suppressLineNumbers w:val="0"/>
        <w:tabs>
          <w:tab w:val="left" w:pos="993"/>
        </w:tabs>
        <w:adjustRightInd w:val="0"/>
        <w:spacing w:before="0" w:beforeAutospacing="0" w:after="0" w:afterAutospacing="0" w:line="360" w:lineRule="auto"/>
        <w:ind w:left="0" w:right="0" w:firstLine="482"/>
        <w:jc w:val="both"/>
        <w:rPr>
          <w:rFonts w:hint="eastAsia" w:ascii="宋体" w:hAnsi="宋体" w:eastAsia="宋体" w:cs="宋体"/>
          <w:b/>
          <w:bCs w:val="0"/>
          <w:color w:val="auto"/>
          <w:szCs w:val="24"/>
          <w:highlight w:val="none"/>
          <w:lang w:val="en-US"/>
        </w:rPr>
      </w:pPr>
      <w:r>
        <w:rPr>
          <w:rFonts w:hint="eastAsia" w:ascii="宋体" w:hAnsi="宋体" w:eastAsia="宋体" w:cs="宋体"/>
          <w:b/>
          <w:bCs w:val="0"/>
          <w:color w:val="auto"/>
          <w:kern w:val="0"/>
          <w:sz w:val="24"/>
          <w:szCs w:val="24"/>
          <w:highlight w:val="none"/>
          <w:lang w:val="en-US" w:eastAsia="zh-CN" w:bidi="ar"/>
        </w:rPr>
        <w:t>5.2 乙方权利、义务</w:t>
      </w:r>
    </w:p>
    <w:p>
      <w:pPr>
        <w:keepNext w:val="0"/>
        <w:keepLines w:val="0"/>
        <w:widowControl w:val="0"/>
        <w:suppressLineNumbers w:val="0"/>
        <w:tabs>
          <w:tab w:val="left" w:pos="993"/>
        </w:tabs>
        <w:adjustRightInd w:val="0"/>
        <w:spacing w:before="0" w:beforeAutospacing="0" w:after="0" w:afterAutospacing="0" w:line="360" w:lineRule="auto"/>
        <w:ind w:left="0" w:right="0" w:firstLine="482"/>
        <w:jc w:val="both"/>
        <w:rPr>
          <w:rFonts w:hint="eastAsia" w:ascii="宋体" w:hAnsi="宋体" w:eastAsia="宋体" w:cs="宋体"/>
          <w:bCs/>
          <w:color w:val="auto"/>
          <w:szCs w:val="24"/>
          <w:highlight w:val="none"/>
          <w:lang w:val="en-US"/>
        </w:rPr>
      </w:pPr>
      <w:r>
        <w:rPr>
          <w:rFonts w:hint="eastAsia" w:ascii="宋体" w:hAnsi="宋体" w:eastAsia="宋体" w:cs="宋体"/>
          <w:bCs/>
          <w:color w:val="auto"/>
          <w:kern w:val="0"/>
          <w:sz w:val="24"/>
          <w:szCs w:val="24"/>
          <w:highlight w:val="none"/>
          <w:lang w:val="en-US" w:eastAsia="zh-CN" w:bidi="ar"/>
        </w:rPr>
        <w:t>（1）乙方在按招标文件、任务书和中国有关标准和规范要求，在规定的时间内提交本协议</w:t>
      </w:r>
      <w:r>
        <w:rPr>
          <w:rFonts w:hint="eastAsia" w:ascii="宋体" w:hAnsi="宋体" w:eastAsia="宋体" w:cs="宋体"/>
          <w:bCs/>
          <w:color w:val="auto"/>
          <w:szCs w:val="24"/>
          <w:highlight w:val="none"/>
          <w:lang w:eastAsia="zh-CN"/>
        </w:rPr>
        <w:t>第二条约定的设计成果文件，并经审查认定方案有效后，有收取奖励金的权利。</w:t>
      </w:r>
    </w:p>
    <w:p>
      <w:pPr>
        <w:keepNext w:val="0"/>
        <w:keepLines w:val="0"/>
        <w:widowControl w:val="0"/>
        <w:suppressLineNumbers w:val="0"/>
        <w:tabs>
          <w:tab w:val="left" w:pos="993"/>
        </w:tabs>
        <w:adjustRightInd w:val="0"/>
        <w:spacing w:before="0" w:beforeAutospacing="0" w:after="0" w:afterAutospacing="0" w:line="360" w:lineRule="auto"/>
        <w:ind w:left="0" w:right="0" w:firstLine="482"/>
        <w:jc w:val="both"/>
        <w:rPr>
          <w:rFonts w:hint="eastAsia" w:ascii="宋体" w:hAnsi="宋体" w:eastAsia="宋体" w:cs="宋体"/>
          <w:bCs/>
          <w:color w:val="auto"/>
          <w:kern w:val="0"/>
          <w:sz w:val="24"/>
          <w:szCs w:val="24"/>
          <w:highlight w:val="none"/>
          <w:lang w:val="en-US" w:bidi="ar"/>
        </w:rPr>
      </w:pPr>
      <w:r>
        <w:rPr>
          <w:rFonts w:hint="eastAsia" w:ascii="宋体" w:hAnsi="宋体" w:eastAsia="宋体" w:cs="宋体"/>
          <w:bCs/>
          <w:color w:val="auto"/>
          <w:kern w:val="0"/>
          <w:sz w:val="24"/>
          <w:szCs w:val="24"/>
          <w:highlight w:val="none"/>
          <w:lang w:val="en-US" w:eastAsia="zh-CN" w:bidi="ar"/>
        </w:rPr>
        <w:t>（2）乙方应依法办理奖励金的完税手续</w:t>
      </w:r>
      <w:r>
        <w:rPr>
          <w:rFonts w:hint="eastAsia" w:ascii="宋体" w:hAnsi="宋体" w:eastAsia="宋体" w:cs="宋体"/>
          <w:bCs/>
          <w:color w:val="auto"/>
          <w:kern w:val="0"/>
          <w:sz w:val="24"/>
          <w:szCs w:val="24"/>
          <w:highlight w:val="none"/>
          <w:lang w:eastAsia="zh-CN" w:bidi="ar"/>
        </w:rPr>
        <w:t>，并在领取</w:t>
      </w:r>
      <w:r>
        <w:rPr>
          <w:rFonts w:hint="eastAsia" w:ascii="宋体" w:hAnsi="宋体" w:eastAsia="宋体" w:cs="宋体"/>
          <w:bCs/>
          <w:color w:val="auto"/>
          <w:kern w:val="0"/>
          <w:sz w:val="24"/>
          <w:szCs w:val="24"/>
          <w:highlight w:val="none"/>
          <w:lang w:val="en-US" w:eastAsia="zh-CN" w:bidi="ar"/>
        </w:rPr>
        <w:t>奖励金后</w:t>
      </w:r>
      <w:r>
        <w:rPr>
          <w:rFonts w:hint="eastAsia" w:ascii="宋体" w:hAnsi="宋体" w:eastAsia="宋体" w:cs="宋体"/>
          <w:bCs/>
          <w:color w:val="auto"/>
          <w:kern w:val="0"/>
          <w:sz w:val="24"/>
          <w:szCs w:val="24"/>
          <w:highlight w:val="none"/>
          <w:lang w:eastAsia="zh-CN" w:bidi="ar"/>
        </w:rPr>
        <w:t>，无条件提供所有中标技术文件（含DWG格式设计文件、建模模型文件等）。</w:t>
      </w:r>
    </w:p>
    <w:p>
      <w:pPr>
        <w:keepNext w:val="0"/>
        <w:keepLines w:val="0"/>
        <w:widowControl w:val="0"/>
        <w:suppressLineNumbers w:val="0"/>
        <w:tabs>
          <w:tab w:val="left" w:pos="993"/>
        </w:tabs>
        <w:adjustRightInd w:val="0"/>
        <w:spacing w:before="0" w:beforeAutospacing="0" w:after="0" w:afterAutospacing="0" w:line="360" w:lineRule="auto"/>
        <w:ind w:left="0" w:right="0" w:firstLine="482"/>
        <w:jc w:val="both"/>
        <w:rPr>
          <w:rFonts w:hint="eastAsia" w:ascii="宋体" w:hAnsi="宋体" w:eastAsia="宋体" w:cs="宋体"/>
          <w:bCs/>
          <w:color w:val="auto"/>
          <w:kern w:val="0"/>
          <w:sz w:val="24"/>
          <w:szCs w:val="24"/>
          <w:highlight w:val="none"/>
          <w:lang w:val="en-US" w:bidi="ar"/>
        </w:rPr>
      </w:pPr>
      <w:r>
        <w:rPr>
          <w:rFonts w:hint="eastAsia" w:ascii="宋体" w:hAnsi="宋体" w:eastAsia="宋体" w:cs="宋体"/>
          <w:bCs/>
          <w:color w:val="auto"/>
          <w:kern w:val="0"/>
          <w:sz w:val="24"/>
          <w:szCs w:val="24"/>
          <w:highlight w:val="none"/>
          <w:lang w:val="en-US" w:eastAsia="zh-CN" w:bidi="ar"/>
        </w:rPr>
        <w:t>（3）未经甲方书面同意，乙方不得将其投标设计方案用于其它任何项目的竞赛/征集活动、投标和设计，不得在国内外刊物、学术或技术交流会上发表该方案成果，不得为了本协议以外的目的而复制、使用该方案成果及相关文件或将之提供给任何第三方。</w:t>
      </w:r>
    </w:p>
    <w:p>
      <w:pPr>
        <w:keepNext w:val="0"/>
        <w:keepLines w:val="0"/>
        <w:widowControl w:val="0"/>
        <w:suppressLineNumbers w:val="0"/>
        <w:adjustRightInd w:val="0"/>
        <w:spacing w:before="0" w:beforeAutospacing="0" w:after="0" w:afterAutospacing="0" w:line="360" w:lineRule="auto"/>
        <w:ind w:left="0" w:right="0" w:firstLine="482"/>
        <w:jc w:val="both"/>
        <w:rPr>
          <w:rFonts w:hint="eastAsia" w:ascii="宋体" w:hAnsi="宋体" w:eastAsia="宋体" w:cs="宋体"/>
          <w:color w:val="auto"/>
          <w:szCs w:val="24"/>
          <w:highlight w:val="none"/>
          <w:lang w:val="en-US"/>
        </w:rPr>
      </w:pPr>
      <w:r>
        <w:rPr>
          <w:rFonts w:hint="eastAsia" w:ascii="宋体" w:hAnsi="宋体" w:eastAsia="宋体" w:cs="宋体"/>
          <w:color w:val="auto"/>
          <w:kern w:val="0"/>
          <w:sz w:val="24"/>
          <w:szCs w:val="24"/>
          <w:highlight w:val="none"/>
          <w:lang w:val="en-US" w:eastAsia="zh-CN" w:bidi="ar"/>
        </w:rPr>
        <w:t>（4）乙方涉嫌侵犯甲方依据本协议所享有的权益的，须在接到甲方通知之日起十五个工作日内立即清查并采取停止侵害、消除影响、赔礼道歉等措施并向甲方做出书面报告，否则乙方须向甲方支付赔偿金。乙方并为因其侵权给甲方造成的一切损失承担赔偿责任。</w:t>
      </w:r>
    </w:p>
    <w:p>
      <w:pPr>
        <w:keepNext w:val="0"/>
        <w:keepLines w:val="0"/>
        <w:widowControl w:val="0"/>
        <w:suppressLineNumbers w:val="0"/>
        <w:adjustRightInd w:val="0"/>
        <w:spacing w:before="0" w:beforeAutospacing="0" w:after="0" w:afterAutospacing="0" w:line="360" w:lineRule="auto"/>
        <w:ind w:left="0" w:right="0" w:firstLine="482"/>
        <w:jc w:val="both"/>
        <w:rPr>
          <w:rFonts w:hint="eastAsia" w:ascii="宋体" w:hAnsi="宋体" w:eastAsia="宋体" w:cs="宋体"/>
          <w:color w:val="auto"/>
          <w:szCs w:val="24"/>
          <w:highlight w:val="none"/>
          <w:lang w:val="en-US"/>
        </w:rPr>
      </w:pPr>
      <w:r>
        <w:rPr>
          <w:rFonts w:hint="eastAsia" w:ascii="宋体" w:hAnsi="宋体" w:eastAsia="宋体" w:cs="宋体"/>
          <w:color w:val="auto"/>
          <w:kern w:val="0"/>
          <w:sz w:val="24"/>
          <w:szCs w:val="24"/>
          <w:highlight w:val="none"/>
          <w:lang w:val="en-US" w:eastAsia="zh-CN" w:bidi="ar"/>
        </w:rPr>
        <w:t>（5）乙方应当确保其设计方案及设计未侵犯任何第三方合法权益，并保证甲方一旦使用其设计成果不会受到来自第三方的侵权诉讼或索赔，否则乙方承担由此产生的一切责任，并赔偿甲方因此所受一切损失。乙方在本协议签订前和签订时已确定采用的专利、专有技术、技术秘密的转让或许可费用等已包含在奖励金中。</w:t>
      </w:r>
    </w:p>
    <w:p>
      <w:pPr>
        <w:keepNext w:val="0"/>
        <w:keepLines w:val="0"/>
        <w:widowControl w:val="0"/>
        <w:suppressLineNumbers w:val="0"/>
        <w:tabs>
          <w:tab w:val="left" w:pos="1135"/>
        </w:tabs>
        <w:adjustRightInd w:val="0"/>
        <w:spacing w:before="0" w:beforeAutospacing="0" w:after="0" w:afterAutospacing="0" w:line="360" w:lineRule="auto"/>
        <w:ind w:left="0" w:right="0" w:firstLine="482"/>
        <w:jc w:val="both"/>
        <w:rPr>
          <w:rFonts w:hint="eastAsia" w:ascii="宋体" w:hAnsi="宋体" w:eastAsia="宋体" w:cs="宋体"/>
          <w:color w:val="auto"/>
          <w:szCs w:val="24"/>
          <w:highlight w:val="none"/>
          <w:lang w:val="en-US"/>
        </w:rPr>
      </w:pPr>
      <w:r>
        <w:rPr>
          <w:rFonts w:hint="eastAsia" w:ascii="宋体" w:hAnsi="宋体" w:eastAsia="宋体" w:cs="宋体"/>
          <w:color w:val="auto"/>
          <w:kern w:val="0"/>
          <w:sz w:val="24"/>
          <w:szCs w:val="24"/>
          <w:highlight w:val="none"/>
          <w:lang w:val="en-US" w:eastAsia="zh-CN" w:bidi="ar"/>
        </w:rPr>
        <w:t>（6） 乙方应保护甲方的知识产权及保密信息，承担保密义务与责任。乙方在签署及履行本协议过程中了解或接触到的、不能从公开途径获得的、与甲方或本项目相关的任何信息或文件均构成发包人所有的商业秘密或保密商业信息（以下简称“保密信息”），乙方应对前述保密信息承担保密义务，除为履行本协议之目的外，未经甲方事先书面同意，不得向第三人泄露或转让或提供甲方提供的产品图纸、投资估算等技术经济资料、其他项目相关资料或者上述保密信息。如发生以上情况并给甲方造成经济损失，乙方应向甲方赔偿一切经济损失。</w:t>
      </w:r>
    </w:p>
    <w:p>
      <w:pPr>
        <w:keepNext w:val="0"/>
        <w:keepLines w:val="0"/>
        <w:widowControl w:val="0"/>
        <w:suppressLineNumbers w:val="0"/>
        <w:tabs>
          <w:tab w:val="left" w:pos="1135"/>
        </w:tabs>
        <w:adjustRightInd w:val="0"/>
        <w:spacing w:before="0" w:beforeAutospacing="0" w:after="0" w:afterAutospacing="0" w:line="360" w:lineRule="auto"/>
        <w:ind w:left="0" w:right="0" w:firstLine="482"/>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（7）乙方违反本协议约定的，应向甲方承担包括但不限于退还奖励金、赔偿甲方损失等违约责任。</w:t>
      </w:r>
    </w:p>
    <w:p>
      <w:pPr>
        <w:keepNext w:val="0"/>
        <w:keepLines w:val="0"/>
        <w:widowControl w:val="0"/>
        <w:suppressLineNumbers w:val="0"/>
        <w:tabs>
          <w:tab w:val="left" w:pos="1135"/>
        </w:tabs>
        <w:adjustRightInd w:val="0"/>
        <w:spacing w:before="0" w:beforeAutospacing="0" w:after="0" w:afterAutospacing="0" w:line="360" w:lineRule="auto"/>
        <w:ind w:left="0" w:right="0" w:firstLine="482"/>
        <w:jc w:val="both"/>
        <w:rPr>
          <w:rFonts w:hint="default" w:ascii="宋体" w:hAnsi="宋体" w:eastAsia="宋体" w:cs="宋体"/>
          <w:color w:val="auto"/>
          <w:kern w:val="0"/>
          <w:sz w:val="24"/>
          <w:szCs w:val="24"/>
          <w:highlight w:val="none"/>
          <w:lang w:eastAsia="zh-CN" w:bidi="ar"/>
        </w:rPr>
      </w:pPr>
    </w:p>
    <w:p>
      <w:pPr>
        <w:keepNext w:val="0"/>
        <w:keepLines w:val="0"/>
        <w:widowControl w:val="0"/>
        <w:suppressLineNumbers w:val="0"/>
        <w:adjustRightInd w:val="0"/>
        <w:spacing w:before="0" w:beforeAutospacing="0" w:after="0" w:afterAutospacing="0" w:line="360" w:lineRule="auto"/>
        <w:ind w:left="0" w:right="0"/>
        <w:jc w:val="both"/>
        <w:rPr>
          <w:rFonts w:hint="eastAsia" w:ascii="宋体" w:hAnsi="宋体" w:eastAsia="宋体" w:cs="宋体"/>
          <w:color w:val="auto"/>
          <w:szCs w:val="24"/>
          <w:highlight w:val="none"/>
          <w:lang w:val="en-US"/>
        </w:rPr>
      </w:pPr>
    </w:p>
    <w:p>
      <w:pPr>
        <w:keepNext w:val="0"/>
        <w:keepLines w:val="0"/>
        <w:widowControl w:val="0"/>
        <w:suppressLineNumbers w:val="0"/>
        <w:adjustRightInd w:val="0"/>
        <w:spacing w:before="0" w:beforeAutospacing="0" w:after="0" w:afterAutospacing="0" w:line="360" w:lineRule="auto"/>
        <w:ind w:left="0" w:right="0" w:firstLine="482"/>
        <w:jc w:val="both"/>
        <w:rPr>
          <w:rFonts w:hint="eastAsia" w:ascii="宋体" w:hAnsi="宋体" w:eastAsia="宋体" w:cs="宋体"/>
          <w:b/>
          <w:bCs w:val="0"/>
          <w:color w:val="auto"/>
          <w:szCs w:val="24"/>
          <w:highlight w:val="none"/>
          <w:lang w:val="en-US"/>
        </w:rPr>
      </w:pPr>
      <w:r>
        <w:rPr>
          <w:rFonts w:hint="eastAsia" w:ascii="宋体" w:hAnsi="宋体" w:eastAsia="宋体" w:cs="宋体"/>
          <w:b/>
          <w:bCs w:val="0"/>
          <w:color w:val="auto"/>
          <w:kern w:val="0"/>
          <w:sz w:val="24"/>
          <w:szCs w:val="24"/>
          <w:highlight w:val="none"/>
          <w:lang w:val="en-US" w:eastAsia="zh-CN" w:bidi="ar"/>
        </w:rPr>
        <w:t>第六条   争议解决方式</w:t>
      </w:r>
    </w:p>
    <w:p>
      <w:pPr>
        <w:keepNext w:val="0"/>
        <w:keepLines w:val="0"/>
        <w:widowControl w:val="0"/>
        <w:suppressLineNumbers w:val="0"/>
        <w:adjustRightInd w:val="0"/>
        <w:spacing w:before="0" w:beforeAutospacing="0" w:after="0" w:afterAutospacing="0" w:line="360" w:lineRule="auto"/>
        <w:ind w:left="0" w:right="0" w:firstLine="482"/>
        <w:jc w:val="both"/>
        <w:rPr>
          <w:rFonts w:hint="eastAsia" w:ascii="宋体" w:hAnsi="宋体" w:eastAsia="宋体" w:cs="宋体"/>
          <w:bCs/>
          <w:color w:val="auto"/>
          <w:szCs w:val="24"/>
          <w:highlight w:val="none"/>
          <w:lang w:val="en-US"/>
        </w:rPr>
      </w:pPr>
      <w:r>
        <w:rPr>
          <w:rFonts w:hint="eastAsia" w:ascii="宋体" w:hAnsi="宋体" w:eastAsia="宋体" w:cs="宋体"/>
          <w:bCs/>
          <w:color w:val="auto"/>
          <w:kern w:val="0"/>
          <w:sz w:val="24"/>
          <w:szCs w:val="24"/>
          <w:highlight w:val="none"/>
          <w:lang w:val="en-US" w:eastAsia="zh-CN" w:bidi="ar"/>
        </w:rPr>
        <w:t>6.1 本协议发生争议，双方当事人应及时协商解决。协商不成时，可向项目所在地人民法院提起诉讼。</w:t>
      </w:r>
    </w:p>
    <w:p>
      <w:pPr>
        <w:keepNext w:val="0"/>
        <w:keepLines w:val="0"/>
        <w:widowControl w:val="0"/>
        <w:suppressLineNumbers w:val="0"/>
        <w:adjustRightInd w:val="0"/>
        <w:spacing w:before="0" w:beforeAutospacing="0" w:after="0" w:afterAutospacing="0" w:line="360" w:lineRule="auto"/>
        <w:ind w:left="0" w:right="0" w:firstLine="482"/>
        <w:jc w:val="both"/>
        <w:rPr>
          <w:rFonts w:hint="eastAsia" w:ascii="宋体" w:hAnsi="宋体" w:eastAsia="宋体" w:cs="宋体"/>
          <w:bCs/>
          <w:color w:val="auto"/>
          <w:szCs w:val="24"/>
          <w:highlight w:val="none"/>
          <w:lang w:val="en-US"/>
        </w:rPr>
      </w:pPr>
      <w:r>
        <w:rPr>
          <w:rFonts w:hint="eastAsia" w:ascii="宋体" w:hAnsi="宋体" w:eastAsia="宋体" w:cs="宋体"/>
          <w:bCs/>
          <w:color w:val="auto"/>
          <w:kern w:val="0"/>
          <w:sz w:val="24"/>
          <w:szCs w:val="24"/>
          <w:highlight w:val="none"/>
          <w:lang w:val="en-US" w:eastAsia="zh-CN" w:bidi="ar"/>
        </w:rPr>
        <w:t>6.2 本协议一式陆份，甲方执肆份，乙方执贰份。各份均具有同等法律效力。</w:t>
      </w:r>
    </w:p>
    <w:p>
      <w:pPr>
        <w:keepNext w:val="0"/>
        <w:keepLines w:val="0"/>
        <w:widowControl w:val="0"/>
        <w:suppressLineNumbers w:val="0"/>
        <w:adjustRightInd w:val="0"/>
        <w:spacing w:before="0" w:beforeAutospacing="0" w:after="0" w:afterAutospacing="0" w:line="360" w:lineRule="auto"/>
        <w:ind w:left="0" w:right="0" w:firstLine="482"/>
        <w:jc w:val="both"/>
        <w:rPr>
          <w:rFonts w:hint="eastAsia" w:ascii="宋体" w:hAnsi="宋体" w:eastAsia="宋体" w:cs="宋体"/>
          <w:bCs/>
          <w:color w:val="auto"/>
          <w:szCs w:val="24"/>
          <w:highlight w:val="none"/>
          <w:lang w:val="en-US"/>
        </w:rPr>
      </w:pPr>
      <w:r>
        <w:rPr>
          <w:rFonts w:hint="eastAsia" w:ascii="宋体" w:hAnsi="宋体" w:eastAsia="宋体" w:cs="宋体"/>
          <w:bCs/>
          <w:color w:val="auto"/>
          <w:kern w:val="0"/>
          <w:sz w:val="24"/>
          <w:szCs w:val="24"/>
          <w:highlight w:val="none"/>
          <w:lang w:val="en-US" w:eastAsia="zh-CN" w:bidi="ar"/>
        </w:rPr>
        <w:t>6.3 有关本协议的任何纠纷均适用中华人民共和国（大陆地区）法律。</w:t>
      </w:r>
    </w:p>
    <w:p>
      <w:pPr>
        <w:keepNext w:val="0"/>
        <w:keepLines w:val="0"/>
        <w:widowControl w:val="0"/>
        <w:suppressLineNumbers w:val="0"/>
        <w:adjustRightInd w:val="0"/>
        <w:spacing w:before="0" w:beforeAutospacing="0" w:after="0" w:afterAutospacing="0" w:line="360" w:lineRule="auto"/>
        <w:ind w:left="0" w:right="0" w:firstLine="482"/>
        <w:jc w:val="both"/>
        <w:rPr>
          <w:rFonts w:hint="eastAsia" w:ascii="宋体" w:hAnsi="宋体" w:eastAsia="宋体" w:cs="宋体"/>
          <w:bCs/>
          <w:color w:val="auto"/>
          <w:szCs w:val="24"/>
          <w:highlight w:val="none"/>
          <w:lang w:val="en-US"/>
        </w:rPr>
      </w:pPr>
      <w:r>
        <w:rPr>
          <w:rFonts w:hint="eastAsia" w:ascii="宋体" w:hAnsi="宋体" w:eastAsia="宋体" w:cs="宋体"/>
          <w:bCs/>
          <w:color w:val="auto"/>
          <w:kern w:val="0"/>
          <w:sz w:val="24"/>
          <w:szCs w:val="24"/>
          <w:highlight w:val="none"/>
          <w:lang w:val="en-US" w:eastAsia="zh-CN" w:bidi="ar"/>
        </w:rPr>
        <w:t>6.4 本协议自签订之日起生效，至双方履行完毕本协议中各自的义务之日自动终止。本协议中有关知识产权归属约定不因本协议解除、终止、无效、失效而改变。</w:t>
      </w:r>
    </w:p>
    <w:p>
      <w:pPr>
        <w:keepNext w:val="0"/>
        <w:keepLines w:val="0"/>
        <w:widowControl w:val="0"/>
        <w:suppressLineNumbers w:val="0"/>
        <w:adjustRightInd w:val="0"/>
        <w:spacing w:before="0" w:beforeAutospacing="0" w:after="0" w:afterAutospacing="0" w:line="360" w:lineRule="auto"/>
        <w:ind w:left="0" w:right="0" w:firstLine="482"/>
        <w:jc w:val="both"/>
        <w:rPr>
          <w:rFonts w:hint="eastAsia" w:ascii="宋体" w:hAnsi="宋体" w:eastAsia="宋体" w:cs="宋体"/>
          <w:color w:val="auto"/>
          <w:szCs w:val="24"/>
          <w:highlight w:val="none"/>
          <w:lang w:val="en-US"/>
        </w:rPr>
      </w:pPr>
    </w:p>
    <w:p>
      <w:pPr>
        <w:keepNext w:val="0"/>
        <w:keepLines w:val="0"/>
        <w:widowControl w:val="0"/>
        <w:suppressLineNumbers w:val="0"/>
        <w:adjustRightInd w:val="0"/>
        <w:spacing w:before="0" w:beforeAutospacing="0" w:after="0" w:afterAutospacing="0" w:line="360" w:lineRule="auto"/>
        <w:ind w:left="0" w:right="0" w:firstLine="482"/>
        <w:jc w:val="both"/>
        <w:rPr>
          <w:rFonts w:hint="eastAsia" w:ascii="宋体" w:hAnsi="宋体" w:eastAsia="宋体" w:cs="宋体"/>
          <w:color w:val="auto"/>
          <w:szCs w:val="24"/>
          <w:highlight w:val="none"/>
          <w:lang w:val="en-US"/>
        </w:rPr>
      </w:pPr>
      <w:r>
        <w:rPr>
          <w:rFonts w:hint="eastAsia" w:ascii="宋体" w:hAnsi="宋体" w:eastAsia="宋体" w:cs="宋体"/>
          <w:b/>
          <w:bCs w:val="0"/>
          <w:color w:val="auto"/>
          <w:kern w:val="0"/>
          <w:sz w:val="24"/>
          <w:szCs w:val="24"/>
          <w:highlight w:val="none"/>
          <w:lang w:val="en-US" w:eastAsia="zh-CN" w:bidi="ar"/>
        </w:rPr>
        <w:t>第七条   乙方收款账户信息</w:t>
      </w:r>
    </w:p>
    <w:p>
      <w:pPr>
        <w:keepNext w:val="0"/>
        <w:keepLines w:val="0"/>
        <w:widowControl w:val="0"/>
        <w:suppressLineNumbers w:val="0"/>
        <w:adjustRightInd w:val="0"/>
        <w:spacing w:before="0" w:beforeAutospacing="0" w:after="0" w:afterAutospacing="0" w:line="360" w:lineRule="auto"/>
        <w:ind w:left="0" w:right="0" w:firstLine="482"/>
        <w:jc w:val="both"/>
        <w:rPr>
          <w:rFonts w:hint="eastAsia" w:ascii="宋体" w:hAnsi="宋体" w:eastAsia="宋体" w:cs="宋体"/>
          <w:color w:val="auto"/>
          <w:szCs w:val="24"/>
          <w:highlight w:val="none"/>
          <w:lang w:val="en-US"/>
        </w:rPr>
      </w:pPr>
      <w:r>
        <w:rPr>
          <w:rFonts w:hint="eastAsia" w:ascii="宋体" w:hAnsi="宋体" w:eastAsia="宋体" w:cs="宋体"/>
          <w:color w:val="auto"/>
          <w:kern w:val="0"/>
          <w:sz w:val="24"/>
          <w:szCs w:val="24"/>
          <w:highlight w:val="none"/>
          <w:lang w:val="en-US" w:eastAsia="zh-CN" w:bidi="ar"/>
        </w:rPr>
        <w:t>收款单位：</w:t>
      </w:r>
    </w:p>
    <w:p>
      <w:pPr>
        <w:keepNext w:val="0"/>
        <w:keepLines w:val="0"/>
        <w:widowControl w:val="0"/>
        <w:suppressLineNumbers w:val="0"/>
        <w:adjustRightInd w:val="0"/>
        <w:spacing w:before="0" w:beforeAutospacing="0" w:after="0" w:afterAutospacing="0" w:line="360" w:lineRule="auto"/>
        <w:ind w:left="0" w:right="0" w:firstLine="482"/>
        <w:jc w:val="both"/>
        <w:rPr>
          <w:rFonts w:hint="eastAsia" w:ascii="宋体" w:hAnsi="宋体" w:eastAsia="宋体" w:cs="宋体"/>
          <w:color w:val="auto"/>
          <w:szCs w:val="24"/>
          <w:highlight w:val="none"/>
          <w:lang w:val="en-US"/>
        </w:rPr>
      </w:pPr>
      <w:r>
        <w:rPr>
          <w:rFonts w:hint="eastAsia" w:ascii="宋体" w:hAnsi="宋体" w:eastAsia="宋体" w:cs="宋体"/>
          <w:color w:val="auto"/>
          <w:kern w:val="0"/>
          <w:sz w:val="24"/>
          <w:szCs w:val="24"/>
          <w:highlight w:val="none"/>
          <w:lang w:val="en-US" w:eastAsia="zh-CN" w:bidi="ar"/>
        </w:rPr>
        <w:t>银    行：</w:t>
      </w:r>
    </w:p>
    <w:p>
      <w:pPr>
        <w:keepNext w:val="0"/>
        <w:keepLines w:val="0"/>
        <w:widowControl w:val="0"/>
        <w:suppressLineNumbers w:val="0"/>
        <w:adjustRightInd w:val="0"/>
        <w:spacing w:before="0" w:beforeAutospacing="0" w:after="0" w:afterAutospacing="0" w:line="360" w:lineRule="auto"/>
        <w:ind w:left="0" w:right="0" w:firstLine="482"/>
        <w:jc w:val="both"/>
        <w:rPr>
          <w:rFonts w:hint="eastAsia" w:ascii="宋体" w:hAnsi="宋体" w:eastAsia="宋体" w:cs="宋体"/>
          <w:color w:val="auto"/>
          <w:szCs w:val="24"/>
          <w:highlight w:val="none"/>
          <w:lang w:val="en-US"/>
        </w:rPr>
      </w:pPr>
      <w:r>
        <w:rPr>
          <w:rFonts w:hint="eastAsia" w:ascii="宋体" w:hAnsi="宋体" w:eastAsia="宋体" w:cs="宋体"/>
          <w:color w:val="auto"/>
          <w:kern w:val="0"/>
          <w:sz w:val="24"/>
          <w:szCs w:val="24"/>
          <w:highlight w:val="none"/>
          <w:lang w:val="en-US" w:eastAsia="zh-CN" w:bidi="ar"/>
        </w:rPr>
        <w:t>银行地址：</w:t>
      </w:r>
    </w:p>
    <w:p>
      <w:pPr>
        <w:keepNext w:val="0"/>
        <w:keepLines w:val="0"/>
        <w:widowControl w:val="0"/>
        <w:suppressLineNumbers w:val="0"/>
        <w:adjustRightInd w:val="0"/>
        <w:spacing w:before="0" w:beforeAutospacing="0" w:after="0" w:afterAutospacing="0" w:line="360" w:lineRule="auto"/>
        <w:ind w:left="0" w:right="0" w:firstLine="482"/>
        <w:jc w:val="both"/>
        <w:rPr>
          <w:rFonts w:hint="eastAsia" w:ascii="宋体" w:hAnsi="宋体" w:eastAsia="宋体" w:cs="宋体"/>
          <w:color w:val="auto"/>
          <w:szCs w:val="24"/>
          <w:highlight w:val="none"/>
          <w:lang w:val="en-US"/>
        </w:rPr>
      </w:pPr>
      <w:r>
        <w:rPr>
          <w:rFonts w:hint="eastAsia" w:ascii="宋体" w:hAnsi="宋体" w:eastAsia="宋体" w:cs="宋体"/>
          <w:color w:val="auto"/>
          <w:kern w:val="0"/>
          <w:sz w:val="24"/>
          <w:szCs w:val="24"/>
          <w:highlight w:val="none"/>
          <w:lang w:val="en-US" w:eastAsia="zh-CN" w:bidi="ar"/>
        </w:rPr>
        <w:t>账    号：</w:t>
      </w:r>
    </w:p>
    <w:p>
      <w:pPr>
        <w:keepNext w:val="0"/>
        <w:keepLines w:val="0"/>
        <w:widowControl w:val="0"/>
        <w:suppressLineNumbers w:val="0"/>
        <w:adjustRightInd w:val="0"/>
        <w:spacing w:before="0" w:beforeAutospacing="0" w:after="0" w:afterAutospacing="0" w:line="420" w:lineRule="exact"/>
        <w:ind w:left="0" w:right="0" w:firstLine="573"/>
        <w:jc w:val="both"/>
        <w:rPr>
          <w:rFonts w:hint="eastAsia" w:ascii="宋体" w:hAnsi="宋体" w:eastAsia="宋体" w:cs="宋体"/>
          <w:color w:val="auto"/>
          <w:szCs w:val="24"/>
          <w:highlight w:val="none"/>
          <w:lang w:val="en-US"/>
        </w:rPr>
      </w:pPr>
    </w:p>
    <w:p>
      <w:pPr>
        <w:keepNext w:val="0"/>
        <w:keepLines w:val="0"/>
        <w:widowControl w:val="0"/>
        <w:suppressLineNumbers w:val="0"/>
        <w:adjustRightInd w:val="0"/>
        <w:spacing w:before="0" w:beforeAutospacing="0" w:after="0" w:afterAutospacing="0" w:line="420" w:lineRule="exact"/>
        <w:ind w:left="0" w:right="0" w:firstLine="573"/>
        <w:jc w:val="both"/>
        <w:rPr>
          <w:rFonts w:hint="eastAsia" w:ascii="宋体" w:hAnsi="宋体" w:eastAsia="宋体" w:cs="宋体"/>
          <w:color w:val="auto"/>
          <w:szCs w:val="24"/>
          <w:highlight w:val="none"/>
          <w:lang w:val="en-US"/>
        </w:rPr>
      </w:pPr>
    </w:p>
    <w:p>
      <w:pPr>
        <w:keepNext w:val="0"/>
        <w:keepLines w:val="0"/>
        <w:widowControl w:val="0"/>
        <w:suppressLineNumbers w:val="0"/>
        <w:adjustRightInd w:val="0"/>
        <w:spacing w:before="0" w:beforeAutospacing="0" w:after="0" w:afterAutospacing="0" w:line="420" w:lineRule="exact"/>
        <w:ind w:left="0" w:right="0" w:firstLine="573"/>
        <w:jc w:val="both"/>
        <w:rPr>
          <w:rFonts w:hint="eastAsia" w:ascii="宋体" w:hAnsi="宋体" w:eastAsia="宋体" w:cs="宋体"/>
          <w:color w:val="auto"/>
          <w:szCs w:val="24"/>
          <w:highlight w:val="none"/>
          <w:lang w:val="en-US"/>
        </w:rPr>
      </w:pPr>
    </w:p>
    <w:tbl>
      <w:tblPr>
        <w:tblStyle w:val="11"/>
        <w:tblpPr w:leftFromText="180" w:rightFromText="180" w:vertAnchor="text" w:horzAnchor="page" w:tblpX="1569" w:tblpY="283"/>
        <w:tblOverlap w:val="never"/>
        <w:tblW w:w="94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77"/>
        <w:gridCol w:w="897"/>
        <w:gridCol w:w="3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577" w:type="dxa"/>
            <w:shd w:val="clear" w:color="auto" w:fill="auto"/>
            <w:vAlign w:val="top"/>
          </w:tcPr>
          <w:p>
            <w:pPr>
              <w:keepNext w:val="0"/>
              <w:keepLines w:val="0"/>
              <w:widowControl w:val="0"/>
              <w:suppressLineNumbers w:val="0"/>
              <w:adjustRightInd w:val="0"/>
              <w:spacing w:before="0" w:beforeAutospacing="0" w:after="0" w:afterAutospacing="0" w:line="360" w:lineRule="atLeast"/>
              <w:ind w:left="1440" w:right="0" w:hanging="1440" w:hangingChars="600"/>
              <w:jc w:val="both"/>
              <w:rPr>
                <w:rFonts w:hint="default" w:ascii="宋体" w:hAnsi="宋体" w:eastAsia="宋体" w:cs="宋体"/>
                <w:color w:val="auto"/>
                <w:szCs w:val="24"/>
                <w:highlight w:val="none"/>
                <w:lang w:val="en-US"/>
              </w:rPr>
            </w:pPr>
            <w:r>
              <w:rPr>
                <w:rFonts w:hint="eastAsia" w:ascii="宋体" w:hAnsi="宋体" w:eastAsia="宋体" w:cs="宋体"/>
                <w:color w:val="auto"/>
                <w:kern w:val="0"/>
                <w:sz w:val="24"/>
                <w:szCs w:val="24"/>
                <w:highlight w:val="none"/>
                <w:lang w:val="en-US" w:eastAsia="zh-CN" w:bidi="ar"/>
              </w:rPr>
              <w:t>甲方：</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（盖章）</w:t>
            </w:r>
          </w:p>
        </w:tc>
        <w:tc>
          <w:tcPr>
            <w:tcW w:w="897" w:type="dxa"/>
            <w:shd w:val="clear" w:color="auto" w:fill="auto"/>
            <w:vAlign w:val="top"/>
          </w:tcPr>
          <w:p>
            <w:pPr>
              <w:keepNext w:val="0"/>
              <w:keepLines w:val="0"/>
              <w:widowControl w:val="0"/>
              <w:suppressLineNumbers w:val="0"/>
              <w:adjustRightInd w:val="0"/>
              <w:snapToGrid w:val="0"/>
              <w:spacing w:before="0" w:beforeAutospacing="0" w:after="0" w:afterAutospacing="0" w:line="600" w:lineRule="atLeast"/>
              <w:ind w:left="0" w:right="-260" w:rightChars="-124"/>
              <w:jc w:val="both"/>
              <w:rPr>
                <w:rFonts w:hint="default" w:ascii="宋体" w:hAnsi="宋体" w:eastAsia="宋体" w:cs="宋体"/>
                <w:color w:val="auto"/>
                <w:szCs w:val="24"/>
                <w:highlight w:val="none"/>
                <w:lang w:val="en-US"/>
              </w:rPr>
            </w:pPr>
          </w:p>
          <w:p>
            <w:pPr>
              <w:keepNext w:val="0"/>
              <w:keepLines w:val="0"/>
              <w:widowControl w:val="0"/>
              <w:suppressLineNumbers w:val="0"/>
              <w:adjustRightInd w:val="0"/>
              <w:spacing w:before="0" w:beforeAutospacing="0" w:after="0" w:afterAutospacing="0" w:line="360" w:lineRule="atLeast"/>
              <w:ind w:left="0" w:right="0"/>
              <w:jc w:val="both"/>
              <w:rPr>
                <w:rFonts w:hint="default" w:ascii="宋体" w:hAnsi="宋体" w:eastAsia="宋体" w:cs="宋体"/>
                <w:color w:val="auto"/>
                <w:szCs w:val="24"/>
                <w:highlight w:val="none"/>
                <w:lang w:val="en-US"/>
              </w:rPr>
            </w:pPr>
          </w:p>
        </w:tc>
        <w:tc>
          <w:tcPr>
            <w:tcW w:w="3945" w:type="dxa"/>
            <w:shd w:val="clear" w:color="auto" w:fill="auto"/>
            <w:vAlign w:val="top"/>
          </w:tcPr>
          <w:p>
            <w:pPr>
              <w:keepNext w:val="0"/>
              <w:keepLines w:val="0"/>
              <w:widowControl w:val="0"/>
              <w:suppressLineNumbers w:val="0"/>
              <w:adjustRightInd w:val="0"/>
              <w:snapToGrid w:val="0"/>
              <w:spacing w:before="0" w:beforeAutospacing="0" w:after="0" w:afterAutospacing="0" w:line="360" w:lineRule="atLeast"/>
              <w:ind w:left="0" w:right="0"/>
              <w:jc w:val="both"/>
              <w:rPr>
                <w:rFonts w:hint="default" w:ascii="宋体" w:hAnsi="宋体" w:eastAsia="宋体" w:cs="宋体"/>
                <w:color w:val="auto"/>
                <w:szCs w:val="24"/>
                <w:highlight w:val="none"/>
                <w:lang w:val="en-US"/>
              </w:rPr>
            </w:pPr>
            <w:r>
              <w:rPr>
                <w:rFonts w:hint="eastAsia" w:ascii="宋体" w:hAnsi="宋体" w:eastAsia="宋体" w:cs="宋体"/>
                <w:color w:val="auto"/>
                <w:kern w:val="0"/>
                <w:sz w:val="24"/>
                <w:szCs w:val="24"/>
                <w:highlight w:val="none"/>
                <w:lang w:val="en-US" w:eastAsia="zh-CN" w:bidi="ar"/>
              </w:rPr>
              <w:t>乙方：</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（签章）</w:t>
            </w:r>
          </w:p>
          <w:p>
            <w:pPr>
              <w:keepNext w:val="0"/>
              <w:keepLines w:val="0"/>
              <w:widowControl w:val="0"/>
              <w:suppressLineNumbers w:val="0"/>
              <w:adjustRightInd w:val="0"/>
              <w:snapToGrid w:val="0"/>
              <w:spacing w:before="0" w:beforeAutospacing="0" w:after="0" w:afterAutospacing="0" w:line="360" w:lineRule="atLeast"/>
              <w:ind w:left="0" w:right="0"/>
              <w:jc w:val="both"/>
              <w:rPr>
                <w:rFonts w:hint="default" w:ascii="宋体" w:hAnsi="宋体" w:eastAsia="宋体" w:cs="宋体"/>
                <w:color w:val="auto"/>
                <w:szCs w:val="24"/>
                <w:highlight w:val="none"/>
                <w:lang w:val="en-US"/>
              </w:rPr>
            </w:pPr>
          </w:p>
          <w:p>
            <w:pPr>
              <w:keepNext w:val="0"/>
              <w:keepLines w:val="0"/>
              <w:widowControl w:val="0"/>
              <w:suppressLineNumbers w:val="0"/>
              <w:adjustRightInd w:val="0"/>
              <w:snapToGrid w:val="0"/>
              <w:spacing w:before="0" w:beforeAutospacing="0" w:after="0" w:afterAutospacing="0" w:line="360" w:lineRule="atLeast"/>
              <w:ind w:left="0" w:right="0"/>
              <w:jc w:val="both"/>
              <w:rPr>
                <w:rFonts w:hint="default" w:ascii="宋体" w:hAnsi="宋体" w:eastAsia="宋体" w:cs="宋体"/>
                <w:color w:val="auto"/>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4577" w:type="dxa"/>
            <w:shd w:val="clear" w:color="auto" w:fill="auto"/>
            <w:vAlign w:val="top"/>
          </w:tcPr>
          <w:p>
            <w:pPr>
              <w:keepNext w:val="0"/>
              <w:keepLines w:val="0"/>
              <w:widowControl w:val="0"/>
              <w:suppressLineNumbers w:val="0"/>
              <w:adjustRightInd w:val="0"/>
              <w:spacing w:before="0" w:beforeAutospacing="0" w:after="0" w:afterAutospacing="0" w:line="360" w:lineRule="atLeast"/>
              <w:ind w:left="0" w:right="0"/>
              <w:jc w:val="both"/>
              <w:rPr>
                <w:rFonts w:hint="default" w:ascii="宋体" w:hAnsi="宋体" w:eastAsia="宋体" w:cs="宋体"/>
                <w:color w:val="auto"/>
                <w:szCs w:val="24"/>
                <w:highlight w:val="none"/>
                <w:lang w:val="en-US"/>
              </w:rPr>
            </w:pPr>
            <w:r>
              <w:rPr>
                <w:rFonts w:hint="eastAsia" w:ascii="宋体" w:hAnsi="宋体" w:eastAsia="宋体" w:cs="宋体"/>
                <w:color w:val="auto"/>
                <w:kern w:val="0"/>
                <w:sz w:val="24"/>
                <w:szCs w:val="24"/>
                <w:highlight w:val="none"/>
                <w:lang w:val="en-US" w:eastAsia="zh-CN" w:bidi="ar"/>
              </w:rPr>
              <w:t>法定代表人或委托代表人：（签章）</w:t>
            </w:r>
          </w:p>
        </w:tc>
        <w:tc>
          <w:tcPr>
            <w:tcW w:w="897" w:type="dxa"/>
            <w:shd w:val="clear" w:color="auto" w:fill="auto"/>
            <w:vAlign w:val="top"/>
          </w:tcPr>
          <w:p>
            <w:pPr>
              <w:keepNext w:val="0"/>
              <w:keepLines w:val="0"/>
              <w:widowControl w:val="0"/>
              <w:suppressLineNumbers w:val="0"/>
              <w:adjustRightInd w:val="0"/>
              <w:spacing w:before="0" w:beforeAutospacing="0" w:after="0" w:afterAutospacing="0" w:line="360" w:lineRule="atLeast"/>
              <w:ind w:left="0" w:right="0"/>
              <w:jc w:val="both"/>
              <w:rPr>
                <w:rFonts w:hint="default" w:ascii="宋体" w:hAnsi="宋体" w:eastAsia="宋体" w:cs="宋体"/>
                <w:color w:val="auto"/>
                <w:szCs w:val="24"/>
                <w:highlight w:val="none"/>
                <w:lang w:val="en-US"/>
              </w:rPr>
            </w:pPr>
          </w:p>
        </w:tc>
        <w:tc>
          <w:tcPr>
            <w:tcW w:w="3945" w:type="dxa"/>
            <w:shd w:val="clear" w:color="auto" w:fill="auto"/>
            <w:vAlign w:val="top"/>
          </w:tcPr>
          <w:p>
            <w:pPr>
              <w:keepNext w:val="0"/>
              <w:keepLines w:val="0"/>
              <w:widowControl w:val="0"/>
              <w:suppressLineNumbers w:val="0"/>
              <w:adjustRightInd w:val="0"/>
              <w:spacing w:before="0" w:beforeAutospacing="0" w:after="0" w:afterAutospacing="0" w:line="360" w:lineRule="atLeast"/>
              <w:ind w:left="0" w:right="0"/>
              <w:jc w:val="both"/>
              <w:rPr>
                <w:rFonts w:hint="default" w:ascii="宋体" w:hAnsi="宋体" w:eastAsia="宋体" w:cs="宋体"/>
                <w:color w:val="auto"/>
                <w:szCs w:val="24"/>
                <w:highlight w:val="none"/>
                <w:lang w:val="en-US"/>
              </w:rPr>
            </w:pPr>
            <w:r>
              <w:rPr>
                <w:rFonts w:hint="eastAsia" w:ascii="宋体" w:hAnsi="宋体" w:eastAsia="宋体" w:cs="宋体"/>
                <w:color w:val="auto"/>
                <w:kern w:val="0"/>
                <w:sz w:val="24"/>
                <w:szCs w:val="24"/>
                <w:highlight w:val="none"/>
                <w:lang w:val="en-US" w:eastAsia="zh-CN" w:bidi="ar"/>
              </w:rPr>
              <w:t>法定代表人或委托代表人：（签章）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4577" w:type="dxa"/>
            <w:shd w:val="clear" w:color="auto" w:fill="auto"/>
            <w:vAlign w:val="top"/>
          </w:tcPr>
          <w:p>
            <w:pPr>
              <w:keepNext w:val="0"/>
              <w:keepLines w:val="0"/>
              <w:widowControl w:val="0"/>
              <w:suppressLineNumbers w:val="0"/>
              <w:adjustRightInd w:val="0"/>
              <w:spacing w:before="0" w:beforeAutospacing="0" w:after="0" w:afterAutospacing="0" w:line="360" w:lineRule="atLeast"/>
              <w:ind w:left="0" w:right="0"/>
              <w:jc w:val="both"/>
              <w:rPr>
                <w:rFonts w:hint="default" w:ascii="宋体" w:hAnsi="宋体" w:eastAsia="宋体" w:cs="宋体"/>
                <w:color w:val="auto"/>
                <w:szCs w:val="24"/>
                <w:highlight w:val="none"/>
                <w:lang w:val="en-US"/>
              </w:rPr>
            </w:pPr>
          </w:p>
        </w:tc>
        <w:tc>
          <w:tcPr>
            <w:tcW w:w="897" w:type="dxa"/>
            <w:shd w:val="clear" w:color="auto" w:fill="auto"/>
            <w:vAlign w:val="top"/>
          </w:tcPr>
          <w:p>
            <w:pPr>
              <w:keepNext w:val="0"/>
              <w:keepLines w:val="0"/>
              <w:widowControl w:val="0"/>
              <w:suppressLineNumbers w:val="0"/>
              <w:adjustRightInd w:val="0"/>
              <w:spacing w:before="0" w:beforeAutospacing="0" w:after="0" w:afterAutospacing="0" w:line="360" w:lineRule="atLeast"/>
              <w:ind w:left="0" w:right="0"/>
              <w:jc w:val="both"/>
              <w:rPr>
                <w:rFonts w:hint="default" w:ascii="宋体" w:hAnsi="宋体" w:eastAsia="宋体" w:cs="宋体"/>
                <w:color w:val="auto"/>
                <w:szCs w:val="24"/>
                <w:highlight w:val="none"/>
                <w:lang w:val="en-US"/>
              </w:rPr>
            </w:pPr>
          </w:p>
        </w:tc>
        <w:tc>
          <w:tcPr>
            <w:tcW w:w="3945" w:type="dxa"/>
            <w:shd w:val="clear" w:color="auto" w:fill="auto"/>
            <w:vAlign w:val="top"/>
          </w:tcPr>
          <w:p>
            <w:pPr>
              <w:keepNext w:val="0"/>
              <w:keepLines w:val="0"/>
              <w:widowControl w:val="0"/>
              <w:suppressLineNumbers w:val="0"/>
              <w:adjustRightInd w:val="0"/>
              <w:spacing w:before="0" w:beforeAutospacing="0" w:after="0" w:afterAutospacing="0" w:line="360" w:lineRule="atLeast"/>
              <w:ind w:left="0" w:right="0"/>
              <w:jc w:val="both"/>
              <w:rPr>
                <w:rFonts w:hint="default" w:ascii="宋体" w:hAnsi="宋体" w:eastAsia="宋体" w:cs="宋体"/>
                <w:color w:val="auto"/>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577" w:type="dxa"/>
            <w:shd w:val="clear" w:color="auto" w:fill="auto"/>
            <w:vAlign w:val="top"/>
          </w:tcPr>
          <w:p>
            <w:pPr>
              <w:keepNext w:val="0"/>
              <w:keepLines w:val="0"/>
              <w:widowControl w:val="0"/>
              <w:suppressLineNumbers w:val="0"/>
              <w:adjustRightInd w:val="0"/>
              <w:spacing w:before="0" w:beforeAutospacing="0" w:after="0" w:afterAutospacing="0" w:line="360" w:lineRule="atLeast"/>
              <w:ind w:left="1200" w:right="0" w:hanging="1200" w:hangingChars="500"/>
              <w:jc w:val="both"/>
              <w:rPr>
                <w:rFonts w:hint="default" w:ascii="宋体" w:hAnsi="宋体" w:eastAsia="宋体" w:cs="宋体"/>
                <w:color w:val="auto"/>
                <w:szCs w:val="24"/>
                <w:highlight w:val="none"/>
                <w:lang w:val="en-US"/>
              </w:rPr>
            </w:pPr>
            <w:r>
              <w:rPr>
                <w:rFonts w:hint="eastAsia" w:ascii="宋体" w:hAnsi="宋体" w:eastAsia="宋体" w:cs="宋体"/>
                <w:color w:val="auto"/>
                <w:kern w:val="0"/>
                <w:sz w:val="24"/>
                <w:szCs w:val="24"/>
                <w:highlight w:val="none"/>
                <w:lang w:val="en-US" w:eastAsia="zh-CN" w:bidi="ar"/>
              </w:rPr>
              <w:t xml:space="preserve">地　　址： </w:t>
            </w:r>
          </w:p>
        </w:tc>
        <w:tc>
          <w:tcPr>
            <w:tcW w:w="897" w:type="dxa"/>
            <w:shd w:val="clear" w:color="auto" w:fill="auto"/>
            <w:vAlign w:val="top"/>
          </w:tcPr>
          <w:p>
            <w:pPr>
              <w:keepNext w:val="0"/>
              <w:keepLines w:val="0"/>
              <w:widowControl w:val="0"/>
              <w:suppressLineNumbers w:val="0"/>
              <w:adjustRightInd w:val="0"/>
              <w:spacing w:before="0" w:beforeAutospacing="0" w:after="0" w:afterAutospacing="0" w:line="360" w:lineRule="atLeast"/>
              <w:ind w:left="0" w:right="0"/>
              <w:jc w:val="both"/>
              <w:rPr>
                <w:rFonts w:hint="default" w:ascii="宋体" w:hAnsi="宋体" w:eastAsia="宋体" w:cs="宋体"/>
                <w:color w:val="auto"/>
                <w:szCs w:val="24"/>
                <w:highlight w:val="none"/>
                <w:lang w:val="en-US"/>
              </w:rPr>
            </w:pPr>
          </w:p>
        </w:tc>
        <w:tc>
          <w:tcPr>
            <w:tcW w:w="3945" w:type="dxa"/>
            <w:shd w:val="clear" w:color="auto" w:fill="auto"/>
            <w:vAlign w:val="top"/>
          </w:tcPr>
          <w:p>
            <w:pPr>
              <w:keepNext w:val="0"/>
              <w:keepLines w:val="0"/>
              <w:widowControl w:val="0"/>
              <w:suppressLineNumbers w:val="0"/>
              <w:adjustRightInd w:val="0"/>
              <w:spacing w:before="0" w:beforeAutospacing="0" w:after="0" w:afterAutospacing="0" w:line="360" w:lineRule="atLeast"/>
              <w:ind w:left="1080" w:right="0" w:hanging="1080" w:hangingChars="450"/>
              <w:jc w:val="both"/>
              <w:rPr>
                <w:rFonts w:hint="default" w:ascii="宋体" w:hAnsi="宋体" w:eastAsia="宋体" w:cs="宋体"/>
                <w:color w:val="auto"/>
                <w:szCs w:val="24"/>
                <w:highlight w:val="none"/>
                <w:lang w:val="en-US"/>
              </w:rPr>
            </w:pPr>
            <w:r>
              <w:rPr>
                <w:rFonts w:hint="eastAsia" w:ascii="宋体" w:hAnsi="宋体" w:eastAsia="宋体" w:cs="宋体"/>
                <w:color w:val="auto"/>
                <w:kern w:val="0"/>
                <w:sz w:val="24"/>
                <w:szCs w:val="24"/>
                <w:highlight w:val="none"/>
                <w:lang w:val="en-US" w:eastAsia="zh-CN" w:bidi="ar"/>
              </w:rPr>
              <w:t xml:space="preserve">地　　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577" w:type="dxa"/>
            <w:shd w:val="clear" w:color="auto" w:fill="auto"/>
            <w:vAlign w:val="top"/>
          </w:tcPr>
          <w:p>
            <w:pPr>
              <w:keepNext w:val="0"/>
              <w:keepLines w:val="0"/>
              <w:widowControl w:val="0"/>
              <w:suppressLineNumbers w:val="0"/>
              <w:adjustRightInd w:val="0"/>
              <w:spacing w:before="0" w:beforeAutospacing="0" w:after="0" w:afterAutospacing="0" w:line="360" w:lineRule="atLeast"/>
              <w:ind w:left="0" w:right="0"/>
              <w:jc w:val="both"/>
              <w:rPr>
                <w:rFonts w:hint="default" w:ascii="宋体" w:hAnsi="宋体" w:eastAsia="宋体" w:cs="宋体"/>
                <w:color w:val="auto"/>
                <w:szCs w:val="24"/>
                <w:highlight w:val="none"/>
                <w:lang w:val="en-US"/>
              </w:rPr>
            </w:pPr>
            <w:r>
              <w:rPr>
                <w:rFonts w:hint="eastAsia" w:ascii="宋体" w:hAnsi="宋体" w:eastAsia="宋体" w:cs="宋体"/>
                <w:color w:val="auto"/>
                <w:kern w:val="0"/>
                <w:sz w:val="24"/>
                <w:szCs w:val="24"/>
                <w:highlight w:val="none"/>
                <w:lang w:val="en-US" w:eastAsia="zh-CN" w:bidi="ar"/>
              </w:rPr>
              <w:t>邮政编码：</w:t>
            </w:r>
          </w:p>
        </w:tc>
        <w:tc>
          <w:tcPr>
            <w:tcW w:w="897" w:type="dxa"/>
            <w:shd w:val="clear" w:color="auto" w:fill="auto"/>
            <w:vAlign w:val="top"/>
          </w:tcPr>
          <w:p>
            <w:pPr>
              <w:keepNext w:val="0"/>
              <w:keepLines w:val="0"/>
              <w:widowControl w:val="0"/>
              <w:suppressLineNumbers w:val="0"/>
              <w:adjustRightInd w:val="0"/>
              <w:spacing w:before="0" w:beforeAutospacing="0" w:after="0" w:afterAutospacing="0" w:line="360" w:lineRule="atLeast"/>
              <w:ind w:left="0" w:right="0"/>
              <w:jc w:val="both"/>
              <w:rPr>
                <w:rFonts w:hint="default" w:ascii="宋体" w:hAnsi="宋体" w:eastAsia="宋体" w:cs="宋体"/>
                <w:color w:val="auto"/>
                <w:szCs w:val="24"/>
                <w:highlight w:val="none"/>
                <w:lang w:val="en-US"/>
              </w:rPr>
            </w:pPr>
          </w:p>
        </w:tc>
        <w:tc>
          <w:tcPr>
            <w:tcW w:w="3945" w:type="dxa"/>
            <w:shd w:val="clear" w:color="auto" w:fill="auto"/>
            <w:vAlign w:val="top"/>
          </w:tcPr>
          <w:p>
            <w:pPr>
              <w:keepNext w:val="0"/>
              <w:keepLines w:val="0"/>
              <w:widowControl w:val="0"/>
              <w:suppressLineNumbers w:val="0"/>
              <w:adjustRightInd w:val="0"/>
              <w:spacing w:before="0" w:beforeAutospacing="0" w:after="0" w:afterAutospacing="0" w:line="360" w:lineRule="atLeast"/>
              <w:ind w:left="0" w:right="0"/>
              <w:jc w:val="both"/>
              <w:rPr>
                <w:rFonts w:hint="default" w:ascii="宋体" w:hAnsi="宋体" w:eastAsia="宋体" w:cs="宋体"/>
                <w:color w:val="auto"/>
                <w:szCs w:val="24"/>
                <w:highlight w:val="none"/>
                <w:lang w:val="en-US"/>
              </w:rPr>
            </w:pPr>
            <w:r>
              <w:rPr>
                <w:rFonts w:hint="eastAsia" w:ascii="宋体" w:hAnsi="宋体" w:eastAsia="宋体" w:cs="宋体"/>
                <w:color w:val="auto"/>
                <w:kern w:val="0"/>
                <w:sz w:val="24"/>
                <w:szCs w:val="24"/>
                <w:highlight w:val="none"/>
                <w:lang w:val="en-US" w:eastAsia="zh-CN" w:bidi="ar"/>
              </w:rPr>
              <w:t xml:space="preserve">邮政编码：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4577" w:type="dxa"/>
            <w:shd w:val="clear" w:color="auto" w:fill="auto"/>
            <w:vAlign w:val="top"/>
          </w:tcPr>
          <w:p>
            <w:pPr>
              <w:keepNext w:val="0"/>
              <w:keepLines w:val="0"/>
              <w:widowControl w:val="0"/>
              <w:suppressLineNumbers w:val="0"/>
              <w:adjustRightInd w:val="0"/>
              <w:spacing w:before="0" w:beforeAutospacing="0" w:after="0" w:afterAutospacing="0" w:line="360" w:lineRule="atLeast"/>
              <w:ind w:left="0" w:right="0"/>
              <w:jc w:val="both"/>
              <w:rPr>
                <w:rFonts w:hint="default" w:ascii="宋体" w:hAnsi="宋体" w:eastAsia="宋体" w:cs="宋体"/>
                <w:color w:val="auto"/>
                <w:szCs w:val="24"/>
                <w:highlight w:val="none"/>
                <w:lang w:val="en-US"/>
              </w:rPr>
            </w:pPr>
            <w:r>
              <w:rPr>
                <w:rFonts w:hint="eastAsia" w:ascii="宋体" w:hAnsi="宋体" w:eastAsia="宋体" w:cs="宋体"/>
                <w:color w:val="auto"/>
                <w:kern w:val="0"/>
                <w:sz w:val="24"/>
                <w:szCs w:val="24"/>
                <w:highlight w:val="none"/>
                <w:lang w:val="en-US" w:eastAsia="zh-CN" w:bidi="ar"/>
              </w:rPr>
              <w:t xml:space="preserve">电　　话： </w:t>
            </w:r>
          </w:p>
        </w:tc>
        <w:tc>
          <w:tcPr>
            <w:tcW w:w="897" w:type="dxa"/>
            <w:shd w:val="clear" w:color="auto" w:fill="auto"/>
            <w:vAlign w:val="top"/>
          </w:tcPr>
          <w:p>
            <w:pPr>
              <w:keepNext w:val="0"/>
              <w:keepLines w:val="0"/>
              <w:widowControl w:val="0"/>
              <w:suppressLineNumbers w:val="0"/>
              <w:adjustRightInd w:val="0"/>
              <w:spacing w:before="0" w:beforeAutospacing="0" w:after="0" w:afterAutospacing="0" w:line="360" w:lineRule="atLeast"/>
              <w:ind w:left="0" w:right="0"/>
              <w:jc w:val="both"/>
              <w:rPr>
                <w:rFonts w:hint="default" w:ascii="宋体" w:hAnsi="宋体" w:eastAsia="宋体" w:cs="宋体"/>
                <w:color w:val="auto"/>
                <w:szCs w:val="24"/>
                <w:highlight w:val="none"/>
                <w:lang w:val="en-US"/>
              </w:rPr>
            </w:pPr>
          </w:p>
        </w:tc>
        <w:tc>
          <w:tcPr>
            <w:tcW w:w="3945" w:type="dxa"/>
            <w:shd w:val="clear" w:color="auto" w:fill="auto"/>
            <w:vAlign w:val="top"/>
          </w:tcPr>
          <w:p>
            <w:pPr>
              <w:keepNext w:val="0"/>
              <w:keepLines w:val="0"/>
              <w:widowControl w:val="0"/>
              <w:suppressLineNumbers w:val="0"/>
              <w:adjustRightInd w:val="0"/>
              <w:spacing w:before="0" w:beforeAutospacing="0" w:after="0" w:afterAutospacing="0" w:line="360" w:lineRule="atLeast"/>
              <w:ind w:left="0" w:right="0"/>
              <w:jc w:val="both"/>
              <w:rPr>
                <w:rFonts w:hint="default" w:ascii="宋体" w:hAnsi="宋体" w:eastAsia="宋体" w:cs="宋体"/>
                <w:color w:val="auto"/>
                <w:szCs w:val="24"/>
                <w:highlight w:val="none"/>
                <w:lang w:val="en-US"/>
              </w:rPr>
            </w:pPr>
            <w:r>
              <w:rPr>
                <w:rFonts w:hint="eastAsia" w:ascii="宋体" w:hAnsi="宋体" w:eastAsia="宋体" w:cs="宋体"/>
                <w:color w:val="auto"/>
                <w:kern w:val="0"/>
                <w:sz w:val="24"/>
                <w:szCs w:val="24"/>
                <w:highlight w:val="none"/>
                <w:lang w:val="en-US" w:eastAsia="zh-CN" w:bidi="ar"/>
              </w:rPr>
              <w:t xml:space="preserve">电　　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4577" w:type="dxa"/>
            <w:shd w:val="clear" w:color="auto" w:fill="auto"/>
            <w:vAlign w:val="top"/>
          </w:tcPr>
          <w:p>
            <w:pPr>
              <w:keepNext w:val="0"/>
              <w:keepLines w:val="0"/>
              <w:widowControl w:val="0"/>
              <w:suppressLineNumbers w:val="0"/>
              <w:adjustRightInd w:val="0"/>
              <w:spacing w:before="0" w:beforeAutospacing="0" w:after="0" w:afterAutospacing="0" w:line="360" w:lineRule="atLeast"/>
              <w:ind w:left="0" w:right="0"/>
              <w:jc w:val="both"/>
              <w:rPr>
                <w:rFonts w:hint="default" w:ascii="宋体" w:hAnsi="宋体" w:eastAsia="宋体" w:cs="宋体"/>
                <w:color w:val="auto"/>
                <w:szCs w:val="24"/>
                <w:highlight w:val="none"/>
                <w:lang w:val="en-US"/>
              </w:rPr>
            </w:pPr>
            <w:r>
              <w:rPr>
                <w:rFonts w:hint="eastAsia" w:ascii="宋体" w:hAnsi="宋体" w:eastAsia="宋体" w:cs="宋体"/>
                <w:color w:val="auto"/>
                <w:kern w:val="0"/>
                <w:sz w:val="24"/>
                <w:szCs w:val="24"/>
                <w:highlight w:val="none"/>
                <w:lang w:val="en-US" w:eastAsia="zh-CN" w:bidi="ar"/>
              </w:rPr>
              <w:t>传　　真：</w:t>
            </w:r>
          </w:p>
        </w:tc>
        <w:tc>
          <w:tcPr>
            <w:tcW w:w="897" w:type="dxa"/>
            <w:shd w:val="clear" w:color="auto" w:fill="auto"/>
            <w:vAlign w:val="top"/>
          </w:tcPr>
          <w:p>
            <w:pPr>
              <w:keepNext w:val="0"/>
              <w:keepLines w:val="0"/>
              <w:widowControl w:val="0"/>
              <w:suppressLineNumbers w:val="0"/>
              <w:adjustRightInd w:val="0"/>
              <w:spacing w:before="0" w:beforeAutospacing="0" w:after="0" w:afterAutospacing="0" w:line="360" w:lineRule="atLeast"/>
              <w:ind w:left="0" w:right="0"/>
              <w:jc w:val="both"/>
              <w:rPr>
                <w:rFonts w:hint="default" w:ascii="宋体" w:hAnsi="宋体" w:eastAsia="宋体" w:cs="宋体"/>
                <w:color w:val="auto"/>
                <w:szCs w:val="24"/>
                <w:highlight w:val="none"/>
                <w:lang w:val="en-US"/>
              </w:rPr>
            </w:pPr>
          </w:p>
        </w:tc>
        <w:tc>
          <w:tcPr>
            <w:tcW w:w="3945" w:type="dxa"/>
            <w:shd w:val="clear" w:color="auto" w:fill="auto"/>
            <w:vAlign w:val="top"/>
          </w:tcPr>
          <w:p>
            <w:pPr>
              <w:keepNext w:val="0"/>
              <w:keepLines w:val="0"/>
              <w:widowControl w:val="0"/>
              <w:suppressLineNumbers w:val="0"/>
              <w:adjustRightInd w:val="0"/>
              <w:spacing w:before="0" w:beforeAutospacing="0" w:after="0" w:afterAutospacing="0" w:line="360" w:lineRule="atLeast"/>
              <w:ind w:left="0" w:right="0"/>
              <w:jc w:val="both"/>
              <w:rPr>
                <w:rFonts w:hint="default" w:ascii="宋体" w:hAnsi="宋体" w:eastAsia="宋体" w:cs="宋体"/>
                <w:color w:val="auto"/>
                <w:szCs w:val="24"/>
                <w:highlight w:val="none"/>
                <w:lang w:val="en-US"/>
              </w:rPr>
            </w:pPr>
            <w:r>
              <w:rPr>
                <w:rFonts w:hint="eastAsia" w:ascii="宋体" w:hAnsi="宋体" w:eastAsia="宋体" w:cs="宋体"/>
                <w:color w:val="auto"/>
                <w:kern w:val="0"/>
                <w:sz w:val="24"/>
                <w:szCs w:val="24"/>
                <w:highlight w:val="none"/>
                <w:lang w:val="en-US" w:eastAsia="zh-CN" w:bidi="ar"/>
              </w:rPr>
              <w:t xml:space="preserve">传　　真：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577" w:type="dxa"/>
            <w:shd w:val="clear" w:color="auto" w:fill="auto"/>
            <w:vAlign w:val="top"/>
          </w:tcPr>
          <w:p>
            <w:pPr>
              <w:keepNext w:val="0"/>
              <w:keepLines w:val="0"/>
              <w:widowControl w:val="0"/>
              <w:suppressLineNumbers w:val="0"/>
              <w:adjustRightInd w:val="0"/>
              <w:spacing w:before="0" w:beforeAutospacing="0" w:after="0" w:afterAutospacing="0" w:line="360" w:lineRule="atLeast"/>
              <w:ind w:left="0" w:right="0"/>
              <w:jc w:val="both"/>
              <w:rPr>
                <w:rFonts w:hint="default" w:ascii="宋体" w:hAnsi="宋体" w:eastAsia="宋体" w:cs="宋体"/>
                <w:color w:val="auto"/>
                <w:szCs w:val="24"/>
                <w:highlight w:val="none"/>
                <w:lang w:val="en-US"/>
              </w:rPr>
            </w:pPr>
          </w:p>
        </w:tc>
        <w:tc>
          <w:tcPr>
            <w:tcW w:w="897" w:type="dxa"/>
            <w:shd w:val="clear" w:color="auto" w:fill="auto"/>
            <w:vAlign w:val="top"/>
          </w:tcPr>
          <w:p>
            <w:pPr>
              <w:keepNext w:val="0"/>
              <w:keepLines w:val="0"/>
              <w:widowControl w:val="0"/>
              <w:suppressLineNumbers w:val="0"/>
              <w:adjustRightInd w:val="0"/>
              <w:spacing w:before="0" w:beforeAutospacing="0" w:after="0" w:afterAutospacing="0" w:line="360" w:lineRule="atLeast"/>
              <w:ind w:left="0" w:right="0"/>
              <w:jc w:val="both"/>
              <w:rPr>
                <w:rFonts w:hint="default" w:ascii="宋体" w:hAnsi="宋体" w:eastAsia="宋体" w:cs="宋体"/>
                <w:color w:val="auto"/>
                <w:szCs w:val="24"/>
                <w:highlight w:val="none"/>
                <w:lang w:val="en-US"/>
              </w:rPr>
            </w:pPr>
          </w:p>
        </w:tc>
        <w:tc>
          <w:tcPr>
            <w:tcW w:w="3945" w:type="dxa"/>
            <w:shd w:val="clear" w:color="auto" w:fill="auto"/>
            <w:vAlign w:val="top"/>
          </w:tcPr>
          <w:p>
            <w:pPr>
              <w:keepNext w:val="0"/>
              <w:keepLines w:val="0"/>
              <w:widowControl w:val="0"/>
              <w:suppressLineNumbers w:val="0"/>
              <w:adjustRightInd w:val="0"/>
              <w:spacing w:before="0" w:beforeAutospacing="0" w:after="0" w:afterAutospacing="0" w:line="360" w:lineRule="atLeast"/>
              <w:ind w:left="0" w:right="0"/>
              <w:jc w:val="both"/>
              <w:rPr>
                <w:rFonts w:hint="default" w:ascii="宋体" w:hAnsi="宋体" w:eastAsia="宋体" w:cs="宋体"/>
                <w:color w:val="auto"/>
                <w:szCs w:val="24"/>
                <w:highlight w:val="none"/>
                <w:lang w:val="en-US"/>
              </w:rPr>
            </w:pPr>
            <w:r>
              <w:rPr>
                <w:rFonts w:hint="eastAsia" w:ascii="宋体" w:hAnsi="宋体" w:eastAsia="宋体" w:cs="宋体"/>
                <w:color w:val="auto"/>
                <w:kern w:val="0"/>
                <w:sz w:val="24"/>
                <w:szCs w:val="24"/>
                <w:highlight w:val="none"/>
                <w:lang w:val="en-US" w:eastAsia="zh-CN" w:bidi="ar"/>
              </w:rPr>
              <w:t xml:space="preserve">开户银行：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 w:hRule="atLeast"/>
        </w:trPr>
        <w:tc>
          <w:tcPr>
            <w:tcW w:w="4577" w:type="dxa"/>
            <w:shd w:val="clear" w:color="auto" w:fill="auto"/>
            <w:vAlign w:val="top"/>
          </w:tcPr>
          <w:p>
            <w:pPr>
              <w:keepNext w:val="0"/>
              <w:keepLines w:val="0"/>
              <w:widowControl w:val="0"/>
              <w:suppressLineNumbers w:val="0"/>
              <w:adjustRightInd w:val="0"/>
              <w:spacing w:before="0" w:beforeAutospacing="0" w:after="0" w:afterAutospacing="0" w:line="360" w:lineRule="atLeast"/>
              <w:ind w:left="0" w:right="0"/>
              <w:jc w:val="both"/>
              <w:rPr>
                <w:rFonts w:hint="default" w:ascii="宋体" w:hAnsi="宋体" w:eastAsia="宋体" w:cs="宋体"/>
                <w:color w:val="auto"/>
                <w:szCs w:val="24"/>
                <w:highlight w:val="none"/>
                <w:lang w:val="en-US"/>
              </w:rPr>
            </w:pPr>
          </w:p>
        </w:tc>
        <w:tc>
          <w:tcPr>
            <w:tcW w:w="897" w:type="dxa"/>
            <w:shd w:val="clear" w:color="auto" w:fill="auto"/>
            <w:vAlign w:val="top"/>
          </w:tcPr>
          <w:p>
            <w:pPr>
              <w:keepNext w:val="0"/>
              <w:keepLines w:val="0"/>
              <w:widowControl w:val="0"/>
              <w:suppressLineNumbers w:val="0"/>
              <w:adjustRightInd w:val="0"/>
              <w:spacing w:before="0" w:beforeAutospacing="0" w:after="0" w:afterAutospacing="0" w:line="360" w:lineRule="atLeast"/>
              <w:ind w:left="0" w:right="0"/>
              <w:jc w:val="both"/>
              <w:rPr>
                <w:rFonts w:hint="default" w:ascii="宋体" w:hAnsi="宋体" w:eastAsia="宋体" w:cs="宋体"/>
                <w:color w:val="auto"/>
                <w:szCs w:val="24"/>
                <w:highlight w:val="none"/>
                <w:lang w:val="en-US"/>
              </w:rPr>
            </w:pPr>
          </w:p>
        </w:tc>
        <w:tc>
          <w:tcPr>
            <w:tcW w:w="3945" w:type="dxa"/>
            <w:shd w:val="clear" w:color="auto" w:fill="auto"/>
            <w:vAlign w:val="top"/>
          </w:tcPr>
          <w:p>
            <w:pPr>
              <w:keepNext w:val="0"/>
              <w:keepLines w:val="0"/>
              <w:widowControl w:val="0"/>
              <w:suppressLineNumbers w:val="0"/>
              <w:adjustRightInd w:val="0"/>
              <w:spacing w:before="0" w:beforeAutospacing="0" w:after="0" w:afterAutospacing="0" w:line="360" w:lineRule="atLeast"/>
              <w:ind w:left="0" w:right="0"/>
              <w:jc w:val="both"/>
              <w:rPr>
                <w:rFonts w:hint="default" w:ascii="宋体" w:hAnsi="宋体" w:eastAsia="宋体" w:cs="宋体"/>
                <w:color w:val="auto"/>
                <w:szCs w:val="24"/>
                <w:highlight w:val="none"/>
                <w:lang w:val="en-US"/>
              </w:rPr>
            </w:pPr>
            <w:r>
              <w:rPr>
                <w:rFonts w:hint="eastAsia" w:ascii="宋体" w:hAnsi="宋体" w:eastAsia="宋体" w:cs="宋体"/>
                <w:color w:val="auto"/>
                <w:kern w:val="0"/>
                <w:sz w:val="24"/>
                <w:szCs w:val="24"/>
                <w:highlight w:val="none"/>
                <w:lang w:val="en-US" w:eastAsia="zh-CN" w:bidi="ar"/>
              </w:rPr>
              <w:t xml:space="preserve">银行账号： </w:t>
            </w:r>
          </w:p>
        </w:tc>
      </w:tr>
    </w:tbl>
    <w:p>
      <w:pPr>
        <w:keepNext w:val="0"/>
        <w:keepLines w:val="0"/>
        <w:widowControl w:val="0"/>
        <w:suppressLineNumbers w:val="0"/>
        <w:adjustRightInd w:val="0"/>
        <w:spacing w:before="0" w:beforeAutospacing="0" w:after="0" w:afterAutospacing="0" w:line="420" w:lineRule="exact"/>
        <w:ind w:left="0" w:right="0" w:firstLine="573"/>
        <w:jc w:val="both"/>
        <w:rPr>
          <w:rFonts w:hint="eastAsia" w:ascii="宋体" w:hAnsi="宋体" w:eastAsia="宋体" w:cs="宋体"/>
          <w:color w:val="auto"/>
          <w:szCs w:val="24"/>
          <w:highlight w:val="none"/>
          <w:lang w:val="en-US"/>
        </w:rPr>
      </w:pPr>
    </w:p>
    <w:p>
      <w:pPr>
        <w:pStyle w:val="2"/>
        <w:rPr>
          <w:rFonts w:hint="eastAsia" w:ascii="宋体" w:hAnsi="宋体" w:eastAsia="宋体" w:cs="宋体"/>
          <w:color w:val="auto"/>
          <w:szCs w:val="24"/>
          <w:highlight w:val="none"/>
          <w:lang w:val="en-US"/>
        </w:rPr>
      </w:pPr>
    </w:p>
    <w:p>
      <w:pPr>
        <w:pStyle w:val="2"/>
        <w:rPr>
          <w:rFonts w:hint="eastAsia" w:ascii="宋体" w:hAnsi="宋体" w:eastAsia="宋体" w:cs="宋体"/>
          <w:color w:val="auto"/>
          <w:szCs w:val="24"/>
          <w:highlight w:val="none"/>
          <w:lang w:val="en-US"/>
        </w:rPr>
      </w:pPr>
    </w:p>
    <w:p>
      <w:pPr>
        <w:pStyle w:val="2"/>
        <w:rPr>
          <w:rFonts w:hint="eastAsia" w:ascii="宋体" w:hAnsi="宋体" w:eastAsia="宋体" w:cs="宋体"/>
          <w:color w:val="auto"/>
          <w:szCs w:val="24"/>
          <w:highlight w:val="none"/>
          <w:lang w:val="en-US"/>
        </w:rPr>
      </w:pPr>
    </w:p>
    <w:p>
      <w:pPr>
        <w:pStyle w:val="2"/>
        <w:rPr>
          <w:rFonts w:hint="eastAsia" w:ascii="宋体" w:hAnsi="宋体" w:eastAsia="宋体" w:cs="宋体"/>
          <w:color w:val="auto"/>
          <w:szCs w:val="24"/>
          <w:highlight w:val="none"/>
          <w:lang w:val="en-US"/>
        </w:rPr>
      </w:pPr>
    </w:p>
    <w:p>
      <w:pPr>
        <w:pStyle w:val="2"/>
        <w:rPr>
          <w:rFonts w:hint="eastAsia" w:ascii="宋体" w:hAnsi="宋体" w:eastAsia="宋体" w:cs="宋体"/>
          <w:color w:val="auto"/>
          <w:szCs w:val="24"/>
          <w:highlight w:val="none"/>
          <w:lang w:val="en-US"/>
        </w:rPr>
      </w:pPr>
    </w:p>
    <w:p>
      <w:pPr>
        <w:pStyle w:val="2"/>
        <w:rPr>
          <w:rFonts w:hint="eastAsia" w:ascii="宋体" w:hAnsi="宋体" w:eastAsia="宋体" w:cs="宋体"/>
          <w:color w:val="auto"/>
          <w:szCs w:val="24"/>
          <w:highlight w:val="none"/>
          <w:lang w:val="en-US"/>
        </w:rPr>
      </w:pPr>
    </w:p>
    <w:p>
      <w:pPr>
        <w:pStyle w:val="2"/>
        <w:rPr>
          <w:rFonts w:hint="eastAsia" w:ascii="宋体" w:hAnsi="宋体" w:eastAsia="宋体" w:cs="宋体"/>
          <w:color w:val="auto"/>
          <w:szCs w:val="24"/>
          <w:highlight w:val="none"/>
          <w:lang w:val="en-US"/>
        </w:rPr>
      </w:pPr>
    </w:p>
    <w:p>
      <w:pPr>
        <w:pStyle w:val="2"/>
        <w:rPr>
          <w:rFonts w:hint="eastAsia" w:ascii="宋体" w:hAnsi="宋体" w:eastAsia="宋体" w:cs="宋体"/>
          <w:color w:val="auto"/>
          <w:szCs w:val="24"/>
          <w:highlight w:val="none"/>
          <w:lang w:val="en-US"/>
        </w:rPr>
      </w:pPr>
    </w:p>
    <w:p>
      <w:pPr>
        <w:pStyle w:val="2"/>
        <w:rPr>
          <w:rFonts w:hint="eastAsia" w:ascii="宋体" w:hAnsi="宋体" w:eastAsia="宋体" w:cs="宋体"/>
          <w:color w:val="auto"/>
          <w:szCs w:val="24"/>
          <w:highlight w:val="none"/>
          <w:lang w:val="en-US"/>
        </w:rPr>
      </w:pPr>
    </w:p>
    <w:p>
      <w:pPr>
        <w:pStyle w:val="2"/>
        <w:rPr>
          <w:rFonts w:hint="eastAsia" w:ascii="宋体" w:hAnsi="宋体" w:eastAsia="宋体" w:cs="宋体"/>
          <w:color w:val="auto"/>
          <w:szCs w:val="24"/>
          <w:highlight w:val="none"/>
          <w:lang w:val="en-US"/>
        </w:rPr>
      </w:pPr>
    </w:p>
    <w:p>
      <w:pPr>
        <w:pStyle w:val="2"/>
        <w:rPr>
          <w:rFonts w:hint="eastAsia" w:ascii="宋体" w:hAnsi="宋体" w:eastAsia="宋体" w:cs="宋体"/>
          <w:color w:val="auto"/>
          <w:szCs w:val="24"/>
          <w:highlight w:val="none"/>
          <w:lang w:val="en-US"/>
        </w:rPr>
      </w:pPr>
    </w:p>
    <w:p>
      <w:pPr>
        <w:pStyle w:val="2"/>
        <w:rPr>
          <w:rFonts w:hint="eastAsia" w:ascii="宋体" w:hAnsi="宋体" w:eastAsia="宋体" w:cs="宋体"/>
          <w:color w:val="auto"/>
          <w:szCs w:val="24"/>
          <w:highlight w:val="none"/>
          <w:lang w:val="en-US"/>
        </w:rPr>
      </w:pPr>
    </w:p>
    <w:p>
      <w:pPr>
        <w:pStyle w:val="2"/>
        <w:rPr>
          <w:rFonts w:hint="eastAsia" w:ascii="宋体" w:hAnsi="宋体" w:eastAsia="宋体" w:cs="宋体"/>
          <w:color w:val="auto"/>
          <w:szCs w:val="24"/>
          <w:highlight w:val="none"/>
          <w:lang w:val="en-US"/>
        </w:rPr>
      </w:pPr>
    </w:p>
    <w:p>
      <w:pPr>
        <w:pStyle w:val="2"/>
        <w:rPr>
          <w:rFonts w:hint="eastAsia" w:ascii="宋体" w:hAnsi="宋体" w:eastAsia="宋体" w:cs="宋体"/>
          <w:color w:val="auto"/>
          <w:szCs w:val="24"/>
          <w:highlight w:val="none"/>
          <w:lang w:val="en-US"/>
        </w:rPr>
      </w:pPr>
    </w:p>
    <w:p>
      <w:pPr>
        <w:pStyle w:val="2"/>
        <w:rPr>
          <w:rFonts w:hint="eastAsia" w:ascii="宋体" w:hAnsi="宋体" w:eastAsia="宋体" w:cs="宋体"/>
          <w:color w:val="auto"/>
          <w:szCs w:val="24"/>
          <w:highlight w:val="none"/>
          <w:lang w:val="en-US"/>
        </w:rPr>
      </w:pPr>
    </w:p>
    <w:p>
      <w:pPr>
        <w:pStyle w:val="2"/>
        <w:rPr>
          <w:rFonts w:hint="eastAsia" w:ascii="宋体" w:hAnsi="宋体" w:eastAsia="宋体" w:cs="宋体"/>
          <w:color w:val="auto"/>
          <w:szCs w:val="24"/>
          <w:highlight w:val="none"/>
          <w:lang w:val="en-US"/>
        </w:rPr>
      </w:pPr>
    </w:p>
    <w:p>
      <w:pPr>
        <w:pStyle w:val="2"/>
        <w:rPr>
          <w:rFonts w:hint="eastAsia" w:ascii="宋体" w:hAnsi="宋体" w:eastAsia="宋体" w:cs="宋体"/>
          <w:color w:val="auto"/>
          <w:szCs w:val="24"/>
          <w:highlight w:val="none"/>
          <w:lang w:val="en-US"/>
        </w:rPr>
      </w:pPr>
    </w:p>
    <w:p>
      <w:pPr>
        <w:pStyle w:val="2"/>
        <w:rPr>
          <w:rFonts w:hint="eastAsia" w:ascii="宋体" w:hAnsi="宋体" w:eastAsia="宋体" w:cs="宋体"/>
          <w:color w:val="auto"/>
          <w:szCs w:val="24"/>
          <w:highlight w:val="none"/>
          <w:lang w:val="en-US"/>
        </w:rPr>
      </w:pPr>
    </w:p>
    <w:p>
      <w:pPr>
        <w:pStyle w:val="2"/>
        <w:rPr>
          <w:rFonts w:hint="eastAsia" w:ascii="宋体" w:hAnsi="宋体" w:eastAsia="宋体" w:cs="宋体"/>
          <w:color w:val="auto"/>
          <w:szCs w:val="24"/>
          <w:highlight w:val="none"/>
          <w:lang w:val="en-US"/>
        </w:rPr>
      </w:pPr>
    </w:p>
    <w:p>
      <w:pPr>
        <w:pStyle w:val="2"/>
        <w:rPr>
          <w:rFonts w:hint="eastAsia" w:ascii="宋体" w:hAnsi="宋体" w:eastAsia="宋体" w:cs="宋体"/>
          <w:color w:val="auto"/>
          <w:szCs w:val="24"/>
          <w:highlight w:val="none"/>
          <w:lang w:val="en-US"/>
        </w:rPr>
      </w:pPr>
    </w:p>
    <w:p>
      <w:pPr>
        <w:pStyle w:val="2"/>
        <w:rPr>
          <w:rFonts w:hint="eastAsia" w:ascii="宋体" w:hAnsi="宋体" w:eastAsia="宋体" w:cs="宋体"/>
          <w:color w:val="auto"/>
          <w:szCs w:val="24"/>
          <w:highlight w:val="none"/>
          <w:lang w:val="en-US"/>
        </w:rPr>
      </w:pPr>
    </w:p>
    <w:p>
      <w:pPr>
        <w:pStyle w:val="2"/>
        <w:rPr>
          <w:rFonts w:hint="eastAsia" w:ascii="宋体" w:hAnsi="宋体" w:eastAsia="宋体" w:cs="宋体"/>
          <w:color w:val="auto"/>
          <w:szCs w:val="24"/>
          <w:highlight w:val="none"/>
          <w:lang w:val="en-US"/>
        </w:rPr>
      </w:pPr>
    </w:p>
    <w:p>
      <w:pPr>
        <w:pStyle w:val="2"/>
        <w:rPr>
          <w:rFonts w:hint="eastAsia" w:ascii="宋体" w:hAnsi="宋体" w:eastAsia="宋体" w:cs="宋体"/>
          <w:color w:val="auto"/>
          <w:szCs w:val="24"/>
          <w:highlight w:val="none"/>
          <w:lang w:val="en-US"/>
        </w:rPr>
      </w:pPr>
    </w:p>
    <w:p>
      <w:pPr>
        <w:pStyle w:val="2"/>
        <w:rPr>
          <w:rFonts w:hint="eastAsia" w:ascii="宋体" w:hAnsi="宋体" w:eastAsia="宋体" w:cs="宋体"/>
          <w:color w:val="auto"/>
          <w:szCs w:val="24"/>
          <w:highlight w:val="none"/>
          <w:lang w:val="en-US"/>
        </w:rPr>
      </w:pPr>
    </w:p>
    <w:p>
      <w:pPr>
        <w:pStyle w:val="2"/>
        <w:rPr>
          <w:rFonts w:hint="eastAsia" w:ascii="宋体" w:hAnsi="宋体" w:eastAsia="宋体" w:cs="宋体"/>
          <w:color w:val="auto"/>
          <w:szCs w:val="24"/>
          <w:highlight w:val="none"/>
          <w:lang w:val="en-US"/>
        </w:rPr>
      </w:pPr>
    </w:p>
    <w:p>
      <w:pPr>
        <w:pStyle w:val="2"/>
        <w:rPr>
          <w:rFonts w:hint="eastAsia" w:ascii="宋体" w:hAnsi="宋体" w:eastAsia="宋体" w:cs="宋体"/>
          <w:color w:val="auto"/>
          <w:szCs w:val="24"/>
          <w:highlight w:val="none"/>
          <w:lang w:val="en-US"/>
        </w:rPr>
      </w:pPr>
    </w:p>
    <w:p>
      <w:pPr>
        <w:pStyle w:val="2"/>
        <w:rPr>
          <w:rFonts w:hint="eastAsia" w:ascii="宋体" w:hAnsi="宋体" w:eastAsia="宋体" w:cs="宋体"/>
          <w:color w:val="auto"/>
          <w:szCs w:val="24"/>
          <w:highlight w:val="none"/>
          <w:lang w:val="en-US"/>
        </w:rPr>
      </w:pP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黑体" w:hAnsi="宋体" w:eastAsia="黑体" w:cs="Times New Roman"/>
          <w:color w:val="auto"/>
          <w:kern w:val="2"/>
          <w:sz w:val="24"/>
          <w:szCs w:val="24"/>
          <w:highlight w:val="none"/>
        </w:rPr>
      </w:pPr>
    </w:p>
    <w:p>
      <w:pPr>
        <w:pStyle w:val="6"/>
        <w:widowControl/>
        <w:rPr>
          <w:rFonts w:hint="eastAsia" w:ascii="宋体" w:hAnsi="宋体" w:eastAsia="宋体" w:cs="Times New Roman"/>
          <w:b w:val="0"/>
          <w:color w:val="auto"/>
          <w:spacing w:val="-20"/>
          <w:kern w:val="10"/>
          <w:sz w:val="44"/>
          <w:szCs w:val="44"/>
          <w:highlight w:val="none"/>
        </w:rPr>
      </w:pPr>
      <w:r>
        <w:rPr>
          <w:rFonts w:hint="eastAsia" w:ascii="宋体" w:hAnsi="宋体" w:eastAsia="宋体" w:cs="Times New Roman"/>
          <w:b w:val="0"/>
          <w:color w:val="auto"/>
          <w:spacing w:val="-20"/>
          <w:kern w:val="10"/>
          <w:sz w:val="44"/>
          <w:szCs w:val="44"/>
          <w:highlight w:val="none"/>
        </w:rPr>
        <w:t xml:space="preserve"> </w:t>
      </w:r>
    </w:p>
    <w:p>
      <w:pPr>
        <w:pStyle w:val="6"/>
        <w:widowControl/>
        <w:rPr>
          <w:rFonts w:hint="eastAsia" w:ascii="宋体" w:hAnsi="宋体" w:eastAsia="宋体" w:cs="Times New Roman"/>
          <w:b w:val="0"/>
          <w:color w:val="auto"/>
          <w:spacing w:val="-20"/>
          <w:kern w:val="10"/>
          <w:sz w:val="44"/>
          <w:szCs w:val="44"/>
          <w:highlight w:val="none"/>
        </w:rPr>
      </w:pPr>
      <w:r>
        <w:rPr>
          <w:rFonts w:hint="eastAsia" w:ascii="宋体" w:hAnsi="宋体" w:eastAsia="宋体" w:cs="宋体"/>
          <w:b w:val="0"/>
          <w:color w:val="auto"/>
          <w:spacing w:val="-20"/>
          <w:kern w:val="10"/>
          <w:sz w:val="44"/>
          <w:szCs w:val="44"/>
          <w:highlight w:val="none"/>
        </w:rPr>
        <w:t>优胜设计方案奖励协议</w:t>
      </w:r>
    </w:p>
    <w:p>
      <w:pPr>
        <w:keepNext w:val="0"/>
        <w:keepLines w:val="0"/>
        <w:widowControl w:val="0"/>
        <w:suppressLineNumbers w:val="0"/>
        <w:spacing w:before="0" w:beforeAutospacing="0" w:after="0" w:afterAutospacing="0"/>
        <w:ind w:left="0" w:right="0"/>
        <w:jc w:val="center"/>
        <w:rPr>
          <w:rFonts w:hint="eastAsia" w:ascii="宋体" w:hAnsi="宋体" w:eastAsia="宋体" w:cs="Times New Roman"/>
          <w:b w:val="0"/>
          <w:color w:val="auto"/>
          <w:spacing w:val="-20"/>
          <w:kern w:val="10"/>
          <w:sz w:val="32"/>
          <w:szCs w:val="32"/>
          <w:highlight w:val="none"/>
        </w:rPr>
      </w:pPr>
      <w:r>
        <w:rPr>
          <w:rFonts w:hint="default" w:cs="Times New Roman"/>
          <w:b w:val="0"/>
          <w:color w:val="auto"/>
          <w:spacing w:val="-20"/>
          <w:kern w:val="10"/>
          <w:sz w:val="32"/>
          <w:szCs w:val="32"/>
          <w:highlight w:val="none"/>
        </w:rPr>
        <w:t>（</w:t>
      </w:r>
      <w:r>
        <w:rPr>
          <w:rFonts w:hint="eastAsia" w:ascii="宋体" w:hAnsi="宋体" w:eastAsia="宋体" w:cs="宋体"/>
          <w:b w:val="0"/>
          <w:color w:val="auto"/>
          <w:spacing w:val="-20"/>
          <w:kern w:val="10"/>
          <w:sz w:val="32"/>
          <w:szCs w:val="32"/>
          <w:highlight w:val="none"/>
          <w:lang w:val="en-US" w:eastAsia="zh-CN" w:bidi="ar"/>
        </w:rPr>
        <w:t>二</w:t>
      </w:r>
      <w:r>
        <w:rPr>
          <w:rFonts w:hint="default" w:ascii="Calibri" w:hAnsi="Calibri" w:eastAsia="宋体" w:cs="Calibri"/>
          <w:b w:val="0"/>
          <w:color w:val="auto"/>
          <w:spacing w:val="-20"/>
          <w:kern w:val="10"/>
          <w:sz w:val="32"/>
          <w:szCs w:val="32"/>
          <w:highlight w:val="none"/>
          <w:lang w:val="en-US" w:eastAsia="zh-CN" w:bidi="ar"/>
        </w:rPr>
        <w:t>/</w:t>
      </w:r>
      <w:r>
        <w:rPr>
          <w:rFonts w:hint="eastAsia" w:ascii="宋体" w:hAnsi="宋体" w:eastAsia="宋体" w:cs="宋体"/>
          <w:b w:val="0"/>
          <w:color w:val="auto"/>
          <w:spacing w:val="-20"/>
          <w:kern w:val="10"/>
          <w:sz w:val="32"/>
          <w:szCs w:val="32"/>
          <w:highlight w:val="none"/>
          <w:lang w:val="en-US" w:eastAsia="zh-CN" w:bidi="ar"/>
        </w:rPr>
        <w:t>三等奖</w:t>
      </w:r>
      <w:r>
        <w:rPr>
          <w:rFonts w:hint="default" w:cs="Times New Roman"/>
          <w:b w:val="0"/>
          <w:color w:val="auto"/>
          <w:spacing w:val="-20"/>
          <w:kern w:val="10"/>
          <w:sz w:val="32"/>
          <w:szCs w:val="32"/>
          <w:highlight w:val="none"/>
        </w:rPr>
        <w:t>）</w:t>
      </w:r>
      <w:r>
        <w:rPr>
          <w:rFonts w:hint="eastAsia" w:ascii="宋体" w:hAnsi="宋体" w:eastAsia="宋体" w:cs="Times New Roman"/>
          <w:b w:val="0"/>
          <w:color w:val="auto"/>
          <w:spacing w:val="-20"/>
          <w:kern w:val="10"/>
          <w:sz w:val="32"/>
          <w:szCs w:val="32"/>
          <w:highlight w:val="none"/>
        </w:rPr>
        <w:t xml:space="preserve"> </w:t>
      </w:r>
    </w:p>
    <w:p>
      <w:pPr>
        <w:pStyle w:val="6"/>
        <w:widowControl/>
        <w:jc w:val="center"/>
        <w:rPr>
          <w:rFonts w:hint="eastAsia" w:ascii="宋体" w:hAnsi="宋体" w:eastAsia="宋体" w:cs="Times New Roman"/>
          <w:b w:val="0"/>
          <w:bCs/>
          <w:color w:val="auto"/>
          <w:spacing w:val="0"/>
          <w:kern w:val="0"/>
          <w:sz w:val="24"/>
          <w:szCs w:val="24"/>
          <w:highlight w:val="none"/>
          <w:u w:val="single"/>
        </w:rPr>
      </w:pPr>
      <w:r>
        <w:rPr>
          <w:rFonts w:hint="eastAsia" w:ascii="宋体" w:hAnsi="宋体" w:eastAsia="宋体" w:cs="宋体"/>
          <w:b w:val="0"/>
          <w:bCs/>
          <w:color w:val="auto"/>
          <w:spacing w:val="0"/>
          <w:kern w:val="0"/>
          <w:sz w:val="24"/>
          <w:szCs w:val="24"/>
          <w:highlight w:val="none"/>
          <w:u w:val="single"/>
        </w:rPr>
        <w:t>（注：若中标人为优胜设计方案设计单位，则无需单独签署本协议）</w:t>
      </w:r>
    </w:p>
    <w:p>
      <w:pPr>
        <w:pStyle w:val="6"/>
        <w:widowControl/>
        <w:jc w:val="both"/>
        <w:rPr>
          <w:rFonts w:hint="eastAsia" w:ascii="宋体" w:hAnsi="宋体" w:eastAsia="宋体" w:cs="Times New Roman"/>
          <w:b w:val="0"/>
          <w:color w:val="auto"/>
          <w:spacing w:val="-20"/>
          <w:kern w:val="10"/>
          <w:sz w:val="44"/>
          <w:szCs w:val="44"/>
          <w:highlight w:val="none"/>
        </w:rPr>
      </w:pPr>
      <w:r>
        <w:rPr>
          <w:rFonts w:hint="eastAsia" w:ascii="宋体" w:hAnsi="宋体" w:eastAsia="宋体" w:cs="Times New Roman"/>
          <w:b w:val="0"/>
          <w:color w:val="auto"/>
          <w:spacing w:val="-20"/>
          <w:kern w:val="10"/>
          <w:sz w:val="44"/>
          <w:szCs w:val="44"/>
          <w:highlight w:val="none"/>
        </w:rPr>
        <w:t xml:space="preserve"> </w:t>
      </w:r>
    </w:p>
    <w:p>
      <w:pPr>
        <w:keepNext w:val="0"/>
        <w:keepLines w:val="0"/>
        <w:widowControl w:val="0"/>
        <w:suppressLineNumbers w:val="0"/>
        <w:spacing w:before="156" w:beforeLines="50" w:beforeAutospacing="0" w:after="156" w:afterLines="50" w:afterAutospacing="0" w:line="600" w:lineRule="exact"/>
        <w:ind w:left="1924" w:leftChars="200" w:right="0" w:hanging="1504" w:hangingChars="470"/>
        <w:jc w:val="left"/>
        <w:rPr>
          <w:rFonts w:hint="eastAsia" w:ascii="宋体" w:hAnsi="宋体" w:eastAsia="宋体" w:cs="Times New Roman"/>
          <w:bCs/>
          <w:color w:val="auto"/>
          <w:spacing w:val="20"/>
          <w:kern w:val="2"/>
          <w:sz w:val="28"/>
          <w:szCs w:val="28"/>
          <w:highlight w:val="none"/>
          <w:u w:val="single"/>
        </w:rPr>
      </w:pPr>
      <w:r>
        <w:rPr>
          <w:rFonts w:hint="eastAsia" w:ascii="宋体" w:hAnsi="宋体" w:eastAsia="宋体" w:cs="宋体"/>
          <w:color w:val="auto"/>
          <w:spacing w:val="20"/>
          <w:kern w:val="2"/>
          <w:sz w:val="28"/>
          <w:szCs w:val="28"/>
          <w:highlight w:val="none"/>
          <w:lang w:val="en-US" w:eastAsia="zh-CN" w:bidi="ar"/>
        </w:rPr>
        <w:t>项目名称：</w:t>
      </w:r>
      <w:r>
        <w:rPr>
          <w:rFonts w:hint="eastAsia" w:ascii="宋体" w:hAnsi="宋体" w:eastAsia="宋体" w:cs="宋体"/>
          <w:bCs/>
          <w:color w:val="auto"/>
          <w:kern w:val="2"/>
          <w:sz w:val="28"/>
          <w:szCs w:val="28"/>
          <w:highlight w:val="none"/>
          <w:u w:val="single"/>
          <w:lang w:val="en-US" w:eastAsia="zh-CN" w:bidi="ar"/>
        </w:rPr>
        <w:t>广州法治大厦项目勘察设计</w:t>
      </w:r>
    </w:p>
    <w:p>
      <w:pPr>
        <w:keepNext w:val="0"/>
        <w:keepLines w:val="0"/>
        <w:widowControl w:val="0"/>
        <w:suppressLineNumbers w:val="0"/>
        <w:spacing w:before="156" w:beforeLines="50" w:beforeAutospacing="0" w:after="156" w:afterLines="50" w:afterAutospacing="0" w:line="600" w:lineRule="exact"/>
        <w:ind w:left="1540" w:leftChars="200" w:right="0" w:hanging="1120" w:hangingChars="350"/>
        <w:jc w:val="both"/>
        <w:rPr>
          <w:rFonts w:hint="eastAsia" w:ascii="宋体" w:hAnsi="宋体" w:eastAsia="宋体" w:cs="Times New Roman"/>
          <w:bCs/>
          <w:color w:val="auto"/>
          <w:kern w:val="2"/>
          <w:sz w:val="28"/>
          <w:szCs w:val="28"/>
          <w:highlight w:val="none"/>
          <w:u w:val="single"/>
        </w:rPr>
      </w:pPr>
      <w:r>
        <w:rPr>
          <w:rFonts w:hint="eastAsia" w:ascii="宋体" w:hAnsi="宋体" w:eastAsia="宋体" w:cs="宋体"/>
          <w:color w:val="auto"/>
          <w:spacing w:val="20"/>
          <w:kern w:val="2"/>
          <w:sz w:val="28"/>
          <w:szCs w:val="28"/>
          <w:highlight w:val="none"/>
          <w:lang w:val="en-US" w:eastAsia="zh-CN" w:bidi="ar"/>
        </w:rPr>
        <w:t>协议名称：</w:t>
      </w:r>
      <w:r>
        <w:rPr>
          <w:rFonts w:hint="eastAsia" w:ascii="宋体" w:hAnsi="宋体" w:eastAsia="宋体" w:cs="宋体"/>
          <w:bCs/>
          <w:color w:val="auto"/>
          <w:kern w:val="2"/>
          <w:sz w:val="28"/>
          <w:szCs w:val="28"/>
          <w:highlight w:val="none"/>
          <w:u w:val="single"/>
          <w:lang w:val="en-US" w:eastAsia="zh-CN" w:bidi="ar"/>
        </w:rPr>
        <w:t>广州法治大厦项目优胜</w:t>
      </w:r>
      <w:r>
        <w:rPr>
          <w:rFonts w:hint="eastAsia" w:ascii="宋体" w:hAnsi="宋体" w:eastAsia="宋体" w:cs="宋体"/>
          <w:bCs/>
          <w:color w:val="auto"/>
          <w:spacing w:val="20"/>
          <w:kern w:val="2"/>
          <w:sz w:val="28"/>
          <w:szCs w:val="28"/>
          <w:highlight w:val="none"/>
          <w:u w:val="single"/>
          <w:lang w:val="en-US" w:eastAsia="zh-CN" w:bidi="ar"/>
        </w:rPr>
        <w:t>设计方案</w:t>
      </w:r>
      <w:r>
        <w:rPr>
          <w:rFonts w:hint="eastAsia" w:ascii="宋体" w:hAnsi="宋体" w:eastAsia="宋体" w:cs="宋体"/>
          <w:bCs/>
          <w:color w:val="auto"/>
          <w:kern w:val="2"/>
          <w:sz w:val="28"/>
          <w:szCs w:val="28"/>
          <w:highlight w:val="none"/>
          <w:u w:val="single"/>
          <w:lang w:val="en-US" w:eastAsia="zh-CN" w:bidi="ar"/>
        </w:rPr>
        <w:t>奖励协议</w:t>
      </w:r>
    </w:p>
    <w:p>
      <w:pPr>
        <w:keepNext w:val="0"/>
        <w:keepLines w:val="0"/>
        <w:widowControl w:val="0"/>
        <w:suppressLineNumbers w:val="0"/>
        <w:spacing w:before="156" w:beforeLines="50" w:beforeAutospacing="0" w:after="156" w:afterLines="50" w:afterAutospacing="0" w:line="600" w:lineRule="exact"/>
        <w:ind w:left="1540" w:leftChars="200" w:right="0" w:hanging="1120" w:hangingChars="350"/>
        <w:jc w:val="both"/>
        <w:rPr>
          <w:rFonts w:hint="eastAsia" w:ascii="宋体" w:hAnsi="宋体" w:eastAsia="宋体" w:cs="Times New Roman"/>
          <w:color w:val="auto"/>
          <w:spacing w:val="20"/>
          <w:kern w:val="2"/>
          <w:sz w:val="28"/>
          <w:szCs w:val="28"/>
          <w:highlight w:val="none"/>
          <w:u w:val="single"/>
        </w:rPr>
      </w:pPr>
      <w:r>
        <w:rPr>
          <w:rFonts w:hint="eastAsia" w:ascii="宋体" w:hAnsi="宋体" w:eastAsia="宋体" w:cs="宋体"/>
          <w:color w:val="auto"/>
          <w:spacing w:val="20"/>
          <w:kern w:val="2"/>
          <w:sz w:val="28"/>
          <w:szCs w:val="28"/>
          <w:highlight w:val="none"/>
          <w:lang w:val="en-US" w:eastAsia="zh-CN" w:bidi="ar"/>
        </w:rPr>
        <w:t>协议编号：</w:t>
      </w:r>
      <w:r>
        <w:rPr>
          <w:rFonts w:hint="eastAsia" w:ascii="宋体" w:hAnsi="宋体" w:eastAsia="宋体" w:cs="Times New Roman"/>
          <w:color w:val="auto"/>
          <w:spacing w:val="20"/>
          <w:kern w:val="2"/>
          <w:sz w:val="28"/>
          <w:szCs w:val="28"/>
          <w:highlight w:val="none"/>
          <w:u w:val="single"/>
          <w:lang w:val="en-US" w:eastAsia="zh-CN" w:bidi="ar"/>
        </w:rPr>
        <w:t xml:space="preserve">                        </w:t>
      </w:r>
    </w:p>
    <w:p>
      <w:pPr>
        <w:keepNext w:val="0"/>
        <w:keepLines w:val="0"/>
        <w:widowControl w:val="0"/>
        <w:suppressLineNumbers w:val="0"/>
        <w:spacing w:before="156" w:beforeLines="50" w:beforeAutospacing="0" w:after="156" w:afterLines="50" w:afterAutospacing="0" w:line="600" w:lineRule="exact"/>
        <w:ind w:left="1540" w:leftChars="200" w:right="0" w:hanging="1120" w:hangingChars="350"/>
        <w:jc w:val="both"/>
        <w:rPr>
          <w:rFonts w:hint="eastAsia" w:ascii="宋体" w:hAnsi="宋体" w:eastAsia="宋体" w:cs="Times New Roman"/>
          <w:bCs/>
          <w:color w:val="auto"/>
          <w:spacing w:val="-20"/>
          <w:kern w:val="2"/>
          <w:sz w:val="28"/>
          <w:szCs w:val="28"/>
          <w:highlight w:val="none"/>
          <w:u w:val="single"/>
        </w:rPr>
      </w:pPr>
      <w:r>
        <w:rPr>
          <w:rFonts w:hint="eastAsia" w:ascii="宋体" w:hAnsi="宋体" w:eastAsia="宋体" w:cs="宋体"/>
          <w:color w:val="auto"/>
          <w:spacing w:val="20"/>
          <w:kern w:val="2"/>
          <w:sz w:val="28"/>
          <w:szCs w:val="28"/>
          <w:highlight w:val="none"/>
          <w:lang w:val="en-US" w:eastAsia="zh-CN" w:bidi="ar"/>
        </w:rPr>
        <w:t>甲方（招标人）：</w:t>
      </w:r>
      <w:r>
        <w:rPr>
          <w:rFonts w:hint="eastAsia" w:ascii="宋体" w:hAnsi="宋体" w:eastAsia="宋体" w:cs="宋体"/>
          <w:bCs/>
          <w:color w:val="auto"/>
          <w:spacing w:val="-20"/>
          <w:kern w:val="2"/>
          <w:sz w:val="28"/>
          <w:szCs w:val="28"/>
          <w:highlight w:val="none"/>
          <w:u w:val="single"/>
          <w:lang w:val="en-US" w:eastAsia="zh-CN" w:bidi="ar"/>
        </w:rPr>
        <w:t>广州市重点公共建设项目管理中心</w:t>
      </w:r>
    </w:p>
    <w:p>
      <w:pPr>
        <w:keepNext w:val="0"/>
        <w:keepLines w:val="0"/>
        <w:widowControl w:val="0"/>
        <w:suppressLineNumbers w:val="0"/>
        <w:spacing w:before="156" w:beforeLines="50" w:beforeAutospacing="0" w:after="156" w:afterLines="50" w:afterAutospacing="0" w:line="600" w:lineRule="exact"/>
        <w:ind w:left="1540" w:leftChars="200" w:right="0" w:hanging="1120" w:hangingChars="350"/>
        <w:jc w:val="both"/>
        <w:rPr>
          <w:rFonts w:hint="eastAsia" w:ascii="宋体" w:hAnsi="宋体" w:eastAsia="宋体" w:cs="Times New Roman"/>
          <w:color w:val="auto"/>
          <w:spacing w:val="20"/>
          <w:kern w:val="2"/>
          <w:sz w:val="28"/>
          <w:szCs w:val="28"/>
          <w:highlight w:val="none"/>
          <w:u w:val="single"/>
        </w:rPr>
      </w:pPr>
      <w:r>
        <w:rPr>
          <w:rFonts w:hint="eastAsia" w:ascii="宋体" w:hAnsi="宋体" w:eastAsia="宋体" w:cs="宋体"/>
          <w:color w:val="auto"/>
          <w:spacing w:val="20"/>
          <w:kern w:val="2"/>
          <w:sz w:val="28"/>
          <w:szCs w:val="28"/>
          <w:highlight w:val="none"/>
          <w:lang w:val="en-US" w:eastAsia="zh-CN" w:bidi="ar"/>
        </w:rPr>
        <w:t>乙方（设计方案优胜单位）：</w:t>
      </w:r>
      <w:r>
        <w:rPr>
          <w:rFonts w:hint="eastAsia" w:ascii="宋体" w:hAnsi="宋体" w:eastAsia="宋体" w:cs="Times New Roman"/>
          <w:color w:val="auto"/>
          <w:spacing w:val="20"/>
          <w:kern w:val="2"/>
          <w:sz w:val="28"/>
          <w:szCs w:val="28"/>
          <w:highlight w:val="none"/>
          <w:u w:val="single"/>
          <w:lang w:val="en-US" w:eastAsia="zh-CN" w:bidi="ar"/>
        </w:rPr>
        <w:t xml:space="preserve">                 </w:t>
      </w:r>
    </w:p>
    <w:p>
      <w:pPr>
        <w:keepNext w:val="0"/>
        <w:keepLines w:val="0"/>
        <w:widowControl w:val="0"/>
        <w:suppressLineNumbers w:val="0"/>
        <w:spacing w:before="156" w:beforeLines="50" w:beforeAutospacing="0" w:after="156" w:afterLines="50" w:afterAutospacing="0" w:line="600" w:lineRule="exact"/>
        <w:ind w:left="1540" w:leftChars="200" w:right="0" w:hanging="1120" w:hangingChars="350"/>
        <w:jc w:val="both"/>
        <w:rPr>
          <w:rFonts w:hint="eastAsia" w:ascii="宋体" w:hAnsi="宋体" w:eastAsia="宋体" w:cs="Times New Roman"/>
          <w:color w:val="auto"/>
          <w:spacing w:val="20"/>
          <w:kern w:val="2"/>
          <w:sz w:val="28"/>
          <w:szCs w:val="28"/>
          <w:highlight w:val="none"/>
        </w:rPr>
      </w:pPr>
      <w:r>
        <w:rPr>
          <w:rFonts w:hint="eastAsia" w:ascii="宋体" w:hAnsi="宋体" w:eastAsia="宋体" w:cs="Times New Roman"/>
          <w:color w:val="auto"/>
          <w:spacing w:val="20"/>
          <w:kern w:val="2"/>
          <w:sz w:val="28"/>
          <w:szCs w:val="28"/>
          <w:highlight w:val="none"/>
          <w:lang w:val="en-US" w:eastAsia="zh-CN" w:bidi="ar"/>
        </w:rPr>
        <w:t xml:space="preserve"> </w:t>
      </w:r>
    </w:p>
    <w:p>
      <w:pPr>
        <w:keepNext w:val="0"/>
        <w:keepLines w:val="0"/>
        <w:widowControl w:val="0"/>
        <w:suppressLineNumbers w:val="0"/>
        <w:spacing w:before="156" w:beforeLines="50" w:beforeAutospacing="0" w:after="156" w:afterLines="50" w:afterAutospacing="0" w:line="600" w:lineRule="exact"/>
        <w:ind w:left="0" w:leftChars="0" w:right="0" w:firstLine="1920" w:firstLineChars="600"/>
        <w:jc w:val="both"/>
        <w:rPr>
          <w:rFonts w:hint="eastAsia" w:ascii="宋体" w:hAnsi="宋体" w:eastAsia="宋体" w:cs="Times New Roman"/>
          <w:color w:val="auto"/>
          <w:spacing w:val="20"/>
          <w:kern w:val="2"/>
          <w:sz w:val="28"/>
          <w:szCs w:val="28"/>
          <w:highlight w:val="none"/>
        </w:rPr>
      </w:pPr>
      <w:r>
        <w:rPr>
          <w:rFonts w:hint="eastAsia" w:ascii="宋体" w:hAnsi="宋体" w:eastAsia="宋体" w:cs="宋体"/>
          <w:color w:val="auto"/>
          <w:spacing w:val="20"/>
          <w:kern w:val="2"/>
          <w:sz w:val="28"/>
          <w:szCs w:val="28"/>
          <w:highlight w:val="none"/>
          <w:lang w:val="en-US" w:eastAsia="zh-CN" w:bidi="ar"/>
        </w:rPr>
        <w:t>签约地点：中国广州</w:t>
      </w:r>
    </w:p>
    <w:p>
      <w:pPr>
        <w:keepNext w:val="0"/>
        <w:keepLines w:val="0"/>
        <w:widowControl w:val="0"/>
        <w:suppressLineNumbers w:val="0"/>
        <w:spacing w:before="156" w:beforeLines="50" w:beforeAutospacing="0" w:after="156" w:afterLines="50" w:afterAutospacing="0" w:line="600" w:lineRule="exact"/>
        <w:ind w:left="0" w:leftChars="0" w:right="0" w:firstLine="1920" w:firstLineChars="600"/>
        <w:jc w:val="both"/>
        <w:rPr>
          <w:rFonts w:hint="eastAsia" w:ascii="宋体" w:hAnsi="宋体" w:eastAsia="宋体" w:cs="Times New Roman"/>
          <w:color w:val="auto"/>
          <w:spacing w:val="20"/>
          <w:kern w:val="2"/>
          <w:sz w:val="28"/>
          <w:szCs w:val="28"/>
          <w:highlight w:val="none"/>
        </w:rPr>
      </w:pPr>
      <w:r>
        <w:rPr>
          <w:rFonts w:hint="eastAsia" w:ascii="宋体" w:hAnsi="宋体" w:eastAsia="宋体" w:cs="宋体"/>
          <w:color w:val="auto"/>
          <w:spacing w:val="20"/>
          <w:kern w:val="2"/>
          <w:sz w:val="28"/>
          <w:szCs w:val="28"/>
          <w:highlight w:val="none"/>
          <w:lang w:val="en-US" w:eastAsia="zh-CN" w:bidi="ar"/>
        </w:rPr>
        <w:t>签</w:t>
      </w:r>
      <w:r>
        <w:rPr>
          <w:rFonts w:hint="eastAsia" w:ascii="宋体" w:hAnsi="宋体" w:eastAsia="宋体" w:cs="Times New Roman"/>
          <w:color w:val="auto"/>
          <w:spacing w:val="20"/>
          <w:kern w:val="2"/>
          <w:sz w:val="28"/>
          <w:szCs w:val="28"/>
          <w:highlight w:val="none"/>
          <w:lang w:val="en-US" w:eastAsia="zh-CN" w:bidi="ar"/>
        </w:rPr>
        <w:t xml:space="preserve"> </w:t>
      </w:r>
      <w:r>
        <w:rPr>
          <w:rFonts w:hint="eastAsia" w:ascii="宋体" w:hAnsi="宋体" w:eastAsia="宋体" w:cs="宋体"/>
          <w:color w:val="auto"/>
          <w:spacing w:val="20"/>
          <w:kern w:val="2"/>
          <w:sz w:val="28"/>
          <w:szCs w:val="28"/>
          <w:highlight w:val="none"/>
          <w:lang w:val="en-US" w:eastAsia="zh-CN" w:bidi="ar"/>
        </w:rPr>
        <w:t>订</w:t>
      </w:r>
      <w:r>
        <w:rPr>
          <w:rFonts w:hint="eastAsia" w:ascii="宋体" w:hAnsi="宋体" w:eastAsia="宋体" w:cs="Times New Roman"/>
          <w:color w:val="auto"/>
          <w:spacing w:val="20"/>
          <w:kern w:val="2"/>
          <w:sz w:val="28"/>
          <w:szCs w:val="28"/>
          <w:highlight w:val="none"/>
          <w:lang w:val="en-US" w:eastAsia="zh-CN" w:bidi="ar"/>
        </w:rPr>
        <w:t xml:space="preserve"> </w:t>
      </w:r>
      <w:r>
        <w:rPr>
          <w:rFonts w:hint="eastAsia" w:ascii="宋体" w:hAnsi="宋体" w:eastAsia="宋体" w:cs="宋体"/>
          <w:color w:val="auto"/>
          <w:spacing w:val="20"/>
          <w:kern w:val="2"/>
          <w:sz w:val="28"/>
          <w:szCs w:val="28"/>
          <w:highlight w:val="none"/>
          <w:lang w:val="en-US" w:eastAsia="zh-CN" w:bidi="ar"/>
        </w:rPr>
        <w:t>日</w:t>
      </w:r>
      <w:r>
        <w:rPr>
          <w:rFonts w:hint="eastAsia" w:ascii="宋体" w:hAnsi="宋体" w:eastAsia="宋体" w:cs="Times New Roman"/>
          <w:color w:val="auto"/>
          <w:spacing w:val="20"/>
          <w:kern w:val="2"/>
          <w:sz w:val="28"/>
          <w:szCs w:val="28"/>
          <w:highlight w:val="none"/>
          <w:lang w:val="en-US" w:eastAsia="zh-CN" w:bidi="ar"/>
        </w:rPr>
        <w:t xml:space="preserve"> </w:t>
      </w:r>
      <w:r>
        <w:rPr>
          <w:rFonts w:hint="eastAsia" w:ascii="宋体" w:hAnsi="宋体" w:eastAsia="宋体" w:cs="宋体"/>
          <w:color w:val="auto"/>
          <w:spacing w:val="20"/>
          <w:kern w:val="2"/>
          <w:sz w:val="28"/>
          <w:szCs w:val="28"/>
          <w:highlight w:val="none"/>
          <w:lang w:val="en-US" w:eastAsia="zh-CN" w:bidi="ar"/>
        </w:rPr>
        <w:t>期：二○</w:t>
      </w:r>
      <w:r>
        <w:rPr>
          <w:rFonts w:hint="eastAsia" w:ascii="宋体" w:hAnsi="宋体" w:eastAsia="宋体" w:cs="Times New Roman"/>
          <w:color w:val="auto"/>
          <w:spacing w:val="20"/>
          <w:kern w:val="2"/>
          <w:sz w:val="28"/>
          <w:szCs w:val="28"/>
          <w:highlight w:val="none"/>
          <w:lang w:val="en-US" w:eastAsia="zh-CN" w:bidi="ar"/>
        </w:rPr>
        <w:t xml:space="preserve">   </w:t>
      </w:r>
      <w:r>
        <w:rPr>
          <w:rFonts w:hint="eastAsia" w:ascii="宋体" w:hAnsi="宋体" w:eastAsia="宋体" w:cs="宋体"/>
          <w:color w:val="auto"/>
          <w:spacing w:val="20"/>
          <w:kern w:val="2"/>
          <w:sz w:val="28"/>
          <w:szCs w:val="28"/>
          <w:highlight w:val="none"/>
          <w:lang w:val="en-US" w:eastAsia="zh-CN" w:bidi="ar"/>
        </w:rPr>
        <w:t>年</w:t>
      </w:r>
      <w:r>
        <w:rPr>
          <w:rFonts w:hint="eastAsia" w:ascii="宋体" w:hAnsi="宋体" w:eastAsia="宋体" w:cs="Times New Roman"/>
          <w:color w:val="auto"/>
          <w:spacing w:val="20"/>
          <w:kern w:val="2"/>
          <w:sz w:val="28"/>
          <w:szCs w:val="28"/>
          <w:highlight w:val="none"/>
          <w:u w:val="single"/>
          <w:lang w:val="en-US" w:eastAsia="zh-CN" w:bidi="ar"/>
        </w:rPr>
        <w:t xml:space="preserve">     </w:t>
      </w:r>
      <w:r>
        <w:rPr>
          <w:rFonts w:hint="eastAsia" w:ascii="宋体" w:hAnsi="宋体" w:eastAsia="宋体" w:cs="宋体"/>
          <w:color w:val="auto"/>
          <w:spacing w:val="20"/>
          <w:kern w:val="2"/>
          <w:sz w:val="28"/>
          <w:szCs w:val="28"/>
          <w:highlight w:val="none"/>
          <w:lang w:val="en-US" w:eastAsia="zh-CN" w:bidi="ar"/>
        </w:rPr>
        <w:t>月</w:t>
      </w:r>
      <w:r>
        <w:rPr>
          <w:rFonts w:hint="eastAsia" w:ascii="宋体" w:hAnsi="宋体" w:eastAsia="宋体" w:cs="Times New Roman"/>
          <w:color w:val="auto"/>
          <w:spacing w:val="20"/>
          <w:kern w:val="2"/>
          <w:sz w:val="28"/>
          <w:szCs w:val="28"/>
          <w:highlight w:val="none"/>
          <w:u w:val="single"/>
          <w:lang w:val="en-US" w:eastAsia="zh-CN" w:bidi="ar"/>
        </w:rPr>
        <w:t xml:space="preserve">     </w:t>
      </w:r>
      <w:r>
        <w:rPr>
          <w:rFonts w:hint="eastAsia" w:ascii="宋体" w:hAnsi="宋体" w:eastAsia="宋体" w:cs="宋体"/>
          <w:color w:val="auto"/>
          <w:spacing w:val="20"/>
          <w:kern w:val="2"/>
          <w:sz w:val="28"/>
          <w:szCs w:val="28"/>
          <w:highlight w:val="none"/>
          <w:lang w:val="en-US" w:eastAsia="zh-CN" w:bidi="ar"/>
        </w:rPr>
        <w:t>日</w:t>
      </w:r>
    </w:p>
    <w:p>
      <w:pPr>
        <w:pStyle w:val="6"/>
        <w:widowControl/>
        <w:spacing w:line="240" w:lineRule="exact"/>
        <w:rPr>
          <w:rFonts w:hint="eastAsia" w:ascii="宋体" w:hAnsi="宋体" w:eastAsia="宋体" w:cs="Times New Roman"/>
          <w:b w:val="0"/>
          <w:color w:val="auto"/>
          <w:spacing w:val="-20"/>
          <w:kern w:val="10"/>
          <w:sz w:val="44"/>
          <w:szCs w:val="44"/>
          <w:highlight w:val="none"/>
        </w:rPr>
      </w:pPr>
      <w:r>
        <w:rPr>
          <w:rFonts w:hint="eastAsia" w:ascii="宋体" w:hAnsi="宋体" w:eastAsia="宋体" w:cs="Times New Roman"/>
          <w:b w:val="0"/>
          <w:color w:val="auto"/>
          <w:spacing w:val="-20"/>
          <w:kern w:val="10"/>
          <w:sz w:val="44"/>
          <w:szCs w:val="44"/>
          <w:highlight w:val="none"/>
        </w:rPr>
        <w:t xml:space="preserve"> </w:t>
      </w:r>
    </w:p>
    <w:p>
      <w:pPr>
        <w:keepNext w:val="0"/>
        <w:keepLines w:val="0"/>
        <w:widowControl w:val="0"/>
        <w:suppressLineNumbers w:val="0"/>
        <w:spacing w:before="0" w:beforeAutospacing="0" w:after="0" w:afterAutospacing="0"/>
        <w:ind w:left="0" w:right="0"/>
        <w:jc w:val="both"/>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bidi="ar"/>
        </w:rPr>
        <w:t xml:space="preserve"> </w:t>
      </w:r>
    </w:p>
    <w:p>
      <w:pPr>
        <w:keepNext w:val="0"/>
        <w:keepLines w:val="0"/>
        <w:widowControl w:val="0"/>
        <w:suppressLineNumbers w:val="0"/>
        <w:adjustRightInd w:val="0"/>
        <w:spacing w:before="0" w:beforeAutospacing="0" w:after="0" w:afterAutospacing="0" w:line="360" w:lineRule="atLeast"/>
        <w:ind w:left="0" w:right="0"/>
        <w:jc w:val="both"/>
        <w:rPr>
          <w:rFonts w:hint="eastAsia" w:ascii="宋体" w:hAnsi="宋体" w:eastAsia="宋体" w:cs="宋体"/>
          <w:color w:val="auto"/>
          <w:highlight w:val="none"/>
          <w:lang w:val="en-US"/>
        </w:rPr>
      </w:pPr>
      <w:r>
        <w:rPr>
          <w:rFonts w:hint="eastAsia" w:ascii="宋体" w:hAnsi="宋体" w:eastAsia="宋体" w:cs="Times New Roman"/>
          <w:color w:val="auto"/>
          <w:kern w:val="2"/>
          <w:sz w:val="21"/>
          <w:szCs w:val="21"/>
          <w:highlight w:val="none"/>
          <w:lang w:val="en-US" w:eastAsia="zh-CN" w:bidi="ar"/>
        </w:rPr>
        <w:br w:type="page"/>
      </w:r>
    </w:p>
    <w:p>
      <w:pPr>
        <w:keepNext w:val="0"/>
        <w:keepLines w:val="0"/>
        <w:widowControl w:val="0"/>
        <w:suppressLineNumbers w:val="0"/>
        <w:adjustRightInd w:val="0"/>
        <w:spacing w:before="0" w:beforeAutospacing="0" w:after="0" w:afterAutospacing="0" w:line="360" w:lineRule="auto"/>
        <w:ind w:left="0" w:right="0"/>
        <w:jc w:val="both"/>
        <w:rPr>
          <w:rFonts w:hint="eastAsia" w:ascii="宋体" w:hAnsi="宋体" w:eastAsia="宋体" w:cs="宋体"/>
          <w:color w:val="auto"/>
          <w:szCs w:val="24"/>
          <w:highlight w:val="none"/>
          <w:lang w:val="en-US"/>
        </w:rPr>
      </w:pPr>
      <w:r>
        <w:rPr>
          <w:rFonts w:hint="eastAsia" w:ascii="宋体" w:hAnsi="宋体" w:eastAsia="宋体" w:cs="宋体"/>
          <w:color w:val="auto"/>
          <w:kern w:val="0"/>
          <w:sz w:val="24"/>
          <w:szCs w:val="24"/>
          <w:highlight w:val="none"/>
          <w:lang w:val="en-US" w:eastAsia="zh-CN" w:bidi="ar"/>
        </w:rPr>
        <w:t>甲方：</w:t>
      </w:r>
      <w:r>
        <w:rPr>
          <w:rFonts w:hint="eastAsia" w:ascii="宋体" w:hAnsi="宋体" w:eastAsia="宋体" w:cs="宋体"/>
          <w:color w:val="auto"/>
          <w:kern w:val="0"/>
          <w:sz w:val="24"/>
          <w:szCs w:val="24"/>
          <w:highlight w:val="none"/>
          <w:u w:val="single"/>
          <w:lang w:val="en-US" w:eastAsia="zh-CN" w:bidi="ar"/>
        </w:rPr>
        <w:t>广州市重点公共建设项目管理中心</w:t>
      </w:r>
    </w:p>
    <w:p>
      <w:pPr>
        <w:keepNext w:val="0"/>
        <w:keepLines w:val="0"/>
        <w:widowControl w:val="0"/>
        <w:suppressLineNumbers w:val="0"/>
        <w:adjustRightInd w:val="0"/>
        <w:spacing w:before="0" w:beforeAutospacing="0" w:after="0" w:afterAutospacing="0" w:line="360" w:lineRule="auto"/>
        <w:ind w:left="0" w:right="0"/>
        <w:jc w:val="both"/>
        <w:rPr>
          <w:rFonts w:hint="eastAsia" w:ascii="宋体" w:hAnsi="宋体" w:eastAsia="宋体" w:cs="宋体"/>
          <w:color w:val="auto"/>
          <w:szCs w:val="24"/>
          <w:highlight w:val="none"/>
          <w:lang w:val="en-US"/>
        </w:rPr>
      </w:pPr>
      <w:r>
        <w:rPr>
          <w:rFonts w:hint="eastAsia" w:ascii="宋体" w:hAnsi="宋体" w:eastAsia="宋体" w:cs="宋体"/>
          <w:color w:val="auto"/>
          <w:kern w:val="0"/>
          <w:sz w:val="24"/>
          <w:szCs w:val="24"/>
          <w:highlight w:val="none"/>
          <w:lang w:val="en-US" w:eastAsia="zh-CN" w:bidi="ar"/>
        </w:rPr>
        <w:t>乙方：</w:t>
      </w:r>
      <w:r>
        <w:rPr>
          <w:rFonts w:hint="eastAsia" w:ascii="宋体" w:hAnsi="宋体" w:eastAsia="宋体" w:cs="宋体"/>
          <w:color w:val="auto"/>
          <w:spacing w:val="20"/>
          <w:kern w:val="0"/>
          <w:sz w:val="24"/>
          <w:szCs w:val="24"/>
          <w:highlight w:val="none"/>
          <w:u w:val="single"/>
          <w:lang w:val="en-US" w:eastAsia="zh-CN" w:bidi="ar"/>
        </w:rPr>
        <w:t xml:space="preserve">                  </w:t>
      </w:r>
    </w:p>
    <w:p>
      <w:pPr>
        <w:keepNext w:val="0"/>
        <w:keepLines w:val="0"/>
        <w:widowControl w:val="0"/>
        <w:suppressLineNumbers w:val="0"/>
        <w:adjustRightInd w:val="0"/>
        <w:spacing w:before="0" w:beforeAutospacing="0" w:after="0" w:afterAutospacing="0" w:line="360" w:lineRule="auto"/>
        <w:ind w:left="0" w:right="0" w:firstLine="420" w:firstLineChars="200"/>
        <w:jc w:val="both"/>
        <w:rPr>
          <w:rFonts w:hint="eastAsia" w:ascii="宋体" w:hAnsi="宋体" w:eastAsia="宋体" w:cs="宋体"/>
          <w:color w:val="auto"/>
          <w:szCs w:val="24"/>
          <w:highlight w:val="none"/>
          <w:lang w:val="en-US"/>
        </w:rPr>
      </w:pPr>
    </w:p>
    <w:p>
      <w:pPr>
        <w:keepNext w:val="0"/>
        <w:keepLines w:val="0"/>
        <w:widowControl w:val="0"/>
        <w:suppressLineNumbers w:val="0"/>
        <w:adjustRightInd w:val="0"/>
        <w:spacing w:before="0" w:beforeAutospacing="0" w:after="0" w:afterAutospacing="0" w:line="360" w:lineRule="auto"/>
        <w:ind w:left="0" w:right="0" w:firstLine="480" w:firstLineChars="200"/>
        <w:jc w:val="both"/>
        <w:rPr>
          <w:rFonts w:hint="eastAsia" w:ascii="宋体" w:hAnsi="宋体" w:eastAsia="宋体" w:cs="宋体"/>
          <w:color w:val="auto"/>
          <w:szCs w:val="24"/>
          <w:highlight w:val="none"/>
          <w:lang w:val="en-US"/>
        </w:rPr>
      </w:pPr>
      <w:r>
        <w:rPr>
          <w:rFonts w:hint="eastAsia" w:ascii="宋体" w:hAnsi="宋体" w:eastAsia="宋体" w:cs="宋体"/>
          <w:color w:val="auto"/>
          <w:kern w:val="0"/>
          <w:sz w:val="24"/>
          <w:szCs w:val="24"/>
          <w:highlight w:val="none"/>
          <w:lang w:val="en-US" w:eastAsia="zh-CN" w:bidi="ar"/>
        </w:rPr>
        <w:t>乙方参加由甲方组织的</w:t>
      </w:r>
      <w:r>
        <w:rPr>
          <w:rFonts w:hint="eastAsia" w:ascii="宋体" w:hAnsi="宋体" w:eastAsia="宋体" w:cs="宋体"/>
          <w:b/>
          <w:color w:val="auto"/>
          <w:kern w:val="0"/>
          <w:sz w:val="24"/>
          <w:szCs w:val="24"/>
          <w:highlight w:val="none"/>
          <w:u w:val="single"/>
          <w:lang w:val="en-US" w:eastAsia="zh-CN" w:bidi="ar"/>
        </w:rPr>
        <w:t>广州法治大厦项目勘察设计</w:t>
      </w:r>
      <w:r>
        <w:rPr>
          <w:rFonts w:hint="eastAsia" w:ascii="宋体" w:hAnsi="宋体" w:eastAsia="宋体" w:cs="宋体"/>
          <w:color w:val="auto"/>
          <w:kern w:val="0"/>
          <w:sz w:val="24"/>
          <w:szCs w:val="24"/>
          <w:highlight w:val="none"/>
          <w:lang w:val="en-US" w:eastAsia="zh-CN" w:bidi="ar"/>
        </w:rPr>
        <w:t>，经依法评审，根据招标相关文件的条款约定，由乙方设计的投标设计方案符合下列情况：</w:t>
      </w:r>
    </w:p>
    <w:p>
      <w:pPr>
        <w:keepNext w:val="0"/>
        <w:keepLines w:val="0"/>
        <w:widowControl w:val="0"/>
        <w:suppressLineNumbers w:val="0"/>
        <w:adjustRightInd w:val="0"/>
        <w:spacing w:before="0" w:beforeAutospacing="0" w:after="0" w:afterAutospacing="0" w:line="360" w:lineRule="auto"/>
        <w:ind w:left="0" w:right="0" w:firstLine="480" w:firstLineChars="200"/>
        <w:jc w:val="both"/>
        <w:rPr>
          <w:rFonts w:hint="eastAsia" w:ascii="宋体" w:hAnsi="宋体" w:eastAsia="宋体" w:cs="宋体"/>
          <w:color w:val="auto"/>
          <w:szCs w:val="24"/>
          <w:highlight w:val="none"/>
          <w:lang w:val="en-US"/>
        </w:rPr>
      </w:pPr>
      <w:r>
        <w:rPr>
          <w:rFonts w:hint="eastAsia" w:ascii="宋体" w:hAnsi="宋体" w:eastAsia="宋体" w:cs="宋体"/>
          <w:color w:val="auto"/>
          <w:kern w:val="0"/>
          <w:sz w:val="24"/>
          <w:szCs w:val="24"/>
          <w:highlight w:val="none"/>
          <w:lang w:val="en-US" w:eastAsia="zh-CN" w:bidi="ar"/>
        </w:rPr>
        <w:t>经评审委员会认定，乙方提交的投标设计方案获得设计方案优胜奖第</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名，符合</w:t>
      </w:r>
      <w:r>
        <w:rPr>
          <w:rFonts w:hint="eastAsia" w:ascii="Times New Roman" w:hAnsi="Times New Roman" w:eastAsia="宋体" w:cs="宋体"/>
          <w:color w:val="auto"/>
          <w:kern w:val="0"/>
          <w:sz w:val="24"/>
          <w:szCs w:val="20"/>
          <w:highlight w:val="none"/>
          <w:lang w:val="en-US" w:eastAsia="zh-CN" w:bidi="ar"/>
        </w:rPr>
        <w:t>优胜设计方案</w:t>
      </w:r>
      <w:r>
        <w:rPr>
          <w:rFonts w:hint="eastAsia" w:ascii="宋体" w:hAnsi="宋体" w:eastAsia="宋体" w:cs="宋体"/>
          <w:color w:val="auto"/>
          <w:kern w:val="0"/>
          <w:sz w:val="24"/>
          <w:szCs w:val="24"/>
          <w:highlight w:val="none"/>
          <w:lang w:val="en-US" w:eastAsia="zh-CN" w:bidi="ar"/>
        </w:rPr>
        <w:t>奖励条件。</w:t>
      </w:r>
    </w:p>
    <w:p>
      <w:pPr>
        <w:keepNext w:val="0"/>
        <w:keepLines w:val="0"/>
        <w:widowControl w:val="0"/>
        <w:suppressLineNumbers w:val="0"/>
        <w:adjustRightInd w:val="0"/>
        <w:spacing w:before="0" w:beforeAutospacing="0" w:after="0" w:afterAutospacing="0" w:line="360" w:lineRule="auto"/>
        <w:ind w:left="0" w:right="0" w:firstLine="480" w:firstLineChars="200"/>
        <w:jc w:val="both"/>
        <w:rPr>
          <w:rFonts w:hint="eastAsia" w:ascii="宋体" w:hAnsi="宋体" w:eastAsia="宋体" w:cs="宋体"/>
          <w:color w:val="auto"/>
          <w:szCs w:val="24"/>
          <w:highlight w:val="none"/>
          <w:lang w:val="en-US"/>
        </w:rPr>
      </w:pPr>
      <w:r>
        <w:rPr>
          <w:rFonts w:hint="eastAsia" w:ascii="宋体" w:hAnsi="宋体" w:eastAsia="宋体" w:cs="宋体"/>
          <w:color w:val="auto"/>
          <w:kern w:val="0"/>
          <w:sz w:val="24"/>
          <w:szCs w:val="24"/>
          <w:highlight w:val="none"/>
          <w:lang w:val="en-US" w:eastAsia="zh-CN" w:bidi="ar"/>
        </w:rPr>
        <w:t>经甲乙双方友好协商，就</w:t>
      </w:r>
      <w:r>
        <w:rPr>
          <w:rFonts w:hint="eastAsia" w:ascii="Times New Roman" w:hAnsi="Times New Roman" w:eastAsia="宋体" w:cs="宋体"/>
          <w:color w:val="auto"/>
          <w:kern w:val="0"/>
          <w:sz w:val="24"/>
          <w:szCs w:val="20"/>
          <w:highlight w:val="none"/>
          <w:lang w:val="en-US" w:eastAsia="zh-CN" w:bidi="ar"/>
        </w:rPr>
        <w:t>优胜</w:t>
      </w:r>
      <w:r>
        <w:rPr>
          <w:rFonts w:hint="eastAsia" w:ascii="宋体" w:hAnsi="宋体" w:eastAsia="宋体" w:cs="宋体"/>
          <w:color w:val="auto"/>
          <w:kern w:val="0"/>
          <w:sz w:val="24"/>
          <w:szCs w:val="24"/>
          <w:highlight w:val="none"/>
          <w:lang w:val="en-US" w:eastAsia="zh-CN" w:bidi="ar"/>
        </w:rPr>
        <w:t>设计方案奖励金支付事宜，签订本协议。</w:t>
      </w:r>
    </w:p>
    <w:p>
      <w:pPr>
        <w:keepNext w:val="0"/>
        <w:keepLines w:val="0"/>
        <w:widowControl w:val="0"/>
        <w:suppressLineNumbers w:val="0"/>
        <w:adjustRightInd w:val="0"/>
        <w:spacing w:before="0" w:beforeAutospacing="0" w:after="0" w:afterAutospacing="0" w:line="360" w:lineRule="auto"/>
        <w:ind w:left="0" w:right="0" w:firstLine="482"/>
        <w:jc w:val="both"/>
        <w:rPr>
          <w:rFonts w:hint="eastAsia" w:ascii="宋体" w:hAnsi="宋体" w:eastAsia="宋体" w:cs="宋体"/>
          <w:color w:val="auto"/>
          <w:szCs w:val="24"/>
          <w:highlight w:val="none"/>
          <w:lang w:val="en-US"/>
        </w:rPr>
      </w:pPr>
    </w:p>
    <w:p>
      <w:pPr>
        <w:keepNext w:val="0"/>
        <w:keepLines w:val="0"/>
        <w:widowControl w:val="0"/>
        <w:suppressLineNumbers w:val="0"/>
        <w:adjustRightInd w:val="0"/>
        <w:spacing w:before="0" w:beforeAutospacing="0" w:after="0" w:afterAutospacing="0" w:line="360" w:lineRule="auto"/>
        <w:ind w:left="0" w:right="0"/>
        <w:jc w:val="both"/>
        <w:rPr>
          <w:rFonts w:hint="eastAsia" w:ascii="宋体" w:hAnsi="宋体" w:eastAsia="宋体" w:cs="宋体"/>
          <w:b/>
          <w:bCs w:val="0"/>
          <w:color w:val="auto"/>
          <w:szCs w:val="24"/>
          <w:highlight w:val="none"/>
          <w:lang w:val="en-US"/>
        </w:rPr>
      </w:pPr>
      <w:r>
        <w:rPr>
          <w:rFonts w:hint="eastAsia" w:ascii="宋体" w:hAnsi="宋体" w:eastAsia="宋体" w:cs="宋体"/>
          <w:b/>
          <w:bCs w:val="0"/>
          <w:color w:val="auto"/>
          <w:kern w:val="0"/>
          <w:sz w:val="24"/>
          <w:szCs w:val="24"/>
          <w:highlight w:val="none"/>
          <w:lang w:val="en-US" w:eastAsia="zh-CN" w:bidi="ar"/>
        </w:rPr>
        <w:t>第一条  本协议依据下列文件签订</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szCs w:val="24"/>
          <w:highlight w:val="none"/>
          <w:lang w:val="en-US"/>
        </w:rPr>
      </w:pPr>
      <w:r>
        <w:rPr>
          <w:rFonts w:hint="eastAsia" w:ascii="宋体" w:hAnsi="宋体" w:eastAsia="宋体" w:cs="宋体"/>
          <w:color w:val="auto"/>
          <w:kern w:val="0"/>
          <w:sz w:val="24"/>
          <w:szCs w:val="24"/>
          <w:highlight w:val="none"/>
          <w:lang w:val="en-US" w:eastAsia="zh-CN" w:bidi="ar"/>
        </w:rPr>
        <w:t>1.1广州法治大厦项目勘察设计招标文件、专家评审报告等相关资料。</w:t>
      </w:r>
    </w:p>
    <w:p>
      <w:pPr>
        <w:keepNext w:val="0"/>
        <w:keepLines w:val="0"/>
        <w:widowControl w:val="0"/>
        <w:suppressLineNumbers w:val="0"/>
        <w:adjustRightInd w:val="0"/>
        <w:spacing w:before="0" w:beforeAutospacing="0" w:after="0" w:afterAutospacing="0" w:line="360" w:lineRule="auto"/>
        <w:ind w:left="0" w:right="0" w:firstLine="482"/>
        <w:jc w:val="both"/>
        <w:rPr>
          <w:rFonts w:hint="eastAsia" w:ascii="宋体" w:hAnsi="宋体" w:eastAsia="宋体" w:cs="宋体"/>
          <w:color w:val="auto"/>
          <w:szCs w:val="24"/>
          <w:highlight w:val="none"/>
          <w:lang w:val="en-US"/>
        </w:rPr>
      </w:pPr>
    </w:p>
    <w:p>
      <w:pPr>
        <w:keepNext w:val="0"/>
        <w:keepLines w:val="0"/>
        <w:widowControl w:val="0"/>
        <w:suppressLineNumbers w:val="0"/>
        <w:adjustRightInd w:val="0"/>
        <w:spacing w:before="0" w:beforeAutospacing="0" w:after="0" w:afterAutospacing="0" w:line="360" w:lineRule="auto"/>
        <w:ind w:left="0" w:right="0"/>
        <w:jc w:val="both"/>
        <w:rPr>
          <w:rFonts w:hint="eastAsia" w:ascii="宋体" w:hAnsi="宋体" w:eastAsia="宋体" w:cs="宋体"/>
          <w:b/>
          <w:bCs w:val="0"/>
          <w:color w:val="auto"/>
          <w:szCs w:val="24"/>
          <w:highlight w:val="none"/>
          <w:lang w:val="en-US"/>
        </w:rPr>
      </w:pPr>
      <w:r>
        <w:rPr>
          <w:rFonts w:hint="eastAsia" w:ascii="宋体" w:hAnsi="宋体" w:eastAsia="宋体" w:cs="宋体"/>
          <w:b/>
          <w:bCs w:val="0"/>
          <w:color w:val="auto"/>
          <w:kern w:val="0"/>
          <w:sz w:val="24"/>
          <w:szCs w:val="24"/>
          <w:highlight w:val="none"/>
          <w:lang w:val="en-US" w:eastAsia="zh-CN" w:bidi="ar"/>
        </w:rPr>
        <w:t>第二条  乙方需完成的工作</w:t>
      </w:r>
    </w:p>
    <w:p>
      <w:pPr>
        <w:keepNext w:val="0"/>
        <w:keepLines w:val="0"/>
        <w:widowControl w:val="0"/>
        <w:suppressLineNumbers w:val="0"/>
        <w:adjustRightInd w:val="0"/>
        <w:spacing w:before="0" w:beforeAutospacing="0" w:after="0" w:afterAutospacing="0" w:line="360" w:lineRule="auto"/>
        <w:ind w:left="0" w:right="0"/>
        <w:jc w:val="both"/>
        <w:rPr>
          <w:rFonts w:hint="eastAsia" w:ascii="宋体" w:hAnsi="宋体" w:eastAsia="宋体" w:cs="宋体"/>
          <w:color w:val="auto"/>
          <w:szCs w:val="24"/>
          <w:highlight w:val="none"/>
          <w:lang w:val="en-US"/>
        </w:rPr>
      </w:pPr>
    </w:p>
    <w:p>
      <w:pPr>
        <w:keepNext w:val="0"/>
        <w:keepLines w:val="0"/>
        <w:widowControl w:val="0"/>
        <w:suppressLineNumbers w:val="0"/>
        <w:adjustRightInd w:val="0"/>
        <w:spacing w:before="0" w:beforeAutospacing="0" w:after="0" w:afterAutospacing="0" w:line="360" w:lineRule="auto"/>
        <w:ind w:left="0" w:right="0" w:firstLine="480" w:firstLineChars="200"/>
        <w:jc w:val="both"/>
        <w:rPr>
          <w:rFonts w:hint="eastAsia" w:ascii="宋体" w:hAnsi="宋体" w:eastAsia="宋体" w:cs="宋体"/>
          <w:color w:val="auto"/>
          <w:kern w:val="2"/>
          <w:szCs w:val="24"/>
          <w:highlight w:val="none"/>
          <w:u w:val="single"/>
          <w:lang w:val="en-US" w:bidi="ar"/>
        </w:rPr>
      </w:pPr>
      <w:r>
        <w:rPr>
          <w:rFonts w:hint="eastAsia" w:ascii="宋体" w:hAnsi="宋体" w:eastAsia="宋体" w:cs="宋体"/>
          <w:color w:val="auto"/>
          <w:kern w:val="0"/>
          <w:sz w:val="24"/>
          <w:szCs w:val="24"/>
          <w:highlight w:val="none"/>
          <w:lang w:val="en-US" w:eastAsia="zh-CN" w:bidi="ar"/>
        </w:rPr>
        <w:t>1、乙方</w:t>
      </w:r>
      <w:r>
        <w:rPr>
          <w:rFonts w:hint="eastAsia" w:ascii="宋体" w:hAnsi="宋体" w:eastAsia="宋体" w:cs="宋体"/>
          <w:color w:val="auto"/>
          <w:kern w:val="2"/>
          <w:sz w:val="24"/>
          <w:szCs w:val="24"/>
          <w:highlight w:val="none"/>
          <w:u w:val="single"/>
          <w:lang w:val="en-US" w:eastAsia="zh-CN" w:bidi="ar"/>
        </w:rPr>
        <w:t>配合中标人（若其不是中标人）的设计方案深化提出咨询意见，对设计成果质量进行把关，对成果的可行性及合理性提出优化建议，直至项目通过方案联审。如招标人要求书面形式，则意见以书面形式（一式4份）提交甲方。</w:t>
      </w:r>
    </w:p>
    <w:p>
      <w:pPr>
        <w:keepNext w:val="0"/>
        <w:keepLines w:val="0"/>
        <w:widowControl w:val="0"/>
        <w:suppressLineNumbers w:val="0"/>
        <w:adjustRightInd w:val="0"/>
        <w:spacing w:before="0" w:beforeAutospacing="0" w:after="0" w:afterAutospacing="0" w:line="360" w:lineRule="auto"/>
        <w:ind w:left="0" w:right="0" w:firstLine="480" w:firstLineChars="200"/>
        <w:jc w:val="both"/>
        <w:rPr>
          <w:rFonts w:hint="eastAsia" w:ascii="宋体" w:hAnsi="宋体" w:eastAsia="宋体" w:cs="宋体"/>
          <w:bCs/>
          <w:color w:val="auto"/>
          <w:szCs w:val="24"/>
          <w:highlight w:val="none"/>
          <w:lang w:val="en-US"/>
        </w:rPr>
      </w:pPr>
      <w:r>
        <w:rPr>
          <w:rFonts w:hint="eastAsia" w:ascii="宋体" w:hAnsi="宋体" w:eastAsia="宋体" w:cs="宋体"/>
          <w:bCs/>
          <w:color w:val="auto"/>
          <w:kern w:val="0"/>
          <w:sz w:val="24"/>
          <w:szCs w:val="24"/>
          <w:highlight w:val="none"/>
          <w:lang w:val="en-US" w:eastAsia="zh-CN" w:bidi="ar"/>
        </w:rPr>
        <w:t>2、按甲方通知要求线下参加重大方案汇报会议，主创团队需作为方案优胜团队进行汇报，具体参与次数以甲方要求为准。</w:t>
      </w:r>
    </w:p>
    <w:p>
      <w:pPr>
        <w:keepNext w:val="0"/>
        <w:keepLines w:val="0"/>
        <w:widowControl w:val="0"/>
        <w:suppressLineNumbers w:val="0"/>
        <w:adjustRightInd w:val="0"/>
        <w:spacing w:before="0" w:beforeAutospacing="0" w:after="0" w:afterAutospacing="0" w:line="360" w:lineRule="auto"/>
        <w:ind w:left="0" w:right="0" w:firstLine="482"/>
        <w:jc w:val="both"/>
        <w:rPr>
          <w:rFonts w:hint="eastAsia" w:ascii="宋体" w:hAnsi="宋体" w:eastAsia="宋体" w:cs="宋体"/>
          <w:color w:val="auto"/>
          <w:szCs w:val="24"/>
          <w:highlight w:val="none"/>
          <w:lang w:val="en-US"/>
        </w:rPr>
      </w:pPr>
    </w:p>
    <w:p>
      <w:pPr>
        <w:keepNext w:val="0"/>
        <w:keepLines w:val="0"/>
        <w:widowControl w:val="0"/>
        <w:suppressLineNumbers w:val="0"/>
        <w:adjustRightInd w:val="0"/>
        <w:spacing w:before="0" w:beforeAutospacing="0" w:after="0" w:afterAutospacing="0" w:line="360" w:lineRule="auto"/>
        <w:ind w:left="0" w:right="0" w:firstLine="482"/>
        <w:jc w:val="both"/>
        <w:rPr>
          <w:rFonts w:hint="eastAsia" w:ascii="宋体" w:hAnsi="宋体" w:eastAsia="宋体" w:cs="宋体"/>
          <w:b/>
          <w:bCs w:val="0"/>
          <w:color w:val="auto"/>
          <w:szCs w:val="24"/>
          <w:highlight w:val="none"/>
          <w:lang w:val="en-US"/>
        </w:rPr>
      </w:pPr>
      <w:r>
        <w:rPr>
          <w:rFonts w:hint="eastAsia" w:ascii="宋体" w:hAnsi="宋体" w:eastAsia="宋体" w:cs="宋体"/>
          <w:b/>
          <w:bCs w:val="0"/>
          <w:color w:val="auto"/>
          <w:kern w:val="0"/>
          <w:sz w:val="24"/>
          <w:szCs w:val="24"/>
          <w:highlight w:val="none"/>
          <w:lang w:val="en-US" w:eastAsia="zh-CN" w:bidi="ar"/>
        </w:rPr>
        <w:t>第三条  奖励金额</w:t>
      </w:r>
    </w:p>
    <w:p>
      <w:pPr>
        <w:keepNext w:val="0"/>
        <w:keepLines w:val="0"/>
        <w:widowControl w:val="0"/>
        <w:suppressLineNumbers w:val="0"/>
        <w:adjustRightInd w:val="0"/>
        <w:spacing w:before="0" w:beforeAutospacing="0" w:after="0" w:afterAutospacing="0" w:line="360" w:lineRule="auto"/>
        <w:ind w:left="0" w:right="0" w:firstLine="482"/>
        <w:jc w:val="both"/>
        <w:rPr>
          <w:rFonts w:hint="eastAsia" w:ascii="宋体" w:hAnsi="宋体" w:eastAsia="宋体" w:cs="宋体"/>
          <w:color w:val="auto"/>
          <w:szCs w:val="24"/>
          <w:highlight w:val="none"/>
          <w:lang w:val="en-US"/>
        </w:rPr>
      </w:pPr>
      <w:r>
        <w:rPr>
          <w:rFonts w:hint="eastAsia" w:ascii="宋体" w:hAnsi="宋体" w:eastAsia="宋体" w:cs="宋体"/>
          <w:color w:val="auto"/>
          <w:kern w:val="0"/>
          <w:sz w:val="24"/>
          <w:szCs w:val="24"/>
          <w:highlight w:val="none"/>
          <w:lang w:val="en-US" w:eastAsia="zh-CN" w:bidi="ar"/>
        </w:rPr>
        <w:t>3.1 本奖励金额的确定依据：按本协议第一条相关规定执行。</w:t>
      </w:r>
    </w:p>
    <w:p>
      <w:pPr>
        <w:keepNext w:val="0"/>
        <w:keepLines w:val="0"/>
        <w:widowControl w:val="0"/>
        <w:suppressLineNumbers w:val="0"/>
        <w:adjustRightInd w:val="0"/>
        <w:spacing w:before="0" w:beforeAutospacing="0" w:after="0" w:afterAutospacing="0" w:line="360" w:lineRule="auto"/>
        <w:ind w:left="0" w:right="0" w:firstLine="482"/>
        <w:jc w:val="both"/>
        <w:rPr>
          <w:rFonts w:hint="eastAsia" w:ascii="宋体" w:hAnsi="宋体" w:eastAsia="宋体" w:cs="宋体"/>
          <w:color w:val="auto"/>
          <w:szCs w:val="24"/>
          <w:highlight w:val="none"/>
          <w:u w:val="single"/>
          <w:lang w:val="en-US"/>
        </w:rPr>
      </w:pPr>
      <w:r>
        <w:rPr>
          <w:rFonts w:hint="eastAsia" w:ascii="宋体" w:hAnsi="宋体" w:eastAsia="宋体" w:cs="宋体"/>
          <w:color w:val="auto"/>
          <w:kern w:val="0"/>
          <w:sz w:val="24"/>
          <w:szCs w:val="24"/>
          <w:highlight w:val="none"/>
          <w:lang w:val="en-US" w:eastAsia="zh-CN" w:bidi="ar"/>
        </w:rPr>
        <w:t>3.2 奖励金额</w:t>
      </w:r>
      <w:r>
        <w:rPr>
          <w:rFonts w:hint="eastAsia" w:ascii="宋体" w:hAnsi="宋体" w:eastAsia="宋体" w:cs="宋体"/>
          <w:color w:val="auto"/>
          <w:kern w:val="0"/>
          <w:sz w:val="24"/>
          <w:szCs w:val="24"/>
          <w:highlight w:val="none"/>
          <w:u w:val="single"/>
          <w:lang w:val="en-US" w:eastAsia="zh-CN" w:bidi="ar"/>
        </w:rPr>
        <w:t>：       元 。</w:t>
      </w:r>
    </w:p>
    <w:p>
      <w:pPr>
        <w:keepNext w:val="0"/>
        <w:keepLines w:val="0"/>
        <w:widowControl w:val="0"/>
        <w:suppressLineNumbers w:val="0"/>
        <w:adjustRightInd w:val="0"/>
        <w:spacing w:before="0" w:beforeAutospacing="0" w:after="0" w:afterAutospacing="0" w:line="360" w:lineRule="auto"/>
        <w:ind w:left="0" w:right="0" w:firstLine="482"/>
        <w:jc w:val="both"/>
        <w:rPr>
          <w:rFonts w:hint="eastAsia" w:ascii="宋体" w:hAnsi="宋体" w:eastAsia="宋体" w:cs="宋体"/>
          <w:color w:val="auto"/>
          <w:szCs w:val="24"/>
          <w:highlight w:val="none"/>
          <w:lang w:val="en-US"/>
        </w:rPr>
      </w:pPr>
      <w:r>
        <w:rPr>
          <w:rFonts w:hint="eastAsia" w:ascii="宋体" w:hAnsi="宋体" w:eastAsia="宋体" w:cs="宋体"/>
          <w:color w:val="auto"/>
          <w:kern w:val="0"/>
          <w:sz w:val="24"/>
          <w:szCs w:val="24"/>
          <w:highlight w:val="none"/>
          <w:lang w:val="en-US" w:eastAsia="zh-CN" w:bidi="ar"/>
        </w:rPr>
        <w:t>3.3 如确实需要将人民币折算成外币支付的，汇率按照付汇当天银行水单的汇卖价为准。</w:t>
      </w:r>
    </w:p>
    <w:p>
      <w:pPr>
        <w:keepNext w:val="0"/>
        <w:keepLines w:val="0"/>
        <w:widowControl w:val="0"/>
        <w:suppressLineNumbers w:val="0"/>
        <w:adjustRightInd w:val="0"/>
        <w:spacing w:before="0" w:beforeAutospacing="0" w:after="0" w:afterAutospacing="0" w:line="360" w:lineRule="auto"/>
        <w:ind w:left="0" w:right="0" w:firstLine="482"/>
        <w:jc w:val="both"/>
        <w:rPr>
          <w:rFonts w:hint="eastAsia" w:ascii="宋体" w:hAnsi="宋体" w:eastAsia="宋体" w:cs="宋体"/>
          <w:bCs/>
          <w:color w:val="auto"/>
          <w:szCs w:val="24"/>
          <w:highlight w:val="none"/>
          <w:lang w:val="en-US"/>
        </w:rPr>
      </w:pPr>
      <w:r>
        <w:rPr>
          <w:rFonts w:hint="eastAsia" w:ascii="宋体" w:hAnsi="宋体" w:eastAsia="宋体" w:cs="宋体"/>
          <w:bCs/>
          <w:color w:val="auto"/>
          <w:kern w:val="0"/>
          <w:sz w:val="24"/>
          <w:szCs w:val="24"/>
          <w:highlight w:val="none"/>
          <w:lang w:val="en-US" w:eastAsia="zh-CN" w:bidi="ar"/>
        </w:rPr>
        <w:t>3.4 以上</w:t>
      </w:r>
      <w:r>
        <w:rPr>
          <w:rFonts w:hint="eastAsia" w:ascii="宋体" w:hAnsi="宋体" w:eastAsia="宋体" w:cs="宋体"/>
          <w:color w:val="auto"/>
          <w:kern w:val="0"/>
          <w:sz w:val="24"/>
          <w:szCs w:val="24"/>
          <w:highlight w:val="none"/>
          <w:lang w:val="en-US" w:eastAsia="zh-CN" w:bidi="ar"/>
        </w:rPr>
        <w:t>奖励金</w:t>
      </w:r>
      <w:r>
        <w:rPr>
          <w:rFonts w:hint="eastAsia" w:ascii="宋体" w:hAnsi="宋体" w:eastAsia="宋体" w:cs="宋体"/>
          <w:bCs/>
          <w:color w:val="auto"/>
          <w:kern w:val="0"/>
          <w:sz w:val="24"/>
          <w:szCs w:val="24"/>
          <w:highlight w:val="none"/>
          <w:lang w:val="en-US" w:eastAsia="zh-CN" w:bidi="ar"/>
        </w:rPr>
        <w:t>为含税金额。</w:t>
      </w:r>
    </w:p>
    <w:p>
      <w:pPr>
        <w:keepNext w:val="0"/>
        <w:keepLines w:val="0"/>
        <w:widowControl w:val="0"/>
        <w:suppressLineNumbers w:val="0"/>
        <w:adjustRightInd w:val="0"/>
        <w:spacing w:before="0" w:beforeAutospacing="0" w:after="0" w:afterAutospacing="0" w:line="360" w:lineRule="auto"/>
        <w:ind w:left="0" w:right="0" w:firstLine="482"/>
        <w:jc w:val="both"/>
        <w:rPr>
          <w:rFonts w:hint="eastAsia" w:ascii="宋体" w:hAnsi="宋体" w:eastAsia="宋体" w:cs="宋体"/>
          <w:bCs/>
          <w:color w:val="auto"/>
          <w:szCs w:val="24"/>
          <w:highlight w:val="none"/>
          <w:lang w:val="en-US"/>
        </w:rPr>
      </w:pPr>
      <w:r>
        <w:rPr>
          <w:rFonts w:hint="eastAsia" w:ascii="宋体" w:hAnsi="宋体" w:eastAsia="宋体" w:cs="宋体"/>
          <w:bCs/>
          <w:color w:val="auto"/>
          <w:kern w:val="0"/>
          <w:sz w:val="24"/>
          <w:szCs w:val="24"/>
          <w:highlight w:val="none"/>
          <w:lang w:val="en-US" w:eastAsia="zh-CN" w:bidi="ar"/>
        </w:rPr>
        <w:t>3.5 支付</w:t>
      </w:r>
      <w:r>
        <w:rPr>
          <w:rFonts w:hint="eastAsia" w:ascii="宋体" w:hAnsi="宋体" w:eastAsia="宋体" w:cs="宋体"/>
          <w:color w:val="auto"/>
          <w:kern w:val="0"/>
          <w:sz w:val="24"/>
          <w:szCs w:val="24"/>
          <w:highlight w:val="none"/>
          <w:lang w:val="en-US" w:eastAsia="zh-CN" w:bidi="ar"/>
        </w:rPr>
        <w:t>奖励金</w:t>
      </w:r>
      <w:r>
        <w:rPr>
          <w:rFonts w:hint="eastAsia" w:ascii="宋体" w:hAnsi="宋体" w:eastAsia="宋体" w:cs="宋体"/>
          <w:bCs/>
          <w:color w:val="auto"/>
          <w:kern w:val="0"/>
          <w:sz w:val="24"/>
          <w:szCs w:val="24"/>
          <w:highlight w:val="none"/>
          <w:lang w:val="en-US" w:eastAsia="zh-CN" w:bidi="ar"/>
        </w:rPr>
        <w:t>后乙方提交的所有方案及相关资料、文件（含过程文件，包括文件、资料图纸、数据等）的知识产权和所有权归甲方所有。</w:t>
      </w:r>
    </w:p>
    <w:p>
      <w:pPr>
        <w:keepNext w:val="0"/>
        <w:keepLines w:val="0"/>
        <w:widowControl w:val="0"/>
        <w:suppressLineNumbers w:val="0"/>
        <w:adjustRightInd w:val="0"/>
        <w:spacing w:before="0" w:beforeAutospacing="0" w:after="0" w:afterAutospacing="0" w:line="360" w:lineRule="auto"/>
        <w:ind w:left="0" w:right="0" w:firstLine="482"/>
        <w:jc w:val="both"/>
        <w:rPr>
          <w:rFonts w:hint="eastAsia" w:ascii="宋体" w:hAnsi="宋体" w:eastAsia="宋体" w:cs="宋体"/>
          <w:bCs/>
          <w:color w:val="auto"/>
          <w:szCs w:val="24"/>
          <w:highlight w:val="none"/>
          <w:lang w:val="en-US"/>
        </w:rPr>
      </w:pPr>
      <w:r>
        <w:rPr>
          <w:rFonts w:hint="eastAsia" w:ascii="宋体" w:hAnsi="宋体" w:eastAsia="宋体" w:cs="宋体"/>
          <w:bCs/>
          <w:color w:val="auto"/>
          <w:kern w:val="0"/>
          <w:sz w:val="24"/>
          <w:szCs w:val="24"/>
          <w:highlight w:val="none"/>
          <w:lang w:val="en-US" w:eastAsia="zh-CN" w:bidi="ar"/>
        </w:rPr>
        <w:t>3.6 若乙方不符合本项目的投标单位资格要求，或在投标文件中有作假、违规行为，一经核实，即取消乙方的获奖资格；或乙方提交</w:t>
      </w:r>
      <w:r>
        <w:rPr>
          <w:rFonts w:hint="eastAsia" w:ascii="宋体" w:hAnsi="宋体" w:eastAsia="宋体" w:cs="宋体"/>
          <w:color w:val="auto"/>
          <w:kern w:val="0"/>
          <w:sz w:val="24"/>
          <w:szCs w:val="24"/>
          <w:highlight w:val="none"/>
          <w:lang w:val="en-US" w:eastAsia="zh-CN" w:bidi="ar"/>
        </w:rPr>
        <w:t>的设计方案经评审委员会审查视为无效成</w:t>
      </w:r>
      <w:r>
        <w:rPr>
          <w:rFonts w:hint="eastAsia" w:ascii="宋体" w:hAnsi="宋体" w:eastAsia="宋体" w:cs="宋体"/>
          <w:bCs/>
          <w:color w:val="auto"/>
          <w:kern w:val="0"/>
          <w:sz w:val="24"/>
          <w:szCs w:val="24"/>
          <w:highlight w:val="none"/>
          <w:lang w:val="en-US" w:eastAsia="zh-CN" w:bidi="ar"/>
        </w:rPr>
        <w:t>果，甲方有权不向乙方支付奖励金，并要求乙方赔偿甲方因此遭受的损失。</w:t>
      </w:r>
    </w:p>
    <w:p>
      <w:pPr>
        <w:keepNext w:val="0"/>
        <w:keepLines w:val="0"/>
        <w:widowControl w:val="0"/>
        <w:suppressLineNumbers w:val="0"/>
        <w:adjustRightInd w:val="0"/>
        <w:spacing w:before="0" w:beforeAutospacing="0" w:after="0" w:afterAutospacing="0" w:line="360" w:lineRule="auto"/>
        <w:ind w:left="0" w:right="0" w:firstLine="482"/>
        <w:jc w:val="both"/>
        <w:rPr>
          <w:rFonts w:hint="eastAsia" w:ascii="宋体" w:hAnsi="宋体" w:eastAsia="宋体" w:cs="宋体"/>
          <w:color w:val="auto"/>
          <w:szCs w:val="24"/>
          <w:highlight w:val="none"/>
          <w:lang w:val="en-US"/>
        </w:rPr>
      </w:pPr>
    </w:p>
    <w:p>
      <w:pPr>
        <w:keepNext w:val="0"/>
        <w:keepLines w:val="0"/>
        <w:widowControl w:val="0"/>
        <w:suppressLineNumbers w:val="0"/>
        <w:adjustRightInd w:val="0"/>
        <w:spacing w:before="0" w:beforeAutospacing="0" w:after="0" w:afterAutospacing="0" w:line="360" w:lineRule="auto"/>
        <w:ind w:left="0" w:right="0" w:firstLine="482"/>
        <w:jc w:val="both"/>
        <w:rPr>
          <w:rFonts w:hint="eastAsia" w:ascii="宋体" w:hAnsi="宋体" w:eastAsia="宋体" w:cs="宋体"/>
          <w:b/>
          <w:bCs w:val="0"/>
          <w:color w:val="auto"/>
          <w:szCs w:val="24"/>
          <w:highlight w:val="none"/>
          <w:lang w:val="en-US"/>
        </w:rPr>
      </w:pPr>
      <w:r>
        <w:rPr>
          <w:rFonts w:hint="eastAsia" w:ascii="宋体" w:hAnsi="宋体" w:eastAsia="宋体" w:cs="宋体"/>
          <w:b/>
          <w:bCs w:val="0"/>
          <w:color w:val="auto"/>
          <w:kern w:val="0"/>
          <w:sz w:val="24"/>
          <w:szCs w:val="24"/>
          <w:highlight w:val="none"/>
          <w:lang w:val="en-US" w:eastAsia="zh-CN" w:bidi="ar"/>
        </w:rPr>
        <w:t>第四条  支付时间及方式</w:t>
      </w:r>
    </w:p>
    <w:p>
      <w:pPr>
        <w:keepNext w:val="0"/>
        <w:keepLines w:val="0"/>
        <w:widowControl w:val="0"/>
        <w:suppressLineNumbers w:val="0"/>
        <w:tabs>
          <w:tab w:val="left" w:pos="993"/>
        </w:tabs>
        <w:adjustRightInd w:val="0"/>
        <w:spacing w:before="0" w:beforeAutospacing="0" w:after="0" w:afterAutospacing="0" w:line="360" w:lineRule="auto"/>
        <w:ind w:left="0" w:right="0" w:firstLine="482"/>
        <w:jc w:val="both"/>
        <w:rPr>
          <w:rFonts w:hint="eastAsia" w:ascii="宋体" w:hAnsi="宋体" w:eastAsia="宋体" w:cs="宋体"/>
          <w:color w:val="auto"/>
          <w:szCs w:val="24"/>
          <w:highlight w:val="none"/>
          <w:lang w:val="en-US"/>
        </w:rPr>
      </w:pPr>
      <w:r>
        <w:rPr>
          <w:rFonts w:hint="eastAsia" w:ascii="宋体" w:hAnsi="宋体" w:eastAsia="宋体" w:cs="宋体"/>
          <w:bCs/>
          <w:color w:val="auto"/>
          <w:kern w:val="0"/>
          <w:sz w:val="24"/>
          <w:szCs w:val="24"/>
          <w:highlight w:val="none"/>
          <w:lang w:val="en-US" w:eastAsia="zh-CN" w:bidi="ar"/>
        </w:rPr>
        <w:t>4.1支付时间：</w:t>
      </w:r>
      <w:r>
        <w:rPr>
          <w:rFonts w:hint="eastAsia" w:ascii="宋体" w:hAnsi="宋体" w:eastAsia="宋体" w:cs="宋体"/>
          <w:color w:val="auto"/>
          <w:kern w:val="0"/>
          <w:sz w:val="24"/>
          <w:szCs w:val="24"/>
          <w:highlight w:val="none"/>
          <w:lang w:val="en-US" w:eastAsia="zh-CN" w:bidi="ar"/>
        </w:rPr>
        <w:t>签订《优胜设计方案奖励协议》后，一次性支付本协议奖励金剩余金额。</w:t>
      </w:r>
    </w:p>
    <w:p>
      <w:pPr>
        <w:keepNext w:val="0"/>
        <w:keepLines w:val="0"/>
        <w:widowControl w:val="0"/>
        <w:suppressLineNumbers w:val="0"/>
        <w:adjustRightInd w:val="0"/>
        <w:spacing w:before="0" w:beforeAutospacing="0" w:after="0" w:afterAutospacing="0" w:line="360" w:lineRule="auto"/>
        <w:ind w:left="0" w:right="0" w:firstLine="482"/>
        <w:jc w:val="both"/>
        <w:rPr>
          <w:rFonts w:hint="eastAsia" w:ascii="宋体" w:hAnsi="宋体" w:eastAsia="宋体" w:cs="宋体"/>
          <w:bCs/>
          <w:color w:val="auto"/>
          <w:szCs w:val="24"/>
          <w:highlight w:val="none"/>
          <w:lang w:val="en-US"/>
        </w:rPr>
      </w:pPr>
      <w:r>
        <w:rPr>
          <w:rFonts w:hint="eastAsia" w:ascii="宋体" w:hAnsi="宋体" w:eastAsia="宋体" w:cs="宋体"/>
          <w:bCs/>
          <w:color w:val="auto"/>
          <w:kern w:val="0"/>
          <w:sz w:val="24"/>
          <w:szCs w:val="24"/>
          <w:highlight w:val="none"/>
          <w:lang w:val="en-US" w:eastAsia="zh-CN" w:bidi="ar"/>
        </w:rPr>
        <w:t>4.2 乙方为中国境内个人及企业的，应自行办理完税手续，并提供有效的税局发票；乙方为中国境外个人及企业的，应提供发票并办理中国境内完税手续（甲方可协助乙方办理中国境内相关完税手续）。</w:t>
      </w:r>
    </w:p>
    <w:p>
      <w:pPr>
        <w:keepNext w:val="0"/>
        <w:keepLines w:val="0"/>
        <w:widowControl w:val="0"/>
        <w:suppressLineNumbers w:val="0"/>
        <w:adjustRightInd w:val="0"/>
        <w:spacing w:before="0" w:beforeAutospacing="0" w:after="0" w:afterAutospacing="0" w:line="360" w:lineRule="auto"/>
        <w:ind w:left="0" w:right="0" w:firstLine="482"/>
        <w:jc w:val="both"/>
        <w:rPr>
          <w:rFonts w:hint="eastAsia" w:ascii="宋体" w:hAnsi="宋体" w:eastAsia="宋体" w:cs="宋体"/>
          <w:color w:val="auto"/>
          <w:szCs w:val="24"/>
          <w:highlight w:val="none"/>
          <w:lang w:val="en-US"/>
        </w:rPr>
      </w:pPr>
    </w:p>
    <w:p>
      <w:pPr>
        <w:keepNext w:val="0"/>
        <w:keepLines w:val="0"/>
        <w:widowControl w:val="0"/>
        <w:suppressLineNumbers w:val="0"/>
        <w:adjustRightInd w:val="0"/>
        <w:spacing w:before="0" w:beforeAutospacing="0" w:after="0" w:afterAutospacing="0" w:line="360" w:lineRule="auto"/>
        <w:ind w:left="0" w:right="0" w:firstLine="482"/>
        <w:jc w:val="both"/>
        <w:rPr>
          <w:rFonts w:hint="eastAsia" w:ascii="宋体" w:hAnsi="宋体" w:eastAsia="宋体" w:cs="宋体"/>
          <w:b/>
          <w:bCs w:val="0"/>
          <w:color w:val="auto"/>
          <w:szCs w:val="24"/>
          <w:highlight w:val="none"/>
          <w:lang w:val="en-US"/>
        </w:rPr>
      </w:pPr>
      <w:r>
        <w:rPr>
          <w:rFonts w:hint="eastAsia" w:ascii="宋体" w:hAnsi="宋体" w:eastAsia="宋体" w:cs="宋体"/>
          <w:b/>
          <w:bCs w:val="0"/>
          <w:color w:val="auto"/>
          <w:kern w:val="0"/>
          <w:sz w:val="24"/>
          <w:szCs w:val="24"/>
          <w:highlight w:val="none"/>
          <w:lang w:val="en-US" w:eastAsia="zh-CN" w:bidi="ar"/>
        </w:rPr>
        <w:t>第五条  双方权利与义务</w:t>
      </w:r>
    </w:p>
    <w:p>
      <w:pPr>
        <w:keepNext w:val="0"/>
        <w:keepLines w:val="0"/>
        <w:widowControl w:val="0"/>
        <w:suppressLineNumbers w:val="0"/>
        <w:adjustRightInd w:val="0"/>
        <w:spacing w:before="0" w:beforeAutospacing="0" w:after="0" w:afterAutospacing="0" w:line="360" w:lineRule="auto"/>
        <w:ind w:left="0" w:right="0" w:firstLine="482"/>
        <w:jc w:val="both"/>
        <w:rPr>
          <w:rFonts w:hint="eastAsia" w:ascii="宋体" w:hAnsi="宋体" w:eastAsia="宋体" w:cs="宋体"/>
          <w:b/>
          <w:bCs w:val="0"/>
          <w:color w:val="auto"/>
          <w:szCs w:val="24"/>
          <w:highlight w:val="none"/>
          <w:lang w:val="en-US"/>
        </w:rPr>
      </w:pPr>
      <w:r>
        <w:rPr>
          <w:rFonts w:hint="eastAsia" w:ascii="宋体" w:hAnsi="宋体" w:eastAsia="宋体" w:cs="宋体"/>
          <w:b/>
          <w:bCs w:val="0"/>
          <w:color w:val="auto"/>
          <w:kern w:val="0"/>
          <w:sz w:val="24"/>
          <w:szCs w:val="24"/>
          <w:highlight w:val="none"/>
          <w:lang w:val="en-US" w:eastAsia="zh-CN" w:bidi="ar"/>
        </w:rPr>
        <w:t>5.1 甲方权利与义务</w:t>
      </w:r>
    </w:p>
    <w:p>
      <w:pPr>
        <w:keepNext w:val="0"/>
        <w:keepLines w:val="0"/>
        <w:widowControl w:val="0"/>
        <w:suppressLineNumbers w:val="0"/>
        <w:tabs>
          <w:tab w:val="left" w:pos="993"/>
        </w:tabs>
        <w:adjustRightInd w:val="0"/>
        <w:spacing w:before="0" w:beforeAutospacing="0" w:after="0" w:afterAutospacing="0" w:line="360" w:lineRule="auto"/>
        <w:ind w:left="0" w:right="0" w:firstLine="482"/>
        <w:jc w:val="both"/>
        <w:rPr>
          <w:rFonts w:hint="eastAsia" w:ascii="宋体" w:hAnsi="宋体" w:eastAsia="宋体" w:cs="宋体"/>
          <w:bCs/>
          <w:color w:val="auto"/>
          <w:szCs w:val="24"/>
          <w:highlight w:val="none"/>
          <w:lang w:val="en-US"/>
        </w:rPr>
      </w:pPr>
      <w:r>
        <w:rPr>
          <w:rFonts w:hint="eastAsia" w:ascii="宋体" w:hAnsi="宋体" w:eastAsia="宋体" w:cs="宋体"/>
          <w:bCs/>
          <w:color w:val="auto"/>
          <w:kern w:val="0"/>
          <w:sz w:val="24"/>
          <w:szCs w:val="24"/>
          <w:highlight w:val="none"/>
          <w:lang w:val="en-US" w:eastAsia="zh-CN" w:bidi="ar"/>
        </w:rPr>
        <w:t>（1）甲方应按协议约定支付</w:t>
      </w:r>
      <w:r>
        <w:rPr>
          <w:rFonts w:hint="eastAsia" w:ascii="宋体" w:hAnsi="宋体" w:eastAsia="宋体" w:cs="宋体"/>
          <w:color w:val="auto"/>
          <w:kern w:val="0"/>
          <w:sz w:val="24"/>
          <w:szCs w:val="24"/>
          <w:highlight w:val="none"/>
          <w:lang w:val="en-US" w:eastAsia="zh-CN" w:bidi="ar"/>
        </w:rPr>
        <w:t>优胜设计方案</w:t>
      </w:r>
      <w:r>
        <w:rPr>
          <w:rFonts w:hint="eastAsia" w:ascii="宋体" w:hAnsi="宋体" w:eastAsia="宋体" w:cs="宋体"/>
          <w:bCs/>
          <w:color w:val="auto"/>
          <w:kern w:val="0"/>
          <w:sz w:val="24"/>
          <w:szCs w:val="24"/>
          <w:highlight w:val="none"/>
          <w:lang w:val="en-US" w:eastAsia="zh-CN" w:bidi="ar"/>
        </w:rPr>
        <w:t>奖励金。</w:t>
      </w:r>
    </w:p>
    <w:p>
      <w:pPr>
        <w:keepNext w:val="0"/>
        <w:keepLines w:val="0"/>
        <w:widowControl w:val="0"/>
        <w:suppressLineNumbers w:val="0"/>
        <w:adjustRightInd w:val="0"/>
        <w:spacing w:before="0" w:beforeAutospacing="0" w:after="0" w:afterAutospacing="0" w:line="360" w:lineRule="auto"/>
        <w:ind w:left="0" w:right="0" w:firstLine="482"/>
        <w:jc w:val="both"/>
        <w:rPr>
          <w:rFonts w:hint="eastAsia" w:ascii="宋体" w:hAnsi="宋体" w:eastAsia="宋体" w:cs="宋体"/>
          <w:color w:val="auto"/>
          <w:szCs w:val="24"/>
          <w:highlight w:val="none"/>
          <w:lang w:val="en-US"/>
        </w:rPr>
      </w:pPr>
      <w:r>
        <w:rPr>
          <w:rFonts w:hint="eastAsia" w:ascii="宋体" w:hAnsi="宋体" w:eastAsia="宋体" w:cs="宋体"/>
          <w:bCs/>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甲方在支付奖励金后，乙方的</w:t>
      </w:r>
      <w:r>
        <w:rPr>
          <w:rFonts w:hint="eastAsia" w:ascii="宋体" w:hAnsi="宋体" w:eastAsia="宋体" w:cs="宋体"/>
          <w:bCs/>
          <w:color w:val="auto"/>
          <w:kern w:val="0"/>
          <w:sz w:val="24"/>
          <w:szCs w:val="24"/>
          <w:highlight w:val="none"/>
          <w:lang w:val="en-US" w:eastAsia="zh-CN" w:bidi="ar"/>
        </w:rPr>
        <w:t>设计方案视为甲方委托创作的作品，</w:t>
      </w:r>
      <w:r>
        <w:rPr>
          <w:rFonts w:hint="eastAsia" w:ascii="宋体" w:hAnsi="宋体" w:eastAsia="宋体" w:cs="宋体"/>
          <w:color w:val="auto"/>
          <w:kern w:val="0"/>
          <w:sz w:val="24"/>
          <w:szCs w:val="24"/>
          <w:highlight w:val="none"/>
          <w:lang w:val="en-US" w:eastAsia="zh-CN" w:bidi="ar"/>
        </w:rPr>
        <w:t>乙方设计方案的著作权、版权、专利权和使用权</w:t>
      </w:r>
      <w:r>
        <w:rPr>
          <w:rFonts w:hint="eastAsia" w:ascii="宋体" w:hAnsi="宋体" w:eastAsia="宋体" w:cs="宋体"/>
          <w:bCs/>
          <w:color w:val="auto"/>
          <w:kern w:val="0"/>
          <w:sz w:val="24"/>
          <w:szCs w:val="24"/>
          <w:highlight w:val="none"/>
          <w:lang w:val="en-US" w:eastAsia="zh-CN" w:bidi="ar"/>
        </w:rPr>
        <w:t>归甲方所有，署名权除外</w:t>
      </w:r>
      <w:r>
        <w:rPr>
          <w:rFonts w:hint="eastAsia" w:ascii="宋体" w:hAnsi="宋体" w:eastAsia="宋体" w:cs="宋体"/>
          <w:color w:val="auto"/>
          <w:kern w:val="0"/>
          <w:sz w:val="24"/>
          <w:szCs w:val="24"/>
          <w:highlight w:val="none"/>
          <w:lang w:val="en-US" w:eastAsia="zh-CN" w:bidi="ar"/>
        </w:rPr>
        <w:t>。</w:t>
      </w:r>
    </w:p>
    <w:p>
      <w:pPr>
        <w:keepNext w:val="0"/>
        <w:keepLines w:val="0"/>
        <w:widowControl w:val="0"/>
        <w:suppressLineNumbers w:val="0"/>
        <w:tabs>
          <w:tab w:val="left" w:pos="993"/>
        </w:tabs>
        <w:adjustRightInd w:val="0"/>
        <w:spacing w:before="0" w:beforeAutospacing="0" w:after="0" w:afterAutospacing="0" w:line="360" w:lineRule="auto"/>
        <w:ind w:left="0" w:right="0" w:firstLine="482"/>
        <w:jc w:val="both"/>
        <w:rPr>
          <w:rFonts w:hint="default" w:ascii="宋体" w:hAnsi="宋体" w:eastAsia="宋体" w:cs="宋体"/>
          <w:color w:val="auto"/>
          <w:kern w:val="2"/>
          <w:sz w:val="21"/>
          <w:szCs w:val="21"/>
          <w:highlight w:val="none"/>
        </w:rPr>
      </w:pPr>
      <w:r>
        <w:rPr>
          <w:rFonts w:hint="eastAsia" w:ascii="宋体" w:hAnsi="宋体" w:eastAsia="宋体" w:cs="宋体"/>
          <w:bCs/>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甲方（或经甲方许可时，甲方委托的第三方）有权自由使用、修改乙方的设计成果。未经甲方许可，乙方及任何第三方不得使用或修改该设计成果。甲方（或经甲方许可时，甲方委托的第三方）修改乙方设计成果而产生的设计成果，其著作权归甲方所有。若甲方（或经甲方许可时，甲方委托的第三方）修改乙方设计成果时，乙方共同参与修改过程，提出咨询、优化意见等，修改原乙方设计成果而产生的方案设计阶段成果的著作权仍归甲方所有，但甲方许可并委托其修改乙方设计成果的第三方与乙方均有署名权，署名顺序不做固定，具有署名权的各方均有权在对外宣传等用途中以对自身有利的方式调整署名顺序，各方互不持异议。</w:t>
      </w:r>
    </w:p>
    <w:p>
      <w:pPr>
        <w:keepNext w:val="0"/>
        <w:keepLines w:val="0"/>
        <w:widowControl w:val="0"/>
        <w:suppressLineNumbers w:val="0"/>
        <w:tabs>
          <w:tab w:val="left" w:pos="993"/>
        </w:tabs>
        <w:adjustRightInd w:val="0"/>
        <w:spacing w:before="0" w:beforeAutospacing="0" w:after="0" w:afterAutospacing="0" w:line="360" w:lineRule="auto"/>
        <w:ind w:left="0" w:right="0" w:firstLine="482"/>
        <w:jc w:val="both"/>
        <w:rPr>
          <w:rFonts w:hint="eastAsia" w:ascii="宋体" w:hAnsi="宋体" w:eastAsia="宋体" w:cs="宋体"/>
          <w:color w:val="auto"/>
          <w:szCs w:val="24"/>
          <w:highlight w:val="none"/>
          <w:lang w:val="en-US"/>
        </w:rPr>
      </w:pPr>
    </w:p>
    <w:p>
      <w:pPr>
        <w:keepNext w:val="0"/>
        <w:keepLines w:val="0"/>
        <w:widowControl w:val="0"/>
        <w:suppressLineNumbers w:val="0"/>
        <w:tabs>
          <w:tab w:val="left" w:pos="993"/>
        </w:tabs>
        <w:adjustRightInd w:val="0"/>
        <w:spacing w:before="0" w:beforeAutospacing="0" w:after="0" w:afterAutospacing="0" w:line="360" w:lineRule="auto"/>
        <w:ind w:left="0" w:right="0" w:firstLine="482"/>
        <w:jc w:val="both"/>
        <w:rPr>
          <w:rFonts w:hint="eastAsia" w:ascii="宋体" w:hAnsi="宋体" w:eastAsia="宋体" w:cs="宋体"/>
          <w:bCs/>
          <w:color w:val="auto"/>
          <w:szCs w:val="24"/>
          <w:highlight w:val="none"/>
          <w:lang w:val="en-US"/>
        </w:rPr>
      </w:pPr>
      <w:r>
        <w:rPr>
          <w:rFonts w:hint="eastAsia" w:ascii="宋体" w:hAnsi="宋体" w:eastAsia="宋体" w:cs="宋体"/>
          <w:color w:val="auto"/>
          <w:kern w:val="0"/>
          <w:sz w:val="24"/>
          <w:szCs w:val="24"/>
          <w:highlight w:val="none"/>
          <w:lang w:val="en-US" w:eastAsia="zh-CN" w:bidi="ar"/>
        </w:rPr>
        <w:t>（4）乙方违反本协议约定的，甲方有权单方解除本协议，将乙方纳入甲方的不诚信供应商名单，追究乙方的违约赔偿责任。</w:t>
      </w:r>
    </w:p>
    <w:p>
      <w:pPr>
        <w:keepNext w:val="0"/>
        <w:keepLines w:val="0"/>
        <w:widowControl w:val="0"/>
        <w:suppressLineNumbers w:val="0"/>
        <w:tabs>
          <w:tab w:val="left" w:pos="993"/>
        </w:tabs>
        <w:adjustRightInd w:val="0"/>
        <w:spacing w:before="0" w:beforeAutospacing="0" w:after="0" w:afterAutospacing="0" w:line="360" w:lineRule="auto"/>
        <w:ind w:left="0" w:right="0"/>
        <w:jc w:val="both"/>
        <w:rPr>
          <w:rFonts w:hint="eastAsia" w:ascii="宋体" w:hAnsi="宋体" w:eastAsia="宋体" w:cs="宋体"/>
          <w:b/>
          <w:bCs w:val="0"/>
          <w:color w:val="auto"/>
          <w:szCs w:val="24"/>
          <w:highlight w:val="none"/>
          <w:lang w:val="en-US"/>
        </w:rPr>
      </w:pPr>
    </w:p>
    <w:p>
      <w:pPr>
        <w:keepNext w:val="0"/>
        <w:keepLines w:val="0"/>
        <w:widowControl w:val="0"/>
        <w:suppressLineNumbers w:val="0"/>
        <w:tabs>
          <w:tab w:val="left" w:pos="993"/>
        </w:tabs>
        <w:adjustRightInd w:val="0"/>
        <w:spacing w:before="0" w:beforeAutospacing="0" w:after="0" w:afterAutospacing="0" w:line="360" w:lineRule="auto"/>
        <w:ind w:left="0" w:right="0" w:firstLine="482"/>
        <w:jc w:val="both"/>
        <w:rPr>
          <w:rFonts w:hint="eastAsia" w:ascii="宋体" w:hAnsi="宋体" w:eastAsia="宋体" w:cs="宋体"/>
          <w:b/>
          <w:bCs w:val="0"/>
          <w:color w:val="auto"/>
          <w:szCs w:val="24"/>
          <w:highlight w:val="none"/>
          <w:lang w:val="en-US"/>
        </w:rPr>
      </w:pPr>
      <w:r>
        <w:rPr>
          <w:rFonts w:hint="eastAsia" w:ascii="宋体" w:hAnsi="宋体" w:eastAsia="宋体" w:cs="宋体"/>
          <w:b/>
          <w:bCs w:val="0"/>
          <w:color w:val="auto"/>
          <w:kern w:val="0"/>
          <w:sz w:val="24"/>
          <w:szCs w:val="24"/>
          <w:highlight w:val="none"/>
          <w:lang w:val="en-US" w:eastAsia="zh-CN" w:bidi="ar"/>
        </w:rPr>
        <w:t>5.2 乙方权利、义务</w:t>
      </w:r>
    </w:p>
    <w:p>
      <w:pPr>
        <w:keepNext w:val="0"/>
        <w:keepLines w:val="0"/>
        <w:widowControl w:val="0"/>
        <w:suppressLineNumbers w:val="0"/>
        <w:tabs>
          <w:tab w:val="left" w:pos="993"/>
        </w:tabs>
        <w:adjustRightInd w:val="0"/>
        <w:spacing w:before="0" w:beforeAutospacing="0" w:after="0" w:afterAutospacing="0" w:line="360" w:lineRule="auto"/>
        <w:ind w:left="0" w:right="0" w:firstLine="482"/>
        <w:jc w:val="both"/>
        <w:rPr>
          <w:rFonts w:hint="eastAsia" w:ascii="宋体" w:hAnsi="宋体" w:eastAsia="宋体" w:cs="宋体"/>
          <w:bCs/>
          <w:color w:val="auto"/>
          <w:szCs w:val="24"/>
          <w:highlight w:val="none"/>
          <w:lang w:val="en-US"/>
        </w:rPr>
      </w:pPr>
      <w:r>
        <w:rPr>
          <w:rFonts w:hint="eastAsia" w:ascii="宋体" w:hAnsi="宋体" w:eastAsia="宋体" w:cs="宋体"/>
          <w:bCs/>
          <w:color w:val="auto"/>
          <w:kern w:val="0"/>
          <w:sz w:val="24"/>
          <w:szCs w:val="24"/>
          <w:highlight w:val="none"/>
          <w:lang w:val="en-US" w:eastAsia="zh-CN" w:bidi="ar"/>
        </w:rPr>
        <w:t>（1）乙方在按招标文件、任务书和中国有关标准和规范要求，在规定的时间内提交本协议</w:t>
      </w:r>
      <w:r>
        <w:rPr>
          <w:rFonts w:hint="eastAsia" w:ascii="宋体" w:hAnsi="宋体" w:eastAsia="宋体" w:cs="宋体"/>
          <w:bCs/>
          <w:color w:val="auto"/>
          <w:szCs w:val="24"/>
          <w:highlight w:val="none"/>
          <w:lang w:eastAsia="zh-CN"/>
        </w:rPr>
        <w:t>第二条约定的设计成果文件，并经审查认定方案有效后，有收取奖励金的权利。</w:t>
      </w:r>
    </w:p>
    <w:p>
      <w:pPr>
        <w:keepNext w:val="0"/>
        <w:keepLines w:val="0"/>
        <w:widowControl w:val="0"/>
        <w:suppressLineNumbers w:val="0"/>
        <w:tabs>
          <w:tab w:val="left" w:pos="993"/>
        </w:tabs>
        <w:adjustRightInd w:val="0"/>
        <w:spacing w:before="0" w:beforeAutospacing="0" w:after="0" w:afterAutospacing="0" w:line="360" w:lineRule="auto"/>
        <w:ind w:left="0" w:right="0" w:firstLine="482"/>
        <w:jc w:val="both"/>
        <w:rPr>
          <w:rFonts w:hint="eastAsia" w:ascii="宋体" w:hAnsi="宋体" w:eastAsia="宋体" w:cs="宋体"/>
          <w:bCs/>
          <w:color w:val="auto"/>
          <w:kern w:val="0"/>
          <w:sz w:val="24"/>
          <w:szCs w:val="24"/>
          <w:highlight w:val="none"/>
          <w:lang w:val="en-US" w:bidi="ar"/>
        </w:rPr>
      </w:pPr>
      <w:r>
        <w:rPr>
          <w:rFonts w:hint="eastAsia" w:ascii="宋体" w:hAnsi="宋体" w:eastAsia="宋体" w:cs="宋体"/>
          <w:bCs/>
          <w:color w:val="auto"/>
          <w:kern w:val="0"/>
          <w:sz w:val="24"/>
          <w:szCs w:val="24"/>
          <w:highlight w:val="none"/>
          <w:lang w:val="en-US" w:eastAsia="zh-CN" w:bidi="ar"/>
        </w:rPr>
        <w:t>（2）乙方应依法办理奖励金的完税手续</w:t>
      </w:r>
      <w:r>
        <w:rPr>
          <w:rFonts w:hint="eastAsia" w:ascii="宋体" w:hAnsi="宋体" w:eastAsia="宋体" w:cs="宋体"/>
          <w:bCs/>
          <w:color w:val="auto"/>
          <w:kern w:val="0"/>
          <w:sz w:val="24"/>
          <w:szCs w:val="24"/>
          <w:highlight w:val="none"/>
          <w:lang w:eastAsia="zh-CN" w:bidi="ar"/>
        </w:rPr>
        <w:t>，并在领取</w:t>
      </w:r>
      <w:r>
        <w:rPr>
          <w:rFonts w:hint="eastAsia" w:ascii="宋体" w:hAnsi="宋体" w:eastAsia="宋体" w:cs="宋体"/>
          <w:bCs/>
          <w:color w:val="auto"/>
          <w:kern w:val="0"/>
          <w:sz w:val="24"/>
          <w:szCs w:val="24"/>
          <w:highlight w:val="none"/>
          <w:lang w:val="en-US" w:eastAsia="zh-CN" w:bidi="ar"/>
        </w:rPr>
        <w:t>奖励金后</w:t>
      </w:r>
      <w:r>
        <w:rPr>
          <w:rFonts w:hint="eastAsia" w:ascii="宋体" w:hAnsi="宋体" w:eastAsia="宋体" w:cs="宋体"/>
          <w:bCs/>
          <w:color w:val="auto"/>
          <w:kern w:val="0"/>
          <w:sz w:val="24"/>
          <w:szCs w:val="24"/>
          <w:highlight w:val="none"/>
          <w:lang w:eastAsia="zh-CN" w:bidi="ar"/>
        </w:rPr>
        <w:t>，无条件提供所有中标技术文件（含DWG格式设计文件、建模模型文件等）。</w:t>
      </w:r>
    </w:p>
    <w:p>
      <w:pPr>
        <w:keepNext w:val="0"/>
        <w:keepLines w:val="0"/>
        <w:widowControl w:val="0"/>
        <w:suppressLineNumbers w:val="0"/>
        <w:tabs>
          <w:tab w:val="left" w:pos="993"/>
        </w:tabs>
        <w:adjustRightInd w:val="0"/>
        <w:spacing w:before="0" w:beforeAutospacing="0" w:after="0" w:afterAutospacing="0" w:line="360" w:lineRule="auto"/>
        <w:ind w:left="0" w:right="0" w:firstLine="482"/>
        <w:jc w:val="both"/>
        <w:rPr>
          <w:rFonts w:hint="eastAsia" w:ascii="宋体" w:hAnsi="宋体" w:eastAsia="宋体" w:cs="宋体"/>
          <w:bCs/>
          <w:color w:val="auto"/>
          <w:kern w:val="0"/>
          <w:sz w:val="24"/>
          <w:szCs w:val="24"/>
          <w:highlight w:val="none"/>
          <w:lang w:val="en-US" w:bidi="ar"/>
        </w:rPr>
      </w:pPr>
      <w:r>
        <w:rPr>
          <w:rFonts w:hint="eastAsia" w:ascii="宋体" w:hAnsi="宋体" w:eastAsia="宋体" w:cs="宋体"/>
          <w:bCs/>
          <w:color w:val="auto"/>
          <w:kern w:val="0"/>
          <w:sz w:val="24"/>
          <w:szCs w:val="24"/>
          <w:highlight w:val="none"/>
          <w:lang w:val="en-US" w:eastAsia="zh-CN" w:bidi="ar"/>
        </w:rPr>
        <w:t>（3）未经甲方书面同意，乙方不得将其投标设计方案用于其它任何项目的竞赛/征集活动、投标和设计，不得在国内外刊物、学术或技术交流会上发表该方案成果，不得为了本协议以外的目的而复制、使用该方案成果及相关文件或将之提供给任何第三方。</w:t>
      </w:r>
    </w:p>
    <w:p>
      <w:pPr>
        <w:keepNext w:val="0"/>
        <w:keepLines w:val="0"/>
        <w:widowControl w:val="0"/>
        <w:suppressLineNumbers w:val="0"/>
        <w:adjustRightInd w:val="0"/>
        <w:spacing w:before="0" w:beforeAutospacing="0" w:after="0" w:afterAutospacing="0" w:line="360" w:lineRule="auto"/>
        <w:ind w:left="0" w:right="0" w:firstLine="482"/>
        <w:jc w:val="both"/>
        <w:rPr>
          <w:rFonts w:hint="eastAsia" w:ascii="宋体" w:hAnsi="宋体" w:eastAsia="宋体" w:cs="宋体"/>
          <w:color w:val="auto"/>
          <w:szCs w:val="24"/>
          <w:highlight w:val="none"/>
          <w:lang w:val="en-US"/>
        </w:rPr>
      </w:pPr>
      <w:r>
        <w:rPr>
          <w:rFonts w:hint="eastAsia" w:ascii="宋体" w:hAnsi="宋体" w:eastAsia="宋体" w:cs="宋体"/>
          <w:color w:val="auto"/>
          <w:kern w:val="0"/>
          <w:sz w:val="24"/>
          <w:szCs w:val="24"/>
          <w:highlight w:val="none"/>
          <w:lang w:val="en-US" w:eastAsia="zh-CN" w:bidi="ar"/>
        </w:rPr>
        <w:t>（4）乙方涉嫌侵犯甲方依据本协议所享有的权益的，须在接到甲方通知之日起十五个工作日内立即清查并采取停止侵害、消除影响、赔礼道歉等措施并向甲方做出书面报告，否则乙方须向甲方支付赔偿金。乙方并为因其侵权给甲方造成的一切损失承担赔偿责任。</w:t>
      </w:r>
    </w:p>
    <w:p>
      <w:pPr>
        <w:keepNext w:val="0"/>
        <w:keepLines w:val="0"/>
        <w:widowControl w:val="0"/>
        <w:suppressLineNumbers w:val="0"/>
        <w:adjustRightInd w:val="0"/>
        <w:spacing w:before="0" w:beforeAutospacing="0" w:after="0" w:afterAutospacing="0" w:line="360" w:lineRule="auto"/>
        <w:ind w:left="0" w:right="0" w:firstLine="482"/>
        <w:jc w:val="both"/>
        <w:rPr>
          <w:rFonts w:hint="eastAsia" w:ascii="宋体" w:hAnsi="宋体" w:eastAsia="宋体" w:cs="宋体"/>
          <w:color w:val="auto"/>
          <w:szCs w:val="24"/>
          <w:highlight w:val="none"/>
          <w:lang w:val="en-US"/>
        </w:rPr>
      </w:pPr>
      <w:r>
        <w:rPr>
          <w:rFonts w:hint="eastAsia" w:ascii="宋体" w:hAnsi="宋体" w:eastAsia="宋体" w:cs="宋体"/>
          <w:color w:val="auto"/>
          <w:kern w:val="0"/>
          <w:sz w:val="24"/>
          <w:szCs w:val="24"/>
          <w:highlight w:val="none"/>
          <w:lang w:val="en-US" w:eastAsia="zh-CN" w:bidi="ar"/>
        </w:rPr>
        <w:t>（5）乙方应当确保其设计方案及设计未侵犯任何第三方合法权益，并保证甲方一旦使用其设计成果不会受到来自第三方的侵权诉讼或索赔，否则乙方承担由此产生的一切责任，并赔偿甲方因此所受一切损失。乙方在本协议签订前和签订时已确定采用的专利、专有技术、技术秘密的转让或许可费用等已包含在奖励金中。</w:t>
      </w:r>
    </w:p>
    <w:p>
      <w:pPr>
        <w:keepNext w:val="0"/>
        <w:keepLines w:val="0"/>
        <w:widowControl w:val="0"/>
        <w:suppressLineNumbers w:val="0"/>
        <w:tabs>
          <w:tab w:val="left" w:pos="1135"/>
        </w:tabs>
        <w:adjustRightInd w:val="0"/>
        <w:spacing w:before="0" w:beforeAutospacing="0" w:after="0" w:afterAutospacing="0" w:line="360" w:lineRule="auto"/>
        <w:ind w:left="0" w:right="0" w:firstLine="482"/>
        <w:jc w:val="both"/>
        <w:rPr>
          <w:rFonts w:hint="eastAsia" w:ascii="宋体" w:hAnsi="宋体" w:eastAsia="宋体" w:cs="宋体"/>
          <w:color w:val="auto"/>
          <w:szCs w:val="24"/>
          <w:highlight w:val="none"/>
          <w:lang w:val="en-US"/>
        </w:rPr>
      </w:pPr>
      <w:r>
        <w:rPr>
          <w:rFonts w:hint="eastAsia" w:ascii="宋体" w:hAnsi="宋体" w:eastAsia="宋体" w:cs="宋体"/>
          <w:color w:val="auto"/>
          <w:kern w:val="0"/>
          <w:sz w:val="24"/>
          <w:szCs w:val="24"/>
          <w:highlight w:val="none"/>
          <w:lang w:val="en-US" w:eastAsia="zh-CN" w:bidi="ar"/>
        </w:rPr>
        <w:t>（6） 乙方应保护甲方的知识产权及保密信息，承担保密义务与责任。乙方在签署及履行本协议过程中了解或接触到的、不能从公开途径获得的、与甲方或本项目相关的任何信息或文件均构成发包人所有的商业秘密或保密商业信息（以下简称“保密信息”），乙方应对前述保密信息承担保密义务，除为履行本协议之目的外，未经甲方事先书面同意，不得向第三人泄露或转让或提供甲方提供的产品图纸、投资估算等技术经济资料、其他项目相关资料或者上述保密信息。如发生以上情况并给甲方造成经济损失，乙方应向甲方赔偿一切经济损失。</w:t>
      </w:r>
    </w:p>
    <w:p>
      <w:pPr>
        <w:keepNext w:val="0"/>
        <w:keepLines w:val="0"/>
        <w:widowControl w:val="0"/>
        <w:suppressLineNumbers w:val="0"/>
        <w:tabs>
          <w:tab w:val="left" w:pos="1135"/>
        </w:tabs>
        <w:adjustRightInd w:val="0"/>
        <w:spacing w:before="0" w:beforeAutospacing="0" w:after="0" w:afterAutospacing="0" w:line="360" w:lineRule="auto"/>
        <w:ind w:left="0" w:right="0" w:firstLine="482"/>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（7）乙方违反本协议约定的，应向甲方承担包括但不限于退还奖励金、赔偿甲方损失等违约责任。</w:t>
      </w:r>
    </w:p>
    <w:p>
      <w:pPr>
        <w:keepNext w:val="0"/>
        <w:keepLines w:val="0"/>
        <w:widowControl w:val="0"/>
        <w:suppressLineNumbers w:val="0"/>
        <w:tabs>
          <w:tab w:val="left" w:pos="1135"/>
        </w:tabs>
        <w:adjustRightInd w:val="0"/>
        <w:spacing w:before="0" w:beforeAutospacing="0" w:after="0" w:afterAutospacing="0" w:line="360" w:lineRule="auto"/>
        <w:ind w:left="0" w:right="0" w:firstLine="482"/>
        <w:jc w:val="both"/>
        <w:rPr>
          <w:rFonts w:hint="default" w:ascii="宋体" w:hAnsi="宋体" w:eastAsia="宋体" w:cs="宋体"/>
          <w:color w:val="auto"/>
          <w:kern w:val="0"/>
          <w:sz w:val="24"/>
          <w:szCs w:val="24"/>
          <w:highlight w:val="none"/>
          <w:lang w:eastAsia="zh-CN" w:bidi="ar"/>
        </w:rPr>
      </w:pPr>
    </w:p>
    <w:p>
      <w:pPr>
        <w:keepNext w:val="0"/>
        <w:keepLines w:val="0"/>
        <w:widowControl w:val="0"/>
        <w:suppressLineNumbers w:val="0"/>
        <w:adjustRightInd w:val="0"/>
        <w:spacing w:before="0" w:beforeAutospacing="0" w:after="0" w:afterAutospacing="0" w:line="360" w:lineRule="auto"/>
        <w:ind w:left="0" w:right="0"/>
        <w:jc w:val="both"/>
        <w:rPr>
          <w:rFonts w:hint="eastAsia" w:ascii="宋体" w:hAnsi="宋体" w:eastAsia="宋体" w:cs="宋体"/>
          <w:color w:val="auto"/>
          <w:szCs w:val="24"/>
          <w:highlight w:val="none"/>
          <w:lang w:val="en-US"/>
        </w:rPr>
      </w:pPr>
    </w:p>
    <w:p>
      <w:pPr>
        <w:keepNext w:val="0"/>
        <w:keepLines w:val="0"/>
        <w:widowControl w:val="0"/>
        <w:suppressLineNumbers w:val="0"/>
        <w:adjustRightInd w:val="0"/>
        <w:spacing w:before="0" w:beforeAutospacing="0" w:after="0" w:afterAutospacing="0" w:line="360" w:lineRule="auto"/>
        <w:ind w:left="0" w:right="0" w:firstLine="482"/>
        <w:jc w:val="both"/>
        <w:rPr>
          <w:rFonts w:hint="eastAsia" w:ascii="宋体" w:hAnsi="宋体" w:eastAsia="宋体" w:cs="宋体"/>
          <w:b/>
          <w:bCs w:val="0"/>
          <w:color w:val="auto"/>
          <w:szCs w:val="24"/>
          <w:highlight w:val="none"/>
          <w:lang w:val="en-US"/>
        </w:rPr>
      </w:pPr>
      <w:r>
        <w:rPr>
          <w:rFonts w:hint="eastAsia" w:ascii="宋体" w:hAnsi="宋体" w:eastAsia="宋体" w:cs="宋体"/>
          <w:b/>
          <w:bCs w:val="0"/>
          <w:color w:val="auto"/>
          <w:kern w:val="0"/>
          <w:sz w:val="24"/>
          <w:szCs w:val="24"/>
          <w:highlight w:val="none"/>
          <w:lang w:val="en-US" w:eastAsia="zh-CN" w:bidi="ar"/>
        </w:rPr>
        <w:t>第六条   争议解决方式</w:t>
      </w:r>
    </w:p>
    <w:p>
      <w:pPr>
        <w:keepNext w:val="0"/>
        <w:keepLines w:val="0"/>
        <w:widowControl w:val="0"/>
        <w:suppressLineNumbers w:val="0"/>
        <w:adjustRightInd w:val="0"/>
        <w:spacing w:before="0" w:beforeAutospacing="0" w:after="0" w:afterAutospacing="0" w:line="360" w:lineRule="auto"/>
        <w:ind w:left="0" w:right="0" w:firstLine="482"/>
        <w:jc w:val="both"/>
        <w:rPr>
          <w:rFonts w:hint="eastAsia" w:ascii="宋体" w:hAnsi="宋体" w:eastAsia="宋体" w:cs="宋体"/>
          <w:bCs/>
          <w:color w:val="auto"/>
          <w:szCs w:val="24"/>
          <w:highlight w:val="none"/>
          <w:lang w:val="en-US"/>
        </w:rPr>
      </w:pPr>
      <w:r>
        <w:rPr>
          <w:rFonts w:hint="eastAsia" w:ascii="宋体" w:hAnsi="宋体" w:eastAsia="宋体" w:cs="宋体"/>
          <w:bCs/>
          <w:color w:val="auto"/>
          <w:kern w:val="0"/>
          <w:sz w:val="24"/>
          <w:szCs w:val="24"/>
          <w:highlight w:val="none"/>
          <w:lang w:val="en-US" w:eastAsia="zh-CN" w:bidi="ar"/>
        </w:rPr>
        <w:t>6.1 本协议发生争议，双方当事人应及时协商解决。协商不成时，可向项目所在地人民法院提起诉讼。</w:t>
      </w:r>
    </w:p>
    <w:p>
      <w:pPr>
        <w:keepNext w:val="0"/>
        <w:keepLines w:val="0"/>
        <w:widowControl w:val="0"/>
        <w:suppressLineNumbers w:val="0"/>
        <w:adjustRightInd w:val="0"/>
        <w:spacing w:before="0" w:beforeAutospacing="0" w:after="0" w:afterAutospacing="0" w:line="360" w:lineRule="auto"/>
        <w:ind w:left="0" w:right="0" w:firstLine="482"/>
        <w:jc w:val="both"/>
        <w:rPr>
          <w:rFonts w:hint="eastAsia" w:ascii="宋体" w:hAnsi="宋体" w:eastAsia="宋体" w:cs="宋体"/>
          <w:bCs/>
          <w:color w:val="auto"/>
          <w:szCs w:val="24"/>
          <w:highlight w:val="none"/>
          <w:lang w:val="en-US"/>
        </w:rPr>
      </w:pPr>
      <w:r>
        <w:rPr>
          <w:rFonts w:hint="eastAsia" w:ascii="宋体" w:hAnsi="宋体" w:eastAsia="宋体" w:cs="宋体"/>
          <w:bCs/>
          <w:color w:val="auto"/>
          <w:kern w:val="0"/>
          <w:sz w:val="24"/>
          <w:szCs w:val="24"/>
          <w:highlight w:val="none"/>
          <w:lang w:val="en-US" w:eastAsia="zh-CN" w:bidi="ar"/>
        </w:rPr>
        <w:t>6.2 本协议一式陆份，甲方执肆份，乙方执贰份。各份均具有同等法律效力。</w:t>
      </w:r>
    </w:p>
    <w:p>
      <w:pPr>
        <w:keepNext w:val="0"/>
        <w:keepLines w:val="0"/>
        <w:widowControl w:val="0"/>
        <w:suppressLineNumbers w:val="0"/>
        <w:adjustRightInd w:val="0"/>
        <w:spacing w:before="0" w:beforeAutospacing="0" w:after="0" w:afterAutospacing="0" w:line="360" w:lineRule="auto"/>
        <w:ind w:left="0" w:right="0" w:firstLine="482"/>
        <w:jc w:val="both"/>
        <w:rPr>
          <w:rFonts w:hint="eastAsia" w:ascii="宋体" w:hAnsi="宋体" w:eastAsia="宋体" w:cs="宋体"/>
          <w:bCs/>
          <w:color w:val="auto"/>
          <w:szCs w:val="24"/>
          <w:highlight w:val="none"/>
          <w:lang w:val="en-US"/>
        </w:rPr>
      </w:pPr>
      <w:r>
        <w:rPr>
          <w:rFonts w:hint="eastAsia" w:ascii="宋体" w:hAnsi="宋体" w:eastAsia="宋体" w:cs="宋体"/>
          <w:bCs/>
          <w:color w:val="auto"/>
          <w:kern w:val="0"/>
          <w:sz w:val="24"/>
          <w:szCs w:val="24"/>
          <w:highlight w:val="none"/>
          <w:lang w:val="en-US" w:eastAsia="zh-CN" w:bidi="ar"/>
        </w:rPr>
        <w:t>6.3 有关本协议的任何纠纷均适用中华人民共和国（大陆地区）法律。</w:t>
      </w:r>
    </w:p>
    <w:p>
      <w:pPr>
        <w:keepNext w:val="0"/>
        <w:keepLines w:val="0"/>
        <w:widowControl w:val="0"/>
        <w:suppressLineNumbers w:val="0"/>
        <w:adjustRightInd w:val="0"/>
        <w:spacing w:before="0" w:beforeAutospacing="0" w:after="0" w:afterAutospacing="0" w:line="360" w:lineRule="auto"/>
        <w:ind w:left="0" w:right="0" w:firstLine="482"/>
        <w:jc w:val="both"/>
        <w:rPr>
          <w:rFonts w:hint="eastAsia" w:ascii="宋体" w:hAnsi="宋体" w:eastAsia="宋体" w:cs="宋体"/>
          <w:bCs/>
          <w:color w:val="auto"/>
          <w:szCs w:val="24"/>
          <w:highlight w:val="none"/>
          <w:lang w:val="en-US"/>
        </w:rPr>
      </w:pPr>
      <w:r>
        <w:rPr>
          <w:rFonts w:hint="eastAsia" w:ascii="宋体" w:hAnsi="宋体" w:eastAsia="宋体" w:cs="宋体"/>
          <w:bCs/>
          <w:color w:val="auto"/>
          <w:kern w:val="0"/>
          <w:sz w:val="24"/>
          <w:szCs w:val="24"/>
          <w:highlight w:val="none"/>
          <w:lang w:val="en-US" w:eastAsia="zh-CN" w:bidi="ar"/>
        </w:rPr>
        <w:t>6.4 本协议自签订之日起生效，至双方履行完毕本协议中各自的义务之日自动终止。本协议中有关知识产权归属约定不因本协议解除、终止、无效、失效而改变。</w:t>
      </w:r>
    </w:p>
    <w:p>
      <w:pPr>
        <w:keepNext w:val="0"/>
        <w:keepLines w:val="0"/>
        <w:widowControl w:val="0"/>
        <w:suppressLineNumbers w:val="0"/>
        <w:adjustRightInd w:val="0"/>
        <w:spacing w:before="0" w:beforeAutospacing="0" w:after="0" w:afterAutospacing="0" w:line="360" w:lineRule="auto"/>
        <w:ind w:left="0" w:right="0" w:firstLine="482"/>
        <w:jc w:val="both"/>
        <w:rPr>
          <w:rFonts w:hint="eastAsia" w:ascii="宋体" w:hAnsi="宋体" w:eastAsia="宋体" w:cs="宋体"/>
          <w:color w:val="auto"/>
          <w:szCs w:val="24"/>
          <w:highlight w:val="none"/>
          <w:lang w:val="en-US"/>
        </w:rPr>
      </w:pPr>
    </w:p>
    <w:p>
      <w:pPr>
        <w:keepNext w:val="0"/>
        <w:keepLines w:val="0"/>
        <w:widowControl w:val="0"/>
        <w:suppressLineNumbers w:val="0"/>
        <w:adjustRightInd w:val="0"/>
        <w:spacing w:before="0" w:beforeAutospacing="0" w:after="0" w:afterAutospacing="0" w:line="360" w:lineRule="auto"/>
        <w:ind w:left="0" w:right="0" w:firstLine="482"/>
        <w:jc w:val="both"/>
        <w:rPr>
          <w:rFonts w:hint="eastAsia" w:ascii="宋体" w:hAnsi="宋体" w:eastAsia="宋体" w:cs="宋体"/>
          <w:color w:val="auto"/>
          <w:szCs w:val="24"/>
          <w:highlight w:val="none"/>
          <w:lang w:val="en-US"/>
        </w:rPr>
      </w:pPr>
      <w:r>
        <w:rPr>
          <w:rFonts w:hint="eastAsia" w:ascii="宋体" w:hAnsi="宋体" w:eastAsia="宋体" w:cs="宋体"/>
          <w:b/>
          <w:bCs w:val="0"/>
          <w:color w:val="auto"/>
          <w:kern w:val="0"/>
          <w:sz w:val="24"/>
          <w:szCs w:val="24"/>
          <w:highlight w:val="none"/>
          <w:lang w:val="en-US" w:eastAsia="zh-CN" w:bidi="ar"/>
        </w:rPr>
        <w:t>第七条   乙方收款账户信息</w:t>
      </w:r>
    </w:p>
    <w:p>
      <w:pPr>
        <w:keepNext w:val="0"/>
        <w:keepLines w:val="0"/>
        <w:widowControl w:val="0"/>
        <w:suppressLineNumbers w:val="0"/>
        <w:adjustRightInd w:val="0"/>
        <w:spacing w:before="0" w:beforeAutospacing="0" w:after="0" w:afterAutospacing="0" w:line="360" w:lineRule="auto"/>
        <w:ind w:left="0" w:right="0" w:firstLine="482"/>
        <w:jc w:val="both"/>
        <w:rPr>
          <w:rFonts w:hint="eastAsia" w:ascii="宋体" w:hAnsi="宋体" w:eastAsia="宋体" w:cs="宋体"/>
          <w:color w:val="auto"/>
          <w:szCs w:val="24"/>
          <w:highlight w:val="none"/>
          <w:lang w:val="en-US"/>
        </w:rPr>
      </w:pPr>
      <w:r>
        <w:rPr>
          <w:rFonts w:hint="eastAsia" w:ascii="宋体" w:hAnsi="宋体" w:eastAsia="宋体" w:cs="宋体"/>
          <w:color w:val="auto"/>
          <w:kern w:val="0"/>
          <w:sz w:val="24"/>
          <w:szCs w:val="24"/>
          <w:highlight w:val="none"/>
          <w:lang w:val="en-US" w:eastAsia="zh-CN" w:bidi="ar"/>
        </w:rPr>
        <w:t>收款单位：</w:t>
      </w:r>
    </w:p>
    <w:p>
      <w:pPr>
        <w:keepNext w:val="0"/>
        <w:keepLines w:val="0"/>
        <w:widowControl w:val="0"/>
        <w:suppressLineNumbers w:val="0"/>
        <w:adjustRightInd w:val="0"/>
        <w:spacing w:before="0" w:beforeAutospacing="0" w:after="0" w:afterAutospacing="0" w:line="360" w:lineRule="auto"/>
        <w:ind w:left="0" w:right="0" w:firstLine="482"/>
        <w:jc w:val="both"/>
        <w:rPr>
          <w:rFonts w:hint="eastAsia" w:ascii="宋体" w:hAnsi="宋体" w:eastAsia="宋体" w:cs="宋体"/>
          <w:color w:val="auto"/>
          <w:szCs w:val="24"/>
          <w:highlight w:val="none"/>
          <w:lang w:val="en-US"/>
        </w:rPr>
      </w:pPr>
      <w:r>
        <w:rPr>
          <w:rFonts w:hint="eastAsia" w:ascii="宋体" w:hAnsi="宋体" w:eastAsia="宋体" w:cs="宋体"/>
          <w:color w:val="auto"/>
          <w:kern w:val="0"/>
          <w:sz w:val="24"/>
          <w:szCs w:val="24"/>
          <w:highlight w:val="none"/>
          <w:lang w:val="en-US" w:eastAsia="zh-CN" w:bidi="ar"/>
        </w:rPr>
        <w:t>银    行：</w:t>
      </w:r>
    </w:p>
    <w:p>
      <w:pPr>
        <w:keepNext w:val="0"/>
        <w:keepLines w:val="0"/>
        <w:widowControl w:val="0"/>
        <w:suppressLineNumbers w:val="0"/>
        <w:adjustRightInd w:val="0"/>
        <w:spacing w:before="0" w:beforeAutospacing="0" w:after="0" w:afterAutospacing="0" w:line="360" w:lineRule="auto"/>
        <w:ind w:left="0" w:right="0" w:firstLine="482"/>
        <w:jc w:val="both"/>
        <w:rPr>
          <w:rFonts w:hint="eastAsia" w:ascii="宋体" w:hAnsi="宋体" w:eastAsia="宋体" w:cs="宋体"/>
          <w:color w:val="auto"/>
          <w:szCs w:val="24"/>
          <w:highlight w:val="none"/>
          <w:lang w:val="en-US"/>
        </w:rPr>
      </w:pPr>
      <w:r>
        <w:rPr>
          <w:rFonts w:hint="eastAsia" w:ascii="宋体" w:hAnsi="宋体" w:eastAsia="宋体" w:cs="宋体"/>
          <w:color w:val="auto"/>
          <w:kern w:val="0"/>
          <w:sz w:val="24"/>
          <w:szCs w:val="24"/>
          <w:highlight w:val="none"/>
          <w:lang w:val="en-US" w:eastAsia="zh-CN" w:bidi="ar"/>
        </w:rPr>
        <w:t>银行地址：</w:t>
      </w:r>
    </w:p>
    <w:p>
      <w:pPr>
        <w:keepNext w:val="0"/>
        <w:keepLines w:val="0"/>
        <w:widowControl w:val="0"/>
        <w:suppressLineNumbers w:val="0"/>
        <w:adjustRightInd w:val="0"/>
        <w:spacing w:before="0" w:beforeAutospacing="0" w:after="0" w:afterAutospacing="0" w:line="360" w:lineRule="auto"/>
        <w:ind w:left="0" w:right="0" w:firstLine="482"/>
        <w:jc w:val="both"/>
        <w:rPr>
          <w:rFonts w:hint="eastAsia" w:ascii="宋体" w:hAnsi="宋体" w:eastAsia="宋体" w:cs="宋体"/>
          <w:color w:val="auto"/>
          <w:szCs w:val="24"/>
          <w:highlight w:val="none"/>
          <w:lang w:val="en-US"/>
        </w:rPr>
      </w:pPr>
      <w:r>
        <w:rPr>
          <w:rFonts w:hint="eastAsia" w:ascii="宋体" w:hAnsi="宋体" w:eastAsia="宋体" w:cs="宋体"/>
          <w:color w:val="auto"/>
          <w:kern w:val="0"/>
          <w:sz w:val="24"/>
          <w:szCs w:val="24"/>
          <w:highlight w:val="none"/>
          <w:lang w:val="en-US" w:eastAsia="zh-CN" w:bidi="ar"/>
        </w:rPr>
        <w:t>账    号：</w:t>
      </w:r>
    </w:p>
    <w:p>
      <w:pPr>
        <w:keepNext w:val="0"/>
        <w:keepLines w:val="0"/>
        <w:widowControl w:val="0"/>
        <w:suppressLineNumbers w:val="0"/>
        <w:adjustRightInd w:val="0"/>
        <w:spacing w:before="0" w:beforeAutospacing="0" w:after="0" w:afterAutospacing="0" w:line="420" w:lineRule="exact"/>
        <w:ind w:left="0" w:right="0" w:firstLine="573"/>
        <w:jc w:val="both"/>
        <w:rPr>
          <w:rFonts w:hint="eastAsia" w:ascii="宋体" w:hAnsi="宋体" w:eastAsia="宋体" w:cs="宋体"/>
          <w:color w:val="auto"/>
          <w:szCs w:val="24"/>
          <w:highlight w:val="none"/>
          <w:lang w:val="en-US"/>
        </w:rPr>
      </w:pPr>
    </w:p>
    <w:p>
      <w:pPr>
        <w:keepNext w:val="0"/>
        <w:keepLines w:val="0"/>
        <w:widowControl w:val="0"/>
        <w:suppressLineNumbers w:val="0"/>
        <w:adjustRightInd w:val="0"/>
        <w:spacing w:before="0" w:beforeAutospacing="0" w:after="0" w:afterAutospacing="0" w:line="420" w:lineRule="exact"/>
        <w:ind w:left="0" w:right="0" w:firstLine="573"/>
        <w:jc w:val="both"/>
        <w:rPr>
          <w:rFonts w:hint="eastAsia" w:ascii="宋体" w:hAnsi="宋体" w:eastAsia="宋体" w:cs="宋体"/>
          <w:color w:val="auto"/>
          <w:szCs w:val="24"/>
          <w:highlight w:val="none"/>
          <w:lang w:val="en-US"/>
        </w:rPr>
      </w:pPr>
    </w:p>
    <w:p>
      <w:pPr>
        <w:keepNext w:val="0"/>
        <w:keepLines w:val="0"/>
        <w:widowControl w:val="0"/>
        <w:suppressLineNumbers w:val="0"/>
        <w:adjustRightInd w:val="0"/>
        <w:spacing w:before="0" w:beforeAutospacing="0" w:after="0" w:afterAutospacing="0" w:line="420" w:lineRule="exact"/>
        <w:ind w:left="0" w:right="0" w:firstLine="573"/>
        <w:jc w:val="both"/>
        <w:rPr>
          <w:rFonts w:hint="eastAsia" w:ascii="宋体" w:hAnsi="宋体" w:eastAsia="宋体" w:cs="宋体"/>
          <w:color w:val="auto"/>
          <w:szCs w:val="24"/>
          <w:highlight w:val="none"/>
          <w:lang w:val="en-US"/>
        </w:rPr>
      </w:pPr>
    </w:p>
    <w:tbl>
      <w:tblPr>
        <w:tblStyle w:val="11"/>
        <w:tblpPr w:leftFromText="180" w:rightFromText="180" w:vertAnchor="text" w:horzAnchor="page" w:tblpX="1569" w:tblpY="283"/>
        <w:tblOverlap w:val="never"/>
        <w:tblW w:w="94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77"/>
        <w:gridCol w:w="897"/>
        <w:gridCol w:w="3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4577" w:type="dxa"/>
            <w:shd w:val="clear" w:color="auto" w:fill="auto"/>
            <w:vAlign w:val="top"/>
          </w:tcPr>
          <w:p>
            <w:pPr>
              <w:keepNext w:val="0"/>
              <w:keepLines w:val="0"/>
              <w:widowControl w:val="0"/>
              <w:suppressLineNumbers w:val="0"/>
              <w:adjustRightInd w:val="0"/>
              <w:spacing w:before="0" w:beforeAutospacing="0" w:after="0" w:afterAutospacing="0" w:line="360" w:lineRule="atLeast"/>
              <w:ind w:left="1440" w:right="0" w:hanging="1440" w:hangingChars="600"/>
              <w:jc w:val="both"/>
              <w:rPr>
                <w:rFonts w:hint="default" w:ascii="宋体" w:hAnsi="宋体" w:eastAsia="宋体" w:cs="宋体"/>
                <w:color w:val="auto"/>
                <w:szCs w:val="24"/>
                <w:highlight w:val="none"/>
                <w:lang w:val="en-US"/>
              </w:rPr>
            </w:pPr>
            <w:r>
              <w:rPr>
                <w:rFonts w:hint="eastAsia" w:ascii="宋体" w:hAnsi="宋体" w:eastAsia="宋体" w:cs="宋体"/>
                <w:color w:val="auto"/>
                <w:kern w:val="0"/>
                <w:sz w:val="24"/>
                <w:szCs w:val="24"/>
                <w:highlight w:val="none"/>
                <w:lang w:val="en-US" w:eastAsia="zh-CN" w:bidi="ar"/>
              </w:rPr>
              <w:t>甲方：</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（盖章）</w:t>
            </w:r>
          </w:p>
        </w:tc>
        <w:tc>
          <w:tcPr>
            <w:tcW w:w="897" w:type="dxa"/>
            <w:shd w:val="clear" w:color="auto" w:fill="auto"/>
            <w:vAlign w:val="top"/>
          </w:tcPr>
          <w:p>
            <w:pPr>
              <w:keepNext w:val="0"/>
              <w:keepLines w:val="0"/>
              <w:widowControl w:val="0"/>
              <w:suppressLineNumbers w:val="0"/>
              <w:adjustRightInd w:val="0"/>
              <w:snapToGrid w:val="0"/>
              <w:spacing w:before="0" w:beforeAutospacing="0" w:after="0" w:afterAutospacing="0" w:line="600" w:lineRule="atLeast"/>
              <w:ind w:left="0" w:right="-260" w:rightChars="-124"/>
              <w:jc w:val="both"/>
              <w:rPr>
                <w:rFonts w:hint="default" w:ascii="宋体" w:hAnsi="宋体" w:eastAsia="宋体" w:cs="宋体"/>
                <w:color w:val="auto"/>
                <w:szCs w:val="24"/>
                <w:highlight w:val="none"/>
                <w:lang w:val="en-US"/>
              </w:rPr>
            </w:pPr>
          </w:p>
          <w:p>
            <w:pPr>
              <w:keepNext w:val="0"/>
              <w:keepLines w:val="0"/>
              <w:widowControl w:val="0"/>
              <w:suppressLineNumbers w:val="0"/>
              <w:adjustRightInd w:val="0"/>
              <w:spacing w:before="0" w:beforeAutospacing="0" w:after="0" w:afterAutospacing="0" w:line="360" w:lineRule="atLeast"/>
              <w:ind w:left="0" w:right="0"/>
              <w:jc w:val="both"/>
              <w:rPr>
                <w:rFonts w:hint="default" w:ascii="宋体" w:hAnsi="宋体" w:eastAsia="宋体" w:cs="宋体"/>
                <w:color w:val="auto"/>
                <w:szCs w:val="24"/>
                <w:highlight w:val="none"/>
                <w:lang w:val="en-US"/>
              </w:rPr>
            </w:pPr>
          </w:p>
        </w:tc>
        <w:tc>
          <w:tcPr>
            <w:tcW w:w="3945" w:type="dxa"/>
            <w:shd w:val="clear" w:color="auto" w:fill="auto"/>
            <w:vAlign w:val="top"/>
          </w:tcPr>
          <w:p>
            <w:pPr>
              <w:keepNext w:val="0"/>
              <w:keepLines w:val="0"/>
              <w:widowControl w:val="0"/>
              <w:suppressLineNumbers w:val="0"/>
              <w:adjustRightInd w:val="0"/>
              <w:snapToGrid w:val="0"/>
              <w:spacing w:before="0" w:beforeAutospacing="0" w:after="0" w:afterAutospacing="0" w:line="360" w:lineRule="atLeast"/>
              <w:ind w:left="0" w:right="0"/>
              <w:jc w:val="both"/>
              <w:rPr>
                <w:rFonts w:hint="default" w:ascii="宋体" w:hAnsi="宋体" w:eastAsia="宋体" w:cs="宋体"/>
                <w:color w:val="auto"/>
                <w:szCs w:val="24"/>
                <w:highlight w:val="none"/>
                <w:lang w:val="en-US"/>
              </w:rPr>
            </w:pPr>
            <w:r>
              <w:rPr>
                <w:rFonts w:hint="eastAsia" w:ascii="宋体" w:hAnsi="宋体" w:eastAsia="宋体" w:cs="宋体"/>
                <w:color w:val="auto"/>
                <w:kern w:val="0"/>
                <w:sz w:val="24"/>
                <w:szCs w:val="24"/>
                <w:highlight w:val="none"/>
                <w:lang w:val="en-US" w:eastAsia="zh-CN" w:bidi="ar"/>
              </w:rPr>
              <w:t>乙方：</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（签章）</w:t>
            </w:r>
          </w:p>
          <w:p>
            <w:pPr>
              <w:keepNext w:val="0"/>
              <w:keepLines w:val="0"/>
              <w:widowControl w:val="0"/>
              <w:suppressLineNumbers w:val="0"/>
              <w:adjustRightInd w:val="0"/>
              <w:snapToGrid w:val="0"/>
              <w:spacing w:before="0" w:beforeAutospacing="0" w:after="0" w:afterAutospacing="0" w:line="360" w:lineRule="atLeast"/>
              <w:ind w:left="0" w:right="0"/>
              <w:jc w:val="both"/>
              <w:rPr>
                <w:rFonts w:hint="default" w:ascii="宋体" w:hAnsi="宋体" w:eastAsia="宋体" w:cs="宋体"/>
                <w:color w:val="auto"/>
                <w:szCs w:val="24"/>
                <w:highlight w:val="none"/>
                <w:lang w:val="en-US"/>
              </w:rPr>
            </w:pPr>
          </w:p>
          <w:p>
            <w:pPr>
              <w:keepNext w:val="0"/>
              <w:keepLines w:val="0"/>
              <w:widowControl w:val="0"/>
              <w:suppressLineNumbers w:val="0"/>
              <w:adjustRightInd w:val="0"/>
              <w:snapToGrid w:val="0"/>
              <w:spacing w:before="0" w:beforeAutospacing="0" w:after="0" w:afterAutospacing="0" w:line="360" w:lineRule="atLeast"/>
              <w:ind w:left="0" w:right="0"/>
              <w:jc w:val="both"/>
              <w:rPr>
                <w:rFonts w:hint="default" w:ascii="宋体" w:hAnsi="宋体" w:eastAsia="宋体" w:cs="宋体"/>
                <w:color w:val="auto"/>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4577" w:type="dxa"/>
            <w:shd w:val="clear" w:color="auto" w:fill="auto"/>
            <w:vAlign w:val="top"/>
          </w:tcPr>
          <w:p>
            <w:pPr>
              <w:keepNext w:val="0"/>
              <w:keepLines w:val="0"/>
              <w:widowControl w:val="0"/>
              <w:suppressLineNumbers w:val="0"/>
              <w:adjustRightInd w:val="0"/>
              <w:spacing w:before="0" w:beforeAutospacing="0" w:after="0" w:afterAutospacing="0" w:line="360" w:lineRule="atLeast"/>
              <w:ind w:left="0" w:right="0"/>
              <w:jc w:val="both"/>
              <w:rPr>
                <w:rFonts w:hint="default" w:ascii="宋体" w:hAnsi="宋体" w:eastAsia="宋体" w:cs="宋体"/>
                <w:color w:val="auto"/>
                <w:szCs w:val="24"/>
                <w:highlight w:val="none"/>
                <w:lang w:val="en-US"/>
              </w:rPr>
            </w:pPr>
            <w:r>
              <w:rPr>
                <w:rFonts w:hint="eastAsia" w:ascii="宋体" w:hAnsi="宋体" w:eastAsia="宋体" w:cs="宋体"/>
                <w:color w:val="auto"/>
                <w:kern w:val="0"/>
                <w:sz w:val="24"/>
                <w:szCs w:val="24"/>
                <w:highlight w:val="none"/>
                <w:lang w:val="en-US" w:eastAsia="zh-CN" w:bidi="ar"/>
              </w:rPr>
              <w:t>法定代表人或委托代表人：（签章）</w:t>
            </w:r>
          </w:p>
        </w:tc>
        <w:tc>
          <w:tcPr>
            <w:tcW w:w="897" w:type="dxa"/>
            <w:shd w:val="clear" w:color="auto" w:fill="auto"/>
            <w:vAlign w:val="top"/>
          </w:tcPr>
          <w:p>
            <w:pPr>
              <w:keepNext w:val="0"/>
              <w:keepLines w:val="0"/>
              <w:widowControl w:val="0"/>
              <w:suppressLineNumbers w:val="0"/>
              <w:adjustRightInd w:val="0"/>
              <w:spacing w:before="0" w:beforeAutospacing="0" w:after="0" w:afterAutospacing="0" w:line="360" w:lineRule="atLeast"/>
              <w:ind w:left="0" w:right="0"/>
              <w:jc w:val="both"/>
              <w:rPr>
                <w:rFonts w:hint="default" w:ascii="宋体" w:hAnsi="宋体" w:eastAsia="宋体" w:cs="宋体"/>
                <w:color w:val="auto"/>
                <w:szCs w:val="24"/>
                <w:highlight w:val="none"/>
                <w:lang w:val="en-US"/>
              </w:rPr>
            </w:pPr>
          </w:p>
        </w:tc>
        <w:tc>
          <w:tcPr>
            <w:tcW w:w="3945" w:type="dxa"/>
            <w:shd w:val="clear" w:color="auto" w:fill="auto"/>
            <w:vAlign w:val="top"/>
          </w:tcPr>
          <w:p>
            <w:pPr>
              <w:keepNext w:val="0"/>
              <w:keepLines w:val="0"/>
              <w:widowControl w:val="0"/>
              <w:suppressLineNumbers w:val="0"/>
              <w:adjustRightInd w:val="0"/>
              <w:spacing w:before="0" w:beforeAutospacing="0" w:after="0" w:afterAutospacing="0" w:line="360" w:lineRule="atLeast"/>
              <w:ind w:left="0" w:right="0"/>
              <w:jc w:val="both"/>
              <w:rPr>
                <w:rFonts w:hint="default" w:ascii="宋体" w:hAnsi="宋体" w:eastAsia="宋体" w:cs="宋体"/>
                <w:color w:val="auto"/>
                <w:szCs w:val="24"/>
                <w:highlight w:val="none"/>
                <w:lang w:val="en-US"/>
              </w:rPr>
            </w:pPr>
            <w:r>
              <w:rPr>
                <w:rFonts w:hint="eastAsia" w:ascii="宋体" w:hAnsi="宋体" w:eastAsia="宋体" w:cs="宋体"/>
                <w:color w:val="auto"/>
                <w:kern w:val="0"/>
                <w:sz w:val="24"/>
                <w:szCs w:val="24"/>
                <w:highlight w:val="none"/>
                <w:lang w:val="en-US" w:eastAsia="zh-CN" w:bidi="ar"/>
              </w:rPr>
              <w:t>法定代表人或委托代表人：（签章）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4577" w:type="dxa"/>
            <w:shd w:val="clear" w:color="auto" w:fill="auto"/>
            <w:vAlign w:val="top"/>
          </w:tcPr>
          <w:p>
            <w:pPr>
              <w:keepNext w:val="0"/>
              <w:keepLines w:val="0"/>
              <w:widowControl w:val="0"/>
              <w:suppressLineNumbers w:val="0"/>
              <w:adjustRightInd w:val="0"/>
              <w:spacing w:before="0" w:beforeAutospacing="0" w:after="0" w:afterAutospacing="0" w:line="360" w:lineRule="atLeast"/>
              <w:ind w:left="0" w:right="0"/>
              <w:jc w:val="both"/>
              <w:rPr>
                <w:rFonts w:hint="default" w:ascii="宋体" w:hAnsi="宋体" w:eastAsia="宋体" w:cs="宋体"/>
                <w:color w:val="auto"/>
                <w:szCs w:val="24"/>
                <w:highlight w:val="none"/>
                <w:lang w:val="en-US"/>
              </w:rPr>
            </w:pPr>
          </w:p>
        </w:tc>
        <w:tc>
          <w:tcPr>
            <w:tcW w:w="897" w:type="dxa"/>
            <w:shd w:val="clear" w:color="auto" w:fill="auto"/>
            <w:vAlign w:val="top"/>
          </w:tcPr>
          <w:p>
            <w:pPr>
              <w:keepNext w:val="0"/>
              <w:keepLines w:val="0"/>
              <w:widowControl w:val="0"/>
              <w:suppressLineNumbers w:val="0"/>
              <w:adjustRightInd w:val="0"/>
              <w:spacing w:before="0" w:beforeAutospacing="0" w:after="0" w:afterAutospacing="0" w:line="360" w:lineRule="atLeast"/>
              <w:ind w:left="0" w:right="0"/>
              <w:jc w:val="both"/>
              <w:rPr>
                <w:rFonts w:hint="default" w:ascii="宋体" w:hAnsi="宋体" w:eastAsia="宋体" w:cs="宋体"/>
                <w:color w:val="auto"/>
                <w:szCs w:val="24"/>
                <w:highlight w:val="none"/>
                <w:lang w:val="en-US"/>
              </w:rPr>
            </w:pPr>
          </w:p>
        </w:tc>
        <w:tc>
          <w:tcPr>
            <w:tcW w:w="3945" w:type="dxa"/>
            <w:shd w:val="clear" w:color="auto" w:fill="auto"/>
            <w:vAlign w:val="top"/>
          </w:tcPr>
          <w:p>
            <w:pPr>
              <w:keepNext w:val="0"/>
              <w:keepLines w:val="0"/>
              <w:widowControl w:val="0"/>
              <w:suppressLineNumbers w:val="0"/>
              <w:adjustRightInd w:val="0"/>
              <w:spacing w:before="0" w:beforeAutospacing="0" w:after="0" w:afterAutospacing="0" w:line="360" w:lineRule="atLeast"/>
              <w:ind w:left="0" w:right="0"/>
              <w:jc w:val="both"/>
              <w:rPr>
                <w:rFonts w:hint="default" w:ascii="宋体" w:hAnsi="宋体" w:eastAsia="宋体" w:cs="宋体"/>
                <w:color w:val="auto"/>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577" w:type="dxa"/>
            <w:shd w:val="clear" w:color="auto" w:fill="auto"/>
            <w:vAlign w:val="top"/>
          </w:tcPr>
          <w:p>
            <w:pPr>
              <w:keepNext w:val="0"/>
              <w:keepLines w:val="0"/>
              <w:widowControl w:val="0"/>
              <w:suppressLineNumbers w:val="0"/>
              <w:adjustRightInd w:val="0"/>
              <w:spacing w:before="0" w:beforeAutospacing="0" w:after="0" w:afterAutospacing="0" w:line="360" w:lineRule="atLeast"/>
              <w:ind w:left="1200" w:right="0" w:hanging="1200" w:hangingChars="500"/>
              <w:jc w:val="both"/>
              <w:rPr>
                <w:rFonts w:hint="default" w:ascii="宋体" w:hAnsi="宋体" w:eastAsia="宋体" w:cs="宋体"/>
                <w:color w:val="auto"/>
                <w:szCs w:val="24"/>
                <w:highlight w:val="none"/>
                <w:lang w:val="en-US"/>
              </w:rPr>
            </w:pPr>
            <w:r>
              <w:rPr>
                <w:rFonts w:hint="eastAsia" w:ascii="宋体" w:hAnsi="宋体" w:eastAsia="宋体" w:cs="宋体"/>
                <w:color w:val="auto"/>
                <w:kern w:val="0"/>
                <w:sz w:val="24"/>
                <w:szCs w:val="24"/>
                <w:highlight w:val="none"/>
                <w:lang w:val="en-US" w:eastAsia="zh-CN" w:bidi="ar"/>
              </w:rPr>
              <w:t xml:space="preserve">地　　址： </w:t>
            </w:r>
          </w:p>
        </w:tc>
        <w:tc>
          <w:tcPr>
            <w:tcW w:w="897" w:type="dxa"/>
            <w:shd w:val="clear" w:color="auto" w:fill="auto"/>
            <w:vAlign w:val="top"/>
          </w:tcPr>
          <w:p>
            <w:pPr>
              <w:keepNext w:val="0"/>
              <w:keepLines w:val="0"/>
              <w:widowControl w:val="0"/>
              <w:suppressLineNumbers w:val="0"/>
              <w:adjustRightInd w:val="0"/>
              <w:spacing w:before="0" w:beforeAutospacing="0" w:after="0" w:afterAutospacing="0" w:line="360" w:lineRule="atLeast"/>
              <w:ind w:left="0" w:right="0"/>
              <w:jc w:val="both"/>
              <w:rPr>
                <w:rFonts w:hint="default" w:ascii="宋体" w:hAnsi="宋体" w:eastAsia="宋体" w:cs="宋体"/>
                <w:color w:val="auto"/>
                <w:szCs w:val="24"/>
                <w:highlight w:val="none"/>
                <w:lang w:val="en-US"/>
              </w:rPr>
            </w:pPr>
          </w:p>
        </w:tc>
        <w:tc>
          <w:tcPr>
            <w:tcW w:w="3945" w:type="dxa"/>
            <w:shd w:val="clear" w:color="auto" w:fill="auto"/>
            <w:vAlign w:val="top"/>
          </w:tcPr>
          <w:p>
            <w:pPr>
              <w:keepNext w:val="0"/>
              <w:keepLines w:val="0"/>
              <w:widowControl w:val="0"/>
              <w:suppressLineNumbers w:val="0"/>
              <w:adjustRightInd w:val="0"/>
              <w:spacing w:before="0" w:beforeAutospacing="0" w:after="0" w:afterAutospacing="0" w:line="360" w:lineRule="atLeast"/>
              <w:ind w:left="1080" w:right="0" w:hanging="1080" w:hangingChars="450"/>
              <w:jc w:val="both"/>
              <w:rPr>
                <w:rFonts w:hint="default" w:ascii="宋体" w:hAnsi="宋体" w:eastAsia="宋体" w:cs="宋体"/>
                <w:color w:val="auto"/>
                <w:szCs w:val="24"/>
                <w:highlight w:val="none"/>
                <w:lang w:val="en-US"/>
              </w:rPr>
            </w:pPr>
            <w:r>
              <w:rPr>
                <w:rFonts w:hint="eastAsia" w:ascii="宋体" w:hAnsi="宋体" w:eastAsia="宋体" w:cs="宋体"/>
                <w:color w:val="auto"/>
                <w:kern w:val="0"/>
                <w:sz w:val="24"/>
                <w:szCs w:val="24"/>
                <w:highlight w:val="none"/>
                <w:lang w:val="en-US" w:eastAsia="zh-CN" w:bidi="ar"/>
              </w:rPr>
              <w:t xml:space="preserve">地　　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577" w:type="dxa"/>
            <w:shd w:val="clear" w:color="auto" w:fill="auto"/>
            <w:vAlign w:val="top"/>
          </w:tcPr>
          <w:p>
            <w:pPr>
              <w:keepNext w:val="0"/>
              <w:keepLines w:val="0"/>
              <w:widowControl w:val="0"/>
              <w:suppressLineNumbers w:val="0"/>
              <w:adjustRightInd w:val="0"/>
              <w:spacing w:before="0" w:beforeAutospacing="0" w:after="0" w:afterAutospacing="0" w:line="360" w:lineRule="atLeast"/>
              <w:ind w:left="0" w:right="0"/>
              <w:jc w:val="both"/>
              <w:rPr>
                <w:rFonts w:hint="default" w:ascii="宋体" w:hAnsi="宋体" w:eastAsia="宋体" w:cs="宋体"/>
                <w:color w:val="auto"/>
                <w:szCs w:val="24"/>
                <w:highlight w:val="none"/>
                <w:lang w:val="en-US"/>
              </w:rPr>
            </w:pPr>
            <w:r>
              <w:rPr>
                <w:rFonts w:hint="eastAsia" w:ascii="宋体" w:hAnsi="宋体" w:eastAsia="宋体" w:cs="宋体"/>
                <w:color w:val="auto"/>
                <w:kern w:val="0"/>
                <w:sz w:val="24"/>
                <w:szCs w:val="24"/>
                <w:highlight w:val="none"/>
                <w:lang w:val="en-US" w:eastAsia="zh-CN" w:bidi="ar"/>
              </w:rPr>
              <w:t>邮政编码：</w:t>
            </w:r>
          </w:p>
        </w:tc>
        <w:tc>
          <w:tcPr>
            <w:tcW w:w="897" w:type="dxa"/>
            <w:shd w:val="clear" w:color="auto" w:fill="auto"/>
            <w:vAlign w:val="top"/>
          </w:tcPr>
          <w:p>
            <w:pPr>
              <w:keepNext w:val="0"/>
              <w:keepLines w:val="0"/>
              <w:widowControl w:val="0"/>
              <w:suppressLineNumbers w:val="0"/>
              <w:adjustRightInd w:val="0"/>
              <w:spacing w:before="0" w:beforeAutospacing="0" w:after="0" w:afterAutospacing="0" w:line="360" w:lineRule="atLeast"/>
              <w:ind w:left="0" w:right="0"/>
              <w:jc w:val="both"/>
              <w:rPr>
                <w:rFonts w:hint="default" w:ascii="宋体" w:hAnsi="宋体" w:eastAsia="宋体" w:cs="宋体"/>
                <w:color w:val="auto"/>
                <w:szCs w:val="24"/>
                <w:highlight w:val="none"/>
                <w:lang w:val="en-US"/>
              </w:rPr>
            </w:pPr>
          </w:p>
        </w:tc>
        <w:tc>
          <w:tcPr>
            <w:tcW w:w="3945" w:type="dxa"/>
            <w:shd w:val="clear" w:color="auto" w:fill="auto"/>
            <w:vAlign w:val="top"/>
          </w:tcPr>
          <w:p>
            <w:pPr>
              <w:keepNext w:val="0"/>
              <w:keepLines w:val="0"/>
              <w:widowControl w:val="0"/>
              <w:suppressLineNumbers w:val="0"/>
              <w:adjustRightInd w:val="0"/>
              <w:spacing w:before="0" w:beforeAutospacing="0" w:after="0" w:afterAutospacing="0" w:line="360" w:lineRule="atLeast"/>
              <w:ind w:left="0" w:right="0"/>
              <w:jc w:val="both"/>
              <w:rPr>
                <w:rFonts w:hint="default" w:ascii="宋体" w:hAnsi="宋体" w:eastAsia="宋体" w:cs="宋体"/>
                <w:color w:val="auto"/>
                <w:szCs w:val="24"/>
                <w:highlight w:val="none"/>
                <w:lang w:val="en-US"/>
              </w:rPr>
            </w:pPr>
            <w:r>
              <w:rPr>
                <w:rFonts w:hint="eastAsia" w:ascii="宋体" w:hAnsi="宋体" w:eastAsia="宋体" w:cs="宋体"/>
                <w:color w:val="auto"/>
                <w:kern w:val="0"/>
                <w:sz w:val="24"/>
                <w:szCs w:val="24"/>
                <w:highlight w:val="none"/>
                <w:lang w:val="en-US" w:eastAsia="zh-CN" w:bidi="ar"/>
              </w:rPr>
              <w:t xml:space="preserve">邮政编码：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4577" w:type="dxa"/>
            <w:shd w:val="clear" w:color="auto" w:fill="auto"/>
            <w:vAlign w:val="top"/>
          </w:tcPr>
          <w:p>
            <w:pPr>
              <w:keepNext w:val="0"/>
              <w:keepLines w:val="0"/>
              <w:widowControl w:val="0"/>
              <w:suppressLineNumbers w:val="0"/>
              <w:adjustRightInd w:val="0"/>
              <w:spacing w:before="0" w:beforeAutospacing="0" w:after="0" w:afterAutospacing="0" w:line="360" w:lineRule="atLeast"/>
              <w:ind w:left="0" w:right="0"/>
              <w:jc w:val="both"/>
              <w:rPr>
                <w:rFonts w:hint="default" w:ascii="宋体" w:hAnsi="宋体" w:eastAsia="宋体" w:cs="宋体"/>
                <w:color w:val="auto"/>
                <w:szCs w:val="24"/>
                <w:highlight w:val="none"/>
                <w:lang w:val="en-US"/>
              </w:rPr>
            </w:pPr>
            <w:r>
              <w:rPr>
                <w:rFonts w:hint="eastAsia" w:ascii="宋体" w:hAnsi="宋体" w:eastAsia="宋体" w:cs="宋体"/>
                <w:color w:val="auto"/>
                <w:kern w:val="0"/>
                <w:sz w:val="24"/>
                <w:szCs w:val="24"/>
                <w:highlight w:val="none"/>
                <w:lang w:val="en-US" w:eastAsia="zh-CN" w:bidi="ar"/>
              </w:rPr>
              <w:t xml:space="preserve">电　　话： </w:t>
            </w:r>
          </w:p>
        </w:tc>
        <w:tc>
          <w:tcPr>
            <w:tcW w:w="897" w:type="dxa"/>
            <w:shd w:val="clear" w:color="auto" w:fill="auto"/>
            <w:vAlign w:val="top"/>
          </w:tcPr>
          <w:p>
            <w:pPr>
              <w:keepNext w:val="0"/>
              <w:keepLines w:val="0"/>
              <w:widowControl w:val="0"/>
              <w:suppressLineNumbers w:val="0"/>
              <w:adjustRightInd w:val="0"/>
              <w:spacing w:before="0" w:beforeAutospacing="0" w:after="0" w:afterAutospacing="0" w:line="360" w:lineRule="atLeast"/>
              <w:ind w:left="0" w:right="0"/>
              <w:jc w:val="both"/>
              <w:rPr>
                <w:rFonts w:hint="default" w:ascii="宋体" w:hAnsi="宋体" w:eastAsia="宋体" w:cs="宋体"/>
                <w:color w:val="auto"/>
                <w:szCs w:val="24"/>
                <w:highlight w:val="none"/>
                <w:lang w:val="en-US"/>
              </w:rPr>
            </w:pPr>
          </w:p>
        </w:tc>
        <w:tc>
          <w:tcPr>
            <w:tcW w:w="3945" w:type="dxa"/>
            <w:shd w:val="clear" w:color="auto" w:fill="auto"/>
            <w:vAlign w:val="top"/>
          </w:tcPr>
          <w:p>
            <w:pPr>
              <w:keepNext w:val="0"/>
              <w:keepLines w:val="0"/>
              <w:widowControl w:val="0"/>
              <w:suppressLineNumbers w:val="0"/>
              <w:adjustRightInd w:val="0"/>
              <w:spacing w:before="0" w:beforeAutospacing="0" w:after="0" w:afterAutospacing="0" w:line="360" w:lineRule="atLeast"/>
              <w:ind w:left="0" w:right="0"/>
              <w:jc w:val="both"/>
              <w:rPr>
                <w:rFonts w:hint="default" w:ascii="宋体" w:hAnsi="宋体" w:eastAsia="宋体" w:cs="宋体"/>
                <w:color w:val="auto"/>
                <w:szCs w:val="24"/>
                <w:highlight w:val="none"/>
                <w:lang w:val="en-US"/>
              </w:rPr>
            </w:pPr>
            <w:r>
              <w:rPr>
                <w:rFonts w:hint="eastAsia" w:ascii="宋体" w:hAnsi="宋体" w:eastAsia="宋体" w:cs="宋体"/>
                <w:color w:val="auto"/>
                <w:kern w:val="0"/>
                <w:sz w:val="24"/>
                <w:szCs w:val="24"/>
                <w:highlight w:val="none"/>
                <w:lang w:val="en-US" w:eastAsia="zh-CN" w:bidi="ar"/>
              </w:rPr>
              <w:t xml:space="preserve">电　　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4577" w:type="dxa"/>
            <w:shd w:val="clear" w:color="auto" w:fill="auto"/>
            <w:vAlign w:val="top"/>
          </w:tcPr>
          <w:p>
            <w:pPr>
              <w:keepNext w:val="0"/>
              <w:keepLines w:val="0"/>
              <w:widowControl w:val="0"/>
              <w:suppressLineNumbers w:val="0"/>
              <w:adjustRightInd w:val="0"/>
              <w:spacing w:before="0" w:beforeAutospacing="0" w:after="0" w:afterAutospacing="0" w:line="360" w:lineRule="atLeast"/>
              <w:ind w:left="0" w:right="0"/>
              <w:jc w:val="both"/>
              <w:rPr>
                <w:rFonts w:hint="default" w:ascii="宋体" w:hAnsi="宋体" w:eastAsia="宋体" w:cs="宋体"/>
                <w:color w:val="auto"/>
                <w:szCs w:val="24"/>
                <w:highlight w:val="none"/>
                <w:lang w:val="en-US"/>
              </w:rPr>
            </w:pPr>
            <w:r>
              <w:rPr>
                <w:rFonts w:hint="eastAsia" w:ascii="宋体" w:hAnsi="宋体" w:eastAsia="宋体" w:cs="宋体"/>
                <w:color w:val="auto"/>
                <w:kern w:val="0"/>
                <w:sz w:val="24"/>
                <w:szCs w:val="24"/>
                <w:highlight w:val="none"/>
                <w:lang w:val="en-US" w:eastAsia="zh-CN" w:bidi="ar"/>
              </w:rPr>
              <w:t>传　　真：</w:t>
            </w:r>
          </w:p>
        </w:tc>
        <w:tc>
          <w:tcPr>
            <w:tcW w:w="897" w:type="dxa"/>
            <w:shd w:val="clear" w:color="auto" w:fill="auto"/>
            <w:vAlign w:val="top"/>
          </w:tcPr>
          <w:p>
            <w:pPr>
              <w:keepNext w:val="0"/>
              <w:keepLines w:val="0"/>
              <w:widowControl w:val="0"/>
              <w:suppressLineNumbers w:val="0"/>
              <w:adjustRightInd w:val="0"/>
              <w:spacing w:before="0" w:beforeAutospacing="0" w:after="0" w:afterAutospacing="0" w:line="360" w:lineRule="atLeast"/>
              <w:ind w:left="0" w:right="0"/>
              <w:jc w:val="both"/>
              <w:rPr>
                <w:rFonts w:hint="default" w:ascii="宋体" w:hAnsi="宋体" w:eastAsia="宋体" w:cs="宋体"/>
                <w:color w:val="auto"/>
                <w:szCs w:val="24"/>
                <w:highlight w:val="none"/>
                <w:lang w:val="en-US"/>
              </w:rPr>
            </w:pPr>
          </w:p>
        </w:tc>
        <w:tc>
          <w:tcPr>
            <w:tcW w:w="3945" w:type="dxa"/>
            <w:shd w:val="clear" w:color="auto" w:fill="auto"/>
            <w:vAlign w:val="top"/>
          </w:tcPr>
          <w:p>
            <w:pPr>
              <w:keepNext w:val="0"/>
              <w:keepLines w:val="0"/>
              <w:widowControl w:val="0"/>
              <w:suppressLineNumbers w:val="0"/>
              <w:adjustRightInd w:val="0"/>
              <w:spacing w:before="0" w:beforeAutospacing="0" w:after="0" w:afterAutospacing="0" w:line="360" w:lineRule="atLeast"/>
              <w:ind w:left="0" w:right="0"/>
              <w:jc w:val="both"/>
              <w:rPr>
                <w:rFonts w:hint="default" w:ascii="宋体" w:hAnsi="宋体" w:eastAsia="宋体" w:cs="宋体"/>
                <w:color w:val="auto"/>
                <w:szCs w:val="24"/>
                <w:highlight w:val="none"/>
                <w:lang w:val="en-US"/>
              </w:rPr>
            </w:pPr>
            <w:r>
              <w:rPr>
                <w:rFonts w:hint="eastAsia" w:ascii="宋体" w:hAnsi="宋体" w:eastAsia="宋体" w:cs="宋体"/>
                <w:color w:val="auto"/>
                <w:kern w:val="0"/>
                <w:sz w:val="24"/>
                <w:szCs w:val="24"/>
                <w:highlight w:val="none"/>
                <w:lang w:val="en-US" w:eastAsia="zh-CN" w:bidi="ar"/>
              </w:rPr>
              <w:t xml:space="preserve">传　　真：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577" w:type="dxa"/>
            <w:shd w:val="clear" w:color="auto" w:fill="auto"/>
            <w:vAlign w:val="top"/>
          </w:tcPr>
          <w:p>
            <w:pPr>
              <w:keepNext w:val="0"/>
              <w:keepLines w:val="0"/>
              <w:widowControl w:val="0"/>
              <w:suppressLineNumbers w:val="0"/>
              <w:adjustRightInd w:val="0"/>
              <w:spacing w:before="0" w:beforeAutospacing="0" w:after="0" w:afterAutospacing="0" w:line="360" w:lineRule="atLeast"/>
              <w:ind w:left="0" w:right="0"/>
              <w:jc w:val="both"/>
              <w:rPr>
                <w:rFonts w:hint="default" w:ascii="宋体" w:hAnsi="宋体" w:eastAsia="宋体" w:cs="宋体"/>
                <w:color w:val="auto"/>
                <w:szCs w:val="24"/>
                <w:highlight w:val="none"/>
                <w:lang w:val="en-US"/>
              </w:rPr>
            </w:pPr>
          </w:p>
        </w:tc>
        <w:tc>
          <w:tcPr>
            <w:tcW w:w="897" w:type="dxa"/>
            <w:shd w:val="clear" w:color="auto" w:fill="auto"/>
            <w:vAlign w:val="top"/>
          </w:tcPr>
          <w:p>
            <w:pPr>
              <w:keepNext w:val="0"/>
              <w:keepLines w:val="0"/>
              <w:widowControl w:val="0"/>
              <w:suppressLineNumbers w:val="0"/>
              <w:adjustRightInd w:val="0"/>
              <w:spacing w:before="0" w:beforeAutospacing="0" w:after="0" w:afterAutospacing="0" w:line="360" w:lineRule="atLeast"/>
              <w:ind w:left="0" w:right="0"/>
              <w:jc w:val="both"/>
              <w:rPr>
                <w:rFonts w:hint="default" w:ascii="宋体" w:hAnsi="宋体" w:eastAsia="宋体" w:cs="宋体"/>
                <w:color w:val="auto"/>
                <w:szCs w:val="24"/>
                <w:highlight w:val="none"/>
                <w:lang w:val="en-US"/>
              </w:rPr>
            </w:pPr>
          </w:p>
        </w:tc>
        <w:tc>
          <w:tcPr>
            <w:tcW w:w="3945" w:type="dxa"/>
            <w:shd w:val="clear" w:color="auto" w:fill="auto"/>
            <w:vAlign w:val="top"/>
          </w:tcPr>
          <w:p>
            <w:pPr>
              <w:keepNext w:val="0"/>
              <w:keepLines w:val="0"/>
              <w:widowControl w:val="0"/>
              <w:suppressLineNumbers w:val="0"/>
              <w:adjustRightInd w:val="0"/>
              <w:spacing w:before="0" w:beforeAutospacing="0" w:after="0" w:afterAutospacing="0" w:line="360" w:lineRule="atLeast"/>
              <w:ind w:left="0" w:right="0"/>
              <w:jc w:val="both"/>
              <w:rPr>
                <w:rFonts w:hint="default" w:ascii="宋体" w:hAnsi="宋体" w:eastAsia="宋体" w:cs="宋体"/>
                <w:color w:val="auto"/>
                <w:szCs w:val="24"/>
                <w:highlight w:val="none"/>
                <w:lang w:val="en-US"/>
              </w:rPr>
            </w:pPr>
            <w:r>
              <w:rPr>
                <w:rFonts w:hint="eastAsia" w:ascii="宋体" w:hAnsi="宋体" w:eastAsia="宋体" w:cs="宋体"/>
                <w:color w:val="auto"/>
                <w:kern w:val="0"/>
                <w:sz w:val="24"/>
                <w:szCs w:val="24"/>
                <w:highlight w:val="none"/>
                <w:lang w:val="en-US" w:eastAsia="zh-CN" w:bidi="ar"/>
              </w:rPr>
              <w:t xml:space="preserve">开户银行：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trPr>
        <w:tc>
          <w:tcPr>
            <w:tcW w:w="4577" w:type="dxa"/>
            <w:shd w:val="clear" w:color="auto" w:fill="auto"/>
            <w:vAlign w:val="top"/>
          </w:tcPr>
          <w:p>
            <w:pPr>
              <w:keepNext w:val="0"/>
              <w:keepLines w:val="0"/>
              <w:widowControl w:val="0"/>
              <w:suppressLineNumbers w:val="0"/>
              <w:adjustRightInd w:val="0"/>
              <w:spacing w:before="0" w:beforeAutospacing="0" w:after="0" w:afterAutospacing="0" w:line="360" w:lineRule="atLeast"/>
              <w:ind w:left="0" w:right="0"/>
              <w:jc w:val="both"/>
              <w:rPr>
                <w:rFonts w:hint="default" w:ascii="宋体" w:hAnsi="宋体" w:eastAsia="宋体" w:cs="宋体"/>
                <w:color w:val="auto"/>
                <w:szCs w:val="24"/>
                <w:highlight w:val="none"/>
                <w:lang w:val="en-US"/>
              </w:rPr>
            </w:pPr>
          </w:p>
        </w:tc>
        <w:tc>
          <w:tcPr>
            <w:tcW w:w="897" w:type="dxa"/>
            <w:shd w:val="clear" w:color="auto" w:fill="auto"/>
            <w:vAlign w:val="top"/>
          </w:tcPr>
          <w:p>
            <w:pPr>
              <w:keepNext w:val="0"/>
              <w:keepLines w:val="0"/>
              <w:widowControl w:val="0"/>
              <w:suppressLineNumbers w:val="0"/>
              <w:adjustRightInd w:val="0"/>
              <w:spacing w:before="0" w:beforeAutospacing="0" w:after="0" w:afterAutospacing="0" w:line="360" w:lineRule="atLeast"/>
              <w:ind w:left="0" w:right="0"/>
              <w:jc w:val="both"/>
              <w:rPr>
                <w:rFonts w:hint="default" w:ascii="宋体" w:hAnsi="宋体" w:eastAsia="宋体" w:cs="宋体"/>
                <w:color w:val="auto"/>
                <w:szCs w:val="24"/>
                <w:highlight w:val="none"/>
                <w:lang w:val="en-US"/>
              </w:rPr>
            </w:pPr>
          </w:p>
        </w:tc>
        <w:tc>
          <w:tcPr>
            <w:tcW w:w="3945" w:type="dxa"/>
            <w:shd w:val="clear" w:color="auto" w:fill="auto"/>
            <w:vAlign w:val="top"/>
          </w:tcPr>
          <w:p>
            <w:pPr>
              <w:keepNext w:val="0"/>
              <w:keepLines w:val="0"/>
              <w:widowControl w:val="0"/>
              <w:suppressLineNumbers w:val="0"/>
              <w:adjustRightInd w:val="0"/>
              <w:spacing w:before="0" w:beforeAutospacing="0" w:after="0" w:afterAutospacing="0" w:line="360" w:lineRule="atLeast"/>
              <w:ind w:left="0" w:right="0"/>
              <w:jc w:val="both"/>
              <w:rPr>
                <w:rFonts w:hint="default" w:ascii="宋体" w:hAnsi="宋体" w:eastAsia="宋体" w:cs="宋体"/>
                <w:color w:val="auto"/>
                <w:szCs w:val="24"/>
                <w:highlight w:val="none"/>
                <w:lang w:val="en-US"/>
              </w:rPr>
            </w:pPr>
            <w:r>
              <w:rPr>
                <w:rFonts w:hint="eastAsia" w:ascii="宋体" w:hAnsi="宋体" w:eastAsia="宋体" w:cs="宋体"/>
                <w:color w:val="auto"/>
                <w:kern w:val="0"/>
                <w:sz w:val="24"/>
                <w:szCs w:val="24"/>
                <w:highlight w:val="none"/>
                <w:lang w:val="en-US" w:eastAsia="zh-CN" w:bidi="ar"/>
              </w:rPr>
              <w:t xml:space="preserve">银行账号： </w:t>
            </w:r>
          </w:p>
        </w:tc>
      </w:tr>
    </w:tbl>
    <w:p>
      <w:pPr>
        <w:keepNext w:val="0"/>
        <w:keepLines w:val="0"/>
        <w:widowControl w:val="0"/>
        <w:suppressLineNumbers w:val="0"/>
        <w:adjustRightInd w:val="0"/>
        <w:spacing w:before="0" w:beforeAutospacing="0" w:after="0" w:afterAutospacing="0" w:line="420" w:lineRule="exact"/>
        <w:ind w:left="0" w:right="0" w:firstLine="573"/>
        <w:jc w:val="both"/>
        <w:rPr>
          <w:rFonts w:hint="eastAsia" w:ascii="宋体" w:hAnsi="宋体" w:eastAsia="宋体" w:cs="宋体"/>
          <w:color w:val="auto"/>
          <w:szCs w:val="24"/>
          <w:highlight w:val="none"/>
          <w:lang w:val="en-US"/>
        </w:rPr>
      </w:pPr>
    </w:p>
    <w:p>
      <w:pPr>
        <w:pStyle w:val="2"/>
        <w:rPr>
          <w:rFonts w:hint="eastAsia" w:ascii="宋体" w:hAnsi="宋体" w:eastAsia="宋体" w:cs="宋体"/>
          <w:color w:val="auto"/>
          <w:szCs w:val="24"/>
          <w:highlight w:val="none"/>
          <w:lang w:val="en-US"/>
        </w:rPr>
      </w:pPr>
    </w:p>
    <w:p>
      <w:pPr>
        <w:pStyle w:val="2"/>
        <w:rPr>
          <w:rFonts w:hint="eastAsia" w:ascii="宋体" w:hAnsi="宋体" w:eastAsia="宋体" w:cs="宋体"/>
          <w:color w:val="auto"/>
          <w:szCs w:val="24"/>
          <w:highlight w:val="none"/>
          <w:lang w:val="en-US"/>
        </w:rPr>
      </w:pPr>
    </w:p>
    <w:p>
      <w:pPr>
        <w:pStyle w:val="2"/>
        <w:rPr>
          <w:rFonts w:hint="eastAsia" w:ascii="宋体" w:hAnsi="宋体" w:eastAsia="宋体" w:cs="宋体"/>
          <w:color w:val="auto"/>
          <w:szCs w:val="24"/>
          <w:highlight w:val="none"/>
          <w:lang w:val="en-US"/>
        </w:rPr>
      </w:pPr>
    </w:p>
    <w:p>
      <w:pPr>
        <w:pStyle w:val="2"/>
        <w:rPr>
          <w:rFonts w:hint="eastAsia" w:ascii="宋体" w:hAnsi="宋体" w:eastAsia="宋体" w:cs="宋体"/>
          <w:color w:val="auto"/>
          <w:szCs w:val="24"/>
          <w:highlight w:val="none"/>
          <w:lang w:val="en-US"/>
        </w:rPr>
      </w:pPr>
    </w:p>
    <w:p>
      <w:pPr>
        <w:pStyle w:val="2"/>
        <w:rPr>
          <w:rFonts w:hint="eastAsia" w:ascii="宋体" w:hAnsi="宋体" w:eastAsia="宋体" w:cs="宋体"/>
          <w:color w:val="auto"/>
          <w:szCs w:val="24"/>
          <w:highlight w:val="none"/>
          <w:lang w:val="en-US"/>
        </w:rPr>
      </w:pPr>
    </w:p>
    <w:p>
      <w:pPr>
        <w:pStyle w:val="2"/>
        <w:rPr>
          <w:rFonts w:hint="eastAsia" w:ascii="宋体" w:hAnsi="宋体" w:eastAsia="宋体" w:cs="宋体"/>
          <w:color w:val="auto"/>
          <w:szCs w:val="24"/>
          <w:highlight w:val="none"/>
          <w:lang w:val="en-US"/>
        </w:rPr>
      </w:pPr>
    </w:p>
    <w:p>
      <w:pPr>
        <w:keepNext w:val="0"/>
        <w:keepLines w:val="0"/>
        <w:widowControl w:val="0"/>
        <w:suppressLineNumbers w:val="0"/>
        <w:adjustRightInd w:val="0"/>
        <w:spacing w:before="0" w:beforeAutospacing="0" w:after="0" w:afterAutospacing="0" w:line="420" w:lineRule="exact"/>
        <w:ind w:left="0" w:right="0" w:firstLine="0"/>
        <w:jc w:val="both"/>
        <w:rPr>
          <w:rFonts w:hint="eastAsia" w:ascii="宋体" w:hAnsi="宋体" w:eastAsia="宋体" w:cs="宋体"/>
          <w:color w:val="auto"/>
          <w:szCs w:val="24"/>
          <w:highlight w:val="none"/>
          <w:lang w:val="en-US"/>
        </w:rPr>
      </w:pPr>
    </w:p>
    <w:p>
      <w:pPr>
        <w:keepNext w:val="0"/>
        <w:keepLines w:val="0"/>
        <w:widowControl w:val="0"/>
        <w:suppressLineNumbers w:val="0"/>
        <w:adjustRightInd w:val="0"/>
        <w:spacing w:before="0" w:beforeAutospacing="0" w:after="0" w:afterAutospacing="0" w:line="420" w:lineRule="exact"/>
        <w:ind w:left="0" w:right="0" w:firstLine="573"/>
        <w:jc w:val="both"/>
        <w:rPr>
          <w:rFonts w:hint="eastAsia" w:ascii="宋体" w:hAnsi="宋体" w:eastAsia="宋体" w:cs="宋体"/>
          <w:color w:val="auto"/>
          <w:szCs w:val="24"/>
          <w:highlight w:val="none"/>
          <w:lang w:val="en-US"/>
        </w:rPr>
      </w:pPr>
    </w:p>
    <w:p>
      <w:pPr>
        <w:keepNext w:val="0"/>
        <w:keepLines w:val="0"/>
        <w:widowControl w:val="0"/>
        <w:suppressLineNumbers w:val="0"/>
        <w:adjustRightInd w:val="0"/>
        <w:spacing w:before="0" w:beforeAutospacing="0" w:after="0" w:afterAutospacing="0" w:line="420" w:lineRule="exact"/>
        <w:ind w:left="0" w:right="0" w:firstLine="573"/>
        <w:jc w:val="both"/>
        <w:rPr>
          <w:rFonts w:hint="eastAsia" w:ascii="宋体" w:hAnsi="宋体" w:eastAsia="宋体" w:cs="宋体"/>
          <w:color w:val="auto"/>
          <w:szCs w:val="24"/>
          <w:highlight w:val="none"/>
          <w:lang w:val="en-US"/>
        </w:rPr>
      </w:pPr>
    </w:p>
    <w:p>
      <w:pPr>
        <w:jc w:val="left"/>
        <w:rPr>
          <w:color w:val="auto"/>
          <w:highlight w:val="none"/>
        </w:rPr>
        <w:sectPr>
          <w:headerReference r:id="rId15" w:type="default"/>
          <w:footerReference r:id="rId16" w:type="default"/>
          <w:pgSz w:w="11905" w:h="16838"/>
          <w:pgMar w:top="1440" w:right="1803" w:bottom="1440" w:left="1803" w:header="851" w:footer="992" w:gutter="0"/>
          <w:cols w:space="0" w:num="1"/>
          <w:rtlGutter w:val="0"/>
          <w:docGrid w:type="lines" w:linePitch="324" w:charSpace="0"/>
        </w:sectPr>
      </w:pPr>
    </w:p>
    <w:p>
      <w:pPr>
        <w:keepNext w:val="0"/>
        <w:keepLines w:val="0"/>
        <w:widowControl w:val="0"/>
        <w:suppressLineNumbers w:val="0"/>
        <w:spacing w:before="0" w:beforeAutospacing="0" w:after="0" w:afterAutospacing="0"/>
        <w:ind w:left="0" w:right="0"/>
        <w:jc w:val="both"/>
        <w:outlineLvl w:val="1"/>
        <w:rPr>
          <w:rFonts w:hint="default" w:ascii="宋体" w:hAnsi="宋体" w:eastAsia="宋体" w:cs="Times New Roman"/>
          <w:b/>
          <w:color w:val="auto"/>
          <w:kern w:val="44"/>
          <w:sz w:val="21"/>
          <w:szCs w:val="21"/>
          <w:highlight w:val="none"/>
          <w:lang w:val="en-US"/>
        </w:rPr>
      </w:pPr>
      <w:bookmarkStart w:id="88" w:name="_Toc5703"/>
      <w:r>
        <w:rPr>
          <w:rFonts w:hint="eastAsia" w:ascii="宋体" w:hAnsi="宋体" w:eastAsia="宋体" w:cs="宋体"/>
          <w:b/>
          <w:color w:val="auto"/>
          <w:kern w:val="44"/>
          <w:sz w:val="21"/>
          <w:szCs w:val="21"/>
          <w:highlight w:val="none"/>
          <w:lang w:val="en-US" w:eastAsia="zh-CN" w:bidi="ar"/>
        </w:rPr>
        <w:t>附录21</w:t>
      </w:r>
      <w:r>
        <w:rPr>
          <w:rFonts w:hint="eastAsia" w:ascii="宋体" w:hAnsi="宋体" w:eastAsia="宋体" w:cs="Times New Roman"/>
          <w:b/>
          <w:color w:val="auto"/>
          <w:kern w:val="44"/>
          <w:sz w:val="21"/>
          <w:szCs w:val="21"/>
          <w:highlight w:val="none"/>
          <w:lang w:val="en-US" w:eastAsia="zh-CN" w:bidi="ar"/>
        </w:rPr>
        <w:t xml:space="preserve"> </w:t>
      </w:r>
      <w:r>
        <w:rPr>
          <w:rFonts w:hint="eastAsia" w:ascii="宋体" w:hAnsi="宋体" w:eastAsia="宋体" w:cs="宋体"/>
          <w:b/>
          <w:color w:val="auto"/>
          <w:kern w:val="44"/>
          <w:sz w:val="21"/>
          <w:szCs w:val="21"/>
          <w:highlight w:val="none"/>
          <w:lang w:val="en-US" w:eastAsia="zh-CN" w:bidi="ar"/>
        </w:rPr>
        <w:t>评标委员会成员声明</w:t>
      </w:r>
      <w:bookmarkEnd w:id="88"/>
    </w:p>
    <w:p>
      <w:pPr>
        <w:spacing w:line="360" w:lineRule="auto"/>
        <w:jc w:val="left"/>
        <w:rPr>
          <w:rFonts w:hint="eastAsia" w:ascii="宋体" w:hAnsi="宋体" w:eastAsia="宋体" w:cs="宋体"/>
          <w:b/>
          <w:bCs/>
          <w:color w:val="auto"/>
          <w:sz w:val="32"/>
          <w:szCs w:val="32"/>
          <w:highlight w:val="none"/>
          <w:lang w:val="en-US" w:eastAsia="zh-CN"/>
        </w:rPr>
      </w:pPr>
      <w:r>
        <w:rPr>
          <w:rFonts w:hint="eastAsia" w:ascii="宋体" w:hAnsi="宋体" w:eastAsia="宋体" w:cs="宋体"/>
          <w:b/>
          <w:color w:val="auto"/>
          <w:kern w:val="44"/>
          <w:sz w:val="21"/>
          <w:szCs w:val="21"/>
          <w:highlight w:val="none"/>
          <w:lang w:val="en-US" w:eastAsia="zh-CN" w:bidi="ar"/>
        </w:rPr>
        <w:t xml:space="preserve"> </w:t>
      </w:r>
      <w:r>
        <w:rPr>
          <w:rFonts w:hint="eastAsia" w:ascii="宋体" w:hAnsi="宋体" w:eastAsia="宋体" w:cs="宋体"/>
          <w:b/>
          <w:bCs/>
          <w:color w:val="auto"/>
          <w:sz w:val="32"/>
          <w:szCs w:val="32"/>
          <w:highlight w:val="none"/>
          <w:lang w:val="en-US" w:eastAsia="zh-CN"/>
        </w:rPr>
        <w:t xml:space="preserve">           </w:t>
      </w:r>
    </w:p>
    <w:p>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评标委员会成员声明</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广州市重点公共建设项目管理中心</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本人就参与</w:t>
      </w:r>
      <w:r>
        <w:rPr>
          <w:rFonts w:hint="eastAsia" w:ascii="宋体" w:hAnsi="宋体" w:eastAsia="宋体" w:cs="宋体"/>
          <w:color w:val="auto"/>
          <w:sz w:val="24"/>
          <w:szCs w:val="24"/>
          <w:highlight w:val="none"/>
          <w:u w:val="single"/>
          <w:lang w:eastAsia="zh-CN"/>
        </w:rPr>
        <w:t>广州法治大厦项目</w:t>
      </w:r>
      <w:r>
        <w:rPr>
          <w:rFonts w:hint="eastAsia" w:ascii="宋体" w:hAnsi="宋体" w:eastAsia="宋体" w:cs="宋体"/>
          <w:color w:val="auto"/>
          <w:sz w:val="24"/>
          <w:szCs w:val="24"/>
          <w:highlight w:val="none"/>
          <w:u w:val="single"/>
        </w:rPr>
        <w:t>勘察设计</w:t>
      </w:r>
      <w:r>
        <w:rPr>
          <w:rFonts w:hint="eastAsia" w:ascii="宋体" w:hAnsi="宋体" w:eastAsia="宋体" w:cs="宋体"/>
          <w:color w:val="auto"/>
          <w:sz w:val="24"/>
          <w:szCs w:val="24"/>
          <w:highlight w:val="none"/>
        </w:rPr>
        <w:t>的评标工作，作出郑重声明：</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如果本人违反上述声明内容，造成的后果由本人自行承担。</w:t>
      </w:r>
    </w:p>
    <w:p>
      <w:pPr>
        <w:spacing w:line="360" w:lineRule="auto"/>
        <w:rPr>
          <w:rFonts w:hint="eastAsia" w:ascii="宋体" w:hAnsi="宋体" w:eastAsia="宋体" w:cs="宋体"/>
          <w:color w:val="auto"/>
          <w:sz w:val="24"/>
          <w:szCs w:val="24"/>
          <w:highlight w:val="none"/>
        </w:rPr>
        <w:sectPr>
          <w:headerReference r:id="rId17" w:type="default"/>
          <w:footerReference r:id="rId18" w:type="default"/>
          <w:pgSz w:w="11906" w:h="16838"/>
          <w:pgMar w:top="1276" w:right="1230" w:bottom="1440" w:left="1230" w:header="851" w:footer="992" w:gutter="0"/>
          <w:cols w:space="720" w:num="1"/>
          <w:docGrid w:type="linesAndChars" w:linePitch="314" w:charSpace="0"/>
        </w:sectPr>
      </w:pPr>
      <w:r>
        <w:rPr>
          <w:rFonts w:hint="eastAsia" w:ascii="宋体" w:hAnsi="宋体" w:eastAsia="宋体" w:cs="宋体"/>
          <w:color w:val="auto"/>
          <w:sz w:val="24"/>
          <w:szCs w:val="24"/>
          <w:highlight w:val="none"/>
        </w:rPr>
        <w:t xml:space="preserve">声明人：（签名）  </w:t>
      </w:r>
    </w:p>
    <w:p>
      <w:pPr>
        <w:spacing w:line="360" w:lineRule="auto"/>
        <w:jc w:val="center"/>
        <w:rPr>
          <w:rFonts w:hint="eastAsia" w:ascii="宋体" w:hAnsi="宋体" w:cs="宋体"/>
          <w:b/>
          <w:bCs w:val="0"/>
          <w:color w:val="auto"/>
          <w:kern w:val="0"/>
          <w:sz w:val="72"/>
          <w:szCs w:val="72"/>
          <w:highlight w:val="none"/>
          <w:u w:val="none"/>
          <w:lang w:val="en-US" w:eastAsia="zh-CN" w:bidi="ar"/>
        </w:rPr>
      </w:pPr>
    </w:p>
    <w:p>
      <w:pPr>
        <w:spacing w:line="360" w:lineRule="auto"/>
        <w:jc w:val="center"/>
        <w:rPr>
          <w:rFonts w:hint="eastAsia" w:ascii="宋体" w:hAnsi="宋体" w:cs="宋体"/>
          <w:b/>
          <w:bCs w:val="0"/>
          <w:color w:val="auto"/>
          <w:kern w:val="0"/>
          <w:sz w:val="72"/>
          <w:szCs w:val="72"/>
          <w:highlight w:val="none"/>
          <w:u w:val="none"/>
          <w:lang w:val="en-US" w:eastAsia="zh-CN" w:bidi="ar"/>
        </w:rPr>
      </w:pPr>
    </w:p>
    <w:p>
      <w:pPr>
        <w:spacing w:line="360" w:lineRule="auto"/>
        <w:jc w:val="center"/>
        <w:rPr>
          <w:rFonts w:hint="eastAsia" w:ascii="宋体" w:hAnsi="宋体" w:cs="宋体" w:eastAsiaTheme="minorEastAsia"/>
          <w:b/>
          <w:bCs w:val="0"/>
          <w:color w:val="auto"/>
          <w:kern w:val="0"/>
          <w:sz w:val="72"/>
          <w:szCs w:val="72"/>
          <w:highlight w:val="none"/>
          <w:u w:val="none"/>
          <w:lang w:val="en-US" w:eastAsia="zh-CN" w:bidi="ar"/>
        </w:rPr>
      </w:pPr>
      <w:r>
        <w:rPr>
          <w:rFonts w:hint="eastAsia" w:ascii="宋体" w:hAnsi="宋体" w:cs="宋体"/>
          <w:b/>
          <w:bCs w:val="0"/>
          <w:color w:val="auto"/>
          <w:kern w:val="0"/>
          <w:sz w:val="72"/>
          <w:szCs w:val="72"/>
          <w:highlight w:val="none"/>
          <w:u w:val="none"/>
          <w:lang w:val="en-US" w:eastAsia="zh-CN" w:bidi="ar"/>
        </w:rPr>
        <w:t>广州法治大厦项目</w:t>
      </w:r>
    </w:p>
    <w:p>
      <w:pPr>
        <w:spacing w:line="360" w:lineRule="auto"/>
        <w:jc w:val="center"/>
        <w:rPr>
          <w:rFonts w:hint="eastAsia" w:ascii="宋体" w:hAnsi="宋体" w:cs="宋体" w:eastAsiaTheme="minorEastAsia"/>
          <w:b/>
          <w:bCs w:val="0"/>
          <w:color w:val="auto"/>
          <w:kern w:val="0"/>
          <w:sz w:val="72"/>
          <w:szCs w:val="72"/>
          <w:highlight w:val="none"/>
        </w:rPr>
      </w:pPr>
      <w:r>
        <w:rPr>
          <w:rFonts w:hint="eastAsia" w:ascii="宋体" w:hAnsi="宋体" w:cs="宋体" w:eastAsiaTheme="minorEastAsia"/>
          <w:b/>
          <w:bCs w:val="0"/>
          <w:color w:val="auto"/>
          <w:kern w:val="0"/>
          <w:sz w:val="72"/>
          <w:szCs w:val="72"/>
          <w:highlight w:val="none"/>
          <w:u w:val="none"/>
          <w:lang w:val="en-US" w:eastAsia="zh-CN" w:bidi="ar"/>
        </w:rPr>
        <w:t>勘察设计</w:t>
      </w:r>
      <w:r>
        <w:rPr>
          <w:rFonts w:hint="eastAsia" w:ascii="宋体" w:hAnsi="宋体" w:cs="宋体" w:eastAsiaTheme="minorEastAsia"/>
          <w:b/>
          <w:bCs w:val="0"/>
          <w:color w:val="auto"/>
          <w:kern w:val="0"/>
          <w:sz w:val="72"/>
          <w:szCs w:val="72"/>
          <w:highlight w:val="none"/>
          <w:u w:val="none"/>
          <w:lang w:eastAsia="zh-CN" w:bidi="ar"/>
        </w:rPr>
        <w:t>合同</w:t>
      </w:r>
    </w:p>
    <w:p>
      <w:pPr>
        <w:spacing w:line="360" w:lineRule="auto"/>
        <w:rPr>
          <w:rFonts w:ascii="宋体" w:hAnsi="宋体" w:cs="宋体"/>
          <w:b/>
          <w:color w:val="auto"/>
          <w:szCs w:val="21"/>
          <w:highlight w:val="none"/>
        </w:rPr>
      </w:pPr>
    </w:p>
    <w:p>
      <w:pPr>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合同编号：</w:t>
      </w:r>
    </w:p>
    <w:p>
      <w:pPr>
        <w:pStyle w:val="10"/>
        <w:widowControl w:val="0"/>
        <w:spacing w:beforeAutospacing="0" w:afterAutospacing="0"/>
        <w:ind w:firstLine="480" w:firstLineChars="200"/>
        <w:jc w:val="both"/>
        <w:rPr>
          <w:rFonts w:hint="default"/>
          <w:color w:val="auto"/>
          <w:highlight w:val="none"/>
        </w:rPr>
      </w:pPr>
    </w:p>
    <w:p>
      <w:pPr>
        <w:spacing w:line="360" w:lineRule="auto"/>
        <w:rPr>
          <w:rFonts w:ascii="宋体" w:hAnsi="宋体" w:cs="宋体"/>
          <w:b/>
          <w:color w:val="auto"/>
          <w:szCs w:val="21"/>
          <w:highlight w:val="none"/>
        </w:rPr>
      </w:pPr>
    </w:p>
    <w:p>
      <w:pPr>
        <w:spacing w:line="360" w:lineRule="auto"/>
        <w:rPr>
          <w:rFonts w:ascii="宋体" w:hAnsi="宋体" w:cs="宋体"/>
          <w:b/>
          <w:color w:val="auto"/>
          <w:szCs w:val="21"/>
          <w:highlight w:val="none"/>
        </w:rPr>
      </w:pPr>
    </w:p>
    <w:p>
      <w:pPr>
        <w:spacing w:line="360" w:lineRule="auto"/>
        <w:rPr>
          <w:rFonts w:ascii="宋体" w:hAnsi="宋体" w:cs="宋体"/>
          <w:b/>
          <w:color w:val="auto"/>
          <w:szCs w:val="21"/>
          <w:highlight w:val="none"/>
        </w:rPr>
      </w:pPr>
    </w:p>
    <w:p>
      <w:pPr>
        <w:spacing w:line="360" w:lineRule="auto"/>
        <w:rPr>
          <w:rFonts w:ascii="宋体" w:hAnsi="宋体" w:cs="宋体"/>
          <w:b/>
          <w:color w:val="auto"/>
          <w:szCs w:val="21"/>
          <w:highlight w:val="none"/>
        </w:rPr>
      </w:pPr>
    </w:p>
    <w:p>
      <w:pPr>
        <w:spacing w:line="360" w:lineRule="auto"/>
        <w:rPr>
          <w:rFonts w:ascii="宋体" w:hAnsi="宋体" w:cs="宋体"/>
          <w:b/>
          <w:color w:val="auto"/>
          <w:szCs w:val="21"/>
          <w:highlight w:val="none"/>
        </w:rPr>
      </w:pPr>
    </w:p>
    <w:p>
      <w:pPr>
        <w:spacing w:line="360" w:lineRule="auto"/>
        <w:rPr>
          <w:rFonts w:ascii="宋体" w:hAnsi="宋体" w:cs="宋体"/>
          <w:b/>
          <w:color w:val="auto"/>
          <w:szCs w:val="21"/>
          <w:highlight w:val="none"/>
        </w:rPr>
      </w:pPr>
    </w:p>
    <w:p>
      <w:pPr>
        <w:spacing w:line="360" w:lineRule="auto"/>
        <w:rPr>
          <w:rFonts w:ascii="宋体" w:hAnsi="宋体" w:cs="宋体"/>
          <w:b/>
          <w:color w:val="auto"/>
          <w:szCs w:val="21"/>
          <w:highlight w:val="none"/>
        </w:rPr>
      </w:pPr>
    </w:p>
    <w:p>
      <w:pPr>
        <w:spacing w:line="360" w:lineRule="auto"/>
        <w:rPr>
          <w:rFonts w:ascii="宋体" w:hAnsi="宋体" w:cs="宋体"/>
          <w:b/>
          <w:color w:val="auto"/>
          <w:szCs w:val="21"/>
          <w:highlight w:val="none"/>
        </w:rPr>
      </w:pPr>
    </w:p>
    <w:p>
      <w:pPr>
        <w:spacing w:line="360" w:lineRule="auto"/>
        <w:rPr>
          <w:rFonts w:ascii="宋体" w:hAnsi="宋体" w:cs="宋体"/>
          <w:b/>
          <w:color w:val="auto"/>
          <w:szCs w:val="21"/>
          <w:highlight w:val="none"/>
        </w:rPr>
      </w:pPr>
    </w:p>
    <w:p>
      <w:pPr>
        <w:spacing w:line="360" w:lineRule="auto"/>
        <w:rPr>
          <w:rFonts w:ascii="宋体" w:hAnsi="宋体" w:cs="宋体"/>
          <w:b/>
          <w:color w:val="auto"/>
          <w:szCs w:val="21"/>
          <w:highlight w:val="none"/>
        </w:rPr>
      </w:pPr>
    </w:p>
    <w:p>
      <w:pPr>
        <w:spacing w:line="360" w:lineRule="auto"/>
        <w:rPr>
          <w:rFonts w:ascii="宋体" w:hAnsi="宋体" w:cs="宋体"/>
          <w:b/>
          <w:color w:val="auto"/>
          <w:szCs w:val="21"/>
          <w:highlight w:val="none"/>
        </w:rPr>
      </w:pPr>
    </w:p>
    <w:p>
      <w:pPr>
        <w:pStyle w:val="10"/>
        <w:widowControl w:val="0"/>
        <w:spacing w:beforeAutospacing="0" w:afterAutospacing="0"/>
        <w:ind w:firstLine="480" w:firstLineChars="200"/>
        <w:jc w:val="both"/>
        <w:rPr>
          <w:rFonts w:hint="default"/>
          <w:color w:val="auto"/>
          <w:highlight w:val="none"/>
        </w:rPr>
      </w:pPr>
    </w:p>
    <w:p>
      <w:pPr>
        <w:pStyle w:val="10"/>
        <w:widowControl w:val="0"/>
        <w:spacing w:beforeAutospacing="0" w:afterAutospacing="0"/>
        <w:ind w:firstLine="480" w:firstLineChars="200"/>
        <w:jc w:val="both"/>
        <w:rPr>
          <w:rFonts w:hint="default"/>
          <w:color w:val="auto"/>
          <w:highlight w:val="none"/>
        </w:rPr>
      </w:pPr>
    </w:p>
    <w:p>
      <w:pPr>
        <w:pStyle w:val="10"/>
        <w:widowControl w:val="0"/>
        <w:spacing w:beforeAutospacing="0" w:afterAutospacing="0"/>
        <w:ind w:firstLine="480" w:firstLineChars="200"/>
        <w:jc w:val="both"/>
        <w:rPr>
          <w:rFonts w:hint="default"/>
          <w:color w:val="auto"/>
          <w:highlight w:val="none"/>
        </w:rPr>
      </w:pPr>
    </w:p>
    <w:p>
      <w:pPr>
        <w:pStyle w:val="10"/>
        <w:widowControl w:val="0"/>
        <w:spacing w:beforeAutospacing="0" w:afterAutospacing="0"/>
        <w:ind w:firstLine="480" w:firstLineChars="200"/>
        <w:jc w:val="both"/>
        <w:rPr>
          <w:rFonts w:hint="default"/>
          <w:color w:val="auto"/>
          <w:highlight w:val="none"/>
        </w:rPr>
      </w:pPr>
    </w:p>
    <w:p>
      <w:pPr>
        <w:pStyle w:val="10"/>
        <w:widowControl w:val="0"/>
        <w:spacing w:beforeAutospacing="0" w:afterAutospacing="0"/>
        <w:ind w:firstLine="480" w:firstLineChars="200"/>
        <w:jc w:val="both"/>
        <w:rPr>
          <w:rFonts w:hint="default"/>
          <w:color w:val="auto"/>
          <w:highlight w:val="none"/>
        </w:rPr>
      </w:pPr>
    </w:p>
    <w:p>
      <w:pPr>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甲方：广州市重点公共建设项目管理中心</w:t>
      </w:r>
    </w:p>
    <w:p>
      <w:pPr>
        <w:adjustRightInd w:val="0"/>
        <w:snapToGrid w:val="0"/>
        <w:spacing w:after="249" w:afterLines="80" w:line="800" w:lineRule="exact"/>
        <w:ind w:firstLine="1735" w:firstLineChars="54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乙方：</w:t>
      </w:r>
    </w:p>
    <w:p>
      <w:pPr>
        <w:adjustRightInd w:val="0"/>
        <w:snapToGrid w:val="0"/>
        <w:spacing w:line="360" w:lineRule="auto"/>
        <w:jc w:val="center"/>
        <w:rPr>
          <w:rFonts w:ascii="宋体" w:hAnsi="宋体" w:cs="宋体"/>
          <w:b/>
          <w:color w:val="auto"/>
          <w:kern w:val="0"/>
          <w:sz w:val="48"/>
          <w:szCs w:val="48"/>
          <w:highlight w:val="none"/>
        </w:rPr>
      </w:pPr>
    </w:p>
    <w:p>
      <w:pPr>
        <w:adjustRightInd w:val="0"/>
        <w:snapToGrid w:val="0"/>
        <w:spacing w:line="360" w:lineRule="auto"/>
        <w:jc w:val="center"/>
        <w:rPr>
          <w:rFonts w:ascii="宋体" w:hAnsi="宋体" w:cs="宋体"/>
          <w:b/>
          <w:color w:val="auto"/>
          <w:kern w:val="0"/>
          <w:sz w:val="48"/>
          <w:szCs w:val="48"/>
          <w:highlight w:val="none"/>
        </w:rPr>
      </w:pPr>
    </w:p>
    <w:p>
      <w:pPr>
        <w:adjustRightInd w:val="0"/>
        <w:snapToGrid w:val="0"/>
        <w:spacing w:line="360" w:lineRule="auto"/>
        <w:jc w:val="center"/>
        <w:rPr>
          <w:rFonts w:hint="eastAsia" w:ascii="宋体" w:hAnsi="宋体" w:cs="宋体"/>
          <w:b/>
          <w:color w:val="auto"/>
          <w:kern w:val="0"/>
          <w:sz w:val="48"/>
          <w:szCs w:val="48"/>
          <w:highlight w:val="none"/>
        </w:rPr>
      </w:pPr>
    </w:p>
    <w:p>
      <w:pPr>
        <w:adjustRightInd w:val="0"/>
        <w:snapToGrid w:val="0"/>
        <w:spacing w:line="360" w:lineRule="auto"/>
        <w:jc w:val="center"/>
        <w:rPr>
          <w:rFonts w:ascii="宋体" w:hAnsi="宋体" w:cs="宋体"/>
          <w:b/>
          <w:color w:val="auto"/>
          <w:kern w:val="0"/>
          <w:sz w:val="48"/>
          <w:szCs w:val="48"/>
          <w:highlight w:val="none"/>
        </w:rPr>
      </w:pPr>
      <w:r>
        <w:rPr>
          <w:rFonts w:hint="eastAsia" w:ascii="宋体" w:hAnsi="宋体" w:cs="宋体"/>
          <w:b/>
          <w:color w:val="auto"/>
          <w:kern w:val="0"/>
          <w:sz w:val="48"/>
          <w:szCs w:val="48"/>
          <w:highlight w:val="none"/>
        </w:rPr>
        <w:t>重要提示</w:t>
      </w:r>
    </w:p>
    <w:p>
      <w:pPr>
        <w:adjustRightInd w:val="0"/>
        <w:snapToGrid w:val="0"/>
        <w:spacing w:line="360" w:lineRule="auto"/>
        <w:rPr>
          <w:rFonts w:ascii="宋体" w:hAnsi="宋体" w:cs="宋体"/>
          <w:b/>
          <w:color w:val="auto"/>
          <w:kern w:val="0"/>
          <w:sz w:val="24"/>
          <w:szCs w:val="24"/>
          <w:highlight w:val="none"/>
        </w:rPr>
      </w:pPr>
    </w:p>
    <w:p>
      <w:pPr>
        <w:adjustRightInd w:val="0"/>
        <w:snapToGrid w:val="0"/>
        <w:spacing w:line="360" w:lineRule="auto"/>
        <w:ind w:firstLine="551" w:firstLineChars="196"/>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本合同</w:t>
      </w:r>
      <w:r>
        <w:rPr>
          <w:rFonts w:hint="eastAsia" w:ascii="宋体" w:hAnsi="宋体" w:cs="宋体"/>
          <w:color w:val="auto"/>
          <w:kern w:val="0"/>
          <w:sz w:val="28"/>
          <w:szCs w:val="28"/>
          <w:highlight w:val="none"/>
        </w:rPr>
        <w:t>由《合同协议书》、《合同条款》和《合同附件》三大部分组成，对合同中的部分内容设选项按标准化模式设置，采用“√”或“×”予以选择。合同中此部分内容，标注“√”的选项即为本合同采用，标注“×”的选项为本合同不采用。</w:t>
      </w:r>
    </w:p>
    <w:p>
      <w:pPr>
        <w:adjustRightInd w:val="0"/>
        <w:snapToGrid w:val="0"/>
        <w:spacing w:line="360" w:lineRule="auto"/>
        <w:jc w:val="center"/>
        <w:rPr>
          <w:rFonts w:ascii="宋体" w:hAnsi="宋体" w:cs="宋体"/>
          <w:b/>
          <w:color w:val="auto"/>
          <w:kern w:val="0"/>
          <w:sz w:val="32"/>
          <w:szCs w:val="32"/>
          <w:highlight w:val="none"/>
        </w:rPr>
      </w:pPr>
    </w:p>
    <w:p>
      <w:pPr>
        <w:adjustRightInd w:val="0"/>
        <w:snapToGrid w:val="0"/>
        <w:spacing w:line="360" w:lineRule="auto"/>
        <w:jc w:val="center"/>
        <w:rPr>
          <w:rFonts w:ascii="宋体" w:hAnsi="宋体" w:cs="宋体"/>
          <w:b/>
          <w:color w:val="auto"/>
          <w:kern w:val="0"/>
          <w:sz w:val="32"/>
          <w:szCs w:val="32"/>
          <w:highlight w:val="none"/>
        </w:rPr>
      </w:pPr>
    </w:p>
    <w:p>
      <w:pPr>
        <w:adjustRightInd w:val="0"/>
        <w:snapToGrid w:val="0"/>
        <w:spacing w:line="360" w:lineRule="auto"/>
        <w:jc w:val="center"/>
        <w:rPr>
          <w:rFonts w:ascii="宋体" w:hAnsi="宋体" w:cs="宋体"/>
          <w:b/>
          <w:color w:val="auto"/>
          <w:kern w:val="0"/>
          <w:sz w:val="32"/>
          <w:szCs w:val="32"/>
          <w:highlight w:val="none"/>
        </w:rPr>
      </w:pPr>
    </w:p>
    <w:p>
      <w:pPr>
        <w:adjustRightInd w:val="0"/>
        <w:snapToGrid w:val="0"/>
        <w:spacing w:line="360" w:lineRule="auto"/>
        <w:jc w:val="center"/>
        <w:rPr>
          <w:rFonts w:ascii="宋体" w:hAnsi="宋体" w:cs="宋体"/>
          <w:b/>
          <w:color w:val="auto"/>
          <w:kern w:val="0"/>
          <w:sz w:val="32"/>
          <w:szCs w:val="32"/>
          <w:highlight w:val="none"/>
        </w:rPr>
      </w:pPr>
    </w:p>
    <w:p>
      <w:pPr>
        <w:adjustRightInd w:val="0"/>
        <w:snapToGrid w:val="0"/>
        <w:spacing w:line="360" w:lineRule="auto"/>
        <w:jc w:val="center"/>
        <w:rPr>
          <w:rFonts w:ascii="宋体" w:hAnsi="宋体" w:cs="宋体"/>
          <w:b/>
          <w:color w:val="auto"/>
          <w:kern w:val="0"/>
          <w:sz w:val="32"/>
          <w:szCs w:val="32"/>
          <w:highlight w:val="none"/>
        </w:rPr>
      </w:pPr>
    </w:p>
    <w:p>
      <w:pPr>
        <w:adjustRightInd w:val="0"/>
        <w:snapToGrid w:val="0"/>
        <w:spacing w:line="360" w:lineRule="auto"/>
        <w:jc w:val="center"/>
        <w:rPr>
          <w:rFonts w:ascii="宋体" w:hAnsi="宋体" w:cs="宋体"/>
          <w:b/>
          <w:color w:val="auto"/>
          <w:kern w:val="0"/>
          <w:sz w:val="32"/>
          <w:szCs w:val="32"/>
          <w:highlight w:val="none"/>
        </w:rPr>
      </w:pPr>
    </w:p>
    <w:p>
      <w:pPr>
        <w:adjustRightInd w:val="0"/>
        <w:snapToGrid w:val="0"/>
        <w:spacing w:line="360" w:lineRule="auto"/>
        <w:jc w:val="center"/>
        <w:rPr>
          <w:rFonts w:ascii="宋体" w:hAnsi="宋体" w:cs="宋体"/>
          <w:b/>
          <w:color w:val="auto"/>
          <w:kern w:val="0"/>
          <w:sz w:val="32"/>
          <w:szCs w:val="32"/>
          <w:highlight w:val="none"/>
        </w:rPr>
      </w:pPr>
    </w:p>
    <w:p>
      <w:pPr>
        <w:adjustRightInd w:val="0"/>
        <w:snapToGrid w:val="0"/>
        <w:spacing w:line="360" w:lineRule="auto"/>
        <w:jc w:val="center"/>
        <w:rPr>
          <w:rFonts w:ascii="宋体" w:hAnsi="宋体" w:cs="宋体"/>
          <w:b/>
          <w:color w:val="auto"/>
          <w:kern w:val="0"/>
          <w:sz w:val="32"/>
          <w:szCs w:val="32"/>
          <w:highlight w:val="none"/>
        </w:rPr>
      </w:pPr>
    </w:p>
    <w:p>
      <w:pPr>
        <w:adjustRightInd w:val="0"/>
        <w:snapToGrid w:val="0"/>
        <w:spacing w:line="360" w:lineRule="auto"/>
        <w:jc w:val="center"/>
        <w:rPr>
          <w:rFonts w:ascii="宋体" w:hAnsi="宋体" w:cs="宋体"/>
          <w:b/>
          <w:color w:val="auto"/>
          <w:kern w:val="0"/>
          <w:sz w:val="32"/>
          <w:szCs w:val="32"/>
          <w:highlight w:val="none"/>
        </w:rPr>
      </w:pPr>
    </w:p>
    <w:p>
      <w:pPr>
        <w:adjustRightInd w:val="0"/>
        <w:snapToGrid w:val="0"/>
        <w:spacing w:line="360" w:lineRule="auto"/>
        <w:jc w:val="center"/>
        <w:rPr>
          <w:rFonts w:ascii="宋体" w:hAnsi="宋体" w:cs="宋体"/>
          <w:b/>
          <w:color w:val="auto"/>
          <w:kern w:val="0"/>
          <w:sz w:val="32"/>
          <w:szCs w:val="32"/>
          <w:highlight w:val="none"/>
        </w:rPr>
      </w:pPr>
    </w:p>
    <w:p>
      <w:pPr>
        <w:adjustRightInd w:val="0"/>
        <w:snapToGrid w:val="0"/>
        <w:spacing w:line="360" w:lineRule="auto"/>
        <w:jc w:val="center"/>
        <w:rPr>
          <w:rFonts w:ascii="宋体" w:hAnsi="宋体" w:cs="宋体"/>
          <w:b/>
          <w:color w:val="auto"/>
          <w:kern w:val="0"/>
          <w:sz w:val="32"/>
          <w:szCs w:val="32"/>
          <w:highlight w:val="none"/>
        </w:rPr>
      </w:pPr>
    </w:p>
    <w:p>
      <w:pPr>
        <w:adjustRightInd w:val="0"/>
        <w:snapToGrid w:val="0"/>
        <w:spacing w:line="360" w:lineRule="auto"/>
        <w:jc w:val="center"/>
        <w:rPr>
          <w:rFonts w:ascii="宋体" w:hAnsi="宋体" w:cs="宋体"/>
          <w:b/>
          <w:color w:val="auto"/>
          <w:kern w:val="0"/>
          <w:sz w:val="32"/>
          <w:szCs w:val="32"/>
          <w:highlight w:val="none"/>
        </w:rPr>
      </w:pPr>
    </w:p>
    <w:p>
      <w:pPr>
        <w:adjustRightInd w:val="0"/>
        <w:snapToGrid w:val="0"/>
        <w:spacing w:line="360" w:lineRule="auto"/>
        <w:jc w:val="center"/>
        <w:rPr>
          <w:rFonts w:ascii="宋体" w:hAnsi="宋体" w:cs="宋体"/>
          <w:b/>
          <w:color w:val="auto"/>
          <w:kern w:val="0"/>
          <w:sz w:val="32"/>
          <w:szCs w:val="32"/>
          <w:highlight w:val="none"/>
        </w:rPr>
      </w:pPr>
    </w:p>
    <w:p>
      <w:pPr>
        <w:adjustRightInd w:val="0"/>
        <w:snapToGrid w:val="0"/>
        <w:spacing w:line="360" w:lineRule="auto"/>
        <w:jc w:val="center"/>
        <w:rPr>
          <w:rFonts w:ascii="宋体" w:hAnsi="宋体" w:cs="宋体"/>
          <w:b/>
          <w:color w:val="auto"/>
          <w:kern w:val="0"/>
          <w:sz w:val="32"/>
          <w:szCs w:val="32"/>
          <w:highlight w:val="none"/>
        </w:rPr>
      </w:pPr>
    </w:p>
    <w:p>
      <w:pPr>
        <w:adjustRightInd w:val="0"/>
        <w:snapToGrid w:val="0"/>
        <w:spacing w:line="360" w:lineRule="auto"/>
        <w:jc w:val="center"/>
        <w:rPr>
          <w:rFonts w:ascii="宋体" w:hAnsi="宋体" w:cs="宋体"/>
          <w:b/>
          <w:color w:val="auto"/>
          <w:kern w:val="0"/>
          <w:sz w:val="32"/>
          <w:szCs w:val="32"/>
          <w:highlight w:val="none"/>
        </w:rPr>
      </w:pPr>
    </w:p>
    <w:p>
      <w:pPr>
        <w:adjustRightInd w:val="0"/>
        <w:snapToGrid w:val="0"/>
        <w:spacing w:line="360" w:lineRule="auto"/>
        <w:jc w:val="center"/>
        <w:rPr>
          <w:rFonts w:ascii="宋体" w:hAnsi="宋体" w:cs="宋体"/>
          <w:b/>
          <w:color w:val="auto"/>
          <w:kern w:val="0"/>
          <w:sz w:val="32"/>
          <w:szCs w:val="32"/>
          <w:highlight w:val="none"/>
        </w:rPr>
      </w:pPr>
    </w:p>
    <w:p>
      <w:pPr>
        <w:adjustRightInd w:val="0"/>
        <w:snapToGrid w:val="0"/>
        <w:spacing w:line="360" w:lineRule="auto"/>
        <w:jc w:val="center"/>
        <w:rPr>
          <w:rFonts w:ascii="宋体" w:hAnsi="宋体" w:cs="宋体"/>
          <w:b/>
          <w:color w:val="auto"/>
          <w:kern w:val="0"/>
          <w:sz w:val="44"/>
          <w:szCs w:val="44"/>
          <w:highlight w:val="none"/>
        </w:rPr>
      </w:pPr>
      <w:r>
        <w:rPr>
          <w:rFonts w:hint="eastAsia" w:ascii="宋体" w:hAnsi="宋体" w:cs="宋体"/>
          <w:b/>
          <w:color w:val="auto"/>
          <w:kern w:val="0"/>
          <w:sz w:val="44"/>
          <w:szCs w:val="44"/>
          <w:highlight w:val="none"/>
        </w:rPr>
        <w:t>目  录</w:t>
      </w:r>
    </w:p>
    <w:p>
      <w:pPr>
        <w:adjustRightInd w:val="0"/>
        <w:snapToGrid w:val="0"/>
        <w:spacing w:line="360" w:lineRule="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第一篇  合同协议书 ………………………………………………………………</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合同协议书附1：中标通知书</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合同协议书附2：招标澄清、答疑文件</w:t>
      </w:r>
    </w:p>
    <w:p>
      <w:pPr>
        <w:adjustRightInd w:val="0"/>
        <w:snapToGrid w:val="0"/>
        <w:spacing w:line="360" w:lineRule="auto"/>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第二篇  合同条款…………………………………………………………………</w:t>
      </w:r>
    </w:p>
    <w:p>
      <w:pPr>
        <w:adjustRightInd w:val="0"/>
        <w:snapToGrid w:val="0"/>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总则  …………………………………………………………………………</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第一章  一般规定  …………………………………………………………</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1、词语定义</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2、语言文字和适用法律、标准及规范</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3、本合同签订依据</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第二章  勘察设计总承包 …………………………………………………</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4、勘察设计总承包管理</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5、勘察、设计分包</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第三章  设计工作内容………………………………………………………</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6、设计范围</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7、设计服务</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8、设计人员</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9、设计成果文件的提交</w:t>
      </w:r>
    </w:p>
    <w:p>
      <w:pPr>
        <w:adjustRightInd w:val="0"/>
        <w:snapToGrid w:val="0"/>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第四章 设计质量 ……………………………………………………………</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10、设计的质量要求</w:t>
      </w:r>
    </w:p>
    <w:p>
      <w:pPr>
        <w:adjustRightInd w:val="0"/>
        <w:snapToGrid w:val="0"/>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第五章 设计事故 ……………………………………………………………</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11、设计事故</w:t>
      </w:r>
    </w:p>
    <w:p>
      <w:pPr>
        <w:adjustRightInd w:val="0"/>
        <w:snapToGrid w:val="0"/>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第六章 设计变更 ……………………………………………………………</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12、设计变更</w:t>
      </w:r>
    </w:p>
    <w:p>
      <w:pPr>
        <w:adjustRightInd w:val="0"/>
        <w:snapToGrid w:val="0"/>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第七章 工程投资控制 ………………………………………………………</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13、工程投资控制</w:t>
      </w:r>
    </w:p>
    <w:p>
      <w:pPr>
        <w:adjustRightInd w:val="0"/>
        <w:snapToGrid w:val="0"/>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第八章 设计评审 ……………………………………………………………</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14、设计评审</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第九章  设计收费的计取及支付……………………………………………</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15、设计收费的计取</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16、设计收费的支付</w:t>
      </w:r>
    </w:p>
    <w:p>
      <w:pPr>
        <w:adjustRightInd w:val="0"/>
        <w:snapToGrid w:val="0"/>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第十章  勘察  ………………………………………………………………</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17、勘察范围</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18、勘察服务</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19、勘察人员</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20、勘察成果文件的提交</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21、勘察的质量要求</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22、勘察费的计取及支付</w:t>
      </w:r>
    </w:p>
    <w:p>
      <w:pPr>
        <w:adjustRightInd w:val="0"/>
        <w:snapToGrid w:val="0"/>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第十一章 综合考评 …………………………………………………………</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23、综合考评</w:t>
      </w:r>
    </w:p>
    <w:p>
      <w:pPr>
        <w:adjustRightInd w:val="0"/>
        <w:snapToGrid w:val="0"/>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第十二章  信息化管理………………………………………………………</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24、信息化管理的要求</w:t>
      </w:r>
    </w:p>
    <w:p>
      <w:pPr>
        <w:adjustRightInd w:val="0"/>
        <w:snapToGrid w:val="0"/>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第十三章 甲乙双方的权利和义务 …………………………………………</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25、甲方的权利和义务</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26、乙方的权利和义务</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第十四章  违约责任 ………………………………………………………</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27、甲方的违约责任</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28、乙方的违约责任</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第十五章  索赔  ……………………………………………………………</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29、索赔</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第十六章  保险与担保………………………………………………………</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30、保险与担保</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第十七章  税费  ……………………………………………………………</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31、税费 </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第十八章  法律适用及争议的解决方式  …………………………………</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32、法律适用及</w:t>
      </w:r>
      <w:r>
        <w:rPr>
          <w:rFonts w:hint="eastAsia" w:ascii="宋体" w:hAnsi="宋体" w:cs="宋体"/>
          <w:bCs/>
          <w:color w:val="auto"/>
          <w:kern w:val="0"/>
          <w:sz w:val="24"/>
          <w:szCs w:val="24"/>
          <w:highlight w:val="none"/>
        </w:rPr>
        <w:t>争议的解决方式</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第十九章  保密、知识产权与专利技术……………………………………</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33、保密、知识产权与专利技术</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第二十章  不可抗力  ………………………………………………………</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34、不可抗力</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第二十一章  合同生效、解除与其他  ……………………………………</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35、合同生效、解除及其他</w:t>
      </w:r>
    </w:p>
    <w:p>
      <w:pPr>
        <w:adjustRightInd w:val="0"/>
        <w:snapToGrid w:val="0"/>
        <w:spacing w:line="360" w:lineRule="auto"/>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第三篇  合同附件    ……………………………………………………………</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附件1：工程建设廉洁协议书  </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附件2：本项目《建设资金支付协议》</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附件</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：勘察费、设计费计算表</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表一、工程勘察费计算表</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表二、工程设计费计算表</w:t>
      </w:r>
    </w:p>
    <w:p>
      <w:pPr>
        <w:adjustRightInd w:val="0"/>
        <w:snapToGrid w:val="0"/>
        <w:spacing w:line="360" w:lineRule="auto"/>
        <w:ind w:firstLine="488" w:firstLineChars="200"/>
        <w:rPr>
          <w:rFonts w:ascii="宋体" w:hAnsi="宋体" w:cs="宋体"/>
          <w:color w:val="auto"/>
          <w:spacing w:val="-9"/>
          <w:kern w:val="0"/>
          <w:sz w:val="24"/>
          <w:szCs w:val="24"/>
          <w:highlight w:val="none"/>
        </w:rPr>
      </w:pPr>
      <w:r>
        <w:rPr>
          <w:rFonts w:hint="eastAsia" w:ascii="宋体" w:hAnsi="宋体" w:cs="宋体"/>
          <w:color w:val="auto"/>
          <w:spacing w:val="2"/>
          <w:kern w:val="0"/>
          <w:sz w:val="24"/>
          <w:szCs w:val="24"/>
          <w:highlight w:val="none"/>
        </w:rPr>
        <w:t>表三、工程勘察设计费汇总</w:t>
      </w:r>
      <w:r>
        <w:rPr>
          <w:rFonts w:hint="eastAsia" w:ascii="宋体" w:hAnsi="宋体" w:cs="宋体"/>
          <w:color w:val="auto"/>
          <w:spacing w:val="-9"/>
          <w:kern w:val="0"/>
          <w:sz w:val="24"/>
          <w:szCs w:val="24"/>
          <w:highlight w:val="none"/>
        </w:rPr>
        <w:t>表</w:t>
      </w:r>
    </w:p>
    <w:p>
      <w:pPr>
        <w:adjustRightInd w:val="0"/>
        <w:snapToGrid w:val="0"/>
        <w:spacing w:line="360" w:lineRule="auto"/>
        <w:ind w:firstLine="480" w:firstLineChars="200"/>
        <w:rPr>
          <w:color w:val="auto"/>
          <w:szCs w:val="21"/>
          <w:highlight w:val="none"/>
        </w:rPr>
      </w:pPr>
      <w:r>
        <w:rPr>
          <w:rFonts w:hint="eastAsia" w:ascii="宋体" w:hAnsi="宋体" w:cs="宋体"/>
          <w:bCs/>
          <w:color w:val="auto"/>
          <w:kern w:val="0"/>
          <w:sz w:val="24"/>
          <w:szCs w:val="24"/>
          <w:highlight w:val="none"/>
        </w:rPr>
        <w:t>表四、工程设计费分摊计算表</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表五、BIM正向设计技术应用费计算表</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附件</w:t>
      </w: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：拟投入主要勘察设计人员一览表</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表一、主要勘察设计人员表</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表二、驻场设计及服务人员表</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附件</w:t>
      </w: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：乙方履约</w:t>
      </w:r>
      <w:r>
        <w:rPr>
          <w:rFonts w:ascii="宋体" w:hAnsi="宋体" w:cs="宋体"/>
          <w:color w:val="auto"/>
          <w:kern w:val="0"/>
          <w:sz w:val="24"/>
          <w:szCs w:val="24"/>
          <w:highlight w:val="none"/>
        </w:rPr>
        <w:t>担保</w:t>
      </w:r>
      <w:r>
        <w:rPr>
          <w:rFonts w:hint="eastAsia" w:ascii="宋体" w:hAnsi="宋体" w:cs="宋体"/>
          <w:color w:val="auto"/>
          <w:kern w:val="0"/>
          <w:sz w:val="24"/>
          <w:szCs w:val="24"/>
          <w:highlight w:val="none"/>
        </w:rPr>
        <w:t>（格式）及承诺书</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ascii="宋体" w:hAnsi="宋体" w:cs="宋体"/>
          <w:dstrike/>
          <w:color w:val="auto"/>
          <w:kern w:val="0"/>
          <w:sz w:val="24"/>
          <w:szCs w:val="24"/>
          <w:highlight w:val="none"/>
        </w:rPr>
      </w:pPr>
      <w:r>
        <w:rPr>
          <w:rFonts w:hint="eastAsia" w:ascii="宋体" w:hAnsi="宋体" w:cs="宋体"/>
          <w:color w:val="auto"/>
          <w:kern w:val="0"/>
          <w:sz w:val="24"/>
          <w:szCs w:val="24"/>
          <w:highlight w:val="none"/>
        </w:rPr>
        <w:t>附件</w:t>
      </w: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：《广州市重点公共建设项目管理中心</w:t>
      </w:r>
      <w:r>
        <w:rPr>
          <w:rFonts w:hint="eastAsia" w:ascii="宋体" w:hAnsi="宋体" w:eastAsia="宋体" w:cs="宋体"/>
          <w:color w:val="auto"/>
          <w:kern w:val="0"/>
          <w:sz w:val="24"/>
          <w:szCs w:val="24"/>
          <w:highlight w:val="none"/>
          <w:lang w:val="en-US" w:eastAsia="zh-CN" w:bidi="ar"/>
        </w:rPr>
        <w:t>基本建设</w:t>
      </w:r>
      <w:r>
        <w:rPr>
          <w:rFonts w:hint="eastAsia" w:ascii="宋体" w:hAnsi="宋体" w:cs="宋体"/>
          <w:color w:val="auto"/>
          <w:kern w:val="0"/>
          <w:sz w:val="24"/>
          <w:szCs w:val="24"/>
          <w:highlight w:val="none"/>
        </w:rPr>
        <w:t>项目计划管理办法》（另册）</w:t>
      </w:r>
      <w:bookmarkStart w:id="89" w:name="_GoBack"/>
    </w:p>
    <w:bookmarkEnd w:id="89"/>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ascii="宋体" w:hAnsi="宋体" w:cs="Arial"/>
          <w:color w:val="auto"/>
          <w:sz w:val="24"/>
          <w:szCs w:val="24"/>
          <w:highlight w:val="none"/>
        </w:rPr>
      </w:pPr>
      <w:r>
        <w:rPr>
          <w:rFonts w:hint="eastAsia" w:ascii="宋体" w:hAnsi="宋体" w:cs="宋体"/>
          <w:color w:val="auto"/>
          <w:sz w:val="24"/>
          <w:szCs w:val="24"/>
          <w:highlight w:val="none"/>
        </w:rPr>
        <w:t>附件</w:t>
      </w:r>
      <w:r>
        <w:rPr>
          <w:rFonts w:ascii="宋体" w:hAnsi="宋体" w:cs="宋体"/>
          <w:color w:val="auto"/>
          <w:sz w:val="24"/>
          <w:szCs w:val="24"/>
          <w:highlight w:val="none"/>
        </w:rPr>
        <w:t>7</w:t>
      </w:r>
      <w:r>
        <w:rPr>
          <w:rFonts w:hint="eastAsia" w:ascii="宋体" w:hAnsi="宋体" w:cs="宋体"/>
          <w:color w:val="auto"/>
          <w:sz w:val="24"/>
          <w:szCs w:val="24"/>
          <w:highlight w:val="none"/>
        </w:rPr>
        <w:t>：《市重点办建设项目初步设计概算和</w:t>
      </w:r>
      <w:r>
        <w:rPr>
          <w:rFonts w:hint="eastAsia" w:ascii="宋体" w:hAnsi="宋体" w:eastAsia="宋体" w:cs="宋体"/>
          <w:color w:val="auto"/>
          <w:kern w:val="2"/>
          <w:sz w:val="24"/>
          <w:szCs w:val="24"/>
          <w:highlight w:val="none"/>
          <w:lang w:val="en-US" w:eastAsia="zh-CN" w:bidi="ar"/>
        </w:rPr>
        <w:t>施工图</w:t>
      </w:r>
      <w:r>
        <w:rPr>
          <w:rFonts w:hint="default" w:ascii="宋体" w:hAnsi="宋体" w:cs="宋体"/>
          <w:color w:val="auto"/>
          <w:sz w:val="24"/>
          <w:szCs w:val="24"/>
          <w:highlight w:val="none"/>
        </w:rPr>
        <w:t>预算</w:t>
      </w:r>
      <w:r>
        <w:rPr>
          <w:rFonts w:hint="eastAsia" w:ascii="宋体" w:hAnsi="宋体" w:cs="宋体"/>
          <w:color w:val="auto"/>
          <w:sz w:val="24"/>
          <w:szCs w:val="24"/>
          <w:highlight w:val="none"/>
        </w:rPr>
        <w:t>编制、内审及配合评审工作组织管理实施办法》、《广州市重点公共建设项目管理中心建设工程设计概算编审指引》（另册）</w:t>
      </w:r>
    </w:p>
    <w:p>
      <w:pPr>
        <w:adjustRightInd w:val="0"/>
        <w:snapToGrid w:val="0"/>
        <w:spacing w:line="360" w:lineRule="auto"/>
        <w:ind w:firstLine="480" w:firstLineChars="200"/>
        <w:rPr>
          <w:rFonts w:ascii="宋体" w:hAnsi="宋体" w:cs="Arial"/>
          <w:color w:val="auto"/>
          <w:sz w:val="24"/>
          <w:szCs w:val="24"/>
          <w:highlight w:val="none"/>
        </w:rPr>
      </w:pPr>
      <w:r>
        <w:rPr>
          <w:rFonts w:hint="eastAsia" w:ascii="宋体" w:hAnsi="宋体" w:cs="宋体"/>
          <w:color w:val="auto"/>
          <w:sz w:val="24"/>
          <w:szCs w:val="24"/>
          <w:highlight w:val="none"/>
        </w:rPr>
        <w:t>附件</w:t>
      </w:r>
      <w:r>
        <w:rPr>
          <w:rFonts w:ascii="宋体" w:hAnsi="宋体" w:cs="宋体"/>
          <w:color w:val="auto"/>
          <w:sz w:val="24"/>
          <w:szCs w:val="24"/>
          <w:highlight w:val="none"/>
        </w:rPr>
        <w:t>8</w:t>
      </w:r>
      <w:r>
        <w:rPr>
          <w:rFonts w:hint="eastAsia" w:ascii="宋体" w:hAnsi="宋体" w:cs="宋体"/>
          <w:color w:val="auto"/>
          <w:sz w:val="24"/>
          <w:szCs w:val="24"/>
          <w:highlight w:val="none"/>
        </w:rPr>
        <w:t>：《广州市重点公共建设项目管理中心设计变更管理办法》（另册）</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附件</w:t>
      </w:r>
      <w:r>
        <w:rPr>
          <w:rFonts w:ascii="宋体" w:hAnsi="宋体" w:cs="宋体"/>
          <w:color w:val="auto"/>
          <w:kern w:val="0"/>
          <w:sz w:val="24"/>
          <w:szCs w:val="24"/>
          <w:highlight w:val="none"/>
        </w:rPr>
        <w:t>9</w:t>
      </w:r>
      <w:r>
        <w:rPr>
          <w:rFonts w:hint="eastAsia" w:ascii="宋体" w:hAnsi="宋体" w:cs="宋体"/>
          <w:color w:val="auto"/>
          <w:kern w:val="0"/>
          <w:sz w:val="24"/>
          <w:szCs w:val="24"/>
          <w:highlight w:val="none"/>
        </w:rPr>
        <w:t>：本项目</w:t>
      </w:r>
      <w:r>
        <w:rPr>
          <w:rFonts w:ascii="宋体" w:hAnsi="宋体" w:cs="宋体"/>
          <w:color w:val="auto"/>
          <w:kern w:val="0"/>
          <w:sz w:val="24"/>
          <w:szCs w:val="24"/>
          <w:highlight w:val="none"/>
        </w:rPr>
        <w:t>勘察设计任务书</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附件</w:t>
      </w:r>
      <w:r>
        <w:rPr>
          <w:rFonts w:ascii="宋体" w:hAnsi="宋体" w:cs="宋体"/>
          <w:color w:val="auto"/>
          <w:kern w:val="0"/>
          <w:sz w:val="24"/>
          <w:szCs w:val="24"/>
          <w:highlight w:val="none"/>
        </w:rPr>
        <w:t>10</w:t>
      </w:r>
      <w:r>
        <w:rPr>
          <w:rFonts w:hint="eastAsia" w:ascii="宋体" w:hAnsi="宋体" w:cs="宋体"/>
          <w:color w:val="auto"/>
          <w:kern w:val="0"/>
          <w:sz w:val="24"/>
          <w:szCs w:val="24"/>
          <w:highlight w:val="none"/>
        </w:rPr>
        <w:t>：乙方营业执照及其法定代表人、项目负责人的姓名、身份证复印件、职务、职称、联系方式</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附件</w:t>
      </w:r>
      <w:r>
        <w:rPr>
          <w:rFonts w:ascii="宋体" w:hAnsi="宋体" w:cs="宋体"/>
          <w:color w:val="auto"/>
          <w:kern w:val="0"/>
          <w:sz w:val="24"/>
          <w:szCs w:val="24"/>
          <w:highlight w:val="none"/>
        </w:rPr>
        <w:t>11</w:t>
      </w:r>
      <w:r>
        <w:rPr>
          <w:rFonts w:hint="eastAsia" w:ascii="宋体" w:hAnsi="宋体" w:cs="宋体"/>
          <w:color w:val="auto"/>
          <w:kern w:val="0"/>
          <w:sz w:val="24"/>
          <w:szCs w:val="24"/>
          <w:highlight w:val="none"/>
        </w:rPr>
        <w:t>：建筑工程质量安全终身责任承诺书及勘察设计项目负责人更换保证书</w:t>
      </w:r>
    </w:p>
    <w:p>
      <w:pPr>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附件1</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：工程质量终身责任承诺书</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br w:type="page"/>
      </w:r>
    </w:p>
    <w:p>
      <w:pPr>
        <w:adjustRightInd w:val="0"/>
        <w:snapToGrid w:val="0"/>
        <w:spacing w:line="360" w:lineRule="auto"/>
        <w:ind w:firstLine="480" w:firstLineChars="200"/>
        <w:rPr>
          <w:rFonts w:ascii="宋体" w:hAnsi="宋体" w:cs="宋体"/>
          <w:color w:val="auto"/>
          <w:kern w:val="0"/>
          <w:sz w:val="24"/>
          <w:szCs w:val="24"/>
          <w:highlight w:val="none"/>
          <w:u w:val="single"/>
        </w:rPr>
      </w:pPr>
    </w:p>
    <w:p>
      <w:pPr>
        <w:adjustRightInd w:val="0"/>
        <w:snapToGrid w:val="0"/>
        <w:spacing w:line="360" w:lineRule="auto"/>
        <w:rPr>
          <w:rFonts w:ascii="宋体" w:hAnsi="宋体" w:cs="宋体"/>
          <w:color w:val="auto"/>
          <w:kern w:val="0"/>
          <w:sz w:val="24"/>
          <w:szCs w:val="24"/>
          <w:highlight w:val="none"/>
          <w:u w:val="single"/>
        </w:rPr>
      </w:pPr>
    </w:p>
    <w:p>
      <w:pPr>
        <w:adjustRightInd w:val="0"/>
        <w:snapToGrid w:val="0"/>
        <w:spacing w:line="360" w:lineRule="auto"/>
        <w:jc w:val="center"/>
        <w:outlineLvl w:val="1"/>
        <w:rPr>
          <w:rFonts w:ascii="宋体" w:hAnsi="宋体" w:cs="宋体"/>
          <w:b/>
          <w:color w:val="auto"/>
          <w:kern w:val="0"/>
          <w:sz w:val="44"/>
          <w:szCs w:val="44"/>
          <w:highlight w:val="none"/>
        </w:rPr>
      </w:pPr>
      <w:r>
        <w:rPr>
          <w:rFonts w:hint="eastAsia" w:ascii="宋体" w:hAnsi="宋体" w:cs="宋体"/>
          <w:b/>
          <w:color w:val="auto"/>
          <w:kern w:val="0"/>
          <w:sz w:val="44"/>
          <w:szCs w:val="44"/>
          <w:highlight w:val="none"/>
        </w:rPr>
        <w:t>第一篇  合同协议书</w:t>
      </w:r>
    </w:p>
    <w:p>
      <w:pPr>
        <w:adjustRightInd w:val="0"/>
        <w:snapToGrid w:val="0"/>
        <w:spacing w:line="360" w:lineRule="auto"/>
        <w:ind w:firstLine="482" w:firstLineChars="200"/>
        <w:rPr>
          <w:rFonts w:ascii="宋体" w:hAnsi="宋体" w:cs="宋体"/>
          <w:b/>
          <w:color w:val="auto"/>
          <w:kern w:val="0"/>
          <w:sz w:val="24"/>
          <w:szCs w:val="24"/>
          <w:highlight w:val="none"/>
          <w:u w:val="single"/>
        </w:rPr>
      </w:pPr>
      <w:r>
        <w:rPr>
          <w:rFonts w:hint="eastAsia" w:ascii="宋体" w:hAnsi="宋体" w:cs="宋体"/>
          <w:b/>
          <w:color w:val="auto"/>
          <w:kern w:val="0"/>
          <w:sz w:val="24"/>
          <w:szCs w:val="24"/>
          <w:highlight w:val="none"/>
        </w:rPr>
        <w:t>广州市重点公共建设项目管理中心</w:t>
      </w:r>
      <w:r>
        <w:rPr>
          <w:rFonts w:hint="eastAsia" w:ascii="宋体" w:hAnsi="宋体" w:cs="宋体"/>
          <w:color w:val="auto"/>
          <w:kern w:val="0"/>
          <w:sz w:val="24"/>
          <w:szCs w:val="24"/>
          <w:highlight w:val="none"/>
        </w:rPr>
        <w:t>（以下简称甲方）与</w:t>
      </w:r>
      <w:r>
        <w:rPr>
          <w:rFonts w:hint="eastAsia" w:ascii="宋体" w:hAnsi="宋体" w:cs="宋体"/>
          <w:b/>
          <w:color w:val="auto"/>
          <w:sz w:val="24"/>
          <w:szCs w:val="24"/>
          <w:highlight w:val="none"/>
        </w:rPr>
        <w:t>_______________</w:t>
      </w:r>
      <w:r>
        <w:rPr>
          <w:rFonts w:hint="eastAsia" w:ascii="宋体" w:hAnsi="宋体" w:cs="宋体"/>
          <w:bCs/>
          <w:color w:val="auto"/>
          <w:kern w:val="0"/>
          <w:sz w:val="24"/>
          <w:szCs w:val="24"/>
          <w:highlight w:val="none"/>
        </w:rPr>
        <w:t>（以下简称乙方）依照《中华人民共和国民法典》、《中华人民共和国建筑法》及其他有关法律、行政法规、部门规章、地方性法规和规章，以及国家和广东省、广州市人民政府及有关主管部门关于</w:t>
      </w:r>
      <w:r>
        <w:rPr>
          <w:rFonts w:hint="eastAsia" w:ascii="宋体" w:hAnsi="宋体" w:cs="宋体"/>
          <w:color w:val="auto"/>
          <w:sz w:val="24"/>
          <w:szCs w:val="24"/>
          <w:highlight w:val="none"/>
          <w:u w:val="single"/>
          <w:lang w:eastAsia="zh-CN"/>
        </w:rPr>
        <w:t>广州法治大厦项目</w:t>
      </w:r>
      <w:r>
        <w:rPr>
          <w:rFonts w:hint="eastAsia" w:ascii="宋体" w:hAnsi="宋体" w:cs="宋体"/>
          <w:bCs/>
          <w:color w:val="auto"/>
          <w:kern w:val="0"/>
          <w:sz w:val="24"/>
          <w:szCs w:val="24"/>
          <w:highlight w:val="none"/>
        </w:rPr>
        <w:t>（以下称本项目）的有关文件，遵循平等、自愿、公平和诚实信用的原则，双方就</w:t>
      </w:r>
      <w:r>
        <w:rPr>
          <w:rFonts w:hint="eastAsia" w:ascii="宋体" w:hAnsi="宋体" w:cs="宋体"/>
          <w:color w:val="auto"/>
          <w:sz w:val="24"/>
          <w:szCs w:val="24"/>
          <w:highlight w:val="none"/>
        </w:rPr>
        <w:t>本项目</w:t>
      </w:r>
      <w:r>
        <w:rPr>
          <w:rFonts w:hint="eastAsia" w:ascii="宋体" w:hAnsi="宋体" w:cs="宋体"/>
          <w:bCs/>
          <w:color w:val="auto"/>
          <w:kern w:val="0"/>
          <w:sz w:val="24"/>
          <w:szCs w:val="24"/>
          <w:highlight w:val="none"/>
        </w:rPr>
        <w:t>勘察设计总承包事宜协商一致，订立本合同。</w:t>
      </w:r>
    </w:p>
    <w:p>
      <w:pPr>
        <w:adjustRightInd w:val="0"/>
        <w:snapToGrid w:val="0"/>
        <w:spacing w:line="360" w:lineRule="auto"/>
        <w:ind w:firstLine="482" w:firstLineChars="200"/>
        <w:outlineLvl w:val="2"/>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1、合同工程概况</w:t>
      </w:r>
    </w:p>
    <w:p>
      <w:pPr>
        <w:adjustRightInd w:val="0"/>
        <w:snapToGrid w:val="0"/>
        <w:spacing w:line="360" w:lineRule="auto"/>
        <w:ind w:right="11"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（1）工程名称：</w:t>
      </w:r>
      <w:r>
        <w:rPr>
          <w:rFonts w:hint="eastAsia" w:ascii="宋体" w:hAnsi="宋体" w:cs="宋体"/>
          <w:bCs/>
          <w:color w:val="auto"/>
          <w:sz w:val="24"/>
          <w:szCs w:val="24"/>
          <w:highlight w:val="none"/>
          <w:u w:val="single"/>
          <w:lang w:eastAsia="zh-CN"/>
        </w:rPr>
        <w:t>广州法治大厦项目勘察设计</w:t>
      </w:r>
      <w:r>
        <w:rPr>
          <w:rFonts w:hint="eastAsia" w:ascii="宋体" w:hAnsi="宋体" w:cs="宋体"/>
          <w:bCs/>
          <w:color w:val="auto"/>
          <w:kern w:val="0"/>
          <w:sz w:val="24"/>
          <w:szCs w:val="24"/>
          <w:highlight w:val="none"/>
        </w:rPr>
        <w:t>。</w:t>
      </w:r>
    </w:p>
    <w:p>
      <w:pPr>
        <w:adjustRightInd w:val="0"/>
        <w:snapToGrid w:val="0"/>
        <w:spacing w:line="360" w:lineRule="auto"/>
        <w:ind w:right="11"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（2）工程地点：</w:t>
      </w:r>
      <w:r>
        <w:rPr>
          <w:rFonts w:hint="eastAsia" w:ascii="宋体" w:hAnsi="宋体" w:eastAsia="宋体" w:cs="Times New Roman"/>
          <w:color w:val="auto"/>
          <w:sz w:val="24"/>
          <w:highlight w:val="none"/>
          <w:u w:val="single"/>
          <w:lang w:val="en-US" w:eastAsia="zh-CN"/>
        </w:rPr>
        <w:t>广州市海珠区琶洲西区 AH040311 地块，西临海洲路、北临新港东路，东侧距离华南快速干线 700米</w:t>
      </w:r>
      <w:r>
        <w:rPr>
          <w:rFonts w:hint="eastAsia" w:ascii="宋体" w:hAnsi="宋体" w:cs="宋体"/>
          <w:color w:val="auto"/>
          <w:sz w:val="24"/>
          <w:szCs w:val="24"/>
          <w:highlight w:val="none"/>
        </w:rPr>
        <w:t>。</w:t>
      </w:r>
    </w:p>
    <w:p>
      <w:pPr>
        <w:adjustRightInd w:val="0"/>
        <w:snapToGrid w:val="0"/>
        <w:spacing w:line="360" w:lineRule="auto"/>
        <w:ind w:right="11"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（3）工程立项批准文号：</w:t>
      </w:r>
      <w:r>
        <w:rPr>
          <w:rFonts w:hint="eastAsia" w:ascii="宋体" w:hAnsi="宋体" w:eastAsia="宋体" w:cs="Times New Roman"/>
          <w:color w:val="auto"/>
          <w:sz w:val="24"/>
          <w:highlight w:val="none"/>
          <w:u w:val="single"/>
          <w:lang w:eastAsia="zh-CN"/>
        </w:rPr>
        <w:t>《</w:t>
      </w:r>
      <w:r>
        <w:rPr>
          <w:rFonts w:hint="eastAsia" w:ascii="宋体" w:hAnsi="宋体" w:eastAsia="宋体" w:cs="Times New Roman"/>
          <w:color w:val="auto"/>
          <w:sz w:val="24"/>
          <w:highlight w:val="none"/>
          <w:u w:val="single"/>
          <w:lang w:val="en-US" w:eastAsia="zh-CN"/>
        </w:rPr>
        <w:t>广州市发展和改革委员会关于</w:t>
      </w:r>
      <w:r>
        <w:rPr>
          <w:rFonts w:hint="default" w:ascii="宋体" w:hAnsi="宋体" w:eastAsia="宋体" w:cs="Times New Roman"/>
          <w:color w:val="auto"/>
          <w:sz w:val="24"/>
          <w:highlight w:val="none"/>
          <w:u w:val="single"/>
          <w:lang w:val="en-US" w:eastAsia="zh-CN"/>
        </w:rPr>
        <w:t>广州法治大厦项目项目建议书的批复</w:t>
      </w:r>
      <w:r>
        <w:rPr>
          <w:rFonts w:hint="eastAsia" w:ascii="宋体" w:hAnsi="宋体" w:eastAsia="宋体" w:cs="Times New Roman"/>
          <w:color w:val="auto"/>
          <w:sz w:val="24"/>
          <w:highlight w:val="none"/>
          <w:u w:val="single"/>
          <w:lang w:val="en-US" w:eastAsia="zh-CN"/>
        </w:rPr>
        <w:t>》（穗发改投批〔</w:t>
      </w:r>
      <w:r>
        <w:rPr>
          <w:rFonts w:hint="default" w:ascii="宋体" w:hAnsi="宋体" w:eastAsia="宋体" w:cs="Times New Roman"/>
          <w:color w:val="auto"/>
          <w:sz w:val="24"/>
          <w:highlight w:val="none"/>
          <w:u w:val="single"/>
          <w:lang w:val="en-US" w:eastAsia="zh-CN"/>
        </w:rPr>
        <w:t>2025〕76号</w:t>
      </w:r>
      <w:r>
        <w:rPr>
          <w:rFonts w:hint="eastAsia" w:ascii="宋体" w:hAnsi="宋体" w:eastAsia="宋体" w:cs="Times New Roman"/>
          <w:color w:val="auto"/>
          <w:sz w:val="24"/>
          <w:highlight w:val="none"/>
          <w:u w:val="single"/>
          <w:lang w:val="en-US" w:eastAsia="zh-CN"/>
        </w:rPr>
        <w:t>）</w:t>
      </w:r>
      <w:r>
        <w:rPr>
          <w:rFonts w:hint="eastAsia" w:ascii="宋体" w:hAnsi="宋体" w:cs="宋体"/>
          <w:bCs/>
          <w:color w:val="auto"/>
          <w:kern w:val="0"/>
          <w:sz w:val="24"/>
          <w:szCs w:val="24"/>
          <w:highlight w:val="none"/>
        </w:rPr>
        <w:t>。</w:t>
      </w:r>
    </w:p>
    <w:p>
      <w:pPr>
        <w:adjustRightInd w:val="0"/>
        <w:snapToGrid w:val="0"/>
        <w:spacing w:line="360" w:lineRule="auto"/>
        <w:ind w:right="11"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（4）广东省投资项目代码：</w:t>
      </w:r>
      <w:r>
        <w:rPr>
          <w:rFonts w:hint="eastAsia" w:ascii="宋体" w:hAnsi="宋体" w:eastAsia="宋体" w:cs="Times New Roman"/>
          <w:color w:val="auto"/>
          <w:sz w:val="24"/>
          <w:highlight w:val="none"/>
          <w:u w:val="single"/>
          <w:lang w:eastAsia="zh-CN"/>
        </w:rPr>
        <w:t>2408-440105-04-01-999759</w:t>
      </w:r>
      <w:r>
        <w:rPr>
          <w:rFonts w:hint="eastAsia" w:ascii="宋体" w:hAnsi="宋体" w:cs="宋体"/>
          <w:bCs/>
          <w:color w:val="auto"/>
          <w:kern w:val="0"/>
          <w:sz w:val="24"/>
          <w:szCs w:val="24"/>
          <w:highlight w:val="none"/>
        </w:rPr>
        <w:t>。</w:t>
      </w:r>
    </w:p>
    <w:p>
      <w:pPr>
        <w:adjustRightInd w:val="0"/>
        <w:snapToGrid w:val="0"/>
        <w:spacing w:line="360" w:lineRule="auto"/>
        <w:ind w:right="11"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（5）资金来源：</w:t>
      </w:r>
      <w:r>
        <w:rPr>
          <w:rFonts w:hint="eastAsia" w:ascii="宋体" w:hAnsi="宋体" w:eastAsia="宋体" w:cs="Times New Roman"/>
          <w:color w:val="auto"/>
          <w:sz w:val="24"/>
          <w:highlight w:val="none"/>
          <w:u w:val="single"/>
          <w:lang w:val="en-US" w:eastAsia="zh-CN"/>
        </w:rPr>
        <w:t>项目拟按照政府直接投资和广州仲裁委自筹资金相结合的方式建设，建设资金按市、区入驻机构及广州仲裁委面积分摊，政府直接投资部分由市、区财政分级保障，其中市基本建设统筹金占56.59%（48559万元）、区财政统筹占9.07%（7783万元），广州仲裁委投入占34.34%（29466万元）</w:t>
      </w:r>
      <w:r>
        <w:rPr>
          <w:rFonts w:hint="eastAsia" w:ascii="宋体" w:hAnsi="宋体" w:cs="宋体"/>
          <w:bCs/>
          <w:color w:val="auto"/>
          <w:kern w:val="0"/>
          <w:sz w:val="24"/>
          <w:szCs w:val="24"/>
          <w:highlight w:val="none"/>
        </w:rPr>
        <w:t>。</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（6）本合同工程设计合理使用年限为</w:t>
      </w:r>
      <w:r>
        <w:rPr>
          <w:rFonts w:hint="eastAsia" w:ascii="宋体" w:hAnsi="宋体" w:cs="宋体"/>
          <w:bCs/>
          <w:color w:val="auto"/>
          <w:kern w:val="0"/>
          <w:sz w:val="24"/>
          <w:szCs w:val="24"/>
          <w:highlight w:val="none"/>
          <w:u w:val="single"/>
        </w:rPr>
        <w:t>50</w:t>
      </w:r>
      <w:r>
        <w:rPr>
          <w:rFonts w:hint="eastAsia" w:ascii="宋体" w:hAnsi="宋体" w:cs="宋体"/>
          <w:color w:val="auto"/>
          <w:kern w:val="0"/>
          <w:sz w:val="24"/>
          <w:szCs w:val="24"/>
          <w:highlight w:val="none"/>
        </w:rPr>
        <w:t>年（主体结构）。</w:t>
      </w:r>
    </w:p>
    <w:p>
      <w:pPr>
        <w:adjustRightInd w:val="0"/>
        <w:snapToGrid w:val="0"/>
        <w:spacing w:line="360" w:lineRule="auto"/>
        <w:ind w:right="11" w:firstLine="482" w:firstLineChars="200"/>
        <w:outlineLvl w:val="2"/>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2、勘察设计总承包范围、内容和方式</w:t>
      </w:r>
    </w:p>
    <w:p>
      <w:pPr>
        <w:adjustRightInd w:val="0"/>
        <w:snapToGrid w:val="0"/>
        <w:spacing w:line="360" w:lineRule="auto"/>
        <w:ind w:right="11"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2.1</w:t>
      </w:r>
      <w:r>
        <w:rPr>
          <w:rFonts w:hint="eastAsia" w:ascii="宋体" w:hAnsi="宋体" w:cs="宋体"/>
          <w:color w:val="auto"/>
          <w:kern w:val="0"/>
          <w:sz w:val="24"/>
          <w:szCs w:val="24"/>
          <w:highlight w:val="none"/>
        </w:rPr>
        <w:t>勘察设计总承包范围和内容：</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2.1.1工程范围：</w:t>
      </w:r>
    </w:p>
    <w:p>
      <w:pPr>
        <w:adjustRightInd w:val="0"/>
        <w:snapToGrid w:val="0"/>
        <w:spacing w:line="360" w:lineRule="auto"/>
        <w:ind w:right="11" w:firstLine="480" w:firstLineChars="200"/>
        <w:rPr>
          <w:rFonts w:hint="eastAsia" w:ascii="宋体" w:hAnsi="宋体" w:cs="宋体"/>
          <w:color w:val="auto"/>
          <w:sz w:val="24"/>
          <w:szCs w:val="24"/>
          <w:highlight w:val="none"/>
          <w:u w:val="single"/>
        </w:rPr>
      </w:pPr>
      <w:r>
        <w:rPr>
          <w:rFonts w:hint="eastAsia" w:ascii="宋体" w:hAnsi="宋体" w:eastAsia="宋体" w:cs="Times New Roman"/>
          <w:color w:val="auto"/>
          <w:sz w:val="24"/>
          <w:highlight w:val="none"/>
          <w:u w:val="single"/>
          <w:lang w:val="en-US" w:eastAsia="zh-CN"/>
        </w:rPr>
        <w:t>项目用地面积 5400 平方米，项目总建筑面积99374平方米，地上建筑面积80974平方米，地下建筑面积18400平方米，单体建筑面积99374平方米，建筑高度191米。建设内容包括建筑工程、安装工程、室外道路广场和绿化工程等。</w:t>
      </w:r>
      <w:r>
        <w:rPr>
          <w:rFonts w:hint="eastAsia" w:ascii="宋体" w:hAnsi="宋体" w:eastAsia="宋体" w:cs="Times New Roman"/>
          <w:b/>
          <w:bCs/>
          <w:color w:val="auto"/>
          <w:sz w:val="24"/>
          <w:highlight w:val="none"/>
          <w:u w:val="single"/>
          <w:lang w:eastAsia="zh-CN"/>
        </w:rPr>
        <w:t>本项目拟按</w:t>
      </w:r>
      <w:r>
        <w:rPr>
          <w:rFonts w:hint="eastAsia" w:ascii="宋体" w:hAnsi="宋体" w:eastAsia="宋体" w:cs="Times New Roman"/>
          <w:b/>
          <w:bCs/>
          <w:color w:val="auto"/>
          <w:sz w:val="24"/>
          <w:highlight w:val="none"/>
          <w:u w:val="single"/>
          <w:lang w:val="en-US" w:eastAsia="zh-CN"/>
        </w:rPr>
        <w:t>超低能耗建筑、绿色建筑三星</w:t>
      </w:r>
      <w:r>
        <w:rPr>
          <w:rFonts w:hint="eastAsia" w:ascii="宋体" w:hAnsi="宋体" w:eastAsia="宋体" w:cs="Times New Roman"/>
          <w:b/>
          <w:bCs/>
          <w:color w:val="auto"/>
          <w:sz w:val="24"/>
          <w:highlight w:val="none"/>
          <w:u w:val="single"/>
          <w:lang w:eastAsia="zh-CN"/>
        </w:rPr>
        <w:t>标准进行建设。</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2.1.2工作内容：</w:t>
      </w:r>
    </w:p>
    <w:p>
      <w:pPr>
        <w:keepNext w:val="0"/>
        <w:keepLines w:val="0"/>
        <w:widowControl w:val="0"/>
        <w:suppressLineNumbers w:val="0"/>
        <w:adjustRightInd w:val="0"/>
        <w:snapToGrid w:val="0"/>
        <w:spacing w:before="0" w:beforeAutospacing="0" w:after="0" w:afterAutospacing="0" w:line="360" w:lineRule="auto"/>
        <w:ind w:left="0" w:right="0" w:firstLine="482"/>
        <w:jc w:val="both"/>
        <w:rPr>
          <w:rFonts w:ascii="宋体" w:hAnsi="宋体" w:cs="宋体"/>
          <w:color w:val="auto"/>
          <w:sz w:val="24"/>
          <w:szCs w:val="24"/>
          <w:highlight w:val="none"/>
        </w:rPr>
      </w:pPr>
      <w:r>
        <w:rPr>
          <w:rFonts w:hint="eastAsia" w:ascii="宋体" w:hAnsi="宋体" w:cs="宋体"/>
          <w:color w:val="auto"/>
          <w:sz w:val="24"/>
          <w:szCs w:val="24"/>
          <w:highlight w:val="none"/>
        </w:rPr>
        <w:t>乙方需根据基础资料、</w:t>
      </w:r>
      <w:r>
        <w:rPr>
          <w:rFonts w:ascii="宋体" w:hAnsi="宋体" w:cs="宋体"/>
          <w:color w:val="auto"/>
          <w:sz w:val="24"/>
          <w:szCs w:val="24"/>
          <w:highlight w:val="none"/>
        </w:rPr>
        <w:t>勘察设计任务书</w:t>
      </w:r>
      <w:r>
        <w:rPr>
          <w:rFonts w:hint="eastAsia" w:ascii="宋体" w:hAnsi="宋体" w:cs="宋体"/>
          <w:color w:val="auto"/>
          <w:sz w:val="24"/>
          <w:szCs w:val="24"/>
          <w:highlight w:val="none"/>
        </w:rPr>
        <w:t>要求，完成本项目</w:t>
      </w:r>
      <w:r>
        <w:rPr>
          <w:rFonts w:hint="eastAsia" w:ascii="宋体" w:hAnsi="宋体" w:eastAsia="宋体" w:cs="宋体"/>
          <w:color w:val="auto"/>
          <w:kern w:val="2"/>
          <w:sz w:val="24"/>
          <w:szCs w:val="24"/>
          <w:highlight w:val="none"/>
          <w:u w:val="single"/>
          <w:lang w:val="en-US" w:eastAsia="zh-CN" w:bidi="ar"/>
        </w:rPr>
        <w:t>立项及可行性研究报告批复</w:t>
      </w:r>
      <w:r>
        <w:rPr>
          <w:rFonts w:hint="eastAsia" w:ascii="宋体" w:hAnsi="宋体" w:eastAsia="宋体" w:cs="Times New Roman"/>
          <w:color w:val="auto"/>
          <w:sz w:val="24"/>
          <w:highlight w:val="none"/>
          <w:u w:val="single"/>
          <w:lang w:val="en-US" w:eastAsia="zh-CN"/>
        </w:rPr>
        <w:t>范围内</w:t>
      </w:r>
      <w:r>
        <w:rPr>
          <w:rFonts w:hint="eastAsia" w:ascii="Calibri" w:hAnsi="Calibri" w:eastAsia="宋体" w:cs="宋体"/>
          <w:color w:val="auto"/>
          <w:sz w:val="24"/>
          <w:highlight w:val="none"/>
          <w:u w:val="single"/>
        </w:rPr>
        <w:t>所涉及建设内容的全部勘察设计工作</w:t>
      </w:r>
      <w:r>
        <w:rPr>
          <w:rFonts w:ascii="宋体" w:hAnsi="宋体" w:cs="宋体"/>
          <w:color w:val="auto"/>
          <w:sz w:val="24"/>
          <w:szCs w:val="24"/>
          <w:highlight w:val="none"/>
        </w:rPr>
        <w:t>及满足项目验收与投入使用必须实施建设内容的勘察设计工作</w:t>
      </w:r>
      <w:r>
        <w:rPr>
          <w:rFonts w:hint="eastAsia" w:ascii="宋体" w:hAnsi="宋体" w:cs="宋体"/>
          <w:color w:val="auto"/>
          <w:sz w:val="24"/>
          <w:szCs w:val="24"/>
          <w:highlight w:val="none"/>
        </w:rPr>
        <w:t>，包括但不限于：</w:t>
      </w:r>
    </w:p>
    <w:p>
      <w:pPr>
        <w:adjustRightInd w:val="0"/>
        <w:snapToGrid w:val="0"/>
        <w:spacing w:line="360" w:lineRule="auto"/>
        <w:ind w:right="11" w:firstLine="470" w:firstLineChars="196"/>
        <w:rPr>
          <w:rFonts w:ascii="宋体" w:hAnsi="宋体" w:cs="宋体"/>
          <w:color w:val="auto"/>
          <w:sz w:val="24"/>
          <w:szCs w:val="24"/>
          <w:highlight w:val="none"/>
        </w:rPr>
      </w:pPr>
      <w:r>
        <w:rPr>
          <w:rFonts w:hint="eastAsia" w:ascii="宋体" w:hAnsi="宋体" w:cs="宋体"/>
          <w:color w:val="auto"/>
          <w:sz w:val="24"/>
          <w:szCs w:val="24"/>
          <w:highlight w:val="none"/>
        </w:rPr>
        <w:t>（1）工程勘察工作：岩土工程勘察，包括但不限于初步勘察、详细勘察工作。</w:t>
      </w:r>
    </w:p>
    <w:p>
      <w:pPr>
        <w:keepNext w:val="0"/>
        <w:keepLines w:val="0"/>
        <w:widowControl w:val="0"/>
        <w:suppressLineNumbers w:val="0"/>
        <w:adjustRightInd w:val="0"/>
        <w:snapToGrid w:val="0"/>
        <w:spacing w:before="0" w:beforeAutospacing="0" w:after="0" w:afterAutospacing="0" w:line="360" w:lineRule="auto"/>
        <w:ind w:left="0" w:right="0" w:firstLine="470" w:firstLineChars="196"/>
        <w:jc w:val="both"/>
        <w:rPr>
          <w:rFonts w:ascii="宋体" w:hAnsi="宋体"/>
          <w:color w:val="auto"/>
          <w:sz w:val="24"/>
          <w:szCs w:val="24"/>
          <w:highlight w:val="none"/>
        </w:rPr>
      </w:pPr>
      <w:r>
        <w:rPr>
          <w:rFonts w:hint="eastAsia" w:ascii="宋体" w:hAnsi="宋体" w:cs="宋体"/>
          <w:color w:val="auto"/>
          <w:sz w:val="24"/>
          <w:szCs w:val="24"/>
          <w:highlight w:val="none"/>
        </w:rPr>
        <w:t>（2）现状摸查及编制摸查报告：包含但不限于项目概况、项目现状、地下管线、周边市政条件、</w:t>
      </w:r>
      <w:r>
        <w:rPr>
          <w:rFonts w:hint="eastAsia" w:ascii="宋体" w:hAnsi="宋体" w:cs="宋体"/>
          <w:snapToGrid w:val="0"/>
          <w:color w:val="auto"/>
          <w:kern w:val="0"/>
          <w:sz w:val="24"/>
          <w:highlight w:val="none"/>
          <w:lang w:bidi="ar"/>
        </w:rPr>
        <w:sym w:font="Wingdings 2" w:char="F053"/>
      </w:r>
      <w:r>
        <w:rPr>
          <w:rFonts w:hint="eastAsia" w:ascii="宋体" w:hAnsi="宋体" w:cs="宋体"/>
          <w:color w:val="auto"/>
          <w:sz w:val="24"/>
          <w:szCs w:val="24"/>
          <w:highlight w:val="none"/>
        </w:rPr>
        <w:t>历史文化保护传承对象摸查情况、</w:t>
      </w:r>
      <w:r>
        <w:rPr>
          <w:rFonts w:hint="eastAsia" w:ascii="宋体" w:hAnsi="宋体" w:cs="宋体"/>
          <w:snapToGrid w:val="0"/>
          <w:color w:val="auto"/>
          <w:kern w:val="0"/>
          <w:sz w:val="24"/>
          <w:highlight w:val="none"/>
          <w:lang w:bidi="ar"/>
        </w:rPr>
        <w:sym w:font="Wingdings 2" w:char="F053"/>
      </w:r>
      <w:r>
        <w:rPr>
          <w:rFonts w:hint="eastAsia" w:ascii="宋体" w:hAnsi="宋体" w:cs="宋体"/>
          <w:color w:val="auto"/>
          <w:sz w:val="24"/>
          <w:szCs w:val="24"/>
          <w:highlight w:val="none"/>
        </w:rPr>
        <w:t>树木资源摸查情况、报批报建工作进展、勘察设计工作进展、建设工作界面、勘察设计工作计划</w:t>
      </w:r>
      <w:r>
        <w:rPr>
          <w:rFonts w:ascii="宋体" w:hAnsi="宋体" w:cs="宋体"/>
          <w:color w:val="auto"/>
          <w:sz w:val="24"/>
          <w:szCs w:val="24"/>
          <w:highlight w:val="none"/>
        </w:rPr>
        <w:t>，</w:t>
      </w:r>
      <w:r>
        <w:rPr>
          <w:rFonts w:hint="eastAsia" w:ascii="宋体" w:hAnsi="宋体" w:eastAsia="宋体" w:cs="宋体"/>
          <w:color w:val="auto"/>
          <w:kern w:val="2"/>
          <w:sz w:val="24"/>
          <w:szCs w:val="24"/>
          <w:highlight w:val="none"/>
          <w:lang w:val="en-US" w:eastAsia="zh-CN" w:bidi="ar"/>
        </w:rPr>
        <w:t>项目建设与用地、规划、历史文化、树木保护、环境保护、水域及耕地保护等法规政策的符合性复核，</w:t>
      </w:r>
      <w:r>
        <w:rPr>
          <w:rFonts w:hint="eastAsia" w:ascii="宋体" w:hAnsi="宋体" w:cs="宋体"/>
          <w:color w:val="auto"/>
          <w:sz w:val="24"/>
          <w:szCs w:val="24"/>
          <w:highlight w:val="none"/>
        </w:rPr>
        <w:t>存在的问题及相关建议等内容，前期摸查报告经甲方审核通过后视为完成。</w:t>
      </w:r>
    </w:p>
    <w:p>
      <w:pPr>
        <w:adjustRightInd w:val="0"/>
        <w:snapToGrid w:val="0"/>
        <w:spacing w:line="360" w:lineRule="auto"/>
        <w:ind w:right="11" w:firstLine="482"/>
        <w:rPr>
          <w:rFonts w:ascii="宋体" w:hAnsi="宋体"/>
          <w:color w:val="auto"/>
          <w:sz w:val="24"/>
          <w:szCs w:val="24"/>
          <w:highlight w:val="none"/>
        </w:rPr>
      </w:pPr>
      <w:r>
        <w:rPr>
          <w:rFonts w:hint="eastAsia" w:ascii="宋体" w:hAnsi="宋体" w:cs="宋体"/>
          <w:snapToGrid w:val="0"/>
          <w:color w:val="auto"/>
          <w:kern w:val="0"/>
          <w:sz w:val="24"/>
          <w:highlight w:val="none"/>
          <w:lang w:bidi="ar"/>
        </w:rPr>
        <w:sym w:font="Wingdings 2" w:char="F053"/>
      </w:r>
      <w:r>
        <w:rPr>
          <w:rFonts w:hint="eastAsia" w:ascii="宋体" w:hAnsi="宋体" w:cs="宋体"/>
          <w:color w:val="auto"/>
          <w:sz w:val="24"/>
          <w:szCs w:val="24"/>
          <w:highlight w:val="none"/>
        </w:rPr>
        <w:t>1)历史文化保护传承对象摸查：对照本市公布的《历史建筑名录》及《传统风貌建筑保护名录》，全面核查拟建设范围是否存在历史文化保护传承对象，及其具体位置、详细现状、保护内容、保护要求、保护措施等情况；同时排查是否存在需要拆迁的建（构）筑物；</w:t>
      </w:r>
    </w:p>
    <w:p>
      <w:pPr>
        <w:adjustRightInd w:val="0"/>
        <w:snapToGrid w:val="0"/>
        <w:spacing w:line="360" w:lineRule="auto"/>
        <w:ind w:right="11" w:firstLine="482"/>
        <w:rPr>
          <w:rFonts w:ascii="宋体" w:hAnsi="宋体"/>
          <w:color w:val="auto"/>
          <w:sz w:val="24"/>
          <w:szCs w:val="24"/>
          <w:highlight w:val="none"/>
        </w:rPr>
      </w:pPr>
      <w:r>
        <w:rPr>
          <w:rFonts w:hint="eastAsia" w:ascii="宋体" w:hAnsi="宋体" w:cs="宋体"/>
          <w:snapToGrid w:val="0"/>
          <w:color w:val="auto"/>
          <w:kern w:val="0"/>
          <w:sz w:val="24"/>
          <w:highlight w:val="none"/>
          <w:lang w:bidi="ar"/>
        </w:rPr>
        <w:sym w:font="Wingdings 2" w:char="F053"/>
      </w:r>
      <w:r>
        <w:rPr>
          <w:rFonts w:hint="eastAsia" w:ascii="宋体" w:hAnsi="宋体" w:cs="宋体"/>
          <w:color w:val="auto"/>
          <w:sz w:val="24"/>
          <w:szCs w:val="24"/>
          <w:highlight w:val="none"/>
        </w:rPr>
        <w:t>2)树木资源摸查：具体包括所有树木的种类、数量、位置、胸径规格、生长状况、立地条件、保护设施现状等情况摸查，其中大树、古树名木、古树后续资源需要有定位坐标（要求“一树一档”），古树名木、古树后续资源需要进行健康状况及安全性综合评估等；若发现严重病虫害、死亡的，还需提供专业机构的鉴定报告作为依据。</w:t>
      </w:r>
    </w:p>
    <w:p>
      <w:pPr>
        <w:adjustRightInd w:val="0"/>
        <w:snapToGrid w:val="0"/>
        <w:spacing w:line="360" w:lineRule="auto"/>
        <w:ind w:right="11" w:firstLine="482"/>
        <w:rPr>
          <w:rFonts w:ascii="宋体" w:hAnsi="宋体" w:cs="宋体"/>
          <w:color w:val="auto"/>
          <w:sz w:val="24"/>
          <w:szCs w:val="24"/>
          <w:highlight w:val="none"/>
        </w:rPr>
      </w:pPr>
      <w:r>
        <w:rPr>
          <w:rFonts w:hint="eastAsia" w:ascii="宋体" w:hAnsi="宋体" w:cs="宋体"/>
          <w:color w:val="auto"/>
          <w:sz w:val="24"/>
          <w:szCs w:val="24"/>
          <w:highlight w:val="none"/>
        </w:rPr>
        <w:t>（3）设计方案报审工作(含修建性详细规划调整工作</w:t>
      </w:r>
      <w:r>
        <w:rPr>
          <w:rFonts w:ascii="宋体" w:hAnsi="宋体" w:cs="宋体"/>
          <w:color w:val="auto"/>
          <w:sz w:val="24"/>
          <w:szCs w:val="24"/>
          <w:highlight w:val="none"/>
        </w:rPr>
        <w:t>，如需</w:t>
      </w:r>
      <w:r>
        <w:rPr>
          <w:rFonts w:hint="eastAsia" w:ascii="宋体" w:hAnsi="宋体" w:cs="宋体"/>
          <w:color w:val="auto"/>
          <w:sz w:val="24"/>
          <w:szCs w:val="24"/>
          <w:highlight w:val="none"/>
        </w:rPr>
        <w:t>）：在编制设计方案过程中，根据业主需求对实际功能布局进行深化优化，在现行政策规定下完成设计方案审查并同步推进控制性详细规划修正。设计方案审查范围包括总平面及竖向规划设计、管线综合设计、建筑布局、交通组织、景观绿化、建筑平立面、环境节能保护等（具体以甲方要求</w:t>
      </w:r>
      <w:r>
        <w:rPr>
          <w:rFonts w:hint="eastAsia" w:ascii="宋体" w:hAnsi="宋体" w:cs="宋体"/>
          <w:color w:val="auto"/>
          <w:kern w:val="0"/>
          <w:sz w:val="24"/>
          <w:szCs w:val="24"/>
          <w:highlight w:val="none"/>
        </w:rPr>
        <w:t>及规划报建主管部门最新政策要求</w:t>
      </w:r>
      <w:r>
        <w:rPr>
          <w:rFonts w:hint="eastAsia" w:ascii="宋体" w:hAnsi="宋体" w:cs="宋体"/>
          <w:color w:val="auto"/>
          <w:sz w:val="24"/>
          <w:szCs w:val="24"/>
          <w:highlight w:val="none"/>
        </w:rPr>
        <w:t>为准）。</w:t>
      </w:r>
    </w:p>
    <w:p>
      <w:pPr>
        <w:keepNext w:val="0"/>
        <w:keepLines w:val="0"/>
        <w:widowControl w:val="0"/>
        <w:suppressLineNumbers w:val="0"/>
        <w:adjustRightInd w:val="0"/>
        <w:snapToGrid w:val="0"/>
        <w:spacing w:before="0" w:beforeAutospacing="0" w:after="0" w:afterAutospacing="0" w:line="360" w:lineRule="auto"/>
        <w:ind w:left="0" w:right="0" w:firstLine="482"/>
        <w:jc w:val="both"/>
        <w:rPr>
          <w:rFonts w:ascii="宋体" w:hAnsi="宋体" w:cs="宋体"/>
          <w:color w:val="auto"/>
          <w:sz w:val="24"/>
          <w:szCs w:val="24"/>
          <w:highlight w:val="none"/>
        </w:rPr>
      </w:pPr>
      <w:r>
        <w:rPr>
          <w:rFonts w:hint="eastAsia" w:ascii="宋体" w:hAnsi="宋体" w:cs="宋体"/>
          <w:color w:val="auto"/>
          <w:sz w:val="24"/>
          <w:szCs w:val="24"/>
          <w:highlight w:val="none"/>
        </w:rPr>
        <w:t>（4）设计主要阶段工作内容：</w:t>
      </w:r>
      <w:r>
        <w:rPr>
          <w:rFonts w:ascii="宋体" w:hAnsi="宋体" w:cs="宋体"/>
          <w:color w:val="auto"/>
          <w:sz w:val="24"/>
          <w:szCs w:val="24"/>
          <w:highlight w:val="none"/>
        </w:rPr>
        <w:t>负责</w:t>
      </w:r>
      <w:r>
        <w:rPr>
          <w:rFonts w:hint="eastAsia" w:ascii="宋体" w:hAnsi="宋体" w:cs="宋体"/>
          <w:color w:val="auto"/>
          <w:sz w:val="24"/>
          <w:szCs w:val="24"/>
          <w:highlight w:val="none"/>
        </w:rPr>
        <w:t>方案设计、初步设计、施工图设计、</w:t>
      </w:r>
      <w:r>
        <w:rPr>
          <w:rFonts w:ascii="宋体" w:hAnsi="宋体" w:cs="宋体"/>
          <w:color w:val="auto"/>
          <w:sz w:val="24"/>
          <w:szCs w:val="24"/>
          <w:highlight w:val="none"/>
        </w:rPr>
        <w:t>完整版施工图编制和竣工图审核工作</w:t>
      </w:r>
      <w:r>
        <w:rPr>
          <w:rFonts w:hint="eastAsia" w:ascii="宋体" w:hAnsi="宋体" w:cs="宋体"/>
          <w:color w:val="auto"/>
          <w:sz w:val="24"/>
          <w:szCs w:val="24"/>
          <w:highlight w:val="none"/>
        </w:rPr>
        <w:t>。包括但不限于:总平面规划、建筑、结构、</w:t>
      </w:r>
      <w:r>
        <w:rPr>
          <w:rFonts w:ascii="宋体" w:hAnsi="宋体" w:cs="宋体"/>
          <w:color w:val="auto"/>
          <w:sz w:val="24"/>
          <w:szCs w:val="24"/>
          <w:highlight w:val="none"/>
        </w:rPr>
        <w:t>人防、</w:t>
      </w:r>
      <w:r>
        <w:rPr>
          <w:rFonts w:hint="eastAsia" w:ascii="宋体" w:hAnsi="宋体" w:cs="宋体"/>
          <w:color w:val="auto"/>
          <w:sz w:val="24"/>
          <w:szCs w:val="24"/>
          <w:highlight w:val="none"/>
        </w:rPr>
        <w:t>临水、临电、施工围墙、施工便道、临时板房、景观绿化、旗杆、幕墙、消防、给排水、电气、建筑智能化系统、暖通、</w:t>
      </w:r>
      <w:r>
        <w:rPr>
          <w:rFonts w:ascii="宋体" w:hAnsi="宋体" w:cs="宋体"/>
          <w:color w:val="auto"/>
          <w:sz w:val="24"/>
          <w:szCs w:val="24"/>
          <w:highlight w:val="none"/>
        </w:rPr>
        <w:t>室内装修、电梯、</w:t>
      </w:r>
      <w:r>
        <w:rPr>
          <w:rFonts w:hint="eastAsia" w:ascii="宋体" w:hAnsi="宋体" w:cs="宋体"/>
          <w:color w:val="auto"/>
          <w:sz w:val="24"/>
          <w:szCs w:val="24"/>
          <w:highlight w:val="none"/>
        </w:rPr>
        <w:t>安防设计、标识导引系统、防雷、环保工程、</w:t>
      </w:r>
      <w:r>
        <w:rPr>
          <w:rFonts w:ascii="宋体" w:hAnsi="宋体" w:cs="宋体"/>
          <w:color w:val="auto"/>
          <w:sz w:val="24"/>
          <w:szCs w:val="24"/>
          <w:highlight w:val="none"/>
        </w:rPr>
        <w:t>室外市政、园林工程、市政道路、市政管线、</w:t>
      </w:r>
      <w:r>
        <w:rPr>
          <w:rFonts w:hint="eastAsia" w:ascii="宋体" w:hAnsi="宋体" w:cs="宋体"/>
          <w:color w:val="auto"/>
          <w:sz w:val="24"/>
          <w:szCs w:val="24"/>
          <w:highlight w:val="none"/>
        </w:rPr>
        <w:t>管线综合平衡、设备选型意见</w:t>
      </w:r>
      <w:r>
        <w:rPr>
          <w:rFonts w:hint="default" w:ascii="宋体" w:hAnsi="宋体" w:cs="宋体"/>
          <w:color w:val="auto"/>
          <w:sz w:val="24"/>
          <w:szCs w:val="24"/>
          <w:highlight w:val="none"/>
        </w:rPr>
        <w:t>、</w:t>
      </w:r>
      <w:r>
        <w:rPr>
          <w:rFonts w:hint="eastAsia" w:ascii="宋体" w:hAnsi="宋体" w:eastAsia="宋体" w:cs="宋体"/>
          <w:color w:val="auto"/>
          <w:kern w:val="2"/>
          <w:sz w:val="24"/>
          <w:szCs w:val="24"/>
          <w:highlight w:val="none"/>
          <w:lang w:val="en-US" w:eastAsia="zh-CN" w:bidi="ar"/>
        </w:rPr>
        <w:t>幕墙工程、暗渠改道</w:t>
      </w:r>
      <w:r>
        <w:rPr>
          <w:rFonts w:hint="eastAsia" w:ascii="宋体" w:hAnsi="宋体" w:cs="宋体"/>
          <w:color w:val="auto"/>
          <w:sz w:val="24"/>
          <w:szCs w:val="24"/>
          <w:highlight w:val="none"/>
        </w:rPr>
        <w:t>等</w:t>
      </w:r>
      <w:r>
        <w:rPr>
          <w:rFonts w:ascii="宋体" w:hAnsi="宋体" w:cs="宋体"/>
          <w:color w:val="auto"/>
          <w:sz w:val="24"/>
          <w:szCs w:val="24"/>
          <w:highlight w:val="none"/>
        </w:rPr>
        <w:t>专业内容</w:t>
      </w:r>
      <w:r>
        <w:rPr>
          <w:rFonts w:hint="eastAsia" w:ascii="宋体" w:hAnsi="宋体" w:cs="宋体"/>
          <w:color w:val="auto"/>
          <w:sz w:val="24"/>
          <w:szCs w:val="24"/>
          <w:highlight w:val="none"/>
        </w:rPr>
        <w:t>。</w:t>
      </w:r>
    </w:p>
    <w:p>
      <w:pPr>
        <w:adjustRightInd w:val="0"/>
        <w:snapToGrid w:val="0"/>
        <w:spacing w:line="360" w:lineRule="auto"/>
        <w:ind w:right="11" w:firstLine="482"/>
        <w:rPr>
          <w:rFonts w:hint="eastAsia" w:ascii="宋体" w:hAnsi="宋体" w:cs="宋体"/>
          <w:color w:val="auto"/>
          <w:sz w:val="24"/>
          <w:szCs w:val="24"/>
          <w:highlight w:val="none"/>
        </w:rPr>
      </w:pPr>
      <w:r>
        <w:rPr>
          <w:rFonts w:hint="eastAsia" w:ascii="宋体" w:hAnsi="宋体" w:cs="宋体"/>
          <w:color w:val="auto"/>
          <w:sz w:val="24"/>
          <w:szCs w:val="24"/>
          <w:highlight w:val="none"/>
        </w:rPr>
        <w:t>（5）建筑节能新技术的应用及设计：包括但不限于节能、环保、绿色建筑等专项工程设计。根据绿色建筑相关规定，开展项目绿色建筑设计工作，负责广州绿色建筑施工图备案，并负责绿色建筑设计申报资料，完成并跟进绿色建筑标识认定的申报、推荐、审查、公示、公布等各个环节工作直至获得绿色建筑设计标识。</w:t>
      </w:r>
    </w:p>
    <w:p>
      <w:pPr>
        <w:adjustRightInd w:val="0"/>
        <w:snapToGrid w:val="0"/>
        <w:spacing w:line="360" w:lineRule="auto"/>
        <w:ind w:right="11" w:firstLine="482"/>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6</w:t>
      </w:r>
      <w:r>
        <w:rPr>
          <w:rFonts w:hint="eastAsia" w:ascii="宋体" w:hAnsi="宋体" w:cs="宋体"/>
          <w:color w:val="auto"/>
          <w:sz w:val="24"/>
          <w:szCs w:val="24"/>
          <w:highlight w:val="none"/>
        </w:rPr>
        <w:t>）建筑信息模型（</w:t>
      </w:r>
      <w:r>
        <w:rPr>
          <w:rFonts w:ascii="宋体" w:hAnsi="宋体" w:cs="宋体"/>
          <w:color w:val="auto"/>
          <w:sz w:val="24"/>
          <w:szCs w:val="24"/>
          <w:highlight w:val="none"/>
        </w:rPr>
        <w:t>BIM</w:t>
      </w:r>
      <w:r>
        <w:rPr>
          <w:rFonts w:hint="eastAsia" w:ascii="宋体" w:hAnsi="宋体" w:cs="宋体"/>
          <w:color w:val="auto"/>
          <w:sz w:val="24"/>
          <w:szCs w:val="24"/>
          <w:highlight w:val="none"/>
        </w:rPr>
        <w:t>）技术应用</w:t>
      </w:r>
      <w:r>
        <w:rPr>
          <w:rFonts w:ascii="宋体" w:hAnsi="宋体"/>
          <w:color w:val="auto"/>
          <w:sz w:val="24"/>
          <w:highlight w:val="none"/>
        </w:rPr>
        <w:t>(</w:t>
      </w:r>
      <w:r>
        <w:rPr>
          <w:rFonts w:hint="eastAsia" w:ascii="宋体"/>
          <w:bCs/>
          <w:snapToGrid w:val="0"/>
          <w:color w:val="auto"/>
          <w:kern w:val="0"/>
          <w:sz w:val="24"/>
          <w:highlight w:val="none"/>
        </w:rPr>
        <w:t>√</w:t>
      </w:r>
      <w:r>
        <w:rPr>
          <w:rFonts w:hint="eastAsia" w:ascii="宋体" w:hAnsi="宋体"/>
          <w:color w:val="auto"/>
          <w:kern w:val="0"/>
          <w:sz w:val="24"/>
          <w:highlight w:val="none"/>
        </w:rPr>
        <w:t>设计阶段应用</w:t>
      </w:r>
      <w:r>
        <w:rPr>
          <w:rFonts w:hint="eastAsia" w:ascii="宋体" w:hAnsi="宋体"/>
          <w:color w:val="auto"/>
          <w:sz w:val="24"/>
          <w:highlight w:val="none"/>
        </w:rPr>
        <w:t>、</w:t>
      </w:r>
      <w:r>
        <w:rPr>
          <w:rFonts w:hint="eastAsia" w:ascii="宋体" w:hAnsi="宋体"/>
          <w:bCs/>
          <w:snapToGrid w:val="0"/>
          <w:color w:val="auto"/>
          <w:kern w:val="0"/>
          <w:sz w:val="24"/>
          <w:highlight w:val="none"/>
        </w:rPr>
        <w:t>□</w:t>
      </w:r>
      <w:r>
        <w:rPr>
          <w:rFonts w:hint="eastAsia" w:ascii="宋体" w:hAnsi="宋体"/>
          <w:color w:val="auto"/>
          <w:kern w:val="0"/>
          <w:sz w:val="24"/>
          <w:highlight w:val="none"/>
        </w:rPr>
        <w:t>设计与施工联合应用</w:t>
      </w:r>
      <w:r>
        <w:rPr>
          <w:rFonts w:ascii="宋体" w:hAnsi="宋体"/>
          <w:color w:val="auto"/>
          <w:kern w:val="0"/>
          <w:sz w:val="24"/>
          <w:highlight w:val="none"/>
        </w:rPr>
        <w:t>)</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进行正向</w:t>
      </w:r>
      <w:r>
        <w:rPr>
          <w:rFonts w:ascii="宋体" w:hAnsi="宋体" w:cs="宋体"/>
          <w:color w:val="auto"/>
          <w:sz w:val="24"/>
          <w:szCs w:val="24"/>
          <w:highlight w:val="none"/>
        </w:rPr>
        <w:t>BIM</w:t>
      </w:r>
      <w:r>
        <w:rPr>
          <w:rFonts w:hint="eastAsia" w:ascii="宋体" w:hAnsi="宋体" w:cs="宋体"/>
          <w:color w:val="auto"/>
          <w:sz w:val="24"/>
          <w:szCs w:val="24"/>
          <w:highlight w:val="none"/>
        </w:rPr>
        <w:t>设计，本项目要求充分运用</w:t>
      </w:r>
      <w:r>
        <w:rPr>
          <w:rFonts w:ascii="宋体" w:hAnsi="宋体" w:cs="宋体"/>
          <w:color w:val="auto"/>
          <w:sz w:val="24"/>
          <w:szCs w:val="24"/>
          <w:highlight w:val="none"/>
        </w:rPr>
        <w:t>BIM</w:t>
      </w:r>
      <w:r>
        <w:rPr>
          <w:rFonts w:hint="eastAsia" w:ascii="宋体" w:hAnsi="宋体" w:cs="宋体"/>
          <w:color w:val="auto"/>
          <w:sz w:val="24"/>
          <w:szCs w:val="24"/>
          <w:highlight w:val="none"/>
        </w:rPr>
        <w:t>技术，要求在项目前期编制全过程</w:t>
      </w:r>
      <w:r>
        <w:rPr>
          <w:rFonts w:ascii="宋体" w:hAnsi="宋体" w:cs="宋体"/>
          <w:color w:val="auto"/>
          <w:sz w:val="24"/>
          <w:szCs w:val="24"/>
          <w:highlight w:val="none"/>
        </w:rPr>
        <w:t>BIM</w:t>
      </w:r>
      <w:r>
        <w:rPr>
          <w:rFonts w:hint="eastAsia" w:ascii="宋体" w:hAnsi="宋体" w:cs="宋体"/>
          <w:color w:val="auto"/>
          <w:sz w:val="24"/>
          <w:szCs w:val="24"/>
          <w:highlight w:val="none"/>
        </w:rPr>
        <w:t>实施规划，组织编制设计阶段</w:t>
      </w:r>
      <w:r>
        <w:rPr>
          <w:rFonts w:ascii="宋体" w:hAnsi="宋体" w:cs="宋体"/>
          <w:color w:val="auto"/>
          <w:sz w:val="24"/>
          <w:szCs w:val="24"/>
          <w:highlight w:val="none"/>
        </w:rPr>
        <w:t>BIM</w:t>
      </w:r>
      <w:r>
        <w:rPr>
          <w:rFonts w:hint="eastAsia" w:ascii="宋体" w:hAnsi="宋体" w:cs="宋体"/>
          <w:color w:val="auto"/>
          <w:sz w:val="24"/>
          <w:szCs w:val="24"/>
          <w:highlight w:val="none"/>
        </w:rPr>
        <w:t>任务书、划分工作界面和技术管理要求；利用</w:t>
      </w:r>
      <w:r>
        <w:rPr>
          <w:rFonts w:ascii="宋体" w:hAnsi="宋体" w:cs="宋体"/>
          <w:color w:val="auto"/>
          <w:sz w:val="24"/>
          <w:szCs w:val="24"/>
          <w:highlight w:val="none"/>
        </w:rPr>
        <w:t>BIM</w:t>
      </w:r>
      <w:r>
        <w:rPr>
          <w:rFonts w:hint="eastAsia" w:ascii="宋体" w:hAnsi="宋体" w:cs="宋体"/>
          <w:color w:val="auto"/>
          <w:sz w:val="24"/>
          <w:szCs w:val="24"/>
          <w:highlight w:val="none"/>
        </w:rPr>
        <w:t>模块进行参数化设计、虚拟仿真漫游、日照能耗分析、交通线规划、面积统计、结构分析、风向分析、环境分析、疏散模拟、造价分析等等；利用</w:t>
      </w:r>
      <w:r>
        <w:rPr>
          <w:rFonts w:ascii="宋体" w:hAnsi="宋体" w:cs="宋体"/>
          <w:color w:val="auto"/>
          <w:sz w:val="24"/>
          <w:szCs w:val="24"/>
          <w:highlight w:val="none"/>
        </w:rPr>
        <w:t>BIM</w:t>
      </w:r>
      <w:r>
        <w:rPr>
          <w:rFonts w:hint="eastAsia" w:ascii="宋体" w:hAnsi="宋体" w:cs="宋体"/>
          <w:color w:val="auto"/>
          <w:sz w:val="24"/>
          <w:szCs w:val="24"/>
          <w:highlight w:val="none"/>
        </w:rPr>
        <w:t>模型进行设计协调及优化</w:t>
      </w:r>
      <w:r>
        <w:rPr>
          <w:rFonts w:ascii="宋体" w:cs="宋体"/>
          <w:color w:val="auto"/>
          <w:sz w:val="24"/>
          <w:szCs w:val="24"/>
          <w:highlight w:val="none"/>
        </w:rPr>
        <w:t>,</w:t>
      </w:r>
      <w:r>
        <w:rPr>
          <w:rFonts w:hint="eastAsia" w:ascii="宋体" w:hAnsi="宋体" w:cs="宋体"/>
          <w:color w:val="auto"/>
          <w:sz w:val="24"/>
          <w:szCs w:val="24"/>
          <w:highlight w:val="none"/>
        </w:rPr>
        <w:t>完成设计方案复核、碰撞检测、三维管线综合、竖向净空优化等</w:t>
      </w:r>
      <w:r>
        <w:rPr>
          <w:rFonts w:ascii="宋体" w:hAnsi="宋体" w:cs="宋体"/>
          <w:color w:val="auto"/>
          <w:sz w:val="24"/>
          <w:szCs w:val="24"/>
          <w:highlight w:val="none"/>
        </w:rPr>
        <w:t>BIM</w:t>
      </w:r>
      <w:r>
        <w:rPr>
          <w:rFonts w:hint="eastAsia" w:ascii="宋体" w:hAnsi="宋体" w:cs="宋体"/>
          <w:color w:val="auto"/>
          <w:sz w:val="24"/>
          <w:szCs w:val="24"/>
          <w:highlight w:val="none"/>
        </w:rPr>
        <w:t>应用，并提交相应的成果报告；组织、参与</w:t>
      </w:r>
      <w:r>
        <w:rPr>
          <w:rFonts w:ascii="宋体" w:hAnsi="宋体" w:cs="宋体"/>
          <w:color w:val="auto"/>
          <w:sz w:val="24"/>
          <w:szCs w:val="24"/>
          <w:highlight w:val="none"/>
        </w:rPr>
        <w:t>BIM</w:t>
      </w:r>
      <w:r>
        <w:rPr>
          <w:rFonts w:hint="eastAsia" w:ascii="宋体" w:hAnsi="宋体" w:cs="宋体"/>
          <w:color w:val="auto"/>
          <w:sz w:val="24"/>
          <w:szCs w:val="24"/>
          <w:highlight w:val="none"/>
        </w:rPr>
        <w:t>专题会、协调会；对</w:t>
      </w:r>
      <w:r>
        <w:rPr>
          <w:rFonts w:ascii="宋体" w:hAnsi="宋体" w:cs="宋体"/>
          <w:color w:val="auto"/>
          <w:sz w:val="24"/>
          <w:szCs w:val="24"/>
          <w:highlight w:val="none"/>
        </w:rPr>
        <w:t>BIM</w:t>
      </w:r>
      <w:r>
        <w:rPr>
          <w:rFonts w:hint="eastAsia" w:ascii="宋体" w:hAnsi="宋体" w:cs="宋体"/>
          <w:color w:val="auto"/>
          <w:sz w:val="24"/>
          <w:szCs w:val="24"/>
          <w:highlight w:val="none"/>
        </w:rPr>
        <w:t>数据进行管理和维护，充分考虑</w:t>
      </w:r>
      <w:r>
        <w:rPr>
          <w:rFonts w:ascii="宋体" w:hAnsi="宋体" w:cs="宋体"/>
          <w:color w:val="auto"/>
          <w:sz w:val="24"/>
          <w:szCs w:val="24"/>
          <w:highlight w:val="none"/>
        </w:rPr>
        <w:t>BIM</w:t>
      </w:r>
      <w:r>
        <w:rPr>
          <w:rFonts w:hint="eastAsia" w:ascii="宋体" w:hAnsi="宋体" w:cs="宋体"/>
          <w:color w:val="auto"/>
          <w:sz w:val="24"/>
          <w:szCs w:val="24"/>
          <w:highlight w:val="none"/>
        </w:rPr>
        <w:t>成果的复用性和沿用性，有效衔接施工管理工作。</w:t>
      </w:r>
      <w:r>
        <w:rPr>
          <w:rFonts w:ascii="宋体" w:hAnsi="宋体" w:cs="宋体"/>
          <w:color w:val="auto"/>
          <w:sz w:val="24"/>
          <w:szCs w:val="24"/>
          <w:highlight w:val="none"/>
        </w:rPr>
        <w:t>BIM</w:t>
      </w:r>
      <w:r>
        <w:rPr>
          <w:rFonts w:hint="eastAsia" w:ascii="宋体" w:hAnsi="宋体" w:cs="宋体"/>
          <w:color w:val="auto"/>
          <w:sz w:val="24"/>
          <w:szCs w:val="24"/>
          <w:highlight w:val="none"/>
        </w:rPr>
        <w:t>技术造价应用方面：包括实现直接提取工程量，导出工程量清单，与造价软件可互为衔接转换等；将</w:t>
      </w:r>
      <w:r>
        <w:rPr>
          <w:rFonts w:ascii="宋体" w:hAnsi="宋体" w:cs="宋体"/>
          <w:color w:val="auto"/>
          <w:sz w:val="24"/>
          <w:szCs w:val="24"/>
          <w:highlight w:val="none"/>
        </w:rPr>
        <w:t>BIM</w:t>
      </w:r>
      <w:r>
        <w:rPr>
          <w:rFonts w:hint="eastAsia" w:ascii="宋体" w:hAnsi="宋体" w:cs="宋体"/>
          <w:color w:val="auto"/>
          <w:sz w:val="24"/>
          <w:szCs w:val="24"/>
          <w:highlight w:val="none"/>
        </w:rPr>
        <w:t>模型等数据和资料进行整理，存档以及编号移交给甲方并保存至甲方</w:t>
      </w:r>
      <w:r>
        <w:rPr>
          <w:rFonts w:ascii="宋体" w:hAnsi="宋体" w:cs="宋体"/>
          <w:color w:val="auto"/>
          <w:sz w:val="24"/>
          <w:szCs w:val="24"/>
          <w:highlight w:val="none"/>
        </w:rPr>
        <w:t>BIM</w:t>
      </w:r>
      <w:r>
        <w:rPr>
          <w:rFonts w:hint="eastAsia" w:ascii="宋体" w:hAnsi="宋体" w:cs="宋体"/>
          <w:color w:val="auto"/>
          <w:sz w:val="24"/>
          <w:szCs w:val="24"/>
          <w:highlight w:val="none"/>
        </w:rPr>
        <w:t>平台。</w:t>
      </w:r>
    </w:p>
    <w:p>
      <w:pPr>
        <w:adjustRightInd w:val="0"/>
        <w:snapToGrid w:val="0"/>
        <w:spacing w:line="360" w:lineRule="auto"/>
        <w:ind w:right="11" w:firstLine="482"/>
        <w:rPr>
          <w:rFonts w:ascii="宋体" w:hAnsi="宋体" w:cs="宋体"/>
          <w:color w:val="auto"/>
          <w:sz w:val="24"/>
          <w:szCs w:val="24"/>
          <w:highlight w:val="none"/>
        </w:rPr>
      </w:pPr>
      <w:r>
        <w:rPr>
          <w:rFonts w:hint="eastAsia" w:ascii="宋体" w:hAnsi="宋体" w:cs="宋体"/>
          <w:color w:val="auto"/>
          <w:sz w:val="24"/>
          <w:szCs w:val="24"/>
          <w:highlight w:val="none"/>
        </w:rPr>
        <w:t>（7）其他工作：</w:t>
      </w:r>
    </w:p>
    <w:p>
      <w:pPr>
        <w:adjustRightInd w:val="0"/>
        <w:snapToGrid w:val="0"/>
        <w:spacing w:line="360" w:lineRule="auto"/>
        <w:ind w:right="11" w:firstLine="482"/>
        <w:rPr>
          <w:rFonts w:ascii="宋体" w:hAnsi="宋体" w:cs="宋体"/>
          <w:color w:val="auto"/>
          <w:sz w:val="24"/>
          <w:szCs w:val="24"/>
          <w:highlight w:val="none"/>
        </w:rPr>
      </w:pPr>
      <w:r>
        <w:rPr>
          <w:rFonts w:hint="eastAsia" w:ascii="宋体" w:hAnsi="宋体" w:cs="宋体"/>
          <w:color w:val="auto"/>
          <w:sz w:val="24"/>
          <w:szCs w:val="24"/>
          <w:highlight w:val="none"/>
        </w:rPr>
        <w:t>1）造价文件编制工作：完成本项目立项可研批复范围内工程投资估算、概算及设计变更、预算（含变更预算）等造价文件的编制工作（含场地平整、管线迁移、临设搭建等）及相关配合报审工作，细化设计过程的投资控制工作要求，包括分解、落实、反馈各阶段、各专业技术经济指标、限额设计量化指标。</w:t>
      </w:r>
    </w:p>
    <w:p>
      <w:pPr>
        <w:adjustRightInd w:val="0"/>
        <w:snapToGrid w:val="0"/>
        <w:spacing w:line="360" w:lineRule="auto"/>
        <w:ind w:right="11" w:firstLine="482"/>
        <w:rPr>
          <w:rFonts w:ascii="宋体" w:hAnsi="宋体" w:cs="宋体"/>
          <w:color w:val="auto"/>
          <w:sz w:val="24"/>
          <w:szCs w:val="24"/>
          <w:highlight w:val="none"/>
        </w:rPr>
      </w:pPr>
      <w:r>
        <w:rPr>
          <w:rFonts w:hint="eastAsia" w:ascii="宋体" w:hAnsi="宋体" w:cs="宋体"/>
          <w:color w:val="auto"/>
          <w:sz w:val="24"/>
          <w:szCs w:val="24"/>
          <w:highlight w:val="none"/>
        </w:rPr>
        <w:t>2）技术配合工作：甲方后续各类（含招标）工作配合、施工配合、现场服务、竣工图编制配合服务</w:t>
      </w:r>
      <w:r>
        <w:rPr>
          <w:rFonts w:ascii="宋体" w:hAnsi="宋体" w:cs="宋体"/>
          <w:color w:val="auto"/>
          <w:sz w:val="24"/>
          <w:szCs w:val="24"/>
          <w:highlight w:val="none"/>
        </w:rPr>
        <w:t>（含竣工图审核盖章）</w:t>
      </w:r>
      <w:r>
        <w:rPr>
          <w:rFonts w:hint="eastAsia" w:ascii="宋体" w:hAnsi="宋体" w:cs="宋体"/>
          <w:color w:val="auto"/>
          <w:sz w:val="24"/>
          <w:szCs w:val="24"/>
          <w:highlight w:val="none"/>
        </w:rPr>
        <w:t>等。</w:t>
      </w:r>
    </w:p>
    <w:p>
      <w:pPr>
        <w:adjustRightInd w:val="0"/>
        <w:snapToGrid w:val="0"/>
        <w:spacing w:line="360" w:lineRule="auto"/>
        <w:ind w:right="11" w:firstLine="482"/>
        <w:rPr>
          <w:rFonts w:ascii="宋体" w:hAnsi="宋体" w:cs="宋体"/>
          <w:color w:val="auto"/>
          <w:sz w:val="24"/>
          <w:szCs w:val="24"/>
          <w:highlight w:val="none"/>
        </w:rPr>
      </w:pPr>
      <w:r>
        <w:rPr>
          <w:rFonts w:hint="eastAsia" w:ascii="宋体" w:hAnsi="宋体" w:cs="宋体"/>
          <w:color w:val="auto"/>
          <w:sz w:val="24"/>
          <w:szCs w:val="24"/>
          <w:highlight w:val="none"/>
        </w:rPr>
        <w:t>3）报建配合工作：立项及可研批复范围内综合管线规划设计报批、建筑设计方案审查等的所有用地、规划、建筑、技术、管线、专项等各类报建配合、协调工作等。</w:t>
      </w:r>
    </w:p>
    <w:p>
      <w:pPr>
        <w:adjustRightInd w:val="0"/>
        <w:snapToGrid w:val="0"/>
        <w:spacing w:line="360" w:lineRule="auto"/>
        <w:ind w:right="11" w:firstLine="482"/>
        <w:rPr>
          <w:rFonts w:ascii="宋体" w:hAnsi="宋体" w:cs="宋体"/>
          <w:color w:val="auto"/>
          <w:sz w:val="24"/>
          <w:szCs w:val="24"/>
          <w:highlight w:val="none"/>
        </w:rPr>
      </w:pPr>
      <w:r>
        <w:rPr>
          <w:rFonts w:hint="eastAsia" w:ascii="宋体" w:hAnsi="宋体" w:cs="宋体"/>
          <w:color w:val="auto"/>
          <w:sz w:val="24"/>
          <w:szCs w:val="24"/>
          <w:highlight w:val="none"/>
        </w:rPr>
        <w:t xml:space="preserve">4）设计文件修改、完善工作：乙方应根据政府相关行政主管部门、行业主管部门的审批意见无条件地修改、完善各阶段的设计成果文件，确保其满足相关的审批要求；乙方应根据施工图审查单位的审查、甲方的设计评审、甲方组织的专业人士的意见对设计成果文件进行修改、完善。 </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cs="宋体"/>
          <w:b/>
          <w:strike w:val="0"/>
          <w:color w:val="auto"/>
          <w:sz w:val="24"/>
          <w:szCs w:val="24"/>
          <w:highlight w:val="none"/>
        </w:rPr>
      </w:pPr>
      <w:r>
        <w:rPr>
          <w:rFonts w:hint="eastAsia" w:ascii="宋体" w:hAnsi="宋体" w:cs="宋体"/>
          <w:b/>
          <w:strike w:val="0"/>
          <w:color w:val="auto"/>
          <w:sz w:val="24"/>
          <w:szCs w:val="24"/>
          <w:highlight w:val="none"/>
        </w:rPr>
        <w:t>（</w:t>
      </w:r>
      <w:r>
        <w:rPr>
          <w:rFonts w:ascii="宋体" w:hAnsi="宋体" w:cs="宋体"/>
          <w:b/>
          <w:strike w:val="0"/>
          <w:color w:val="auto"/>
          <w:sz w:val="24"/>
          <w:szCs w:val="24"/>
          <w:highlight w:val="none"/>
        </w:rPr>
        <w:t>8</w:t>
      </w:r>
      <w:r>
        <w:rPr>
          <w:rFonts w:hint="eastAsia" w:ascii="宋体" w:hAnsi="宋体" w:cs="宋体"/>
          <w:b/>
          <w:strike w:val="0"/>
          <w:color w:val="auto"/>
          <w:sz w:val="24"/>
          <w:szCs w:val="24"/>
          <w:highlight w:val="none"/>
        </w:rPr>
        <w:t>）</w:t>
      </w:r>
      <w:r>
        <w:rPr>
          <w:rFonts w:hint="eastAsia" w:ascii="宋体" w:hAnsi="宋体" w:eastAsia="宋体" w:cs="宋体"/>
          <w:b/>
          <w:bCs w:val="0"/>
          <w:color w:val="auto"/>
          <w:kern w:val="2"/>
          <w:sz w:val="24"/>
          <w:szCs w:val="24"/>
          <w:highlight w:val="none"/>
          <w:lang w:val="en-US" w:eastAsia="zh-CN" w:bidi="ar"/>
        </w:rPr>
        <w:t>按照建设方案联审决策审批要求，需在建设方案中编制古树名木及大树保护”、“历史文化风貌保护”、“防范大规模拆建”等专篇内容，进行方案比选及论证，确保建设方案科学、合理、合规。</w:t>
      </w:r>
      <w:r>
        <w:rPr>
          <w:rFonts w:ascii="宋体" w:hAnsi="宋体" w:cs="宋体"/>
          <w:b/>
          <w:strike w:val="0"/>
          <w:color w:val="auto"/>
          <w:sz w:val="24"/>
          <w:szCs w:val="24"/>
          <w:highlight w:val="none"/>
        </w:rPr>
        <w:t>并</w:t>
      </w:r>
      <w:r>
        <w:rPr>
          <w:rFonts w:hint="eastAsia" w:ascii="宋体" w:hAnsi="宋体" w:cs="宋体"/>
          <w:b/>
          <w:strike w:val="0"/>
          <w:color w:val="auto"/>
          <w:sz w:val="24"/>
          <w:szCs w:val="24"/>
          <w:highlight w:val="none"/>
        </w:rPr>
        <w:t>按照绿化行业主管部门审批要求，设计阶段配合树木保护服务单位编制《树木保护专章》（深度按照《广州市城市树木保护专章编制技术指引》）并完成相关报批工作。</w:t>
      </w:r>
    </w:p>
    <w:p>
      <w:pPr>
        <w:adjustRightInd w:val="0"/>
        <w:snapToGrid w:val="0"/>
        <w:spacing w:line="360" w:lineRule="auto"/>
        <w:ind w:right="11" w:firstLine="480"/>
        <w:rPr>
          <w:rFonts w:ascii="宋体" w:hAnsi="宋体" w:cs="宋体"/>
          <w:color w:val="auto"/>
          <w:sz w:val="24"/>
          <w:szCs w:val="24"/>
          <w:highlight w:val="none"/>
        </w:rPr>
      </w:pPr>
      <w:r>
        <w:rPr>
          <w:rFonts w:hint="eastAsia" w:ascii="宋体" w:cs="宋体"/>
          <w:color w:val="auto"/>
          <w:kern w:val="0"/>
          <w:sz w:val="24"/>
          <w:szCs w:val="24"/>
          <w:highlight w:val="none"/>
        </w:rPr>
        <w:t>√</w:t>
      </w:r>
      <w:r>
        <w:rPr>
          <w:rFonts w:hint="eastAsia" w:ascii="宋体" w:hAnsi="宋体" w:cs="宋体"/>
          <w:b/>
          <w:color w:val="auto"/>
          <w:sz w:val="24"/>
          <w:szCs w:val="24"/>
          <w:highlight w:val="none"/>
        </w:rPr>
        <w:t>（</w:t>
      </w:r>
      <w:r>
        <w:rPr>
          <w:rFonts w:ascii="宋体" w:hAnsi="宋体" w:cs="宋体"/>
          <w:b/>
          <w:color w:val="auto"/>
          <w:sz w:val="24"/>
          <w:szCs w:val="24"/>
          <w:highlight w:val="none"/>
        </w:rPr>
        <w:t>9</w:t>
      </w:r>
      <w:r>
        <w:rPr>
          <w:rFonts w:hint="eastAsia" w:ascii="宋体" w:hAnsi="宋体" w:cs="宋体"/>
          <w:b/>
          <w:color w:val="auto"/>
          <w:sz w:val="24"/>
          <w:szCs w:val="24"/>
          <w:highlight w:val="none"/>
        </w:rPr>
        <w:t>）装配式建筑设计，装配率需满足广州市住房和城乡建设局相关规定的要求。</w:t>
      </w:r>
    </w:p>
    <w:p>
      <w:pPr>
        <w:adjustRightInd w:val="0"/>
        <w:snapToGrid w:val="0"/>
        <w:spacing w:line="360" w:lineRule="auto"/>
        <w:ind w:right="11" w:firstLine="482"/>
        <w:rPr>
          <w:rFonts w:ascii="宋体" w:hAnsi="宋体" w:cs="宋体"/>
          <w:color w:val="auto"/>
          <w:kern w:val="0"/>
          <w:sz w:val="24"/>
          <w:szCs w:val="24"/>
          <w:highlight w:val="none"/>
        </w:rPr>
      </w:pPr>
      <w:r>
        <w:rPr>
          <w:rFonts w:hint="eastAsia" w:ascii="宋体" w:hAnsi="宋体" w:cs="宋体"/>
          <w:color w:val="auto"/>
          <w:sz w:val="24"/>
          <w:szCs w:val="24"/>
          <w:highlight w:val="none"/>
        </w:rPr>
        <w:t>具体工作内容及要求详见本项目</w:t>
      </w:r>
      <w:r>
        <w:rPr>
          <w:rFonts w:ascii="宋体" w:hAnsi="宋体" w:cs="宋体"/>
          <w:color w:val="auto"/>
          <w:sz w:val="24"/>
          <w:szCs w:val="24"/>
          <w:highlight w:val="none"/>
        </w:rPr>
        <w:t>基础资料和勘察设计任务书</w:t>
      </w:r>
      <w:r>
        <w:rPr>
          <w:rFonts w:hint="eastAsia" w:ascii="宋体" w:hAnsi="宋体" w:cs="宋体"/>
          <w:color w:val="auto"/>
          <w:sz w:val="24"/>
          <w:szCs w:val="24"/>
          <w:highlight w:val="none"/>
        </w:rPr>
        <w:t>及本合同条款的有关约定</w:t>
      </w:r>
      <w:r>
        <w:rPr>
          <w:rFonts w:hint="eastAsia" w:ascii="宋体" w:hAnsi="宋体" w:cs="宋体"/>
          <w:color w:val="auto"/>
          <w:kern w:val="0"/>
          <w:sz w:val="24"/>
          <w:szCs w:val="24"/>
          <w:highlight w:val="none"/>
        </w:rPr>
        <w:t>。</w:t>
      </w:r>
    </w:p>
    <w:p>
      <w:pPr>
        <w:adjustRightInd w:val="0"/>
        <w:snapToGrid w:val="0"/>
        <w:spacing w:line="360" w:lineRule="auto"/>
        <w:ind w:right="11"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2.2</w:t>
      </w:r>
      <w:r>
        <w:rPr>
          <w:rFonts w:hint="eastAsia" w:ascii="宋体" w:hAnsi="宋体" w:cs="宋体"/>
          <w:color w:val="auto"/>
          <w:kern w:val="0"/>
          <w:sz w:val="24"/>
          <w:szCs w:val="24"/>
          <w:highlight w:val="none"/>
        </w:rPr>
        <w:t>承包方式</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由乙方按照本合同协议书第2.1款约定的范围和内容实行勘察设计总承包的方式，并对勘察设计的进度、质量、安全、工程投资控制、勘察设计总承包管理及设计协调服务（包括设计协调服务、驻场服务等）等全面负责。合同价款计取及支付按本合同协议书第3条、合同条款第九章第15条、16条及第十章第22条的相关约定执行。</w:t>
      </w:r>
    </w:p>
    <w:p>
      <w:pPr>
        <w:adjustRightInd w:val="0"/>
        <w:snapToGrid w:val="0"/>
        <w:spacing w:line="360" w:lineRule="auto"/>
        <w:ind w:right="11"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2.3</w:t>
      </w:r>
      <w:r>
        <w:rPr>
          <w:rFonts w:hint="eastAsia" w:ascii="宋体" w:hAnsi="宋体" w:cs="宋体"/>
          <w:color w:val="auto"/>
          <w:kern w:val="0"/>
          <w:sz w:val="24"/>
          <w:szCs w:val="24"/>
          <w:highlight w:val="none"/>
        </w:rPr>
        <w:t>勘察设计开始实施时间：合同生效之日。</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乙方向甲方提交设计成果的时间按本合同条款第三章第9条的约定执行。</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乙方向甲方提交勘察成果的时间按本合同条款第十章第20条的约定执行。</w:t>
      </w:r>
    </w:p>
    <w:p>
      <w:pPr>
        <w:adjustRightInd w:val="0"/>
        <w:snapToGrid w:val="0"/>
        <w:spacing w:line="360" w:lineRule="auto"/>
        <w:ind w:right="11" w:firstLine="482" w:firstLineChars="200"/>
        <w:rPr>
          <w:rFonts w:ascii="宋体" w:hAnsi="宋体" w:cs="宋体"/>
          <w:strike/>
          <w:color w:val="auto"/>
          <w:kern w:val="0"/>
          <w:sz w:val="24"/>
          <w:szCs w:val="24"/>
          <w:highlight w:val="none"/>
        </w:rPr>
      </w:pPr>
      <w:r>
        <w:rPr>
          <w:rFonts w:hint="eastAsia" w:ascii="宋体" w:hAnsi="宋体" w:cs="宋体"/>
          <w:b/>
          <w:color w:val="auto"/>
          <w:kern w:val="0"/>
          <w:sz w:val="24"/>
          <w:szCs w:val="24"/>
          <w:highlight w:val="none"/>
        </w:rPr>
        <w:t>2.4</w:t>
      </w:r>
      <w:r>
        <w:rPr>
          <w:rFonts w:hint="eastAsia" w:ascii="宋体" w:hAnsi="宋体" w:cs="宋体"/>
          <w:color w:val="auto"/>
          <w:kern w:val="0"/>
          <w:sz w:val="24"/>
          <w:szCs w:val="24"/>
          <w:highlight w:val="none"/>
        </w:rPr>
        <w:t>甲方根据工程实施情况，有权对乙方的承包范围及内容进行适当调整，经甲方以书面形式提前通知乙方后，乙方必须无条件服从。</w:t>
      </w:r>
    </w:p>
    <w:p>
      <w:pPr>
        <w:adjustRightInd w:val="0"/>
        <w:snapToGrid w:val="0"/>
        <w:spacing w:line="360" w:lineRule="auto"/>
        <w:ind w:right="11" w:firstLine="482" w:firstLineChars="200"/>
        <w:outlineLvl w:val="2"/>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3、</w:t>
      </w:r>
      <w:r>
        <w:rPr>
          <w:rFonts w:hint="eastAsia" w:ascii="宋体" w:hAnsi="宋体" w:cs="宋体"/>
          <w:color w:val="auto"/>
          <w:kern w:val="0"/>
          <w:sz w:val="24"/>
          <w:szCs w:val="24"/>
          <w:highlight w:val="none"/>
        </w:rPr>
        <w:t>合同价款</w:t>
      </w:r>
    </w:p>
    <w:p>
      <w:pPr>
        <w:adjustRightInd w:val="0"/>
        <w:snapToGrid w:val="0"/>
        <w:spacing w:line="360" w:lineRule="auto"/>
        <w:ind w:right="11"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3.1</w:t>
      </w:r>
      <w:r>
        <w:rPr>
          <w:rFonts w:hint="eastAsia" w:ascii="宋体" w:hAnsi="宋体" w:cs="宋体"/>
          <w:color w:val="auto"/>
          <w:kern w:val="0"/>
          <w:sz w:val="24"/>
          <w:szCs w:val="24"/>
          <w:highlight w:val="none"/>
        </w:rPr>
        <w:t>本合同以人民币为计价和结算货币，除非甲、乙双方另有约定。</w:t>
      </w:r>
    </w:p>
    <w:p>
      <w:pPr>
        <w:adjustRightInd w:val="0"/>
        <w:snapToGrid w:val="0"/>
        <w:spacing w:line="360" w:lineRule="auto"/>
        <w:ind w:right="11"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3.2</w:t>
      </w:r>
      <w:r>
        <w:rPr>
          <w:rFonts w:hint="eastAsia" w:ascii="宋体" w:hAnsi="宋体" w:cs="宋体"/>
          <w:color w:val="auto"/>
          <w:kern w:val="0"/>
          <w:sz w:val="24"/>
          <w:szCs w:val="24"/>
          <w:highlight w:val="none"/>
        </w:rPr>
        <w:t>按本合同条款第九章第15条约定的设计收费计取方式及第十章第22条约定的勘察费计取方式计算的工程勘察设计费总额暂定为</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元（大写：</w:t>
      </w:r>
      <w:r>
        <w:rPr>
          <w:rFonts w:ascii="宋体" w:hAnsi="宋体" w:cs="宋体"/>
          <w:color w:val="auto"/>
          <w:kern w:val="0"/>
          <w:sz w:val="24"/>
          <w:szCs w:val="24"/>
          <w:highlight w:val="none"/>
          <w:u w:val="single"/>
        </w:rPr>
        <w:t xml:space="preserve">      </w:t>
      </w:r>
      <w:r>
        <w:rPr>
          <w:rFonts w:hint="eastAsia" w:ascii="宋体" w:hAnsi="宋体" w:cs="宋体"/>
          <w:bCs/>
          <w:color w:val="auto"/>
          <w:kern w:val="0"/>
          <w:sz w:val="24"/>
          <w:szCs w:val="24"/>
          <w:highlight w:val="none"/>
        </w:rPr>
        <w:t>元整</w:t>
      </w:r>
      <w:r>
        <w:rPr>
          <w:rFonts w:hint="eastAsia" w:ascii="宋体" w:hAnsi="宋体" w:cs="宋体"/>
          <w:color w:val="auto"/>
          <w:kern w:val="0"/>
          <w:sz w:val="24"/>
          <w:szCs w:val="24"/>
          <w:highlight w:val="none"/>
        </w:rPr>
        <w:t>）。</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其中：</w:t>
      </w:r>
    </w:p>
    <w:p>
      <w:pPr>
        <w:adjustRightInd w:val="0"/>
        <w:snapToGrid w:val="0"/>
        <w:spacing w:line="360" w:lineRule="auto"/>
        <w:ind w:right="11" w:firstLine="360" w:firstLineChars="150"/>
        <w:rPr>
          <w:rFonts w:ascii="宋体" w:hAnsi="宋体" w:cs="宋体"/>
          <w:color w:val="auto"/>
          <w:kern w:val="0"/>
          <w:sz w:val="24"/>
          <w:szCs w:val="24"/>
          <w:highlight w:val="none"/>
        </w:rPr>
      </w:pPr>
      <w:r>
        <w:rPr>
          <w:rFonts w:hint="eastAsia" w:ascii="宋体" w:hAnsi="宋体" w:cs="宋体"/>
          <w:color w:val="auto"/>
          <w:kern w:val="0"/>
          <w:sz w:val="24"/>
          <w:szCs w:val="24"/>
          <w:highlight w:val="none"/>
        </w:rPr>
        <w:t>（1）工程勘察费</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w:t>
      </w:r>
    </w:p>
    <w:p>
      <w:pPr>
        <w:adjustRightInd w:val="0"/>
        <w:snapToGrid w:val="0"/>
        <w:spacing w:line="360" w:lineRule="auto"/>
        <w:ind w:right="11" w:firstLine="360" w:firstLineChars="15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（2）工程设计费</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w:t>
      </w:r>
    </w:p>
    <w:p>
      <w:pPr>
        <w:keepNext w:val="0"/>
        <w:keepLines w:val="0"/>
        <w:pageBreakBefore w:val="0"/>
        <w:widowControl w:val="0"/>
        <w:kinsoku/>
        <w:wordWrap/>
        <w:overflowPunct/>
        <w:topLinePunct w:val="0"/>
        <w:autoSpaceDE/>
        <w:autoSpaceDN/>
        <w:bidi w:val="0"/>
        <w:adjustRightInd w:val="0"/>
        <w:snapToGrid w:val="0"/>
        <w:spacing w:line="360" w:lineRule="auto"/>
        <w:ind w:right="11"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default" w:ascii="宋体" w:hAnsi="宋体" w:cs="宋体"/>
          <w:color w:val="auto"/>
          <w:kern w:val="0"/>
          <w:sz w:val="24"/>
          <w:szCs w:val="24"/>
          <w:highlight w:val="none"/>
        </w:rPr>
        <w:t>技术设计费</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w:t>
      </w:r>
    </w:p>
    <w:p>
      <w:pPr>
        <w:pStyle w:val="10"/>
        <w:keepNext w:val="0"/>
        <w:keepLines w:val="0"/>
        <w:pageBreakBefore w:val="0"/>
        <w:widowControl w:val="0"/>
        <w:kinsoku/>
        <w:wordWrap/>
        <w:overflowPunct/>
        <w:topLinePunct w:val="0"/>
        <w:autoSpaceDE/>
        <w:autoSpaceDN/>
        <w:bidi w:val="0"/>
        <w:spacing w:beforeAutospacing="0" w:afterAutospacing="0" w:line="360" w:lineRule="auto"/>
        <w:ind w:firstLine="480" w:firstLineChars="200"/>
        <w:jc w:val="both"/>
        <w:textAlignment w:val="auto"/>
        <w:rPr>
          <w:rFonts w:hint="default" w:ascii="Times New Roman" w:hAnsi="Times New Roman"/>
          <w:color w:val="auto"/>
          <w:sz w:val="20"/>
          <w:szCs w:val="20"/>
          <w:highlight w:val="none"/>
        </w:rPr>
      </w:pPr>
      <w:r>
        <w:rPr>
          <w:rFonts w:cs="宋体"/>
          <w:color w:val="auto"/>
          <w:highlight w:val="none"/>
        </w:rPr>
        <w:t>2）造价预算编制（含配合施工招标工作）费</w:t>
      </w:r>
      <w:r>
        <w:rPr>
          <w:rFonts w:hint="default" w:cs="宋体"/>
          <w:color w:val="auto"/>
          <w:highlight w:val="none"/>
          <w:u w:val="single"/>
        </w:rPr>
        <w:t xml:space="preserve">      </w:t>
      </w:r>
      <w:r>
        <w:rPr>
          <w:rFonts w:cs="宋体"/>
          <w:color w:val="auto"/>
          <w:highlight w:val="none"/>
        </w:rPr>
        <w:t>元；</w:t>
      </w:r>
    </w:p>
    <w:p>
      <w:pPr>
        <w:keepNext w:val="0"/>
        <w:keepLines w:val="0"/>
        <w:pageBreakBefore w:val="0"/>
        <w:widowControl w:val="0"/>
        <w:kinsoku/>
        <w:wordWrap/>
        <w:overflowPunct/>
        <w:topLinePunct w:val="0"/>
        <w:autoSpaceDE/>
        <w:autoSpaceDN/>
        <w:bidi w:val="0"/>
        <w:adjustRightInd w:val="0"/>
        <w:snapToGrid w:val="0"/>
        <w:spacing w:line="360" w:lineRule="auto"/>
        <w:ind w:right="11"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3）其它设计收费：</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①设计协调费：包含在工程设计费中，不再另行计取；</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②驻场设计费：包含在工程设计费中，不再另行计取；</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③其他费用：包括施工阶段的设计变更造价变化分析、设计文件修改完善等费用，已包含在工程设计费用中，不再另行计取。 </w:t>
      </w:r>
    </w:p>
    <w:p>
      <w:pPr>
        <w:snapToGrid w:val="0"/>
        <w:spacing w:line="360" w:lineRule="auto"/>
        <w:ind w:right="11" w:firstLine="480" w:firstLineChars="200"/>
        <w:rPr>
          <w:rFonts w:ascii="宋体" w:hAnsi="宋体" w:cs="宋体"/>
          <w:color w:val="auto"/>
          <w:kern w:val="0"/>
          <w:sz w:val="24"/>
          <w:szCs w:val="24"/>
          <w:highlight w:val="none"/>
        </w:rPr>
      </w:pPr>
      <w:r>
        <w:rPr>
          <w:rFonts w:hint="eastAsia" w:ascii="宋体" w:cs="宋体"/>
          <w:color w:val="auto"/>
          <w:kern w:val="0"/>
          <w:sz w:val="24"/>
          <w:szCs w:val="24"/>
          <w:highlight w:val="none"/>
        </w:rPr>
        <w:t>√</w:t>
      </w:r>
      <w:r>
        <w:rPr>
          <w:rFonts w:hint="eastAsia" w:ascii="宋体" w:hAnsi="宋体" w:cs="宋体"/>
          <w:color w:val="auto"/>
          <w:kern w:val="0"/>
          <w:sz w:val="24"/>
          <w:szCs w:val="24"/>
          <w:highlight w:val="none"/>
        </w:rPr>
        <w:t>（3）BIM正向设计技术应用费：</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cs="宋体"/>
          <w:color w:val="auto"/>
          <w:kern w:val="0"/>
          <w:sz w:val="24"/>
          <w:szCs w:val="24"/>
          <w:highlight w:val="none"/>
        </w:rPr>
        <w:t>√</w:t>
      </w:r>
      <w:r>
        <w:rPr>
          <w:rFonts w:hint="eastAsia" w:ascii="宋体" w:hAnsi="宋体" w:cs="宋体"/>
          <w:color w:val="auto"/>
          <w:kern w:val="0"/>
          <w:sz w:val="24"/>
          <w:szCs w:val="24"/>
          <w:highlight w:val="none"/>
        </w:rPr>
        <w:t>（4）设计方案报审（含修建性详细规划调整）费：</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（5）技术考察组织费：包含在投标总报价中，不再另行计取。</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注：本项目为配合完成合同范围内工作（包括工程勘察、工程设计等）</w:t>
      </w:r>
      <w:r>
        <w:rPr>
          <w:rFonts w:ascii="宋体" w:hAnsi="宋体" w:cs="宋体"/>
          <w:color w:val="auto"/>
          <w:kern w:val="0"/>
          <w:sz w:val="24"/>
          <w:szCs w:val="24"/>
          <w:highlight w:val="none"/>
        </w:rPr>
        <w:t>，按国家、省、市的勘察、设计规范所需进行的辅助测量等工作，相应的辅助性工作费用</w:t>
      </w:r>
      <w:r>
        <w:rPr>
          <w:rFonts w:hint="eastAsia" w:ascii="宋体" w:hAnsi="宋体" w:cs="宋体"/>
          <w:color w:val="auto"/>
          <w:kern w:val="0"/>
          <w:sz w:val="24"/>
          <w:szCs w:val="24"/>
          <w:highlight w:val="none"/>
        </w:rPr>
        <w:t>，已包含在勘察设计费中，不单独计费。如发生辅助测量之外的工程测量等工作，该部分勘察费参照国家发展计划委员会、住建部2002年颁布的《工程勘察设计收费标准》计算，工程测量费浮动幅度为-20%。</w:t>
      </w:r>
    </w:p>
    <w:p>
      <w:pPr>
        <w:adjustRightInd w:val="0"/>
        <w:snapToGrid w:val="0"/>
        <w:spacing w:line="360" w:lineRule="auto"/>
        <w:ind w:right="11"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3.3</w:t>
      </w:r>
      <w:r>
        <w:rPr>
          <w:rFonts w:hint="eastAsia" w:ascii="宋体" w:hAnsi="宋体" w:cs="宋体"/>
          <w:color w:val="auto"/>
          <w:kern w:val="0"/>
          <w:sz w:val="24"/>
          <w:szCs w:val="24"/>
          <w:highlight w:val="none"/>
        </w:rPr>
        <w:t>合同价款的支付</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ascii="宋体" w:hAnsi="宋体" w:cs="宋体"/>
          <w:color w:val="auto"/>
          <w:sz w:val="24"/>
          <w:szCs w:val="24"/>
          <w:highlight w:val="none"/>
        </w:rPr>
        <w:t>本项目建设资金由项目业主单位（或其他权责单位）负责落实。本合同款项具体支付方式按照甲方与项目业主单位（或其他权责单位）签订的《建设资金支付协议》（详见附件2）执行，具体支付时间以财政部门或资金主管部门实际支付时间为准。乙方承诺不因财政或上级主管部门等原因导致的支付延迟而向甲方及项目业主单位（或其他权责单位）索赔费用或主张相关违约责任，并且此情况不能成为乙方中止或拒绝履行合同约定义务的理由。</w:t>
      </w:r>
    </w:p>
    <w:p>
      <w:pPr>
        <w:adjustRightInd w:val="0"/>
        <w:snapToGrid w:val="0"/>
        <w:spacing w:line="360" w:lineRule="auto"/>
        <w:ind w:right="11" w:firstLine="482" w:firstLineChars="200"/>
        <w:outlineLvl w:val="2"/>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4、</w:t>
      </w:r>
      <w:r>
        <w:rPr>
          <w:rFonts w:hint="eastAsia" w:ascii="宋体" w:hAnsi="宋体" w:cs="宋体"/>
          <w:color w:val="auto"/>
          <w:kern w:val="0"/>
          <w:sz w:val="24"/>
          <w:szCs w:val="24"/>
          <w:highlight w:val="none"/>
        </w:rPr>
        <w:t>组成合同的文件</w:t>
      </w:r>
    </w:p>
    <w:p>
      <w:pPr>
        <w:adjustRightInd w:val="0"/>
        <w:snapToGrid w:val="0"/>
        <w:spacing w:line="360" w:lineRule="auto"/>
        <w:ind w:right="11"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4.1</w:t>
      </w:r>
      <w:r>
        <w:rPr>
          <w:rFonts w:hint="eastAsia" w:ascii="宋体" w:hAnsi="宋体" w:cs="宋体"/>
          <w:color w:val="auto"/>
          <w:kern w:val="0"/>
          <w:sz w:val="24"/>
          <w:szCs w:val="24"/>
          <w:highlight w:val="none"/>
        </w:rPr>
        <w:t>下列文件应被认为是组成本合同的一部分，并互为补充和解释，如各文件存在冲突之处，以如下排列次序在前者优先适用：</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（1）国家和广东省、广州市关于本项目的有关文件；</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（2）本合同履行期间甲方与乙方双方签订的补充合同（协议）或修正文件；</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（3）本合同协议书；</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（4）中标通知书；</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（5）本合同条款；</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（6）甲方针对项目管理的各项制度、规定</w:t>
      </w:r>
      <w:r>
        <w:rPr>
          <w:rFonts w:hint="eastAsia" w:ascii="宋体" w:hAnsi="宋体" w:cs="宋体"/>
          <w:bCs/>
          <w:color w:val="auto"/>
          <w:kern w:val="0"/>
          <w:sz w:val="24"/>
          <w:szCs w:val="24"/>
          <w:highlight w:val="none"/>
        </w:rPr>
        <w:t>，包括继续沿用甲方更名前的各项管理制度及规定（如有更新则按更新后的执行，下同）</w:t>
      </w:r>
      <w:r>
        <w:rPr>
          <w:rFonts w:hint="eastAsia" w:ascii="宋体" w:hAnsi="宋体" w:cs="宋体"/>
          <w:color w:val="auto"/>
          <w:kern w:val="0"/>
          <w:sz w:val="24"/>
          <w:szCs w:val="24"/>
          <w:highlight w:val="none"/>
        </w:rPr>
        <w:t>；</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（7）本合同附件[属本条第（1）项和第（6）项内容的除外]；</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（8）招标文件[含招标文件补充文件、招标澄清文件、答疑文件等，属本条第（7）项内容的除外]；</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（9）乙方投标文件及其附件[含投标文件澄清等，属本条第（7）项内容的除外]；</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（10）国家及广东省、广州市的标准、规范及有关技术文件；</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（11）组成本合同的其他文件。</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通过上述顺序解释仍无法明确的事项，由甲方与乙方协商解决；如协商不成，由甲方按照公平合理和有利于本合同工程建设的原则作出决定。如乙方对此决定不服的，应在接到甲方决定之日起三日内提出书面异议；如期满不提出书面异议的，视为同意甲方的决定。甲方收到乙方的书面异议后应作出进一步的决定，如乙方仍有异议的，可按本合同条款第32条的约定处理，但在有关单位作出正式裁判之前，乙方必须无条件先行执行甲方的决定。</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4.2</w:t>
      </w:r>
      <w:r>
        <w:rPr>
          <w:rFonts w:hint="eastAsia" w:ascii="宋体" w:hAnsi="宋体" w:cs="宋体"/>
          <w:color w:val="auto"/>
          <w:kern w:val="0"/>
          <w:sz w:val="24"/>
          <w:szCs w:val="24"/>
          <w:highlight w:val="none"/>
        </w:rPr>
        <w:t>在本合同履行过程中，经双方法定代表人或其委托代理人签字认可的来往电报、信函、传真、会议纪要、有关对本合同补充的书面协议以及经双方共同确认的文件等，均视同本合同的组成部分，与本合同具有同等法律效力。</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5</w:t>
      </w:r>
      <w:r>
        <w:rPr>
          <w:rFonts w:hint="eastAsia" w:ascii="宋体" w:hAnsi="宋体" w:cs="宋体"/>
          <w:color w:val="auto"/>
          <w:kern w:val="0"/>
          <w:sz w:val="24"/>
          <w:szCs w:val="24"/>
          <w:highlight w:val="none"/>
        </w:rPr>
        <w:t>、乙方应在收到中标通知书之日起5日内以书面形式向甲方提交其法定代表人、项目负责人的姓名、身份证复印件、职务、职称、联系方式（包括办公电话、手机、传真号码）、通信地址等信息作为合同附件。</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6</w:t>
      </w:r>
      <w:r>
        <w:rPr>
          <w:rFonts w:hint="eastAsia" w:ascii="宋体" w:hAnsi="宋体" w:cs="宋体"/>
          <w:color w:val="auto"/>
          <w:kern w:val="0"/>
          <w:sz w:val="24"/>
          <w:szCs w:val="24"/>
          <w:highlight w:val="none"/>
        </w:rPr>
        <w:t>、在本合同有效期内，乙方的单位名称变更的，应及时以书面形式通知甲方并附上变更登记资料；乙方法定代表人变更的，应在变更后15日内向甲方提交新法定代表人的姓名、身份证复印件、职务、职称、联系电话、通信地址等信息。</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7</w:t>
      </w:r>
      <w:r>
        <w:rPr>
          <w:rFonts w:hint="eastAsia" w:ascii="宋体" w:hAnsi="宋体" w:cs="宋体"/>
          <w:color w:val="auto"/>
          <w:kern w:val="0"/>
          <w:sz w:val="24"/>
          <w:szCs w:val="24"/>
          <w:highlight w:val="none"/>
        </w:rPr>
        <w:t>、在本合同有效期内，乙方更换项目负责人的，除按合同条款的有关约定承担违约责任外，还应在更换后7日内将新项目负责人的姓名、职务、职称、联系电话、通信地址等信息提交给甲方。</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8、</w:t>
      </w:r>
      <w:r>
        <w:rPr>
          <w:rFonts w:hint="eastAsia" w:ascii="宋体" w:hAnsi="宋体" w:cs="宋体"/>
          <w:color w:val="auto"/>
          <w:kern w:val="0"/>
          <w:sz w:val="24"/>
          <w:szCs w:val="24"/>
          <w:highlight w:val="none"/>
        </w:rPr>
        <w:t>甲方已建立工程信息管理系统，乙方应投入足够的人员并配备足够的设备与该系统联接，确保及时准确地按甲方要求进行信息沟通及管理。</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乙方应就本合同在甲方工程项目信息管理系统开通账号，账号操作人在该系统上的所有操作行为均视为乙方行为、已获得乙方授权及认可；通过该账号提交的信息、文件与资料，无论是否加盖乙方公章，均视为已获得乙方认可并属乙方向甲方提交的正式文件与资料。与该账号操作相关的行为与内容，其法律效果和法律责任一律由乙方承受及承担。前述信息、文件与资料如有需要形成纸质文件并加盖公章的，乙方必须按甲方要求提供。</w:t>
      </w:r>
    </w:p>
    <w:p>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9、</w:t>
      </w:r>
      <w:r>
        <w:rPr>
          <w:rFonts w:hint="eastAsia" w:ascii="宋体" w:hAnsi="宋体" w:cs="宋体"/>
          <w:color w:val="auto"/>
          <w:kern w:val="0"/>
          <w:sz w:val="24"/>
          <w:szCs w:val="24"/>
          <w:highlight w:val="none"/>
        </w:rPr>
        <w:t>本合同协议书中有关词语定义与合同条款中分别赋予它们的定义相同。</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10、</w:t>
      </w:r>
      <w:r>
        <w:rPr>
          <w:rFonts w:hint="eastAsia" w:ascii="宋体" w:hAnsi="宋体" w:cs="宋体"/>
          <w:color w:val="auto"/>
          <w:kern w:val="0"/>
          <w:sz w:val="24"/>
          <w:szCs w:val="24"/>
          <w:highlight w:val="none"/>
        </w:rPr>
        <w:t>乙方向甲方承诺按照本合同约定履行义务。</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11、</w:t>
      </w:r>
      <w:r>
        <w:rPr>
          <w:rFonts w:hint="eastAsia" w:ascii="宋体" w:hAnsi="宋体" w:cs="宋体"/>
          <w:color w:val="auto"/>
          <w:kern w:val="0"/>
          <w:sz w:val="24"/>
          <w:szCs w:val="24"/>
          <w:highlight w:val="none"/>
        </w:rPr>
        <w:t>甲方向乙方承诺按照本合同约定履行义务。</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12、</w:t>
      </w:r>
      <w:r>
        <w:rPr>
          <w:rFonts w:hint="eastAsia" w:ascii="宋体" w:hAnsi="宋体" w:cs="宋体"/>
          <w:color w:val="auto"/>
          <w:kern w:val="0"/>
          <w:sz w:val="24"/>
          <w:szCs w:val="24"/>
          <w:highlight w:val="none"/>
        </w:rPr>
        <w:t>本合同自甲乙双方签字盖章（公章或合同专用章）之日起生效。</w:t>
      </w:r>
      <w:r>
        <w:rPr>
          <w:rFonts w:hint="eastAsia" w:ascii="宋体" w:hAnsi="宋体" w:cs="宋体"/>
          <w:bCs/>
          <w:color w:val="auto"/>
          <w:kern w:val="0"/>
          <w:sz w:val="24"/>
          <w:szCs w:val="24"/>
          <w:highlight w:val="none"/>
        </w:rPr>
        <w:t>委托代理人签字的需经另一方同意。</w:t>
      </w:r>
      <w:r>
        <w:rPr>
          <w:rFonts w:hint="eastAsia" w:ascii="宋体" w:hAnsi="宋体" w:cs="宋体"/>
          <w:color w:val="auto"/>
          <w:kern w:val="0"/>
          <w:sz w:val="24"/>
          <w:szCs w:val="24"/>
          <w:highlight w:val="none"/>
        </w:rPr>
        <w:t>双方履行完成合同约定义务及责任后，本合同自行终止。</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13、</w:t>
      </w:r>
      <w:r>
        <w:rPr>
          <w:rFonts w:hint="eastAsia" w:ascii="宋体" w:hAnsi="宋体" w:cs="宋体"/>
          <w:color w:val="auto"/>
          <w:kern w:val="0"/>
          <w:sz w:val="24"/>
          <w:szCs w:val="24"/>
          <w:highlight w:val="none"/>
        </w:rPr>
        <w:t>本合同正本一式两份，甲乙双方各执一份；副本八份，甲方执六份，乙方执两份。合同正、副本具有同等效力，但当合同正本与副本的表述不一致时，以合同正本为准。</w:t>
      </w:r>
    </w:p>
    <w:p>
      <w:pPr>
        <w:adjustRightInd w:val="0"/>
        <w:snapToGrid w:val="0"/>
        <w:spacing w:line="360" w:lineRule="auto"/>
        <w:ind w:right="11"/>
        <w:rPr>
          <w:rFonts w:ascii="宋体" w:hAnsi="宋体" w:cs="宋体"/>
          <w:dstrike/>
          <w:color w:val="auto"/>
          <w:kern w:val="0"/>
          <w:sz w:val="24"/>
          <w:szCs w:val="24"/>
          <w:highlight w:val="none"/>
        </w:rPr>
      </w:pPr>
    </w:p>
    <w:p>
      <w:pPr>
        <w:adjustRightInd w:val="0"/>
        <w:snapToGrid w:val="0"/>
        <w:spacing w:line="360" w:lineRule="auto"/>
        <w:ind w:right="11"/>
        <w:rPr>
          <w:rFonts w:ascii="宋体" w:hAnsi="宋体" w:cs="宋体"/>
          <w:color w:val="auto"/>
          <w:kern w:val="0"/>
          <w:sz w:val="24"/>
          <w:szCs w:val="24"/>
          <w:highlight w:val="none"/>
        </w:rPr>
      </w:pPr>
      <w:r>
        <w:rPr>
          <w:rFonts w:hint="eastAsia" w:ascii="宋体" w:hAnsi="宋体"/>
          <w:color w:val="auto"/>
          <w:sz w:val="24"/>
          <w:szCs w:val="24"/>
          <w:highlight w:val="none"/>
        </w:rPr>
        <w:br w:type="page"/>
      </w:r>
      <w:r>
        <w:rPr>
          <w:rFonts w:hint="eastAsia" w:ascii="宋体" w:hAnsi="宋体" w:cs="宋体"/>
          <w:color w:val="auto"/>
          <w:kern w:val="0"/>
          <w:sz w:val="24"/>
          <w:szCs w:val="24"/>
          <w:highlight w:val="none"/>
        </w:rPr>
        <w:t>（本页无正文，为签署页）</w:t>
      </w:r>
    </w:p>
    <w:p>
      <w:pPr>
        <w:pStyle w:val="10"/>
        <w:widowControl w:val="0"/>
        <w:spacing w:beforeAutospacing="0" w:afterAutospacing="0"/>
        <w:ind w:firstLine="480" w:firstLineChars="200"/>
        <w:jc w:val="both"/>
        <w:rPr>
          <w:rFonts w:hint="default"/>
          <w:color w:val="auto"/>
          <w:highlight w:val="none"/>
        </w:rPr>
      </w:pPr>
    </w:p>
    <w:p>
      <w:pPr>
        <w:pStyle w:val="10"/>
        <w:widowControl w:val="0"/>
        <w:spacing w:beforeAutospacing="0" w:afterAutospacing="0"/>
        <w:ind w:firstLine="480" w:firstLineChars="200"/>
        <w:jc w:val="both"/>
        <w:rPr>
          <w:rFonts w:hint="default"/>
          <w:color w:val="auto"/>
          <w:highlight w:val="none"/>
        </w:rPr>
      </w:pPr>
    </w:p>
    <w:p>
      <w:pPr>
        <w:adjustRightInd w:val="0"/>
        <w:snapToGrid w:val="0"/>
        <w:spacing w:line="400" w:lineRule="exact"/>
        <w:ind w:left="6000" w:right="11" w:hanging="6000" w:hangingChars="2500"/>
        <w:rPr>
          <w:rFonts w:ascii="宋体" w:hAnsi="宋体" w:cs="宋体"/>
          <w:color w:val="auto"/>
          <w:kern w:val="0"/>
          <w:sz w:val="24"/>
          <w:szCs w:val="24"/>
          <w:highlight w:val="none"/>
        </w:rPr>
      </w:pPr>
      <w:r>
        <w:rPr>
          <w:rFonts w:hint="eastAsia" w:ascii="宋体" w:hAnsi="宋体" w:cs="宋体"/>
          <w:color w:val="auto"/>
          <w:kern w:val="0"/>
          <w:sz w:val="24"/>
          <w:szCs w:val="24"/>
          <w:highlight w:val="none"/>
        </w:rPr>
        <w:t>甲方：</w:t>
      </w:r>
      <w:r>
        <w:rPr>
          <w:rFonts w:hint="eastAsia" w:ascii="宋体" w:hAnsi="宋体" w:cs="宋体"/>
          <w:b/>
          <w:color w:val="auto"/>
          <w:spacing w:val="-20"/>
          <w:kern w:val="0"/>
          <w:sz w:val="24"/>
          <w:szCs w:val="24"/>
          <w:highlight w:val="none"/>
        </w:rPr>
        <w:t>广州市重点公共建设项目管理中心</w:t>
      </w:r>
      <w:r>
        <w:rPr>
          <w:rFonts w:hint="eastAsia" w:ascii="宋体" w:hAnsi="宋体" w:cs="宋体"/>
          <w:color w:val="auto"/>
          <w:kern w:val="0"/>
          <w:sz w:val="24"/>
          <w:szCs w:val="24"/>
          <w:highlight w:val="none"/>
        </w:rPr>
        <w:t xml:space="preserve">    乙方：</w:t>
      </w:r>
    </w:p>
    <w:p>
      <w:pPr>
        <w:adjustRightInd w:val="0"/>
        <w:snapToGrid w:val="0"/>
        <w:spacing w:line="400" w:lineRule="exact"/>
        <w:ind w:left="5995" w:leftChars="855" w:right="11" w:hanging="4200" w:hangingChars="1750"/>
        <w:rPr>
          <w:rFonts w:ascii="宋体" w:hAnsi="宋体" w:cs="宋体"/>
          <w:color w:val="auto"/>
          <w:kern w:val="0"/>
          <w:sz w:val="24"/>
          <w:szCs w:val="24"/>
          <w:highlight w:val="none"/>
        </w:rPr>
      </w:pPr>
      <w:r>
        <w:rPr>
          <w:rFonts w:hint="eastAsia" w:ascii="宋体" w:hAnsi="宋体" w:cs="宋体"/>
          <w:color w:val="auto"/>
          <w:kern w:val="0"/>
          <w:sz w:val="24"/>
          <w:szCs w:val="24"/>
          <w:highlight w:val="none"/>
        </w:rPr>
        <w:t>（盖章）                            （盖章）</w:t>
      </w:r>
    </w:p>
    <w:p>
      <w:pPr>
        <w:adjustRightInd w:val="0"/>
        <w:snapToGrid w:val="0"/>
        <w:spacing w:line="400" w:lineRule="exact"/>
        <w:rPr>
          <w:rFonts w:ascii="宋体" w:hAnsi="宋体" w:cs="宋体"/>
          <w:color w:val="auto"/>
          <w:kern w:val="0"/>
          <w:sz w:val="24"/>
          <w:szCs w:val="24"/>
          <w:highlight w:val="none"/>
        </w:rPr>
      </w:pPr>
    </w:p>
    <w:p>
      <w:pPr>
        <w:adjustRightInd w:val="0"/>
        <w:snapToGrid w:val="0"/>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                       法定代表人：</w:t>
      </w:r>
    </w:p>
    <w:p>
      <w:pPr>
        <w:adjustRightInd w:val="0"/>
        <w:snapToGrid w:val="0"/>
        <w:spacing w:line="400" w:lineRule="exact"/>
        <w:rPr>
          <w:rFonts w:ascii="宋体" w:hAnsi="宋体" w:cs="宋体"/>
          <w:color w:val="auto"/>
          <w:kern w:val="0"/>
          <w:sz w:val="24"/>
          <w:szCs w:val="24"/>
          <w:highlight w:val="none"/>
        </w:rPr>
      </w:pPr>
    </w:p>
    <w:p>
      <w:pPr>
        <w:adjustRightInd w:val="0"/>
        <w:snapToGrid w:val="0"/>
        <w:spacing w:line="400" w:lineRule="exact"/>
        <w:ind w:left="5760" w:hanging="5760" w:hangingChars="24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委托代理人：                       委托代理人：</w:t>
      </w:r>
    </w:p>
    <w:p>
      <w:pPr>
        <w:adjustRightInd w:val="0"/>
        <w:snapToGrid w:val="0"/>
        <w:spacing w:line="400" w:lineRule="exact"/>
        <w:ind w:left="5760" w:hanging="5760" w:hangingChars="2400"/>
        <w:rPr>
          <w:rFonts w:ascii="宋体" w:hAnsi="宋体" w:cs="宋体"/>
          <w:color w:val="auto"/>
          <w:kern w:val="0"/>
          <w:sz w:val="24"/>
          <w:szCs w:val="24"/>
          <w:highlight w:val="none"/>
        </w:rPr>
      </w:pPr>
    </w:p>
    <w:p>
      <w:pPr>
        <w:adjustRightInd w:val="0"/>
        <w:snapToGrid w:val="0"/>
        <w:spacing w:line="400" w:lineRule="exact"/>
        <w:ind w:left="5760" w:hanging="5760" w:hangingChars="24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地址：</w:t>
      </w:r>
      <w:r>
        <w:rPr>
          <w:rFonts w:hint="eastAsia" w:ascii="宋体" w:hAnsi="宋体" w:cs="宋体"/>
          <w:color w:val="auto"/>
          <w:spacing w:val="-10"/>
          <w:kern w:val="0"/>
          <w:sz w:val="24"/>
          <w:szCs w:val="24"/>
          <w:highlight w:val="none"/>
        </w:rPr>
        <w:t>广州大学城内环东星运路1号</w:t>
      </w:r>
      <w:r>
        <w:rPr>
          <w:rFonts w:hint="eastAsia" w:ascii="宋体" w:hAnsi="宋体" w:cs="宋体"/>
          <w:color w:val="auto"/>
          <w:spacing w:val="-10"/>
          <w:kern w:val="0"/>
          <w:sz w:val="24"/>
          <w:szCs w:val="24"/>
          <w:highlight w:val="none"/>
          <w:lang w:val="en-US" w:eastAsia="zh-CN"/>
        </w:rPr>
        <w:t xml:space="preserve">      </w:t>
      </w:r>
      <w:r>
        <w:rPr>
          <w:rFonts w:hint="eastAsia" w:ascii="宋体" w:hAnsi="宋体" w:cs="宋体"/>
          <w:color w:val="auto"/>
          <w:kern w:val="0"/>
          <w:sz w:val="24"/>
          <w:szCs w:val="24"/>
          <w:highlight w:val="none"/>
        </w:rPr>
        <w:t xml:space="preserve">地址： </w:t>
      </w:r>
    </w:p>
    <w:p>
      <w:pPr>
        <w:adjustRightInd w:val="0"/>
        <w:snapToGrid w:val="0"/>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邮政编码：510006                   邮政编码：</w:t>
      </w:r>
      <w:r>
        <w:rPr>
          <w:rFonts w:hint="eastAsia" w:ascii="宋体" w:hAnsi="宋体" w:cs="宋体"/>
          <w:color w:val="auto"/>
          <w:kern w:val="0"/>
          <w:sz w:val="24"/>
          <w:szCs w:val="24"/>
          <w:highlight w:val="none"/>
        </w:rPr>
        <w:br w:type="textWrapping"/>
      </w:r>
      <w:r>
        <w:rPr>
          <w:rFonts w:hint="eastAsia" w:ascii="宋体" w:hAnsi="宋体" w:cs="宋体"/>
          <w:color w:val="auto"/>
          <w:kern w:val="0"/>
          <w:sz w:val="24"/>
          <w:szCs w:val="24"/>
          <w:highlight w:val="none"/>
        </w:rPr>
        <w:t>电话：                             电话：</w:t>
      </w:r>
    </w:p>
    <w:p>
      <w:pPr>
        <w:adjustRightInd w:val="0"/>
        <w:snapToGrid w:val="0"/>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传真：                             传真： </w:t>
      </w:r>
      <w:r>
        <w:rPr>
          <w:rFonts w:hint="eastAsia" w:ascii="宋体" w:hAnsi="宋体" w:cs="宋体"/>
          <w:color w:val="auto"/>
          <w:kern w:val="0"/>
          <w:sz w:val="24"/>
          <w:szCs w:val="24"/>
          <w:highlight w:val="none"/>
        </w:rPr>
        <w:br w:type="textWrapping"/>
      </w:r>
      <w:r>
        <w:rPr>
          <w:rFonts w:hint="eastAsia" w:ascii="宋体" w:hAnsi="宋体" w:cs="宋体"/>
          <w:color w:val="auto"/>
          <w:kern w:val="0"/>
          <w:sz w:val="24"/>
          <w:szCs w:val="24"/>
          <w:highlight w:val="none"/>
        </w:rPr>
        <w:t xml:space="preserve">签约日期：    年  月  日           开户银行： </w:t>
      </w:r>
      <w:r>
        <w:rPr>
          <w:rFonts w:hint="eastAsia" w:ascii="宋体" w:hAnsi="宋体" w:cs="宋体"/>
          <w:color w:val="auto"/>
          <w:kern w:val="0"/>
          <w:sz w:val="24"/>
          <w:szCs w:val="24"/>
          <w:highlight w:val="none"/>
        </w:rPr>
        <w:br w:type="textWrapping"/>
      </w:r>
      <w:r>
        <w:rPr>
          <w:rFonts w:hint="eastAsia" w:ascii="宋体" w:hAnsi="宋体" w:cs="宋体"/>
          <w:color w:val="auto"/>
          <w:kern w:val="0"/>
          <w:sz w:val="24"/>
          <w:szCs w:val="24"/>
          <w:highlight w:val="none"/>
        </w:rPr>
        <w:t xml:space="preserve">                                   银行账号：</w:t>
      </w:r>
    </w:p>
    <w:p>
      <w:pPr>
        <w:adjustRightInd w:val="0"/>
        <w:snapToGrid w:val="0"/>
        <w:spacing w:line="400" w:lineRule="exact"/>
        <w:ind w:firstLine="3240" w:firstLineChars="13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签约日期：    年  月  日</w:t>
      </w:r>
    </w:p>
    <w:p>
      <w:pPr>
        <w:adjustRightInd w:val="0"/>
        <w:snapToGrid w:val="0"/>
        <w:spacing w:line="400" w:lineRule="exact"/>
        <w:ind w:left="5250" w:right="11" w:hanging="5250" w:hangingChars="2500"/>
        <w:rPr>
          <w:color w:val="auto"/>
          <w:szCs w:val="21"/>
          <w:highlight w:val="none"/>
        </w:rPr>
      </w:pPr>
    </w:p>
    <w:p>
      <w:pPr>
        <w:pStyle w:val="10"/>
        <w:widowControl w:val="0"/>
        <w:spacing w:beforeAutospacing="0" w:afterAutospacing="0" w:line="400" w:lineRule="exact"/>
        <w:ind w:firstLine="480" w:firstLineChars="200"/>
        <w:jc w:val="both"/>
        <w:rPr>
          <w:rFonts w:hint="default" w:cs="宋体"/>
          <w:color w:val="auto"/>
          <w:highlight w:val="none"/>
        </w:rPr>
      </w:pPr>
    </w:p>
    <w:p>
      <w:pPr>
        <w:adjustRightInd w:val="0"/>
        <w:snapToGrid w:val="0"/>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签约地点：广东省广州市番禺区。</w:t>
      </w:r>
    </w:p>
    <w:p>
      <w:pPr>
        <w:adjustRightInd w:val="0"/>
        <w:snapToGrid w:val="0"/>
        <w:spacing w:line="400" w:lineRule="exact"/>
        <w:rPr>
          <w:rFonts w:ascii="宋体" w:hAnsi="宋体" w:cs="宋体"/>
          <w:color w:val="auto"/>
          <w:kern w:val="0"/>
          <w:sz w:val="24"/>
          <w:szCs w:val="24"/>
          <w:highlight w:val="none"/>
        </w:rPr>
      </w:pPr>
    </w:p>
    <w:p>
      <w:pPr>
        <w:pStyle w:val="10"/>
        <w:widowControl w:val="0"/>
        <w:spacing w:beforeAutospacing="0" w:afterAutospacing="0"/>
        <w:ind w:firstLine="480" w:firstLineChars="200"/>
        <w:jc w:val="both"/>
        <w:rPr>
          <w:rFonts w:hint="default"/>
          <w:color w:val="auto"/>
          <w:highlight w:val="none"/>
        </w:rPr>
      </w:pPr>
    </w:p>
    <w:p>
      <w:pPr>
        <w:adjustRightInd w:val="0"/>
        <w:snapToGrid w:val="0"/>
        <w:spacing w:line="360" w:lineRule="auto"/>
        <w:jc w:val="center"/>
        <w:rPr>
          <w:rFonts w:ascii="宋体" w:hAnsi="宋体" w:cs="宋体"/>
          <w:b/>
          <w:color w:val="auto"/>
          <w:kern w:val="0"/>
          <w:sz w:val="24"/>
          <w:szCs w:val="24"/>
          <w:highlight w:val="none"/>
        </w:rPr>
      </w:pPr>
    </w:p>
    <w:p>
      <w:pPr>
        <w:topLinePunct/>
        <w:adjustRightInd w:val="0"/>
        <w:snapToGrid w:val="0"/>
        <w:spacing w:line="360" w:lineRule="auto"/>
        <w:rPr>
          <w:rFonts w:ascii="宋体" w:hAnsi="宋体" w:cs="宋体"/>
          <w:b/>
          <w:color w:val="auto"/>
          <w:spacing w:val="4"/>
          <w:kern w:val="0"/>
          <w:sz w:val="24"/>
          <w:szCs w:val="24"/>
          <w:highlight w:val="none"/>
        </w:rPr>
      </w:pPr>
      <w:r>
        <w:rPr>
          <w:rFonts w:hint="eastAsia" w:ascii="宋体" w:hAnsi="宋体"/>
          <w:color w:val="auto"/>
          <w:spacing w:val="4"/>
          <w:sz w:val="24"/>
          <w:szCs w:val="24"/>
          <w:highlight w:val="none"/>
        </w:rPr>
        <w:br w:type="page"/>
      </w:r>
      <w:r>
        <w:rPr>
          <w:rFonts w:hint="eastAsia" w:ascii="宋体" w:hAnsi="宋体" w:cs="宋体"/>
          <w:color w:val="auto"/>
          <w:spacing w:val="4"/>
          <w:kern w:val="0"/>
          <w:sz w:val="24"/>
          <w:szCs w:val="24"/>
          <w:highlight w:val="none"/>
        </w:rPr>
        <w:t>合同协议书附1：</w:t>
      </w:r>
      <w:r>
        <w:rPr>
          <w:rFonts w:hint="eastAsia" w:ascii="宋体" w:hAnsi="宋体" w:cs="宋体"/>
          <w:b/>
          <w:color w:val="auto"/>
          <w:spacing w:val="4"/>
          <w:kern w:val="0"/>
          <w:sz w:val="24"/>
          <w:szCs w:val="24"/>
          <w:highlight w:val="none"/>
        </w:rPr>
        <w:t>中标通知书</w:t>
      </w:r>
    </w:p>
    <w:p>
      <w:pPr>
        <w:adjustRightInd w:val="0"/>
        <w:snapToGrid w:val="0"/>
        <w:spacing w:line="360" w:lineRule="auto"/>
        <w:rPr>
          <w:rFonts w:ascii="宋体" w:hAnsi="宋体" w:cs="宋体"/>
          <w:color w:val="auto"/>
          <w:kern w:val="0"/>
          <w:sz w:val="24"/>
          <w:szCs w:val="24"/>
          <w:highlight w:val="none"/>
        </w:rPr>
      </w:pPr>
    </w:p>
    <w:p>
      <w:pPr>
        <w:adjustRightInd w:val="0"/>
        <w:snapToGrid w:val="0"/>
        <w:spacing w:line="360" w:lineRule="auto"/>
        <w:rPr>
          <w:rFonts w:ascii="宋体" w:hAnsi="宋体" w:cs="宋体"/>
          <w:color w:val="auto"/>
          <w:kern w:val="0"/>
          <w:sz w:val="24"/>
          <w:szCs w:val="24"/>
          <w:highlight w:val="none"/>
        </w:rPr>
      </w:pPr>
    </w:p>
    <w:p>
      <w:pPr>
        <w:adjustRightInd w:val="0"/>
        <w:snapToGrid w:val="0"/>
        <w:spacing w:line="360" w:lineRule="auto"/>
        <w:rPr>
          <w:rFonts w:ascii="宋体" w:hAnsi="宋体" w:cs="宋体"/>
          <w:color w:val="auto"/>
          <w:kern w:val="0"/>
          <w:sz w:val="24"/>
          <w:szCs w:val="24"/>
          <w:highlight w:val="none"/>
        </w:rPr>
      </w:pPr>
    </w:p>
    <w:p>
      <w:pPr>
        <w:adjustRightInd w:val="0"/>
        <w:snapToGrid w:val="0"/>
        <w:spacing w:line="360" w:lineRule="auto"/>
        <w:rPr>
          <w:rFonts w:ascii="宋体" w:hAnsi="宋体" w:cs="宋体"/>
          <w:color w:val="auto"/>
          <w:kern w:val="0"/>
          <w:sz w:val="24"/>
          <w:szCs w:val="24"/>
          <w:highlight w:val="none"/>
        </w:rPr>
      </w:pPr>
    </w:p>
    <w:p>
      <w:pPr>
        <w:adjustRightInd w:val="0"/>
        <w:snapToGrid w:val="0"/>
        <w:spacing w:line="360" w:lineRule="auto"/>
        <w:rPr>
          <w:rFonts w:ascii="宋体" w:hAnsi="宋体" w:cs="宋体"/>
          <w:color w:val="auto"/>
          <w:kern w:val="0"/>
          <w:sz w:val="24"/>
          <w:szCs w:val="24"/>
          <w:highlight w:val="none"/>
        </w:rPr>
      </w:pPr>
    </w:p>
    <w:p>
      <w:pPr>
        <w:adjustRightInd w:val="0"/>
        <w:snapToGrid w:val="0"/>
        <w:spacing w:line="360" w:lineRule="auto"/>
        <w:rPr>
          <w:rFonts w:ascii="宋体" w:hAnsi="宋体" w:cs="宋体"/>
          <w:color w:val="auto"/>
          <w:kern w:val="0"/>
          <w:sz w:val="24"/>
          <w:szCs w:val="24"/>
          <w:highlight w:val="none"/>
        </w:rPr>
      </w:pPr>
    </w:p>
    <w:p>
      <w:pPr>
        <w:adjustRightInd w:val="0"/>
        <w:snapToGrid w:val="0"/>
        <w:spacing w:line="360" w:lineRule="auto"/>
        <w:rPr>
          <w:rFonts w:ascii="宋体" w:hAnsi="宋体" w:cs="宋体"/>
          <w:color w:val="auto"/>
          <w:kern w:val="0"/>
          <w:sz w:val="24"/>
          <w:szCs w:val="24"/>
          <w:highlight w:val="none"/>
        </w:rPr>
      </w:pPr>
    </w:p>
    <w:p>
      <w:pPr>
        <w:adjustRightInd w:val="0"/>
        <w:snapToGrid w:val="0"/>
        <w:spacing w:line="360" w:lineRule="auto"/>
        <w:rPr>
          <w:rFonts w:ascii="宋体" w:hAnsi="宋体" w:cs="宋体"/>
          <w:color w:val="auto"/>
          <w:kern w:val="0"/>
          <w:sz w:val="24"/>
          <w:szCs w:val="24"/>
          <w:highlight w:val="none"/>
        </w:rPr>
      </w:pPr>
    </w:p>
    <w:p>
      <w:pPr>
        <w:adjustRightInd w:val="0"/>
        <w:snapToGrid w:val="0"/>
        <w:spacing w:line="360" w:lineRule="auto"/>
        <w:rPr>
          <w:rFonts w:ascii="宋体" w:hAnsi="宋体" w:cs="宋体"/>
          <w:color w:val="auto"/>
          <w:kern w:val="0"/>
          <w:sz w:val="24"/>
          <w:szCs w:val="24"/>
          <w:highlight w:val="none"/>
        </w:rPr>
      </w:pPr>
    </w:p>
    <w:p>
      <w:pPr>
        <w:adjustRightInd w:val="0"/>
        <w:snapToGrid w:val="0"/>
        <w:spacing w:line="360" w:lineRule="auto"/>
        <w:rPr>
          <w:rFonts w:ascii="宋体" w:hAnsi="宋体" w:cs="宋体"/>
          <w:color w:val="auto"/>
          <w:kern w:val="0"/>
          <w:sz w:val="24"/>
          <w:szCs w:val="24"/>
          <w:highlight w:val="none"/>
        </w:rPr>
      </w:pPr>
    </w:p>
    <w:p>
      <w:pPr>
        <w:adjustRightInd w:val="0"/>
        <w:snapToGrid w:val="0"/>
        <w:spacing w:line="360" w:lineRule="auto"/>
        <w:rPr>
          <w:rFonts w:ascii="宋体" w:hAnsi="宋体" w:cs="宋体"/>
          <w:color w:val="auto"/>
          <w:kern w:val="0"/>
          <w:sz w:val="24"/>
          <w:szCs w:val="24"/>
          <w:highlight w:val="none"/>
        </w:rPr>
      </w:pPr>
    </w:p>
    <w:p>
      <w:pPr>
        <w:adjustRightInd w:val="0"/>
        <w:snapToGrid w:val="0"/>
        <w:spacing w:line="360" w:lineRule="auto"/>
        <w:rPr>
          <w:rFonts w:ascii="宋体" w:hAnsi="宋体" w:cs="宋体"/>
          <w:color w:val="auto"/>
          <w:kern w:val="0"/>
          <w:sz w:val="24"/>
          <w:szCs w:val="24"/>
          <w:highlight w:val="none"/>
        </w:rPr>
      </w:pPr>
    </w:p>
    <w:p>
      <w:pPr>
        <w:adjustRightInd w:val="0"/>
        <w:snapToGrid w:val="0"/>
        <w:spacing w:line="360" w:lineRule="auto"/>
        <w:rPr>
          <w:rFonts w:ascii="宋体" w:hAnsi="宋体" w:cs="宋体"/>
          <w:color w:val="auto"/>
          <w:kern w:val="0"/>
          <w:sz w:val="24"/>
          <w:szCs w:val="24"/>
          <w:highlight w:val="none"/>
        </w:rPr>
      </w:pPr>
    </w:p>
    <w:p>
      <w:pPr>
        <w:adjustRightInd w:val="0"/>
        <w:snapToGrid w:val="0"/>
        <w:spacing w:line="360" w:lineRule="auto"/>
        <w:rPr>
          <w:rFonts w:ascii="宋体" w:hAnsi="宋体" w:cs="宋体"/>
          <w:color w:val="auto"/>
          <w:kern w:val="0"/>
          <w:sz w:val="24"/>
          <w:szCs w:val="24"/>
          <w:highlight w:val="none"/>
        </w:rPr>
      </w:pPr>
    </w:p>
    <w:p>
      <w:pPr>
        <w:adjustRightInd w:val="0"/>
        <w:snapToGrid w:val="0"/>
        <w:spacing w:line="360" w:lineRule="auto"/>
        <w:rPr>
          <w:rFonts w:ascii="宋体" w:hAnsi="宋体" w:cs="宋体"/>
          <w:color w:val="auto"/>
          <w:kern w:val="0"/>
          <w:sz w:val="24"/>
          <w:szCs w:val="24"/>
          <w:highlight w:val="none"/>
        </w:rPr>
      </w:pPr>
    </w:p>
    <w:p>
      <w:pPr>
        <w:adjustRightInd w:val="0"/>
        <w:snapToGrid w:val="0"/>
        <w:spacing w:line="360" w:lineRule="auto"/>
        <w:rPr>
          <w:rFonts w:ascii="宋体" w:hAnsi="宋体" w:cs="宋体"/>
          <w:color w:val="auto"/>
          <w:kern w:val="0"/>
          <w:sz w:val="24"/>
          <w:szCs w:val="24"/>
          <w:highlight w:val="none"/>
        </w:rPr>
      </w:pPr>
    </w:p>
    <w:p>
      <w:pPr>
        <w:adjustRightInd w:val="0"/>
        <w:snapToGrid w:val="0"/>
        <w:spacing w:line="360" w:lineRule="auto"/>
        <w:rPr>
          <w:rFonts w:ascii="宋体" w:hAnsi="宋体" w:cs="宋体"/>
          <w:color w:val="auto"/>
          <w:kern w:val="0"/>
          <w:sz w:val="24"/>
          <w:szCs w:val="24"/>
          <w:highlight w:val="none"/>
        </w:rPr>
      </w:pPr>
    </w:p>
    <w:p>
      <w:pPr>
        <w:adjustRightInd w:val="0"/>
        <w:snapToGrid w:val="0"/>
        <w:spacing w:line="360" w:lineRule="auto"/>
        <w:rPr>
          <w:rFonts w:ascii="宋体" w:hAnsi="宋体" w:cs="宋体"/>
          <w:color w:val="auto"/>
          <w:kern w:val="0"/>
          <w:sz w:val="24"/>
          <w:szCs w:val="24"/>
          <w:highlight w:val="none"/>
        </w:rPr>
      </w:pPr>
    </w:p>
    <w:p>
      <w:pPr>
        <w:adjustRightInd w:val="0"/>
        <w:snapToGrid w:val="0"/>
        <w:spacing w:line="360" w:lineRule="auto"/>
        <w:rPr>
          <w:rFonts w:ascii="宋体" w:hAnsi="宋体" w:cs="宋体"/>
          <w:color w:val="auto"/>
          <w:kern w:val="0"/>
          <w:sz w:val="24"/>
          <w:szCs w:val="24"/>
          <w:highlight w:val="none"/>
        </w:rPr>
      </w:pPr>
    </w:p>
    <w:p>
      <w:pPr>
        <w:adjustRightInd w:val="0"/>
        <w:snapToGrid w:val="0"/>
        <w:spacing w:line="360" w:lineRule="auto"/>
        <w:rPr>
          <w:rFonts w:ascii="宋体" w:hAnsi="宋体" w:cs="宋体"/>
          <w:color w:val="auto"/>
          <w:kern w:val="0"/>
          <w:sz w:val="24"/>
          <w:szCs w:val="24"/>
          <w:highlight w:val="none"/>
        </w:rPr>
      </w:pPr>
    </w:p>
    <w:p>
      <w:pPr>
        <w:adjustRightInd w:val="0"/>
        <w:snapToGrid w:val="0"/>
        <w:spacing w:line="360" w:lineRule="auto"/>
        <w:rPr>
          <w:rFonts w:ascii="宋体" w:hAnsi="宋体" w:cs="宋体"/>
          <w:color w:val="auto"/>
          <w:kern w:val="0"/>
          <w:sz w:val="24"/>
          <w:szCs w:val="24"/>
          <w:highlight w:val="none"/>
        </w:rPr>
      </w:pPr>
    </w:p>
    <w:p>
      <w:pPr>
        <w:adjustRightInd w:val="0"/>
        <w:snapToGrid w:val="0"/>
        <w:spacing w:line="360" w:lineRule="auto"/>
        <w:rPr>
          <w:rFonts w:ascii="宋体" w:hAnsi="宋体" w:cs="宋体"/>
          <w:color w:val="auto"/>
          <w:kern w:val="0"/>
          <w:sz w:val="24"/>
          <w:szCs w:val="24"/>
          <w:highlight w:val="none"/>
        </w:rPr>
      </w:pPr>
    </w:p>
    <w:p>
      <w:pPr>
        <w:adjustRightInd w:val="0"/>
        <w:snapToGrid w:val="0"/>
        <w:spacing w:line="360" w:lineRule="auto"/>
        <w:rPr>
          <w:rFonts w:ascii="宋体" w:hAnsi="宋体" w:cs="宋体"/>
          <w:color w:val="auto"/>
          <w:kern w:val="0"/>
          <w:sz w:val="24"/>
          <w:szCs w:val="24"/>
          <w:highlight w:val="none"/>
        </w:rPr>
      </w:pPr>
    </w:p>
    <w:p>
      <w:pPr>
        <w:adjustRightInd w:val="0"/>
        <w:snapToGrid w:val="0"/>
        <w:spacing w:line="360" w:lineRule="auto"/>
        <w:rPr>
          <w:rFonts w:ascii="宋体" w:hAnsi="宋体" w:cs="宋体"/>
          <w:color w:val="auto"/>
          <w:kern w:val="0"/>
          <w:sz w:val="24"/>
          <w:szCs w:val="24"/>
          <w:highlight w:val="none"/>
        </w:rPr>
      </w:pPr>
    </w:p>
    <w:p>
      <w:pPr>
        <w:adjustRightInd w:val="0"/>
        <w:snapToGrid w:val="0"/>
        <w:spacing w:line="360" w:lineRule="auto"/>
        <w:rPr>
          <w:rFonts w:ascii="宋体" w:hAnsi="宋体" w:cs="宋体"/>
          <w:color w:val="auto"/>
          <w:kern w:val="0"/>
          <w:sz w:val="24"/>
          <w:szCs w:val="24"/>
          <w:highlight w:val="none"/>
        </w:rPr>
      </w:pPr>
    </w:p>
    <w:p>
      <w:pPr>
        <w:adjustRightInd w:val="0"/>
        <w:snapToGrid w:val="0"/>
        <w:spacing w:line="360" w:lineRule="auto"/>
        <w:rPr>
          <w:rFonts w:ascii="宋体" w:hAnsi="宋体" w:cs="宋体"/>
          <w:color w:val="auto"/>
          <w:kern w:val="0"/>
          <w:sz w:val="24"/>
          <w:szCs w:val="24"/>
          <w:highlight w:val="none"/>
        </w:rPr>
      </w:pPr>
    </w:p>
    <w:p>
      <w:pPr>
        <w:adjustRightInd w:val="0"/>
        <w:snapToGrid w:val="0"/>
        <w:spacing w:line="360" w:lineRule="auto"/>
        <w:rPr>
          <w:rFonts w:ascii="宋体" w:hAnsi="宋体" w:cs="宋体"/>
          <w:color w:val="auto"/>
          <w:kern w:val="0"/>
          <w:sz w:val="24"/>
          <w:szCs w:val="24"/>
          <w:highlight w:val="none"/>
        </w:rPr>
      </w:pPr>
    </w:p>
    <w:p>
      <w:pPr>
        <w:adjustRightInd w:val="0"/>
        <w:snapToGrid w:val="0"/>
        <w:spacing w:line="360" w:lineRule="auto"/>
        <w:rPr>
          <w:rFonts w:ascii="宋体" w:hAnsi="宋体" w:cs="宋体"/>
          <w:b/>
          <w:color w:val="auto"/>
          <w:kern w:val="0"/>
          <w:sz w:val="24"/>
          <w:szCs w:val="24"/>
          <w:highlight w:val="none"/>
        </w:rPr>
      </w:pPr>
      <w:r>
        <w:rPr>
          <w:rFonts w:hint="eastAsia" w:ascii="宋体" w:hAnsi="宋体"/>
          <w:color w:val="auto"/>
          <w:sz w:val="24"/>
          <w:szCs w:val="24"/>
          <w:highlight w:val="none"/>
        </w:rPr>
        <w:br w:type="page"/>
      </w:r>
      <w:r>
        <w:rPr>
          <w:rFonts w:hint="eastAsia" w:ascii="宋体" w:hAnsi="宋体" w:cs="宋体"/>
          <w:color w:val="auto"/>
          <w:spacing w:val="4"/>
          <w:kern w:val="0"/>
          <w:sz w:val="24"/>
          <w:szCs w:val="24"/>
          <w:highlight w:val="none"/>
        </w:rPr>
        <w:t>合同协议书附2：</w:t>
      </w:r>
      <w:r>
        <w:rPr>
          <w:rFonts w:hint="eastAsia" w:ascii="宋体" w:hAnsi="宋体" w:cs="宋体"/>
          <w:b/>
          <w:color w:val="auto"/>
          <w:kern w:val="0"/>
          <w:sz w:val="24"/>
          <w:szCs w:val="24"/>
          <w:highlight w:val="none"/>
        </w:rPr>
        <w:t>招标澄清、答疑文件</w:t>
      </w:r>
    </w:p>
    <w:p>
      <w:pPr>
        <w:adjustRightInd w:val="0"/>
        <w:snapToGrid w:val="0"/>
        <w:spacing w:line="360" w:lineRule="auto"/>
        <w:jc w:val="center"/>
        <w:outlineLvl w:val="1"/>
        <w:rPr>
          <w:rFonts w:ascii="宋体" w:hAnsi="宋体" w:cs="宋体"/>
          <w:color w:val="auto"/>
          <w:kern w:val="0"/>
          <w:sz w:val="24"/>
          <w:szCs w:val="24"/>
          <w:highlight w:val="none"/>
        </w:rPr>
      </w:pPr>
      <w:r>
        <w:rPr>
          <w:rFonts w:hint="eastAsia" w:ascii="宋体" w:hAnsi="宋体"/>
          <w:color w:val="auto"/>
          <w:sz w:val="24"/>
          <w:szCs w:val="24"/>
          <w:highlight w:val="none"/>
        </w:rPr>
        <w:br w:type="page"/>
      </w:r>
      <w:r>
        <w:rPr>
          <w:rFonts w:hint="eastAsia" w:ascii="宋体" w:hAnsi="宋体" w:cs="宋体"/>
          <w:b/>
          <w:color w:val="auto"/>
          <w:kern w:val="0"/>
          <w:sz w:val="44"/>
          <w:szCs w:val="44"/>
          <w:highlight w:val="none"/>
        </w:rPr>
        <w:t>第二篇  合同条款</w:t>
      </w:r>
    </w:p>
    <w:p>
      <w:pPr>
        <w:pStyle w:val="3"/>
        <w:keepNext w:val="0"/>
        <w:keepLines w:val="0"/>
        <w:widowControl/>
        <w:spacing w:before="0" w:after="0" w:line="410" w:lineRule="auto"/>
        <w:jc w:val="center"/>
        <w:rPr>
          <w:rFonts w:ascii="宋体" w:hAnsi="宋体" w:cs="宋体"/>
          <w:color w:val="auto"/>
          <w:highlight w:val="none"/>
        </w:rPr>
      </w:pPr>
      <w:r>
        <w:rPr>
          <w:rFonts w:hint="eastAsia" w:ascii="宋体" w:hAnsi="宋体" w:cs="宋体"/>
          <w:color w:val="auto"/>
          <w:kern w:val="0"/>
          <w:highlight w:val="none"/>
        </w:rPr>
        <w:t>总  则</w:t>
      </w:r>
    </w:p>
    <w:p>
      <w:pPr>
        <w:adjustRightInd w:val="0"/>
        <w:snapToGrid w:val="0"/>
        <w:spacing w:line="360" w:lineRule="auto"/>
        <w:ind w:firstLine="480" w:firstLineChars="200"/>
        <w:rPr>
          <w:rFonts w:ascii="宋体" w:hAnsi="宋体" w:cs="宋体"/>
          <w:color w:val="auto"/>
          <w:kern w:val="0"/>
          <w:sz w:val="24"/>
          <w:szCs w:val="24"/>
          <w:highlight w:val="none"/>
        </w:rPr>
      </w:pP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一、</w:t>
      </w:r>
      <w:r>
        <w:rPr>
          <w:rFonts w:hint="eastAsia" w:ascii="宋体" w:hAnsi="宋体" w:cs="宋体"/>
          <w:color w:val="auto"/>
          <w:kern w:val="0"/>
          <w:sz w:val="24"/>
          <w:szCs w:val="24"/>
          <w:highlight w:val="none"/>
        </w:rPr>
        <w:t>根据项目勘察、设计管理相关规定和本项目管理实际，本合同工程将实行社会化、专业化、信息化的管理模式。甲方将委托具有相应资质等级的施工图审查单位，负责本合同工程施工图审查工作。</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二、</w:t>
      </w:r>
      <w:r>
        <w:rPr>
          <w:rFonts w:hint="eastAsia" w:ascii="宋体" w:hAnsi="宋体" w:cs="宋体"/>
          <w:color w:val="auto"/>
          <w:kern w:val="0"/>
          <w:sz w:val="24"/>
          <w:szCs w:val="24"/>
          <w:highlight w:val="none"/>
        </w:rPr>
        <w:t>乙方承诺遵守甲方所制订的针对本合同工程管理的各项制度、规定，这些管理制度、规定必须符合下列原则：</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（1）符合国家、广东省、广州市的有关法律法规、规范和标准；</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（2）符合对本合同工程进行有效管理的基本精神和要求；</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（3）为确保勘察、设计质量、进度、效果所必须；</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（4）不是针对某一特定的勘察、设计人。 </w:t>
      </w:r>
    </w:p>
    <w:p>
      <w:pPr>
        <w:adjustRightInd w:val="0"/>
        <w:snapToGrid w:val="0"/>
        <w:spacing w:line="360" w:lineRule="auto"/>
        <w:ind w:firstLine="480" w:firstLineChars="200"/>
        <w:rPr>
          <w:rFonts w:ascii="宋体" w:hAnsi="宋体" w:cs="宋体"/>
          <w:color w:val="auto"/>
          <w:kern w:val="0"/>
          <w:sz w:val="24"/>
          <w:szCs w:val="24"/>
          <w:highlight w:val="none"/>
        </w:rPr>
      </w:pPr>
    </w:p>
    <w:p>
      <w:pPr>
        <w:pStyle w:val="3"/>
        <w:keepNext w:val="0"/>
        <w:keepLines w:val="0"/>
        <w:widowControl/>
        <w:spacing w:before="0" w:after="0" w:line="410" w:lineRule="auto"/>
        <w:jc w:val="center"/>
        <w:rPr>
          <w:rFonts w:ascii="宋体" w:hAnsi="宋体" w:cs="宋体"/>
          <w:color w:val="auto"/>
          <w:sz w:val="24"/>
          <w:szCs w:val="24"/>
          <w:highlight w:val="none"/>
        </w:rPr>
      </w:pPr>
      <w:r>
        <w:rPr>
          <w:rFonts w:hint="eastAsia" w:ascii="宋体" w:hAnsi="宋体" w:cs="宋体"/>
          <w:color w:val="auto"/>
          <w:kern w:val="0"/>
          <w:highlight w:val="none"/>
        </w:rPr>
        <w:t>第一章  一般规定</w:t>
      </w:r>
    </w:p>
    <w:p>
      <w:pPr>
        <w:adjustRightInd w:val="0"/>
        <w:snapToGrid w:val="0"/>
        <w:spacing w:line="360" w:lineRule="auto"/>
        <w:ind w:firstLine="472" w:firstLineChars="196"/>
        <w:outlineLvl w:val="2"/>
        <w:rPr>
          <w:rFonts w:ascii="宋体" w:hAnsi="宋体" w:cs="宋体"/>
          <w:b/>
          <w:color w:val="auto"/>
          <w:kern w:val="0"/>
          <w:sz w:val="24"/>
          <w:szCs w:val="24"/>
          <w:highlight w:val="none"/>
        </w:rPr>
      </w:pPr>
    </w:p>
    <w:p>
      <w:pPr>
        <w:adjustRightInd w:val="0"/>
        <w:snapToGrid w:val="0"/>
        <w:spacing w:line="360" w:lineRule="auto"/>
        <w:ind w:firstLine="472" w:firstLineChars="196"/>
        <w:outlineLvl w:val="2"/>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1、词语定义</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1.1</w:t>
      </w:r>
      <w:r>
        <w:rPr>
          <w:rFonts w:hint="eastAsia" w:ascii="宋体" w:hAnsi="宋体" w:cs="宋体"/>
          <w:color w:val="auto"/>
          <w:kern w:val="0"/>
          <w:sz w:val="24"/>
          <w:szCs w:val="24"/>
          <w:highlight w:val="none"/>
        </w:rPr>
        <w:t>本合同工程：指</w:t>
      </w:r>
      <w:r>
        <w:rPr>
          <w:rFonts w:hint="eastAsia" w:ascii="宋体" w:hAnsi="宋体" w:cs="宋体"/>
          <w:color w:val="auto"/>
          <w:kern w:val="0"/>
          <w:sz w:val="24"/>
          <w:szCs w:val="24"/>
          <w:highlight w:val="none"/>
          <w:u w:val="single"/>
          <w:lang w:eastAsia="zh-CN"/>
        </w:rPr>
        <w:t>广州法治大厦项目</w:t>
      </w:r>
      <w:r>
        <w:rPr>
          <w:rFonts w:hint="eastAsia" w:ascii="宋体" w:hAnsi="宋体" w:cs="宋体"/>
          <w:color w:val="auto"/>
          <w:kern w:val="0"/>
          <w:sz w:val="24"/>
          <w:szCs w:val="24"/>
          <w:highlight w:val="none"/>
        </w:rPr>
        <w:t>。</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1.2</w:t>
      </w:r>
      <w:r>
        <w:rPr>
          <w:rFonts w:hint="eastAsia" w:ascii="宋体" w:hAnsi="宋体" w:cs="宋体"/>
          <w:color w:val="auto"/>
          <w:kern w:val="0"/>
          <w:sz w:val="24"/>
          <w:szCs w:val="24"/>
          <w:highlight w:val="none"/>
        </w:rPr>
        <w:t>甲方：指具有本合同工程勘察设计发包主体资格和审核确认本合同工程勘察、设计合同价款能力的当事人，在本合同中特指广州市重点公共建设项目管理中心及其合法继承人。</w:t>
      </w:r>
    </w:p>
    <w:p>
      <w:pPr>
        <w:adjustRightInd w:val="0"/>
        <w:snapToGrid w:val="0"/>
        <w:spacing w:line="360" w:lineRule="auto"/>
        <w:ind w:left="118" w:leftChars="56" w:firstLine="361" w:firstLineChars="15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1.3</w:t>
      </w:r>
      <w:r>
        <w:rPr>
          <w:rFonts w:hint="eastAsia" w:ascii="宋体" w:hAnsi="宋体" w:cs="宋体"/>
          <w:color w:val="auto"/>
          <w:kern w:val="0"/>
          <w:sz w:val="24"/>
          <w:szCs w:val="24"/>
          <w:highlight w:val="none"/>
        </w:rPr>
        <w:t>乙方：指在本合同中约定，被甲方接受的具有（</w:t>
      </w:r>
      <w:r>
        <w:rPr>
          <w:rFonts w:ascii="Wingdings 2" w:hAnsi="Wingdings 2" w:eastAsia="Wingdings 2" w:cs="Wingdings 2"/>
          <w:color w:val="auto"/>
          <w:sz w:val="24"/>
          <w:szCs w:val="24"/>
          <w:highlight w:val="none"/>
        </w:rPr>
        <w:t></w:t>
      </w:r>
      <w:r>
        <w:rPr>
          <w:rFonts w:hint="eastAsia" w:ascii="宋体" w:hAnsi="宋体" w:cs="宋体"/>
          <w:color w:val="auto"/>
          <w:kern w:val="0"/>
          <w:sz w:val="24"/>
          <w:szCs w:val="24"/>
          <w:highlight w:val="none"/>
        </w:rPr>
        <w:t>工程勘察设计总承包，</w:t>
      </w:r>
      <w:r>
        <w:rPr>
          <w:rFonts w:hint="eastAsia" w:ascii="宋体" w:hAnsi="宋体" w:cs="宋体"/>
          <w:bCs/>
          <w:color w:val="auto"/>
          <w:kern w:val="0"/>
          <w:sz w:val="24"/>
          <w:szCs w:val="24"/>
          <w:highlight w:val="none"/>
        </w:rPr>
        <w:t>□</w:t>
      </w:r>
      <w:r>
        <w:rPr>
          <w:rFonts w:hint="eastAsia" w:ascii="宋体" w:hAnsi="宋体" w:cs="宋体"/>
          <w:color w:val="auto"/>
          <w:kern w:val="0"/>
          <w:sz w:val="24"/>
          <w:szCs w:val="24"/>
          <w:highlight w:val="none"/>
        </w:rPr>
        <w:t>工程设计承包）主体资格的当事人以及取得该当事人资格的合法继承人。</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1.4</w:t>
      </w:r>
      <w:r>
        <w:rPr>
          <w:rFonts w:hint="eastAsia" w:ascii="宋体" w:hAnsi="宋体" w:cs="宋体"/>
          <w:color w:val="auto"/>
          <w:kern w:val="0"/>
          <w:sz w:val="24"/>
          <w:szCs w:val="24"/>
          <w:highlight w:val="none"/>
        </w:rPr>
        <w:t>专业勘察、设计单位：指与甲方直接签订勘察、设计合同且具有专项工程勘察、设计承包主体资格的当事人以及取得该当事人资格的合法继承人，即甲方另行发包单位；或者按照本合同约定与乙方签订勘察、设计分包合同且具有专项工程勘察、设计承包主体资格的当事人以及取得该当事人资格的合法继承人，即乙方分包单位。</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1.5</w:t>
      </w:r>
      <w:r>
        <w:rPr>
          <w:rFonts w:hint="eastAsia" w:ascii="宋体" w:hAnsi="宋体" w:cs="宋体"/>
          <w:color w:val="auto"/>
          <w:kern w:val="0"/>
          <w:sz w:val="24"/>
          <w:szCs w:val="24"/>
          <w:highlight w:val="none"/>
        </w:rPr>
        <w:t>项目负责人：指乙方委派的负责本合同工程(</w:t>
      </w:r>
      <w:r>
        <w:rPr>
          <w:rFonts w:hint="eastAsia" w:ascii="宋体" w:hAnsi="宋体" w:cs="宋体"/>
          <w:bCs/>
          <w:color w:val="auto"/>
          <w:kern w:val="0"/>
          <w:sz w:val="24"/>
          <w:szCs w:val="24"/>
          <w:highlight w:val="none"/>
        </w:rPr>
        <w:t>□</w:t>
      </w:r>
      <w:r>
        <w:rPr>
          <w:rFonts w:hint="eastAsia" w:ascii="宋体" w:hAnsi="宋体" w:cs="宋体"/>
          <w:color w:val="auto"/>
          <w:kern w:val="0"/>
          <w:sz w:val="24"/>
          <w:szCs w:val="24"/>
          <w:highlight w:val="none"/>
        </w:rPr>
        <w:t>勘察、</w:t>
      </w:r>
      <w:r>
        <w:rPr>
          <w:rFonts w:hint="eastAsia" w:ascii="宋体" w:hAnsi="宋体" w:cs="宋体"/>
          <w:bCs/>
          <w:color w:val="auto"/>
          <w:kern w:val="0"/>
          <w:sz w:val="24"/>
          <w:szCs w:val="24"/>
          <w:highlight w:val="none"/>
        </w:rPr>
        <w:t>□</w:t>
      </w:r>
      <w:r>
        <w:rPr>
          <w:rFonts w:hint="eastAsia" w:ascii="宋体" w:hAnsi="宋体" w:cs="宋体"/>
          <w:color w:val="auto"/>
          <w:kern w:val="0"/>
          <w:sz w:val="24"/>
          <w:szCs w:val="24"/>
          <w:highlight w:val="none"/>
        </w:rPr>
        <w:t>设计管理、</w:t>
      </w:r>
      <w:r>
        <w:rPr>
          <w:rFonts w:ascii="Wingdings 2" w:hAnsi="Wingdings 2" w:eastAsia="Wingdings 2" w:cs="Wingdings 2"/>
          <w:color w:val="auto"/>
          <w:sz w:val="24"/>
          <w:szCs w:val="24"/>
          <w:highlight w:val="none"/>
        </w:rPr>
        <w:t></w:t>
      </w:r>
      <w:r>
        <w:rPr>
          <w:rFonts w:hint="eastAsia" w:ascii="宋体" w:hAnsi="宋体" w:cs="宋体"/>
          <w:color w:val="auto"/>
          <w:kern w:val="0"/>
          <w:sz w:val="24"/>
          <w:szCs w:val="24"/>
          <w:highlight w:val="none"/>
        </w:rPr>
        <w:t>勘察设计总承包管理）和履行合同的代表。</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1.6</w:t>
      </w:r>
      <w:r>
        <w:rPr>
          <w:rFonts w:hint="eastAsia" w:ascii="宋体" w:hAnsi="宋体" w:cs="宋体"/>
          <w:color w:val="auto"/>
          <w:kern w:val="0"/>
          <w:sz w:val="24"/>
          <w:szCs w:val="24"/>
          <w:highlight w:val="none"/>
        </w:rPr>
        <w:t>(</w:t>
      </w:r>
      <w:r>
        <w:rPr>
          <w:rFonts w:ascii="Wingdings 2" w:hAnsi="Wingdings 2" w:eastAsia="Wingdings 2" w:cs="Wingdings 2"/>
          <w:color w:val="auto"/>
          <w:sz w:val="24"/>
          <w:szCs w:val="24"/>
          <w:highlight w:val="none"/>
        </w:rPr>
        <w:t></w:t>
      </w:r>
      <w:r>
        <w:rPr>
          <w:rFonts w:hint="eastAsia" w:ascii="宋体" w:hAnsi="宋体" w:cs="宋体"/>
          <w:color w:val="auto"/>
          <w:kern w:val="0"/>
          <w:sz w:val="24"/>
          <w:szCs w:val="24"/>
          <w:highlight w:val="none"/>
        </w:rPr>
        <w:t>勘察设计总承包，</w:t>
      </w:r>
      <w:r>
        <w:rPr>
          <w:rFonts w:hint="eastAsia" w:ascii="宋体" w:hAnsi="宋体" w:cs="宋体"/>
          <w:bCs/>
          <w:color w:val="auto"/>
          <w:kern w:val="0"/>
          <w:sz w:val="24"/>
          <w:szCs w:val="24"/>
          <w:highlight w:val="none"/>
        </w:rPr>
        <w:t xml:space="preserve"> □</w:t>
      </w:r>
      <w:r>
        <w:rPr>
          <w:rFonts w:hint="eastAsia" w:ascii="宋体" w:hAnsi="宋体" w:cs="宋体"/>
          <w:color w:val="auto"/>
          <w:kern w:val="0"/>
          <w:sz w:val="24"/>
          <w:szCs w:val="24"/>
          <w:highlight w:val="none"/>
        </w:rPr>
        <w:t>设计承包)单位：在本合同中特指乙方。</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1.7</w:t>
      </w:r>
      <w:r>
        <w:rPr>
          <w:rFonts w:hint="eastAsia" w:ascii="宋体" w:hAnsi="宋体" w:cs="宋体"/>
          <w:color w:val="auto"/>
          <w:kern w:val="0"/>
          <w:sz w:val="24"/>
          <w:szCs w:val="24"/>
          <w:highlight w:val="none"/>
        </w:rPr>
        <w:t>勘察设计总承包管理：指乙方按照本合同约定及项目建设管理需要对其总承包管理范围内的专业勘察、设计单位在勘察、设计的进度、质量、安全、工程投资控制和勘察、设计配合协调、接口衔接等方面的管理。</w:t>
      </w:r>
    </w:p>
    <w:p>
      <w:pPr>
        <w:adjustRightInd w:val="0"/>
        <w:snapToGrid w:val="0"/>
        <w:spacing w:line="360" w:lineRule="auto"/>
        <w:ind w:firstLine="482" w:firstLineChars="200"/>
        <w:rPr>
          <w:rFonts w:ascii="宋体" w:hAnsi="宋体" w:cs="宋体"/>
          <w:color w:val="auto"/>
          <w:kern w:val="0"/>
          <w:sz w:val="24"/>
          <w:szCs w:val="24"/>
          <w:highlight w:val="none"/>
          <w:u w:val="single"/>
        </w:rPr>
      </w:pPr>
      <w:r>
        <w:rPr>
          <w:rFonts w:hint="eastAsia" w:ascii="宋体" w:hAnsi="宋体" w:cs="宋体"/>
          <w:b/>
          <w:color w:val="auto"/>
          <w:kern w:val="0"/>
          <w:sz w:val="24"/>
          <w:szCs w:val="24"/>
          <w:highlight w:val="none"/>
        </w:rPr>
        <w:t>1.8</w:t>
      </w:r>
      <w:r>
        <w:rPr>
          <w:rFonts w:hint="eastAsia" w:ascii="宋体" w:hAnsi="宋体" w:cs="宋体"/>
          <w:color w:val="auto"/>
          <w:kern w:val="0"/>
          <w:sz w:val="24"/>
          <w:szCs w:val="24"/>
          <w:highlight w:val="none"/>
        </w:rPr>
        <w:t>施工图审查单位：指受甲方委托负责本合同工程施工勘察设计成果文件审查并具有相应资质的单位。</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本合同工程的施工图审查单位由甲方另行通知。</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1.9</w:t>
      </w:r>
      <w:r>
        <w:rPr>
          <w:rFonts w:hint="eastAsia" w:ascii="宋体" w:hAnsi="宋体" w:cs="宋体"/>
          <w:color w:val="auto"/>
          <w:kern w:val="0"/>
          <w:sz w:val="24"/>
          <w:szCs w:val="24"/>
          <w:highlight w:val="none"/>
        </w:rPr>
        <w:t>甲方驻场代表：指甲方委派的履行本合同的驻场代表。</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1.10</w:t>
      </w:r>
      <w:r>
        <w:rPr>
          <w:rFonts w:hint="eastAsia" w:ascii="宋体" w:hAnsi="宋体" w:cs="宋体"/>
          <w:color w:val="auto"/>
          <w:kern w:val="0"/>
          <w:sz w:val="24"/>
          <w:szCs w:val="24"/>
          <w:highlight w:val="none"/>
        </w:rPr>
        <w:t>勘察、设计管理部门：指国务院有关部门、县级以上人民政府建设行政主管部门或机构。</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1.11</w:t>
      </w:r>
      <w:r>
        <w:rPr>
          <w:rFonts w:hint="eastAsia" w:ascii="宋体" w:hAnsi="宋体" w:cs="宋体"/>
          <w:color w:val="auto"/>
          <w:kern w:val="0"/>
          <w:sz w:val="24"/>
          <w:szCs w:val="24"/>
          <w:highlight w:val="none"/>
        </w:rPr>
        <w:t>勘察、设计：指乙方在本合同中约定的承包范围内的工程勘察、设计运作和勘察、设计服务。</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1.12</w:t>
      </w:r>
      <w:r>
        <w:rPr>
          <w:rFonts w:hint="eastAsia" w:ascii="宋体" w:hAnsi="宋体" w:cs="宋体"/>
          <w:color w:val="auto"/>
          <w:kern w:val="0"/>
          <w:sz w:val="24"/>
          <w:szCs w:val="24"/>
          <w:highlight w:val="none"/>
        </w:rPr>
        <w:t>勘察、设计成果文件：指由乙方及专业勘察、设计单位提交并通过施工图审查单位的审查，且经甲方及政府相关部门批准后，能满足投资与质量控制要求和作为下阶段勘察、设计依据或能指导施工实施的各阶段勘察、设计图纸、文件、计算书及说明书（含设计变更）、效果图、政府报批所需的模型及存有AutoCAD软件生成的电子格式文件的光盘、工程估算、概算、预算、配合甲方招标工作而提供的技术规格书等技术资料。</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1.13</w:t>
      </w:r>
      <w:r>
        <w:rPr>
          <w:rFonts w:hint="eastAsia" w:ascii="宋体" w:hAnsi="宋体" w:cs="宋体"/>
          <w:color w:val="auto"/>
          <w:kern w:val="0"/>
          <w:sz w:val="24"/>
          <w:szCs w:val="24"/>
          <w:highlight w:val="none"/>
        </w:rPr>
        <w:t>工程投资估算：指以方案设计为基础编制而成，且编制深度达到国家有关的编制规定，并经甲方委托的第三方或按政府规定的评审通过的工程造价文件。</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1.14</w:t>
      </w:r>
      <w:r>
        <w:rPr>
          <w:rFonts w:hint="eastAsia" w:ascii="宋体" w:hAnsi="宋体" w:cs="宋体"/>
          <w:color w:val="auto"/>
          <w:kern w:val="0"/>
          <w:sz w:val="24"/>
          <w:szCs w:val="24"/>
          <w:highlight w:val="none"/>
        </w:rPr>
        <w:t>工程设计概算：指以初步设计为基础根据甲方关于本项目工程概算文件编制的指引文件（合同附件</w:t>
      </w: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）的相关要求编制而成，且编制深度达到国家有关的编制规定，并经甲方委托的施工图审查单位审核及有权审核部门批准的工程造价文件。</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1.15</w:t>
      </w:r>
      <w:r>
        <w:rPr>
          <w:rFonts w:hint="default" w:ascii="宋体" w:hAnsi="宋体" w:cs="宋体"/>
          <w:color w:val="auto"/>
          <w:kern w:val="0"/>
          <w:sz w:val="24"/>
          <w:szCs w:val="24"/>
          <w:highlight w:val="none"/>
        </w:rPr>
        <w:t>造价预算</w:t>
      </w:r>
      <w:r>
        <w:rPr>
          <w:rFonts w:hint="eastAsia" w:ascii="宋体" w:hAnsi="宋体" w:cs="宋体"/>
          <w:color w:val="auto"/>
          <w:kern w:val="0"/>
          <w:sz w:val="24"/>
          <w:szCs w:val="24"/>
          <w:highlight w:val="none"/>
        </w:rPr>
        <w:t>：指以通过甲方及施工图审查单位审查的施工图为基础根据甲方关于建设项目</w:t>
      </w:r>
      <w:r>
        <w:rPr>
          <w:rFonts w:hint="default" w:ascii="宋体" w:hAnsi="宋体" w:cs="宋体"/>
          <w:color w:val="auto"/>
          <w:kern w:val="0"/>
          <w:sz w:val="24"/>
          <w:szCs w:val="24"/>
          <w:highlight w:val="none"/>
        </w:rPr>
        <w:t>造价预算</w:t>
      </w:r>
      <w:r>
        <w:rPr>
          <w:rFonts w:hint="eastAsia" w:ascii="宋体" w:hAnsi="宋体" w:cs="宋体"/>
          <w:color w:val="auto"/>
          <w:kern w:val="0"/>
          <w:sz w:val="24"/>
          <w:szCs w:val="24"/>
          <w:highlight w:val="none"/>
        </w:rPr>
        <w:t>编制指引文件（合同附件</w:t>
      </w: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）的相关要求编制而成，且编制深度达到国家有关的编制规定，并经有关方面审查通过的工程造价文件。</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1.16</w:t>
      </w:r>
      <w:r>
        <w:rPr>
          <w:rFonts w:hint="eastAsia" w:ascii="宋体" w:hAnsi="宋体" w:cs="宋体"/>
          <w:color w:val="auto"/>
          <w:kern w:val="0"/>
          <w:sz w:val="24"/>
          <w:szCs w:val="24"/>
          <w:highlight w:val="none"/>
        </w:rPr>
        <w:t>合同价款：指甲、乙双方在本合同中约定，由甲方用以支付乙方按照合同约定完成勘察、设计总承包范围内工程勘察、设计、管理及服务的款项。</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1.17</w:t>
      </w:r>
      <w:r>
        <w:rPr>
          <w:rFonts w:hint="eastAsia" w:ascii="宋体" w:hAnsi="宋体" w:cs="宋体"/>
          <w:color w:val="auto"/>
          <w:kern w:val="0"/>
          <w:sz w:val="24"/>
          <w:szCs w:val="24"/>
          <w:highlight w:val="none"/>
        </w:rPr>
        <w:t>追加合同价款：指在合同履行中发生需要增加合同价款的情况，经甲方根据合同约定书面确认增加的合同价款。</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1.18</w:t>
      </w:r>
      <w:r>
        <w:rPr>
          <w:rFonts w:hint="eastAsia" w:ascii="宋体" w:hAnsi="宋体" w:cs="宋体"/>
          <w:color w:val="auto"/>
          <w:kern w:val="0"/>
          <w:sz w:val="24"/>
          <w:szCs w:val="24"/>
          <w:highlight w:val="none"/>
        </w:rPr>
        <w:t>勘察、设计周期：指甲、乙双方在本合同中约定，按总日历天数（包括法定节假日）计算的提交勘察、设计成果文件的天数。</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1.19</w:t>
      </w:r>
      <w:r>
        <w:rPr>
          <w:rFonts w:hint="eastAsia" w:ascii="宋体" w:hAnsi="宋体" w:cs="宋体"/>
          <w:color w:val="auto"/>
          <w:kern w:val="0"/>
          <w:sz w:val="24"/>
          <w:szCs w:val="24"/>
          <w:highlight w:val="none"/>
        </w:rPr>
        <w:t>勘察、设计服务：指乙方在实施本合同工程方案设计、初步设计、施工图设计、勘察、设计现场服务各阶段工作的同时向甲方提供的技术咨询与管理咨询服务以及配合解决施工过程中有关工程勘察、设计问题，协助甲方实施工程、设备与材料的采购招标工作、隐蔽工程的验收、设备与材料的看样定板、技术验收及工程验收等活动（包括乙方派出足够人员到施工现场进行勘察、设计服务）。</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1.20</w:t>
      </w:r>
      <w:r>
        <w:rPr>
          <w:rFonts w:hint="eastAsia" w:ascii="宋体" w:hAnsi="宋体" w:cs="宋体"/>
          <w:color w:val="auto"/>
          <w:kern w:val="0"/>
          <w:sz w:val="24"/>
          <w:szCs w:val="24"/>
          <w:highlight w:val="none"/>
        </w:rPr>
        <w:t>完整性：指乙方每批次交付的文件是合同及附件中规定的全部文件，并保证与提交人自己保留的该部分文件完全一致。</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1.21</w:t>
      </w:r>
      <w:r>
        <w:rPr>
          <w:rFonts w:hint="eastAsia" w:ascii="宋体" w:hAnsi="宋体" w:cs="宋体"/>
          <w:color w:val="auto"/>
          <w:kern w:val="0"/>
          <w:sz w:val="24"/>
          <w:szCs w:val="24"/>
          <w:highlight w:val="none"/>
        </w:rPr>
        <w:t>有效性：指乙方每批次交付的文件均符合合同约定并符合现行相关规范和标准规定的要求。</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1.22</w:t>
      </w:r>
      <w:r>
        <w:rPr>
          <w:rFonts w:hint="eastAsia" w:ascii="宋体" w:hAnsi="宋体" w:cs="宋体"/>
          <w:color w:val="auto"/>
          <w:kern w:val="0"/>
          <w:sz w:val="24"/>
          <w:szCs w:val="24"/>
          <w:highlight w:val="none"/>
        </w:rPr>
        <w:t>正确性：指乙方每批次交付的勘察、设计成果文件均符合本合同的有关约定，同时保证勘察、设计输入的基础资料完整、正确，勘察、设计方法、计算方法与结果、技术参数的选用正确、合理，构造合理，图面表达清楚、文字叙述准确，各专业勘察、设计协调统一。</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1.23</w:t>
      </w:r>
      <w:r>
        <w:rPr>
          <w:rFonts w:hint="eastAsia" w:ascii="宋体" w:hAnsi="宋体" w:cs="宋体"/>
          <w:color w:val="auto"/>
          <w:kern w:val="0"/>
          <w:sz w:val="24"/>
          <w:szCs w:val="24"/>
          <w:highlight w:val="none"/>
        </w:rPr>
        <w:t>经济合理性：指乙方提交的设计成果文件是在符合有效性要求的基础上，采用方案经济比选、价值工程等评价手段，经过甲方组织的评审产生确定的。</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1.24</w:t>
      </w:r>
      <w:r>
        <w:rPr>
          <w:rFonts w:hint="eastAsia" w:ascii="宋体" w:hAnsi="宋体" w:cs="宋体"/>
          <w:color w:val="auto"/>
          <w:kern w:val="0"/>
          <w:sz w:val="24"/>
          <w:szCs w:val="24"/>
          <w:highlight w:val="none"/>
        </w:rPr>
        <w:t xml:space="preserve">可靠性：指根据乙方的设计成果文件明示的条件情况投入的设备，所采用的工艺、工法满足技术控制指标要求，之后所形成的已完工程及投入使用的系统、生产工艺满足合同约定且能够在设计年限内充分、正常地实现其设计功能。 </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1.25</w:t>
      </w:r>
      <w:r>
        <w:rPr>
          <w:rFonts w:hint="eastAsia" w:ascii="宋体" w:hAnsi="宋体" w:cs="宋体"/>
          <w:color w:val="auto"/>
          <w:kern w:val="0"/>
          <w:sz w:val="24"/>
          <w:szCs w:val="24"/>
          <w:highlight w:val="none"/>
        </w:rPr>
        <w:t>先进性：指乙方的设计成果文件</w:t>
      </w:r>
      <w:r>
        <w:rPr>
          <w:rFonts w:hint="eastAsia" w:ascii="宋体" w:hAnsi="宋体" w:cs="宋体"/>
          <w:color w:val="auto"/>
          <w:sz w:val="24"/>
          <w:szCs w:val="24"/>
          <w:highlight w:val="none"/>
        </w:rPr>
        <w:t>采用国际上先进和适用的施工</w:t>
      </w:r>
      <w:r>
        <w:rPr>
          <w:rFonts w:hint="eastAsia" w:ascii="宋体" w:hAnsi="宋体" w:cs="宋体"/>
          <w:color w:val="auto"/>
          <w:kern w:val="0"/>
          <w:sz w:val="24"/>
          <w:szCs w:val="24"/>
          <w:highlight w:val="none"/>
        </w:rPr>
        <w:t>方案、技术、工艺、工法、设备</w:t>
      </w:r>
      <w:r>
        <w:rPr>
          <w:rFonts w:hint="eastAsia" w:ascii="宋体" w:hAnsi="宋体" w:cs="宋体"/>
          <w:color w:val="auto"/>
          <w:sz w:val="24"/>
          <w:szCs w:val="24"/>
          <w:highlight w:val="none"/>
        </w:rPr>
        <w:t>，或所采用的施工</w:t>
      </w:r>
      <w:r>
        <w:rPr>
          <w:rFonts w:hint="eastAsia" w:ascii="宋体" w:hAnsi="宋体" w:cs="宋体"/>
          <w:color w:val="auto"/>
          <w:kern w:val="0"/>
          <w:sz w:val="24"/>
          <w:szCs w:val="24"/>
          <w:highlight w:val="none"/>
        </w:rPr>
        <w:t>方案、技术、工艺、工法、设备为国内最优（国内同行业中技术排名前五名以内）。</w:t>
      </w:r>
    </w:p>
    <w:p>
      <w:pPr>
        <w:adjustRightInd w:val="0"/>
        <w:snapToGrid w:val="0"/>
        <w:spacing w:line="360" w:lineRule="auto"/>
        <w:ind w:firstLine="482" w:firstLineChars="200"/>
        <w:rPr>
          <w:rFonts w:ascii="宋体" w:hAnsi="宋体" w:cs="Arial"/>
          <w:b/>
          <w:color w:val="auto"/>
          <w:sz w:val="20"/>
          <w:szCs w:val="20"/>
          <w:highlight w:val="none"/>
        </w:rPr>
      </w:pPr>
      <w:r>
        <w:rPr>
          <w:rFonts w:hint="eastAsia" w:ascii="宋体" w:hAnsi="宋体" w:cs="宋体"/>
          <w:b/>
          <w:color w:val="auto"/>
          <w:kern w:val="0"/>
          <w:sz w:val="24"/>
          <w:szCs w:val="24"/>
          <w:highlight w:val="none"/>
        </w:rPr>
        <w:t>1.26</w:t>
      </w:r>
      <w:r>
        <w:rPr>
          <w:rFonts w:hint="eastAsia" w:ascii="宋体" w:hAnsi="宋体" w:cs="宋体"/>
          <w:color w:val="auto"/>
          <w:kern w:val="0"/>
          <w:sz w:val="24"/>
          <w:szCs w:val="24"/>
          <w:highlight w:val="none"/>
        </w:rPr>
        <w:t>清晰：是指每次交付的勘察、设计成果文件中的图样、线条、术语、符号、尺寸标准、文字说明等清楚准确。</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1.27</w:t>
      </w:r>
      <w:r>
        <w:rPr>
          <w:rFonts w:hint="eastAsia" w:ascii="宋体" w:hAnsi="宋体" w:cs="宋体"/>
          <w:color w:val="auto"/>
          <w:kern w:val="0"/>
          <w:sz w:val="24"/>
          <w:szCs w:val="24"/>
          <w:highlight w:val="none"/>
        </w:rPr>
        <w:t>违约责任：指合同任何一方不履行或不完全履行合同约定的义务或者履行义务不符合合同约定所应承担的责任。</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w:t>
      </w:r>
      <w:r>
        <w:rPr>
          <w:color w:val="auto"/>
          <w:highlight w:val="none"/>
        </w:rPr>
        <w:t>1</w:t>
      </w:r>
      <w:r>
        <w:rPr>
          <w:rFonts w:cs="宋体"/>
          <w:color w:val="auto"/>
          <w:highlight w:val="none"/>
        </w:rPr>
        <w:t>）一般违约责任：指虽然违反本合同的约定，但其违约行为不对本合同的履行造成严重影响而应承担的责任。</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w:t>
      </w:r>
      <w:r>
        <w:rPr>
          <w:color w:val="auto"/>
          <w:highlight w:val="none"/>
        </w:rPr>
        <w:t>2</w:t>
      </w:r>
      <w:r>
        <w:rPr>
          <w:rFonts w:cs="宋体"/>
          <w:color w:val="auto"/>
          <w:highlight w:val="none"/>
        </w:rPr>
        <w:t>）严重违约责任。指违反本合同的约定且其违约行为足以对本合同的履行造成严重或实质性的影响而应承担的责任。</w:t>
      </w:r>
    </w:p>
    <w:p>
      <w:pPr>
        <w:pStyle w:val="10"/>
        <w:adjustRightInd w:val="0"/>
        <w:snapToGrid w:val="0"/>
        <w:spacing w:beforeAutospacing="0" w:afterAutospacing="0" w:line="360" w:lineRule="auto"/>
        <w:ind w:firstLine="482" w:firstLineChars="200"/>
        <w:rPr>
          <w:rFonts w:hint="default"/>
          <w:color w:val="auto"/>
          <w:highlight w:val="none"/>
        </w:rPr>
      </w:pPr>
      <w:r>
        <w:rPr>
          <w:b/>
          <w:color w:val="auto"/>
          <w:highlight w:val="none"/>
        </w:rPr>
        <w:t xml:space="preserve">1.28 </w:t>
      </w:r>
      <w:r>
        <w:rPr>
          <w:rFonts w:cs="宋体"/>
          <w:color w:val="auto"/>
          <w:highlight w:val="none"/>
        </w:rPr>
        <w:t>设计事故：指因乙方不履行或不完全履行合同约定的义务或履行的义务不符合合同约定，对本合同项目造成极其严重恶劣影响的行为。</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1.29</w:t>
      </w:r>
      <w:r>
        <w:rPr>
          <w:rFonts w:hint="eastAsia" w:ascii="宋体" w:hAnsi="宋体" w:cs="宋体"/>
          <w:color w:val="auto"/>
          <w:kern w:val="0"/>
          <w:sz w:val="24"/>
          <w:szCs w:val="24"/>
          <w:highlight w:val="none"/>
        </w:rPr>
        <w:t>索赔：指在合同履行过程中，对于并非自己的过错，而由对方造成的实际损失，根据合同的约定，向对方提出经济补偿或其它形式的补偿要求。</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1.30</w:t>
      </w:r>
      <w:r>
        <w:rPr>
          <w:rFonts w:hint="eastAsia" w:ascii="宋体" w:hAnsi="宋体" w:cs="宋体"/>
          <w:color w:val="auto"/>
          <w:kern w:val="0"/>
          <w:sz w:val="24"/>
          <w:szCs w:val="24"/>
          <w:highlight w:val="none"/>
        </w:rPr>
        <w:t>通知、同意、指令、证明和决定：指经甲方认可或按公开、规范的程序授权的驻场代表、勘察、设计负责人分别签字或盖章的书面通知、同意、指令、证明和决定。</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1.31</w:t>
      </w:r>
      <w:r>
        <w:rPr>
          <w:rFonts w:hint="eastAsia" w:ascii="宋体" w:hAnsi="宋体" w:cs="宋体"/>
          <w:color w:val="auto"/>
          <w:kern w:val="0"/>
          <w:sz w:val="24"/>
          <w:szCs w:val="24"/>
          <w:highlight w:val="none"/>
        </w:rPr>
        <w:t>书面材料：指合同书、信件和数据电文（电报、电传、传真、电子数据交换、电子邮件）等可以有形地表现所载内容的文件。</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1.32</w:t>
      </w:r>
      <w:r>
        <w:rPr>
          <w:rFonts w:hint="eastAsia" w:ascii="宋体" w:hAnsi="宋体" w:cs="宋体"/>
          <w:color w:val="auto"/>
          <w:kern w:val="0"/>
          <w:sz w:val="24"/>
          <w:szCs w:val="24"/>
          <w:highlight w:val="none"/>
        </w:rPr>
        <w:t>天或月：规定按天计算时间的均指日历天，开始当天不计入，从次日开始计算；时限的最后一天是休息日或其他法定节假日的，以休息日或其他法定节假日结束后的次日为时限的最后一天；时限最后一天的截止时间为当日24时。月指日历月。</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1.33</w:t>
      </w:r>
      <w:r>
        <w:rPr>
          <w:rFonts w:hint="eastAsia" w:ascii="宋体" w:hAnsi="宋体" w:cs="宋体"/>
          <w:color w:val="auto"/>
          <w:kern w:val="0"/>
          <w:sz w:val="24"/>
          <w:szCs w:val="24"/>
          <w:highlight w:val="none"/>
        </w:rPr>
        <w:t>中国或国家：指中华人民共和国。</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1.34</w:t>
      </w:r>
      <w:r>
        <w:rPr>
          <w:rFonts w:ascii="宋体" w:hAnsi="宋体" w:cs="宋体"/>
          <w:color w:val="auto"/>
          <w:kern w:val="0"/>
          <w:sz w:val="24"/>
          <w:szCs w:val="24"/>
          <w:highlight w:val="none"/>
        </w:rPr>
        <w:t>国</w:t>
      </w:r>
      <w:r>
        <w:rPr>
          <w:rFonts w:hint="eastAsia" w:ascii="宋体" w:hAnsi="宋体" w:cs="宋体"/>
          <w:color w:val="auto"/>
          <w:kern w:val="0"/>
          <w:sz w:val="24"/>
          <w:szCs w:val="24"/>
          <w:highlight w:val="none"/>
        </w:rPr>
        <w:t>内：</w:t>
      </w:r>
      <w:r>
        <w:rPr>
          <w:rFonts w:ascii="宋体" w:hAnsi="宋体" w:cs="宋体"/>
          <w:color w:val="auto"/>
          <w:kern w:val="0"/>
          <w:sz w:val="24"/>
          <w:szCs w:val="24"/>
          <w:highlight w:val="none"/>
        </w:rPr>
        <w:t>本合同中特</w:t>
      </w:r>
      <w:r>
        <w:rPr>
          <w:rFonts w:hint="eastAsia" w:ascii="宋体" w:hAnsi="宋体" w:cs="宋体"/>
          <w:color w:val="auto"/>
          <w:kern w:val="0"/>
          <w:sz w:val="24"/>
          <w:szCs w:val="24"/>
          <w:highlight w:val="none"/>
        </w:rPr>
        <w:t>指中华人民共和国大陆境内。</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1.35</w:t>
      </w:r>
      <w:r>
        <w:rPr>
          <w:rFonts w:hint="eastAsia" w:ascii="宋体" w:hAnsi="宋体" w:cs="宋体"/>
          <w:color w:val="auto"/>
          <w:kern w:val="0"/>
          <w:sz w:val="24"/>
          <w:szCs w:val="24"/>
          <w:highlight w:val="none"/>
        </w:rPr>
        <w:t>元：指人民币元。</w:t>
      </w:r>
    </w:p>
    <w:p>
      <w:pPr>
        <w:adjustRightInd w:val="0"/>
        <w:snapToGrid w:val="0"/>
        <w:spacing w:line="360" w:lineRule="auto"/>
        <w:ind w:firstLine="482" w:firstLineChars="200"/>
        <w:rPr>
          <w:rFonts w:hint="eastAsia" w:ascii="宋体" w:hAnsi="宋体" w:cs="宋体"/>
          <w:color w:val="auto"/>
          <w:kern w:val="0"/>
          <w:sz w:val="24"/>
          <w:szCs w:val="24"/>
          <w:highlight w:val="none"/>
        </w:rPr>
      </w:pPr>
      <w:r>
        <w:rPr>
          <w:rFonts w:hint="eastAsia" w:ascii="宋体" w:hAnsi="宋体" w:cs="宋体"/>
          <w:b/>
          <w:color w:val="auto"/>
          <w:kern w:val="0"/>
          <w:sz w:val="24"/>
          <w:szCs w:val="24"/>
          <w:highlight w:val="none"/>
        </w:rPr>
        <w:t>1.36</w:t>
      </w:r>
      <w:r>
        <w:rPr>
          <w:rFonts w:hint="eastAsia" w:ascii="宋体" w:hAnsi="宋体" w:cs="宋体"/>
          <w:color w:val="auto"/>
          <w:kern w:val="0"/>
          <w:sz w:val="24"/>
          <w:szCs w:val="24"/>
          <w:highlight w:val="none"/>
        </w:rPr>
        <w:t>完整版施工图：指乙方按甲方要求，在项目全部设计变更设计完成后，汇总全部设计变更内容并将其反映在设计图纸上形成的施工图纸（即完整版施工图=原版施工图+设计变更）。</w:t>
      </w:r>
    </w:p>
    <w:p>
      <w:pPr>
        <w:adjustRightInd w:val="0"/>
        <w:snapToGrid w:val="0"/>
        <w:spacing w:line="360" w:lineRule="auto"/>
        <w:ind w:firstLine="482" w:firstLineChars="200"/>
        <w:rPr>
          <w:rFonts w:hint="eastAsia" w:ascii="宋体" w:hAnsi="宋体" w:cs="宋体"/>
          <w:color w:val="auto"/>
          <w:kern w:val="0"/>
          <w:sz w:val="24"/>
          <w:szCs w:val="24"/>
          <w:highlight w:val="none"/>
        </w:rPr>
      </w:pPr>
      <w:r>
        <w:rPr>
          <w:rFonts w:hint="eastAsia" w:ascii="宋体" w:hAnsi="宋体" w:cs="宋体"/>
          <w:b/>
          <w:bCs/>
          <w:color w:val="auto"/>
          <w:kern w:val="0"/>
          <w:sz w:val="24"/>
          <w:szCs w:val="24"/>
          <w:highlight w:val="none"/>
        </w:rPr>
        <w:t>1.37</w:t>
      </w:r>
      <w:r>
        <w:rPr>
          <w:rFonts w:hint="eastAsia" w:ascii="宋体" w:hAnsi="宋体" w:cs="宋体"/>
          <w:color w:val="auto"/>
          <w:kern w:val="0"/>
          <w:sz w:val="24"/>
          <w:szCs w:val="24"/>
          <w:highlight w:val="none"/>
        </w:rPr>
        <w:t>保证人：指按本合同条款第30.1款约定向甲方提交乙方履约担保的机构。</w:t>
      </w:r>
    </w:p>
    <w:p>
      <w:pPr>
        <w:adjustRightInd w:val="0"/>
        <w:snapToGrid w:val="0"/>
        <w:spacing w:line="360" w:lineRule="auto"/>
        <w:ind w:firstLine="472" w:firstLineChars="196"/>
        <w:outlineLvl w:val="2"/>
        <w:rPr>
          <w:rFonts w:ascii="宋体" w:hAnsi="宋体" w:cs="宋体"/>
          <w:b/>
          <w:color w:val="auto"/>
          <w:kern w:val="0"/>
          <w:sz w:val="24"/>
          <w:szCs w:val="24"/>
          <w:highlight w:val="none"/>
        </w:rPr>
      </w:pPr>
    </w:p>
    <w:p>
      <w:pPr>
        <w:adjustRightInd w:val="0"/>
        <w:snapToGrid w:val="0"/>
        <w:spacing w:line="360" w:lineRule="auto"/>
        <w:ind w:firstLine="472" w:firstLineChars="196"/>
        <w:outlineLvl w:val="2"/>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2、语言文字和适用法律、标准及规范</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2.1</w:t>
      </w:r>
      <w:r>
        <w:rPr>
          <w:rFonts w:hint="eastAsia" w:ascii="宋体" w:hAnsi="宋体" w:cs="宋体"/>
          <w:color w:val="auto"/>
          <w:kern w:val="0"/>
          <w:sz w:val="24"/>
          <w:szCs w:val="24"/>
          <w:highlight w:val="none"/>
        </w:rPr>
        <w:t>语言文字：本合同及其补充协议、甲乙双方来往文件、本合同工程的所有勘察、设计文件和资料等均使用中文书写、解释和说明。使用其他文字书写的对双方均不具有法律约束力，但如翻译成中文并经双方签字（盖章）确认的，则对双方均具有法律约束力。</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2.2</w:t>
      </w:r>
      <w:r>
        <w:rPr>
          <w:rFonts w:hint="eastAsia" w:ascii="宋体" w:hAnsi="宋体" w:cs="宋体"/>
          <w:color w:val="auto"/>
          <w:kern w:val="0"/>
          <w:sz w:val="24"/>
          <w:szCs w:val="24"/>
          <w:highlight w:val="none"/>
        </w:rPr>
        <w:t>适用法律、标准及规范。乙方交付的勘察、设计成果文件应符合中国的有关法律、法规、规章的规定和相关的工程勘察、设计技术规范、规定及标准的要求。勘察、设计中如遇国家和地方无相应规范、标准、依据的，由乙方提出建议，由甲方报送有关主管部门审查确认所采用的标准、规定、依据或其解释。</w:t>
      </w:r>
    </w:p>
    <w:p>
      <w:pPr>
        <w:adjustRightInd w:val="0"/>
        <w:snapToGrid w:val="0"/>
        <w:spacing w:line="360" w:lineRule="auto"/>
        <w:ind w:firstLine="480" w:firstLineChars="200"/>
        <w:rPr>
          <w:rFonts w:ascii="宋体" w:hAnsi="宋体" w:cs="宋体"/>
          <w:color w:val="auto"/>
          <w:kern w:val="0"/>
          <w:sz w:val="24"/>
          <w:szCs w:val="24"/>
          <w:highlight w:val="none"/>
        </w:rPr>
      </w:pPr>
    </w:p>
    <w:p>
      <w:pPr>
        <w:adjustRightInd w:val="0"/>
        <w:snapToGrid w:val="0"/>
        <w:spacing w:line="360" w:lineRule="auto"/>
        <w:ind w:firstLine="482" w:firstLineChars="200"/>
        <w:outlineLvl w:val="2"/>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3、本合同签订依据</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（1）中华人民共和国民法典；</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（2）中华人民共和国建筑法；</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（3）中华人民共和国城乡规划法；</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（4）建设工程勘察设计管理条例；</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（5）建设工程质量管理条例；</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（6）《建筑工程设计文件编制深度规定》；</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（7）《市政公用工程设计文件编制深度规定》；</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（8）本合同协议书第4.1款第（1）项、第（4）项、第（6）项、第（7）项、第（8）项、第（9）项、第（10）项所约定的有关文件；</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ascii="宋体" w:hAnsi="宋体" w:cs="宋体"/>
          <w:color w:val="auto"/>
          <w:kern w:val="0"/>
          <w:sz w:val="24"/>
          <w:szCs w:val="24"/>
          <w:highlight w:val="none"/>
        </w:rPr>
      </w:pPr>
      <w:r>
        <w:rPr>
          <w:rFonts w:hint="eastAsia" w:ascii="宋体" w:hAnsi="宋体" w:cs="宋体"/>
          <w:color w:val="auto"/>
          <w:kern w:val="0"/>
          <w:sz w:val="24"/>
          <w:szCs w:val="24"/>
          <w:highlight w:val="none"/>
        </w:rPr>
        <w:t>（9）建设项目批准文件（包括但不限于立项批复文件、</w:t>
      </w:r>
      <w:r>
        <w:rPr>
          <w:rFonts w:hint="eastAsia" w:ascii="宋体" w:hAnsi="宋体" w:eastAsia="宋体" w:cs="宋体"/>
          <w:color w:val="auto"/>
          <w:kern w:val="0"/>
          <w:sz w:val="24"/>
          <w:szCs w:val="24"/>
          <w:highlight w:val="none"/>
          <w:lang w:val="en-US" w:eastAsia="zh-CN" w:bidi="ar"/>
        </w:rPr>
        <w:t>可研批复文件、</w:t>
      </w:r>
      <w:r>
        <w:rPr>
          <w:rFonts w:hint="eastAsia" w:ascii="宋体" w:hAnsi="宋体" w:cs="宋体"/>
          <w:color w:val="auto"/>
          <w:kern w:val="0"/>
          <w:sz w:val="24"/>
          <w:szCs w:val="24"/>
          <w:highlight w:val="none"/>
        </w:rPr>
        <w:t>规划部门认可的用地红线和地形图、规划建设主管部门对本合同约定项目的规划设计要点）；</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（10）</w:t>
      </w:r>
      <w:r>
        <w:rPr>
          <w:rFonts w:ascii="宋体" w:hAnsi="宋体" w:cs="宋体"/>
          <w:color w:val="auto"/>
          <w:kern w:val="0"/>
          <w:sz w:val="24"/>
          <w:szCs w:val="24"/>
          <w:highlight w:val="none"/>
        </w:rPr>
        <w:t>基础资料和勘察设计任务书</w:t>
      </w:r>
      <w:r>
        <w:rPr>
          <w:rFonts w:hint="eastAsia" w:ascii="宋体" w:hAnsi="宋体" w:cs="宋体"/>
          <w:color w:val="auto"/>
          <w:kern w:val="0"/>
          <w:sz w:val="24"/>
          <w:szCs w:val="24"/>
          <w:highlight w:val="none"/>
        </w:rPr>
        <w:t>；</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（11）本合同约定的项目基础资料，包括用地红线坐标(表)、场地标高、现有市政设施图的资料（绿化、道路、管线、建构筑物等）、地质勘察资料等；</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（12）设计和建设过程中的政府审批意见，政府或甲方委托或组织的评审机构（会议）提出的或甲方发出的阶段性书面意见，双方来往的与双方权利义务有关的各类书面文件、会议纪要等；</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（13）乙方参加投标的方案、评标委员会的意见、甲方提出的修改意见，和版权属于甲方的其他投标方案。</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上述法律法规及有关文件应是现行有效的，如国家或有关部门对上述法律法规及有关文件进行修改或补充并提出新的要求，双方均应按新的要求执行，必要时另行签订补充合同。</w:t>
      </w:r>
    </w:p>
    <w:p>
      <w:pPr>
        <w:adjustRightInd w:val="0"/>
        <w:snapToGrid w:val="0"/>
        <w:spacing w:line="360" w:lineRule="auto"/>
        <w:ind w:firstLine="480" w:firstLineChars="200"/>
        <w:rPr>
          <w:rFonts w:ascii="宋体" w:hAnsi="宋体" w:cs="宋体"/>
          <w:color w:val="auto"/>
          <w:kern w:val="0"/>
          <w:sz w:val="24"/>
          <w:szCs w:val="24"/>
          <w:highlight w:val="none"/>
        </w:rPr>
      </w:pPr>
    </w:p>
    <w:p>
      <w:pPr>
        <w:pStyle w:val="3"/>
        <w:keepNext w:val="0"/>
        <w:keepLines w:val="0"/>
        <w:widowControl/>
        <w:spacing w:before="0" w:after="0" w:line="410" w:lineRule="auto"/>
        <w:jc w:val="center"/>
        <w:rPr>
          <w:rFonts w:ascii="宋体" w:hAnsi="宋体" w:cs="宋体"/>
          <w:color w:val="auto"/>
          <w:sz w:val="24"/>
          <w:szCs w:val="24"/>
          <w:highlight w:val="none"/>
        </w:rPr>
      </w:pPr>
      <w:r>
        <w:rPr>
          <w:rFonts w:hint="eastAsia" w:ascii="宋体" w:hAnsi="宋体" w:cs="宋体"/>
          <w:color w:val="auto"/>
          <w:kern w:val="0"/>
          <w:highlight w:val="none"/>
        </w:rPr>
        <w:t>第二章 勘察设计总承包</w:t>
      </w:r>
    </w:p>
    <w:p>
      <w:pPr>
        <w:adjustRightInd w:val="0"/>
        <w:snapToGrid w:val="0"/>
        <w:spacing w:line="360" w:lineRule="auto"/>
        <w:outlineLvl w:val="2"/>
        <w:rPr>
          <w:rFonts w:ascii="宋体" w:hAnsi="宋体" w:cs="宋体"/>
          <w:bCs/>
          <w:color w:val="auto"/>
          <w:kern w:val="0"/>
          <w:sz w:val="24"/>
          <w:szCs w:val="24"/>
          <w:highlight w:val="none"/>
        </w:rPr>
      </w:pPr>
    </w:p>
    <w:p>
      <w:pPr>
        <w:adjustRightInd w:val="0"/>
        <w:snapToGrid w:val="0"/>
        <w:spacing w:line="360" w:lineRule="auto"/>
        <w:ind w:firstLine="241" w:firstLineChars="100"/>
        <w:outlineLvl w:val="2"/>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4、勘察设计总承包管理</w:t>
      </w:r>
    </w:p>
    <w:p>
      <w:pPr>
        <w:adjustRightInd w:val="0"/>
        <w:snapToGrid w:val="0"/>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 xml:space="preserve">4.1 </w:t>
      </w:r>
      <w:r>
        <w:rPr>
          <w:rFonts w:hint="eastAsia" w:ascii="宋体" w:hAnsi="宋体" w:cs="宋体"/>
          <w:color w:val="auto"/>
          <w:kern w:val="0"/>
          <w:sz w:val="24"/>
          <w:szCs w:val="24"/>
          <w:highlight w:val="none"/>
        </w:rPr>
        <w:t>如乙方为联合体，则联合体主办人代表乙方承担责任和接受甲方指令、指示和通知，并根据本合同条款的约定进行勘察设计总承包及配合协调服务工作。</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4.2</w:t>
      </w:r>
      <w:r>
        <w:rPr>
          <w:rFonts w:hint="eastAsia" w:ascii="宋体" w:hAnsi="宋体" w:cs="宋体"/>
          <w:color w:val="auto"/>
          <w:kern w:val="0"/>
          <w:sz w:val="24"/>
          <w:szCs w:val="24"/>
          <w:highlight w:val="none"/>
        </w:rPr>
        <w:t>乙方应按合同约定及项目建设管理需要做好下列勘察设计总承包管理及配合协调服务工作（包括但不限于）：</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对其总承包管理范围内的专业勘察、设计单位在勘察、设计的进度、质量、安全、工程投资控制和勘察、设计配合协调、接口衔接等方面进行管理，确保各勘察、设计单位之间的勘察、设计界面和工作内容清晰，不出现勘察、设计重复或交叉的现象，并保证本合同工程各专业接口及与周边工程接口（包括与市政工程接口）的良好衔接。</w:t>
      </w:r>
    </w:p>
    <w:p>
      <w:pPr>
        <w:adjustRightInd w:val="0"/>
        <w:snapToGrid w:val="0"/>
        <w:spacing w:line="360" w:lineRule="auto"/>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2）乙方应在实施本合同工程方案优化设计、初步设计、施工图设计、勘察、设计现场服务各阶段向甲方提供技术咨询与管理咨询，配合对本项目相关的可行性研究、节能评估、环境评价、地铁保护等报告中涉及的设计内容进行复核并给予确认，配合解决施工过程中有关工程勘察、设计问题，并协助甲方的工程实施、设备与材料的采购招标工作、隐蔽工程的验收、设备与材料的看样定板、技术验收及工程验收等活动。</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对于在乙方提交的勘察、设计成果文件的基础上由甲方另行发包的设计单位进行的初步设计、施工图设计等工作，乙方除须对于其提交给甲方的勘察、设计成果文件的完整性、有效性进行预审把关外，还须积极配合相关的设计工作，提供相关的勘察、设计成果文件（包括但不限于报告、数据、图表、设计图纸、设计说明、相关的计算原理和方法等），不得以专利和知识产权为借口拒绝配合。</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乙方应积极主动进行与项目有关的内、外协调工作，积极配合与规划、市政、交通、水利、电力、环保、消防、卫生、煤气、人防等部门和单位的协调，并负责向有关部门办理勘察、设计文件报建和审批工作，保证勘察、设计文件通过主管部门的审查。</w:t>
      </w:r>
    </w:p>
    <w:p>
      <w:pPr>
        <w:adjustRightInd w:val="0"/>
        <w:snapToGrid w:val="0"/>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5）乙方应编制勘察设计总进度计划，年度（季度）计划，并负责审核专业勘察、设计单位的实施性计划、月度（旬度）计划，定期对专业勘察、设计单位进行月度（旬度）计划检查，并将相关的计划信息上传到甲方的计算机工程信息管理系统。同时要根据甲方信息管理系统要求及时把相关设计成果、设计变更等资料输入甲方信息管理系统。</w:t>
      </w:r>
    </w:p>
    <w:p>
      <w:pPr>
        <w:adjustRightInd w:val="0"/>
        <w:snapToGrid w:val="0"/>
        <w:spacing w:line="360" w:lineRule="auto"/>
        <w:ind w:firstLine="482" w:firstLineChars="200"/>
        <w:rPr>
          <w:rFonts w:ascii="宋体" w:hAnsi="宋体" w:cs="宋体"/>
          <w:b/>
          <w:color w:val="auto"/>
          <w:kern w:val="0"/>
          <w:sz w:val="24"/>
          <w:szCs w:val="24"/>
          <w:highlight w:val="none"/>
        </w:rPr>
      </w:pPr>
    </w:p>
    <w:p>
      <w:pPr>
        <w:adjustRightInd w:val="0"/>
        <w:snapToGrid w:val="0"/>
        <w:spacing w:line="360" w:lineRule="auto"/>
        <w:ind w:firstLine="482" w:firstLineChars="200"/>
        <w:outlineLvl w:val="2"/>
        <w:rPr>
          <w:rFonts w:ascii="宋体" w:hAnsi="宋体" w:cs="宋体"/>
          <w:b/>
          <w:color w:val="auto"/>
          <w:kern w:val="0"/>
          <w:sz w:val="24"/>
          <w:szCs w:val="24"/>
          <w:highlight w:val="none"/>
          <w:u w:val="single"/>
        </w:rPr>
      </w:pPr>
      <w:r>
        <w:rPr>
          <w:rFonts w:hint="eastAsia" w:ascii="宋体" w:hAnsi="宋体" w:cs="宋体"/>
          <w:b/>
          <w:color w:val="auto"/>
          <w:kern w:val="0"/>
          <w:sz w:val="24"/>
          <w:szCs w:val="24"/>
          <w:highlight w:val="none"/>
        </w:rPr>
        <w:t>5、勘察、设计分包</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5.1</w:t>
      </w:r>
      <w:r>
        <w:rPr>
          <w:rFonts w:hint="eastAsia" w:ascii="宋体" w:hAnsi="宋体" w:cs="宋体"/>
          <w:color w:val="auto"/>
          <w:kern w:val="0"/>
          <w:sz w:val="24"/>
          <w:szCs w:val="24"/>
          <w:highlight w:val="none"/>
        </w:rPr>
        <w:t>本合同工程的主体及关键性工作必须由乙方自行完成，不得分包。</w:t>
      </w:r>
    </w:p>
    <w:p>
      <w:pPr>
        <w:adjustRightInd w:val="0"/>
        <w:snapToGrid w:val="0"/>
        <w:spacing w:line="360" w:lineRule="auto"/>
        <w:ind w:firstLine="480"/>
        <w:rPr>
          <w:rFonts w:ascii="宋体" w:hAnsi="宋体" w:cs="宋体"/>
          <w:dstrike/>
          <w:color w:val="auto"/>
          <w:kern w:val="0"/>
          <w:sz w:val="24"/>
          <w:szCs w:val="24"/>
          <w:highlight w:val="none"/>
        </w:rPr>
      </w:pPr>
      <w:r>
        <w:rPr>
          <w:rFonts w:hint="eastAsia" w:ascii="宋体" w:hAnsi="宋体" w:cs="宋体"/>
          <w:b/>
          <w:color w:val="auto"/>
          <w:kern w:val="0"/>
          <w:sz w:val="24"/>
          <w:szCs w:val="24"/>
          <w:highlight w:val="none"/>
        </w:rPr>
        <w:t>5.2</w:t>
      </w:r>
      <w:r>
        <w:rPr>
          <w:rFonts w:hint="eastAsia" w:ascii="宋体" w:hAnsi="宋体" w:cs="宋体"/>
          <w:color w:val="auto"/>
          <w:kern w:val="0"/>
          <w:sz w:val="24"/>
          <w:szCs w:val="24"/>
          <w:highlight w:val="none"/>
        </w:rPr>
        <w:t>乙方所承接的专项设计内容（如:外水工程、外电工程、燃气工程、幕墙工程、人防工程、装饰装修工程等专业工程）的设计专业要求高，若由于乙方自身的资质及所属设计人员的限制，或者乙方指定的专项设计分包单位不能满足甲方的要求，乙方可进行分包或由甲方将该项专业设计内容另行发包给专业设计单位；乙方因自行分包进行勘察、设计的，须事先征得甲方书面同意，并须根据国家有关规定分包给具有相应能力且获得甲方认可的专业单位实施。</w:t>
      </w:r>
      <w:r>
        <w:rPr>
          <w:rFonts w:hint="eastAsia" w:ascii="宋体" w:hAnsi="宋体" w:cs="宋体"/>
          <w:b/>
          <w:color w:val="auto"/>
          <w:kern w:val="0"/>
          <w:sz w:val="24"/>
          <w:szCs w:val="24"/>
          <w:highlight w:val="none"/>
        </w:rPr>
        <w:t>专项分包设计费由乙方承担。乙方全面负责管理和协调专业分包单位。专项分包各阶段设计文件须由乙方校核确认，并由项目负责人及专项分包方人员进行会签、盖章确认（设计图要求含有两个单位的图签，双图签出图）。</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5.3</w:t>
      </w:r>
      <w:r>
        <w:rPr>
          <w:rFonts w:hint="eastAsia" w:ascii="宋体" w:hAnsi="宋体" w:cs="宋体"/>
          <w:color w:val="auto"/>
          <w:kern w:val="0"/>
          <w:sz w:val="24"/>
          <w:szCs w:val="24"/>
          <w:highlight w:val="none"/>
        </w:rPr>
        <w:t>乙方应严格按照本合同约定及项目建设管理需要做好分包管理工作，禁止转包或违法分包，禁止转让、出借企业资质证书或者以其他方式允许他人以本企业名义承揽勘察、设计业务。</w:t>
      </w:r>
    </w:p>
    <w:p>
      <w:pPr>
        <w:adjustRightInd w:val="0"/>
        <w:snapToGrid w:val="0"/>
        <w:spacing w:line="360" w:lineRule="auto"/>
        <w:ind w:firstLine="48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5.3.1</w:t>
      </w:r>
      <w:r>
        <w:rPr>
          <w:rFonts w:hint="eastAsia" w:ascii="宋体" w:hAnsi="宋体" w:cs="宋体"/>
          <w:color w:val="auto"/>
          <w:kern w:val="0"/>
          <w:sz w:val="24"/>
          <w:szCs w:val="24"/>
          <w:highlight w:val="none"/>
        </w:rPr>
        <w:t>乙方不得将其承包的全部勘察、设计项目转包给他人，或者将其承包的全部勘察、设计项目肢解后以分包的名义分别转包给他人；将勘察、设计项目分包后，未在勘察、设计现场设立项目管理机构和派驻相应人员，且未对该勘察、设计活动进行组织管理的，视同转包行为。</w:t>
      </w:r>
    </w:p>
    <w:p>
      <w:pPr>
        <w:adjustRightInd w:val="0"/>
        <w:snapToGrid w:val="0"/>
        <w:spacing w:line="360" w:lineRule="auto"/>
        <w:ind w:firstLine="48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5.3.2</w:t>
      </w:r>
      <w:r>
        <w:rPr>
          <w:rFonts w:hint="eastAsia" w:ascii="宋体" w:hAnsi="宋体" w:cs="宋体"/>
          <w:color w:val="auto"/>
          <w:kern w:val="0"/>
          <w:sz w:val="24"/>
          <w:szCs w:val="24"/>
          <w:highlight w:val="none"/>
        </w:rPr>
        <w:t>下列行为，属于违法分包：</w:t>
      </w:r>
    </w:p>
    <w:p>
      <w:pPr>
        <w:adjustRightInd w:val="0"/>
        <w:snapToGrid w:val="0"/>
        <w:spacing w:line="360" w:lineRule="auto"/>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（1）乙方将勘察、设计项目分包给不具备相应资质条件的分包人的；</w:t>
      </w:r>
    </w:p>
    <w:p>
      <w:pPr>
        <w:adjustRightInd w:val="0"/>
        <w:snapToGrid w:val="0"/>
        <w:spacing w:line="360" w:lineRule="auto"/>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（2）本合同中未有约定，又未经甲方认可，乙方将承包的部分勘察、设计项目分包给他人的。</w:t>
      </w:r>
    </w:p>
    <w:p>
      <w:pPr>
        <w:adjustRightInd w:val="0"/>
        <w:snapToGrid w:val="0"/>
        <w:spacing w:line="360" w:lineRule="auto"/>
        <w:ind w:firstLine="48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5.3.3</w:t>
      </w:r>
      <w:r>
        <w:rPr>
          <w:rFonts w:hint="eastAsia" w:ascii="宋体" w:hAnsi="宋体" w:cs="宋体"/>
          <w:color w:val="auto"/>
          <w:kern w:val="0"/>
          <w:sz w:val="24"/>
          <w:szCs w:val="24"/>
          <w:highlight w:val="none"/>
        </w:rPr>
        <w:t>乙方虽然没有将其承包的勘察、设计项目进行分包，但在勘察、设计现场所设项目管理机构的总负责人、总承包管理负责人、各专业负责人、驻场总负责人和驻场代表不是乙方本单位人员的，视同允许他人以本企业名义承揽勘察、设计业务。</w:t>
      </w:r>
    </w:p>
    <w:p>
      <w:pPr>
        <w:adjustRightInd w:val="0"/>
        <w:snapToGrid w:val="0"/>
        <w:spacing w:line="360" w:lineRule="auto"/>
        <w:ind w:firstLine="48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5.3.4</w:t>
      </w:r>
      <w:r>
        <w:rPr>
          <w:rFonts w:hint="eastAsia" w:ascii="宋体" w:hAnsi="宋体" w:cs="宋体"/>
          <w:color w:val="auto"/>
          <w:kern w:val="0"/>
          <w:sz w:val="24"/>
          <w:szCs w:val="24"/>
          <w:highlight w:val="none"/>
        </w:rPr>
        <w:t>分包单位必须自行完成所承包的勘察、设计，严禁再分包，并承担下列责任（包括但不限于）：</w:t>
      </w:r>
    </w:p>
    <w:p>
      <w:pPr>
        <w:adjustRightInd w:val="0"/>
        <w:snapToGrid w:val="0"/>
        <w:spacing w:line="360" w:lineRule="auto"/>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接受甲方及勘察设计总承包单位的管理，无条件执行甲方及勘察设计总承包单位的指令。当甲方的指令与勘察设计总承包单位的指令相冲突时，以甲方的指令为准；其他指令之间发生冲突时，应立即提请甲方协调处理。</w:t>
      </w:r>
    </w:p>
    <w:p>
      <w:pPr>
        <w:adjustRightInd w:val="0"/>
        <w:snapToGrid w:val="0"/>
        <w:spacing w:line="360" w:lineRule="auto"/>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（2）按本合同及分包合同约定按时、按质、按量完成分包的勘察、设计任务并提交勘察、设计成果文件，对分包勘察、设计的进度、质量、安全、工程投资控制等负责。</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（3）本合同及分包合同中与分包勘察、设计项目有关的其他工作内容。</w:t>
      </w:r>
    </w:p>
    <w:p>
      <w:pPr>
        <w:adjustRightInd w:val="0"/>
        <w:snapToGrid w:val="0"/>
        <w:spacing w:line="360" w:lineRule="auto"/>
        <w:ind w:firstLine="48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5.4</w:t>
      </w:r>
      <w:r>
        <w:rPr>
          <w:rFonts w:hint="eastAsia" w:ascii="宋体" w:hAnsi="宋体" w:cs="宋体"/>
          <w:color w:val="auto"/>
          <w:kern w:val="0"/>
          <w:sz w:val="24"/>
          <w:szCs w:val="24"/>
          <w:highlight w:val="none"/>
        </w:rPr>
        <w:t>乙方的勘察设计总承包管理部是乙方的分包项目管理机构，应当具有与所承包勘察、设计的规模、技术复杂程度相适应的技术、经济管理人员；其中，勘察、设计总负责人及勘察、设计总承包管理负责人必须是本单位的人员。</w:t>
      </w:r>
    </w:p>
    <w:p>
      <w:pPr>
        <w:adjustRightInd w:val="0"/>
        <w:snapToGrid w:val="0"/>
        <w:spacing w:line="360" w:lineRule="auto"/>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乙方应按照本合同条款第8.1款等有关约定，在甲方批准分包后5天内将分包单位勘察、设计技术管理人员名单及设备仪器投入计划报送甲方且负责落实到位，并接受施工图审查单位和甲方代表的查验。</w:t>
      </w:r>
    </w:p>
    <w:p>
      <w:pPr>
        <w:adjustRightInd w:val="0"/>
        <w:snapToGrid w:val="0"/>
        <w:spacing w:line="360" w:lineRule="auto"/>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乙方应严格按照本合同约定及甲方的要求加强对分包单位履行义务的管理，保证分包单位全面正确履行合同。分包单位的任何违约行为或疏忽导致工程损害或给甲方造成其他损失，由乙方承担连带责任。</w:t>
      </w:r>
    </w:p>
    <w:p>
      <w:pPr>
        <w:adjustRightInd w:val="0"/>
        <w:snapToGrid w:val="0"/>
        <w:spacing w:line="360" w:lineRule="auto"/>
        <w:ind w:firstLine="48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5.5专业勘察、设计分包单位的管理</w:t>
      </w:r>
    </w:p>
    <w:p>
      <w:pPr>
        <w:adjustRightInd w:val="0"/>
        <w:snapToGrid w:val="0"/>
        <w:spacing w:line="360" w:lineRule="auto"/>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乙方负责各项专业勘察、设计的相关专业和接口、界面的协调工作。</w:t>
      </w:r>
    </w:p>
    <w:p>
      <w:pPr>
        <w:adjustRightInd w:val="0"/>
        <w:snapToGrid w:val="0"/>
        <w:spacing w:line="360" w:lineRule="auto"/>
        <w:ind w:firstLine="480"/>
        <w:rPr>
          <w:rFonts w:ascii="宋体" w:hAnsi="宋体" w:cs="宋体"/>
          <w:color w:val="auto"/>
          <w:sz w:val="24"/>
          <w:szCs w:val="24"/>
          <w:highlight w:val="none"/>
        </w:rPr>
      </w:pPr>
      <w:r>
        <w:rPr>
          <w:rFonts w:hint="eastAsia" w:ascii="宋体" w:hAnsi="宋体" w:cs="宋体"/>
          <w:b/>
          <w:color w:val="auto"/>
          <w:sz w:val="24"/>
          <w:szCs w:val="24"/>
          <w:highlight w:val="none"/>
        </w:rPr>
        <w:t>5.6</w:t>
      </w:r>
      <w:r>
        <w:rPr>
          <w:rFonts w:hint="eastAsia" w:ascii="宋体" w:hAnsi="宋体" w:cs="宋体"/>
          <w:color w:val="auto"/>
          <w:sz w:val="24"/>
          <w:szCs w:val="24"/>
          <w:highlight w:val="none"/>
        </w:rPr>
        <w:t>专业</w:t>
      </w:r>
      <w:r>
        <w:rPr>
          <w:rFonts w:hint="eastAsia" w:ascii="宋体" w:hAnsi="宋体" w:cs="宋体"/>
          <w:color w:val="auto"/>
          <w:kern w:val="0"/>
          <w:sz w:val="24"/>
          <w:szCs w:val="24"/>
          <w:highlight w:val="none"/>
        </w:rPr>
        <w:t>勘察、设计分包单位</w:t>
      </w:r>
      <w:r>
        <w:rPr>
          <w:rFonts w:hint="eastAsia" w:ascii="宋体" w:hAnsi="宋体" w:cs="宋体"/>
          <w:color w:val="auto"/>
          <w:sz w:val="24"/>
          <w:szCs w:val="24"/>
          <w:highlight w:val="none"/>
        </w:rPr>
        <w:t>与施工图审查单位的关系</w:t>
      </w:r>
    </w:p>
    <w:p>
      <w:pPr>
        <w:adjustRightInd w:val="0"/>
        <w:snapToGrid w:val="0"/>
        <w:spacing w:line="360" w:lineRule="auto"/>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无论是乙方分包的专业勘察、设计分包单位还是甲方另外发包的专业勘察、设计承包单位，都要接受施工图审查单位对其成果文件的审查。</w:t>
      </w:r>
    </w:p>
    <w:p>
      <w:pPr>
        <w:adjustRightInd w:val="0"/>
        <w:snapToGrid w:val="0"/>
        <w:spacing w:line="360" w:lineRule="auto"/>
        <w:ind w:firstLine="48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5.7</w:t>
      </w:r>
      <w:r>
        <w:rPr>
          <w:rFonts w:hint="eastAsia" w:ascii="宋体" w:hAnsi="宋体" w:cs="宋体"/>
          <w:color w:val="auto"/>
          <w:kern w:val="0"/>
          <w:sz w:val="24"/>
          <w:szCs w:val="24"/>
          <w:highlight w:val="none"/>
        </w:rPr>
        <w:t>各专业勘察、设计单位的权利和义务详见各专项勘察、设计的分包合同。</w:t>
      </w:r>
    </w:p>
    <w:p>
      <w:pPr>
        <w:adjustRightInd w:val="0"/>
        <w:snapToGrid w:val="0"/>
        <w:spacing w:line="360" w:lineRule="auto"/>
        <w:ind w:firstLine="48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5.8</w:t>
      </w:r>
      <w:r>
        <w:rPr>
          <w:rFonts w:hint="eastAsia" w:ascii="宋体" w:hAnsi="宋体" w:cs="宋体"/>
          <w:color w:val="auto"/>
          <w:kern w:val="0"/>
          <w:sz w:val="24"/>
          <w:szCs w:val="24"/>
          <w:highlight w:val="none"/>
        </w:rPr>
        <w:t>分包勘察、设计项目的价款由乙方与甲方结算。乙方应按本合同及分包合同的有关约定及时审核、申请支付各种勘察、设计款项。</w:t>
      </w:r>
    </w:p>
    <w:p>
      <w:pPr>
        <w:adjustRightInd w:val="0"/>
        <w:snapToGrid w:val="0"/>
        <w:spacing w:line="360" w:lineRule="auto"/>
        <w:ind w:firstLine="48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5.9</w:t>
      </w:r>
      <w:r>
        <w:rPr>
          <w:rFonts w:hint="eastAsia" w:ascii="宋体" w:hAnsi="宋体" w:cs="宋体"/>
          <w:color w:val="auto"/>
          <w:kern w:val="0"/>
          <w:sz w:val="24"/>
          <w:szCs w:val="24"/>
          <w:highlight w:val="none"/>
        </w:rPr>
        <w:t>乙方对勘察、设计现场安全负责，并对专业勘察、设计单位的安全生产进行管理，发现事故隐患，应当及时作出处理。</w:t>
      </w:r>
    </w:p>
    <w:p>
      <w:pPr>
        <w:adjustRightInd w:val="0"/>
        <w:snapToGrid w:val="0"/>
        <w:spacing w:line="360" w:lineRule="auto"/>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专业勘察、设计单位就其所在的勘察、设计现场安全向乙方负责，服从乙方对勘察、设计现场的安全管理。</w:t>
      </w:r>
    </w:p>
    <w:p>
      <w:pPr>
        <w:adjustRightInd w:val="0"/>
        <w:snapToGrid w:val="0"/>
        <w:spacing w:line="360" w:lineRule="auto"/>
        <w:ind w:firstLine="472" w:firstLineChars="196"/>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5.10</w:t>
      </w:r>
      <w:r>
        <w:rPr>
          <w:rFonts w:hint="eastAsia" w:ascii="宋体" w:hAnsi="宋体" w:cs="宋体"/>
          <w:color w:val="auto"/>
          <w:kern w:val="0"/>
          <w:sz w:val="24"/>
          <w:szCs w:val="24"/>
          <w:highlight w:val="none"/>
        </w:rPr>
        <w:t>乙方应按照合同约定协调所有专业勘察、设计单位的工作，确保由不同专业单位所完成的勘察、设计之间的配合和接口顺利、有效和可靠。乙方应负责保证本合同工程勘察、设计的完整性和整体性。相关费用已经含于合同总价中。</w:t>
      </w:r>
    </w:p>
    <w:p>
      <w:pPr>
        <w:adjustRightInd w:val="0"/>
        <w:snapToGrid w:val="0"/>
        <w:spacing w:line="360" w:lineRule="auto"/>
        <w:ind w:firstLine="470" w:firstLineChars="196"/>
        <w:rPr>
          <w:rFonts w:ascii="宋体" w:hAnsi="宋体" w:cs="宋体"/>
          <w:color w:val="auto"/>
          <w:kern w:val="0"/>
          <w:sz w:val="24"/>
          <w:szCs w:val="24"/>
          <w:highlight w:val="none"/>
        </w:rPr>
      </w:pPr>
    </w:p>
    <w:p>
      <w:pPr>
        <w:pStyle w:val="3"/>
        <w:keepNext w:val="0"/>
        <w:keepLines w:val="0"/>
        <w:widowControl/>
        <w:spacing w:before="0" w:after="0" w:line="410" w:lineRule="auto"/>
        <w:jc w:val="center"/>
        <w:rPr>
          <w:rFonts w:ascii="宋体" w:hAnsi="宋体" w:cs="宋体"/>
          <w:color w:val="auto"/>
          <w:sz w:val="24"/>
          <w:szCs w:val="24"/>
          <w:highlight w:val="none"/>
          <w:u w:val="single"/>
        </w:rPr>
      </w:pPr>
      <w:r>
        <w:rPr>
          <w:rFonts w:hint="eastAsia" w:ascii="宋体" w:hAnsi="宋体" w:cs="宋体"/>
          <w:color w:val="auto"/>
          <w:kern w:val="0"/>
          <w:highlight w:val="none"/>
        </w:rPr>
        <w:t>第三章  设计工作内容</w:t>
      </w:r>
    </w:p>
    <w:p>
      <w:pPr>
        <w:adjustRightInd w:val="0"/>
        <w:snapToGrid w:val="0"/>
        <w:spacing w:line="360" w:lineRule="auto"/>
        <w:ind w:firstLine="482" w:firstLineChars="200"/>
        <w:outlineLvl w:val="2"/>
        <w:rPr>
          <w:rFonts w:ascii="宋体" w:hAnsi="宋体" w:cs="宋体"/>
          <w:b/>
          <w:color w:val="auto"/>
          <w:kern w:val="0"/>
          <w:sz w:val="24"/>
          <w:szCs w:val="24"/>
          <w:highlight w:val="none"/>
        </w:rPr>
      </w:pPr>
    </w:p>
    <w:p>
      <w:pPr>
        <w:adjustRightInd w:val="0"/>
        <w:snapToGrid w:val="0"/>
        <w:spacing w:line="360" w:lineRule="auto"/>
        <w:ind w:firstLine="482" w:firstLineChars="200"/>
        <w:outlineLvl w:val="2"/>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6、设计范围</w:t>
      </w:r>
    </w:p>
    <w:p>
      <w:pPr>
        <w:adjustRightInd w:val="0"/>
        <w:snapToGrid w:val="0"/>
        <w:spacing w:line="360" w:lineRule="auto"/>
        <w:ind w:firstLine="482" w:firstLineChars="200"/>
        <w:outlineLvl w:val="3"/>
        <w:rPr>
          <w:rFonts w:ascii="宋体" w:hAnsi="宋体" w:cs="宋体"/>
          <w:color w:val="auto"/>
          <w:kern w:val="0"/>
          <w:sz w:val="24"/>
          <w:szCs w:val="24"/>
          <w:highlight w:val="none"/>
          <w:u w:val="single"/>
        </w:rPr>
      </w:pPr>
      <w:r>
        <w:rPr>
          <w:rFonts w:hint="eastAsia" w:ascii="宋体" w:hAnsi="宋体" w:cs="宋体"/>
          <w:b/>
          <w:color w:val="auto"/>
          <w:kern w:val="0"/>
          <w:sz w:val="24"/>
          <w:szCs w:val="24"/>
          <w:highlight w:val="none"/>
        </w:rPr>
        <w:t>6.1</w:t>
      </w:r>
      <w:r>
        <w:rPr>
          <w:rFonts w:hint="eastAsia" w:ascii="宋体" w:hAnsi="宋体" w:cs="宋体"/>
          <w:color w:val="auto"/>
          <w:kern w:val="0"/>
          <w:sz w:val="24"/>
          <w:szCs w:val="24"/>
          <w:highlight w:val="none"/>
        </w:rPr>
        <w:t xml:space="preserve"> 工程设计范围：完成立项（含可研）批复范围内所有建设内容的设计，包括但不限于以下：</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w:t>
      </w:r>
      <w:r>
        <w:rPr>
          <w:rFonts w:hint="eastAsia" w:ascii="宋体" w:hAnsi="宋体" w:cs="宋体"/>
          <w:color w:val="auto"/>
          <w:kern w:val="0"/>
          <w:sz w:val="24"/>
          <w:highlight w:val="none"/>
          <w:lang w:bidi="ar"/>
        </w:rPr>
        <w:t>1</w:t>
      </w:r>
      <w:r>
        <w:rPr>
          <w:rFonts w:hint="eastAsia" w:ascii="宋体" w:hAnsi="宋体" w:cs="宋体"/>
          <w:snapToGrid w:val="0"/>
          <w:color w:val="auto"/>
          <w:kern w:val="0"/>
          <w:sz w:val="24"/>
          <w:highlight w:val="none"/>
          <w:lang w:bidi="ar"/>
        </w:rPr>
        <w:t>）规划用地红线内（含代征用地）及红线外（管线）所涉及建设内容的全部勘察：根据地下、地上物探成果报告，收集周边地下、地上管线、建筑物、构筑物相关资料，</w:t>
      </w:r>
      <w:r>
        <w:rPr>
          <w:rFonts w:hint="eastAsia" w:ascii="宋体" w:hAnsi="宋体" w:eastAsia="宋体" w:cs="宋体"/>
          <w:color w:val="auto"/>
          <w:kern w:val="0"/>
          <w:sz w:val="24"/>
          <w:szCs w:val="24"/>
          <w:highlight w:val="none"/>
          <w:lang w:val="en-US" w:eastAsia="zh-CN" w:bidi="ar"/>
        </w:rPr>
        <w:t>收集项目建设已有的依据资料及与项目建设相关的行业规范规定</w:t>
      </w:r>
      <w:r>
        <w:rPr>
          <w:rFonts w:hint="default" w:ascii="宋体" w:hAnsi="宋体" w:eastAsia="宋体" w:cs="宋体"/>
          <w:color w:val="auto"/>
          <w:kern w:val="0"/>
          <w:sz w:val="24"/>
          <w:szCs w:val="24"/>
          <w:highlight w:val="none"/>
          <w:lang w:eastAsia="zh-CN" w:bidi="ar"/>
        </w:rPr>
        <w:t>，</w:t>
      </w:r>
      <w:r>
        <w:rPr>
          <w:rFonts w:hint="eastAsia" w:ascii="宋体" w:hAnsi="宋体" w:cs="宋体"/>
          <w:snapToGrid w:val="0"/>
          <w:color w:val="auto"/>
          <w:kern w:val="0"/>
          <w:sz w:val="24"/>
          <w:highlight w:val="none"/>
          <w:lang w:bidi="ar"/>
        </w:rPr>
        <w:t>编制项目前期摸查报告（含规划条件符合性及周边给水、排水、供电、燃气、市政道路接驳等市政条件、地形地貌及水文地质、</w:t>
      </w:r>
      <w:r>
        <w:rPr>
          <w:rFonts w:hint="eastAsia" w:ascii="宋体" w:hAnsi="宋体" w:cs="宋体"/>
          <w:strike/>
          <w:snapToGrid w:val="0"/>
          <w:color w:val="auto"/>
          <w:kern w:val="0"/>
          <w:sz w:val="24"/>
          <w:highlight w:val="none"/>
          <w:lang w:bidi="ar"/>
        </w:rPr>
        <w:t>历史文化保护传承对象、树木资源</w:t>
      </w:r>
      <w:r>
        <w:rPr>
          <w:rFonts w:hint="eastAsia" w:ascii="宋体" w:hAnsi="宋体" w:cs="宋体"/>
          <w:snapToGrid w:val="0"/>
          <w:color w:val="auto"/>
          <w:kern w:val="0"/>
          <w:sz w:val="24"/>
          <w:highlight w:val="none"/>
          <w:lang w:bidi="ar"/>
        </w:rPr>
        <w:t>等摸查内容）；进行初步勘察、详细勘察和</w:t>
      </w:r>
      <w:r>
        <w:rPr>
          <w:rFonts w:hint="eastAsia" w:ascii="宋体" w:hAnsi="宋体" w:eastAsia="宋体" w:cs="宋体"/>
          <w:color w:val="auto"/>
          <w:kern w:val="0"/>
          <w:sz w:val="24"/>
          <w:szCs w:val="24"/>
          <w:highlight w:val="none"/>
          <w:lang w:val="en-US" w:eastAsia="zh-CN" w:bidi="ar"/>
        </w:rPr>
        <w:t>勘察相关的</w:t>
      </w:r>
      <w:r>
        <w:rPr>
          <w:rFonts w:hint="eastAsia" w:ascii="宋体" w:hAnsi="宋体" w:cs="宋体"/>
          <w:snapToGrid w:val="0"/>
          <w:color w:val="auto"/>
          <w:kern w:val="0"/>
          <w:sz w:val="24"/>
          <w:highlight w:val="none"/>
          <w:lang w:bidi="ar"/>
        </w:rPr>
        <w:t>初测、定测实施工作，编制勘探、测量技术文件，编制勘探、土洞溶洞探测等相关总图，负责协调和配合相关主管部门对相关工作成果进行审批，直至获得批复。</w:t>
      </w:r>
    </w:p>
    <w:p>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sym w:font="Wingdings 2" w:char="F053"/>
      </w:r>
      <w:r>
        <w:rPr>
          <w:rFonts w:hint="eastAsia" w:ascii="宋体" w:hAnsi="宋体" w:cs="宋体"/>
          <w:snapToGrid w:val="0"/>
          <w:color w:val="auto"/>
          <w:kern w:val="0"/>
          <w:sz w:val="24"/>
          <w:highlight w:val="none"/>
          <w:lang w:bidi="ar"/>
        </w:rPr>
        <w:t>1)历史文化保护传承对象摸查：对照我市公布的《历史建筑名录》及《传统风貌建筑保护名录》，全面核查拟建设范围是否存在历史文化保护传承对象，及其具体位置、详细现状、保护内容、保护要求、保护措施等情况；同时排查是否存在需要拆迁的建（构）筑物；</w:t>
      </w:r>
    </w:p>
    <w:p>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sym w:font="Wingdings 2" w:char="F053"/>
      </w:r>
      <w:r>
        <w:rPr>
          <w:rFonts w:hint="eastAsia" w:ascii="宋体" w:hAnsi="宋体" w:cs="宋体"/>
          <w:snapToGrid w:val="0"/>
          <w:color w:val="auto"/>
          <w:kern w:val="0"/>
          <w:sz w:val="24"/>
          <w:highlight w:val="none"/>
          <w:lang w:bidi="ar"/>
        </w:rPr>
        <w:t>2)树木资源摸查：具体包括所有树木的种类、数量、位置、胸径规格、生长状况、立地条件、保护设施现状等情况摸查，其中大树、古树名木、古树后续资源需要有定位坐标（要求“一树一档”），古树名木、古树后续资源需要进行健康状况及安全性综合评估等；若发现严重病虫害、死亡的，还需提供专业机构的鉴定报告作为依据。</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宋体" w:hAnsi="宋体" w:eastAsia="宋体" w:cs="宋体"/>
          <w:color w:val="auto"/>
          <w:kern w:val="0"/>
          <w:sz w:val="24"/>
          <w:szCs w:val="24"/>
          <w:highlight w:val="none"/>
          <w:lang w:eastAsia="zh-CN" w:bidi="ar"/>
        </w:rPr>
      </w:pPr>
      <w:r>
        <w:rPr>
          <w:rFonts w:hint="eastAsia" w:ascii="宋体" w:hAnsi="宋体" w:cs="宋体"/>
          <w:snapToGrid w:val="0"/>
          <w:color w:val="auto"/>
          <w:kern w:val="0"/>
          <w:sz w:val="24"/>
          <w:highlight w:val="none"/>
          <w:lang w:bidi="ar"/>
        </w:rPr>
        <w:t>（</w:t>
      </w:r>
      <w:r>
        <w:rPr>
          <w:rFonts w:ascii="宋体" w:hAnsi="宋体" w:cs="宋体"/>
          <w:snapToGrid w:val="0"/>
          <w:color w:val="auto"/>
          <w:kern w:val="0"/>
          <w:sz w:val="24"/>
          <w:highlight w:val="none"/>
          <w:lang w:bidi="ar"/>
        </w:rPr>
        <w:t>2</w:t>
      </w:r>
      <w:r>
        <w:rPr>
          <w:rFonts w:hint="eastAsia" w:ascii="宋体" w:hAnsi="宋体" w:cs="宋体"/>
          <w:snapToGrid w:val="0"/>
          <w:color w:val="auto"/>
          <w:kern w:val="0"/>
          <w:sz w:val="24"/>
          <w:highlight w:val="none"/>
          <w:lang w:bidi="ar"/>
        </w:rPr>
        <w:t>）方案修改及完善：根据现行《建筑工程设计文件编制深度规定》</w:t>
      </w:r>
      <w:r>
        <w:rPr>
          <w:rFonts w:hint="eastAsia" w:ascii="宋体" w:hAnsi="宋体" w:cs="宋体"/>
          <w:snapToGrid w:val="0"/>
          <w:color w:val="auto"/>
          <w:kern w:val="0"/>
          <w:sz w:val="24"/>
          <w:highlight w:val="none"/>
          <w:u w:val="single"/>
          <w:lang w:bidi="ar"/>
        </w:rPr>
        <w:t>、《市政公用工程设计文件编制深度规定》</w:t>
      </w:r>
      <w:r>
        <w:rPr>
          <w:rFonts w:hint="eastAsia" w:ascii="宋体" w:hAnsi="宋体" w:cs="宋体"/>
          <w:snapToGrid w:val="0"/>
          <w:color w:val="auto"/>
          <w:kern w:val="0"/>
          <w:sz w:val="24"/>
          <w:highlight w:val="none"/>
          <w:lang w:bidi="ar"/>
        </w:rPr>
        <w:t>中关于方案设计应达到的设计深度要求，同时根据专家评审意见及有关职能部门提出的修改意见</w:t>
      </w:r>
      <w:r>
        <w:rPr>
          <w:rFonts w:hint="eastAsia" w:ascii="宋体" w:hAnsi="宋体" w:eastAsia="宋体" w:cs="宋体"/>
          <w:color w:val="auto"/>
          <w:kern w:val="0"/>
          <w:sz w:val="24"/>
          <w:szCs w:val="24"/>
          <w:highlight w:val="none"/>
          <w:lang w:val="en-US" w:eastAsia="zh-CN" w:bidi="ar"/>
        </w:rPr>
        <w:t>、规划部门关于本项目建设的意见</w:t>
      </w:r>
      <w:r>
        <w:rPr>
          <w:rFonts w:hint="default" w:ascii="宋体" w:hAnsi="宋体" w:eastAsia="宋体" w:cs="宋体"/>
          <w:color w:val="auto"/>
          <w:kern w:val="0"/>
          <w:sz w:val="24"/>
          <w:szCs w:val="24"/>
          <w:highlight w:val="none"/>
          <w:lang w:eastAsia="zh-CN" w:bidi="ar"/>
        </w:rPr>
        <w:t>等</w:t>
      </w:r>
      <w:r>
        <w:rPr>
          <w:rFonts w:hint="eastAsia" w:ascii="宋体" w:hAnsi="宋体" w:cs="宋体"/>
          <w:snapToGrid w:val="0"/>
          <w:color w:val="auto"/>
          <w:kern w:val="0"/>
          <w:sz w:val="24"/>
          <w:highlight w:val="none"/>
          <w:lang w:bidi="ar"/>
        </w:rPr>
        <w:t>，对甲方选定的设计方案进行修改和完善。</w:t>
      </w:r>
      <w:r>
        <w:rPr>
          <w:rFonts w:hint="eastAsia" w:ascii="宋体" w:hAnsi="宋体" w:eastAsia="宋体" w:cs="宋体"/>
          <w:color w:val="auto"/>
          <w:kern w:val="0"/>
          <w:sz w:val="24"/>
          <w:szCs w:val="24"/>
          <w:highlight w:val="none"/>
          <w:lang w:val="en-US" w:eastAsia="zh-CN" w:bidi="ar"/>
        </w:rPr>
        <w:t>方案中需“古树名木及大树保护、历史文化风貌保护、防范大规模拆建”等三个专篇内容，并进行方案比选及论证，确保建设方案科学、合理、合规</w:t>
      </w:r>
      <w:r>
        <w:rPr>
          <w:rFonts w:hint="default" w:ascii="宋体" w:hAnsi="宋体" w:eastAsia="宋体" w:cs="宋体"/>
          <w:color w:val="auto"/>
          <w:kern w:val="0"/>
          <w:sz w:val="24"/>
          <w:szCs w:val="24"/>
          <w:highlight w:val="none"/>
          <w:lang w:eastAsia="zh-CN" w:bidi="ar"/>
        </w:rPr>
        <w:t>。</w:t>
      </w:r>
    </w:p>
    <w:p>
      <w:pPr>
        <w:pStyle w:val="10"/>
        <w:keepNext w:val="0"/>
        <w:keepLines w:val="0"/>
        <w:widowControl/>
        <w:suppressLineNumbers w:val="0"/>
        <w:spacing w:before="0" w:beforeAutospacing="0" w:after="120" w:afterAutospacing="0" w:line="254" w:lineRule="auto"/>
        <w:ind w:left="0" w:leftChars="0" w:right="0" w:firstLine="0" w:firstLineChars="0"/>
        <w:jc w:val="left"/>
        <w:rPr>
          <w:rFonts w:hint="eastAsia" w:ascii="宋体" w:hAnsi="宋体" w:eastAsia="宋体" w:cs="宋体"/>
          <w:color w:val="auto"/>
          <w:kern w:val="0"/>
          <w:sz w:val="24"/>
          <w:szCs w:val="24"/>
          <w:highlight w:val="none"/>
        </w:rPr>
      </w:pPr>
      <w:r>
        <w:rPr>
          <w:rFonts w:hint="default"/>
          <w:color w:val="auto"/>
          <w:highlight w:val="none"/>
        </w:rPr>
        <w:t xml:space="preserve">     </w:t>
      </w:r>
      <w:r>
        <w:rPr>
          <w:rFonts w:hint="eastAsia" w:ascii="宋体" w:hAnsi="宋体" w:eastAsia="宋体" w:cs="宋体"/>
          <w:color w:val="auto"/>
          <w:kern w:val="0"/>
          <w:sz w:val="24"/>
          <w:szCs w:val="24"/>
          <w:highlight w:val="none"/>
          <w:lang w:val="en-US" w:eastAsia="zh-CN" w:bidi="ar"/>
        </w:rPr>
        <w:t>（3）设计方案报审工作（含修建性详细规划调整工作，如有）：在编制设计方案过程中，根据业主需求对实际功能布局进行深化优化，在现行政策规定下完成设计方案审查并同步推进控制性详细规划修正(如有)。设计方案审查范围包括总平面及竖向规划设计、管线综合设计、建筑布局、交通组织、景观绿化、建筑平立面、环境节能保护等（具体以业主要求及规划报建主管部门最新政策要求为准）。</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宋体" w:hAnsi="宋体" w:cs="宋体"/>
          <w:color w:val="auto"/>
          <w:kern w:val="0"/>
          <w:sz w:val="24"/>
          <w:highlight w:val="none"/>
        </w:rPr>
      </w:pPr>
      <w:r>
        <w:rPr>
          <w:rFonts w:hint="eastAsia" w:ascii="宋体" w:hAnsi="宋体" w:cs="宋体"/>
          <w:snapToGrid w:val="0"/>
          <w:color w:val="auto"/>
          <w:kern w:val="0"/>
          <w:sz w:val="24"/>
          <w:highlight w:val="none"/>
          <w:lang w:bidi="ar"/>
        </w:rPr>
        <w:t>（</w:t>
      </w:r>
      <w:r>
        <w:rPr>
          <w:rFonts w:ascii="宋体" w:hAnsi="宋体" w:cs="宋体"/>
          <w:snapToGrid w:val="0"/>
          <w:color w:val="auto"/>
          <w:kern w:val="0"/>
          <w:sz w:val="24"/>
          <w:highlight w:val="none"/>
          <w:lang w:bidi="ar"/>
        </w:rPr>
        <w:t>3</w:t>
      </w:r>
      <w:r>
        <w:rPr>
          <w:rFonts w:hint="eastAsia" w:ascii="宋体" w:hAnsi="宋体" w:cs="宋体"/>
          <w:snapToGrid w:val="0"/>
          <w:color w:val="auto"/>
          <w:kern w:val="0"/>
          <w:sz w:val="24"/>
          <w:highlight w:val="none"/>
          <w:lang w:bidi="ar"/>
        </w:rPr>
        <w:t>）</w:t>
      </w:r>
      <w:r>
        <w:rPr>
          <w:rFonts w:hint="eastAsia" w:ascii="宋体" w:hAnsi="宋体" w:eastAsia="宋体" w:cs="宋体"/>
          <w:color w:val="auto"/>
          <w:kern w:val="0"/>
          <w:sz w:val="24"/>
          <w:szCs w:val="24"/>
          <w:highlight w:val="none"/>
          <w:lang w:val="en-US" w:eastAsia="zh-CN" w:bidi="ar"/>
        </w:rPr>
        <w:t>总平面规划方案设计（含通过建筑工程设计方案审查）：</w:t>
      </w:r>
      <w:r>
        <w:rPr>
          <w:rFonts w:ascii="宋体" w:hAnsi="宋体" w:cs="宋体"/>
          <w:strike w:val="0"/>
          <w:snapToGrid w:val="0"/>
          <w:color w:val="auto"/>
          <w:kern w:val="0"/>
          <w:sz w:val="24"/>
          <w:highlight w:val="none"/>
          <w:lang w:bidi="ar"/>
        </w:rPr>
        <w:t>甲方</w:t>
      </w:r>
      <w:r>
        <w:rPr>
          <w:rFonts w:hint="eastAsia" w:ascii="宋体" w:hAnsi="宋体" w:eastAsia="宋体" w:cs="宋体"/>
          <w:color w:val="auto"/>
          <w:kern w:val="2"/>
          <w:sz w:val="24"/>
          <w:szCs w:val="24"/>
          <w:highlight w:val="none"/>
          <w:lang w:val="en-US" w:eastAsia="zh-CN" w:bidi="ar"/>
        </w:rPr>
        <w:t>指定建设范围内规划设计（规划设计范围不小于用地红线范围）,包括总平面规划设计、</w:t>
      </w:r>
      <w:r>
        <w:rPr>
          <w:rFonts w:hint="eastAsia" w:ascii="宋体" w:hAnsi="宋体" w:eastAsia="宋体" w:cs="宋体"/>
          <w:color w:val="auto"/>
          <w:kern w:val="0"/>
          <w:sz w:val="24"/>
          <w:szCs w:val="24"/>
          <w:highlight w:val="none"/>
          <w:lang w:val="en-US" w:eastAsia="zh-CN" w:bidi="ar"/>
        </w:rPr>
        <w:t>建筑布局、建筑立面、</w:t>
      </w:r>
      <w:r>
        <w:rPr>
          <w:rFonts w:hint="eastAsia" w:ascii="宋体" w:hAnsi="宋体" w:eastAsia="宋体" w:cs="宋体"/>
          <w:color w:val="auto"/>
          <w:kern w:val="2"/>
          <w:sz w:val="24"/>
          <w:szCs w:val="24"/>
          <w:highlight w:val="none"/>
          <w:lang w:val="en-US" w:eastAsia="zh-CN" w:bidi="ar"/>
        </w:rPr>
        <w:t>交通组织、竖向规划设计、</w:t>
      </w:r>
      <w:r>
        <w:rPr>
          <w:rFonts w:hint="eastAsia" w:ascii="宋体" w:hAnsi="宋体" w:eastAsia="宋体" w:cs="宋体"/>
          <w:color w:val="auto"/>
          <w:kern w:val="0"/>
          <w:sz w:val="24"/>
          <w:szCs w:val="24"/>
          <w:highlight w:val="none"/>
          <w:lang w:val="en-US" w:eastAsia="zh-CN" w:bidi="ar"/>
        </w:rPr>
        <w:t>管线综合设计、</w:t>
      </w:r>
      <w:r>
        <w:rPr>
          <w:rFonts w:hint="eastAsia" w:ascii="宋体" w:hAnsi="宋体" w:eastAsia="宋体" w:cs="宋体"/>
          <w:color w:val="auto"/>
          <w:kern w:val="2"/>
          <w:sz w:val="24"/>
          <w:szCs w:val="24"/>
          <w:highlight w:val="none"/>
          <w:lang w:val="en-US" w:eastAsia="zh-CN" w:bidi="ar"/>
        </w:rPr>
        <w:t>各市政专项规划设计、景观规划设计、场地建设规划等；对于委托人指定建设范围进行总体统筹规划设计，并结合批复立项分期建设情况与项目实际情况，完善分期建设设计方案与分期建设界面（若有）。总平面规划设计方案范围不小于用地红线范围，总体建设方案及分期实施方案（若有）需通过委托人确认及通过广州市政府投资项目联合审批</w:t>
      </w:r>
      <w:r>
        <w:rPr>
          <w:rFonts w:hint="default" w:ascii="宋体" w:hAnsi="宋体" w:eastAsia="宋体" w:cs="宋体"/>
          <w:color w:val="auto"/>
          <w:kern w:val="2"/>
          <w:sz w:val="24"/>
          <w:szCs w:val="24"/>
          <w:highlight w:val="none"/>
          <w:lang w:eastAsia="zh-CN" w:bidi="ar"/>
        </w:rPr>
        <w:t>。</w:t>
      </w:r>
    </w:p>
    <w:p>
      <w:pPr>
        <w:adjustRightInd w:val="0"/>
        <w:snapToGrid w:val="0"/>
        <w:spacing w:line="360" w:lineRule="auto"/>
        <w:ind w:firstLine="480" w:firstLineChars="200"/>
        <w:rPr>
          <w:rFonts w:ascii="宋体" w:hAnsi="宋体" w:cs="宋体"/>
          <w:strike w:val="0"/>
          <w:color w:val="auto"/>
          <w:kern w:val="0"/>
          <w:sz w:val="24"/>
          <w:highlight w:val="none"/>
        </w:rPr>
      </w:pPr>
      <w:r>
        <w:rPr>
          <w:rFonts w:hint="eastAsia" w:ascii="宋体"/>
          <w:bCs/>
          <w:strike w:val="0"/>
          <w:snapToGrid w:val="0"/>
          <w:color w:val="auto"/>
          <w:kern w:val="0"/>
          <w:sz w:val="24"/>
          <w:highlight w:val="none"/>
        </w:rPr>
        <w:t>√</w:t>
      </w:r>
      <w:r>
        <w:rPr>
          <w:rFonts w:hint="eastAsia" w:ascii="宋体" w:hAnsi="宋体" w:cs="宋体"/>
          <w:strike w:val="0"/>
          <w:snapToGrid w:val="0"/>
          <w:color w:val="auto"/>
          <w:kern w:val="0"/>
          <w:sz w:val="24"/>
          <w:highlight w:val="none"/>
          <w:lang w:bidi="ar"/>
        </w:rPr>
        <w:t>（</w:t>
      </w:r>
      <w:r>
        <w:rPr>
          <w:rFonts w:ascii="宋体" w:hAnsi="宋体" w:cs="宋体"/>
          <w:strike w:val="0"/>
          <w:snapToGrid w:val="0"/>
          <w:color w:val="auto"/>
          <w:kern w:val="0"/>
          <w:sz w:val="24"/>
          <w:highlight w:val="none"/>
          <w:lang w:bidi="ar"/>
        </w:rPr>
        <w:t>4</w:t>
      </w:r>
      <w:r>
        <w:rPr>
          <w:rFonts w:hint="eastAsia" w:ascii="宋体" w:hAnsi="宋体" w:cs="宋体"/>
          <w:strike w:val="0"/>
          <w:snapToGrid w:val="0"/>
          <w:color w:val="auto"/>
          <w:kern w:val="0"/>
          <w:sz w:val="24"/>
          <w:highlight w:val="none"/>
          <w:lang w:bidi="ar"/>
        </w:rPr>
        <w:t>）按照绿化行业主管部门审批要求，</w:t>
      </w:r>
      <w:r>
        <w:rPr>
          <w:rFonts w:hint="eastAsia" w:ascii="宋体" w:hAnsi="宋体" w:cs="宋体"/>
          <w:strike w:val="0"/>
          <w:snapToGrid w:val="0"/>
          <w:color w:val="auto"/>
          <w:kern w:val="0"/>
          <w:sz w:val="24"/>
          <w:highlight w:val="none"/>
          <w:u w:val="single"/>
          <w:lang w:bidi="ar"/>
        </w:rPr>
        <w:t>配合树木保护服务单位编制设计方案阶段的《树木保护专章》（编制深度按照《广州市城市树木保护专章编制技术指引》）。</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highlight w:val="none"/>
        </w:rPr>
      </w:pPr>
      <w:r>
        <w:rPr>
          <w:rFonts w:hint="eastAsia" w:ascii="宋体" w:hAnsi="宋体" w:cs="宋体"/>
          <w:snapToGrid w:val="0"/>
          <w:color w:val="auto"/>
          <w:kern w:val="0"/>
          <w:sz w:val="24"/>
          <w:highlight w:val="none"/>
          <w:lang w:bidi="ar"/>
        </w:rPr>
        <w:t>（</w:t>
      </w:r>
      <w:r>
        <w:rPr>
          <w:rFonts w:ascii="宋体" w:hAnsi="宋体" w:cs="宋体"/>
          <w:snapToGrid w:val="0"/>
          <w:color w:val="auto"/>
          <w:kern w:val="0"/>
          <w:sz w:val="24"/>
          <w:highlight w:val="none"/>
          <w:lang w:bidi="ar"/>
        </w:rPr>
        <w:t>5</w:t>
      </w:r>
      <w:r>
        <w:rPr>
          <w:rFonts w:hint="eastAsia" w:ascii="宋体" w:hAnsi="宋体" w:cs="宋体"/>
          <w:snapToGrid w:val="0"/>
          <w:color w:val="auto"/>
          <w:kern w:val="0"/>
          <w:sz w:val="24"/>
          <w:highlight w:val="none"/>
          <w:lang w:bidi="ar"/>
        </w:rPr>
        <w:t>）室外市政、园林工程设计：</w:t>
      </w:r>
      <w:r>
        <w:rPr>
          <w:rFonts w:ascii="宋体" w:hAnsi="宋体" w:cs="宋体"/>
          <w:snapToGrid w:val="0"/>
          <w:color w:val="auto"/>
          <w:kern w:val="0"/>
          <w:sz w:val="24"/>
          <w:highlight w:val="none"/>
          <w:lang w:bidi="ar"/>
        </w:rPr>
        <w:t>本</w:t>
      </w:r>
      <w:r>
        <w:rPr>
          <w:rFonts w:hint="eastAsia" w:ascii="宋体" w:hAnsi="宋体" w:cs="宋体"/>
          <w:bCs/>
          <w:color w:val="auto"/>
          <w:kern w:val="0"/>
          <w:sz w:val="24"/>
          <w:highlight w:val="none"/>
          <w:u w:val="single"/>
          <w:lang w:bidi="ar"/>
        </w:rPr>
        <w:t>项目</w:t>
      </w:r>
      <w:r>
        <w:rPr>
          <w:rFonts w:hint="eastAsia" w:ascii="宋体" w:hAnsi="宋体" w:cs="宋体"/>
          <w:snapToGrid w:val="0"/>
          <w:color w:val="auto"/>
          <w:kern w:val="0"/>
          <w:sz w:val="24"/>
          <w:highlight w:val="none"/>
          <w:lang w:bidi="ar"/>
        </w:rPr>
        <w:t>范围内</w:t>
      </w:r>
      <w:r>
        <w:rPr>
          <w:rFonts w:hint="eastAsia" w:ascii="宋体" w:hAnsi="宋体" w:eastAsia="宋体" w:cs="宋体"/>
          <w:color w:val="auto"/>
          <w:kern w:val="0"/>
          <w:sz w:val="24"/>
          <w:szCs w:val="24"/>
          <w:highlight w:val="none"/>
          <w:lang w:val="en-US" w:eastAsia="zh-CN" w:bidi="ar"/>
        </w:rPr>
        <w:t>（含为满足项目建设使用涉及的红线范围外的建设内容的勘察设计）</w:t>
      </w:r>
      <w:r>
        <w:rPr>
          <w:rFonts w:hint="eastAsia" w:ascii="宋体" w:hAnsi="宋体" w:cs="宋体"/>
          <w:snapToGrid w:val="0"/>
          <w:color w:val="auto"/>
          <w:kern w:val="0"/>
          <w:sz w:val="24"/>
          <w:highlight w:val="none"/>
          <w:lang w:bidi="ar"/>
        </w:rPr>
        <w:t>的道路、园林景观绿化、停车场、供电系统、照明系统、广播音响系统、安全防范监视系统、大屏幕显示系统、标识系统、室外给排水系统、自动喷淋系统、消防系统等设计，室外各种管线综合平衡设计。</w:t>
      </w:r>
      <w:r>
        <w:rPr>
          <w:rFonts w:hint="eastAsia" w:ascii="宋体" w:hAnsi="宋体" w:eastAsia="宋体" w:cs="宋体"/>
          <w:color w:val="auto"/>
          <w:kern w:val="0"/>
          <w:sz w:val="24"/>
          <w:szCs w:val="24"/>
          <w:highlight w:val="none"/>
          <w:lang w:val="en-US" w:eastAsia="zh-CN" w:bidi="ar"/>
        </w:rPr>
        <w:t>道路、燃气等市政接驳工程（含各类接口工程）以及其他室外配套工程系统等设计。</w:t>
      </w:r>
    </w:p>
    <w:p>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w:t>
      </w:r>
      <w:r>
        <w:rPr>
          <w:rFonts w:ascii="宋体" w:hAnsi="宋体" w:cs="宋体"/>
          <w:snapToGrid w:val="0"/>
          <w:color w:val="auto"/>
          <w:kern w:val="0"/>
          <w:sz w:val="24"/>
          <w:highlight w:val="none"/>
          <w:lang w:bidi="ar"/>
        </w:rPr>
        <w:t>6</w:t>
      </w:r>
      <w:r>
        <w:rPr>
          <w:rFonts w:hint="eastAsia" w:ascii="宋体" w:hAnsi="宋体" w:cs="宋体"/>
          <w:snapToGrid w:val="0"/>
          <w:color w:val="auto"/>
          <w:kern w:val="0"/>
          <w:sz w:val="24"/>
          <w:highlight w:val="none"/>
          <w:lang w:bidi="ar"/>
        </w:rPr>
        <w:t>）建筑设计：本项目范围内的建筑设计</w:t>
      </w:r>
      <w:r>
        <w:rPr>
          <w:rFonts w:hint="default" w:ascii="宋体" w:hAnsi="宋体"/>
          <w:snapToGrid w:val="0"/>
          <w:color w:val="auto"/>
          <w:kern w:val="0"/>
          <w:sz w:val="24"/>
          <w:highlight w:val="none"/>
        </w:rPr>
        <w:t>，临时施工围蔽设计、临时施工用项目部办公区与生活区板房设计。</w:t>
      </w:r>
    </w:p>
    <w:p>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w:t>
      </w:r>
      <w:r>
        <w:rPr>
          <w:rFonts w:ascii="宋体" w:hAnsi="宋体" w:cs="宋体"/>
          <w:snapToGrid w:val="0"/>
          <w:color w:val="auto"/>
          <w:kern w:val="0"/>
          <w:sz w:val="24"/>
          <w:highlight w:val="none"/>
          <w:lang w:bidi="ar"/>
        </w:rPr>
        <w:t>7</w:t>
      </w:r>
      <w:r>
        <w:rPr>
          <w:rFonts w:hint="eastAsia" w:ascii="宋体" w:hAnsi="宋体" w:cs="宋体"/>
          <w:snapToGrid w:val="0"/>
          <w:color w:val="auto"/>
          <w:kern w:val="0"/>
          <w:sz w:val="24"/>
          <w:highlight w:val="none"/>
          <w:lang w:bidi="ar"/>
        </w:rPr>
        <w:t>）结构设计：本项目范围内建筑体的结构设计、基坑支护设计、</w:t>
      </w:r>
      <w:r>
        <w:rPr>
          <w:rFonts w:ascii="宋体" w:hAnsi="宋体" w:cs="宋体"/>
          <w:snapToGrid w:val="0"/>
          <w:color w:val="auto"/>
          <w:kern w:val="0"/>
          <w:sz w:val="24"/>
          <w:highlight w:val="none"/>
          <w:lang w:bidi="ar"/>
        </w:rPr>
        <w:t>幕墙等装修工程、</w:t>
      </w:r>
      <w:r>
        <w:rPr>
          <w:rFonts w:hint="default" w:ascii="宋体" w:hAnsi="宋体" w:cs="宋体"/>
          <w:snapToGrid w:val="0"/>
          <w:color w:val="auto"/>
          <w:kern w:val="0"/>
          <w:sz w:val="24"/>
          <w:highlight w:val="none"/>
          <w:lang w:bidi="ar"/>
        </w:rPr>
        <w:t>挡土墙护坡及室外工程的</w:t>
      </w:r>
      <w:r>
        <w:rPr>
          <w:rFonts w:hint="eastAsia" w:ascii="宋体" w:hAnsi="宋体" w:cs="宋体"/>
          <w:snapToGrid w:val="0"/>
          <w:color w:val="auto"/>
          <w:kern w:val="0"/>
          <w:sz w:val="24"/>
          <w:highlight w:val="none"/>
          <w:lang w:bidi="ar"/>
        </w:rPr>
        <w:t>结构设计等。</w:t>
      </w:r>
      <w:r>
        <w:rPr>
          <w:rFonts w:ascii="宋体" w:hAnsi="宋体" w:cs="宋体"/>
          <w:snapToGrid w:val="0"/>
          <w:color w:val="auto"/>
          <w:kern w:val="0"/>
          <w:sz w:val="24"/>
          <w:highlight w:val="none"/>
          <w:lang w:bidi="ar"/>
        </w:rPr>
        <w:t>进行</w:t>
      </w:r>
      <w:r>
        <w:rPr>
          <w:rFonts w:hint="eastAsia" w:ascii="宋体" w:hAnsi="宋体" w:cs="宋体"/>
          <w:snapToGrid w:val="0"/>
          <w:color w:val="auto"/>
          <w:kern w:val="0"/>
          <w:sz w:val="24"/>
          <w:highlight w:val="none"/>
          <w:lang w:bidi="ar"/>
        </w:rPr>
        <w:t>装配式建筑的方案比选</w:t>
      </w:r>
      <w:r>
        <w:rPr>
          <w:rFonts w:ascii="宋体" w:hAnsi="宋体" w:cs="宋体"/>
          <w:snapToGrid w:val="0"/>
          <w:color w:val="auto"/>
          <w:kern w:val="0"/>
          <w:sz w:val="24"/>
          <w:highlight w:val="none"/>
          <w:lang w:bidi="ar"/>
        </w:rPr>
        <w:t>，以及完成改造范围建筑抗震等相关鉴定（如有）</w:t>
      </w:r>
      <w:r>
        <w:rPr>
          <w:rFonts w:hint="eastAsia" w:ascii="宋体" w:hAnsi="宋体" w:cs="宋体"/>
          <w:snapToGrid w:val="0"/>
          <w:color w:val="auto"/>
          <w:kern w:val="0"/>
          <w:sz w:val="24"/>
          <w:highlight w:val="none"/>
          <w:lang w:bidi="ar"/>
        </w:rPr>
        <w:t>。</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w:t>
      </w:r>
      <w:r>
        <w:rPr>
          <w:rFonts w:ascii="宋体" w:hAnsi="宋体" w:cs="宋体"/>
          <w:snapToGrid w:val="0"/>
          <w:color w:val="auto"/>
          <w:kern w:val="0"/>
          <w:sz w:val="24"/>
          <w:highlight w:val="none"/>
          <w:lang w:bidi="ar"/>
        </w:rPr>
        <w:t>8</w:t>
      </w:r>
      <w:r>
        <w:rPr>
          <w:rFonts w:hint="eastAsia" w:ascii="宋体" w:hAnsi="宋体" w:cs="宋体"/>
          <w:snapToGrid w:val="0"/>
          <w:color w:val="auto"/>
          <w:kern w:val="0"/>
          <w:sz w:val="24"/>
          <w:highlight w:val="none"/>
          <w:lang w:bidi="ar"/>
        </w:rPr>
        <w:t>）电气设计：</w:t>
      </w:r>
      <w:r>
        <w:rPr>
          <w:rFonts w:hint="eastAsia" w:ascii="宋体" w:hAnsi="宋体" w:eastAsia="宋体" w:cs="宋体"/>
          <w:strike/>
          <w:dstrike w:val="0"/>
          <w:color w:val="auto"/>
          <w:kern w:val="0"/>
          <w:sz w:val="24"/>
          <w:szCs w:val="24"/>
          <w:highlight w:val="none"/>
          <w:u w:val="single"/>
          <w:lang w:val="en-US" w:eastAsia="zh-CN" w:bidi="ar"/>
        </w:rPr>
        <w:t>建筑内部</w:t>
      </w:r>
      <w:r>
        <w:rPr>
          <w:rFonts w:hint="eastAsia" w:ascii="宋体" w:hAnsi="宋体" w:eastAsia="宋体" w:cs="宋体"/>
          <w:color w:val="auto"/>
          <w:kern w:val="0"/>
          <w:sz w:val="24"/>
          <w:szCs w:val="24"/>
          <w:highlight w:val="none"/>
          <w:u w:val="single"/>
          <w:lang w:val="en-US" w:eastAsia="zh-CN" w:bidi="ar"/>
        </w:rPr>
        <w:t>本项目</w:t>
      </w:r>
      <w:r>
        <w:rPr>
          <w:rFonts w:hint="eastAsia" w:ascii="宋体" w:hAnsi="宋体"/>
          <w:snapToGrid w:val="0"/>
          <w:color w:val="auto"/>
          <w:kern w:val="0"/>
          <w:sz w:val="24"/>
          <w:highlight w:val="none"/>
          <w:u w:val="single"/>
        </w:rPr>
        <w:t>内部高低压变配电系统</w:t>
      </w:r>
      <w:r>
        <w:rPr>
          <w:rFonts w:hint="eastAsia" w:ascii="宋体" w:hAnsi="宋体" w:eastAsia="宋体" w:cs="宋体"/>
          <w:color w:val="auto"/>
          <w:kern w:val="0"/>
          <w:sz w:val="24"/>
          <w:szCs w:val="24"/>
          <w:highlight w:val="none"/>
          <w:u w:val="single"/>
          <w:lang w:val="en-US" w:eastAsia="zh-CN" w:bidi="ar"/>
        </w:rPr>
        <w:t>（不含应由当地供电部门投资建设部分）、UPS不间断电源、备用电源系统</w:t>
      </w:r>
      <w:r>
        <w:rPr>
          <w:rFonts w:hint="eastAsia" w:ascii="宋体" w:hAnsi="宋体"/>
          <w:snapToGrid w:val="0"/>
          <w:color w:val="auto"/>
          <w:kern w:val="0"/>
          <w:sz w:val="24"/>
          <w:highlight w:val="none"/>
          <w:u w:val="single"/>
        </w:rPr>
        <w:t>、动力、照明配电、消防应急照明和疏散指示系统</w:t>
      </w:r>
      <w:r>
        <w:rPr>
          <w:rFonts w:hint="default" w:ascii="宋体" w:hAnsi="宋体"/>
          <w:snapToGrid w:val="0"/>
          <w:color w:val="auto"/>
          <w:kern w:val="0"/>
          <w:sz w:val="24"/>
          <w:highlight w:val="none"/>
          <w:u w:val="single"/>
        </w:rPr>
        <w:t>、</w:t>
      </w:r>
      <w:r>
        <w:rPr>
          <w:rFonts w:hint="eastAsia" w:ascii="宋体" w:hAnsi="宋体"/>
          <w:snapToGrid w:val="0"/>
          <w:color w:val="auto"/>
          <w:kern w:val="0"/>
          <w:sz w:val="24"/>
          <w:highlight w:val="none"/>
          <w:u w:val="single"/>
        </w:rPr>
        <w:t>消防应急照明疏散指示逃生系统、防雷及接地等，室外配套工程配电和照明工程（含泛光照明），</w:t>
      </w:r>
      <w:r>
        <w:rPr>
          <w:rFonts w:hint="eastAsia" w:ascii="宋体" w:hAnsi="宋体" w:eastAsia="宋体" w:cs="宋体"/>
          <w:color w:val="auto"/>
          <w:kern w:val="0"/>
          <w:sz w:val="24"/>
          <w:szCs w:val="24"/>
          <w:highlight w:val="none"/>
          <w:u w:val="single"/>
          <w:lang w:val="en-US" w:eastAsia="zh-CN" w:bidi="ar"/>
        </w:rPr>
        <w:t>外电接入(按照《广州市住房和城乡建设委员会 广州供电局有限公司关于供电设施投资界面调整有关工作的通知》（穗建公共[2015]982号，如有新规则按新规执行），需完成本项目投资建设界面内的供电设施设计，充电桩配电系统、</w:t>
      </w:r>
      <w:r>
        <w:rPr>
          <w:rFonts w:hint="eastAsia" w:ascii="宋体" w:hAnsi="宋体" w:cs="宋体"/>
          <w:snapToGrid w:val="0"/>
          <w:color w:val="auto"/>
          <w:kern w:val="0"/>
          <w:sz w:val="24"/>
          <w:highlight w:val="none"/>
          <w:u w:val="single"/>
          <w:lang w:bidi="ar"/>
        </w:rPr>
        <w:t>红线内电力等管线平衡</w:t>
      </w:r>
      <w:r>
        <w:rPr>
          <w:rFonts w:hint="eastAsia" w:ascii="宋体" w:hAnsi="宋体"/>
          <w:snapToGrid w:val="0"/>
          <w:color w:val="auto"/>
          <w:kern w:val="0"/>
          <w:sz w:val="24"/>
          <w:highlight w:val="none"/>
          <w:u w:val="single"/>
        </w:rPr>
        <w:t>等</w:t>
      </w:r>
      <w:r>
        <w:rPr>
          <w:rFonts w:hint="default" w:ascii="宋体" w:hAnsi="宋体"/>
          <w:snapToGrid w:val="0"/>
          <w:color w:val="auto"/>
          <w:kern w:val="0"/>
          <w:sz w:val="24"/>
          <w:highlight w:val="none"/>
          <w:u w:val="single"/>
        </w:rPr>
        <w:t>，含</w:t>
      </w:r>
      <w:r>
        <w:rPr>
          <w:rFonts w:hint="eastAsia" w:ascii="宋体" w:hAnsi="宋体"/>
          <w:snapToGrid w:val="0"/>
          <w:color w:val="auto"/>
          <w:kern w:val="0"/>
          <w:sz w:val="24"/>
          <w:highlight w:val="none"/>
          <w:u w:val="single"/>
        </w:rPr>
        <w:t>永久用电</w:t>
      </w:r>
      <w:r>
        <w:rPr>
          <w:rFonts w:hint="default" w:ascii="宋体" w:hAnsi="宋体"/>
          <w:snapToGrid w:val="0"/>
          <w:color w:val="auto"/>
          <w:kern w:val="0"/>
          <w:sz w:val="24"/>
          <w:highlight w:val="none"/>
          <w:u w:val="single"/>
        </w:rPr>
        <w:t>10kV供电工程设计、施工临时用电工程</w:t>
      </w:r>
      <w:r>
        <w:rPr>
          <w:rFonts w:hint="eastAsia" w:ascii="宋体" w:hAnsi="宋体"/>
          <w:snapToGrid w:val="0"/>
          <w:color w:val="auto"/>
          <w:kern w:val="0"/>
          <w:sz w:val="24"/>
          <w:highlight w:val="none"/>
          <w:u w:val="single"/>
        </w:rPr>
        <w:t>设计</w:t>
      </w:r>
      <w:r>
        <w:rPr>
          <w:rFonts w:hint="eastAsia" w:ascii="宋体" w:hAnsi="宋体" w:cs="宋体"/>
          <w:snapToGrid w:val="0"/>
          <w:color w:val="auto"/>
          <w:kern w:val="0"/>
          <w:sz w:val="24"/>
          <w:highlight w:val="none"/>
          <w:u w:val="single"/>
          <w:lang w:bidi="ar"/>
        </w:rPr>
        <w:t>。</w:t>
      </w:r>
    </w:p>
    <w:p>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w:t>
      </w:r>
      <w:r>
        <w:rPr>
          <w:rFonts w:ascii="宋体" w:hAnsi="宋体" w:cs="宋体"/>
          <w:snapToGrid w:val="0"/>
          <w:color w:val="auto"/>
          <w:kern w:val="0"/>
          <w:sz w:val="24"/>
          <w:highlight w:val="none"/>
          <w:lang w:bidi="ar"/>
        </w:rPr>
        <w:t>9</w:t>
      </w:r>
      <w:r>
        <w:rPr>
          <w:rFonts w:hint="eastAsia" w:ascii="宋体" w:hAnsi="宋体" w:cs="宋体"/>
          <w:snapToGrid w:val="0"/>
          <w:color w:val="auto"/>
          <w:kern w:val="0"/>
          <w:sz w:val="24"/>
          <w:highlight w:val="none"/>
          <w:lang w:bidi="ar"/>
        </w:rPr>
        <w:t>）建筑智能化系统设计：</w:t>
      </w:r>
    </w:p>
    <w:p>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1）通信网络系统：包括计算机网络系统、电话（语音）网络系统、综合布线系统、有线电视及卫星电视接收系统、公共广播及消防广播系统、信息发布（含大屏幕电子公告）、引导系统、手机信号覆盖系统、室内手机信号屏蔽系统、无线上网系统</w:t>
      </w:r>
      <w:r>
        <w:rPr>
          <w:rFonts w:hint="default" w:ascii="宋体" w:hAnsi="宋体" w:cs="宋体"/>
          <w:snapToGrid w:val="0"/>
          <w:color w:val="auto"/>
          <w:kern w:val="0"/>
          <w:sz w:val="24"/>
          <w:highlight w:val="none"/>
          <w:lang w:bidi="ar"/>
        </w:rPr>
        <w:t>、公共通信基础设施和电梯五方通话系统</w:t>
      </w:r>
      <w:r>
        <w:rPr>
          <w:rFonts w:hint="eastAsia" w:ascii="宋体" w:hAnsi="宋体" w:cs="宋体"/>
          <w:snapToGrid w:val="0"/>
          <w:color w:val="auto"/>
          <w:kern w:val="0"/>
          <w:sz w:val="24"/>
          <w:highlight w:val="none"/>
          <w:lang w:bidi="ar"/>
        </w:rPr>
        <w:t>等；</w:t>
      </w:r>
    </w:p>
    <w:p>
      <w:pPr>
        <w:adjustRightInd w:val="0"/>
        <w:snapToGrid w:val="0"/>
        <w:spacing w:line="360" w:lineRule="auto"/>
        <w:ind w:firstLine="240" w:firstLineChars="100"/>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w:t>
      </w:r>
      <w:r>
        <w:rPr>
          <w:rFonts w:hint="eastAsia" w:ascii="宋体" w:hAnsi="宋体" w:cs="宋体"/>
          <w:snapToGrid w:val="0"/>
          <w:color w:val="auto"/>
          <w:kern w:val="0"/>
          <w:sz w:val="24"/>
          <w:highlight w:val="none"/>
          <w:lang w:val="en-US" w:eastAsia="zh-CN" w:bidi="ar"/>
        </w:rPr>
        <w:t xml:space="preserve"> </w:t>
      </w:r>
      <w:r>
        <w:rPr>
          <w:rFonts w:hint="eastAsia" w:ascii="宋体" w:hAnsi="宋体" w:cs="宋体"/>
          <w:snapToGrid w:val="0"/>
          <w:color w:val="auto"/>
          <w:kern w:val="0"/>
          <w:sz w:val="24"/>
          <w:highlight w:val="none"/>
          <w:lang w:bidi="ar"/>
        </w:rPr>
        <w:t>2）电子会议系统；</w:t>
      </w:r>
    </w:p>
    <w:p>
      <w:pPr>
        <w:adjustRightInd w:val="0"/>
        <w:snapToGrid w:val="0"/>
        <w:spacing w:line="360" w:lineRule="auto"/>
        <w:ind w:firstLine="480" w:firstLineChars="200"/>
        <w:rPr>
          <w:rFonts w:ascii="宋体" w:hAnsi="宋体" w:cs="宋体"/>
          <w:color w:val="auto"/>
          <w:kern w:val="0"/>
          <w:sz w:val="24"/>
          <w:highlight w:val="none"/>
        </w:rPr>
      </w:pPr>
      <w:r>
        <w:rPr>
          <w:rFonts w:ascii="宋体" w:hAnsi="宋体" w:cs="宋体"/>
          <w:color w:val="auto"/>
          <w:kern w:val="0"/>
          <w:sz w:val="24"/>
          <w:highlight w:val="none"/>
          <w:lang w:bidi="ar"/>
        </w:rPr>
        <w:t>3</w:t>
      </w:r>
      <w:r>
        <w:rPr>
          <w:rFonts w:hint="eastAsia" w:ascii="宋体" w:hAnsi="宋体" w:cs="宋体"/>
          <w:snapToGrid w:val="0"/>
          <w:color w:val="auto"/>
          <w:kern w:val="0"/>
          <w:sz w:val="24"/>
          <w:highlight w:val="none"/>
          <w:lang w:bidi="ar"/>
        </w:rPr>
        <w:t>）建筑设备监控系统；</w:t>
      </w:r>
    </w:p>
    <w:p>
      <w:pPr>
        <w:adjustRightInd w:val="0"/>
        <w:snapToGrid w:val="0"/>
        <w:spacing w:line="360" w:lineRule="auto"/>
        <w:ind w:firstLine="480" w:firstLineChars="200"/>
        <w:rPr>
          <w:rFonts w:ascii="宋体" w:hAnsi="宋体" w:cs="宋体"/>
          <w:color w:val="auto"/>
          <w:kern w:val="0"/>
          <w:sz w:val="24"/>
          <w:highlight w:val="none"/>
        </w:rPr>
      </w:pPr>
      <w:r>
        <w:rPr>
          <w:rFonts w:ascii="宋体" w:hAnsi="宋体" w:cs="宋体"/>
          <w:color w:val="auto"/>
          <w:kern w:val="0"/>
          <w:sz w:val="24"/>
          <w:highlight w:val="none"/>
          <w:lang w:bidi="ar"/>
        </w:rPr>
        <w:t>4</w:t>
      </w:r>
      <w:r>
        <w:rPr>
          <w:rFonts w:hint="eastAsia" w:ascii="宋体" w:hAnsi="宋体" w:cs="宋体"/>
          <w:snapToGrid w:val="0"/>
          <w:color w:val="auto"/>
          <w:kern w:val="0"/>
          <w:sz w:val="24"/>
          <w:highlight w:val="none"/>
          <w:lang w:bidi="ar"/>
        </w:rPr>
        <w:t>）安全防范系统：包括入侵报警系统、视频监控系统、出入口控制系统、电子巡更系统、停车场管理系统、智能卡系统、安全防范系统集成（设计范围内的所有建筑、公众区域、停车场、出入口通道等区域的安保设计）等；</w:t>
      </w:r>
    </w:p>
    <w:p>
      <w:pPr>
        <w:adjustRightInd w:val="0"/>
        <w:snapToGrid w:val="0"/>
        <w:spacing w:line="360" w:lineRule="auto"/>
        <w:ind w:firstLine="480" w:firstLineChars="200"/>
        <w:rPr>
          <w:rFonts w:ascii="宋体" w:hAnsi="宋体" w:cs="宋体"/>
          <w:color w:val="auto"/>
          <w:kern w:val="0"/>
          <w:sz w:val="24"/>
          <w:highlight w:val="none"/>
        </w:rPr>
      </w:pPr>
      <w:r>
        <w:rPr>
          <w:rFonts w:ascii="宋体" w:hAnsi="宋体" w:cs="宋体"/>
          <w:color w:val="auto"/>
          <w:kern w:val="0"/>
          <w:sz w:val="24"/>
          <w:highlight w:val="none"/>
          <w:lang w:bidi="ar"/>
        </w:rPr>
        <w:t>5</w:t>
      </w:r>
      <w:r>
        <w:rPr>
          <w:rFonts w:hint="eastAsia" w:ascii="宋体" w:hAnsi="宋体" w:cs="宋体"/>
          <w:snapToGrid w:val="0"/>
          <w:color w:val="auto"/>
          <w:kern w:val="0"/>
          <w:sz w:val="24"/>
          <w:highlight w:val="none"/>
          <w:lang w:bidi="ar"/>
        </w:rPr>
        <w:t>）智能化系统集成；</w:t>
      </w:r>
    </w:p>
    <w:p>
      <w:pPr>
        <w:adjustRightInd w:val="0"/>
        <w:snapToGrid w:val="0"/>
        <w:spacing w:line="360" w:lineRule="auto"/>
        <w:ind w:firstLine="480" w:firstLineChars="200"/>
        <w:rPr>
          <w:rFonts w:ascii="宋体" w:hAnsi="宋体" w:cs="宋体"/>
          <w:color w:val="auto"/>
          <w:kern w:val="0"/>
          <w:sz w:val="24"/>
          <w:highlight w:val="none"/>
        </w:rPr>
      </w:pPr>
      <w:r>
        <w:rPr>
          <w:rFonts w:ascii="宋体" w:hAnsi="宋体" w:cs="宋体"/>
          <w:color w:val="auto"/>
          <w:kern w:val="0"/>
          <w:sz w:val="24"/>
          <w:highlight w:val="none"/>
          <w:lang w:bidi="ar"/>
        </w:rPr>
        <w:t>6</w:t>
      </w:r>
      <w:r>
        <w:rPr>
          <w:rFonts w:hint="eastAsia" w:ascii="宋体" w:hAnsi="宋体" w:cs="宋体"/>
          <w:snapToGrid w:val="0"/>
          <w:color w:val="auto"/>
          <w:kern w:val="0"/>
          <w:sz w:val="24"/>
          <w:highlight w:val="none"/>
          <w:lang w:bidi="ar"/>
        </w:rPr>
        <w:t>）弱电防雷系统；</w:t>
      </w:r>
    </w:p>
    <w:p>
      <w:pPr>
        <w:adjustRightInd w:val="0"/>
        <w:snapToGrid w:val="0"/>
        <w:spacing w:line="360" w:lineRule="auto"/>
        <w:ind w:firstLine="480" w:firstLineChars="200"/>
        <w:rPr>
          <w:rFonts w:hint="eastAsia" w:ascii="宋体" w:hAnsi="宋体" w:cs="宋体"/>
          <w:snapToGrid w:val="0"/>
          <w:color w:val="auto"/>
          <w:kern w:val="0"/>
          <w:sz w:val="24"/>
          <w:highlight w:val="none"/>
          <w:lang w:bidi="ar"/>
        </w:rPr>
      </w:pPr>
      <w:r>
        <w:rPr>
          <w:rFonts w:ascii="宋体" w:hAnsi="宋体" w:cs="宋体"/>
          <w:color w:val="auto"/>
          <w:kern w:val="0"/>
          <w:sz w:val="24"/>
          <w:highlight w:val="none"/>
          <w:lang w:bidi="ar"/>
        </w:rPr>
        <w:t>7</w:t>
      </w:r>
      <w:r>
        <w:rPr>
          <w:rFonts w:hint="eastAsia" w:ascii="宋体" w:hAnsi="宋体" w:cs="宋体"/>
          <w:snapToGrid w:val="0"/>
          <w:color w:val="auto"/>
          <w:kern w:val="0"/>
          <w:sz w:val="24"/>
          <w:highlight w:val="none"/>
          <w:lang w:bidi="ar"/>
        </w:rPr>
        <w:t>）机房工程；</w:t>
      </w:r>
    </w:p>
    <w:p>
      <w:pPr>
        <w:adjustRightInd w:val="0"/>
        <w:snapToGrid w:val="0"/>
        <w:spacing w:line="360" w:lineRule="auto"/>
        <w:ind w:firstLine="480" w:firstLineChars="200"/>
        <w:rPr>
          <w:rFonts w:hint="eastAsia" w:ascii="宋体" w:hAnsi="宋体" w:cs="宋体" w:eastAsiaTheme="minorEastAsia"/>
          <w:snapToGrid w:val="0"/>
          <w:color w:val="auto"/>
          <w:kern w:val="0"/>
          <w:sz w:val="24"/>
          <w:highlight w:val="none"/>
          <w:lang w:eastAsia="zh-CN" w:bidi="ar"/>
        </w:rPr>
      </w:pPr>
      <w:r>
        <w:rPr>
          <w:rFonts w:ascii="宋体" w:hAnsi="宋体" w:cs="宋体"/>
          <w:color w:val="auto"/>
          <w:kern w:val="0"/>
          <w:sz w:val="24"/>
          <w:highlight w:val="none"/>
          <w:lang w:bidi="ar"/>
        </w:rPr>
        <w:t>8</w:t>
      </w:r>
      <w:r>
        <w:rPr>
          <w:rFonts w:hint="eastAsia" w:ascii="宋体" w:hAnsi="宋体" w:cs="宋体"/>
          <w:snapToGrid w:val="0"/>
          <w:color w:val="auto"/>
          <w:kern w:val="0"/>
          <w:sz w:val="24"/>
          <w:highlight w:val="none"/>
          <w:lang w:bidi="ar"/>
        </w:rPr>
        <w:t>）监控中心</w:t>
      </w:r>
      <w:r>
        <w:rPr>
          <w:rFonts w:hint="eastAsia" w:ascii="宋体" w:hAnsi="宋体" w:cs="宋体"/>
          <w:snapToGrid w:val="0"/>
          <w:color w:val="auto"/>
          <w:kern w:val="0"/>
          <w:sz w:val="24"/>
          <w:highlight w:val="none"/>
          <w:lang w:eastAsia="zh-CN" w:bidi="ar"/>
        </w:rPr>
        <w:t>；</w:t>
      </w:r>
    </w:p>
    <w:p>
      <w:pPr>
        <w:adjustRightInd w:val="0"/>
        <w:snapToGrid w:val="0"/>
        <w:spacing w:line="360" w:lineRule="auto"/>
        <w:ind w:firstLine="480" w:firstLineChars="200"/>
        <w:rPr>
          <w:rFonts w:hint="eastAsia" w:ascii="宋体" w:hAnsi="宋体" w:cs="宋体"/>
          <w:snapToGrid w:val="0"/>
          <w:color w:val="auto"/>
          <w:kern w:val="0"/>
          <w:sz w:val="24"/>
          <w:highlight w:val="none"/>
          <w:lang w:bidi="ar"/>
        </w:rPr>
      </w:pPr>
      <w:r>
        <w:rPr>
          <w:rFonts w:hint="eastAsia" w:ascii="宋体" w:hAnsi="宋体" w:cs="宋体"/>
          <w:color w:val="auto"/>
          <w:kern w:val="0"/>
          <w:sz w:val="24"/>
          <w:highlight w:val="none"/>
          <w:lang w:val="en-US" w:eastAsia="zh-CN" w:bidi="ar"/>
        </w:rPr>
        <w:t>9</w:t>
      </w:r>
      <w:r>
        <w:rPr>
          <w:rFonts w:hint="eastAsia" w:ascii="宋体" w:hAnsi="宋体" w:cs="宋体"/>
          <w:snapToGrid w:val="0"/>
          <w:color w:val="auto"/>
          <w:kern w:val="0"/>
          <w:sz w:val="24"/>
          <w:highlight w:val="none"/>
          <w:lang w:bidi="ar"/>
        </w:rPr>
        <w:t>）</w:t>
      </w:r>
      <w:r>
        <w:rPr>
          <w:rFonts w:hint="eastAsia" w:ascii="宋体" w:hAnsi="宋体"/>
          <w:snapToGrid w:val="0"/>
          <w:color w:val="auto"/>
          <w:kern w:val="0"/>
          <w:sz w:val="24"/>
          <w:highlight w:val="none"/>
        </w:rPr>
        <w:t>其他相关系统。</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ascii="宋体" w:hAnsi="宋体" w:cs="宋体"/>
          <w:color w:val="auto"/>
          <w:kern w:val="0"/>
          <w:sz w:val="24"/>
          <w:highlight w:val="none"/>
          <w:u w:val="single"/>
        </w:rPr>
      </w:pPr>
      <w:r>
        <w:rPr>
          <w:rFonts w:hint="eastAsia" w:ascii="宋体" w:hAnsi="宋体" w:cs="宋体"/>
          <w:snapToGrid w:val="0"/>
          <w:color w:val="auto"/>
          <w:kern w:val="0"/>
          <w:sz w:val="24"/>
          <w:highlight w:val="none"/>
          <w:lang w:bidi="ar"/>
        </w:rPr>
        <w:t>（</w:t>
      </w:r>
      <w:r>
        <w:rPr>
          <w:rFonts w:hint="eastAsia" w:ascii="宋体" w:hAnsi="宋体" w:cs="宋体"/>
          <w:color w:val="auto"/>
          <w:kern w:val="0"/>
          <w:sz w:val="24"/>
          <w:highlight w:val="none"/>
          <w:lang w:bidi="ar"/>
        </w:rPr>
        <w:t>1</w:t>
      </w:r>
      <w:r>
        <w:rPr>
          <w:rFonts w:ascii="宋体" w:hAnsi="宋体" w:cs="宋体"/>
          <w:color w:val="auto"/>
          <w:kern w:val="0"/>
          <w:sz w:val="24"/>
          <w:highlight w:val="none"/>
          <w:lang w:bidi="ar"/>
        </w:rPr>
        <w:t>0</w:t>
      </w:r>
      <w:r>
        <w:rPr>
          <w:rFonts w:hint="eastAsia" w:ascii="宋体" w:hAnsi="宋体" w:cs="宋体"/>
          <w:snapToGrid w:val="0"/>
          <w:color w:val="auto"/>
          <w:kern w:val="0"/>
          <w:sz w:val="24"/>
          <w:highlight w:val="none"/>
          <w:lang w:bidi="ar"/>
        </w:rPr>
        <w:t>）</w:t>
      </w:r>
      <w:r>
        <w:rPr>
          <w:rFonts w:hint="eastAsia" w:ascii="宋体" w:hAnsi="宋体"/>
          <w:snapToGrid w:val="0"/>
          <w:color w:val="auto"/>
          <w:kern w:val="0"/>
          <w:sz w:val="24"/>
          <w:highlight w:val="none"/>
        </w:rPr>
        <w:t>给排水设计</w:t>
      </w:r>
      <w:r>
        <w:rPr>
          <w:rFonts w:hint="eastAsia" w:ascii="宋体" w:hAnsi="宋体"/>
          <w:snapToGrid w:val="0"/>
          <w:color w:val="auto"/>
          <w:kern w:val="0"/>
          <w:sz w:val="24"/>
          <w:highlight w:val="none"/>
          <w:u w:val="none"/>
        </w:rPr>
        <w:t>（含外水接入、接出部分，需设计接至主管部门指定接口）</w:t>
      </w:r>
      <w:r>
        <w:rPr>
          <w:rFonts w:hint="eastAsia" w:ascii="宋体" w:hAnsi="宋体"/>
          <w:snapToGrid w:val="0"/>
          <w:color w:val="auto"/>
          <w:kern w:val="0"/>
          <w:sz w:val="24"/>
          <w:highlight w:val="none"/>
          <w:u w:val="none"/>
          <w:lang w:eastAsia="zh-CN"/>
        </w:rPr>
        <w:t>：</w:t>
      </w:r>
      <w:r>
        <w:rPr>
          <w:rFonts w:hint="eastAsia" w:ascii="宋体" w:hAnsi="宋体" w:eastAsia="宋体"/>
          <w:snapToGrid w:val="0"/>
          <w:color w:val="auto"/>
          <w:kern w:val="0"/>
          <w:sz w:val="24"/>
          <w:highlight w:val="none"/>
          <w:u w:val="none"/>
        </w:rPr>
        <w:t>包括但不限于用地红线范围内室内外生活冷热水给水系统</w:t>
      </w:r>
      <w:r>
        <w:rPr>
          <w:rFonts w:hint="eastAsia" w:ascii="宋体" w:hAnsi="宋体"/>
          <w:snapToGrid w:val="0"/>
          <w:color w:val="auto"/>
          <w:kern w:val="0"/>
          <w:sz w:val="24"/>
          <w:highlight w:val="none"/>
        </w:rPr>
        <w:t>（包含直饮水供水系统</w:t>
      </w:r>
      <w:r>
        <w:rPr>
          <w:rFonts w:hint="eastAsia" w:ascii="宋体" w:hAnsi="宋体"/>
          <w:snapToGrid w:val="0"/>
          <w:color w:val="auto"/>
          <w:kern w:val="0"/>
          <w:sz w:val="24"/>
          <w:highlight w:val="none"/>
          <w:lang w:eastAsia="zh-CN"/>
        </w:rPr>
        <w:t>）</w:t>
      </w:r>
      <w:r>
        <w:rPr>
          <w:rFonts w:hint="eastAsia" w:ascii="宋体" w:hAnsi="宋体" w:eastAsia="宋体"/>
          <w:snapToGrid w:val="0"/>
          <w:color w:val="auto"/>
          <w:kern w:val="0"/>
          <w:sz w:val="24"/>
          <w:highlight w:val="none"/>
          <w:u w:val="none"/>
        </w:rPr>
        <w:t>、污废水排水系统、雨水排水系统、雨水控制及利用系统、园林绿化配套的给排水系统</w:t>
      </w:r>
      <w:r>
        <w:rPr>
          <w:rFonts w:hint="eastAsia" w:ascii="宋体" w:hAnsi="宋体" w:eastAsia="宋体"/>
          <w:snapToGrid w:val="0"/>
          <w:color w:val="auto"/>
          <w:kern w:val="0"/>
          <w:sz w:val="24"/>
          <w:highlight w:val="none"/>
          <w:u w:val="none"/>
          <w:lang w:val="en-US" w:eastAsia="zh-CN"/>
        </w:rPr>
        <w:t>和</w:t>
      </w:r>
      <w:r>
        <w:rPr>
          <w:rFonts w:hint="eastAsia" w:ascii="宋体" w:hAnsi="宋体"/>
          <w:snapToGrid w:val="0"/>
          <w:color w:val="auto"/>
          <w:kern w:val="0"/>
          <w:sz w:val="24"/>
          <w:highlight w:val="none"/>
        </w:rPr>
        <w:t>用地内与市政管线接驳</w:t>
      </w:r>
      <w:r>
        <w:rPr>
          <w:rFonts w:hint="eastAsia" w:ascii="宋体" w:hAnsi="宋体" w:eastAsia="宋体" w:cs="宋体"/>
          <w:color w:val="auto"/>
          <w:kern w:val="0"/>
          <w:sz w:val="24"/>
          <w:szCs w:val="24"/>
          <w:highlight w:val="none"/>
          <w:lang w:val="en-US" w:eastAsia="zh-CN" w:bidi="ar"/>
        </w:rPr>
        <w:t>、项目范围内雨污分流</w:t>
      </w:r>
      <w:r>
        <w:rPr>
          <w:rFonts w:hint="eastAsia" w:ascii="宋体" w:hAnsi="宋体"/>
          <w:snapToGrid w:val="0"/>
          <w:color w:val="auto"/>
          <w:kern w:val="0"/>
          <w:sz w:val="24"/>
          <w:highlight w:val="none"/>
        </w:rPr>
        <w:t>等设计</w:t>
      </w:r>
      <w:r>
        <w:rPr>
          <w:rFonts w:hint="eastAsia" w:ascii="宋体" w:hAnsi="宋体" w:eastAsia="宋体"/>
          <w:snapToGrid w:val="0"/>
          <w:color w:val="auto"/>
          <w:kern w:val="0"/>
          <w:sz w:val="24"/>
          <w:highlight w:val="none"/>
          <w:u w:val="none"/>
        </w:rPr>
        <w:t>。</w:t>
      </w:r>
    </w:p>
    <w:p>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w:t>
      </w:r>
      <w:r>
        <w:rPr>
          <w:rFonts w:hint="eastAsia" w:ascii="宋体" w:hAnsi="宋体" w:cs="宋体"/>
          <w:color w:val="auto"/>
          <w:kern w:val="0"/>
          <w:sz w:val="24"/>
          <w:highlight w:val="none"/>
          <w:lang w:bidi="ar"/>
        </w:rPr>
        <w:t>1</w:t>
      </w:r>
      <w:r>
        <w:rPr>
          <w:rFonts w:ascii="宋体" w:hAnsi="宋体" w:cs="宋体"/>
          <w:color w:val="auto"/>
          <w:kern w:val="0"/>
          <w:sz w:val="24"/>
          <w:highlight w:val="none"/>
          <w:lang w:bidi="ar"/>
        </w:rPr>
        <w:t>1</w:t>
      </w:r>
      <w:r>
        <w:rPr>
          <w:rFonts w:hint="eastAsia" w:ascii="宋体" w:hAnsi="宋体" w:cs="宋体"/>
          <w:snapToGrid w:val="0"/>
          <w:color w:val="auto"/>
          <w:kern w:val="0"/>
          <w:sz w:val="24"/>
          <w:highlight w:val="none"/>
          <w:lang w:bidi="ar"/>
        </w:rPr>
        <w:t>）空调通风设计：包括不限于建筑物内部通风系统、建筑物内部空气调节系统、中央洗尘系统、集中供冷供热系统等的设计。</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w:t>
      </w:r>
      <w:r>
        <w:rPr>
          <w:rFonts w:hint="eastAsia" w:ascii="宋体" w:hAnsi="宋体" w:cs="宋体"/>
          <w:color w:val="auto"/>
          <w:kern w:val="0"/>
          <w:sz w:val="24"/>
          <w:highlight w:val="none"/>
          <w:lang w:bidi="ar"/>
        </w:rPr>
        <w:t>1</w:t>
      </w:r>
      <w:r>
        <w:rPr>
          <w:rFonts w:ascii="宋体" w:hAnsi="宋体" w:cs="宋体"/>
          <w:color w:val="auto"/>
          <w:kern w:val="0"/>
          <w:sz w:val="24"/>
          <w:highlight w:val="none"/>
          <w:lang w:bidi="ar"/>
        </w:rPr>
        <w:t>2</w:t>
      </w:r>
      <w:r>
        <w:rPr>
          <w:rFonts w:hint="eastAsia" w:ascii="宋体" w:hAnsi="宋体" w:cs="宋体"/>
          <w:snapToGrid w:val="0"/>
          <w:color w:val="auto"/>
          <w:kern w:val="0"/>
          <w:sz w:val="24"/>
          <w:highlight w:val="none"/>
          <w:lang w:bidi="ar"/>
        </w:rPr>
        <w:t>）消防设计：</w:t>
      </w:r>
      <w:r>
        <w:rPr>
          <w:rFonts w:ascii="宋体" w:hAnsi="宋体" w:eastAsia="宋体"/>
          <w:snapToGrid w:val="0"/>
          <w:color w:val="auto"/>
          <w:kern w:val="0"/>
          <w:sz w:val="24"/>
          <w:highlight w:val="none"/>
        </w:rPr>
        <w:t>包括但不限于室内外消火栓系统、自动灭火系统、建筑灭火器设计、防排烟系统、火灾自动报警及联动控制系统。</w:t>
      </w:r>
    </w:p>
    <w:p>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w:t>
      </w:r>
      <w:r>
        <w:rPr>
          <w:rFonts w:hint="eastAsia" w:ascii="宋体" w:hAnsi="宋体" w:cs="宋体"/>
          <w:color w:val="auto"/>
          <w:kern w:val="0"/>
          <w:sz w:val="24"/>
          <w:highlight w:val="none"/>
          <w:lang w:bidi="ar"/>
        </w:rPr>
        <w:t>1</w:t>
      </w:r>
      <w:r>
        <w:rPr>
          <w:rFonts w:ascii="宋体" w:hAnsi="宋体" w:cs="宋体"/>
          <w:color w:val="auto"/>
          <w:kern w:val="0"/>
          <w:sz w:val="24"/>
          <w:highlight w:val="none"/>
          <w:lang w:bidi="ar"/>
        </w:rPr>
        <w:t>3</w:t>
      </w:r>
      <w:r>
        <w:rPr>
          <w:rFonts w:hint="eastAsia" w:ascii="宋体" w:hAnsi="宋体" w:cs="宋体"/>
          <w:snapToGrid w:val="0"/>
          <w:color w:val="auto"/>
          <w:kern w:val="0"/>
          <w:sz w:val="24"/>
          <w:highlight w:val="none"/>
          <w:lang w:bidi="ar"/>
        </w:rPr>
        <w:t>）人防工程设计。</w:t>
      </w:r>
    </w:p>
    <w:p>
      <w:pPr>
        <w:adjustRightInd w:val="0"/>
        <w:snapToGrid w:val="0"/>
        <w:spacing w:line="360" w:lineRule="auto"/>
        <w:ind w:firstLine="480" w:firstLineChars="200"/>
        <w:rPr>
          <w:rFonts w:hint="eastAsia" w:ascii="宋体" w:hAnsi="宋体" w:cs="宋体"/>
          <w:snapToGrid w:val="0"/>
          <w:color w:val="auto"/>
          <w:kern w:val="0"/>
          <w:sz w:val="24"/>
          <w:highlight w:val="none"/>
          <w:lang w:bidi="ar"/>
        </w:rPr>
      </w:pPr>
      <w:r>
        <w:rPr>
          <w:rFonts w:hint="eastAsia" w:ascii="宋体" w:hAnsi="宋体" w:cs="宋体"/>
          <w:snapToGrid w:val="0"/>
          <w:color w:val="auto"/>
          <w:kern w:val="0"/>
          <w:sz w:val="24"/>
          <w:highlight w:val="none"/>
          <w:lang w:bidi="ar"/>
        </w:rPr>
        <w:t>（</w:t>
      </w:r>
      <w:r>
        <w:rPr>
          <w:rFonts w:hint="eastAsia" w:ascii="宋体" w:hAnsi="宋体" w:cs="宋体"/>
          <w:color w:val="auto"/>
          <w:kern w:val="0"/>
          <w:sz w:val="24"/>
          <w:highlight w:val="none"/>
          <w:lang w:bidi="ar"/>
        </w:rPr>
        <w:t>1</w:t>
      </w:r>
      <w:r>
        <w:rPr>
          <w:rFonts w:ascii="宋体" w:hAnsi="宋体" w:cs="宋体"/>
          <w:color w:val="auto"/>
          <w:kern w:val="0"/>
          <w:sz w:val="24"/>
          <w:highlight w:val="none"/>
          <w:lang w:bidi="ar"/>
        </w:rPr>
        <w:t>4</w:t>
      </w:r>
      <w:r>
        <w:rPr>
          <w:rFonts w:hint="eastAsia" w:ascii="宋体" w:hAnsi="宋体" w:cs="宋体"/>
          <w:snapToGrid w:val="0"/>
          <w:color w:val="auto"/>
          <w:kern w:val="0"/>
          <w:sz w:val="24"/>
          <w:highlight w:val="none"/>
          <w:lang w:bidi="ar"/>
        </w:rPr>
        <w:t>）电梯工程设计与相关配合。</w:t>
      </w:r>
    </w:p>
    <w:p>
      <w:pPr>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（15）市政道路专业设计</w:t>
      </w:r>
      <w:r>
        <w:rPr>
          <w:rFonts w:ascii="宋体" w:hAnsi="宋体"/>
          <w:snapToGrid w:val="0"/>
          <w:color w:val="auto"/>
          <w:kern w:val="0"/>
          <w:sz w:val="24"/>
          <w:highlight w:val="none"/>
        </w:rPr>
        <w:t>。</w:t>
      </w:r>
    </w:p>
    <w:p>
      <w:pPr>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（16）市政管线专业设计</w:t>
      </w:r>
      <w:r>
        <w:rPr>
          <w:rFonts w:ascii="宋体" w:hAnsi="宋体"/>
          <w:snapToGrid w:val="0"/>
          <w:color w:val="auto"/>
          <w:kern w:val="0"/>
          <w:sz w:val="24"/>
          <w:highlight w:val="none"/>
        </w:rPr>
        <w:t>。</w:t>
      </w:r>
    </w:p>
    <w:p>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7</w:t>
      </w:r>
      <w:r>
        <w:rPr>
          <w:rFonts w:hint="eastAsia" w:ascii="宋体" w:hAnsi="宋体" w:cs="宋体"/>
          <w:snapToGrid w:val="0"/>
          <w:color w:val="auto"/>
          <w:kern w:val="0"/>
          <w:sz w:val="24"/>
          <w:highlight w:val="none"/>
          <w:lang w:bidi="ar"/>
        </w:rPr>
        <w:t>）按照项目的灯光、声学等特殊工艺设计要求进行建筑、结构及其配套设备专业的设计与相关配合。</w:t>
      </w:r>
    </w:p>
    <w:p>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w:t>
      </w:r>
      <w:r>
        <w:rPr>
          <w:rFonts w:ascii="宋体" w:hAnsi="宋体" w:cs="宋体"/>
          <w:snapToGrid w:val="0"/>
          <w:color w:val="auto"/>
          <w:kern w:val="0"/>
          <w:sz w:val="24"/>
          <w:highlight w:val="none"/>
          <w:lang w:bidi="ar"/>
        </w:rPr>
        <w:t>1</w:t>
      </w:r>
      <w:r>
        <w:rPr>
          <w:rFonts w:hint="eastAsia" w:ascii="宋体" w:hAnsi="宋体" w:cs="宋体"/>
          <w:snapToGrid w:val="0"/>
          <w:color w:val="auto"/>
          <w:kern w:val="0"/>
          <w:sz w:val="24"/>
          <w:highlight w:val="none"/>
          <w:lang w:val="en-US" w:eastAsia="zh-CN" w:bidi="ar"/>
        </w:rPr>
        <w:t>8</w:t>
      </w:r>
      <w:r>
        <w:rPr>
          <w:rFonts w:hint="eastAsia" w:ascii="宋体" w:hAnsi="宋体" w:cs="宋体"/>
          <w:snapToGrid w:val="0"/>
          <w:color w:val="auto"/>
          <w:kern w:val="0"/>
          <w:sz w:val="24"/>
          <w:highlight w:val="none"/>
          <w:lang w:bidi="ar"/>
        </w:rPr>
        <w:t>）管线综合平衡设计：各种专业设备、系统的管线在建筑物内、外的路由平衡设计。建筑物内、外的管线综合平衡设计以专篇形式提交。</w:t>
      </w:r>
    </w:p>
    <w:p>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w:t>
      </w:r>
      <w:r>
        <w:rPr>
          <w:rFonts w:ascii="宋体" w:hAnsi="宋体" w:cs="宋体"/>
          <w:snapToGrid w:val="0"/>
          <w:color w:val="auto"/>
          <w:kern w:val="0"/>
          <w:sz w:val="24"/>
          <w:highlight w:val="none"/>
          <w:lang w:bidi="ar"/>
        </w:rPr>
        <w:t>1</w:t>
      </w:r>
      <w:r>
        <w:rPr>
          <w:rFonts w:hint="eastAsia" w:ascii="宋体" w:hAnsi="宋体" w:cs="宋体"/>
          <w:snapToGrid w:val="0"/>
          <w:color w:val="auto"/>
          <w:kern w:val="0"/>
          <w:sz w:val="24"/>
          <w:highlight w:val="none"/>
          <w:lang w:val="en-US" w:eastAsia="zh-CN" w:bidi="ar"/>
        </w:rPr>
        <w:t>9</w:t>
      </w:r>
      <w:r>
        <w:rPr>
          <w:rFonts w:hint="eastAsia" w:ascii="宋体" w:hAnsi="宋体" w:cs="宋体"/>
          <w:snapToGrid w:val="0"/>
          <w:color w:val="auto"/>
          <w:kern w:val="0"/>
          <w:sz w:val="24"/>
          <w:highlight w:val="none"/>
          <w:lang w:bidi="ar"/>
        </w:rPr>
        <w:t>）设备选型意见：就拟采用的专用机电设备、专用电子设备（如大屏幕显示系统、广播音响系统等）的选型于施工图设计开始前向甲方提出书面意见并提供相关设备的技术参数规格书，但不设计专用设备。</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w:t>
      </w:r>
      <w:r>
        <w:rPr>
          <w:rFonts w:hint="eastAsia" w:ascii="宋体" w:hAnsi="宋体" w:cs="宋体"/>
          <w:snapToGrid w:val="0"/>
          <w:color w:val="auto"/>
          <w:kern w:val="0"/>
          <w:sz w:val="24"/>
          <w:highlight w:val="none"/>
          <w:lang w:val="en-US" w:eastAsia="zh-CN" w:bidi="ar"/>
        </w:rPr>
        <w:t>20</w:t>
      </w:r>
      <w:r>
        <w:rPr>
          <w:rFonts w:hint="eastAsia" w:ascii="宋体" w:hAnsi="宋体" w:cs="宋体"/>
          <w:snapToGrid w:val="0"/>
          <w:color w:val="auto"/>
          <w:kern w:val="0"/>
          <w:sz w:val="24"/>
          <w:highlight w:val="none"/>
          <w:lang w:bidi="ar"/>
        </w:rPr>
        <w:t>）建筑节能、绿色建筑</w:t>
      </w:r>
      <w:r>
        <w:rPr>
          <w:rFonts w:ascii="宋体" w:hAnsi="宋体" w:cs="宋体"/>
          <w:strike w:val="0"/>
          <w:dstrike w:val="0"/>
          <w:snapToGrid w:val="0"/>
          <w:color w:val="auto"/>
          <w:kern w:val="0"/>
          <w:sz w:val="24"/>
          <w:highlight w:val="none"/>
          <w:lang w:bidi="ar"/>
        </w:rPr>
        <w:t>、海绵城市、广州市城市树木保护及“古树名木及大树保护、历史文化风貌保护、</w:t>
      </w:r>
      <w:r>
        <w:rPr>
          <w:rFonts w:hint="eastAsia" w:ascii="宋体" w:hAnsi="宋体" w:eastAsia="宋体" w:cs="宋体"/>
          <w:color w:val="auto"/>
          <w:kern w:val="0"/>
          <w:sz w:val="24"/>
          <w:szCs w:val="24"/>
          <w:highlight w:val="none"/>
          <w:lang w:val="en-US" w:eastAsia="zh-CN" w:bidi="ar"/>
        </w:rPr>
        <w:t>防范大规模拆建</w:t>
      </w:r>
      <w:r>
        <w:rPr>
          <w:rFonts w:ascii="宋体" w:hAnsi="宋体" w:cs="宋体"/>
          <w:strike w:val="0"/>
          <w:dstrike w:val="0"/>
          <w:snapToGrid w:val="0"/>
          <w:color w:val="auto"/>
          <w:kern w:val="0"/>
          <w:sz w:val="24"/>
          <w:highlight w:val="none"/>
          <w:lang w:bidi="ar"/>
        </w:rPr>
        <w:t>”等</w:t>
      </w:r>
      <w:r>
        <w:rPr>
          <w:rFonts w:hint="eastAsia" w:ascii="宋体" w:hAnsi="宋体" w:cs="宋体"/>
          <w:strike w:val="0"/>
          <w:snapToGrid w:val="0"/>
          <w:color w:val="auto"/>
          <w:kern w:val="0"/>
          <w:sz w:val="24"/>
          <w:highlight w:val="none"/>
          <w:lang w:bidi="ar"/>
        </w:rPr>
        <w:t>设</w:t>
      </w:r>
      <w:r>
        <w:rPr>
          <w:rFonts w:hint="eastAsia" w:ascii="宋体" w:hAnsi="宋体" w:cs="宋体"/>
          <w:snapToGrid w:val="0"/>
          <w:color w:val="auto"/>
          <w:kern w:val="0"/>
          <w:sz w:val="24"/>
          <w:highlight w:val="none"/>
          <w:lang w:bidi="ar"/>
        </w:rPr>
        <w:t>计和申报、验收，以及新技术应用的研究和设计。</w:t>
      </w:r>
    </w:p>
    <w:p>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w:t>
      </w:r>
      <w:r>
        <w:rPr>
          <w:rFonts w:hint="eastAsia" w:ascii="宋体" w:hAnsi="宋体" w:cs="宋体"/>
          <w:snapToGrid w:val="0"/>
          <w:color w:val="auto"/>
          <w:kern w:val="0"/>
          <w:sz w:val="24"/>
          <w:highlight w:val="none"/>
          <w:lang w:val="en-US" w:eastAsia="zh-CN" w:bidi="ar"/>
        </w:rPr>
        <w:t>21</w:t>
      </w:r>
      <w:r>
        <w:rPr>
          <w:rFonts w:hint="eastAsia" w:ascii="宋体" w:hAnsi="宋体" w:cs="宋体"/>
          <w:snapToGrid w:val="0"/>
          <w:color w:val="auto"/>
          <w:kern w:val="0"/>
          <w:sz w:val="24"/>
          <w:highlight w:val="none"/>
          <w:lang w:bidi="ar"/>
        </w:rPr>
        <w:t>）编制方案设计投资估算。</w:t>
      </w:r>
    </w:p>
    <w:p>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w:t>
      </w:r>
      <w:r>
        <w:rPr>
          <w:rFonts w:hint="eastAsia" w:ascii="宋体" w:hAnsi="宋体" w:cs="宋体"/>
          <w:color w:val="auto"/>
          <w:kern w:val="0"/>
          <w:sz w:val="24"/>
          <w:highlight w:val="none"/>
          <w:lang w:bidi="ar"/>
        </w:rPr>
        <w:t>2</w:t>
      </w:r>
      <w:r>
        <w:rPr>
          <w:rFonts w:hint="eastAsia" w:ascii="宋体" w:hAnsi="宋体" w:cs="宋体"/>
          <w:color w:val="auto"/>
          <w:kern w:val="0"/>
          <w:sz w:val="24"/>
          <w:highlight w:val="none"/>
          <w:lang w:val="en-US" w:eastAsia="zh-CN" w:bidi="ar"/>
        </w:rPr>
        <w:t>2</w:t>
      </w:r>
      <w:r>
        <w:rPr>
          <w:rFonts w:hint="eastAsia" w:ascii="宋体" w:hAnsi="宋体" w:cs="宋体"/>
          <w:snapToGrid w:val="0"/>
          <w:color w:val="auto"/>
          <w:kern w:val="0"/>
          <w:sz w:val="24"/>
          <w:highlight w:val="none"/>
          <w:lang w:bidi="ar"/>
        </w:rPr>
        <w:t>）编制初步设计概算。</w:t>
      </w:r>
    </w:p>
    <w:p>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w:t>
      </w:r>
      <w:r>
        <w:rPr>
          <w:rFonts w:hint="eastAsia" w:ascii="宋体" w:hAnsi="宋体" w:cs="宋体"/>
          <w:color w:val="auto"/>
          <w:kern w:val="0"/>
          <w:sz w:val="24"/>
          <w:highlight w:val="none"/>
          <w:lang w:bidi="ar"/>
        </w:rPr>
        <w:t>2</w:t>
      </w:r>
      <w:r>
        <w:rPr>
          <w:rFonts w:hint="eastAsia" w:ascii="宋体" w:hAnsi="宋体" w:cs="宋体"/>
          <w:color w:val="auto"/>
          <w:kern w:val="0"/>
          <w:sz w:val="24"/>
          <w:highlight w:val="none"/>
          <w:lang w:val="en-US" w:eastAsia="zh-CN" w:bidi="ar"/>
        </w:rPr>
        <w:t>3</w:t>
      </w:r>
      <w:r>
        <w:rPr>
          <w:rFonts w:hint="eastAsia" w:ascii="宋体" w:hAnsi="宋体" w:cs="宋体"/>
          <w:snapToGrid w:val="0"/>
          <w:color w:val="auto"/>
          <w:kern w:val="0"/>
          <w:sz w:val="24"/>
          <w:highlight w:val="none"/>
          <w:lang w:bidi="ar"/>
        </w:rPr>
        <w:t>）编制设计变更</w:t>
      </w:r>
      <w:r>
        <w:rPr>
          <w:rFonts w:ascii="宋体" w:hAnsi="宋体" w:cs="宋体"/>
          <w:snapToGrid w:val="0"/>
          <w:color w:val="auto"/>
          <w:kern w:val="0"/>
          <w:sz w:val="24"/>
          <w:highlight w:val="none"/>
          <w:lang w:bidi="ar"/>
        </w:rPr>
        <w:t>预算</w:t>
      </w:r>
      <w:r>
        <w:rPr>
          <w:rFonts w:hint="eastAsia" w:ascii="宋体" w:hAnsi="宋体" w:cs="宋体"/>
          <w:snapToGrid w:val="0"/>
          <w:color w:val="auto"/>
          <w:kern w:val="0"/>
          <w:sz w:val="24"/>
          <w:highlight w:val="none"/>
          <w:lang w:bidi="ar"/>
        </w:rPr>
        <w:t>。</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宋体" w:hAnsi="宋体" w:cs="宋体"/>
          <w:color w:val="auto"/>
          <w:kern w:val="0"/>
          <w:sz w:val="24"/>
          <w:highlight w:val="none"/>
        </w:rPr>
      </w:pPr>
      <w:r>
        <w:rPr>
          <w:rFonts w:hint="eastAsia" w:ascii="宋体" w:hAnsi="宋体" w:cs="宋体"/>
          <w:snapToGrid w:val="0"/>
          <w:color w:val="auto"/>
          <w:kern w:val="0"/>
          <w:sz w:val="24"/>
          <w:highlight w:val="none"/>
          <w:lang w:bidi="ar"/>
        </w:rPr>
        <w:t>（</w:t>
      </w:r>
      <w:r>
        <w:rPr>
          <w:rFonts w:hint="eastAsia" w:ascii="宋体" w:hAnsi="宋体" w:cs="宋体"/>
          <w:color w:val="auto"/>
          <w:kern w:val="0"/>
          <w:sz w:val="24"/>
          <w:highlight w:val="none"/>
          <w:lang w:bidi="ar"/>
        </w:rPr>
        <w:t>2</w:t>
      </w:r>
      <w:r>
        <w:rPr>
          <w:rFonts w:hint="eastAsia" w:ascii="宋体" w:hAnsi="宋体" w:cs="宋体"/>
          <w:color w:val="auto"/>
          <w:kern w:val="0"/>
          <w:sz w:val="24"/>
          <w:highlight w:val="none"/>
          <w:lang w:val="en-US" w:eastAsia="zh-CN" w:bidi="ar"/>
        </w:rPr>
        <w:t>4</w:t>
      </w:r>
      <w:r>
        <w:rPr>
          <w:rFonts w:hint="eastAsia" w:ascii="宋体" w:hAnsi="宋体" w:cs="宋体"/>
          <w:snapToGrid w:val="0"/>
          <w:color w:val="auto"/>
          <w:kern w:val="0"/>
          <w:sz w:val="24"/>
          <w:highlight w:val="none"/>
          <w:lang w:bidi="ar"/>
        </w:rPr>
        <w:t>）编制</w:t>
      </w:r>
      <w:r>
        <w:rPr>
          <w:rFonts w:ascii="宋体" w:hAnsi="宋体"/>
          <w:snapToGrid w:val="0"/>
          <w:color w:val="auto"/>
          <w:kern w:val="0"/>
          <w:sz w:val="24"/>
          <w:highlight w:val="none"/>
        </w:rPr>
        <w:t>施工图</w:t>
      </w:r>
      <w:r>
        <w:rPr>
          <w:rFonts w:hint="default" w:ascii="宋体" w:hAnsi="宋体" w:cs="宋体"/>
          <w:snapToGrid w:val="0"/>
          <w:color w:val="auto"/>
          <w:kern w:val="0"/>
          <w:sz w:val="24"/>
          <w:highlight w:val="none"/>
          <w:lang w:bidi="ar"/>
        </w:rPr>
        <w:t>预算</w:t>
      </w:r>
      <w:r>
        <w:rPr>
          <w:rFonts w:hint="eastAsia" w:ascii="宋体" w:hAnsi="宋体" w:cs="宋体"/>
          <w:snapToGrid w:val="0"/>
          <w:color w:val="auto"/>
          <w:kern w:val="0"/>
          <w:sz w:val="24"/>
          <w:highlight w:val="none"/>
          <w:lang w:bidi="ar"/>
        </w:rPr>
        <w:t>。</w:t>
      </w:r>
    </w:p>
    <w:p>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w:t>
      </w:r>
      <w:r>
        <w:rPr>
          <w:rFonts w:hint="eastAsia" w:ascii="宋体" w:hAnsi="宋体" w:cs="宋体"/>
          <w:color w:val="auto"/>
          <w:kern w:val="0"/>
          <w:sz w:val="24"/>
          <w:highlight w:val="none"/>
          <w:lang w:bidi="ar"/>
        </w:rPr>
        <w:t>2</w:t>
      </w:r>
      <w:r>
        <w:rPr>
          <w:rFonts w:hint="eastAsia" w:ascii="宋体" w:hAnsi="宋体" w:cs="宋体"/>
          <w:color w:val="auto"/>
          <w:kern w:val="0"/>
          <w:sz w:val="24"/>
          <w:highlight w:val="none"/>
          <w:lang w:val="en-US" w:eastAsia="zh-CN" w:bidi="ar"/>
        </w:rPr>
        <w:t>5</w:t>
      </w:r>
      <w:r>
        <w:rPr>
          <w:rFonts w:hint="eastAsia" w:ascii="宋体" w:hAnsi="宋体" w:cs="宋体"/>
          <w:snapToGrid w:val="0"/>
          <w:color w:val="auto"/>
          <w:kern w:val="0"/>
          <w:sz w:val="24"/>
          <w:highlight w:val="none"/>
          <w:lang w:bidi="ar"/>
        </w:rPr>
        <w:t>）在规划红线范围内，乙方应保证按规划及建筑功能要求、配套设施要求完成本合同工程造价中包含的全部项目的专业专项勘察、设计。</w:t>
      </w:r>
    </w:p>
    <w:p>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w:t>
      </w:r>
      <w:r>
        <w:rPr>
          <w:rFonts w:hint="eastAsia" w:ascii="宋体" w:hAnsi="宋体" w:cs="宋体"/>
          <w:color w:val="auto"/>
          <w:kern w:val="0"/>
          <w:sz w:val="24"/>
          <w:highlight w:val="none"/>
          <w:lang w:bidi="ar"/>
        </w:rPr>
        <w:t>2</w:t>
      </w:r>
      <w:r>
        <w:rPr>
          <w:rFonts w:hint="eastAsia" w:ascii="宋体" w:hAnsi="宋体" w:cs="宋体"/>
          <w:color w:val="auto"/>
          <w:kern w:val="0"/>
          <w:sz w:val="24"/>
          <w:highlight w:val="none"/>
          <w:lang w:val="en-US" w:eastAsia="zh-CN" w:bidi="ar"/>
        </w:rPr>
        <w:t>6</w:t>
      </w:r>
      <w:r>
        <w:rPr>
          <w:rFonts w:hint="eastAsia" w:ascii="宋体" w:hAnsi="宋体" w:cs="宋体"/>
          <w:snapToGrid w:val="0"/>
          <w:color w:val="auto"/>
          <w:kern w:val="0"/>
          <w:sz w:val="24"/>
          <w:highlight w:val="none"/>
          <w:lang w:bidi="ar"/>
        </w:rPr>
        <w:t>）对于专项分包勘察、设计文件，须由乙方及专项分包单位人员校核并会签盖章确认。</w:t>
      </w:r>
    </w:p>
    <w:p>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w:t>
      </w:r>
      <w:r>
        <w:rPr>
          <w:rFonts w:hint="eastAsia" w:ascii="宋体" w:hAnsi="宋体" w:cs="宋体"/>
          <w:color w:val="auto"/>
          <w:kern w:val="0"/>
          <w:sz w:val="24"/>
          <w:highlight w:val="none"/>
          <w:lang w:bidi="ar"/>
        </w:rPr>
        <w:t>2</w:t>
      </w:r>
      <w:r>
        <w:rPr>
          <w:rFonts w:hint="eastAsia" w:ascii="宋体" w:hAnsi="宋体" w:cs="宋体"/>
          <w:color w:val="auto"/>
          <w:kern w:val="0"/>
          <w:sz w:val="24"/>
          <w:highlight w:val="none"/>
          <w:lang w:val="en-US" w:eastAsia="zh-CN" w:bidi="ar"/>
        </w:rPr>
        <w:t>7</w:t>
      </w:r>
      <w:r>
        <w:rPr>
          <w:rFonts w:hint="eastAsia" w:ascii="宋体" w:hAnsi="宋体" w:cs="宋体"/>
          <w:snapToGrid w:val="0"/>
          <w:color w:val="auto"/>
          <w:kern w:val="0"/>
          <w:sz w:val="24"/>
          <w:highlight w:val="none"/>
          <w:lang w:bidi="ar"/>
        </w:rPr>
        <w:t>）提供主要设备材料表及技术要求书，配合甲方的招标工作。</w:t>
      </w:r>
    </w:p>
    <w:p>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地震评估、环境评估、防雷评估、风洞试验、振动台试验、点试验、消防性能化分析及有关专项试验、研究与论证不在乙方设计范畴内，但乙方应配合甲方工作。</w:t>
      </w:r>
    </w:p>
    <w:p>
      <w:pPr>
        <w:adjustRightInd w:val="0"/>
        <w:snapToGrid w:val="0"/>
        <w:spacing w:line="360" w:lineRule="auto"/>
        <w:ind w:firstLine="480" w:firstLineChars="200"/>
        <w:rPr>
          <w:rFonts w:hint="eastAsia" w:ascii="宋体" w:hAnsi="宋体" w:cs="宋体" w:eastAsiaTheme="minorEastAsia"/>
          <w:color w:val="auto"/>
          <w:kern w:val="0"/>
          <w:sz w:val="24"/>
          <w:highlight w:val="none"/>
          <w:u w:val="single"/>
          <w:lang w:eastAsia="zh-CN"/>
        </w:rPr>
      </w:pPr>
      <w:r>
        <w:rPr>
          <w:rFonts w:hint="eastAsia" w:ascii="宋体" w:hAnsi="宋体" w:cs="宋体"/>
          <w:snapToGrid w:val="0"/>
          <w:color w:val="auto"/>
          <w:kern w:val="0"/>
          <w:sz w:val="24"/>
          <w:highlight w:val="none"/>
          <w:lang w:bidi="ar"/>
        </w:rPr>
        <w:t>（</w:t>
      </w:r>
      <w:r>
        <w:rPr>
          <w:rFonts w:ascii="宋体" w:hAnsi="宋体" w:cs="宋体"/>
          <w:snapToGrid w:val="0"/>
          <w:color w:val="auto"/>
          <w:kern w:val="0"/>
          <w:sz w:val="24"/>
          <w:highlight w:val="none"/>
          <w:lang w:bidi="ar"/>
        </w:rPr>
        <w:t>2</w:t>
      </w:r>
      <w:r>
        <w:rPr>
          <w:rFonts w:hint="eastAsia" w:ascii="宋体" w:hAnsi="宋体" w:cs="宋体"/>
          <w:snapToGrid w:val="0"/>
          <w:color w:val="auto"/>
          <w:kern w:val="0"/>
          <w:sz w:val="24"/>
          <w:highlight w:val="none"/>
          <w:lang w:val="en-US" w:eastAsia="zh-CN" w:bidi="ar"/>
        </w:rPr>
        <w:t>8</w:t>
      </w:r>
      <w:r>
        <w:rPr>
          <w:rFonts w:hint="eastAsia" w:ascii="宋体" w:hAnsi="宋体" w:cs="宋体"/>
          <w:snapToGrid w:val="0"/>
          <w:color w:val="auto"/>
          <w:kern w:val="0"/>
          <w:sz w:val="24"/>
          <w:highlight w:val="none"/>
          <w:lang w:bidi="ar"/>
        </w:rPr>
        <w:t>）幕墙工程</w:t>
      </w:r>
      <w:r>
        <w:rPr>
          <w:rFonts w:hint="eastAsia" w:ascii="宋体" w:hAnsi="宋体" w:cs="宋体"/>
          <w:snapToGrid w:val="0"/>
          <w:color w:val="auto"/>
          <w:kern w:val="0"/>
          <w:sz w:val="24"/>
          <w:highlight w:val="none"/>
          <w:lang w:eastAsia="zh-CN" w:bidi="ar"/>
        </w:rPr>
        <w:t>。</w:t>
      </w:r>
    </w:p>
    <w:p>
      <w:pPr>
        <w:adjustRightInd w:val="0"/>
        <w:snapToGrid w:val="0"/>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lang w:bidi="ar"/>
        </w:rPr>
        <w:t>（</w:t>
      </w:r>
      <w:r>
        <w:rPr>
          <w:rFonts w:ascii="宋体" w:hAnsi="宋体" w:cs="宋体"/>
          <w:snapToGrid w:val="0"/>
          <w:color w:val="auto"/>
          <w:kern w:val="0"/>
          <w:sz w:val="24"/>
          <w:highlight w:val="none"/>
          <w:lang w:bidi="ar"/>
        </w:rPr>
        <w:t>2</w:t>
      </w:r>
      <w:r>
        <w:rPr>
          <w:rFonts w:hint="eastAsia" w:ascii="宋体" w:hAnsi="宋体" w:cs="宋体"/>
          <w:snapToGrid w:val="0"/>
          <w:color w:val="auto"/>
          <w:kern w:val="0"/>
          <w:sz w:val="24"/>
          <w:highlight w:val="none"/>
          <w:lang w:val="en-US" w:eastAsia="zh-CN" w:bidi="ar"/>
        </w:rPr>
        <w:t>9</w:t>
      </w:r>
      <w:r>
        <w:rPr>
          <w:rFonts w:hint="eastAsia" w:ascii="宋体" w:hAnsi="宋体" w:cs="宋体"/>
          <w:snapToGrid w:val="0"/>
          <w:color w:val="auto"/>
          <w:kern w:val="0"/>
          <w:sz w:val="24"/>
          <w:highlight w:val="none"/>
          <w:lang w:bidi="ar"/>
        </w:rPr>
        <w:t>）</w:t>
      </w:r>
      <w:r>
        <w:rPr>
          <w:rFonts w:hint="eastAsia" w:ascii="宋体" w:hAnsi="宋体" w:cs="宋体"/>
          <w:color w:val="auto"/>
          <w:sz w:val="24"/>
          <w:highlight w:val="none"/>
          <w:lang w:bidi="ar"/>
        </w:rPr>
        <w:t>环保工程设计。</w:t>
      </w:r>
    </w:p>
    <w:p>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w:t>
      </w:r>
      <w:r>
        <w:rPr>
          <w:rFonts w:hint="eastAsia" w:ascii="宋体" w:hAnsi="宋体" w:cs="宋体"/>
          <w:snapToGrid w:val="0"/>
          <w:color w:val="auto"/>
          <w:kern w:val="0"/>
          <w:sz w:val="24"/>
          <w:highlight w:val="none"/>
          <w:lang w:val="en-US" w:eastAsia="zh-CN" w:bidi="ar"/>
        </w:rPr>
        <w:t>30</w:t>
      </w:r>
      <w:r>
        <w:rPr>
          <w:rFonts w:hint="eastAsia" w:ascii="宋体" w:hAnsi="宋体" w:cs="宋体"/>
          <w:snapToGrid w:val="0"/>
          <w:color w:val="auto"/>
          <w:kern w:val="0"/>
          <w:sz w:val="24"/>
          <w:highlight w:val="none"/>
          <w:lang w:bidi="ar"/>
        </w:rPr>
        <w:t>）防雷设计。</w:t>
      </w:r>
    </w:p>
    <w:p>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w:t>
      </w:r>
      <w:r>
        <w:rPr>
          <w:rFonts w:hint="eastAsia" w:ascii="宋体" w:hAnsi="宋体" w:cs="宋体"/>
          <w:snapToGrid w:val="0"/>
          <w:color w:val="auto"/>
          <w:kern w:val="0"/>
          <w:sz w:val="24"/>
          <w:highlight w:val="none"/>
          <w:lang w:val="en-US" w:eastAsia="zh-CN" w:bidi="ar"/>
        </w:rPr>
        <w:t>31</w:t>
      </w:r>
      <w:r>
        <w:rPr>
          <w:rFonts w:hint="eastAsia" w:ascii="宋体" w:hAnsi="宋体" w:cs="宋体"/>
          <w:snapToGrid w:val="0"/>
          <w:color w:val="auto"/>
          <w:kern w:val="0"/>
          <w:sz w:val="24"/>
          <w:highlight w:val="none"/>
          <w:lang w:bidi="ar"/>
        </w:rPr>
        <w:t>）</w:t>
      </w:r>
      <w:r>
        <w:rPr>
          <w:rFonts w:hint="eastAsia" w:ascii="宋体" w:hAnsi="宋体"/>
          <w:color w:val="auto"/>
          <w:sz w:val="24"/>
          <w:highlight w:val="none"/>
        </w:rPr>
        <w:t>标识导引系统设计</w:t>
      </w:r>
      <w:r>
        <w:rPr>
          <w:rFonts w:hint="eastAsia" w:ascii="宋体" w:hAnsi="宋体" w:cs="宋体"/>
          <w:snapToGrid w:val="0"/>
          <w:color w:val="auto"/>
          <w:kern w:val="0"/>
          <w:sz w:val="24"/>
          <w:highlight w:val="none"/>
          <w:lang w:bidi="ar"/>
        </w:rPr>
        <w:t>。</w:t>
      </w:r>
    </w:p>
    <w:p>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w:t>
      </w:r>
      <w:r>
        <w:rPr>
          <w:rFonts w:hint="eastAsia" w:ascii="宋体" w:hAnsi="宋体" w:cs="宋体"/>
          <w:color w:val="auto"/>
          <w:kern w:val="0"/>
          <w:sz w:val="24"/>
          <w:highlight w:val="none"/>
          <w:lang w:bidi="ar"/>
        </w:rPr>
        <w:t>3</w:t>
      </w:r>
      <w:r>
        <w:rPr>
          <w:rFonts w:hint="eastAsia" w:ascii="宋体" w:hAnsi="宋体" w:cs="宋体"/>
          <w:color w:val="auto"/>
          <w:kern w:val="0"/>
          <w:sz w:val="24"/>
          <w:highlight w:val="none"/>
          <w:lang w:val="en-US" w:eastAsia="zh-CN" w:bidi="ar"/>
        </w:rPr>
        <w:t>2</w:t>
      </w:r>
      <w:r>
        <w:rPr>
          <w:rFonts w:hint="eastAsia" w:ascii="宋体" w:hAnsi="宋体" w:cs="宋体"/>
          <w:snapToGrid w:val="0"/>
          <w:color w:val="auto"/>
          <w:kern w:val="0"/>
          <w:sz w:val="24"/>
          <w:highlight w:val="none"/>
          <w:lang w:bidi="ar"/>
        </w:rPr>
        <w:t>）临水、临电、施工围墙、施工便道、施工总平面等工程设计。</w:t>
      </w:r>
    </w:p>
    <w:p>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w:t>
      </w:r>
      <w:r>
        <w:rPr>
          <w:rFonts w:hint="eastAsia" w:ascii="宋体" w:hAnsi="宋体" w:cs="宋体"/>
          <w:color w:val="auto"/>
          <w:kern w:val="0"/>
          <w:sz w:val="24"/>
          <w:highlight w:val="none"/>
          <w:lang w:bidi="ar"/>
        </w:rPr>
        <w:t>3</w:t>
      </w:r>
      <w:r>
        <w:rPr>
          <w:rFonts w:hint="eastAsia" w:ascii="宋体" w:hAnsi="宋体" w:cs="宋体"/>
          <w:color w:val="auto"/>
          <w:kern w:val="0"/>
          <w:sz w:val="24"/>
          <w:highlight w:val="none"/>
          <w:lang w:val="en-US" w:eastAsia="zh-CN" w:bidi="ar"/>
        </w:rPr>
        <w:t>3</w:t>
      </w:r>
      <w:r>
        <w:rPr>
          <w:rFonts w:hint="eastAsia" w:ascii="宋体" w:hAnsi="宋体" w:cs="宋体"/>
          <w:snapToGrid w:val="0"/>
          <w:color w:val="auto"/>
          <w:kern w:val="0"/>
          <w:sz w:val="24"/>
          <w:highlight w:val="none"/>
          <w:lang w:bidi="ar"/>
        </w:rPr>
        <w:t>）建设单位的驻地办公场所</w:t>
      </w:r>
      <w:r>
        <w:rPr>
          <w:rFonts w:hint="default" w:ascii="宋体" w:hAnsi="宋体" w:cs="宋体"/>
          <w:snapToGrid w:val="0"/>
          <w:color w:val="auto"/>
          <w:kern w:val="0"/>
          <w:sz w:val="24"/>
          <w:highlight w:val="none"/>
          <w:lang w:bidi="ar"/>
        </w:rPr>
        <w:t>方案</w:t>
      </w:r>
      <w:r>
        <w:rPr>
          <w:rFonts w:hint="eastAsia" w:ascii="宋体" w:hAnsi="宋体" w:cs="宋体"/>
          <w:snapToGrid w:val="0"/>
          <w:color w:val="auto"/>
          <w:kern w:val="0"/>
          <w:sz w:val="24"/>
          <w:highlight w:val="none"/>
          <w:lang w:bidi="ar"/>
        </w:rPr>
        <w:t>设计（临时板房、景观绿化、旗杆等）。</w:t>
      </w:r>
    </w:p>
    <w:p>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w:t>
      </w:r>
      <w:r>
        <w:rPr>
          <w:rFonts w:hint="eastAsia" w:ascii="宋体" w:hAnsi="宋体" w:cs="宋体"/>
          <w:color w:val="auto"/>
          <w:kern w:val="0"/>
          <w:sz w:val="24"/>
          <w:highlight w:val="none"/>
          <w:lang w:bidi="ar"/>
        </w:rPr>
        <w:t>3</w:t>
      </w:r>
      <w:r>
        <w:rPr>
          <w:rFonts w:hint="eastAsia" w:ascii="宋体" w:hAnsi="宋体" w:cs="宋体"/>
          <w:color w:val="auto"/>
          <w:kern w:val="0"/>
          <w:sz w:val="24"/>
          <w:highlight w:val="none"/>
          <w:lang w:val="en-US" w:eastAsia="zh-CN" w:bidi="ar"/>
        </w:rPr>
        <w:t>4</w:t>
      </w:r>
      <w:r>
        <w:rPr>
          <w:rFonts w:hint="eastAsia" w:ascii="宋体" w:hAnsi="宋体" w:cs="宋体"/>
          <w:snapToGrid w:val="0"/>
          <w:color w:val="auto"/>
          <w:kern w:val="0"/>
          <w:sz w:val="24"/>
          <w:highlight w:val="none"/>
          <w:lang w:bidi="ar"/>
        </w:rPr>
        <w:t>）本项目实施过程中所涉及的现有设施拆除、管线迁改等内容的设计。</w:t>
      </w:r>
    </w:p>
    <w:p>
      <w:pPr>
        <w:adjustRightInd w:val="0"/>
        <w:snapToGrid w:val="0"/>
        <w:spacing w:line="360" w:lineRule="auto"/>
        <w:ind w:firstLine="480" w:firstLineChars="200"/>
        <w:rPr>
          <w:rFonts w:hint="eastAsia" w:ascii="宋体" w:hAnsi="宋体" w:cs="宋体"/>
          <w:snapToGrid w:val="0"/>
          <w:color w:val="auto"/>
          <w:kern w:val="0"/>
          <w:sz w:val="24"/>
          <w:highlight w:val="none"/>
          <w:lang w:bidi="ar"/>
        </w:rPr>
      </w:pPr>
      <w:r>
        <w:rPr>
          <w:rFonts w:hint="eastAsia" w:ascii="宋体" w:hAnsi="宋体" w:cs="宋体"/>
          <w:strike/>
          <w:dstrike w:val="0"/>
          <w:snapToGrid w:val="0"/>
          <w:color w:val="auto"/>
          <w:kern w:val="0"/>
          <w:sz w:val="24"/>
          <w:highlight w:val="none"/>
          <w:lang w:bidi="ar"/>
        </w:rPr>
        <w:t>（</w:t>
      </w:r>
      <w:r>
        <w:rPr>
          <w:rFonts w:hint="eastAsia" w:ascii="宋体" w:hAnsi="宋体" w:cs="宋体"/>
          <w:strike/>
          <w:dstrike w:val="0"/>
          <w:color w:val="auto"/>
          <w:kern w:val="0"/>
          <w:sz w:val="24"/>
          <w:highlight w:val="none"/>
          <w:lang w:bidi="ar"/>
        </w:rPr>
        <w:t>3</w:t>
      </w:r>
      <w:r>
        <w:rPr>
          <w:rFonts w:hint="eastAsia" w:ascii="宋体" w:hAnsi="宋体" w:cs="宋体"/>
          <w:strike/>
          <w:dstrike w:val="0"/>
          <w:color w:val="auto"/>
          <w:kern w:val="0"/>
          <w:sz w:val="24"/>
          <w:highlight w:val="none"/>
          <w:lang w:val="en-US" w:eastAsia="zh-CN" w:bidi="ar"/>
        </w:rPr>
        <w:t>5</w:t>
      </w:r>
      <w:r>
        <w:rPr>
          <w:rFonts w:hint="eastAsia" w:ascii="宋体" w:hAnsi="宋体" w:cs="宋体"/>
          <w:strike/>
          <w:dstrike w:val="0"/>
          <w:snapToGrid w:val="0"/>
          <w:color w:val="auto"/>
          <w:kern w:val="0"/>
          <w:sz w:val="24"/>
          <w:highlight w:val="none"/>
          <w:lang w:bidi="ar"/>
        </w:rPr>
        <w:t>）机械停车设计。</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宋体" w:hAnsi="宋体" w:cs="宋体"/>
          <w:snapToGrid w:val="0"/>
          <w:color w:val="auto"/>
          <w:kern w:val="0"/>
          <w:sz w:val="24"/>
          <w:highlight w:val="none"/>
          <w:lang w:bidi="ar"/>
        </w:rPr>
      </w:pPr>
      <w:r>
        <w:rPr>
          <w:rFonts w:hint="default" w:ascii="宋体" w:hAnsi="宋体" w:cs="宋体"/>
          <w:snapToGrid w:val="0"/>
          <w:color w:val="auto"/>
          <w:kern w:val="0"/>
          <w:sz w:val="24"/>
          <w:highlight w:val="none"/>
          <w:lang w:bidi="ar"/>
        </w:rPr>
        <w:t>（36）</w:t>
      </w:r>
      <w:r>
        <w:rPr>
          <w:rFonts w:hint="eastAsia" w:ascii="宋体" w:hAnsi="宋体" w:eastAsia="宋体" w:cs="宋体"/>
          <w:color w:val="auto"/>
          <w:kern w:val="0"/>
          <w:sz w:val="24"/>
          <w:szCs w:val="24"/>
          <w:highlight w:val="none"/>
          <w:lang w:val="en-US" w:eastAsia="zh-CN" w:bidi="ar"/>
        </w:rPr>
        <w:t>抗震支架设计</w:t>
      </w:r>
      <w:r>
        <w:rPr>
          <w:rFonts w:hint="default" w:ascii="宋体" w:hAnsi="宋体" w:eastAsia="宋体" w:cs="宋体"/>
          <w:color w:val="auto"/>
          <w:kern w:val="0"/>
          <w:sz w:val="24"/>
          <w:szCs w:val="24"/>
          <w:highlight w:val="none"/>
          <w:lang w:eastAsia="zh-CN" w:bidi="ar"/>
        </w:rPr>
        <w:t>。</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highlight w:val="none"/>
        </w:rPr>
      </w:pPr>
      <w:r>
        <w:rPr>
          <w:rFonts w:hint="eastAsia" w:ascii="宋体" w:hAnsi="宋体" w:cs="宋体"/>
          <w:snapToGrid w:val="0"/>
          <w:color w:val="auto"/>
          <w:kern w:val="0"/>
          <w:sz w:val="24"/>
          <w:highlight w:val="none"/>
          <w:lang w:bidi="ar"/>
        </w:rPr>
        <w:t>（</w:t>
      </w:r>
      <w:r>
        <w:rPr>
          <w:rFonts w:hint="eastAsia" w:ascii="宋体" w:hAnsi="宋体" w:cs="宋体"/>
          <w:color w:val="auto"/>
          <w:kern w:val="0"/>
          <w:sz w:val="24"/>
          <w:highlight w:val="none"/>
          <w:lang w:bidi="ar"/>
        </w:rPr>
        <w:t>3</w:t>
      </w:r>
      <w:r>
        <w:rPr>
          <w:rFonts w:hint="default" w:ascii="宋体" w:hAnsi="宋体" w:cs="宋体"/>
          <w:color w:val="auto"/>
          <w:kern w:val="0"/>
          <w:sz w:val="24"/>
          <w:highlight w:val="none"/>
          <w:lang w:bidi="ar"/>
        </w:rPr>
        <w:t>7</w:t>
      </w:r>
      <w:r>
        <w:rPr>
          <w:rFonts w:hint="eastAsia" w:ascii="宋体" w:hAnsi="宋体" w:cs="宋体"/>
          <w:snapToGrid w:val="0"/>
          <w:color w:val="auto"/>
          <w:kern w:val="0"/>
          <w:sz w:val="24"/>
          <w:highlight w:val="none"/>
          <w:lang w:bidi="ar"/>
        </w:rPr>
        <w:t>）厨房设计。</w:t>
      </w:r>
      <w:r>
        <w:rPr>
          <w:rFonts w:hint="eastAsia" w:ascii="宋体" w:hAnsi="宋体" w:eastAsia="宋体" w:cs="宋体"/>
          <w:color w:val="auto"/>
          <w:kern w:val="0"/>
          <w:sz w:val="24"/>
          <w:szCs w:val="24"/>
          <w:highlight w:val="none"/>
          <w:lang w:val="en-US" w:eastAsia="zh-CN" w:bidi="ar"/>
        </w:rPr>
        <w:t>厨房排油烟工程（满足环保要求）、厨房以及燃气工程（含燃气接驳）等设计，家具及厨具设备布置等厨房各专业工程设计。</w:t>
      </w:r>
    </w:p>
    <w:p>
      <w:pPr>
        <w:adjustRightInd w:val="0"/>
        <w:snapToGrid w:val="0"/>
        <w:spacing w:line="360" w:lineRule="auto"/>
        <w:ind w:firstLine="480" w:firstLineChars="200"/>
        <w:rPr>
          <w:rFonts w:hint="eastAsia" w:ascii="宋体" w:hAnsi="宋体" w:cs="宋体"/>
          <w:snapToGrid w:val="0"/>
          <w:color w:val="auto"/>
          <w:kern w:val="0"/>
          <w:sz w:val="24"/>
          <w:highlight w:val="none"/>
          <w:lang w:bidi="ar"/>
        </w:rPr>
      </w:pPr>
      <w:r>
        <w:rPr>
          <w:rFonts w:hint="eastAsia" w:ascii="宋体" w:hAnsi="宋体" w:cs="宋体"/>
          <w:snapToGrid w:val="0"/>
          <w:color w:val="auto"/>
          <w:kern w:val="0"/>
          <w:sz w:val="24"/>
          <w:highlight w:val="none"/>
          <w:lang w:bidi="ar"/>
        </w:rPr>
        <w:t>（</w:t>
      </w:r>
      <w:r>
        <w:rPr>
          <w:rFonts w:ascii="宋体" w:hAnsi="宋体" w:cs="宋体"/>
          <w:snapToGrid w:val="0"/>
          <w:color w:val="auto"/>
          <w:kern w:val="0"/>
          <w:sz w:val="24"/>
          <w:highlight w:val="none"/>
          <w:lang w:bidi="ar"/>
        </w:rPr>
        <w:t>38</w:t>
      </w:r>
      <w:r>
        <w:rPr>
          <w:rFonts w:hint="eastAsia" w:ascii="宋体" w:hAnsi="宋体" w:cs="宋体"/>
          <w:snapToGrid w:val="0"/>
          <w:color w:val="auto"/>
          <w:kern w:val="0"/>
          <w:sz w:val="24"/>
          <w:highlight w:val="none"/>
          <w:lang w:bidi="ar"/>
        </w:rPr>
        <w:t>）</w:t>
      </w:r>
      <w:r>
        <w:rPr>
          <w:rFonts w:hint="eastAsia" w:ascii="宋体" w:hAnsi="宋体"/>
          <w:snapToGrid w:val="0"/>
          <w:color w:val="auto"/>
          <w:kern w:val="0"/>
          <w:sz w:val="24"/>
          <w:highlight w:val="none"/>
        </w:rPr>
        <w:t>项目前期摸查报告编制（</w:t>
      </w:r>
      <w:r>
        <w:rPr>
          <w:rFonts w:hint="eastAsia" w:ascii="宋体" w:hAnsi="宋体"/>
          <w:color w:val="auto"/>
          <w:sz w:val="24"/>
          <w:highlight w:val="none"/>
        </w:rPr>
        <w:t>项目建设范围内及周边管线、地上建（构）筑物、交通、市政配套、地形地貌等前期摸查</w:t>
      </w:r>
      <w:r>
        <w:rPr>
          <w:rFonts w:hint="eastAsia" w:ascii="宋体" w:hAnsi="宋体"/>
          <w:snapToGrid w:val="0"/>
          <w:color w:val="auto"/>
          <w:kern w:val="0"/>
          <w:sz w:val="24"/>
          <w:highlight w:val="none"/>
        </w:rPr>
        <w:t>），项目各阶段设计重点、难点分析报告</w:t>
      </w:r>
      <w:r>
        <w:rPr>
          <w:rFonts w:hint="eastAsia" w:ascii="宋体" w:hAnsi="宋体" w:cs="宋体"/>
          <w:snapToGrid w:val="0"/>
          <w:color w:val="auto"/>
          <w:kern w:val="0"/>
          <w:sz w:val="24"/>
          <w:highlight w:val="none"/>
          <w:lang w:bidi="ar"/>
        </w:rPr>
        <w:t>。</w:t>
      </w:r>
    </w:p>
    <w:p>
      <w:pPr>
        <w:adjustRightInd w:val="0"/>
        <w:snapToGrid w:val="0"/>
        <w:spacing w:line="360" w:lineRule="auto"/>
        <w:ind w:firstLine="480" w:firstLineChars="200"/>
        <w:rPr>
          <w:rFonts w:hint="default" w:ascii="宋体" w:hAnsi="宋体" w:cs="宋体"/>
          <w:snapToGrid w:val="0"/>
          <w:color w:val="auto"/>
          <w:kern w:val="0"/>
          <w:sz w:val="24"/>
          <w:highlight w:val="none"/>
          <w:lang w:bidi="ar"/>
        </w:rPr>
      </w:pPr>
      <w:r>
        <w:rPr>
          <w:rFonts w:hint="default" w:ascii="宋体" w:hAnsi="宋体" w:cs="宋体"/>
          <w:snapToGrid w:val="0"/>
          <w:color w:val="auto"/>
          <w:kern w:val="0"/>
          <w:sz w:val="24"/>
          <w:highlight w:val="none"/>
          <w:lang w:bidi="ar"/>
        </w:rPr>
        <w:t>（39）海绵城市专篇。</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ascii="宋体" w:hAnsi="宋体" w:cs="宋体"/>
          <w:snapToGrid w:val="0"/>
          <w:color w:val="auto"/>
          <w:kern w:val="0"/>
          <w:sz w:val="24"/>
          <w:highlight w:val="none"/>
          <w:lang w:bidi="ar"/>
        </w:rPr>
      </w:pPr>
      <w:r>
        <w:rPr>
          <w:rFonts w:hint="eastAsia" w:ascii="宋体" w:hAnsi="宋体" w:cs="宋体"/>
          <w:snapToGrid w:val="0"/>
          <w:color w:val="auto"/>
          <w:kern w:val="0"/>
          <w:sz w:val="24"/>
          <w:highlight w:val="none"/>
          <w:lang w:bidi="ar"/>
        </w:rPr>
        <w:t>（</w:t>
      </w:r>
      <w:r>
        <w:rPr>
          <w:rFonts w:hint="default" w:ascii="宋体" w:hAnsi="宋体" w:cs="宋体"/>
          <w:snapToGrid w:val="0"/>
          <w:color w:val="auto"/>
          <w:kern w:val="0"/>
          <w:sz w:val="24"/>
          <w:highlight w:val="none"/>
          <w:lang w:bidi="ar"/>
        </w:rPr>
        <w:t>40</w:t>
      </w:r>
      <w:r>
        <w:rPr>
          <w:rFonts w:hint="eastAsia" w:ascii="宋体" w:hAnsi="宋体" w:cs="宋体"/>
          <w:snapToGrid w:val="0"/>
          <w:color w:val="auto"/>
          <w:kern w:val="0"/>
          <w:sz w:val="24"/>
          <w:highlight w:val="none"/>
          <w:lang w:bidi="ar"/>
        </w:rPr>
        <w:t>）</w:t>
      </w:r>
      <w:r>
        <w:rPr>
          <w:rFonts w:hint="eastAsia" w:ascii="宋体" w:hAnsi="宋体" w:eastAsia="宋体" w:cs="宋体"/>
          <w:color w:val="auto"/>
          <w:kern w:val="2"/>
          <w:sz w:val="24"/>
          <w:szCs w:val="24"/>
          <w:highlight w:val="none"/>
          <w:lang w:val="en-US" w:eastAsia="zh-CN" w:bidi="ar"/>
        </w:rPr>
        <w:t>负责绿色建筑标识申报工作（若需）</w:t>
      </w:r>
      <w:r>
        <w:rPr>
          <w:rFonts w:hint="eastAsia" w:ascii="宋体" w:hAnsi="宋体" w:cs="宋体"/>
          <w:snapToGrid w:val="0"/>
          <w:color w:val="auto"/>
          <w:kern w:val="0"/>
          <w:sz w:val="24"/>
          <w:highlight w:val="none"/>
          <w:lang w:bidi="ar"/>
        </w:rPr>
        <w:t>。</w:t>
      </w:r>
    </w:p>
    <w:p>
      <w:pPr>
        <w:adjustRightInd w:val="0"/>
        <w:snapToGrid w:val="0"/>
        <w:spacing w:line="360" w:lineRule="auto"/>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w:t>
      </w:r>
      <w:r>
        <w:rPr>
          <w:rFonts w:hint="default" w:ascii="宋体" w:hAnsi="宋体"/>
          <w:snapToGrid w:val="0"/>
          <w:color w:val="auto"/>
          <w:kern w:val="0"/>
          <w:sz w:val="24"/>
          <w:highlight w:val="none"/>
        </w:rPr>
        <w:t>41</w:t>
      </w:r>
      <w:r>
        <w:rPr>
          <w:rFonts w:hint="eastAsia" w:ascii="宋体" w:hAnsi="宋体"/>
          <w:snapToGrid w:val="0"/>
          <w:color w:val="auto"/>
          <w:kern w:val="0"/>
          <w:sz w:val="24"/>
          <w:highlight w:val="none"/>
        </w:rPr>
        <w:t>）擦窗机设计。</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ascii="宋体" w:hAnsi="宋体" w:cs="宋体"/>
          <w:strike/>
          <w:snapToGrid w:val="0"/>
          <w:color w:val="auto"/>
          <w:kern w:val="0"/>
          <w:sz w:val="24"/>
          <w:highlight w:val="none"/>
          <w:lang w:bidi="ar"/>
        </w:rPr>
      </w:pPr>
      <w:r>
        <w:rPr>
          <w:rFonts w:hint="eastAsia" w:ascii="宋体" w:hAnsi="宋体" w:cs="宋体"/>
          <w:snapToGrid w:val="0"/>
          <w:color w:val="auto"/>
          <w:kern w:val="0"/>
          <w:sz w:val="24"/>
          <w:highlight w:val="none"/>
          <w:lang w:bidi="ar"/>
        </w:rPr>
        <w:t>（</w:t>
      </w:r>
      <w:r>
        <w:rPr>
          <w:rFonts w:hint="eastAsia" w:ascii="宋体" w:hAnsi="宋体" w:cs="宋体"/>
          <w:snapToGrid w:val="0"/>
          <w:color w:val="auto"/>
          <w:kern w:val="0"/>
          <w:sz w:val="24"/>
          <w:highlight w:val="none"/>
          <w:lang w:val="en-US" w:eastAsia="zh-CN" w:bidi="ar"/>
        </w:rPr>
        <w:t>4</w:t>
      </w:r>
      <w:r>
        <w:rPr>
          <w:rFonts w:hint="default" w:ascii="宋体" w:hAnsi="宋体" w:cs="宋体"/>
          <w:snapToGrid w:val="0"/>
          <w:color w:val="auto"/>
          <w:kern w:val="0"/>
          <w:sz w:val="24"/>
          <w:highlight w:val="none"/>
          <w:lang w:eastAsia="zh-CN" w:bidi="ar"/>
        </w:rPr>
        <w:t>2</w:t>
      </w:r>
      <w:r>
        <w:rPr>
          <w:rFonts w:hint="eastAsia" w:ascii="宋体" w:hAnsi="宋体" w:cs="宋体"/>
          <w:snapToGrid w:val="0"/>
          <w:color w:val="auto"/>
          <w:kern w:val="0"/>
          <w:sz w:val="24"/>
          <w:highlight w:val="none"/>
          <w:lang w:bidi="ar"/>
        </w:rPr>
        <w:t>）</w:t>
      </w:r>
      <w:r>
        <w:rPr>
          <w:rFonts w:hint="eastAsia" w:ascii="宋体" w:hAnsi="宋体" w:eastAsia="宋体" w:cs="宋体"/>
          <w:color w:val="auto"/>
          <w:kern w:val="2"/>
          <w:sz w:val="24"/>
          <w:szCs w:val="24"/>
          <w:highlight w:val="none"/>
          <w:lang w:val="en-US" w:eastAsia="zh-CN" w:bidi="ar"/>
        </w:rPr>
        <w:t>设计阶段BIM技术运用</w:t>
      </w:r>
      <w:r>
        <w:rPr>
          <w:rFonts w:hint="default" w:ascii="宋体" w:hAnsi="宋体" w:eastAsia="宋体" w:cs="宋体"/>
          <w:color w:val="auto"/>
          <w:kern w:val="2"/>
          <w:sz w:val="24"/>
          <w:szCs w:val="24"/>
          <w:highlight w:val="none"/>
          <w:lang w:eastAsia="zh-CN" w:bidi="ar"/>
        </w:rPr>
        <w:t>。根据《广州市重点公共建设项目管理中心BIM协同项目管理平台操作指引》（2020年V1.0版）、《广州市重点公共建设项目设计阶段BIM技术应用任务书》（2020年）开展设计阶段BIM技术运用，满足项目实施期间对于BIM运用的政策要求及报批报建要求，负责牵头设计阶段BIM协同管理平台的操作</w:t>
      </w:r>
      <w:r>
        <w:rPr>
          <w:rFonts w:hint="default" w:ascii="宋体" w:hAnsi="宋体" w:cs="宋体"/>
          <w:snapToGrid w:val="0"/>
          <w:color w:val="auto"/>
          <w:kern w:val="0"/>
          <w:sz w:val="24"/>
          <w:highlight w:val="none"/>
          <w:lang w:bidi="ar"/>
        </w:rPr>
        <w:t>。</w:t>
      </w:r>
    </w:p>
    <w:p>
      <w:pPr>
        <w:adjustRightInd w:val="0"/>
        <w:snapToGrid w:val="0"/>
        <w:spacing w:line="360" w:lineRule="auto"/>
        <w:ind w:firstLine="480" w:firstLineChars="200"/>
        <w:rPr>
          <w:rFonts w:ascii="宋体" w:hAnsi="宋体" w:cs="宋体"/>
          <w:color w:val="auto"/>
          <w:kern w:val="0"/>
          <w:sz w:val="24"/>
          <w:highlight w:val="none"/>
        </w:rPr>
      </w:pPr>
      <w:r>
        <w:rPr>
          <w:rFonts w:hint="default" w:ascii="宋体" w:hAnsi="宋体" w:cs="宋体"/>
          <w:snapToGrid w:val="0"/>
          <w:color w:val="auto"/>
          <w:kern w:val="0"/>
          <w:sz w:val="24"/>
          <w:highlight w:val="none"/>
          <w:lang w:bidi="ar"/>
        </w:rPr>
        <w:t>（43）负责地下管线探测范围确定、现场监督与工作量的确认，以及管线探测成果的复核确认，并按照管线探测成果开展设计工作</w:t>
      </w:r>
      <w:r>
        <w:rPr>
          <w:rFonts w:hint="eastAsia" w:ascii="宋体" w:hAnsi="宋体" w:cs="宋体"/>
          <w:snapToGrid w:val="0"/>
          <w:color w:val="auto"/>
          <w:kern w:val="0"/>
          <w:sz w:val="24"/>
          <w:highlight w:val="none"/>
          <w:lang w:bidi="ar"/>
        </w:rPr>
        <w:t>。</w:t>
      </w:r>
    </w:p>
    <w:p>
      <w:pPr>
        <w:adjustRightInd w:val="0"/>
        <w:snapToGrid w:val="0"/>
        <w:spacing w:line="360" w:lineRule="auto"/>
        <w:ind w:firstLine="480" w:firstLineChars="200"/>
        <w:rPr>
          <w:rFonts w:hint="default" w:ascii="宋体" w:hAnsi="宋体" w:cs="宋体"/>
          <w:snapToGrid w:val="0"/>
          <w:color w:val="auto"/>
          <w:kern w:val="0"/>
          <w:sz w:val="24"/>
          <w:highlight w:val="none"/>
          <w:lang w:bidi="ar"/>
        </w:rPr>
      </w:pPr>
      <w:r>
        <w:rPr>
          <w:rFonts w:hint="default" w:ascii="宋体" w:hAnsi="宋体" w:cs="宋体"/>
          <w:snapToGrid w:val="0"/>
          <w:color w:val="auto"/>
          <w:kern w:val="0"/>
          <w:sz w:val="24"/>
          <w:highlight w:val="none"/>
          <w:lang w:bidi="ar"/>
        </w:rPr>
        <w:t>（44）关于可行性研究报告、地震评估、环境影响评价报告、节能评估报告、地质灾害评价报告、水土保持方案、洪涝安全评估、防雷评估、风洞试验、振动台试验、点试验、消防性能化分析及有关专项试验、树木保护专章咨询单位及相关委托人另外委托的咨询服务及检验检测等，不在设计单位设计范畴内，但是设计单位需负责以下工作：</w:t>
      </w:r>
    </w:p>
    <w:p>
      <w:pPr>
        <w:adjustRightInd w:val="0"/>
        <w:snapToGrid w:val="0"/>
        <w:spacing w:line="360" w:lineRule="auto"/>
        <w:ind w:firstLine="480" w:firstLineChars="200"/>
        <w:rPr>
          <w:rFonts w:hint="default" w:ascii="宋体" w:hAnsi="宋体" w:cs="宋体"/>
          <w:snapToGrid w:val="0"/>
          <w:color w:val="auto"/>
          <w:kern w:val="0"/>
          <w:sz w:val="24"/>
          <w:highlight w:val="none"/>
          <w:lang w:bidi="ar"/>
        </w:rPr>
      </w:pPr>
      <w:r>
        <w:rPr>
          <w:rFonts w:hint="default" w:ascii="宋体" w:hAnsi="宋体" w:cs="宋体"/>
          <w:snapToGrid w:val="0"/>
          <w:color w:val="auto"/>
          <w:kern w:val="0"/>
          <w:sz w:val="24"/>
          <w:highlight w:val="none"/>
          <w:lang w:bidi="ar"/>
        </w:rPr>
        <w:t>A.设计单位需提供相关设计过程资料，作为咨询报告编制依据。</w:t>
      </w:r>
    </w:p>
    <w:p>
      <w:pPr>
        <w:adjustRightInd w:val="0"/>
        <w:snapToGrid w:val="0"/>
        <w:spacing w:line="360" w:lineRule="auto"/>
        <w:ind w:firstLine="480" w:firstLineChars="200"/>
        <w:rPr>
          <w:rFonts w:hint="default" w:ascii="宋体" w:hAnsi="宋体" w:cs="宋体"/>
          <w:snapToGrid w:val="0"/>
          <w:color w:val="auto"/>
          <w:kern w:val="0"/>
          <w:sz w:val="24"/>
          <w:highlight w:val="none"/>
          <w:lang w:bidi="ar"/>
        </w:rPr>
      </w:pPr>
      <w:r>
        <w:rPr>
          <w:rFonts w:hint="default" w:ascii="宋体" w:hAnsi="宋体" w:cs="宋体"/>
          <w:snapToGrid w:val="0"/>
          <w:color w:val="auto"/>
          <w:kern w:val="0"/>
          <w:sz w:val="24"/>
          <w:highlight w:val="none"/>
          <w:lang w:bidi="ar"/>
        </w:rPr>
        <w:t>B.以上报告成果正式报批前，设计单位需对报告成果进行复核，确保满足下阶段设计要求。</w:t>
      </w:r>
    </w:p>
    <w:p>
      <w:pPr>
        <w:adjustRightInd w:val="0"/>
        <w:snapToGrid w:val="0"/>
        <w:spacing w:line="360" w:lineRule="auto"/>
        <w:ind w:firstLine="480" w:firstLineChars="200"/>
        <w:rPr>
          <w:rFonts w:hint="default" w:ascii="宋体" w:hAnsi="宋体" w:cs="宋体"/>
          <w:snapToGrid w:val="0"/>
          <w:color w:val="auto"/>
          <w:kern w:val="0"/>
          <w:sz w:val="24"/>
          <w:highlight w:val="none"/>
          <w:lang w:bidi="ar"/>
        </w:rPr>
      </w:pPr>
      <w:r>
        <w:rPr>
          <w:rFonts w:hint="default" w:ascii="宋体" w:hAnsi="宋体" w:cs="宋体"/>
          <w:snapToGrid w:val="0"/>
          <w:color w:val="auto"/>
          <w:kern w:val="0"/>
          <w:sz w:val="24"/>
          <w:highlight w:val="none"/>
          <w:lang w:bidi="ar"/>
        </w:rPr>
        <w:t>C.以上报告成果取得批复后，设计单位需对批复进行复核，并按批复内容开展设计工作。</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宋体" w:hAnsi="宋体" w:cs="宋体"/>
          <w:snapToGrid w:val="0"/>
          <w:color w:val="auto"/>
          <w:kern w:val="0"/>
          <w:sz w:val="24"/>
          <w:highlight w:val="none"/>
          <w:lang w:bidi="ar"/>
        </w:rPr>
      </w:pPr>
      <w:r>
        <w:rPr>
          <w:rFonts w:hint="default" w:ascii="宋体" w:hAnsi="宋体" w:cs="宋体"/>
          <w:snapToGrid w:val="0"/>
          <w:color w:val="auto"/>
          <w:kern w:val="0"/>
          <w:sz w:val="24"/>
          <w:highlight w:val="none"/>
          <w:lang w:bidi="ar"/>
        </w:rPr>
        <w:t>（45）</w:t>
      </w:r>
      <w:r>
        <w:rPr>
          <w:rFonts w:hint="eastAsia" w:ascii="宋体" w:hAnsi="宋体" w:eastAsia="宋体" w:cs="宋体"/>
          <w:color w:val="auto"/>
          <w:kern w:val="2"/>
          <w:sz w:val="24"/>
          <w:szCs w:val="24"/>
          <w:highlight w:val="none"/>
          <w:lang w:val="en-US" w:eastAsia="zh-CN" w:bidi="ar"/>
        </w:rPr>
        <w:t>项目基础建设投资范围内的5G通信基础配套设施及室内分布系统设计</w:t>
      </w:r>
      <w:r>
        <w:rPr>
          <w:rFonts w:hint="default" w:ascii="宋体" w:hAnsi="宋体" w:eastAsia="宋体" w:cs="宋体"/>
          <w:color w:val="auto"/>
          <w:kern w:val="2"/>
          <w:sz w:val="24"/>
          <w:szCs w:val="24"/>
          <w:highlight w:val="none"/>
          <w:lang w:eastAsia="zh-CN" w:bidi="ar"/>
        </w:rPr>
        <w:t>。</w:t>
      </w:r>
    </w:p>
    <w:p>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w:t>
      </w:r>
      <w:r>
        <w:rPr>
          <w:rFonts w:hint="eastAsia" w:ascii="宋体" w:hAnsi="宋体" w:cs="宋体"/>
          <w:snapToGrid w:val="0"/>
          <w:color w:val="auto"/>
          <w:kern w:val="0"/>
          <w:sz w:val="24"/>
          <w:highlight w:val="none"/>
          <w:lang w:val="en-US" w:eastAsia="zh-CN" w:bidi="ar"/>
        </w:rPr>
        <w:t>4</w:t>
      </w:r>
      <w:r>
        <w:rPr>
          <w:rFonts w:hint="default" w:ascii="宋体" w:hAnsi="宋体" w:cs="宋体"/>
          <w:snapToGrid w:val="0"/>
          <w:color w:val="auto"/>
          <w:kern w:val="0"/>
          <w:sz w:val="24"/>
          <w:highlight w:val="none"/>
          <w:lang w:eastAsia="zh-CN" w:bidi="ar"/>
        </w:rPr>
        <w:t>6</w:t>
      </w:r>
      <w:r>
        <w:rPr>
          <w:rFonts w:hint="eastAsia" w:ascii="宋体" w:hAnsi="宋体" w:cs="宋体"/>
          <w:snapToGrid w:val="0"/>
          <w:color w:val="auto"/>
          <w:kern w:val="0"/>
          <w:sz w:val="24"/>
          <w:highlight w:val="none"/>
          <w:lang w:bidi="ar"/>
        </w:rPr>
        <w:t>）其他：</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宋体" w:hAnsi="宋体" w:cs="宋体"/>
          <w:snapToGrid w:val="0"/>
          <w:color w:val="auto"/>
          <w:kern w:val="0"/>
          <w:sz w:val="24"/>
          <w:highlight w:val="none"/>
          <w:lang w:bidi="ar"/>
        </w:rPr>
      </w:pPr>
      <w:r>
        <w:rPr>
          <w:rFonts w:hint="default" w:ascii="宋体" w:hAnsi="宋体" w:cs="宋体"/>
          <w:snapToGrid w:val="0"/>
          <w:color w:val="auto"/>
          <w:kern w:val="0"/>
          <w:sz w:val="24"/>
          <w:highlight w:val="none"/>
          <w:lang w:bidi="ar"/>
        </w:rPr>
        <w:t>A.</w:t>
      </w:r>
      <w:r>
        <w:rPr>
          <w:rFonts w:hint="eastAsia" w:ascii="宋体" w:hAnsi="宋体" w:eastAsia="宋体" w:cs="宋体"/>
          <w:color w:val="auto"/>
          <w:kern w:val="2"/>
          <w:sz w:val="24"/>
          <w:szCs w:val="24"/>
          <w:highlight w:val="none"/>
          <w:lang w:val="en-US" w:eastAsia="zh-CN" w:bidi="ar"/>
        </w:rPr>
        <w:t>停车场设计，通信基础设施设计，光伏设计等</w:t>
      </w:r>
      <w:r>
        <w:rPr>
          <w:rFonts w:hint="default" w:ascii="宋体" w:hAnsi="宋体" w:eastAsia="宋体" w:cs="宋体"/>
          <w:color w:val="auto"/>
          <w:kern w:val="2"/>
          <w:sz w:val="24"/>
          <w:szCs w:val="24"/>
          <w:highlight w:val="none"/>
          <w:lang w:eastAsia="zh-CN" w:bidi="ar"/>
        </w:rPr>
        <w:t>。</w:t>
      </w:r>
    </w:p>
    <w:p>
      <w:pPr>
        <w:adjustRightInd w:val="0"/>
        <w:snapToGrid w:val="0"/>
        <w:spacing w:line="360" w:lineRule="auto"/>
        <w:ind w:firstLine="480" w:firstLineChars="200"/>
        <w:rPr>
          <w:rFonts w:hint="default" w:ascii="宋体" w:hAnsi="宋体" w:cs="宋体"/>
          <w:snapToGrid w:val="0"/>
          <w:color w:val="auto"/>
          <w:kern w:val="0"/>
          <w:sz w:val="24"/>
          <w:highlight w:val="none"/>
          <w:lang w:bidi="ar"/>
        </w:rPr>
      </w:pPr>
      <w:r>
        <w:rPr>
          <w:rFonts w:hint="default" w:ascii="宋体" w:hAnsi="宋体" w:cs="宋体"/>
          <w:snapToGrid w:val="0"/>
          <w:color w:val="auto"/>
          <w:kern w:val="0"/>
          <w:sz w:val="24"/>
          <w:highlight w:val="none"/>
          <w:lang w:bidi="ar"/>
        </w:rPr>
        <w:t>B.驻场服务。</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宋体" w:hAnsi="宋体" w:cs="宋体"/>
          <w:snapToGrid w:val="0"/>
          <w:color w:val="auto"/>
          <w:kern w:val="0"/>
          <w:sz w:val="24"/>
          <w:highlight w:val="none"/>
          <w:lang w:bidi="ar"/>
        </w:rPr>
      </w:pPr>
      <w:r>
        <w:rPr>
          <w:rFonts w:hint="default" w:ascii="宋体" w:hAnsi="宋体" w:cs="宋体"/>
          <w:snapToGrid w:val="0"/>
          <w:color w:val="auto"/>
          <w:kern w:val="0"/>
          <w:sz w:val="24"/>
          <w:highlight w:val="none"/>
          <w:lang w:bidi="ar"/>
        </w:rPr>
        <w:t>C.</w:t>
      </w:r>
      <w:r>
        <w:rPr>
          <w:rFonts w:hint="eastAsia" w:ascii="宋体" w:hAnsi="宋体" w:eastAsia="宋体" w:cs="宋体"/>
          <w:color w:val="auto"/>
          <w:kern w:val="2"/>
          <w:sz w:val="24"/>
          <w:szCs w:val="24"/>
          <w:highlight w:val="none"/>
          <w:lang w:val="en-US" w:eastAsia="zh-CN" w:bidi="ar"/>
        </w:rPr>
        <w:t>勘察设计范围及内容需包含项目可研批复的全部建设内容及为确保本项目验收及投入运营使用的全部建设内容</w:t>
      </w:r>
      <w:r>
        <w:rPr>
          <w:rFonts w:hint="default" w:ascii="宋体" w:hAnsi="宋体" w:eastAsia="宋体" w:cs="宋体"/>
          <w:color w:val="auto"/>
          <w:kern w:val="2"/>
          <w:sz w:val="24"/>
          <w:szCs w:val="24"/>
          <w:highlight w:val="none"/>
          <w:lang w:eastAsia="zh-CN" w:bidi="ar"/>
        </w:rPr>
        <w:t>。</w:t>
      </w:r>
    </w:p>
    <w:p>
      <w:pPr>
        <w:adjustRightInd w:val="0"/>
        <w:snapToGrid w:val="0"/>
        <w:spacing w:line="360" w:lineRule="auto"/>
        <w:ind w:firstLine="480" w:firstLineChars="200"/>
        <w:rPr>
          <w:rFonts w:hint="eastAsia" w:ascii="宋体" w:hAnsi="宋体" w:cs="宋体"/>
          <w:snapToGrid w:val="0"/>
          <w:color w:val="auto"/>
          <w:kern w:val="0"/>
          <w:sz w:val="24"/>
          <w:highlight w:val="none"/>
          <w:lang w:bidi="ar"/>
        </w:rPr>
      </w:pPr>
      <w:r>
        <w:rPr>
          <w:rFonts w:hint="default" w:ascii="宋体" w:hAnsi="宋体" w:cs="宋体"/>
          <w:snapToGrid w:val="0"/>
          <w:color w:val="auto"/>
          <w:kern w:val="0"/>
          <w:sz w:val="24"/>
          <w:highlight w:val="none"/>
          <w:lang w:bidi="ar"/>
        </w:rPr>
        <w:t>D.</w:t>
      </w:r>
      <w:r>
        <w:rPr>
          <w:rFonts w:hint="eastAsia" w:ascii="宋体" w:hAnsi="宋体" w:cs="宋体"/>
          <w:snapToGrid w:val="0"/>
          <w:color w:val="auto"/>
          <w:kern w:val="0"/>
          <w:sz w:val="24"/>
          <w:highlight w:val="none"/>
          <w:lang w:bidi="ar"/>
        </w:rPr>
        <w:t>负责网上填报各阶段报建相关资料，并负责</w:t>
      </w:r>
      <w:r>
        <w:rPr>
          <w:rFonts w:hint="default" w:ascii="宋体" w:hAnsi="宋体" w:cs="宋体"/>
          <w:snapToGrid w:val="0"/>
          <w:color w:val="auto"/>
          <w:kern w:val="0"/>
          <w:sz w:val="24"/>
          <w:highlight w:val="none"/>
          <w:lang w:bidi="ar"/>
        </w:rPr>
        <w:t>填报各阶段报建的报表、</w:t>
      </w:r>
      <w:r>
        <w:rPr>
          <w:rFonts w:hint="eastAsia" w:ascii="宋体" w:hAnsi="宋体" w:cs="宋体"/>
          <w:snapToGrid w:val="0"/>
          <w:color w:val="auto"/>
          <w:kern w:val="0"/>
          <w:sz w:val="24"/>
          <w:highlight w:val="none"/>
          <w:lang w:bidi="ar"/>
        </w:rPr>
        <w:t>纸质报送材料的整理组卷盖章工作</w:t>
      </w:r>
      <w:r>
        <w:rPr>
          <w:rFonts w:hint="default" w:ascii="宋体" w:hAnsi="宋体" w:cs="宋体"/>
          <w:snapToGrid w:val="0"/>
          <w:color w:val="auto"/>
          <w:kern w:val="0"/>
          <w:sz w:val="24"/>
          <w:highlight w:val="none"/>
          <w:lang w:bidi="ar"/>
        </w:rPr>
        <w:t>、报建资料转送、送审文件和批文的扫描归档等工作</w:t>
      </w:r>
      <w:r>
        <w:rPr>
          <w:rFonts w:hint="eastAsia" w:ascii="宋体" w:hAnsi="宋体" w:cs="宋体"/>
          <w:snapToGrid w:val="0"/>
          <w:color w:val="auto"/>
          <w:kern w:val="0"/>
          <w:sz w:val="24"/>
          <w:highlight w:val="none"/>
          <w:lang w:bidi="ar"/>
        </w:rPr>
        <w:t>。</w:t>
      </w:r>
    </w:p>
    <w:p>
      <w:pPr>
        <w:widowControl w:val="0"/>
        <w:spacing w:after="0"/>
        <w:ind w:left="0" w:leftChars="0" w:firstLine="0" w:firstLineChars="0"/>
        <w:jc w:val="both"/>
        <w:rPr>
          <w:rFonts w:hint="default"/>
          <w:color w:val="auto"/>
          <w:highlight w:val="none"/>
          <w:lang w:eastAsia="zh-CN"/>
        </w:rPr>
      </w:pPr>
      <w:r>
        <w:rPr>
          <w:rFonts w:hint="default"/>
          <w:color w:val="auto"/>
          <w:highlight w:val="none"/>
          <w:lang w:eastAsia="zh-CN"/>
        </w:rPr>
        <w:t xml:space="preserve">    </w:t>
      </w:r>
      <w:r>
        <w:rPr>
          <w:rFonts w:hint="eastAsia" w:ascii="宋体" w:hAnsi="宋体" w:eastAsia="宋体" w:cs="宋体"/>
          <w:color w:val="auto"/>
          <w:kern w:val="0"/>
          <w:sz w:val="24"/>
          <w:szCs w:val="24"/>
          <w:highlight w:val="none"/>
          <w:lang w:val="en-US" w:eastAsia="zh-CN" w:bidi="ar"/>
        </w:rPr>
        <w:t>E.装配式建筑专篇</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ascii="宋体" w:hAnsi="宋体" w:cs="宋体"/>
          <w:color w:val="auto"/>
          <w:sz w:val="24"/>
          <w:szCs w:val="24"/>
          <w:highlight w:val="none"/>
        </w:rPr>
      </w:pPr>
      <w:r>
        <w:rPr>
          <w:rFonts w:ascii="宋体" w:hAnsi="宋体" w:cs="宋体"/>
          <w:color w:val="auto"/>
          <w:sz w:val="24"/>
          <w:szCs w:val="24"/>
          <w:highlight w:val="none"/>
        </w:rPr>
        <w:t>备注：上述中的专业内容若既不属于</w:t>
      </w:r>
      <w:r>
        <w:rPr>
          <w:rFonts w:hint="eastAsia" w:ascii="宋体" w:hAnsi="宋体" w:eastAsia="宋体" w:cs="宋体"/>
          <w:color w:val="auto"/>
          <w:kern w:val="2"/>
          <w:sz w:val="24"/>
          <w:szCs w:val="24"/>
          <w:highlight w:val="none"/>
          <w:lang w:val="en-US" w:eastAsia="zh-CN" w:bidi="ar"/>
        </w:rPr>
        <w:t>立项及</w:t>
      </w:r>
      <w:r>
        <w:rPr>
          <w:rFonts w:ascii="宋体" w:hAnsi="宋体" w:cs="宋体"/>
          <w:color w:val="auto"/>
          <w:sz w:val="24"/>
          <w:szCs w:val="24"/>
          <w:highlight w:val="none"/>
        </w:rPr>
        <w:t>可研批复范围，也不属于为满足项目验收与投入使用需要而必须实施的建设内容所对应的勘察设计工作的，则无需实施。反之，若属于前述任一情形的，均需实施。</w:t>
      </w:r>
    </w:p>
    <w:p>
      <w:pPr>
        <w:adjustRightInd w:val="0"/>
        <w:snapToGrid w:val="0"/>
        <w:spacing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6.2 设计界面的划分</w:t>
      </w:r>
    </w:p>
    <w:p>
      <w:pPr>
        <w:adjustRightInd w:val="0"/>
        <w:snapToGrid w:val="0"/>
        <w:spacing w:line="360" w:lineRule="auto"/>
        <w:ind w:firstLine="470" w:firstLineChars="196"/>
        <w:outlineLvl w:val="3"/>
        <w:rPr>
          <w:rFonts w:ascii="宋体" w:hAnsi="宋体" w:cs="宋体"/>
          <w:color w:val="auto"/>
          <w:kern w:val="0"/>
          <w:sz w:val="24"/>
          <w:szCs w:val="24"/>
          <w:highlight w:val="none"/>
        </w:rPr>
      </w:pPr>
      <w:r>
        <w:rPr>
          <w:rFonts w:hint="eastAsia" w:ascii="宋体" w:hAnsi="宋体" w:cs="宋体"/>
          <w:bCs/>
          <w:color w:val="auto"/>
          <w:kern w:val="0"/>
          <w:sz w:val="24"/>
          <w:szCs w:val="24"/>
          <w:highlight w:val="none"/>
        </w:rPr>
        <w:t>本项目</w:t>
      </w:r>
      <w:r>
        <w:rPr>
          <w:rFonts w:hint="eastAsia" w:ascii="宋体" w:hAnsi="宋体" w:cs="宋体"/>
          <w:color w:val="auto"/>
          <w:kern w:val="0"/>
          <w:sz w:val="24"/>
          <w:szCs w:val="24"/>
          <w:highlight w:val="none"/>
        </w:rPr>
        <w:t>立项（含可研）范围内所有设计专业均由乙方负责组织实施。</w:t>
      </w:r>
    </w:p>
    <w:p>
      <w:pPr>
        <w:adjustRightInd w:val="0"/>
        <w:snapToGrid w:val="0"/>
        <w:spacing w:line="360" w:lineRule="auto"/>
        <w:ind w:firstLine="482" w:firstLineChars="200"/>
        <w:outlineLvl w:val="3"/>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6.3 工程设计的总体要求</w:t>
      </w:r>
    </w:p>
    <w:p>
      <w:pPr>
        <w:adjustRightInd w:val="0"/>
        <w:snapToGrid w:val="0"/>
        <w:spacing w:line="360" w:lineRule="auto"/>
        <w:ind w:firstLine="352" w:firstLineChars="147"/>
        <w:rPr>
          <w:rFonts w:ascii="宋体" w:hAnsi="宋体" w:cs="宋体"/>
          <w:color w:val="auto"/>
          <w:kern w:val="0"/>
          <w:sz w:val="24"/>
          <w:szCs w:val="24"/>
          <w:highlight w:val="none"/>
        </w:rPr>
      </w:pPr>
      <w:r>
        <w:rPr>
          <w:rFonts w:hint="eastAsia" w:ascii="宋体" w:hAnsi="宋体" w:cs="宋体"/>
          <w:color w:val="auto"/>
          <w:kern w:val="0"/>
          <w:sz w:val="24"/>
          <w:szCs w:val="24"/>
          <w:highlight w:val="none"/>
        </w:rPr>
        <w:t>（1）乙方交付的设计成果文件应符合国家现行的有关法律、行政法规和相关的工程设计技术规范、规定及标准，必须执行国家规定的工程建设标准强制性条文要求，遵守设计工作程序以及确定投资的有关指标、定额和费用标准的规定，控制好设计的每一环节，应满足广州市各专业主管部门的要求，如消防、人防、环保、卫生、交委、交警等部门的报建报审报批要求。</w:t>
      </w:r>
    </w:p>
    <w:p>
      <w:pPr>
        <w:adjustRightInd w:val="0"/>
        <w:snapToGrid w:val="0"/>
        <w:spacing w:line="360" w:lineRule="auto"/>
        <w:ind w:firstLine="360" w:firstLineChars="150"/>
        <w:rPr>
          <w:rFonts w:ascii="宋体" w:hAnsi="宋体" w:cs="宋体"/>
          <w:color w:val="auto"/>
          <w:kern w:val="0"/>
          <w:sz w:val="24"/>
          <w:szCs w:val="24"/>
          <w:highlight w:val="none"/>
        </w:rPr>
      </w:pPr>
      <w:r>
        <w:rPr>
          <w:rFonts w:hint="eastAsia" w:ascii="宋体" w:hAnsi="宋体" w:cs="宋体"/>
          <w:color w:val="auto"/>
          <w:kern w:val="0"/>
          <w:sz w:val="24"/>
          <w:szCs w:val="24"/>
          <w:highlight w:val="none"/>
        </w:rPr>
        <w:t>（2）乙方应在设计成果文件中明确列出本合同工程设计涉及到的详细的设计规范、规定及标准（名称、编号与版本）。</w:t>
      </w:r>
    </w:p>
    <w:p>
      <w:pPr>
        <w:adjustRightInd w:val="0"/>
        <w:snapToGrid w:val="0"/>
        <w:spacing w:line="360" w:lineRule="auto"/>
        <w:ind w:firstLine="360" w:firstLineChars="150"/>
        <w:rPr>
          <w:rFonts w:ascii="宋体" w:hAnsi="宋体" w:cs="宋体"/>
          <w:color w:val="auto"/>
          <w:kern w:val="0"/>
          <w:sz w:val="24"/>
          <w:szCs w:val="24"/>
          <w:highlight w:val="none"/>
        </w:rPr>
      </w:pPr>
      <w:r>
        <w:rPr>
          <w:rFonts w:hint="eastAsia" w:ascii="宋体" w:hAnsi="宋体" w:cs="宋体"/>
          <w:color w:val="auto"/>
          <w:kern w:val="0"/>
          <w:sz w:val="24"/>
          <w:szCs w:val="24"/>
          <w:highlight w:val="none"/>
        </w:rPr>
        <w:t>（3）乙方应认真贯彻执行ISO 9001质量管理体系，确保设计质量。乙方对其承担的本合同约定的设计工作的设计成果文件的正确性、完整性、有效性、经济合理性、可靠性、清晰性负责，甲方或政府相关部门对其的审查及审核并不减轻乙方的相关责任。</w:t>
      </w:r>
    </w:p>
    <w:p>
      <w:pPr>
        <w:adjustRightInd w:val="0"/>
        <w:snapToGrid w:val="0"/>
        <w:spacing w:line="360" w:lineRule="auto"/>
        <w:ind w:firstLine="360" w:firstLineChars="150"/>
        <w:rPr>
          <w:rFonts w:ascii="宋体" w:hAnsi="宋体" w:cs="宋体"/>
          <w:color w:val="auto"/>
          <w:kern w:val="0"/>
          <w:sz w:val="24"/>
          <w:szCs w:val="24"/>
          <w:highlight w:val="none"/>
        </w:rPr>
      </w:pPr>
      <w:r>
        <w:rPr>
          <w:rFonts w:hint="eastAsia" w:ascii="宋体" w:hAnsi="宋体" w:cs="宋体"/>
          <w:color w:val="auto"/>
          <w:kern w:val="0"/>
          <w:sz w:val="24"/>
          <w:szCs w:val="24"/>
          <w:highlight w:val="none"/>
        </w:rPr>
        <w:t>（4）乙方应在确定为中标单位后立即进行本合同工程设计策划，建立质量目标，规定质量要求，根据甲方总体实施计划和本合同工程特点编制详细的设计计划，根据《广州市重点公共建设项目管理中心</w:t>
      </w:r>
      <w:r>
        <w:rPr>
          <w:rFonts w:hint="default" w:ascii="宋体" w:hAnsi="宋体" w:cs="宋体"/>
          <w:color w:val="auto"/>
          <w:kern w:val="0"/>
          <w:sz w:val="24"/>
          <w:szCs w:val="24"/>
          <w:highlight w:val="none"/>
        </w:rPr>
        <w:t>基本建设</w:t>
      </w:r>
      <w:r>
        <w:rPr>
          <w:rFonts w:hint="eastAsia" w:ascii="宋体" w:hAnsi="宋体" w:cs="宋体"/>
          <w:color w:val="auto"/>
          <w:kern w:val="0"/>
          <w:sz w:val="24"/>
          <w:szCs w:val="24"/>
          <w:highlight w:val="none"/>
        </w:rPr>
        <w:t>项目计划管理办法》（合同附件</w:t>
      </w: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）的相关要求合理安排各项活动的实施时间，并保证设计的进度、质量，保证乙方设计范围内工程的施工进度不受影响。</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（5）如在项目运作中遇国家或地区颁布新的标准、规定和依据，按新标准、规定和依据执行。</w:t>
      </w:r>
    </w:p>
    <w:p>
      <w:pPr>
        <w:adjustRightInd w:val="0"/>
        <w:snapToGrid w:val="0"/>
        <w:spacing w:line="360" w:lineRule="auto"/>
        <w:ind w:firstLine="360" w:firstLineChars="150"/>
        <w:rPr>
          <w:rFonts w:ascii="宋体" w:hAnsi="宋体" w:cs="宋体"/>
          <w:color w:val="auto"/>
          <w:kern w:val="0"/>
          <w:sz w:val="24"/>
          <w:szCs w:val="24"/>
          <w:highlight w:val="none"/>
        </w:rPr>
      </w:pPr>
      <w:r>
        <w:rPr>
          <w:rFonts w:hint="eastAsia" w:ascii="宋体" w:hAnsi="宋体" w:cs="宋体"/>
          <w:color w:val="auto"/>
          <w:kern w:val="0"/>
          <w:sz w:val="24"/>
          <w:szCs w:val="24"/>
          <w:highlight w:val="none"/>
        </w:rPr>
        <w:t>（6）乙方根据本合同约定进行设计、资料管理、技术管理、现场配合等工作时，必须同时遵守广州市重点公共建设项目管理中心的相关设计、技术、图文、图档、工程的各项管理办法、规定和细则。</w:t>
      </w:r>
    </w:p>
    <w:p>
      <w:pPr>
        <w:adjustRightInd w:val="0"/>
        <w:snapToGrid w:val="0"/>
        <w:spacing w:line="360" w:lineRule="auto"/>
        <w:ind w:firstLine="360" w:firstLineChars="150"/>
        <w:rPr>
          <w:rFonts w:ascii="宋体" w:hAnsi="宋体" w:cs="宋体"/>
          <w:color w:val="auto"/>
          <w:kern w:val="0"/>
          <w:sz w:val="24"/>
          <w:szCs w:val="24"/>
          <w:highlight w:val="none"/>
        </w:rPr>
      </w:pPr>
      <w:r>
        <w:rPr>
          <w:rFonts w:hint="eastAsia" w:ascii="宋体" w:hAnsi="宋体" w:cs="宋体"/>
          <w:color w:val="auto"/>
          <w:kern w:val="0"/>
          <w:sz w:val="24"/>
          <w:szCs w:val="24"/>
          <w:highlight w:val="none"/>
        </w:rPr>
        <w:t>（7）乙方应积极配合政府行政部门或行业主管部门的各项审批、施工图审查单位、甲方的审核、施工图强制审查及图纸会审，对审查过程中发现的设计质量问题，应及时解决并按规定出具修改图纸。</w:t>
      </w:r>
    </w:p>
    <w:p>
      <w:pPr>
        <w:adjustRightInd w:val="0"/>
        <w:snapToGrid w:val="0"/>
        <w:spacing w:line="360" w:lineRule="auto"/>
        <w:ind w:firstLine="360" w:firstLineChars="15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8）乙方应对甲方提供的文件、资料进行认真研究，对本合同工程的特点和不确定因素进行认真考虑，并提出合理建议和评价，每个阶段各专业的主要技术方案、主要系统、重要设备材料选用、管线排布，均要提供至少两个的比选方案，比选项目包括但不限于基坑支护、基础形式、超大超长结构处理、建筑方案存在不同意见时、建筑防水设计、重要设备选型、泛光照明等，比选方案须在技术、经济投资、实施性、运营管理、工期上作比较分析，并应提供方案设计图及效果图、计算书、造价文件进行研究。</w:t>
      </w:r>
    </w:p>
    <w:p>
      <w:pPr>
        <w:adjustRightInd w:val="0"/>
        <w:snapToGrid w:val="0"/>
        <w:spacing w:line="360" w:lineRule="auto"/>
        <w:ind w:firstLine="360" w:firstLineChars="150"/>
        <w:rPr>
          <w:rFonts w:ascii="宋体" w:hAnsi="宋体" w:cs="宋体"/>
          <w:color w:val="auto"/>
          <w:kern w:val="0"/>
          <w:sz w:val="24"/>
          <w:szCs w:val="24"/>
          <w:highlight w:val="none"/>
        </w:rPr>
      </w:pPr>
      <w:r>
        <w:rPr>
          <w:rFonts w:hint="eastAsia" w:ascii="宋体" w:hAnsi="宋体" w:cs="宋体"/>
          <w:color w:val="auto"/>
          <w:kern w:val="0"/>
          <w:sz w:val="24"/>
          <w:szCs w:val="24"/>
          <w:highlight w:val="none"/>
        </w:rPr>
        <w:t>（9）乙方的设计成果文件应尽可能减少施工难度，为施工创造方便合理的施工条件；应尽量减少施工对城市交通、市民生活以及水利的干扰，并尽可能减少对施工期的影响。</w:t>
      </w:r>
    </w:p>
    <w:p>
      <w:pPr>
        <w:adjustRightInd w:val="0"/>
        <w:snapToGrid w:val="0"/>
        <w:spacing w:line="360" w:lineRule="auto"/>
        <w:ind w:firstLine="360" w:firstLineChars="150"/>
        <w:rPr>
          <w:rFonts w:ascii="宋体" w:hAnsi="宋体" w:cs="宋体"/>
          <w:color w:val="auto"/>
          <w:kern w:val="0"/>
          <w:sz w:val="24"/>
          <w:szCs w:val="24"/>
          <w:highlight w:val="none"/>
        </w:rPr>
      </w:pPr>
      <w:r>
        <w:rPr>
          <w:rFonts w:hint="eastAsia" w:ascii="宋体" w:hAnsi="宋体" w:cs="宋体"/>
          <w:color w:val="auto"/>
          <w:kern w:val="0"/>
          <w:sz w:val="24"/>
          <w:szCs w:val="24"/>
          <w:highlight w:val="none"/>
        </w:rPr>
        <w:t>（10）乙方应确保其提交的施工图设计成果文件通过甲方、甲方委托的第三方、甲方认可的本合同工程施工投标人或其委托的具有施工图审查能力的单位的审查，如审查过程中发现设计问题，乙方应按甲方的时间要求及时解决并根据相关规定修改图纸，确保满足工程投资控制要求。乙方应及时提供修改图纸及调整预算，确保甲方相关招标工作的有效推进。</w:t>
      </w:r>
    </w:p>
    <w:p>
      <w:pPr>
        <w:adjustRightInd w:val="0"/>
        <w:snapToGrid w:val="0"/>
        <w:spacing w:line="360" w:lineRule="auto"/>
        <w:ind w:firstLine="360" w:firstLineChars="150"/>
        <w:rPr>
          <w:rFonts w:ascii="宋体" w:hAnsi="宋体" w:cs="宋体"/>
          <w:color w:val="auto"/>
          <w:kern w:val="0"/>
          <w:sz w:val="24"/>
          <w:szCs w:val="24"/>
          <w:highlight w:val="none"/>
        </w:rPr>
      </w:pPr>
      <w:r>
        <w:rPr>
          <w:rFonts w:hint="eastAsia" w:ascii="宋体" w:hAnsi="宋体" w:cs="宋体"/>
          <w:color w:val="auto"/>
          <w:kern w:val="0"/>
          <w:sz w:val="24"/>
          <w:szCs w:val="24"/>
          <w:highlight w:val="none"/>
        </w:rPr>
        <w:t>（11）在交付项目的部分或全部勘察、设计文件后，如获悉有更好的新工艺、新技术、新材料、新设备等适用于本合同工程，乙方应向甲方推荐并提供科学的评估。</w:t>
      </w:r>
    </w:p>
    <w:p>
      <w:pPr>
        <w:adjustRightInd w:val="0"/>
        <w:snapToGrid w:val="0"/>
        <w:spacing w:line="360" w:lineRule="auto"/>
        <w:ind w:firstLine="241" w:firstLineChars="100"/>
        <w:outlineLvl w:val="3"/>
        <w:rPr>
          <w:rFonts w:ascii="宋体" w:hAnsi="宋体" w:cs="宋体"/>
          <w:b/>
          <w:color w:val="auto"/>
          <w:kern w:val="0"/>
          <w:sz w:val="24"/>
          <w:szCs w:val="24"/>
          <w:highlight w:val="none"/>
        </w:rPr>
      </w:pPr>
      <w:r>
        <w:rPr>
          <w:rFonts w:ascii="宋体" w:hAnsi="宋体" w:cs="宋体"/>
          <w:b/>
          <w:color w:val="auto"/>
          <w:kern w:val="0"/>
          <w:sz w:val="24"/>
          <w:szCs w:val="24"/>
          <w:highlight w:val="none"/>
        </w:rPr>
        <w:t xml:space="preserve">  </w:t>
      </w:r>
      <w:r>
        <w:rPr>
          <w:rFonts w:hint="eastAsia" w:ascii="宋体" w:hAnsi="宋体" w:cs="宋体"/>
          <w:b/>
          <w:color w:val="auto"/>
          <w:kern w:val="0"/>
          <w:sz w:val="24"/>
          <w:szCs w:val="24"/>
          <w:highlight w:val="none"/>
        </w:rPr>
        <w:t>6.4方案设计阶段的主要工作及要求</w:t>
      </w:r>
    </w:p>
    <w:p>
      <w:pPr>
        <w:adjustRightInd w:val="0"/>
        <w:snapToGrid w:val="0"/>
        <w:spacing w:line="360" w:lineRule="auto"/>
        <w:ind w:firstLine="482" w:firstLineChars="200"/>
        <w:outlineLvl w:val="4"/>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6.4.1</w:t>
      </w:r>
      <w:r>
        <w:rPr>
          <w:rFonts w:hint="eastAsia" w:ascii="宋体" w:hAnsi="宋体" w:cs="宋体"/>
          <w:color w:val="auto"/>
          <w:kern w:val="0"/>
          <w:sz w:val="24"/>
          <w:szCs w:val="24"/>
          <w:highlight w:val="none"/>
        </w:rPr>
        <w:t>方案设计阶段的主要工作</w:t>
      </w:r>
    </w:p>
    <w:p>
      <w:pPr>
        <w:adjustRightInd w:val="0"/>
        <w:snapToGrid w:val="0"/>
        <w:spacing w:line="360" w:lineRule="auto"/>
        <w:ind w:firstLine="360" w:firstLineChars="15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（1）提交方案设计成果文件</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方案设计成果文件应为甲方最终确定方案的设计文件，文件的内容应按照甲方的要求、有权审核部门的审批意见、设计方案招标（竞赛）的技术文件和投标（参赛）文件、住建部现行有效《建筑工程设计文件编制深度规定》、《市政公用工程设计文件编制深度规定》方案设计阶段规定的要求进行编制，包括如下设计文件（包括但不限于）：</w:t>
      </w:r>
    </w:p>
    <w:p>
      <w:pPr>
        <w:adjustRightInd w:val="0"/>
        <w:snapToGrid w:val="0"/>
        <w:spacing w:line="360" w:lineRule="auto"/>
        <w:ind w:firstLine="600" w:firstLineChars="250"/>
        <w:rPr>
          <w:rFonts w:ascii="宋体" w:hAnsi="宋体" w:cs="宋体"/>
          <w:color w:val="auto"/>
          <w:kern w:val="0"/>
          <w:sz w:val="24"/>
          <w:szCs w:val="24"/>
          <w:highlight w:val="none"/>
        </w:rPr>
      </w:pPr>
      <w:r>
        <w:rPr>
          <w:rFonts w:hint="eastAsia" w:ascii="宋体" w:hAnsi="宋体" w:cs="宋体"/>
          <w:color w:val="auto"/>
          <w:kern w:val="0"/>
          <w:sz w:val="24"/>
          <w:szCs w:val="24"/>
          <w:highlight w:val="none"/>
        </w:rPr>
        <w:t>1）封面（写明方案的名称、方案编制单位、编制时间）；</w:t>
      </w:r>
    </w:p>
    <w:p>
      <w:pPr>
        <w:adjustRightInd w:val="0"/>
        <w:snapToGrid w:val="0"/>
        <w:spacing w:line="360" w:lineRule="auto"/>
        <w:ind w:firstLine="600" w:firstLineChars="25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2）扉页（方案编制单位行政及技术负责人、具体编制总负责人签名）；</w:t>
      </w:r>
    </w:p>
    <w:p>
      <w:pPr>
        <w:adjustRightInd w:val="0"/>
        <w:snapToGrid w:val="0"/>
        <w:spacing w:line="360" w:lineRule="auto"/>
        <w:ind w:firstLine="600" w:firstLineChars="25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3）方案设计文件目录；</w:t>
      </w:r>
    </w:p>
    <w:p>
      <w:pPr>
        <w:adjustRightInd w:val="0"/>
        <w:snapToGrid w:val="0"/>
        <w:spacing w:line="360" w:lineRule="auto"/>
        <w:ind w:firstLine="600" w:firstLineChars="250"/>
        <w:rPr>
          <w:rFonts w:ascii="宋体" w:hAnsi="宋体" w:cs="宋体"/>
          <w:color w:val="auto"/>
          <w:kern w:val="0"/>
          <w:sz w:val="24"/>
          <w:szCs w:val="24"/>
          <w:highlight w:val="none"/>
        </w:rPr>
      </w:pPr>
      <w:r>
        <w:rPr>
          <w:rFonts w:hint="eastAsia" w:ascii="宋体" w:hAnsi="宋体" w:cs="宋体"/>
          <w:color w:val="auto"/>
          <w:kern w:val="0"/>
          <w:sz w:val="24"/>
          <w:szCs w:val="24"/>
          <w:highlight w:val="none"/>
        </w:rPr>
        <w:t>4）方案设计说明书；</w:t>
      </w:r>
    </w:p>
    <w:p>
      <w:pPr>
        <w:adjustRightInd w:val="0"/>
        <w:snapToGrid w:val="0"/>
        <w:spacing w:line="360" w:lineRule="auto"/>
        <w:ind w:firstLine="600" w:firstLineChars="250"/>
        <w:rPr>
          <w:rFonts w:ascii="宋体" w:hAnsi="宋体" w:cs="宋体"/>
          <w:color w:val="auto"/>
          <w:kern w:val="0"/>
          <w:sz w:val="24"/>
          <w:szCs w:val="24"/>
          <w:highlight w:val="none"/>
        </w:rPr>
      </w:pPr>
      <w:r>
        <w:rPr>
          <w:rFonts w:hint="eastAsia" w:ascii="宋体" w:hAnsi="宋体" w:cs="宋体"/>
          <w:color w:val="auto"/>
          <w:kern w:val="0"/>
          <w:sz w:val="24"/>
          <w:szCs w:val="24"/>
          <w:highlight w:val="none"/>
        </w:rPr>
        <w:t>5）方案设计图纸（A3图）（具体图纸要求按设计任务书）；</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乙方应按本合同条款第9.1款约定向甲方提交方案设计成果文件（含图纸及相关文本文件）。</w:t>
      </w:r>
    </w:p>
    <w:p>
      <w:pPr>
        <w:adjustRightInd w:val="0"/>
        <w:snapToGrid w:val="0"/>
        <w:spacing w:line="360" w:lineRule="auto"/>
        <w:ind w:firstLine="600" w:firstLineChars="250"/>
        <w:rPr>
          <w:rFonts w:ascii="宋体" w:hAnsi="宋体" w:cs="宋体"/>
          <w:color w:val="auto"/>
          <w:kern w:val="0"/>
          <w:sz w:val="24"/>
          <w:szCs w:val="24"/>
          <w:highlight w:val="none"/>
        </w:rPr>
      </w:pPr>
      <w:r>
        <w:rPr>
          <w:rFonts w:hint="eastAsia" w:ascii="宋体" w:hAnsi="宋体" w:cs="宋体"/>
          <w:color w:val="auto"/>
          <w:kern w:val="0"/>
          <w:sz w:val="24"/>
          <w:szCs w:val="24"/>
          <w:highlight w:val="none"/>
        </w:rPr>
        <w:t>6）三维数据模型：设计方案通过确认后30天内提交三维数据模型（通用3ds max格式）。乙方有责任协助甲方将其他设计单位提供的三维数据模型进行整合工作；</w:t>
      </w:r>
    </w:p>
    <w:p>
      <w:pPr>
        <w:adjustRightInd w:val="0"/>
        <w:snapToGrid w:val="0"/>
        <w:spacing w:line="360" w:lineRule="auto"/>
        <w:ind w:firstLine="600" w:firstLineChars="250"/>
        <w:rPr>
          <w:rFonts w:ascii="宋体" w:hAnsi="宋体" w:cs="宋体"/>
          <w:color w:val="auto"/>
          <w:kern w:val="0"/>
          <w:sz w:val="24"/>
          <w:szCs w:val="24"/>
          <w:highlight w:val="none"/>
        </w:rPr>
      </w:pPr>
      <w:r>
        <w:rPr>
          <w:rFonts w:hint="eastAsia" w:ascii="宋体" w:hAnsi="宋体" w:cs="宋体"/>
          <w:color w:val="auto"/>
          <w:kern w:val="0"/>
          <w:sz w:val="24"/>
          <w:szCs w:val="24"/>
          <w:highlight w:val="none"/>
        </w:rPr>
        <w:t>7）多媒体文件：设计稳定后，提供一份修改稳定版的多媒体演示文件，限时10分钟。</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（2）按照规划主管部门的规划报建要求，提供规划报建所需相关设计成果文件（包括但不限于以下内容）：</w:t>
      </w:r>
    </w:p>
    <w:p>
      <w:pPr>
        <w:adjustRightInd w:val="0"/>
        <w:snapToGrid w:val="0"/>
        <w:spacing w:line="360" w:lineRule="auto"/>
        <w:ind w:firstLine="720" w:firstLineChars="3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1）总平面规划图（包括各项技术经济指标）；</w:t>
      </w:r>
    </w:p>
    <w:p>
      <w:pPr>
        <w:adjustRightInd w:val="0"/>
        <w:snapToGrid w:val="0"/>
        <w:spacing w:line="360" w:lineRule="auto"/>
        <w:ind w:firstLine="720" w:firstLineChars="3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2）绿地规划图；</w:t>
      </w:r>
    </w:p>
    <w:p>
      <w:pPr>
        <w:adjustRightInd w:val="0"/>
        <w:snapToGrid w:val="0"/>
        <w:spacing w:line="360" w:lineRule="auto"/>
        <w:ind w:firstLine="720" w:firstLineChars="3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3）道路交通系统规划图；</w:t>
      </w:r>
    </w:p>
    <w:p>
      <w:pPr>
        <w:adjustRightInd w:val="0"/>
        <w:snapToGrid w:val="0"/>
        <w:spacing w:line="360" w:lineRule="auto"/>
        <w:ind w:firstLine="720" w:firstLineChars="3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4）用地竖向规划图；</w:t>
      </w:r>
    </w:p>
    <w:p>
      <w:pPr>
        <w:adjustRightInd w:val="0"/>
        <w:snapToGrid w:val="0"/>
        <w:spacing w:line="360" w:lineRule="auto"/>
        <w:ind w:firstLine="720" w:firstLineChars="3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5）管线综合规划图；</w:t>
      </w:r>
    </w:p>
    <w:p>
      <w:pPr>
        <w:adjustRightInd w:val="0"/>
        <w:snapToGrid w:val="0"/>
        <w:spacing w:line="360" w:lineRule="auto"/>
        <w:ind w:firstLine="720" w:firstLineChars="3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6）规划方案说明书；</w:t>
      </w:r>
    </w:p>
    <w:p>
      <w:pPr>
        <w:adjustRightInd w:val="0"/>
        <w:snapToGrid w:val="0"/>
        <w:spacing w:line="360" w:lineRule="auto"/>
        <w:ind w:firstLine="720" w:firstLineChars="3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7）模型（依据规划主管部门的报建要求、业主要求提交）。</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乙方应按规划主管部门的规划报建要求提交规划报建所需的设计成果文件（含图纸及相关文本文件、电子文档光盘、工作模型），成果文件需加盖规划报建章、设计单位出图章、注册建筑师章；根据相关的审批意见对设计成果文件进行相应修改，并向甲方提交</w:t>
      </w:r>
      <w:r>
        <w:rPr>
          <w:rFonts w:hint="eastAsia" w:ascii="宋体" w:hAnsi="宋体" w:cs="宋体"/>
          <w:color w:val="auto"/>
          <w:kern w:val="0"/>
          <w:sz w:val="24"/>
          <w:szCs w:val="24"/>
          <w:highlight w:val="none"/>
          <w:u w:val="single"/>
        </w:rPr>
        <w:t>6</w:t>
      </w:r>
      <w:r>
        <w:rPr>
          <w:rFonts w:hint="eastAsia" w:ascii="宋体" w:hAnsi="宋体" w:cs="宋体"/>
          <w:color w:val="auto"/>
          <w:kern w:val="0"/>
          <w:sz w:val="24"/>
          <w:szCs w:val="24"/>
          <w:highlight w:val="none"/>
        </w:rPr>
        <w:t>份最终的设计成果文件及电子文档光盘。</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（3）按照规划主管部门的报建要求，提供方案设计报建所需相关设计成果文件并根据相关的审批意见对设计成果文件进行相应修改。相关设计成果文件包括但不限于以下内容：</w:t>
      </w:r>
    </w:p>
    <w:p>
      <w:pPr>
        <w:adjustRightInd w:val="0"/>
        <w:snapToGrid w:val="0"/>
        <w:spacing w:line="360" w:lineRule="auto"/>
        <w:ind w:firstLine="720" w:firstLineChars="3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1）总平面图（比例按报建要求，包括各项技术经济指标）；</w:t>
      </w:r>
    </w:p>
    <w:p>
      <w:pPr>
        <w:adjustRightInd w:val="0"/>
        <w:snapToGrid w:val="0"/>
        <w:spacing w:line="360" w:lineRule="auto"/>
        <w:ind w:firstLine="720" w:firstLineChars="3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2）设计方案图；</w:t>
      </w:r>
    </w:p>
    <w:p>
      <w:pPr>
        <w:adjustRightInd w:val="0"/>
        <w:snapToGrid w:val="0"/>
        <w:spacing w:line="360" w:lineRule="auto"/>
        <w:ind w:firstLine="720" w:firstLineChars="3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3）设计说明；</w:t>
      </w:r>
    </w:p>
    <w:p>
      <w:pPr>
        <w:adjustRightInd w:val="0"/>
        <w:snapToGrid w:val="0"/>
        <w:spacing w:line="360" w:lineRule="auto"/>
        <w:ind w:firstLine="720" w:firstLineChars="3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4）工程投资估算（含非标设备、材料、构配件的报价）。</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乙方应向甲方提交方案设计报建所需要的设计成果文件（含图纸及相关文本文件、电子文档光盘，具体数量以报建要求为准）；成果文件均须加盖设计单位出图章、注册建筑师章。</w:t>
      </w:r>
    </w:p>
    <w:p>
      <w:pPr>
        <w:adjustRightInd w:val="0"/>
        <w:snapToGrid w:val="0"/>
        <w:spacing w:line="360" w:lineRule="auto"/>
        <w:ind w:firstLine="602" w:firstLineChars="250"/>
        <w:outlineLvl w:val="4"/>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6.4.2</w:t>
      </w:r>
      <w:r>
        <w:rPr>
          <w:rFonts w:hint="eastAsia" w:ascii="宋体" w:hAnsi="宋体" w:cs="宋体"/>
          <w:color w:val="auto"/>
          <w:kern w:val="0"/>
          <w:sz w:val="24"/>
          <w:szCs w:val="24"/>
          <w:highlight w:val="none"/>
        </w:rPr>
        <w:t>方案设计阶段的要求</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（1）乙方应在甲方选定方案的基础上，按专家意见和甲方要求进行完善，达到报建送审方案要求，并根据规划部门提出的设计条件进行调整。</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（2）方案设计应对本合同条款第6.3（8）款所述比选项目，提供至少两个比选方案，实施性方案应达到和满足进行初步设计的要求。</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（3）乙方设计方案中应包含节能环保篇，采用节能环保的新技术、新工艺。方案设计应对设计中采用的新技术及节能技术的应用进行三个以上方案技术经济比较，提出比较分析报告和推荐方案。</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（4）乙方应根据实施方案提交工程投资估算编制说明及投资估算表。</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（5）结构体系应进行初步的计算，保证结构方案是可行的。</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（6）乙方对各专业采用的新技术应作详细的介绍，以便进行评审和据以进行下一步的设计。</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（7）在深化方案设计时，乙方应以书面形式明确设计中确有需要进行试验的项目，并在初步设计之前提交给甲方审查确认；经甲方确认后，乙方应及时提供试验方案及相关技术要求。</w:t>
      </w:r>
    </w:p>
    <w:p>
      <w:pPr>
        <w:adjustRightInd w:val="0"/>
        <w:snapToGrid w:val="0"/>
        <w:spacing w:line="360" w:lineRule="auto"/>
        <w:outlineLvl w:val="3"/>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 xml:space="preserve"> </w:t>
      </w:r>
      <w:r>
        <w:rPr>
          <w:rFonts w:ascii="宋体" w:hAnsi="宋体" w:cs="宋体"/>
          <w:b/>
          <w:color w:val="auto"/>
          <w:kern w:val="0"/>
          <w:sz w:val="24"/>
          <w:szCs w:val="24"/>
          <w:highlight w:val="none"/>
        </w:rPr>
        <w:t xml:space="preserve">  </w:t>
      </w:r>
      <w:r>
        <w:rPr>
          <w:rFonts w:hint="eastAsia" w:ascii="宋体" w:hAnsi="宋体" w:cs="宋体"/>
          <w:b/>
          <w:color w:val="auto"/>
          <w:kern w:val="0"/>
          <w:sz w:val="24"/>
          <w:szCs w:val="24"/>
          <w:highlight w:val="none"/>
        </w:rPr>
        <w:t xml:space="preserve"> 6.5初步设计阶段的主要工作及要求</w:t>
      </w:r>
    </w:p>
    <w:p>
      <w:pPr>
        <w:adjustRightInd w:val="0"/>
        <w:snapToGrid w:val="0"/>
        <w:spacing w:line="360" w:lineRule="auto"/>
        <w:ind w:firstLine="482" w:firstLineChars="200"/>
        <w:outlineLvl w:val="4"/>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6.5.1</w:t>
      </w:r>
      <w:r>
        <w:rPr>
          <w:rFonts w:hint="eastAsia" w:ascii="宋体" w:hAnsi="宋体" w:cs="宋体"/>
          <w:color w:val="auto"/>
          <w:kern w:val="0"/>
          <w:sz w:val="24"/>
          <w:szCs w:val="24"/>
          <w:highlight w:val="none"/>
        </w:rPr>
        <w:t>提交</w:t>
      </w:r>
      <w:r>
        <w:rPr>
          <w:rFonts w:hint="eastAsia" w:ascii="宋体" w:hAnsi="宋体" w:cs="宋体"/>
          <w:color w:val="auto"/>
          <w:spacing w:val="-4"/>
          <w:kern w:val="0"/>
          <w:sz w:val="24"/>
          <w:szCs w:val="24"/>
          <w:highlight w:val="none"/>
        </w:rPr>
        <w:t>初步</w:t>
      </w:r>
      <w:r>
        <w:rPr>
          <w:rFonts w:hint="eastAsia" w:ascii="宋体" w:hAnsi="宋体" w:cs="宋体"/>
          <w:color w:val="auto"/>
          <w:kern w:val="0"/>
          <w:sz w:val="24"/>
          <w:szCs w:val="24"/>
          <w:highlight w:val="none"/>
        </w:rPr>
        <w:t>设计成果文件</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初步设计成果文件应按住建部批准的现行有效《建筑工程设计文件编制深度规定》、《市政公用工程设计文件编制深度规定》初步设计阶段的要求进行编制，由总章和各专业设计文件分章编制而成，应包括如下设计成果文件（包括但不限于）：</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（1）初步设计方案编制；</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（2）设计说明书（含设计总说明、各专业的设计说明书、结构计算书）；</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（3）设计图纸（由各专业设计图纸组成）；</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（4）设计概算（甲方另行发包的专项设计由专项设计单位提供相应的概算文件，由乙方负责汇总）；</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（5）效果图及透视图；</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（6）报批模型（按报建审批部门的要求提交）；</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（7）主要材料样板。</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乙方应按本合同条款第9.1款约定向甲方提交初步设计成果文件（含图纸及相关文本文件</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、效果图各一式</w:t>
      </w:r>
      <w:r>
        <w:rPr>
          <w:rFonts w:hint="eastAsia" w:ascii="宋体" w:hAnsi="宋体" w:cs="宋体"/>
          <w:color w:val="auto"/>
          <w:kern w:val="0"/>
          <w:sz w:val="24"/>
          <w:szCs w:val="24"/>
          <w:highlight w:val="none"/>
          <w:u w:val="single"/>
        </w:rPr>
        <w:t>10</w:t>
      </w:r>
      <w:r>
        <w:rPr>
          <w:rFonts w:hint="eastAsia" w:ascii="宋体" w:hAnsi="宋体" w:cs="宋体"/>
          <w:color w:val="auto"/>
          <w:kern w:val="0"/>
          <w:sz w:val="24"/>
          <w:szCs w:val="24"/>
          <w:highlight w:val="none"/>
        </w:rPr>
        <w:t>套，专业报建（交通、市政、人防、消防、环保、卫生、绿化）所需设计成果文件数量</w:t>
      </w:r>
      <w:r>
        <w:rPr>
          <w:rFonts w:hint="eastAsia" w:ascii="宋体" w:hAnsi="宋体" w:cs="宋体"/>
          <w:color w:val="auto"/>
          <w:kern w:val="0"/>
          <w:sz w:val="24"/>
          <w:szCs w:val="24"/>
          <w:highlight w:val="none"/>
          <w:u w:val="single"/>
        </w:rPr>
        <w:t>按报建要求提供</w:t>
      </w:r>
      <w:r>
        <w:rPr>
          <w:rFonts w:hint="eastAsia" w:ascii="宋体" w:hAnsi="宋体" w:cs="宋体"/>
          <w:color w:val="auto"/>
          <w:kern w:val="0"/>
          <w:sz w:val="24"/>
          <w:szCs w:val="24"/>
          <w:highlight w:val="none"/>
        </w:rPr>
        <w:t>；成果文件加盖设计单位出图章、注册建筑师章、注册结构工程师章，各专业负责人、乙方签署。</w:t>
      </w:r>
    </w:p>
    <w:p>
      <w:pPr>
        <w:adjustRightInd w:val="0"/>
        <w:snapToGrid w:val="0"/>
        <w:spacing w:line="360" w:lineRule="auto"/>
        <w:ind w:firstLine="600" w:firstLineChars="249"/>
        <w:outlineLvl w:val="4"/>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6.5.2</w:t>
      </w:r>
      <w:r>
        <w:rPr>
          <w:rFonts w:hint="eastAsia" w:ascii="宋体" w:hAnsi="宋体" w:cs="宋体"/>
          <w:color w:val="auto"/>
          <w:kern w:val="0"/>
          <w:sz w:val="24"/>
          <w:szCs w:val="24"/>
          <w:highlight w:val="none"/>
        </w:rPr>
        <w:t>初步设计阶段的工作要求</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（1）初步设计文件均以各工程子项为编制单位。</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（2）初步设计阶段须对本合同条款第6.3（8）款所述比选项目，至少提供两个比选方案，使设计具备先进性、可靠性和经济合理性，并满足以下要求：</w:t>
      </w:r>
    </w:p>
    <w:p>
      <w:pPr>
        <w:adjustRightInd w:val="0"/>
        <w:snapToGrid w:val="0"/>
        <w:spacing w:line="360" w:lineRule="auto"/>
        <w:ind w:firstLine="720" w:firstLineChars="3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1）应符合甲方批准的设计方案和实施性方案；</w:t>
      </w:r>
    </w:p>
    <w:p>
      <w:pPr>
        <w:adjustRightInd w:val="0"/>
        <w:snapToGrid w:val="0"/>
        <w:spacing w:line="360" w:lineRule="auto"/>
        <w:ind w:firstLine="720" w:firstLineChars="3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2）能据以准备各主要设备、材料及饰面材料（送板）；</w:t>
      </w:r>
    </w:p>
    <w:p>
      <w:pPr>
        <w:adjustRightInd w:val="0"/>
        <w:snapToGrid w:val="0"/>
        <w:spacing w:line="360" w:lineRule="auto"/>
        <w:ind w:firstLine="720" w:firstLineChars="3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3）能据以编制、审核工程设计概算；</w:t>
      </w:r>
    </w:p>
    <w:p>
      <w:pPr>
        <w:adjustRightInd w:val="0"/>
        <w:snapToGrid w:val="0"/>
        <w:spacing w:line="360" w:lineRule="auto"/>
        <w:ind w:firstLine="720" w:firstLineChars="3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4）能据以进行施工准备；</w:t>
      </w:r>
    </w:p>
    <w:p>
      <w:pPr>
        <w:adjustRightInd w:val="0"/>
        <w:snapToGrid w:val="0"/>
        <w:spacing w:line="360" w:lineRule="auto"/>
        <w:ind w:firstLine="720" w:firstLineChars="3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5）能作为各专业施工图设计的依据。</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（3）初步设计中的结构设计文件，应对结构的选型、布置、截面尺寸、材料用量等予以明确。</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乙方须根据甲方的相关规定和要求进行工程设计概算的编制，概算文件中的开项必须齐全完整，造价指标必须准确，须满足工程投资控制的要求。乙方编制的工程概算须同时满足甲方信息化管理的相关要求（本合同条款第24条）。</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如果乙方的概算编制质量和进度不能满足本合同约定或甲方要求，则甲方可另行委托专业造价咨询单位实施设计概算编制工作，所发生的费用根据《关于调整我省建设工程造价咨询服务收费的复函》（粤价函[2011]742号，如有新规则按新规执行）规定并结合专业造价咨询单位实际工作比例计取，由乙方负责支付。</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（5）乙方应重点对设计范围内的给水、排水、电气、采暖通风、空调、动力等管线进行各专业综合分析,协调并解决其中矛盾, 成果包括室内外管线综合平衡图、场外管线综合总图和相关专业图纸及说明书。</w:t>
      </w:r>
    </w:p>
    <w:p>
      <w:pPr>
        <w:adjustRightInd w:val="0"/>
        <w:snapToGrid w:val="0"/>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（6）乙方必须准确计算建筑面积，完善建设规模及经济指标说明。</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（7）乙方应确保相关的初步设计成果文件深度能够有效满足专项施工图设计工程投资控制的要求。本合同范围如包含以下专业工程，乙方提供的相关初步设计成果文件应满足以下要求：</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①钢结构工程：</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乙方提供的设计成果文件应满足住建部初步设计文件深度要求的相关规定，结构形式、布置、受力杆件、构件型号、材料种类、节点类型等设计内容须成熟稳定，具体要求如下：</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a、设计成果文件中应提供杆件的控制内力，设计计算应考虑施工工序及稳定应力。</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b、补充钢结构设计总说明：详细材料要求、加工要求、连接要求、焊接质量要求、防腐、防火要求，并对安装条件做出说明。</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c、主桁架未有桁架剪力墙的连接大样的，典型节点应作有限之分析，关键节点应作有关试验。</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d、优化结构体系，取消或减少部分主、次桁架，完善支撑系统，支撑的布置应考虑结构的整体稳定。</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乙方须保证，在其提供的设计成果文件的基础上进行的达至施工图设计程度的专项设计，其总用钢量增加在5%以内。</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②幕墙工程：</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乙方提供的设计成果文件中幕墙外观、用材料品种档次、幕墙主要受力体系、预埋件设计、细部节点和幕墙与其他专业的界面处理等设计内容须成熟稳定。</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③室内装饰工程：</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乙方提供的设计成果文件中，以下内容须成熟稳定：</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a、所有室内可视范围内的装饰风格、空间效果、构件尺寸等主要设计要素；</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b、室内装饰设计部分中，所有与其他专业关联的技术界面（特别是给排水、消防、建筑声学、机电、智能化、扩声等专业的技术界面）；</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c、室内装饰设计部分中，所有相关专业要求室内装饰专业须满足的技术条件；</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d、室内装饰设计部分中，主要机电管线的综合平衡；</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e、室内装饰设计部分中，所有的主要装饰材料的技术要求。</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④机电设备安装工程：</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乙方提供的设计成果文件中，系统的构成、强制性的系统功能要求（功能要求点表）、设备技术参数中的强制性条目要求等设计内容须成熟稳定。</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⑤弱电智能化工程：</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乙方提供的设计成果文件中，系统的构成、强制性的系统功能要求（系统图及功能要求点表）、主要设备材料技术参数中的强制性条目要求等设计内容须成熟稳定。</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⑥其他：详见</w:t>
      </w:r>
      <w:r>
        <w:rPr>
          <w:rFonts w:ascii="宋体" w:hAnsi="宋体" w:cs="宋体"/>
          <w:color w:val="auto"/>
          <w:kern w:val="0"/>
          <w:sz w:val="24"/>
          <w:szCs w:val="24"/>
          <w:highlight w:val="none"/>
        </w:rPr>
        <w:t>基础资料和勘察设计任务书</w:t>
      </w:r>
      <w:r>
        <w:rPr>
          <w:rFonts w:hint="eastAsia" w:ascii="宋体" w:hAnsi="宋体" w:cs="宋体"/>
          <w:color w:val="auto"/>
          <w:kern w:val="0"/>
          <w:sz w:val="24"/>
          <w:szCs w:val="24"/>
          <w:highlight w:val="none"/>
        </w:rPr>
        <w:t>。</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（8）对于各类专项技术的设计，乙方须按照甲方建设需求和专项单位最终确定的研究成果、相关技术指标和标准，开展设计工作。</w:t>
      </w:r>
    </w:p>
    <w:p>
      <w:pPr>
        <w:adjustRightInd w:val="0"/>
        <w:snapToGrid w:val="0"/>
        <w:spacing w:line="360" w:lineRule="auto"/>
        <w:outlineLvl w:val="3"/>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 xml:space="preserve">  </w:t>
      </w:r>
      <w:r>
        <w:rPr>
          <w:rFonts w:ascii="宋体" w:hAnsi="宋体" w:cs="宋体"/>
          <w:b/>
          <w:color w:val="auto"/>
          <w:kern w:val="0"/>
          <w:sz w:val="24"/>
          <w:szCs w:val="24"/>
          <w:highlight w:val="none"/>
        </w:rPr>
        <w:t xml:space="preserve">  </w:t>
      </w:r>
      <w:r>
        <w:rPr>
          <w:rFonts w:hint="eastAsia" w:ascii="宋体" w:hAnsi="宋体" w:cs="宋体"/>
          <w:b/>
          <w:color w:val="auto"/>
          <w:kern w:val="0"/>
          <w:sz w:val="24"/>
          <w:szCs w:val="24"/>
          <w:highlight w:val="none"/>
        </w:rPr>
        <w:t xml:space="preserve"> 6.6施工图设计阶段的主要工作及要求</w:t>
      </w:r>
    </w:p>
    <w:p>
      <w:pPr>
        <w:adjustRightInd w:val="0"/>
        <w:snapToGrid w:val="0"/>
        <w:spacing w:line="360" w:lineRule="auto"/>
        <w:ind w:firstLine="602" w:firstLineChars="250"/>
        <w:outlineLvl w:val="4"/>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6.6.1</w:t>
      </w:r>
      <w:r>
        <w:rPr>
          <w:rFonts w:hint="eastAsia" w:ascii="宋体" w:hAnsi="宋体" w:cs="宋体"/>
          <w:color w:val="auto"/>
          <w:kern w:val="0"/>
          <w:sz w:val="24"/>
          <w:szCs w:val="24"/>
          <w:highlight w:val="none"/>
        </w:rPr>
        <w:t>施工图设计阶段的主要工作</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（1）将施工图设计阶段的成果文件送施工图审查单位及甲方审查，并根据审查意见修改相关设计成果文件。</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（2）按照规划主管部门的报建要求，提供建筑施工报建所需相关设计成果文件并根据相关的审批意见对设计成果文件进行相应修改。相关设计成果文件包括但不限于以下内容： </w:t>
      </w:r>
    </w:p>
    <w:p>
      <w:pPr>
        <w:adjustRightInd w:val="0"/>
        <w:snapToGrid w:val="0"/>
        <w:spacing w:line="360" w:lineRule="auto"/>
        <w:ind w:firstLine="600" w:firstLineChars="25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1）总平面图（比例按报建要求，包括各项技术经济指标）；</w:t>
      </w:r>
    </w:p>
    <w:p>
      <w:pPr>
        <w:adjustRightInd w:val="0"/>
        <w:snapToGrid w:val="0"/>
        <w:spacing w:line="360" w:lineRule="auto"/>
        <w:ind w:firstLine="720" w:firstLineChars="3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2）建筑构造和主要建筑材料说明；</w:t>
      </w:r>
    </w:p>
    <w:p>
      <w:pPr>
        <w:adjustRightInd w:val="0"/>
        <w:snapToGrid w:val="0"/>
        <w:spacing w:line="360" w:lineRule="auto"/>
        <w:ind w:firstLine="720" w:firstLineChars="3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3）建筑平、立、剖面图；</w:t>
      </w:r>
    </w:p>
    <w:p>
      <w:pPr>
        <w:adjustRightInd w:val="0"/>
        <w:snapToGrid w:val="0"/>
        <w:spacing w:line="360" w:lineRule="auto"/>
        <w:ind w:firstLine="720" w:firstLineChars="3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4）建筑综合管线图；</w:t>
      </w:r>
    </w:p>
    <w:p>
      <w:pPr>
        <w:adjustRightInd w:val="0"/>
        <w:snapToGrid w:val="0"/>
        <w:spacing w:line="360" w:lineRule="auto"/>
        <w:ind w:firstLine="600" w:firstLineChars="250"/>
        <w:rPr>
          <w:rFonts w:ascii="宋体" w:hAnsi="宋体" w:cs="宋体"/>
          <w:color w:val="auto"/>
          <w:kern w:val="0"/>
          <w:sz w:val="24"/>
          <w:szCs w:val="24"/>
          <w:highlight w:val="none"/>
        </w:rPr>
      </w:pPr>
      <w:r>
        <w:rPr>
          <w:rFonts w:hint="eastAsia" w:ascii="宋体" w:hAnsi="宋体" w:cs="宋体"/>
          <w:color w:val="auto"/>
          <w:kern w:val="0"/>
          <w:sz w:val="24"/>
          <w:szCs w:val="24"/>
          <w:highlight w:val="none"/>
        </w:rPr>
        <w:t>5）规划主管部门要求的其他报建设计文件。</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乙方应按报建要求向甲方提交建筑施工报建所需相关设计成果文件，含文件、图纸、电子文档光盘（具体数量以报建要求为准）；成果文件加盖设计单位出图章、注册建筑师章。</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sz w:val="24"/>
          <w:szCs w:val="24"/>
          <w:highlight w:val="none"/>
        </w:rPr>
        <w:t>对各专项设计施工图的技术接口进行审核并进行设计联络及完善；</w:t>
      </w:r>
      <w:r>
        <w:rPr>
          <w:rFonts w:hint="eastAsia" w:ascii="宋体" w:hAnsi="宋体" w:cs="宋体"/>
          <w:color w:val="auto"/>
          <w:kern w:val="0"/>
          <w:sz w:val="24"/>
          <w:szCs w:val="24"/>
          <w:highlight w:val="none"/>
        </w:rPr>
        <w:t>对本合同范围内的所有的施工图设计成果文件（包括甲方另行发包的专项设计的成果及乙方自行分包的设计成果文件）进行总体设计协调，提交本合同范围内的全部施工图，包括但不限于如下设计成果文件：</w:t>
      </w:r>
    </w:p>
    <w:p>
      <w:pPr>
        <w:adjustRightInd w:val="0"/>
        <w:snapToGrid w:val="0"/>
        <w:spacing w:line="360" w:lineRule="auto"/>
        <w:ind w:firstLine="720" w:firstLineChars="3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1）总平面图；</w:t>
      </w:r>
    </w:p>
    <w:p>
      <w:pPr>
        <w:adjustRightInd w:val="0"/>
        <w:snapToGrid w:val="0"/>
        <w:spacing w:line="360" w:lineRule="auto"/>
        <w:ind w:firstLine="720" w:firstLineChars="3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2）合同要求所涉及的所有专业（包括道路、隧道、建筑、结构、给排水、电气、空调、园林景观等专业及各专项设计）的设计图纸及设计说明、计算书；</w:t>
      </w:r>
    </w:p>
    <w:p>
      <w:pPr>
        <w:adjustRightInd w:val="0"/>
        <w:snapToGrid w:val="0"/>
        <w:spacing w:line="360" w:lineRule="auto"/>
        <w:ind w:firstLine="720" w:firstLineChars="3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3）设备材料表以及满足招投标要求的技术规格书；</w:t>
      </w:r>
    </w:p>
    <w:p>
      <w:pPr>
        <w:adjustRightInd w:val="0"/>
        <w:snapToGrid w:val="0"/>
        <w:spacing w:line="360" w:lineRule="auto"/>
        <w:ind w:firstLine="720" w:firstLineChars="3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4）管线综合图（室外管线迁移图）；</w:t>
      </w:r>
    </w:p>
    <w:p>
      <w:pPr>
        <w:adjustRightInd w:val="0"/>
        <w:snapToGrid w:val="0"/>
        <w:spacing w:line="360" w:lineRule="auto"/>
        <w:ind w:firstLine="720" w:firstLineChars="3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5）苗木迁移方案（图）（如有）；</w:t>
      </w:r>
    </w:p>
    <w:p>
      <w:pPr>
        <w:adjustRightInd w:val="0"/>
        <w:snapToGrid w:val="0"/>
        <w:spacing w:line="360" w:lineRule="auto"/>
        <w:ind w:firstLine="120" w:firstLineChars="50"/>
        <w:rPr>
          <w:rFonts w:ascii="宋体" w:hAnsi="宋体" w:cs="宋体"/>
          <w:color w:val="auto"/>
          <w:kern w:val="0"/>
          <w:sz w:val="24"/>
          <w:szCs w:val="24"/>
          <w:highlight w:val="none"/>
        </w:rPr>
      </w:pPr>
      <w:r>
        <w:rPr>
          <w:rFonts w:hint="eastAsia" w:ascii="宋体" w:cs="宋体"/>
          <w:color w:val="auto"/>
          <w:kern w:val="0"/>
          <w:sz w:val="24"/>
          <w:szCs w:val="24"/>
          <w:highlight w:val="none"/>
        </w:rPr>
        <w:t>√</w:t>
      </w:r>
      <w:r>
        <w:rPr>
          <w:rFonts w:hint="eastAsia" w:ascii="宋体" w:hAnsi="宋体" w:cs="宋体"/>
          <w:color w:val="auto"/>
          <w:kern w:val="0"/>
          <w:sz w:val="24"/>
          <w:szCs w:val="24"/>
          <w:highlight w:val="none"/>
        </w:rPr>
        <w:t xml:space="preserve"> 6）</w:t>
      </w:r>
      <w:r>
        <w:rPr>
          <w:rFonts w:hint="default" w:ascii="宋体" w:hAnsi="宋体" w:cs="宋体"/>
          <w:color w:val="auto"/>
          <w:kern w:val="0"/>
          <w:sz w:val="24"/>
          <w:szCs w:val="24"/>
          <w:highlight w:val="none"/>
        </w:rPr>
        <w:t>造价预算</w:t>
      </w:r>
      <w:r>
        <w:rPr>
          <w:rFonts w:hint="eastAsia" w:ascii="宋体" w:hAnsi="宋体" w:cs="宋体"/>
          <w:color w:val="auto"/>
          <w:kern w:val="0"/>
          <w:sz w:val="24"/>
          <w:szCs w:val="24"/>
          <w:highlight w:val="none"/>
        </w:rPr>
        <w:t>（包括配合施工招标工作）（甲方另行发包的专项设计由专项设计单位提供相应的预算文件，由乙方负责汇总）。</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乙方应按本合同条款第9.1款约定向甲方提交施工图设计成果文件（含图纸及相关文本文件）；成果文件加盖设计单位出图章、注册建筑师章。</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（4）在项目全部设计变更完成后，核实工程实施过程中发生的所有设计变更，并将全部设计变更内容综合汇总并将其反映在设计图纸上而形成完整版施工图，并按如下要求在</w:t>
      </w:r>
      <w:r>
        <w:rPr>
          <w:rFonts w:hint="eastAsia" w:ascii="宋体" w:hAnsi="宋体" w:cs="宋体"/>
          <w:b/>
          <w:color w:val="auto"/>
          <w:kern w:val="0"/>
          <w:sz w:val="24"/>
          <w:szCs w:val="24"/>
          <w:highlight w:val="none"/>
        </w:rPr>
        <w:t>竣工验收前</w:t>
      </w:r>
      <w:r>
        <w:rPr>
          <w:rFonts w:hint="eastAsia" w:ascii="宋体" w:hAnsi="宋体" w:cs="宋体"/>
          <w:color w:val="auto"/>
          <w:kern w:val="0"/>
          <w:sz w:val="24"/>
          <w:szCs w:val="24"/>
          <w:highlight w:val="none"/>
        </w:rPr>
        <w:t>向甲方提供完整版施工图：</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乙方应按本合同条款第9.1款约定向甲方提交施工图设计成果文件（含图纸及相关文本文件）；成果文件加盖设计单位出图章、注册建筑师章。</w:t>
      </w:r>
    </w:p>
    <w:p>
      <w:pPr>
        <w:adjustRightInd w:val="0"/>
        <w:snapToGrid w:val="0"/>
        <w:spacing w:line="360" w:lineRule="auto"/>
        <w:ind w:firstLine="602" w:firstLineChars="250"/>
        <w:outlineLvl w:val="4"/>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6.6.2</w:t>
      </w:r>
      <w:r>
        <w:rPr>
          <w:rFonts w:hint="eastAsia" w:ascii="宋体" w:hAnsi="宋体" w:cs="宋体"/>
          <w:color w:val="auto"/>
          <w:kern w:val="0"/>
          <w:sz w:val="24"/>
          <w:szCs w:val="24"/>
          <w:highlight w:val="none"/>
        </w:rPr>
        <w:t>施工图设计阶段的工作要求</w:t>
      </w:r>
    </w:p>
    <w:p>
      <w:pPr>
        <w:adjustRightInd w:val="0"/>
        <w:snapToGrid w:val="0"/>
        <w:spacing w:line="360" w:lineRule="auto"/>
        <w:ind w:firstLine="600" w:firstLineChars="250"/>
        <w:outlineLvl w:val="4"/>
        <w:rPr>
          <w:rFonts w:ascii="宋体" w:hAnsi="宋体" w:cs="宋体"/>
          <w:color w:val="auto"/>
          <w:kern w:val="0"/>
          <w:sz w:val="24"/>
          <w:szCs w:val="24"/>
          <w:highlight w:val="none"/>
        </w:rPr>
      </w:pPr>
      <w:r>
        <w:rPr>
          <w:rFonts w:hint="eastAsia" w:ascii="宋体" w:hAnsi="宋体" w:cs="宋体"/>
          <w:color w:val="auto"/>
          <w:kern w:val="0"/>
          <w:sz w:val="24"/>
          <w:szCs w:val="24"/>
          <w:highlight w:val="none"/>
        </w:rPr>
        <w:t>（1）施工图设计文件均以各工程子项为编制单位。</w:t>
      </w:r>
    </w:p>
    <w:p>
      <w:pPr>
        <w:adjustRightInd w:val="0"/>
        <w:snapToGrid w:val="0"/>
        <w:spacing w:line="360" w:lineRule="auto"/>
        <w:ind w:firstLine="600" w:firstLineChars="250"/>
        <w:outlineLvl w:val="4"/>
        <w:rPr>
          <w:rFonts w:ascii="宋体" w:hAnsi="宋体" w:cs="宋体"/>
          <w:color w:val="auto"/>
          <w:kern w:val="0"/>
          <w:sz w:val="24"/>
          <w:szCs w:val="24"/>
          <w:highlight w:val="none"/>
        </w:rPr>
      </w:pPr>
      <w:r>
        <w:rPr>
          <w:rFonts w:hint="eastAsia" w:ascii="宋体" w:hAnsi="宋体" w:cs="宋体"/>
          <w:color w:val="auto"/>
          <w:kern w:val="0"/>
          <w:sz w:val="24"/>
          <w:szCs w:val="24"/>
          <w:highlight w:val="none"/>
        </w:rPr>
        <w:t>（2）施工图设计文件的深度要满足以下要求：</w:t>
      </w:r>
    </w:p>
    <w:p>
      <w:pPr>
        <w:adjustRightInd w:val="0"/>
        <w:snapToGrid w:val="0"/>
        <w:spacing w:line="360" w:lineRule="auto"/>
        <w:ind w:firstLine="720" w:firstLineChars="3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1)应根据政府有关主管部门批准的初步设计进行编制；</w:t>
      </w:r>
    </w:p>
    <w:p>
      <w:pPr>
        <w:adjustRightInd w:val="0"/>
        <w:snapToGrid w:val="0"/>
        <w:spacing w:line="360" w:lineRule="auto"/>
        <w:ind w:firstLine="720" w:firstLineChars="3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2)满足住建部批准的现行有效《建筑工程设计文件编制深度规定》、《市政公用工程设计文件编制深度规定》施工图设计阶段的要求；</w:t>
      </w:r>
    </w:p>
    <w:p>
      <w:pPr>
        <w:adjustRightInd w:val="0"/>
        <w:snapToGrid w:val="0"/>
        <w:spacing w:line="360" w:lineRule="auto"/>
        <w:ind w:firstLine="720" w:firstLineChars="3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3）能据以编制</w:t>
      </w:r>
      <w:r>
        <w:rPr>
          <w:rFonts w:hint="default" w:ascii="宋体" w:hAnsi="宋体" w:cs="宋体"/>
          <w:color w:val="auto"/>
          <w:kern w:val="0"/>
          <w:sz w:val="24"/>
          <w:szCs w:val="24"/>
          <w:highlight w:val="none"/>
        </w:rPr>
        <w:t>造价预算</w:t>
      </w:r>
      <w:r>
        <w:rPr>
          <w:rFonts w:hint="eastAsia" w:ascii="宋体" w:hAnsi="宋体" w:cs="宋体"/>
          <w:color w:val="auto"/>
          <w:kern w:val="0"/>
          <w:sz w:val="24"/>
          <w:szCs w:val="24"/>
          <w:highlight w:val="none"/>
        </w:rPr>
        <w:t>和招标最高投标限价及招标工程量清单；</w:t>
      </w:r>
    </w:p>
    <w:p>
      <w:pPr>
        <w:adjustRightInd w:val="0"/>
        <w:snapToGrid w:val="0"/>
        <w:spacing w:line="360" w:lineRule="auto"/>
        <w:ind w:firstLine="720" w:firstLineChars="3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4）能据以编制招标文件；</w:t>
      </w:r>
    </w:p>
    <w:p>
      <w:pPr>
        <w:adjustRightInd w:val="0"/>
        <w:snapToGrid w:val="0"/>
        <w:spacing w:line="360" w:lineRule="auto"/>
        <w:ind w:firstLine="720" w:firstLineChars="3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5）能据以安排材料、设备订货和非标准设备的制作；</w:t>
      </w:r>
    </w:p>
    <w:p>
      <w:pPr>
        <w:adjustRightInd w:val="0"/>
        <w:snapToGrid w:val="0"/>
        <w:spacing w:line="360" w:lineRule="auto"/>
        <w:ind w:firstLine="720" w:firstLineChars="3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6）能据以进行施工和安装；</w:t>
      </w:r>
    </w:p>
    <w:p>
      <w:pPr>
        <w:adjustRightInd w:val="0"/>
        <w:snapToGrid w:val="0"/>
        <w:spacing w:line="360" w:lineRule="auto"/>
        <w:ind w:firstLine="720" w:firstLineChars="3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7）能据以进行工程竣工验收。</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（3）乙方提交给甲方的施工图设计成果文件应不存在错、漏、碰等问题。</w:t>
      </w:r>
    </w:p>
    <w:p>
      <w:pPr>
        <w:adjustRightInd w:val="0"/>
        <w:snapToGrid w:val="0"/>
        <w:spacing w:line="360" w:lineRule="auto"/>
        <w:ind w:right="11" w:firstLine="240" w:firstLineChars="100"/>
        <w:rPr>
          <w:rFonts w:ascii="宋体" w:hAnsi="宋体" w:cs="宋体"/>
          <w:color w:val="auto"/>
          <w:kern w:val="0"/>
          <w:sz w:val="24"/>
          <w:szCs w:val="24"/>
          <w:highlight w:val="none"/>
        </w:rPr>
      </w:pPr>
      <w:r>
        <w:rPr>
          <w:rFonts w:hint="eastAsia" w:ascii="宋体" w:cs="宋体"/>
          <w:color w:val="auto"/>
          <w:kern w:val="0"/>
          <w:sz w:val="24"/>
          <w:szCs w:val="24"/>
          <w:highlight w:val="none"/>
        </w:rPr>
        <w:t>√</w:t>
      </w:r>
      <w:r>
        <w:rPr>
          <w:rFonts w:hint="eastAsia" w:ascii="宋体" w:hAnsi="宋体" w:cs="宋体"/>
          <w:color w:val="auto"/>
          <w:kern w:val="0"/>
          <w:sz w:val="24"/>
          <w:szCs w:val="24"/>
          <w:highlight w:val="none"/>
        </w:rPr>
        <w:t>（4）乙方按本合同协议书相关约定选定</w:t>
      </w:r>
      <w:r>
        <w:rPr>
          <w:rFonts w:hint="default" w:ascii="宋体" w:hAnsi="宋体" w:cs="宋体"/>
          <w:color w:val="auto"/>
          <w:kern w:val="0"/>
          <w:sz w:val="24"/>
          <w:szCs w:val="24"/>
          <w:highlight w:val="none"/>
        </w:rPr>
        <w:t>造价预算</w:t>
      </w:r>
      <w:r>
        <w:rPr>
          <w:rFonts w:hint="eastAsia" w:ascii="宋体" w:hAnsi="宋体" w:cs="宋体"/>
          <w:color w:val="auto"/>
          <w:kern w:val="0"/>
          <w:sz w:val="24"/>
          <w:szCs w:val="24"/>
          <w:highlight w:val="none"/>
        </w:rPr>
        <w:t>编制单位后，须要求</w:t>
      </w:r>
      <w:r>
        <w:rPr>
          <w:rFonts w:hint="default" w:ascii="宋体" w:hAnsi="宋体" w:cs="宋体"/>
          <w:color w:val="auto"/>
          <w:kern w:val="0"/>
          <w:sz w:val="24"/>
          <w:szCs w:val="24"/>
          <w:highlight w:val="none"/>
        </w:rPr>
        <w:t>造价预算</w:t>
      </w:r>
      <w:r>
        <w:rPr>
          <w:rFonts w:hint="eastAsia" w:ascii="宋体" w:hAnsi="宋体" w:cs="宋体"/>
          <w:color w:val="auto"/>
          <w:kern w:val="0"/>
          <w:sz w:val="24"/>
          <w:szCs w:val="24"/>
          <w:highlight w:val="none"/>
        </w:rPr>
        <w:t>编制单位根据甲方关于本项目工程量清单计价的指引文件的相关要求，进行</w:t>
      </w:r>
      <w:r>
        <w:rPr>
          <w:rFonts w:hint="default" w:ascii="宋体" w:hAnsi="宋体" w:cs="宋体"/>
          <w:color w:val="auto"/>
          <w:kern w:val="0"/>
          <w:sz w:val="24"/>
          <w:szCs w:val="24"/>
          <w:highlight w:val="none"/>
        </w:rPr>
        <w:t>造价预算</w:t>
      </w:r>
      <w:r>
        <w:rPr>
          <w:rFonts w:hint="eastAsia" w:ascii="宋体" w:hAnsi="宋体" w:cs="宋体"/>
          <w:color w:val="auto"/>
          <w:kern w:val="0"/>
          <w:sz w:val="24"/>
          <w:szCs w:val="24"/>
          <w:highlight w:val="none"/>
        </w:rPr>
        <w:t>的编制工作（包括配合施工招标工作），</w:t>
      </w:r>
      <w:r>
        <w:rPr>
          <w:rFonts w:hint="default" w:ascii="宋体" w:hAnsi="宋体" w:cs="宋体"/>
          <w:color w:val="auto"/>
          <w:kern w:val="0"/>
          <w:sz w:val="24"/>
          <w:szCs w:val="24"/>
          <w:highlight w:val="none"/>
        </w:rPr>
        <w:t>造价预算</w:t>
      </w:r>
      <w:r>
        <w:rPr>
          <w:rFonts w:hint="eastAsia" w:ascii="宋体" w:hAnsi="宋体" w:cs="宋体"/>
          <w:color w:val="auto"/>
          <w:kern w:val="0"/>
          <w:sz w:val="24"/>
          <w:szCs w:val="24"/>
          <w:highlight w:val="none"/>
        </w:rPr>
        <w:t>中的开项必须齐全完整，须满足工程投资控制的要求和甲方工程信息管理的相关要求。</w:t>
      </w:r>
      <w:r>
        <w:rPr>
          <w:rFonts w:hint="default" w:ascii="宋体" w:hAnsi="宋体" w:cs="宋体"/>
          <w:color w:val="auto"/>
          <w:kern w:val="0"/>
          <w:sz w:val="24"/>
          <w:szCs w:val="24"/>
          <w:highlight w:val="none"/>
        </w:rPr>
        <w:t>造价预算</w:t>
      </w:r>
      <w:r>
        <w:rPr>
          <w:rFonts w:hint="eastAsia" w:ascii="宋体" w:hAnsi="宋体" w:cs="宋体"/>
          <w:color w:val="auto"/>
          <w:kern w:val="0"/>
          <w:sz w:val="24"/>
          <w:szCs w:val="24"/>
          <w:highlight w:val="none"/>
        </w:rPr>
        <w:t>编制单位就其完成的工作和乙方对甲方承担连带责任。为确保概预算工作的连续性和一致性，</w:t>
      </w:r>
      <w:r>
        <w:rPr>
          <w:rFonts w:hint="default" w:ascii="宋体" w:hAnsi="宋体" w:cs="宋体"/>
          <w:color w:val="auto"/>
          <w:kern w:val="0"/>
          <w:sz w:val="24"/>
          <w:szCs w:val="24"/>
          <w:highlight w:val="none"/>
        </w:rPr>
        <w:t>造价预算</w:t>
      </w:r>
      <w:r>
        <w:rPr>
          <w:rFonts w:hint="eastAsia" w:ascii="宋体" w:hAnsi="宋体" w:cs="宋体"/>
          <w:color w:val="auto"/>
          <w:kern w:val="0"/>
          <w:sz w:val="24"/>
          <w:szCs w:val="24"/>
          <w:highlight w:val="none"/>
        </w:rPr>
        <w:t>编制单位需同时承担设计概算审核工作。</w:t>
      </w:r>
    </w:p>
    <w:p>
      <w:pPr>
        <w:adjustRightInd w:val="0"/>
        <w:snapToGrid w:val="0"/>
        <w:spacing w:line="360" w:lineRule="auto"/>
        <w:ind w:right="11" w:firstLine="600" w:firstLineChars="250"/>
        <w:rPr>
          <w:rFonts w:ascii="宋体" w:hAnsi="宋体" w:cs="宋体"/>
          <w:color w:val="auto"/>
          <w:kern w:val="0"/>
          <w:sz w:val="24"/>
          <w:szCs w:val="24"/>
          <w:highlight w:val="none"/>
        </w:rPr>
      </w:pPr>
      <w:r>
        <w:rPr>
          <w:rFonts w:hint="default" w:ascii="宋体" w:hAnsi="宋体" w:cs="宋体"/>
          <w:color w:val="auto"/>
          <w:kern w:val="0"/>
          <w:sz w:val="24"/>
          <w:szCs w:val="24"/>
          <w:highlight w:val="none"/>
        </w:rPr>
        <w:t>造价预算</w:t>
      </w:r>
      <w:r>
        <w:rPr>
          <w:rFonts w:hint="eastAsia" w:ascii="宋体" w:hAnsi="宋体" w:cs="宋体"/>
          <w:color w:val="auto"/>
          <w:kern w:val="0"/>
          <w:sz w:val="24"/>
          <w:szCs w:val="24"/>
          <w:highlight w:val="none"/>
        </w:rPr>
        <w:t>编制工作要求：</w:t>
      </w:r>
    </w:p>
    <w:p>
      <w:pPr>
        <w:adjustRightInd w:val="0"/>
        <w:snapToGrid w:val="0"/>
        <w:spacing w:line="360" w:lineRule="auto"/>
        <w:ind w:right="11" w:firstLine="480" w:firstLineChars="200"/>
        <w:rPr>
          <w:rFonts w:ascii="宋体" w:hAnsi="宋体" w:cs="宋体"/>
          <w:bCs/>
          <w:color w:val="auto"/>
          <w:kern w:val="0"/>
          <w:sz w:val="24"/>
          <w:szCs w:val="24"/>
          <w:highlight w:val="none"/>
        </w:rPr>
      </w:pPr>
      <w:r>
        <w:rPr>
          <w:rFonts w:hint="eastAsia" w:ascii="宋体" w:hAnsi="宋体" w:cs="宋体"/>
          <w:color w:val="auto"/>
          <w:kern w:val="0"/>
          <w:sz w:val="24"/>
          <w:szCs w:val="24"/>
          <w:highlight w:val="none"/>
        </w:rPr>
        <w:t>1）乙方</w:t>
      </w:r>
      <w:r>
        <w:rPr>
          <w:rFonts w:hint="eastAsia" w:ascii="宋体" w:hAnsi="宋体" w:cs="宋体"/>
          <w:bCs/>
          <w:color w:val="auto"/>
          <w:kern w:val="0"/>
          <w:sz w:val="24"/>
          <w:szCs w:val="24"/>
          <w:highlight w:val="none"/>
        </w:rPr>
        <w:t>在提交本工程施工图设计文件时需同时提交对应的</w:t>
      </w:r>
      <w:r>
        <w:rPr>
          <w:rFonts w:hint="default" w:ascii="宋体" w:hAnsi="宋体" w:cs="宋体"/>
          <w:b/>
          <w:color w:val="auto"/>
          <w:kern w:val="0"/>
          <w:sz w:val="24"/>
          <w:szCs w:val="24"/>
          <w:highlight w:val="none"/>
        </w:rPr>
        <w:t>造价预算</w:t>
      </w:r>
      <w:r>
        <w:rPr>
          <w:rFonts w:hint="eastAsia" w:ascii="宋体" w:hAnsi="宋体" w:cs="宋体"/>
          <w:b/>
          <w:color w:val="auto"/>
          <w:kern w:val="0"/>
          <w:sz w:val="24"/>
          <w:szCs w:val="24"/>
          <w:highlight w:val="none"/>
        </w:rPr>
        <w:t>文件</w:t>
      </w:r>
      <w:r>
        <w:rPr>
          <w:rFonts w:hint="eastAsia" w:ascii="宋体" w:hAnsi="宋体" w:cs="宋体"/>
          <w:bCs/>
          <w:color w:val="auto"/>
          <w:kern w:val="0"/>
          <w:sz w:val="24"/>
          <w:szCs w:val="24"/>
          <w:highlight w:val="none"/>
        </w:rPr>
        <w:t>，并</w:t>
      </w:r>
      <w:r>
        <w:rPr>
          <w:rFonts w:hint="eastAsia" w:ascii="宋体" w:hAnsi="宋体" w:cs="宋体"/>
          <w:color w:val="auto"/>
          <w:kern w:val="0"/>
          <w:sz w:val="24"/>
          <w:szCs w:val="24"/>
          <w:highlight w:val="none"/>
        </w:rPr>
        <w:t>应确保本工程</w:t>
      </w:r>
      <w:r>
        <w:rPr>
          <w:rFonts w:hint="default" w:ascii="宋体" w:hAnsi="宋体" w:cs="宋体"/>
          <w:color w:val="auto"/>
          <w:kern w:val="0"/>
          <w:sz w:val="24"/>
          <w:szCs w:val="24"/>
          <w:highlight w:val="none"/>
        </w:rPr>
        <w:t>造价预算</w:t>
      </w:r>
      <w:r>
        <w:rPr>
          <w:rFonts w:hint="eastAsia" w:ascii="宋体" w:hAnsi="宋体" w:cs="宋体"/>
          <w:color w:val="auto"/>
          <w:kern w:val="0"/>
          <w:sz w:val="24"/>
          <w:szCs w:val="24"/>
          <w:highlight w:val="none"/>
        </w:rPr>
        <w:t>编制工作质量，开项齐全、工程量准确、造价合理，并满足工程投资控制的要求。如乙方不具备相应的工程造价咨询资质及编制能力，或乙方</w:t>
      </w:r>
      <w:r>
        <w:rPr>
          <w:rFonts w:hint="eastAsia" w:ascii="宋体" w:hAnsi="宋体" w:cs="宋体"/>
          <w:bCs/>
          <w:color w:val="auto"/>
          <w:kern w:val="0"/>
          <w:sz w:val="24"/>
          <w:szCs w:val="24"/>
          <w:highlight w:val="none"/>
        </w:rPr>
        <w:t>提供的</w:t>
      </w:r>
      <w:r>
        <w:rPr>
          <w:rFonts w:hint="default" w:ascii="宋体" w:hAnsi="宋体" w:cs="宋体"/>
          <w:bCs/>
          <w:color w:val="auto"/>
          <w:kern w:val="0"/>
          <w:sz w:val="24"/>
          <w:szCs w:val="24"/>
          <w:highlight w:val="none"/>
        </w:rPr>
        <w:t>造价预算</w:t>
      </w:r>
      <w:r>
        <w:rPr>
          <w:rFonts w:hint="eastAsia" w:ascii="宋体" w:hAnsi="宋体" w:cs="宋体"/>
          <w:bCs/>
          <w:color w:val="auto"/>
          <w:kern w:val="0"/>
          <w:sz w:val="24"/>
          <w:szCs w:val="24"/>
          <w:highlight w:val="none"/>
        </w:rPr>
        <w:t>编制成果达不到合同约定质量要求的</w:t>
      </w:r>
      <w:r>
        <w:rPr>
          <w:rFonts w:hint="eastAsia" w:ascii="宋体" w:hAnsi="宋体" w:cs="宋体"/>
          <w:color w:val="auto"/>
          <w:kern w:val="0"/>
          <w:sz w:val="24"/>
          <w:szCs w:val="24"/>
          <w:highlight w:val="none"/>
        </w:rPr>
        <w:t>，乙方应将</w:t>
      </w:r>
      <w:r>
        <w:rPr>
          <w:rFonts w:hint="default" w:ascii="宋体" w:hAnsi="宋体" w:cs="宋体"/>
          <w:color w:val="auto"/>
          <w:kern w:val="0"/>
          <w:sz w:val="24"/>
          <w:szCs w:val="24"/>
          <w:highlight w:val="none"/>
        </w:rPr>
        <w:t>造价预算</w:t>
      </w:r>
      <w:r>
        <w:rPr>
          <w:rFonts w:hint="eastAsia" w:ascii="宋体" w:hAnsi="宋体" w:cs="宋体"/>
          <w:color w:val="auto"/>
          <w:kern w:val="0"/>
          <w:sz w:val="24"/>
          <w:szCs w:val="24"/>
          <w:highlight w:val="none"/>
        </w:rPr>
        <w:t>编制相关工作（包括概算复核、</w:t>
      </w:r>
      <w:r>
        <w:rPr>
          <w:rFonts w:hint="default" w:ascii="宋体" w:hAnsi="宋体" w:cs="宋体"/>
          <w:color w:val="auto"/>
          <w:kern w:val="0"/>
          <w:sz w:val="24"/>
          <w:szCs w:val="24"/>
          <w:highlight w:val="none"/>
        </w:rPr>
        <w:t>造价预算</w:t>
      </w:r>
      <w:r>
        <w:rPr>
          <w:rFonts w:hint="eastAsia" w:ascii="宋体" w:hAnsi="宋体" w:cs="宋体"/>
          <w:color w:val="auto"/>
          <w:kern w:val="0"/>
          <w:sz w:val="24"/>
          <w:szCs w:val="24"/>
          <w:highlight w:val="none"/>
        </w:rPr>
        <w:t>编制、</w:t>
      </w:r>
      <w:r>
        <w:rPr>
          <w:rFonts w:hint="eastAsia" w:ascii="宋体" w:hAnsi="宋体" w:cs="宋体"/>
          <w:bCs/>
          <w:color w:val="auto"/>
          <w:kern w:val="0"/>
          <w:sz w:val="24"/>
          <w:szCs w:val="24"/>
          <w:highlight w:val="none"/>
        </w:rPr>
        <w:t>施工招标控制价</w:t>
      </w:r>
      <w:r>
        <w:rPr>
          <w:rFonts w:hint="eastAsia" w:ascii="宋体" w:hAnsi="宋体" w:cs="宋体"/>
          <w:color w:val="auto"/>
          <w:kern w:val="0"/>
          <w:sz w:val="24"/>
          <w:szCs w:val="24"/>
          <w:highlight w:val="none"/>
        </w:rPr>
        <w:t>以及施工招标配合、设计变更预算编制等）委托给专业造价咨询单位实施。乙方所委托的</w:t>
      </w:r>
      <w:r>
        <w:rPr>
          <w:rFonts w:hint="default" w:ascii="宋体" w:hAnsi="宋体" w:cs="宋体"/>
          <w:color w:val="auto"/>
          <w:kern w:val="0"/>
          <w:sz w:val="24"/>
          <w:szCs w:val="24"/>
          <w:highlight w:val="none"/>
        </w:rPr>
        <w:t>造价预算</w:t>
      </w:r>
      <w:r>
        <w:rPr>
          <w:rFonts w:hint="eastAsia" w:ascii="宋体" w:hAnsi="宋体" w:cs="宋体"/>
          <w:color w:val="auto"/>
          <w:kern w:val="0"/>
          <w:sz w:val="24"/>
          <w:szCs w:val="24"/>
          <w:highlight w:val="none"/>
        </w:rPr>
        <w:t>编制单位应经甲方审核确认。乙方和</w:t>
      </w:r>
      <w:r>
        <w:rPr>
          <w:rFonts w:hint="default" w:ascii="宋体" w:hAnsi="宋体" w:cs="宋体"/>
          <w:color w:val="auto"/>
          <w:kern w:val="0"/>
          <w:sz w:val="24"/>
          <w:szCs w:val="24"/>
          <w:highlight w:val="none"/>
        </w:rPr>
        <w:t>造价预算</w:t>
      </w:r>
      <w:r>
        <w:rPr>
          <w:rFonts w:hint="eastAsia" w:ascii="宋体" w:hAnsi="宋体" w:cs="宋体"/>
          <w:color w:val="auto"/>
          <w:kern w:val="0"/>
          <w:sz w:val="24"/>
          <w:szCs w:val="24"/>
          <w:highlight w:val="none"/>
        </w:rPr>
        <w:t>编制单位就本项目的</w:t>
      </w:r>
      <w:r>
        <w:rPr>
          <w:rFonts w:hint="default" w:ascii="宋体" w:hAnsi="宋体" w:cs="宋体"/>
          <w:color w:val="auto"/>
          <w:kern w:val="0"/>
          <w:sz w:val="24"/>
          <w:szCs w:val="24"/>
          <w:highlight w:val="none"/>
        </w:rPr>
        <w:t>造价预算</w:t>
      </w:r>
      <w:r>
        <w:rPr>
          <w:rFonts w:hint="eastAsia" w:ascii="宋体" w:hAnsi="宋体" w:cs="宋体"/>
          <w:color w:val="auto"/>
          <w:kern w:val="0"/>
          <w:sz w:val="24"/>
          <w:szCs w:val="24"/>
          <w:highlight w:val="none"/>
        </w:rPr>
        <w:t>编制（含施工招标配合工作）工作对甲方承担连带责任。</w:t>
      </w:r>
      <w:r>
        <w:rPr>
          <w:rFonts w:hint="eastAsia" w:ascii="宋体" w:hAnsi="宋体" w:cs="宋体"/>
          <w:bCs/>
          <w:color w:val="auto"/>
          <w:kern w:val="0"/>
          <w:sz w:val="24"/>
          <w:szCs w:val="24"/>
          <w:highlight w:val="none"/>
        </w:rPr>
        <w:t>如果乙方的</w:t>
      </w:r>
      <w:r>
        <w:rPr>
          <w:rFonts w:hint="default" w:ascii="宋体" w:hAnsi="宋体" w:cs="宋体"/>
          <w:bCs/>
          <w:color w:val="auto"/>
          <w:kern w:val="0"/>
          <w:sz w:val="24"/>
          <w:szCs w:val="24"/>
          <w:highlight w:val="none"/>
        </w:rPr>
        <w:t>造价预算</w:t>
      </w:r>
      <w:r>
        <w:rPr>
          <w:rFonts w:hint="eastAsia" w:ascii="宋体" w:hAnsi="宋体" w:cs="宋体"/>
          <w:bCs/>
          <w:color w:val="auto"/>
          <w:kern w:val="0"/>
          <w:sz w:val="24"/>
          <w:szCs w:val="24"/>
          <w:highlight w:val="none"/>
        </w:rPr>
        <w:t>编制工作质量和进度不能满足本合同约定或甲方要求，则甲方有权另行委托专业造价咨询单位实施</w:t>
      </w:r>
      <w:r>
        <w:rPr>
          <w:rFonts w:hint="default" w:ascii="宋体" w:hAnsi="宋体" w:cs="宋体"/>
          <w:bCs/>
          <w:color w:val="auto"/>
          <w:kern w:val="0"/>
          <w:sz w:val="24"/>
          <w:szCs w:val="24"/>
          <w:highlight w:val="none"/>
        </w:rPr>
        <w:t>造价预算</w:t>
      </w:r>
      <w:r>
        <w:rPr>
          <w:rFonts w:hint="eastAsia" w:ascii="宋体" w:hAnsi="宋体" w:cs="宋体"/>
          <w:bCs/>
          <w:color w:val="auto"/>
          <w:kern w:val="0"/>
          <w:sz w:val="24"/>
          <w:szCs w:val="24"/>
          <w:highlight w:val="none"/>
        </w:rPr>
        <w:t>编制工作，届时，甲方将相应扣减本合同约定的</w:t>
      </w:r>
      <w:r>
        <w:rPr>
          <w:rFonts w:hint="default" w:ascii="宋体" w:hAnsi="宋体" w:cs="宋体"/>
          <w:bCs/>
          <w:color w:val="auto"/>
          <w:kern w:val="0"/>
          <w:sz w:val="24"/>
          <w:szCs w:val="24"/>
          <w:highlight w:val="none"/>
        </w:rPr>
        <w:t>造价预算</w:t>
      </w:r>
      <w:r>
        <w:rPr>
          <w:rFonts w:hint="eastAsia" w:ascii="宋体" w:hAnsi="宋体" w:cs="宋体"/>
          <w:bCs/>
          <w:color w:val="auto"/>
          <w:kern w:val="0"/>
          <w:sz w:val="24"/>
          <w:szCs w:val="24"/>
          <w:highlight w:val="none"/>
        </w:rPr>
        <w:t>编制费并将该项费用支付给该专业造价咨询单位。</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2）乙方应按《建设工程工程量清单计价规范（GB 50500-2013）》编制预算文件（如实施新规范应按最新要求编制）。措施项目清单必须结合项目的实际情况编制。</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3）乙方提供的</w:t>
      </w:r>
      <w:r>
        <w:rPr>
          <w:rFonts w:hint="default" w:ascii="宋体" w:hAnsi="宋体" w:cs="宋体"/>
          <w:color w:val="auto"/>
          <w:kern w:val="0"/>
          <w:sz w:val="24"/>
          <w:szCs w:val="24"/>
          <w:highlight w:val="none"/>
        </w:rPr>
        <w:t>造价预算</w:t>
      </w:r>
      <w:r>
        <w:rPr>
          <w:rFonts w:hint="eastAsia" w:ascii="宋体" w:hAnsi="宋体" w:cs="宋体"/>
          <w:color w:val="auto"/>
          <w:kern w:val="0"/>
          <w:sz w:val="24"/>
          <w:szCs w:val="24"/>
          <w:highlight w:val="none"/>
        </w:rPr>
        <w:t>文件应包括但并不限于：编制说明、工程量清单（含造价软件版）、工程量计算书、经济指标分析表、主要材料设备定价依据文件（含询价文件等）。其中，若主材价格在广州市建设工程造价管理站发布的《广州地区建设工程常用材料税前综合价格》（以下简称“综合价格”）中有价格的，则按《综合价格》中相应材料综合价格执行；若主材价格在《综合价格》中没有价格的，则在招标当季度广州市建设工程造价管理站发布的《广州地区建设工程材料（设备）厂商价格信息》（以下简称“《厂商价格信息》”）的基础上合理考虑下浮率后确定；若《综合价格》和《厂商价格信息》中均没有价格的，乙方应开展市场询价相关工作，询价单位不得少于3家，并编制询价报告，按合理的市场价格确定。</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4）如</w:t>
      </w:r>
      <w:r>
        <w:rPr>
          <w:rFonts w:hint="eastAsia" w:ascii="宋体" w:hAnsi="宋体" w:cs="宋体"/>
          <w:bCs/>
          <w:color w:val="auto"/>
          <w:kern w:val="0"/>
          <w:sz w:val="24"/>
          <w:szCs w:val="24"/>
          <w:highlight w:val="none"/>
        </w:rPr>
        <w:t>在本工程施工招标阶段</w:t>
      </w:r>
      <w:r>
        <w:rPr>
          <w:rFonts w:hint="eastAsia" w:ascii="宋体" w:hAnsi="宋体" w:cs="宋体"/>
          <w:color w:val="auto"/>
          <w:kern w:val="0"/>
          <w:sz w:val="24"/>
          <w:szCs w:val="24"/>
          <w:highlight w:val="none"/>
        </w:rPr>
        <w:t>发生设计调整，乙方应根据设计调整内容编制预算修改说明，并相应修改预算文件，同时按上述第3）点的要求提供修改后的预算文件。</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5）乙方应配合本项目的施工招标工作。</w:t>
      </w:r>
      <w:r>
        <w:rPr>
          <w:rFonts w:hint="eastAsia" w:ascii="宋体" w:hAnsi="宋体" w:cs="宋体"/>
          <w:bCs/>
          <w:color w:val="auto"/>
          <w:kern w:val="0"/>
          <w:sz w:val="24"/>
          <w:szCs w:val="24"/>
          <w:highlight w:val="none"/>
        </w:rPr>
        <w:t>如在本项目施工招标过程中，甲方对乙方编制的</w:t>
      </w:r>
      <w:r>
        <w:rPr>
          <w:rFonts w:hint="default" w:ascii="宋体" w:hAnsi="宋体" w:cs="宋体"/>
          <w:bCs/>
          <w:color w:val="auto"/>
          <w:kern w:val="0"/>
          <w:sz w:val="24"/>
          <w:szCs w:val="24"/>
          <w:highlight w:val="none"/>
        </w:rPr>
        <w:t>造价预算</w:t>
      </w:r>
      <w:r>
        <w:rPr>
          <w:rFonts w:hint="eastAsia" w:ascii="宋体" w:hAnsi="宋体" w:cs="宋体"/>
          <w:bCs/>
          <w:color w:val="auto"/>
          <w:kern w:val="0"/>
          <w:sz w:val="24"/>
          <w:szCs w:val="24"/>
          <w:highlight w:val="none"/>
        </w:rPr>
        <w:t>有异议的</w:t>
      </w:r>
      <w:r>
        <w:rPr>
          <w:rFonts w:hint="eastAsia" w:ascii="宋体" w:hAnsi="宋体" w:cs="宋体"/>
          <w:color w:val="auto"/>
          <w:kern w:val="0"/>
          <w:sz w:val="24"/>
          <w:szCs w:val="24"/>
          <w:highlight w:val="none"/>
        </w:rPr>
        <w:t>，乙方应无条件配合甲方修改预算清单及价款，并配合解答招标过程中投标单位提出的关于清单及价款方面的疑问或异议。</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6）招标控制价的配合工作包括但不限于在甲方指定地点进行工程量、定额、主材的对数等。</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（5）乙方应重点对设计范围内的给水、排水、电气、采暖通风、空调、动力等管线进行</w:t>
      </w:r>
      <w:r>
        <w:rPr>
          <w:rFonts w:hint="default" w:ascii="宋体" w:hAnsi="宋体" w:cs="宋体"/>
          <w:color w:val="auto"/>
          <w:kern w:val="0"/>
          <w:sz w:val="24"/>
          <w:szCs w:val="24"/>
          <w:highlight w:val="none"/>
        </w:rPr>
        <w:t>各</w:t>
      </w:r>
      <w:r>
        <w:rPr>
          <w:rFonts w:hint="eastAsia" w:ascii="宋体" w:hAnsi="宋体" w:cs="宋体"/>
          <w:color w:val="auto"/>
          <w:kern w:val="0"/>
          <w:sz w:val="24"/>
          <w:szCs w:val="24"/>
          <w:highlight w:val="none"/>
        </w:rPr>
        <w:t>专业综合分析,协调并解决其中矛盾, 并提供相关的成果文件（包括但不限于室内外管线综合平衡图、场外管线综合总图，和相关专业图纸及说明书），同时完成土建、机电设备选型意见、技术要求文件，并为设备材料推荐品牌。</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（6）乙方应确保设计成果的完整性、有效性、正确性、可靠性及经济合理性。</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对于需要进一步深化设计的专业工程，乙方应在施工图初稿审核阶段，列出清单和深化设计具体要求，报甲方审核确认。经甲方审核确认后，乙方须提供施工图及用于指导深化设计的设计文件和资料（明确系统、设备、材料的技术指标及深化设计范围），并对深化设计成果文件进行完整性、有效性、正确性、可靠性及经济合理性审核。具体工作职责包括但不限于如下：</w:t>
      </w:r>
    </w:p>
    <w:p>
      <w:pPr>
        <w:adjustRightInd w:val="0"/>
        <w:snapToGrid w:val="0"/>
        <w:spacing w:line="360" w:lineRule="auto"/>
        <w:ind w:firstLine="720" w:firstLineChars="3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 审核深化设计文件是否符合原设计文件的要求；</w:t>
      </w:r>
    </w:p>
    <w:p>
      <w:pPr>
        <w:adjustRightInd w:val="0"/>
        <w:snapToGrid w:val="0"/>
        <w:spacing w:line="360" w:lineRule="auto"/>
        <w:ind w:firstLine="720" w:firstLineChars="3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 审核是否符合国家的法律法规、国家规范规程、行业标准、地区标准；</w:t>
      </w:r>
    </w:p>
    <w:p>
      <w:pPr>
        <w:adjustRightInd w:val="0"/>
        <w:snapToGrid w:val="0"/>
        <w:spacing w:line="360" w:lineRule="auto"/>
        <w:ind w:firstLine="720" w:firstLineChars="3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 审核是否满足功能要求、使用要求及实施的可行性；</w:t>
      </w:r>
    </w:p>
    <w:p>
      <w:pPr>
        <w:adjustRightInd w:val="0"/>
        <w:snapToGrid w:val="0"/>
        <w:spacing w:line="360" w:lineRule="auto"/>
        <w:ind w:firstLine="720" w:firstLineChars="3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4）审核技术经济性；</w:t>
      </w:r>
    </w:p>
    <w:p>
      <w:pPr>
        <w:adjustRightInd w:val="0"/>
        <w:snapToGrid w:val="0"/>
        <w:spacing w:line="360" w:lineRule="auto"/>
        <w:ind w:firstLine="720" w:firstLineChars="3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 对相关各专业的协调性进行审核；</w:t>
      </w:r>
    </w:p>
    <w:p>
      <w:pPr>
        <w:adjustRightInd w:val="0"/>
        <w:snapToGrid w:val="0"/>
        <w:spacing w:line="360" w:lineRule="auto"/>
        <w:ind w:firstLine="720" w:firstLineChars="3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 复核及审查深化后的结构安全性及稳定性；</w:t>
      </w:r>
    </w:p>
    <w:p>
      <w:pPr>
        <w:adjustRightInd w:val="0"/>
        <w:snapToGrid w:val="0"/>
        <w:spacing w:line="360" w:lineRule="auto"/>
        <w:ind w:firstLine="720" w:firstLineChars="3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 结合施工图审查单位及甲方的审核意见督促专项工程的深化设计单位修改完善相关的深化设计文件；</w:t>
      </w:r>
    </w:p>
    <w:p>
      <w:pPr>
        <w:adjustRightInd w:val="0"/>
        <w:snapToGrid w:val="0"/>
        <w:spacing w:line="360" w:lineRule="auto"/>
        <w:ind w:firstLine="720" w:firstLineChars="3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 乙方须根据最终完善的深化设计文件对其设计范围内的相关专业的设计成果文件的接口、界面进行修改完善，并确保最终通过甲方及施工图审查单位的审核；</w:t>
      </w:r>
    </w:p>
    <w:p>
      <w:pPr>
        <w:adjustRightInd w:val="0"/>
        <w:snapToGrid w:val="0"/>
        <w:spacing w:line="360" w:lineRule="auto"/>
        <w:ind w:firstLine="720" w:firstLineChars="300"/>
        <w:rPr>
          <w:rFonts w:ascii="宋体" w:hAnsi="宋体" w:cs="宋体"/>
          <w:color w:val="auto"/>
          <w:sz w:val="24"/>
          <w:szCs w:val="24"/>
          <w:highlight w:val="none"/>
        </w:rPr>
      </w:pPr>
      <w:r>
        <w:rPr>
          <w:rFonts w:hint="eastAsia" w:ascii="宋体" w:hAnsi="宋体" w:cs="宋体"/>
          <w:color w:val="auto"/>
          <w:kern w:val="0"/>
          <w:sz w:val="24"/>
          <w:szCs w:val="24"/>
          <w:highlight w:val="none"/>
        </w:rPr>
        <w:t xml:space="preserve">9) </w:t>
      </w:r>
      <w:r>
        <w:rPr>
          <w:rFonts w:hint="eastAsia" w:ascii="宋体" w:hAnsi="宋体" w:cs="宋体"/>
          <w:color w:val="auto"/>
          <w:sz w:val="24"/>
          <w:szCs w:val="24"/>
          <w:highlight w:val="none"/>
        </w:rPr>
        <w:t>对各专项设计施工图的技术接口进行审核并进行设计联络及完善，并结合二次装修施工图提供各相关设备专业末端设计施工图；</w:t>
      </w:r>
    </w:p>
    <w:p>
      <w:pPr>
        <w:adjustRightInd w:val="0"/>
        <w:snapToGrid w:val="0"/>
        <w:spacing w:line="360" w:lineRule="auto"/>
        <w:ind w:firstLine="720" w:firstLineChars="300"/>
        <w:rPr>
          <w:rFonts w:ascii="宋体" w:hAnsi="宋体" w:cs="宋体"/>
          <w:color w:val="auto"/>
          <w:sz w:val="24"/>
          <w:szCs w:val="24"/>
          <w:highlight w:val="none"/>
        </w:rPr>
      </w:pPr>
      <w:r>
        <w:rPr>
          <w:rFonts w:hint="eastAsia" w:ascii="宋体" w:hAnsi="宋体" w:cs="宋体"/>
          <w:color w:val="auto"/>
          <w:kern w:val="0"/>
          <w:sz w:val="24"/>
          <w:szCs w:val="24"/>
          <w:highlight w:val="none"/>
        </w:rPr>
        <w:t xml:space="preserve">10) </w:t>
      </w:r>
      <w:r>
        <w:rPr>
          <w:rFonts w:hint="eastAsia" w:ascii="宋体" w:hAnsi="宋体" w:cs="宋体"/>
          <w:color w:val="auto"/>
          <w:sz w:val="24"/>
          <w:szCs w:val="24"/>
          <w:highlight w:val="none"/>
        </w:rPr>
        <w:t>对通过审核的各专项施工工程深化设计图纸进行签章确认。</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（8）乙方应根据本合同工程设计的特点，提供施工安装操作、安全防护的有关要求。</w:t>
      </w:r>
    </w:p>
    <w:p>
      <w:pPr>
        <w:adjustRightInd w:val="0"/>
        <w:snapToGrid w:val="0"/>
        <w:spacing w:line="360" w:lineRule="auto"/>
        <w:ind w:firstLine="482" w:firstLineChars="200"/>
        <w:outlineLvl w:val="3"/>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6.7材料、设备选型的设计配合</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6.7.1</w:t>
      </w:r>
      <w:r>
        <w:rPr>
          <w:rFonts w:hint="eastAsia" w:ascii="宋体" w:hAnsi="宋体" w:cs="宋体"/>
          <w:color w:val="auto"/>
          <w:kern w:val="0"/>
          <w:sz w:val="24"/>
          <w:szCs w:val="24"/>
          <w:highlight w:val="none"/>
        </w:rPr>
        <w:t>设计成果文件中选用的建筑材料、建筑构配件和设备，其质量标准必须符合国家规范、标准要求。</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6.7.2</w:t>
      </w:r>
      <w:r>
        <w:rPr>
          <w:rFonts w:hint="eastAsia" w:ascii="宋体" w:hAnsi="宋体" w:cs="宋体"/>
          <w:color w:val="auto"/>
          <w:kern w:val="0"/>
          <w:sz w:val="24"/>
          <w:szCs w:val="24"/>
          <w:highlight w:val="none"/>
        </w:rPr>
        <w:t>乙方应负责编制设备、材料采购的技术文件，内容包括设备、材料采购清单、技术规格书、必要的附图、技术参数表、推荐档次及品牌建议、采购说明和采购时间表等，并包含施工要求、安装说明，同时并对国内规范以外设计文件所涉及的内容提出验收标准。</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6.7.3</w:t>
      </w:r>
      <w:r>
        <w:rPr>
          <w:rFonts w:hint="eastAsia" w:ascii="宋体" w:hAnsi="宋体" w:cs="宋体"/>
          <w:color w:val="auto"/>
          <w:kern w:val="0"/>
          <w:sz w:val="24"/>
          <w:szCs w:val="24"/>
          <w:highlight w:val="none"/>
        </w:rPr>
        <w:t>设计文件对于工艺、技术、材料、设备的选用应该满足施工工期的要求，充分考虑设计的可实施性，重视和吸收施工单位对施工安装提出的意见，并充分考虑国内承建商的施工能力。</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6.7.4</w:t>
      </w:r>
      <w:r>
        <w:rPr>
          <w:rFonts w:hint="eastAsia" w:ascii="宋体" w:hAnsi="宋体" w:cs="宋体"/>
          <w:color w:val="auto"/>
          <w:kern w:val="0"/>
          <w:sz w:val="24"/>
          <w:szCs w:val="24"/>
          <w:highlight w:val="none"/>
        </w:rPr>
        <w:t>设计所选用的建筑材料及设备（包括各专业采用的材料、设备），应提交进行性能价格的分析比较报告，不应选用不节能或已淘汰的产品；设备的选用必须考虑相关的系统配套，原则上应优先采用国内产品。国内没有的建筑材料和设备或国内材料和设备性能无法达到设计要求或其价格高于进口价格时，才采用进口材料和设备。设计中采用的材料和设备均须按中国、广东省、广州市有关法律、行政法规和规章的要求，提供明确的技术资料（包括性能指标、规格、型号等方面的资料）。</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6.7.5</w:t>
      </w:r>
      <w:r>
        <w:rPr>
          <w:rFonts w:hint="eastAsia" w:ascii="宋体" w:hAnsi="宋体" w:cs="宋体"/>
          <w:color w:val="auto"/>
          <w:kern w:val="0"/>
          <w:sz w:val="24"/>
          <w:szCs w:val="24"/>
          <w:highlight w:val="none"/>
        </w:rPr>
        <w:t>乙方应及时提供工程的各主要建筑材料和设备的生产厂商及价格等资料，供甲方选择时参考。</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6.7.6</w:t>
      </w:r>
      <w:r>
        <w:rPr>
          <w:rFonts w:hint="eastAsia" w:ascii="宋体" w:hAnsi="宋体" w:cs="宋体"/>
          <w:color w:val="auto"/>
          <w:kern w:val="0"/>
          <w:sz w:val="24"/>
          <w:szCs w:val="24"/>
          <w:highlight w:val="none"/>
        </w:rPr>
        <w:t>乙方的设计文件在对本合同工程设备材料的技术要求进行描述时不得带有倾向性、排它性、指向某一特定厂商品牌或指向某一具有独一性的材料设备。如根据项目的定位、功能等的要求必须选用某种品牌或某一具有独一性的材料、设备时，乙方应事前书面详细报告甲方并获得甲方批准。</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6.7.7</w:t>
      </w:r>
      <w:r>
        <w:rPr>
          <w:rFonts w:hint="eastAsia" w:ascii="宋体" w:hAnsi="宋体" w:cs="宋体"/>
          <w:color w:val="auto"/>
          <w:kern w:val="0"/>
          <w:sz w:val="24"/>
          <w:szCs w:val="24"/>
          <w:highlight w:val="none"/>
        </w:rPr>
        <w:t>对于由甲方拟定的候选建筑材料和设备，在厂商提供符合设计要求的技术资料后，乙方须协助甲方鉴别其优劣并提供相关咨询意见。同时，乙方应派本项目专业负责人参与甲方组织的相关看样定板工作，出具材料</w:t>
      </w:r>
      <w:r>
        <w:rPr>
          <w:rFonts w:hint="default" w:ascii="宋体" w:hAnsi="宋体" w:cs="宋体"/>
          <w:color w:val="auto"/>
          <w:kern w:val="0"/>
          <w:sz w:val="24"/>
          <w:szCs w:val="24"/>
          <w:highlight w:val="none"/>
        </w:rPr>
        <w:t>和</w:t>
      </w:r>
      <w:r>
        <w:rPr>
          <w:rFonts w:hint="eastAsia" w:ascii="宋体" w:hAnsi="宋体" w:cs="宋体"/>
          <w:color w:val="auto"/>
          <w:kern w:val="0"/>
          <w:sz w:val="24"/>
          <w:szCs w:val="24"/>
          <w:highlight w:val="none"/>
        </w:rPr>
        <w:t>设备选型的相关技术意见。</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6.7.8</w:t>
      </w:r>
      <w:r>
        <w:rPr>
          <w:rFonts w:hint="eastAsia" w:ascii="宋体" w:hAnsi="宋体" w:cs="宋体"/>
          <w:color w:val="auto"/>
          <w:kern w:val="0"/>
          <w:sz w:val="24"/>
          <w:szCs w:val="24"/>
          <w:highlight w:val="none"/>
        </w:rPr>
        <w:t>由于本合同工程中采用新工艺而导致需要采用的新材料、新设备的，乙方原则上须在项目档次定位的基础上向甲方推荐三家以上可供货的国内或国外厂商名称、以往业绩、产品质量标准、价格资料及样板等，所推荐的三家单位的材料、设备应该在价格水平上处于同一档次。</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6.7.9</w:t>
      </w:r>
      <w:r>
        <w:rPr>
          <w:rFonts w:hint="eastAsia" w:ascii="宋体" w:hAnsi="宋体" w:cs="宋体"/>
          <w:color w:val="auto"/>
          <w:kern w:val="0"/>
          <w:sz w:val="24"/>
          <w:szCs w:val="24"/>
          <w:highlight w:val="none"/>
        </w:rPr>
        <w:t>乙方应对本合同工程中可能采用的特殊设备和材料进行分析，若在设计过程中需要预先选定相关的材料、设备供应商，以便为设计过程提供必要的技术支持，乙方应提前向甲方提出选定材料设备供应商的建议（包括国产和国外进口的）。</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6.7.10</w:t>
      </w:r>
      <w:r>
        <w:rPr>
          <w:rFonts w:hint="eastAsia" w:ascii="宋体" w:hAnsi="宋体" w:cs="宋体"/>
          <w:color w:val="auto"/>
          <w:kern w:val="0"/>
          <w:sz w:val="24"/>
          <w:szCs w:val="24"/>
          <w:highlight w:val="none"/>
        </w:rPr>
        <w:t>乙方应详细了解市场上本合同工程的主要材料和设备生产商的供货能力和供货周期（包括生产时间和运输时间），并据此向甲方提出各种主要材料和设备（包括国产和国外进口的）的提前订货时间的建议。</w:t>
      </w:r>
    </w:p>
    <w:p>
      <w:pPr>
        <w:adjustRightInd w:val="0"/>
        <w:snapToGrid w:val="0"/>
        <w:spacing w:line="360" w:lineRule="auto"/>
        <w:ind w:firstLine="482" w:firstLineChars="200"/>
        <w:outlineLvl w:val="2"/>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7、设计服务</w:t>
      </w:r>
    </w:p>
    <w:p>
      <w:pPr>
        <w:adjustRightInd w:val="0"/>
        <w:snapToGrid w:val="0"/>
        <w:spacing w:line="360" w:lineRule="auto"/>
        <w:ind w:firstLine="470" w:firstLineChars="196"/>
        <w:rPr>
          <w:rFonts w:ascii="宋体" w:hAnsi="宋体" w:cs="宋体"/>
          <w:b/>
          <w:color w:val="auto"/>
          <w:kern w:val="0"/>
          <w:sz w:val="24"/>
          <w:szCs w:val="24"/>
          <w:highlight w:val="none"/>
        </w:rPr>
      </w:pPr>
      <w:r>
        <w:rPr>
          <w:rFonts w:hint="eastAsia" w:ascii="宋体" w:hAnsi="宋体" w:cs="宋体"/>
          <w:color w:val="auto"/>
          <w:kern w:val="0"/>
          <w:sz w:val="24"/>
          <w:szCs w:val="24"/>
          <w:highlight w:val="none"/>
        </w:rPr>
        <w:t>乙方的服务应符合国际通用的ISO—9000质量管理体系对于工程设计所规定的标准及质量要求。乙方应及时地提供服务，满足甲方在时间上的要求。</w:t>
      </w:r>
    </w:p>
    <w:p>
      <w:pPr>
        <w:adjustRightInd w:val="0"/>
        <w:snapToGrid w:val="0"/>
        <w:spacing w:line="360" w:lineRule="auto"/>
        <w:outlineLvl w:val="3"/>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 xml:space="preserve"> </w:t>
      </w:r>
      <w:r>
        <w:rPr>
          <w:rFonts w:ascii="宋体" w:hAnsi="宋体" w:cs="宋体"/>
          <w:b/>
          <w:color w:val="auto"/>
          <w:kern w:val="0"/>
          <w:sz w:val="24"/>
          <w:szCs w:val="24"/>
          <w:highlight w:val="none"/>
        </w:rPr>
        <w:t xml:space="preserve">  </w:t>
      </w:r>
      <w:r>
        <w:rPr>
          <w:rFonts w:hint="eastAsia" w:ascii="宋体" w:hAnsi="宋体" w:cs="宋体"/>
          <w:b/>
          <w:color w:val="auto"/>
          <w:kern w:val="0"/>
          <w:sz w:val="24"/>
          <w:szCs w:val="24"/>
          <w:highlight w:val="none"/>
        </w:rPr>
        <w:t xml:space="preserve"> 7.1驻场设计及服务</w:t>
      </w:r>
    </w:p>
    <w:p>
      <w:pPr>
        <w:adjustRightInd w:val="0"/>
        <w:snapToGrid w:val="0"/>
        <w:spacing w:line="360" w:lineRule="auto"/>
        <w:ind w:firstLine="48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7.1.1</w:t>
      </w:r>
      <w:r>
        <w:rPr>
          <w:rFonts w:hint="eastAsia" w:ascii="宋体" w:hAnsi="宋体" w:cs="宋体"/>
          <w:color w:val="auto"/>
          <w:kern w:val="0"/>
          <w:sz w:val="24"/>
          <w:szCs w:val="24"/>
          <w:highlight w:val="none"/>
        </w:rPr>
        <w:t>驻场设计</w:t>
      </w:r>
    </w:p>
    <w:p>
      <w:pPr>
        <w:keepNext w:val="0"/>
        <w:keepLines w:val="0"/>
        <w:widowControl/>
        <w:suppressLineNumbers w:val="0"/>
        <w:adjustRightInd w:val="0"/>
        <w:snapToGrid w:val="0"/>
        <w:spacing w:before="0" w:beforeAutospacing="0" w:after="0" w:afterAutospacing="0" w:line="360" w:lineRule="auto"/>
        <w:ind w:left="0" w:right="0" w:firstLine="470" w:firstLineChars="196"/>
        <w:jc w:val="left"/>
        <w:rPr>
          <w:rFonts w:hint="eastAsia" w:ascii="宋体" w:hAnsi="宋体" w:cs="宋体" w:eastAsiaTheme="minorEastAsia"/>
          <w:color w:val="auto"/>
          <w:kern w:val="0"/>
          <w:sz w:val="24"/>
          <w:szCs w:val="24"/>
          <w:highlight w:val="none"/>
          <w:u w:val="none"/>
        </w:rPr>
      </w:pPr>
      <w:r>
        <w:rPr>
          <w:rFonts w:hint="eastAsia" w:ascii="宋体" w:hAnsi="宋体" w:cs="宋体" w:eastAsiaTheme="minorEastAsia"/>
          <w:color w:val="auto"/>
          <w:kern w:val="0"/>
          <w:sz w:val="24"/>
          <w:szCs w:val="24"/>
          <w:highlight w:val="none"/>
          <w:u w:val="none"/>
          <w:lang w:bidi="ar"/>
        </w:rPr>
        <w:t>根据项目进度</w:t>
      </w:r>
      <w:r>
        <w:rPr>
          <w:rFonts w:hint="default" w:ascii="宋体" w:hAnsi="宋体" w:cs="宋体"/>
          <w:color w:val="auto"/>
          <w:kern w:val="0"/>
          <w:sz w:val="24"/>
          <w:szCs w:val="24"/>
          <w:highlight w:val="none"/>
          <w:u w:val="none"/>
          <w:lang w:bidi="ar"/>
        </w:rPr>
        <w:t>要求</w:t>
      </w:r>
      <w:r>
        <w:rPr>
          <w:rFonts w:hint="eastAsia" w:ascii="宋体" w:hAnsi="宋体" w:cs="宋体" w:eastAsiaTheme="minorEastAsia"/>
          <w:color w:val="auto"/>
          <w:kern w:val="0"/>
          <w:sz w:val="24"/>
          <w:szCs w:val="24"/>
          <w:highlight w:val="none"/>
          <w:u w:val="none"/>
          <w:lang w:bidi="ar"/>
        </w:rPr>
        <w:t>，</w:t>
      </w:r>
      <w:r>
        <w:rPr>
          <w:rFonts w:hint="eastAsia" w:ascii="宋体" w:hAnsi="宋体" w:cs="宋体" w:eastAsiaTheme="minorEastAsia"/>
          <w:color w:val="auto"/>
          <w:kern w:val="0"/>
          <w:sz w:val="24"/>
          <w:szCs w:val="24"/>
          <w:highlight w:val="none"/>
          <w:lang w:val="en-US" w:eastAsia="zh-CN" w:bidi="ar"/>
        </w:rPr>
        <w:t>乙方根据勘察设计任务书及甲方要求选派人员驻场。驻场人员费用已包含在设计费用中，不另外计费</w:t>
      </w:r>
      <w:r>
        <w:rPr>
          <w:rFonts w:hint="eastAsia" w:ascii="宋体" w:hAnsi="宋体" w:cs="宋体" w:eastAsiaTheme="minorEastAsia"/>
          <w:color w:val="auto"/>
          <w:kern w:val="0"/>
          <w:sz w:val="24"/>
          <w:szCs w:val="24"/>
          <w:highlight w:val="none"/>
          <w:u w:val="none"/>
        </w:rPr>
        <w:t>。</w:t>
      </w:r>
    </w:p>
    <w:p>
      <w:pPr>
        <w:adjustRightInd w:val="0"/>
        <w:snapToGrid w:val="0"/>
        <w:spacing w:line="360" w:lineRule="auto"/>
        <w:ind w:firstLine="470" w:firstLineChars="196"/>
        <w:rPr>
          <w:rFonts w:ascii="宋体" w:hAnsi="宋体" w:cs="宋体"/>
          <w:color w:val="auto"/>
          <w:kern w:val="0"/>
          <w:sz w:val="24"/>
          <w:szCs w:val="24"/>
          <w:highlight w:val="none"/>
        </w:rPr>
      </w:pPr>
      <w:r>
        <w:rPr>
          <w:rFonts w:hint="eastAsia" w:ascii="宋体" w:hAnsi="宋体" w:cs="宋体"/>
          <w:color w:val="auto"/>
          <w:kern w:val="0"/>
          <w:sz w:val="24"/>
          <w:szCs w:val="24"/>
          <w:highlight w:val="none"/>
        </w:rPr>
        <w:t>若设计工作不满足工程进度要求，甲方有权要求乙方全部设计人员（包括各专业设计人和项目负责人员）在甲方指定地点驻场设计，时间可从签订设计合同开始到施工图完成为止。</w:t>
      </w:r>
    </w:p>
    <w:p>
      <w:pPr>
        <w:adjustRightInd w:val="0"/>
        <w:snapToGrid w:val="0"/>
        <w:spacing w:line="360" w:lineRule="auto"/>
        <w:ind w:firstLine="470" w:firstLineChars="196"/>
        <w:rPr>
          <w:rFonts w:ascii="宋体" w:hAnsi="宋体" w:cs="宋体"/>
          <w:color w:val="auto"/>
          <w:kern w:val="0"/>
          <w:sz w:val="24"/>
          <w:szCs w:val="24"/>
          <w:highlight w:val="none"/>
        </w:rPr>
      </w:pPr>
      <w:r>
        <w:rPr>
          <w:rFonts w:hint="eastAsia" w:ascii="宋体" w:hAnsi="宋体" w:cs="宋体"/>
          <w:color w:val="auto"/>
          <w:kern w:val="0"/>
          <w:sz w:val="24"/>
          <w:szCs w:val="24"/>
          <w:highlight w:val="none"/>
        </w:rPr>
        <w:t>实施驻场设计所需的场地、办公、交通等均由乙方自行解决。</w:t>
      </w:r>
    </w:p>
    <w:p>
      <w:pPr>
        <w:adjustRightInd w:val="0"/>
        <w:snapToGrid w:val="0"/>
        <w:spacing w:line="360" w:lineRule="auto"/>
        <w:ind w:firstLine="48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7.1.2</w:t>
      </w:r>
      <w:r>
        <w:rPr>
          <w:rFonts w:hint="eastAsia" w:ascii="宋体" w:hAnsi="宋体" w:cs="宋体"/>
          <w:color w:val="auto"/>
          <w:kern w:val="0"/>
          <w:sz w:val="24"/>
          <w:szCs w:val="24"/>
          <w:highlight w:val="none"/>
        </w:rPr>
        <w:t>驻场服务</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为便于甲方与乙方及时沟通及协调，保证报批报建验收及乙方统筹协调管理等工作的顺利开展，本项目要求乙方派驻驻场服务人员提供驻场服务。服务时间从签订设计合同开始到项目验收为止。服务的主要工作内容包括统筹协调、报批报建报验、资料整理、与乙方单位对接等工作。</w:t>
      </w:r>
    </w:p>
    <w:p>
      <w:pPr>
        <w:adjustRightInd w:val="0"/>
        <w:snapToGrid w:val="0"/>
        <w:spacing w:line="360" w:lineRule="auto"/>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（2）驻场服务人员的办公场地和家具由甲方提供；办公设备和办公用品（包括电脑、彩色打印机、复印机、扫描仪等）由乙方自备；驻场服务人员交通保障由乙方自行解决。</w:t>
      </w:r>
    </w:p>
    <w:p>
      <w:pPr>
        <w:adjustRightInd w:val="0"/>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（3）乙方驻场服务人员应满足招标文件及合同条款的相关要求，并全部统一纳入甲方的统一管理，其出勤、休假等考勤由甲方负责，具体工作由甲方统一安排。</w:t>
      </w:r>
    </w:p>
    <w:p>
      <w:pPr>
        <w:adjustRightInd w:val="0"/>
        <w:snapToGrid w:val="0"/>
        <w:spacing w:line="360" w:lineRule="auto"/>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（4）乙方驻场服务人员的名单须在进场前提交甲方审核，具体要求按设计任务书，所有人员必须通过甲方现场面试确认。甲方有权根据实际情况在驻场服务过程中对乙方的驻场人员进行适当调整。</w:t>
      </w:r>
    </w:p>
    <w:p>
      <w:pPr>
        <w:adjustRightInd w:val="0"/>
        <w:snapToGrid w:val="0"/>
        <w:spacing w:line="360" w:lineRule="auto"/>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（5）乙方应保证驻场人员的稳定性，原则</w:t>
      </w:r>
      <w:r>
        <w:rPr>
          <w:rFonts w:hint="default" w:ascii="宋体" w:hAnsi="宋体" w:cs="宋体"/>
          <w:color w:val="auto"/>
          <w:kern w:val="0"/>
          <w:sz w:val="24"/>
          <w:szCs w:val="24"/>
          <w:highlight w:val="none"/>
        </w:rPr>
        <w:t>上</w:t>
      </w:r>
      <w:r>
        <w:rPr>
          <w:rFonts w:hint="eastAsia" w:ascii="宋体" w:hAnsi="宋体" w:cs="宋体"/>
          <w:color w:val="auto"/>
          <w:kern w:val="0"/>
          <w:sz w:val="24"/>
          <w:szCs w:val="24"/>
          <w:highlight w:val="none"/>
        </w:rPr>
        <w:t>在驻场期间不得更换，确须更换的应向甲方提出书面报告且征得同意后方可更换。</w:t>
      </w:r>
    </w:p>
    <w:p>
      <w:pPr>
        <w:adjustRightInd w:val="0"/>
        <w:snapToGrid w:val="0"/>
        <w:spacing w:line="360" w:lineRule="auto"/>
        <w:ind w:firstLine="480"/>
        <w:outlineLvl w:val="3"/>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7.2报审报建配合服务</w:t>
      </w:r>
    </w:p>
    <w:p>
      <w:pPr>
        <w:adjustRightInd w:val="0"/>
        <w:snapToGrid w:val="0"/>
        <w:spacing w:line="360" w:lineRule="auto"/>
        <w:ind w:firstLine="48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7.2.1</w:t>
      </w:r>
      <w:r>
        <w:rPr>
          <w:rFonts w:hint="eastAsia" w:ascii="宋体" w:hAnsi="宋体" w:cs="宋体"/>
          <w:color w:val="auto"/>
          <w:kern w:val="0"/>
          <w:sz w:val="24"/>
          <w:szCs w:val="24"/>
          <w:highlight w:val="none"/>
        </w:rPr>
        <w:t>乙方应安排专人（1名）全面配合跟进所有报审报建工作，在设计过程各阶段按照本项目报审报建的要求，提交所有必需的文件、图纸及其相应的电子文件（刻制成光盘），并配合报审报建过程中必要的技术协调、送审技术性文件等工作，直至完成所有审批手续。</w:t>
      </w:r>
    </w:p>
    <w:p>
      <w:pPr>
        <w:adjustRightInd w:val="0"/>
        <w:snapToGrid w:val="0"/>
        <w:spacing w:line="360" w:lineRule="auto"/>
        <w:ind w:firstLine="48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7.2.2</w:t>
      </w:r>
      <w:r>
        <w:rPr>
          <w:rFonts w:hint="eastAsia" w:ascii="宋体" w:hAnsi="宋体" w:cs="宋体"/>
          <w:color w:val="auto"/>
          <w:kern w:val="0"/>
          <w:sz w:val="24"/>
          <w:szCs w:val="24"/>
          <w:highlight w:val="none"/>
        </w:rPr>
        <w:t>对乙方提交报审报建资料的要求：提交的文件、图纸及其相应的电子文件按照相关报审报建职能部门或主管部门的提交要求和份数要求。报建涉及的费用（除行政事业性收费由甲方负责缴纳外）包括公示费、管线图纸、报建通编制、竣工通配合编制、各阶段的汇报文件和送审文件晒制、加晒加印图纸资料费用等均包含在设计费中，不再单独计取。</w:t>
      </w:r>
    </w:p>
    <w:p>
      <w:pPr>
        <w:adjustRightInd w:val="0"/>
        <w:snapToGrid w:val="0"/>
        <w:spacing w:line="360" w:lineRule="auto"/>
        <w:ind w:firstLine="482" w:firstLineChars="200"/>
        <w:outlineLvl w:val="3"/>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7.3招标配合服务</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7.3.1</w:t>
      </w:r>
      <w:r>
        <w:rPr>
          <w:rFonts w:hint="eastAsia" w:ascii="宋体" w:hAnsi="宋体" w:cs="宋体"/>
          <w:color w:val="auto"/>
          <w:kern w:val="0"/>
          <w:sz w:val="24"/>
          <w:szCs w:val="24"/>
          <w:highlight w:val="none"/>
        </w:rPr>
        <w:t>乙方应在甲方进行的工程施工招标、设备材料采购招标过程中提供技术指导，编制用户需求书，制定技术文件（包括设备、材料采购清单、技术规格书、性能要求、必要的附图、技术参数表、推荐档次及品牌建议、采购说明和采购时间表等），根据甲方的要求进行设计交底（图纸交底、设备、材料采购的技术文件交底）、参加招投标答疑会、及时答复招投标答疑文件，审核及签署设备、材料供货合同技术附件，并根据甲方的要求配合甲方进行合同技术条款的谈判工作。</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7.3.2</w:t>
      </w:r>
      <w:r>
        <w:rPr>
          <w:rFonts w:hint="eastAsia" w:ascii="宋体" w:hAnsi="宋体" w:cs="宋体"/>
          <w:color w:val="auto"/>
          <w:kern w:val="0"/>
          <w:sz w:val="24"/>
          <w:szCs w:val="24"/>
          <w:highlight w:val="none"/>
        </w:rPr>
        <w:t>对于甲方召开的相关招标会议（如招投标答疑会、预算及招标控制价编制工作协调会议等），乙方应根据甲方的要求派出相关专业人员参加，并积极配合甲方做好投标答疑文件、招标澄清文件等的编制工作。</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7.3.3</w:t>
      </w:r>
      <w:r>
        <w:rPr>
          <w:rFonts w:hint="eastAsia" w:ascii="宋体" w:hAnsi="宋体" w:cs="宋体"/>
          <w:color w:val="auto"/>
          <w:kern w:val="0"/>
          <w:sz w:val="24"/>
          <w:szCs w:val="24"/>
          <w:highlight w:val="none"/>
        </w:rPr>
        <w:t xml:space="preserve"> 乙方根据甲方要求（包括时间要求、深度要求等）提供本合同工程进行招标所需的设计成果文件，包括必要的施工图、材料说明书、设备技术说明书等文本文件10套、电子光盘2张。如甲方需乙方晒制超出合同约定数量的设计成果文件，乙方按照合同约定的价格清单收取相应图纸晒制费用。</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7.3.4</w:t>
      </w:r>
      <w:r>
        <w:rPr>
          <w:rFonts w:hint="eastAsia" w:ascii="宋体" w:hAnsi="宋体" w:cs="宋体"/>
          <w:color w:val="auto"/>
          <w:kern w:val="0"/>
          <w:sz w:val="24"/>
          <w:szCs w:val="24"/>
          <w:highlight w:val="none"/>
        </w:rPr>
        <w:t>乙方应负责协调各专业设计单位编写工程施工、材料设备等招标文件中的技术和质量标准。</w:t>
      </w:r>
    </w:p>
    <w:p>
      <w:pPr>
        <w:adjustRightInd w:val="0"/>
        <w:snapToGrid w:val="0"/>
        <w:spacing w:line="360" w:lineRule="auto"/>
        <w:ind w:firstLine="472" w:firstLineChars="196"/>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7.3.5</w:t>
      </w:r>
      <w:r>
        <w:rPr>
          <w:rFonts w:hint="eastAsia" w:ascii="宋体" w:hAnsi="宋体" w:cs="宋体"/>
          <w:color w:val="auto"/>
          <w:kern w:val="0"/>
          <w:sz w:val="24"/>
          <w:szCs w:val="24"/>
          <w:highlight w:val="none"/>
        </w:rPr>
        <w:t>在甲方组织采购招标或项目施工阶段，如需由投标单位或实施单位制作实体模型的，乙方须提供需制作模型的具体要求和必要的模型图纸。</w:t>
      </w:r>
    </w:p>
    <w:p>
      <w:pPr>
        <w:adjustRightInd w:val="0"/>
        <w:snapToGrid w:val="0"/>
        <w:spacing w:line="360" w:lineRule="auto"/>
        <w:ind w:firstLine="472" w:firstLineChars="196"/>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7.3.6</w:t>
      </w:r>
      <w:r>
        <w:rPr>
          <w:rFonts w:hint="eastAsia" w:ascii="宋体" w:hAnsi="宋体" w:cs="宋体"/>
          <w:color w:val="auto"/>
          <w:kern w:val="0"/>
          <w:sz w:val="24"/>
          <w:szCs w:val="24"/>
          <w:highlight w:val="none"/>
        </w:rPr>
        <w:t>对于需要进行整套系统采购的设备，乙方应在施工图或设备、材料采购的技术文件中予以明确。</w:t>
      </w:r>
    </w:p>
    <w:p>
      <w:pPr>
        <w:adjustRightInd w:val="0"/>
        <w:snapToGrid w:val="0"/>
        <w:spacing w:line="360" w:lineRule="auto"/>
        <w:ind w:firstLine="482" w:firstLineChars="200"/>
        <w:outlineLvl w:val="3"/>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7.4施工阶段的现场服务</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7.4.1</w:t>
      </w:r>
      <w:r>
        <w:rPr>
          <w:rFonts w:hint="eastAsia" w:ascii="宋体" w:hAnsi="宋体" w:cs="宋体"/>
          <w:color w:val="auto"/>
          <w:kern w:val="0"/>
          <w:sz w:val="24"/>
          <w:szCs w:val="24"/>
          <w:highlight w:val="none"/>
        </w:rPr>
        <w:t>乙方承诺将根据本合同工程建设进展情况和甲方的要求提供现场服务，及时派出各专业工程师解决工程中涉及到的勘察、设计问题。主要工作如下（包括但不限于）：</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参与勘察、设计的技术协调会，做好勘察、设计交底工作。在工程施工招标、设备材料采购完成评标工作的前一周内，乙方根据甲方要求提供对应采购招标范围的施工图、材料说明书及设备技术说明书等设计成果文件共10套、电子光盘2张。</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（2）各施工阶段开始前，按乙方的勘察、设计分工，参与图纸会审，解答有关勘察、设计问题，并按规定及时出具相应的修改图纸、补充图纸及技术文件。</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项目实施过程中，乙方的设计项目负责人、各专业设负责人及相关专业人员（可按照专业施工进度分专业参加）需参加由甲方每周在施工现场组织召开的设计交底会、图纸会审会、设计例会和工程例会、技术问题协调会、看样定板会、设计巡场，及时解决现场技术问题，并按照甲方相应管理制度和办法开展相应工作。</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（4）乙方派出的常驻本合同工程工地的勘察设计人员，应做好本合同工程全部勘察设计项目的总承包管理服务工作，</w:t>
      </w:r>
      <w:r>
        <w:rPr>
          <w:rFonts w:ascii="宋体" w:hAnsi="宋体" w:cs="宋体"/>
          <w:color w:val="auto"/>
          <w:kern w:val="0"/>
          <w:sz w:val="24"/>
          <w:szCs w:val="24"/>
          <w:highlight w:val="none"/>
        </w:rPr>
        <w:t>按甲方要求进行现场巡查并相应提交巡场报告</w:t>
      </w:r>
      <w:r>
        <w:rPr>
          <w:rFonts w:hint="eastAsia" w:ascii="宋体" w:hAnsi="宋体" w:cs="宋体"/>
          <w:color w:val="auto"/>
          <w:kern w:val="0"/>
          <w:sz w:val="24"/>
          <w:szCs w:val="24"/>
          <w:highlight w:val="none"/>
        </w:rPr>
        <w:t>，直至工程竣工验收合格时止。当建设过程中对勘察设计文件有疑问时，乙方在接到通知后，应及时派出专业工程师解决。属于一般勘察设计问题，若无特殊情况，应在1天内解决；属于重大勘察设计问题，可在5天内书面提出解决意见；对勘察设计图纸与现场不符之处，应及时提出解决办法。</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（5）乙方应参加本合同工程的每周监理例会，并及时解决会议提出的应由乙方解决的技术问题。</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乙方应指导施工单位按照设计文件施工；参加工程地基基础、主体结构（含主要隐蔽工程）和竣工质量验收；及时派出能独立解决现场问题的技术人员进行现场服务，处理现场问题；参加工程质量事故调查并提出技术处理方案。</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（7）乙方应在设备、材料采购订货前对有关性能、参数、规格及主要设备数量进行确认；按甲方要求对己订购的主要设备、材料进行到货验收。</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（8）乙方应协助制订设备系统的调试计划和参与设备试车调试。</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（9）乙方应参与工程的报建与竣工验收，参与编写工程总结。</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（10）乙方项目负责人应参加甲方召开的协调会、调度会。</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7.4.2</w:t>
      </w:r>
      <w:r>
        <w:rPr>
          <w:rFonts w:hint="eastAsia" w:ascii="宋体" w:hAnsi="宋体" w:cs="宋体"/>
          <w:color w:val="auto"/>
          <w:kern w:val="0"/>
          <w:sz w:val="24"/>
          <w:szCs w:val="24"/>
          <w:highlight w:val="none"/>
        </w:rPr>
        <w:t>根据工程进展情况和需要，对一些特殊工程（如基坑支护方案），乙方应向甲方提供施工组织设计的书面建议，配合编写工程施工技术标准（施工作业指导书），对设计各部分所应满足的规范、标准进行总说明，对各条文进行摘录汇编；对超规范（标准）之处，应初拟技术标准，供专家论证后执行。</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7.4.</w:t>
      </w:r>
      <w:r>
        <w:rPr>
          <w:rFonts w:hint="eastAsia" w:ascii="宋体" w:hAnsi="宋体" w:cs="宋体"/>
          <w:b/>
          <w:color w:val="auto"/>
          <w:sz w:val="24"/>
          <w:szCs w:val="24"/>
          <w:highlight w:val="none"/>
        </w:rPr>
        <w:t>3</w:t>
      </w:r>
      <w:r>
        <w:rPr>
          <w:rFonts w:hint="eastAsia" w:ascii="宋体" w:hAnsi="宋体" w:cs="宋体"/>
          <w:color w:val="auto"/>
          <w:kern w:val="0"/>
          <w:sz w:val="24"/>
          <w:szCs w:val="24"/>
          <w:highlight w:val="none"/>
        </w:rPr>
        <w:t>参加隐蔽工程验收、分部子分部及工程竣工验收，根据国家、省、市相关规定出具隐蔽工程验收、分部子分部工程和工程竣工验收意见。在工程竣工验收时按时提交《设计文件质量检查报告》各一式六份。</w:t>
      </w:r>
    </w:p>
    <w:p>
      <w:pPr>
        <w:adjustRightInd w:val="0"/>
        <w:snapToGrid w:val="0"/>
        <w:spacing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7.4.4</w:t>
      </w:r>
      <w:r>
        <w:rPr>
          <w:rFonts w:hint="eastAsia" w:ascii="宋体" w:hAnsi="宋体" w:cs="宋体"/>
          <w:color w:val="auto"/>
          <w:sz w:val="24"/>
          <w:szCs w:val="24"/>
          <w:highlight w:val="none"/>
        </w:rPr>
        <w:t xml:space="preserve"> 对项目各专项工程（包括规划、防雷、卫生防预、环保、煤气、给水、消防、电梯、人防、节能、园林绿化等）的验收、备案工作予以配合，具体验收配合工作包括但不限于：</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（1）于各专项验收申请表送达后3天内，出具设计单位意见；</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（2）对因专项工程验收、备案需增加晒制的图纸，在收到甲方通知后3天内提交，相关费用按合同条款第16.1</w:t>
      </w:r>
      <w:r>
        <w:rPr>
          <w:rFonts w:hint="default" w:ascii="宋体" w:hAnsi="宋体" w:cs="宋体"/>
          <w:color w:val="auto"/>
          <w:sz w:val="24"/>
          <w:szCs w:val="24"/>
          <w:highlight w:val="none"/>
        </w:rPr>
        <w:t>2</w:t>
      </w:r>
      <w:r>
        <w:rPr>
          <w:rFonts w:hint="eastAsia" w:ascii="宋体" w:hAnsi="宋体" w:cs="宋体"/>
          <w:color w:val="auto"/>
          <w:sz w:val="24"/>
          <w:szCs w:val="24"/>
          <w:highlight w:val="none"/>
        </w:rPr>
        <w:t>条的相关约定执行。</w:t>
      </w:r>
    </w:p>
    <w:p>
      <w:pPr>
        <w:adjustRightInd w:val="0"/>
        <w:snapToGrid w:val="0"/>
        <w:spacing w:line="360" w:lineRule="auto"/>
        <w:ind w:firstLine="482" w:firstLineChars="200"/>
        <w:outlineLvl w:val="3"/>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7.5工程结算配合服务</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7.5.1</w:t>
      </w:r>
      <w:r>
        <w:rPr>
          <w:rFonts w:hint="eastAsia" w:ascii="宋体" w:hAnsi="宋体" w:cs="宋体"/>
          <w:color w:val="auto"/>
          <w:kern w:val="0"/>
          <w:sz w:val="24"/>
          <w:szCs w:val="24"/>
          <w:highlight w:val="none"/>
        </w:rPr>
        <w:t>乙方应根据甲方指令提交本合同工程的结算配合服务工作计划，根据经批准的工作计划积极参与并配合甲方或甲方委托的第三方组织的本合同工程乙方设计范围内的工程结算工作，及时提交设计变更确认资料并确保其有效性、准确性和及时性，以保证工程结算工作的顺利推进。</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7.5.2</w:t>
      </w:r>
      <w:r>
        <w:rPr>
          <w:rFonts w:hint="eastAsia" w:ascii="宋体" w:hAnsi="宋体" w:cs="宋体"/>
          <w:color w:val="auto"/>
          <w:kern w:val="0"/>
          <w:sz w:val="24"/>
          <w:szCs w:val="24"/>
          <w:highlight w:val="none"/>
        </w:rPr>
        <w:t>乙方应根据甲方的要求提供结算工作所涉及的设计变更的相关设计文件（如设计变更预估算书等）。</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7.5.3</w:t>
      </w:r>
      <w:r>
        <w:rPr>
          <w:rFonts w:hint="eastAsia" w:ascii="宋体" w:hAnsi="宋体" w:cs="宋体"/>
          <w:color w:val="auto"/>
          <w:kern w:val="0"/>
          <w:sz w:val="24"/>
          <w:szCs w:val="24"/>
          <w:highlight w:val="none"/>
        </w:rPr>
        <w:t xml:space="preserve"> 乙方应积极配合其设计范围内的竣工图的编制工作，包括但不限于以下工作（相关费用已含于设计费用中）：</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(1)复核施工单位编制的竣工图纸，并进行签章确认；</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(2)复核施工单位编制的规划验收竣工图纸及规划验收电子报批文件（即“验收通”）。</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 xml:space="preserve">7.5.4 </w:t>
      </w:r>
      <w:r>
        <w:rPr>
          <w:rFonts w:hint="eastAsia" w:ascii="宋体" w:hAnsi="宋体" w:cs="宋体"/>
          <w:color w:val="auto"/>
          <w:kern w:val="0"/>
          <w:sz w:val="24"/>
          <w:szCs w:val="24"/>
          <w:highlight w:val="none"/>
        </w:rPr>
        <w:t>乙方应根据甲方要求在工程结算过程中提供相关的技术支持。</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7.5.5</w:t>
      </w:r>
      <w:r>
        <w:rPr>
          <w:rFonts w:hint="eastAsia" w:ascii="宋体" w:hAnsi="宋体" w:cs="宋体"/>
          <w:color w:val="auto"/>
          <w:kern w:val="0"/>
          <w:sz w:val="24"/>
          <w:szCs w:val="24"/>
          <w:highlight w:val="none"/>
        </w:rPr>
        <w:t>本合同设计范围内存在甲方另行发包的专项工程设计服务内容的，乙方负责整理汇总其合同设计范围内所有设计单位的结算工作。</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7.5.6</w:t>
      </w:r>
      <w:r>
        <w:rPr>
          <w:rFonts w:hint="eastAsia" w:ascii="宋体" w:hAnsi="宋体" w:cs="宋体"/>
          <w:color w:val="auto"/>
          <w:kern w:val="0"/>
          <w:sz w:val="24"/>
          <w:szCs w:val="24"/>
          <w:highlight w:val="none"/>
        </w:rPr>
        <w:t xml:space="preserve"> 为确保本合同工程结算的顺利进行，甲方可能对本合同工程按分部分项或单位工程进行分段结算，乙方在接到甲方关于分段结算配合工作的指令后7天内向甲方提交相关的分段结算配合服务工作计划。</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乙方应根据经过甲方批准的分段结算配合服务工作计划积极配合相关的分段结算工作。</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7.5.7</w:t>
      </w:r>
      <w:r>
        <w:rPr>
          <w:rFonts w:hint="eastAsia" w:ascii="宋体" w:hAnsi="宋体" w:cs="宋体"/>
          <w:color w:val="auto"/>
          <w:kern w:val="0"/>
          <w:sz w:val="24"/>
          <w:szCs w:val="24"/>
          <w:highlight w:val="none"/>
        </w:rPr>
        <w:t xml:space="preserve"> 乙方应将结算配合服务工作计划（包括分段结算配合服务工作计划）录入甲方的计算机工程信息管理系统，并根据实际工作进展情况及时更新。</w:t>
      </w:r>
    </w:p>
    <w:p>
      <w:pPr>
        <w:adjustRightInd w:val="0"/>
        <w:snapToGrid w:val="0"/>
        <w:spacing w:line="360" w:lineRule="auto"/>
        <w:ind w:firstLine="482" w:firstLineChars="200"/>
        <w:outlineLvl w:val="3"/>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7.6保修阶段的服务</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乙方应根据甲方或本合同工程使用单位的要求积极配合并参与工程的保修工作，提供相应的技术支持，对</w:t>
      </w:r>
      <w:r>
        <w:rPr>
          <w:rFonts w:hint="eastAsia" w:ascii="宋体" w:hAnsi="宋体" w:cs="宋体"/>
          <w:color w:val="auto"/>
          <w:sz w:val="24"/>
          <w:szCs w:val="24"/>
          <w:highlight w:val="none"/>
        </w:rPr>
        <w:t>工程保修阶段（竣工证书发出之日起两年）</w:t>
      </w:r>
      <w:r>
        <w:rPr>
          <w:rFonts w:hint="eastAsia" w:ascii="宋体" w:hAnsi="宋体" w:cs="宋体"/>
          <w:color w:val="auto"/>
          <w:kern w:val="0"/>
          <w:sz w:val="24"/>
          <w:szCs w:val="24"/>
          <w:highlight w:val="none"/>
        </w:rPr>
        <w:t>发生的工程问题提交书面的技术建议及相关的工程设计资料。</w:t>
      </w:r>
    </w:p>
    <w:p>
      <w:pPr>
        <w:adjustRightInd w:val="0"/>
        <w:snapToGrid w:val="0"/>
        <w:spacing w:line="360" w:lineRule="auto"/>
        <w:ind w:firstLine="482" w:firstLineChars="200"/>
        <w:rPr>
          <w:rFonts w:hint="default" w:ascii="宋体" w:hAnsi="宋体" w:cs="宋体"/>
          <w:b/>
          <w:color w:val="auto"/>
          <w:kern w:val="0"/>
          <w:sz w:val="24"/>
          <w:szCs w:val="24"/>
          <w:highlight w:val="none"/>
        </w:rPr>
      </w:pPr>
      <w:r>
        <w:rPr>
          <w:rFonts w:hint="eastAsia" w:ascii="宋体" w:hAnsi="宋体" w:cs="宋体"/>
          <w:b/>
          <w:color w:val="auto"/>
          <w:kern w:val="0"/>
          <w:sz w:val="24"/>
          <w:szCs w:val="24"/>
          <w:highlight w:val="none"/>
        </w:rPr>
        <w:t>7.7规划设计、文件编制</w:t>
      </w:r>
      <w:r>
        <w:rPr>
          <w:rFonts w:hint="default" w:ascii="宋体" w:hAnsi="宋体" w:cs="宋体"/>
          <w:b/>
          <w:color w:val="auto"/>
          <w:kern w:val="0"/>
          <w:sz w:val="24"/>
          <w:szCs w:val="24"/>
          <w:highlight w:val="none"/>
        </w:rPr>
        <w:t>服务</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7.7.1</w:t>
      </w:r>
      <w:r>
        <w:rPr>
          <w:rFonts w:hint="eastAsia" w:ascii="宋体" w:hAnsi="宋体" w:cs="宋体"/>
          <w:color w:val="auto"/>
          <w:kern w:val="0"/>
          <w:sz w:val="24"/>
          <w:szCs w:val="24"/>
          <w:highlight w:val="none"/>
        </w:rPr>
        <w:t>在编制设计方案过程中，根据业主需求对实际功能布局进行深化优化，在现行政策规定下完成设计方案审查并同步推进控制性详细规划修正(如有)。设计方案审查范围包括总平面及竖向规划设计、管线综合设计、建筑布局、交通组织、景观绿化、建筑平立面、环境节能保护等（具体以业主要求及规划报建主管部门最新政策要求为准）。</w:t>
      </w:r>
    </w:p>
    <w:p>
      <w:pPr>
        <w:adjustRightInd w:val="0"/>
        <w:snapToGrid w:val="0"/>
        <w:spacing w:line="360" w:lineRule="auto"/>
        <w:ind w:firstLine="482" w:firstLineChars="200"/>
        <w:outlineLvl w:val="2"/>
        <w:rPr>
          <w:rFonts w:ascii="宋体" w:hAnsi="宋体" w:cs="宋体"/>
          <w:dstrike/>
          <w:color w:val="auto"/>
          <w:kern w:val="0"/>
          <w:sz w:val="24"/>
          <w:szCs w:val="24"/>
          <w:highlight w:val="none"/>
        </w:rPr>
      </w:pPr>
      <w:r>
        <w:rPr>
          <w:rFonts w:hint="eastAsia" w:ascii="宋体" w:hAnsi="宋体" w:cs="宋体"/>
          <w:b/>
          <w:color w:val="auto"/>
          <w:kern w:val="0"/>
          <w:sz w:val="24"/>
          <w:szCs w:val="24"/>
          <w:highlight w:val="none"/>
        </w:rPr>
        <w:t>7.7.2</w:t>
      </w:r>
      <w:r>
        <w:rPr>
          <w:rFonts w:hint="eastAsia" w:ascii="宋体" w:hAnsi="宋体" w:cs="宋体"/>
          <w:color w:val="auto"/>
          <w:kern w:val="0"/>
          <w:sz w:val="24"/>
          <w:szCs w:val="24"/>
          <w:highlight w:val="none"/>
        </w:rPr>
        <w:t>乙方应按照批复文件完成修订版设计文件编制。乙方项目总负责人和规划设计人应参加技术上门沟通解释工作。</w:t>
      </w:r>
    </w:p>
    <w:p>
      <w:pPr>
        <w:adjustRightInd w:val="0"/>
        <w:snapToGrid w:val="0"/>
        <w:spacing w:line="360" w:lineRule="auto"/>
        <w:ind w:firstLine="482" w:firstLineChars="200"/>
        <w:outlineLvl w:val="2"/>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7.7.3</w:t>
      </w:r>
      <w:r>
        <w:rPr>
          <w:rFonts w:hint="eastAsia" w:ascii="宋体" w:hAnsi="宋体" w:cs="宋体"/>
          <w:color w:val="auto"/>
          <w:kern w:val="0"/>
          <w:sz w:val="24"/>
          <w:szCs w:val="24"/>
          <w:highlight w:val="none"/>
        </w:rPr>
        <w:t>乙方应无条件按照主管部门的相关批复意见，修改好设计和相关文件，并提交修改后的终稿5份。</w:t>
      </w:r>
    </w:p>
    <w:p>
      <w:pPr>
        <w:adjustRightInd w:val="0"/>
        <w:snapToGrid w:val="0"/>
        <w:spacing w:line="360" w:lineRule="auto"/>
        <w:ind w:firstLine="480" w:firstLineChars="200"/>
        <w:rPr>
          <w:rFonts w:ascii="宋体" w:hAnsi="宋体" w:cs="宋体"/>
          <w:color w:val="auto"/>
          <w:kern w:val="0"/>
          <w:sz w:val="24"/>
          <w:szCs w:val="24"/>
          <w:highlight w:val="none"/>
        </w:rPr>
      </w:pPr>
    </w:p>
    <w:p>
      <w:pPr>
        <w:adjustRightInd w:val="0"/>
        <w:snapToGrid w:val="0"/>
        <w:spacing w:line="360" w:lineRule="auto"/>
        <w:ind w:firstLine="482" w:firstLineChars="200"/>
        <w:outlineLvl w:val="2"/>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8、设计人员</w:t>
      </w:r>
    </w:p>
    <w:p>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ascii="宋体" w:hAnsi="宋体" w:cs="宋体"/>
          <w:b/>
          <w:color w:val="auto"/>
          <w:kern w:val="0"/>
          <w:sz w:val="24"/>
          <w:szCs w:val="24"/>
          <w:highlight w:val="none"/>
          <w:u w:val="single"/>
        </w:rPr>
      </w:pPr>
      <w:r>
        <w:rPr>
          <w:rFonts w:hint="eastAsia" w:ascii="宋体" w:hAnsi="宋体" w:eastAsia="宋体" w:cs="宋体"/>
          <w:b/>
          <w:bCs w:val="0"/>
          <w:color w:val="auto"/>
          <w:kern w:val="0"/>
          <w:sz w:val="24"/>
          <w:szCs w:val="24"/>
          <w:highlight w:val="none"/>
          <w:u w:val="single"/>
          <w:lang w:val="en-US" w:eastAsia="zh-CN" w:bidi="ar"/>
        </w:rPr>
        <w:t>无论是投标文件中承诺的相关人员或者是根据甲方要求更换、增加的相关人员，均必须是乙方在职人员（需提供社保证明，退休返聘人员除外；如为后者，需提供退休证明及单位聘用证明）。在设计管理等本合同履行期间，甲方有权要求乙方提供相应人员近一个月或以上的在本单位的有效社保缴纳证明文件。乙方无法提供的，视为未按合同约定投入人员</w:t>
      </w:r>
      <w:r>
        <w:rPr>
          <w:rFonts w:hint="eastAsia" w:ascii="宋体" w:hAnsi="宋体" w:cs="宋体"/>
          <w:b/>
          <w:color w:val="auto"/>
          <w:kern w:val="0"/>
          <w:sz w:val="24"/>
          <w:szCs w:val="24"/>
          <w:highlight w:val="none"/>
          <w:u w:val="single"/>
        </w:rPr>
        <w:t>。</w:t>
      </w:r>
    </w:p>
    <w:p>
      <w:pPr>
        <w:adjustRightInd w:val="0"/>
        <w:snapToGrid w:val="0"/>
        <w:spacing w:line="360" w:lineRule="auto"/>
        <w:ind w:firstLine="482" w:firstLineChars="200"/>
        <w:outlineLvl w:val="3"/>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8.1</w:t>
      </w:r>
      <w:r>
        <w:rPr>
          <w:rFonts w:hint="eastAsia" w:ascii="宋体" w:hAnsi="宋体" w:cs="宋体"/>
          <w:color w:val="auto"/>
          <w:kern w:val="0"/>
          <w:sz w:val="24"/>
          <w:szCs w:val="24"/>
          <w:highlight w:val="none"/>
        </w:rPr>
        <w:t>为确保本合同工程的设计质量，在明确分工各负其责的基础上，乙方（包括乙方分包单位）在本合同履行期内为本合同工程派出的设计总负责人、设计驻场总负责人、各专业设计负责人、各专业设计驻场代表的职务、资历、资格须满足招标文件及合同约定。在本合同履行期间，非经过甲方同意，不得更换或再参与本合同项目以外的其他工作。设计总负责人可以参与学术及公司经营，但设计总负责人必须履行负责人职责，不得缺席要求由总负责人参加的会议。</w:t>
      </w:r>
    </w:p>
    <w:p>
      <w:pPr>
        <w:adjustRightInd w:val="0"/>
        <w:snapToGrid w:val="0"/>
        <w:spacing w:line="360" w:lineRule="auto"/>
        <w:ind w:firstLine="480" w:firstLineChars="200"/>
        <w:outlineLvl w:val="3"/>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项目总负责人及各专业负责人须参加与本项目相关的勘察设计的工作联席会议、各阶段设计成果汇报会议、重大技术问题协调会议、方案比选研究会议、专家评审会议等，并做好汇报工作。</w:t>
      </w:r>
    </w:p>
    <w:p>
      <w:pPr>
        <w:adjustRightInd w:val="0"/>
        <w:snapToGrid w:val="0"/>
        <w:spacing w:line="360" w:lineRule="auto"/>
        <w:ind w:firstLine="482" w:firstLineChars="200"/>
        <w:outlineLvl w:val="3"/>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8.2</w:t>
      </w:r>
      <w:r>
        <w:rPr>
          <w:rFonts w:hint="eastAsia" w:ascii="宋体" w:hAnsi="宋体" w:cs="宋体"/>
          <w:color w:val="auto"/>
          <w:kern w:val="0"/>
          <w:sz w:val="24"/>
          <w:szCs w:val="24"/>
          <w:highlight w:val="none"/>
        </w:rPr>
        <w:t>乙方应根据设计任务建立项目组，项目组设组长1名，副组长2名（其中1人为设计驻场总负责人）。乙方须从组织上保证投入的人力、物力能满足设计开展的需要，保证不同设计时段设计工作的连续性和外部条件接口衔接的连贯性。</w:t>
      </w:r>
    </w:p>
    <w:p>
      <w:pPr>
        <w:adjustRightInd w:val="0"/>
        <w:snapToGrid w:val="0"/>
        <w:spacing w:line="360" w:lineRule="auto"/>
        <w:ind w:firstLine="482" w:firstLineChars="200"/>
        <w:outlineLvl w:val="3"/>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8.3</w:t>
      </w:r>
      <w:r>
        <w:rPr>
          <w:rFonts w:hint="eastAsia" w:ascii="宋体" w:hAnsi="宋体" w:cs="宋体"/>
          <w:color w:val="auto"/>
          <w:kern w:val="0"/>
          <w:sz w:val="24"/>
          <w:szCs w:val="24"/>
          <w:highlight w:val="none"/>
        </w:rPr>
        <w:t>乙方如为境外机构，必须自行配备专业翻译一名。</w:t>
      </w:r>
    </w:p>
    <w:p>
      <w:pPr>
        <w:adjustRightInd w:val="0"/>
        <w:snapToGrid w:val="0"/>
        <w:spacing w:line="360" w:lineRule="auto"/>
        <w:ind w:firstLine="482" w:firstLineChars="200"/>
        <w:outlineLvl w:val="3"/>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8.4</w:t>
      </w:r>
      <w:r>
        <w:rPr>
          <w:rFonts w:hint="eastAsia" w:ascii="宋体" w:hAnsi="宋体" w:cs="宋体"/>
          <w:color w:val="auto"/>
          <w:kern w:val="0"/>
          <w:sz w:val="24"/>
          <w:szCs w:val="24"/>
          <w:highlight w:val="none"/>
        </w:rPr>
        <w:t>专业设计单位（如有）必须成立设计项目组按照甲方的指令在规定的时间和指定的场所，在勘察、设计总承包单位的统一管理和协调下开展各项设计工作，确保设计进度和质量。设计项目组人员组成必须满足招标文件及合同约定的要求。</w:t>
      </w:r>
    </w:p>
    <w:p>
      <w:pPr>
        <w:adjustRightInd w:val="0"/>
        <w:snapToGrid w:val="0"/>
        <w:spacing w:line="360" w:lineRule="auto"/>
        <w:ind w:firstLine="482" w:firstLineChars="200"/>
        <w:outlineLvl w:val="3"/>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8.5</w:t>
      </w:r>
      <w:r>
        <w:rPr>
          <w:rFonts w:hint="eastAsia" w:ascii="宋体" w:hAnsi="宋体" w:cs="宋体"/>
          <w:color w:val="auto"/>
          <w:kern w:val="0"/>
          <w:sz w:val="24"/>
          <w:szCs w:val="24"/>
          <w:highlight w:val="none"/>
        </w:rPr>
        <w:t>甲方认为设计总负责人、设计驻场总负责人、各专业设计负责人、各专业设计驻场代表不称职时，有权向乙方发出书面更换人员通知，乙方应当在收到甲方的书面通知后5天内更换，更换人员的职务、资历、资格不得低于本合同相应条款的要求，且更换人员须先经过甲方确认。若乙方对甲方要求更换人员有异议时，可申请复议一次，若经复议后甲方仍然要求更换，则乙方应无条件进行更换，否则视乙方该人员从甲方发出更换通知的时间开始擅自离岗。</w:t>
      </w:r>
    </w:p>
    <w:p>
      <w:pPr>
        <w:adjustRightInd w:val="0"/>
        <w:snapToGrid w:val="0"/>
        <w:spacing w:line="360" w:lineRule="auto"/>
        <w:ind w:firstLine="482" w:firstLineChars="200"/>
        <w:outlineLvl w:val="3"/>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8.6</w:t>
      </w:r>
      <w:r>
        <w:rPr>
          <w:rFonts w:hint="eastAsia" w:ascii="宋体" w:hAnsi="宋体" w:cs="宋体"/>
          <w:color w:val="auto"/>
          <w:kern w:val="0"/>
          <w:sz w:val="24"/>
          <w:szCs w:val="24"/>
          <w:highlight w:val="none"/>
        </w:rPr>
        <w:t>当甲方认为乙方及其分包单位的设计人员、驻场人员及管理服务人员的数量、专业水平、专业配套等达不到设计所需时，甲方有权要求乙方更换及补充相关人员，直至满足设计工作要求为止，否则甲方有权扣减设计费直至解除合同等。</w:t>
      </w:r>
    </w:p>
    <w:p>
      <w:pPr>
        <w:adjustRightInd w:val="0"/>
        <w:snapToGrid w:val="0"/>
        <w:spacing w:line="360" w:lineRule="auto"/>
        <w:ind w:firstLine="482" w:firstLineChars="200"/>
        <w:rPr>
          <w:rFonts w:ascii="宋体" w:hAnsi="宋体" w:cs="宋体"/>
          <w:dstrike/>
          <w:color w:val="auto"/>
          <w:kern w:val="0"/>
          <w:sz w:val="24"/>
          <w:szCs w:val="24"/>
          <w:highlight w:val="none"/>
        </w:rPr>
      </w:pPr>
      <w:r>
        <w:rPr>
          <w:rFonts w:hint="eastAsia" w:ascii="宋体" w:hAnsi="宋体" w:cs="宋体"/>
          <w:b/>
          <w:color w:val="auto"/>
          <w:kern w:val="0"/>
          <w:sz w:val="24"/>
          <w:szCs w:val="24"/>
          <w:highlight w:val="none"/>
        </w:rPr>
        <w:t>8.7</w:t>
      </w:r>
      <w:r>
        <w:rPr>
          <w:rFonts w:hint="eastAsia" w:ascii="宋体" w:hAnsi="宋体" w:cs="宋体"/>
          <w:color w:val="auto"/>
          <w:kern w:val="0"/>
          <w:sz w:val="24"/>
          <w:szCs w:val="24"/>
          <w:highlight w:val="none"/>
        </w:rPr>
        <w:t>在设计高峰或甲方认为有必要时，乙方必须集中力量确保设计进度。</w:t>
      </w:r>
    </w:p>
    <w:p>
      <w:pPr>
        <w:adjustRightInd w:val="0"/>
        <w:snapToGrid w:val="0"/>
        <w:spacing w:line="360" w:lineRule="auto"/>
        <w:ind w:firstLine="482" w:firstLineChars="200"/>
        <w:outlineLvl w:val="3"/>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8.8</w:t>
      </w:r>
      <w:r>
        <w:rPr>
          <w:rFonts w:hint="eastAsia" w:ascii="宋体" w:hAnsi="宋体" w:cs="宋体"/>
          <w:color w:val="auto"/>
          <w:kern w:val="0"/>
          <w:sz w:val="24"/>
          <w:szCs w:val="24"/>
          <w:highlight w:val="none"/>
        </w:rPr>
        <w:t>为保证项目组人员的稳定性，对设计人员实施拍照式管理，要求乙方提供项目全部设计人员及驻场服务人员的照片和签字证明，在项目实施过程中不可随意撤换，且短时离开本地须向甲方请假并指定离开后的协调人，否则必须承担相应责任。</w:t>
      </w:r>
    </w:p>
    <w:p>
      <w:pPr>
        <w:pStyle w:val="10"/>
        <w:adjustRightInd w:val="0"/>
        <w:snapToGrid w:val="0"/>
        <w:spacing w:beforeAutospacing="0" w:afterAutospacing="0" w:line="360" w:lineRule="auto"/>
        <w:rPr>
          <w:rFonts w:hint="default"/>
          <w:color w:val="auto"/>
          <w:highlight w:val="none"/>
        </w:rPr>
      </w:pPr>
    </w:p>
    <w:p>
      <w:pPr>
        <w:adjustRightInd w:val="0"/>
        <w:snapToGrid w:val="0"/>
        <w:spacing w:line="360" w:lineRule="auto"/>
        <w:ind w:firstLine="472" w:firstLineChars="196"/>
        <w:outlineLvl w:val="2"/>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9、设计成果文件的提交</w:t>
      </w:r>
    </w:p>
    <w:p>
      <w:pPr>
        <w:spacing w:after="156" w:afterLines="50"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kern w:val="0"/>
          <w:sz w:val="24"/>
          <w:szCs w:val="24"/>
          <w:highlight w:val="none"/>
        </w:rPr>
        <w:t>9.1</w:t>
      </w:r>
      <w:r>
        <w:rPr>
          <w:rFonts w:hint="eastAsia" w:ascii="宋体" w:hAnsi="宋体" w:cs="宋体"/>
          <w:color w:val="auto"/>
          <w:sz w:val="24"/>
          <w:szCs w:val="24"/>
          <w:highlight w:val="none"/>
        </w:rPr>
        <w:t>乙方提交的设计成果文件应满足合同约定的时间要求；相关设计成果文件的质量须一次性通过甲方或甲方委托的第三方根据合同约定标准进行的审核。乙方设计成果文件的提交时间以符合合同约定质量的设计成果文件的提交时间为准。</w:t>
      </w:r>
      <w:r>
        <w:rPr>
          <w:rFonts w:hint="eastAsia" w:ascii="宋体" w:hAnsi="宋体" w:cs="宋体"/>
          <w:b/>
          <w:color w:val="auto"/>
          <w:sz w:val="24"/>
          <w:szCs w:val="24"/>
          <w:highlight w:val="none"/>
        </w:rPr>
        <w:t>乙方除应按以下要求向甲方交付设计成果文件外，还应提交模型、施工图设计文件中所引用图集的复印件、专业工程施工大样图、材料设备技术要求书等。</w:t>
      </w:r>
      <w:r>
        <w:rPr>
          <w:rFonts w:hint="eastAsia" w:ascii="宋体" w:hAnsi="宋体" w:cs="宋体"/>
          <w:color w:val="auto"/>
          <w:sz w:val="24"/>
          <w:szCs w:val="24"/>
          <w:highlight w:val="none"/>
        </w:rPr>
        <w:t>设计成果文件提交的时间及套数如下，乙方对应本合同范围内各阶段相应提交：</w:t>
      </w:r>
    </w:p>
    <w:tbl>
      <w:tblPr>
        <w:tblStyle w:val="11"/>
        <w:tblW w:w="95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7"/>
        <w:gridCol w:w="1135"/>
        <w:gridCol w:w="2692"/>
        <w:gridCol w:w="1560"/>
        <w:gridCol w:w="1559"/>
        <w:gridCol w:w="18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Courier New"/>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序号</w:t>
            </w:r>
          </w:p>
        </w:tc>
        <w:tc>
          <w:tcPr>
            <w:tcW w:w="382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420" w:firstLineChars="200"/>
              <w:jc w:val="both"/>
              <w:rPr>
                <w:rFonts w:hint="default" w:ascii="宋体" w:hAnsi="宋体" w:eastAsia="宋体" w:cs="Courier New"/>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资料及文件名称</w:t>
            </w:r>
          </w:p>
        </w:tc>
        <w:tc>
          <w:tcPr>
            <w:tcW w:w="15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Courier New"/>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提交日期</w:t>
            </w:r>
          </w:p>
        </w:tc>
        <w:tc>
          <w:tcPr>
            <w:tcW w:w="155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Courier New"/>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份数</w:t>
            </w:r>
          </w:p>
        </w:tc>
        <w:tc>
          <w:tcPr>
            <w:tcW w:w="180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420" w:firstLineChars="200"/>
              <w:jc w:val="both"/>
              <w:rPr>
                <w:rFonts w:hint="default" w:ascii="宋体" w:hAnsi="宋体" w:eastAsia="宋体" w:cs="Courier New"/>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Courier New"/>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382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Courier New"/>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深化方案设计成果文件（含修规设计、工程估算、三维数据模型</w:t>
            </w:r>
            <w:r>
              <w:rPr>
                <w:rFonts w:hint="default" w:ascii="宋体" w:hAnsi="宋体" w:eastAsia="宋体" w:cs="宋体"/>
                <w:strike w:val="0"/>
                <w:dstrike w:val="0"/>
                <w:color w:val="auto"/>
                <w:kern w:val="2"/>
                <w:sz w:val="21"/>
                <w:szCs w:val="21"/>
                <w:highlight w:val="none"/>
                <w:lang w:eastAsia="zh-CN" w:bidi="ar"/>
              </w:rPr>
              <w:t>、</w:t>
            </w:r>
            <w:r>
              <w:rPr>
                <w:rFonts w:hint="eastAsia" w:ascii="宋体" w:hAnsi="宋体" w:eastAsia="宋体" w:cs="宋体"/>
                <w:strike w:val="0"/>
                <w:dstrike w:val="0"/>
                <w:color w:val="auto"/>
                <w:kern w:val="2"/>
                <w:sz w:val="22"/>
                <w:szCs w:val="22"/>
                <w:highlight w:val="none"/>
                <w:lang w:val="en-US" w:eastAsia="zh-CN" w:bidi="ar"/>
              </w:rPr>
              <w:t>前期摸查报告等</w:t>
            </w:r>
            <w:r>
              <w:rPr>
                <w:rFonts w:hint="eastAsia" w:ascii="宋体" w:hAnsi="宋体" w:eastAsia="宋体" w:cs="宋体"/>
                <w:color w:val="auto"/>
                <w:kern w:val="2"/>
                <w:sz w:val="21"/>
                <w:szCs w:val="21"/>
                <w:highlight w:val="none"/>
                <w:lang w:val="en-US" w:eastAsia="zh-CN" w:bidi="ar"/>
              </w:rPr>
              <w:t>）</w:t>
            </w:r>
          </w:p>
        </w:tc>
        <w:tc>
          <w:tcPr>
            <w:tcW w:w="15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Courier New"/>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中标后30天内；或按工作计划</w:t>
            </w:r>
          </w:p>
        </w:tc>
        <w:tc>
          <w:tcPr>
            <w:tcW w:w="155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Courier New"/>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6份或按甲方要求提供</w:t>
            </w:r>
          </w:p>
        </w:tc>
        <w:tc>
          <w:tcPr>
            <w:tcW w:w="180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Courier New"/>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电子文档1份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Courier New"/>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382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Courier New"/>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规划报建相关设计成果文件</w:t>
            </w:r>
          </w:p>
        </w:tc>
        <w:tc>
          <w:tcPr>
            <w:tcW w:w="15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Courier New"/>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按工作计划</w:t>
            </w:r>
          </w:p>
        </w:tc>
        <w:tc>
          <w:tcPr>
            <w:tcW w:w="155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Courier New"/>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按报建要求或甲方要求提供</w:t>
            </w:r>
          </w:p>
        </w:tc>
        <w:tc>
          <w:tcPr>
            <w:tcW w:w="180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Courier New"/>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电子文档1份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Courier New"/>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p>
        </w:tc>
        <w:tc>
          <w:tcPr>
            <w:tcW w:w="382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Courier New"/>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方案设计报建相关设计成果文件</w:t>
            </w:r>
          </w:p>
        </w:tc>
        <w:tc>
          <w:tcPr>
            <w:tcW w:w="15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Courier New"/>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按工作计划</w:t>
            </w:r>
          </w:p>
        </w:tc>
        <w:tc>
          <w:tcPr>
            <w:tcW w:w="155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Courier New"/>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按报建要求或甲方要求提供</w:t>
            </w:r>
          </w:p>
        </w:tc>
        <w:tc>
          <w:tcPr>
            <w:tcW w:w="180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Courier New"/>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电子文档1份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Courier New"/>
                <w:color w:val="auto"/>
                <w:kern w:val="2"/>
                <w:sz w:val="21"/>
                <w:szCs w:val="21"/>
                <w:highlight w:val="none"/>
              </w:rPr>
            </w:pPr>
            <w:r>
              <w:rPr>
                <w:rFonts w:hint="eastAsia" w:ascii="宋体" w:hAnsi="宋体" w:eastAsia="宋体" w:cs="Courier New"/>
                <w:color w:val="auto"/>
                <w:kern w:val="2"/>
                <w:sz w:val="21"/>
                <w:szCs w:val="21"/>
                <w:highlight w:val="none"/>
                <w:lang w:val="en-US" w:eastAsia="zh-CN" w:bidi="ar"/>
              </w:rPr>
              <w:t>4</w:t>
            </w:r>
          </w:p>
        </w:tc>
        <w:tc>
          <w:tcPr>
            <w:tcW w:w="382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Courier New"/>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结构超限设计相关文件（若超限）</w:t>
            </w:r>
          </w:p>
        </w:tc>
        <w:tc>
          <w:tcPr>
            <w:tcW w:w="15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Courier New"/>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按工作计划</w:t>
            </w:r>
          </w:p>
        </w:tc>
        <w:tc>
          <w:tcPr>
            <w:tcW w:w="155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Courier New"/>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6份或按甲方要求提供</w:t>
            </w:r>
          </w:p>
        </w:tc>
        <w:tc>
          <w:tcPr>
            <w:tcW w:w="180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Courier New"/>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电子文档</w:t>
            </w:r>
            <w:r>
              <w:rPr>
                <w:rFonts w:hint="eastAsia" w:ascii="宋体" w:hAnsi="宋体" w:eastAsia="宋体" w:cs="Courier New"/>
                <w:color w:val="auto"/>
                <w:kern w:val="2"/>
                <w:sz w:val="21"/>
                <w:szCs w:val="21"/>
                <w:highlight w:val="none"/>
                <w:lang w:val="en-US" w:eastAsia="zh-CN" w:bidi="ar"/>
              </w:rPr>
              <w:t>1份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Courier New"/>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w:t>
            </w:r>
          </w:p>
        </w:tc>
        <w:tc>
          <w:tcPr>
            <w:tcW w:w="382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Courier New"/>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初步设计成果文件（含概算）</w:t>
            </w:r>
          </w:p>
        </w:tc>
        <w:tc>
          <w:tcPr>
            <w:tcW w:w="15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Courier New"/>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深化方案确定后45天内；或按工作计划</w:t>
            </w:r>
          </w:p>
        </w:tc>
        <w:tc>
          <w:tcPr>
            <w:tcW w:w="155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Courier New"/>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10份或按甲方要求提供</w:t>
            </w:r>
          </w:p>
        </w:tc>
        <w:tc>
          <w:tcPr>
            <w:tcW w:w="180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Courier New"/>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电子文档1份（含符合评审要求的软件版）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Courier New"/>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w:t>
            </w:r>
          </w:p>
        </w:tc>
        <w:tc>
          <w:tcPr>
            <w:tcW w:w="382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Courier New"/>
                <w:b/>
                <w:bCs w:val="0"/>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初步设计阶段相关报建、报批成果文件</w:t>
            </w:r>
          </w:p>
        </w:tc>
        <w:tc>
          <w:tcPr>
            <w:tcW w:w="15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Courier New"/>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按工作计划</w:t>
            </w:r>
          </w:p>
        </w:tc>
        <w:tc>
          <w:tcPr>
            <w:tcW w:w="155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Courier New"/>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按报建要求或甲方要求提供</w:t>
            </w:r>
          </w:p>
        </w:tc>
        <w:tc>
          <w:tcPr>
            <w:tcW w:w="180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Courier New"/>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电子文档1份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Courier New"/>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w:t>
            </w:r>
          </w:p>
        </w:tc>
        <w:tc>
          <w:tcPr>
            <w:tcW w:w="382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Courier New"/>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施工图设计成果文件（送施工图审查单位审查，含投资分析报告</w:t>
            </w:r>
            <w:r>
              <w:rPr>
                <w:rFonts w:hint="default" w:ascii="宋体" w:hAnsi="宋体" w:eastAsia="宋体" w:cs="宋体"/>
                <w:strike/>
                <w:dstrike w:val="0"/>
                <w:color w:val="auto"/>
                <w:kern w:val="2"/>
                <w:sz w:val="21"/>
                <w:szCs w:val="21"/>
                <w:highlight w:val="none"/>
                <w:lang w:eastAsia="zh-CN" w:bidi="ar"/>
              </w:rPr>
              <w:t>，</w:t>
            </w:r>
            <w:r>
              <w:rPr>
                <w:rFonts w:hint="eastAsia" w:ascii="宋体" w:hAnsi="宋体" w:eastAsia="宋体" w:cs="宋体"/>
                <w:strike/>
                <w:dstrike w:val="0"/>
                <w:color w:val="auto"/>
                <w:kern w:val="2"/>
                <w:sz w:val="22"/>
                <w:szCs w:val="22"/>
                <w:highlight w:val="none"/>
                <w:lang w:val="en-US" w:eastAsia="zh-CN" w:bidi="ar"/>
              </w:rPr>
              <w:t>主要设备材料技术要求书</w:t>
            </w:r>
            <w:r>
              <w:rPr>
                <w:rFonts w:hint="eastAsia" w:ascii="宋体" w:hAnsi="宋体" w:eastAsia="宋体" w:cs="宋体"/>
                <w:color w:val="auto"/>
                <w:kern w:val="2"/>
                <w:sz w:val="21"/>
                <w:szCs w:val="21"/>
                <w:highlight w:val="none"/>
                <w:lang w:val="en-US" w:eastAsia="zh-CN" w:bidi="ar"/>
              </w:rPr>
              <w:t>）</w:t>
            </w:r>
          </w:p>
        </w:tc>
        <w:tc>
          <w:tcPr>
            <w:tcW w:w="15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Courier New"/>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深化方案确定后90天；或按工作计划</w:t>
            </w:r>
          </w:p>
        </w:tc>
        <w:tc>
          <w:tcPr>
            <w:tcW w:w="155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Courier New"/>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20份或按甲方要求提供</w:t>
            </w:r>
          </w:p>
        </w:tc>
        <w:tc>
          <w:tcPr>
            <w:tcW w:w="180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Courier New"/>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投资分析报告20份；电子文档2份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1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Courier New"/>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w:t>
            </w:r>
          </w:p>
        </w:tc>
        <w:tc>
          <w:tcPr>
            <w:tcW w:w="1135"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Courier New"/>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施工图（按施工图审查单位意见修改并审批通过，包括主要材料清单、技术规范要求等文件）</w:t>
            </w:r>
          </w:p>
        </w:tc>
        <w:tc>
          <w:tcPr>
            <w:tcW w:w="269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Courier New"/>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施工报建的成果文件</w:t>
            </w:r>
            <w:r>
              <w:rPr>
                <w:rFonts w:hint="eastAsia" w:ascii="宋体" w:hAnsi="宋体" w:eastAsia="宋体" w:cs="宋体"/>
                <w:color w:val="auto"/>
                <w:kern w:val="2"/>
                <w:sz w:val="22"/>
                <w:szCs w:val="22"/>
                <w:highlight w:val="none"/>
                <w:lang w:val="en-US" w:eastAsia="zh-CN" w:bidi="ar"/>
              </w:rPr>
              <w:t>（含管线三维电子模型、管线综合平衡施工图）</w:t>
            </w:r>
          </w:p>
        </w:tc>
        <w:tc>
          <w:tcPr>
            <w:tcW w:w="15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Courier New"/>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按工作计划</w:t>
            </w:r>
          </w:p>
        </w:tc>
        <w:tc>
          <w:tcPr>
            <w:tcW w:w="155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Courier New"/>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按报建要求或甲方要求提供</w:t>
            </w:r>
          </w:p>
        </w:tc>
        <w:tc>
          <w:tcPr>
            <w:tcW w:w="180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Courier New"/>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电子文档1份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17"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5"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69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Courier New"/>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施工图</w:t>
            </w:r>
          </w:p>
        </w:tc>
        <w:tc>
          <w:tcPr>
            <w:tcW w:w="15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Courier New"/>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深化方案确定后90天；或按工作计划</w:t>
            </w:r>
          </w:p>
        </w:tc>
        <w:tc>
          <w:tcPr>
            <w:tcW w:w="155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Courier New"/>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21份或按甲方要求提供</w:t>
            </w:r>
          </w:p>
        </w:tc>
        <w:tc>
          <w:tcPr>
            <w:tcW w:w="180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Courier New"/>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电子文档1份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17"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5"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69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2"/>
                <w:szCs w:val="22"/>
                <w:highlight w:val="none"/>
                <w:lang w:val="en-US" w:eastAsia="zh-CN" w:bidi="ar"/>
              </w:rPr>
              <w:t>造价预算</w:t>
            </w:r>
          </w:p>
        </w:tc>
        <w:tc>
          <w:tcPr>
            <w:tcW w:w="15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2"/>
                <w:szCs w:val="22"/>
                <w:highlight w:val="none"/>
                <w:lang w:val="en-US" w:eastAsia="zh-CN" w:bidi="ar"/>
              </w:rPr>
              <w:t>施工图设计完成后7个工作日内</w:t>
            </w:r>
            <w:r>
              <w:rPr>
                <w:rFonts w:hint="eastAsia" w:ascii="宋体" w:hAnsi="宋体" w:eastAsia="宋体" w:cs="宋体"/>
                <w:color w:val="auto"/>
                <w:kern w:val="2"/>
                <w:sz w:val="21"/>
                <w:szCs w:val="21"/>
                <w:highlight w:val="none"/>
                <w:lang w:val="en-US" w:eastAsia="zh-CN" w:bidi="ar"/>
              </w:rPr>
              <w:t>；或按工作计划</w:t>
            </w:r>
          </w:p>
        </w:tc>
        <w:tc>
          <w:tcPr>
            <w:tcW w:w="155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2"/>
                <w:szCs w:val="22"/>
                <w:highlight w:val="none"/>
                <w:lang w:val="en-US" w:eastAsia="zh-CN" w:bidi="ar"/>
              </w:rPr>
              <w:t>15份，或按甲方要求提供</w:t>
            </w:r>
          </w:p>
        </w:tc>
        <w:tc>
          <w:tcPr>
            <w:tcW w:w="180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2"/>
                <w:szCs w:val="22"/>
                <w:highlight w:val="none"/>
                <w:lang w:val="en-US" w:eastAsia="zh-CN" w:bidi="ar"/>
              </w:rPr>
              <w:t>电子文档1份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817"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5"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69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Courier New"/>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完整版施工图</w:t>
            </w:r>
          </w:p>
        </w:tc>
        <w:tc>
          <w:tcPr>
            <w:tcW w:w="15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Courier New"/>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竣工验收前</w:t>
            </w:r>
          </w:p>
        </w:tc>
        <w:tc>
          <w:tcPr>
            <w:tcW w:w="155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Courier New"/>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21份或按甲方要求提供</w:t>
            </w:r>
          </w:p>
        </w:tc>
        <w:tc>
          <w:tcPr>
            <w:tcW w:w="180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Courier New"/>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电子文档1份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Courier New"/>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w:t>
            </w:r>
          </w:p>
        </w:tc>
        <w:tc>
          <w:tcPr>
            <w:tcW w:w="382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Courier New"/>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总图设计成果文件（包括区域内各相关专业、管线综合、园林景观等内容）</w:t>
            </w:r>
          </w:p>
        </w:tc>
        <w:tc>
          <w:tcPr>
            <w:tcW w:w="15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Courier New"/>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根据实际情况，按工作计划</w:t>
            </w:r>
          </w:p>
        </w:tc>
        <w:tc>
          <w:tcPr>
            <w:tcW w:w="155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Courier New"/>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按甲方要求提供</w:t>
            </w:r>
          </w:p>
        </w:tc>
        <w:tc>
          <w:tcPr>
            <w:tcW w:w="180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Courier New"/>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电子文档1份</w:t>
            </w:r>
          </w:p>
        </w:tc>
      </w:tr>
    </w:tbl>
    <w:p>
      <w:pPr>
        <w:spacing w:after="156" w:afterLines="50" w:line="360" w:lineRule="auto"/>
        <w:ind w:firstLine="480" w:firstLineChars="200"/>
        <w:rPr>
          <w:rFonts w:hint="eastAsia" w:ascii="宋体" w:hAnsi="宋体" w:cs="宋体"/>
          <w:color w:val="auto"/>
          <w:sz w:val="24"/>
          <w:szCs w:val="24"/>
          <w:highlight w:val="none"/>
        </w:rPr>
      </w:pPr>
    </w:p>
    <w:p>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(备注：上述各阶段成果提交时间由甲方控制，可根据实际情况调整；各配合阶段&lt;如招标阶段、施工阶段&gt;及设计变更等所需文件份数及时间按合同约定和甲方要求执行。）</w:t>
      </w:r>
    </w:p>
    <w:p>
      <w:pPr>
        <w:pStyle w:val="10"/>
        <w:adjustRightInd w:val="0"/>
        <w:snapToGrid w:val="0"/>
        <w:spacing w:beforeAutospacing="0" w:afterAutospacing="0" w:line="360" w:lineRule="auto"/>
        <w:ind w:firstLine="472" w:firstLineChars="196"/>
        <w:outlineLvl w:val="4"/>
        <w:rPr>
          <w:rFonts w:hint="default"/>
          <w:color w:val="auto"/>
          <w:highlight w:val="none"/>
        </w:rPr>
      </w:pPr>
      <w:r>
        <w:rPr>
          <w:b/>
          <w:color w:val="auto"/>
          <w:highlight w:val="none"/>
        </w:rPr>
        <w:t>9.2</w:t>
      </w:r>
      <w:r>
        <w:rPr>
          <w:rFonts w:cs="宋体"/>
          <w:color w:val="auto"/>
          <w:highlight w:val="none"/>
        </w:rPr>
        <w:t>乙方必须按照经过甲方审批确定的设计进度计划及时提交设计中间资料，以满足甲方开展有关工作的需要，有关费用已包含在本合同约定的设计费用之内。</w:t>
      </w:r>
    </w:p>
    <w:p>
      <w:pPr>
        <w:pStyle w:val="10"/>
        <w:adjustRightInd w:val="0"/>
        <w:snapToGrid w:val="0"/>
        <w:spacing w:beforeAutospacing="0" w:afterAutospacing="0" w:line="360" w:lineRule="auto"/>
        <w:ind w:firstLine="470" w:firstLineChars="196"/>
        <w:outlineLvl w:val="4"/>
        <w:rPr>
          <w:rFonts w:hint="default"/>
          <w:color w:val="auto"/>
          <w:highlight w:val="none"/>
        </w:rPr>
      </w:pPr>
      <w:r>
        <w:rPr>
          <w:rFonts w:cs="宋体"/>
          <w:color w:val="auto"/>
          <w:highlight w:val="none"/>
        </w:rPr>
        <w:t>由于项目工期紧迫，乙方必须按照经过甲方审批确定的设计进度计划采用适当穿插推进的方式开展方案设计、初步设计、施工图设计，以及提供设计服务（包括报审报建配合服务、招标配合服务和现场服务工作等）。在方案设计获得确定后开展初步设计，在初步设计获得甲方确认后同时开展初步设计报建及启动施工图设计工作；在各专业施工图经过甲方确认后，同步配合甲方进行施工招标工作，并按甲方要求提交施工图、设备、材料采购的技术文件等相关设计成果文件供招标使用。</w:t>
      </w:r>
    </w:p>
    <w:p>
      <w:pPr>
        <w:adjustRightInd w:val="0"/>
        <w:snapToGrid w:val="0"/>
        <w:spacing w:line="360" w:lineRule="auto"/>
        <w:ind w:firstLine="482" w:firstLineChars="200"/>
        <w:outlineLvl w:val="3"/>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9.3</w:t>
      </w:r>
      <w:r>
        <w:rPr>
          <w:rFonts w:hint="eastAsia" w:ascii="宋体" w:hAnsi="宋体" w:cs="宋体"/>
          <w:color w:val="auto"/>
          <w:kern w:val="0"/>
          <w:sz w:val="24"/>
          <w:szCs w:val="24"/>
          <w:highlight w:val="none"/>
        </w:rPr>
        <w:t>乙方向甲方提交的各版次设计成果文件应满足勘察设计文件审批的要求及本合同工程各阶段建设的需要。</w:t>
      </w:r>
      <w:r>
        <w:rPr>
          <w:rFonts w:ascii="宋体" w:hAnsi="宋体" w:cs="宋体"/>
          <w:color w:val="auto"/>
          <w:kern w:val="0"/>
          <w:sz w:val="24"/>
          <w:szCs w:val="24"/>
          <w:highlight w:val="none"/>
        </w:rPr>
        <w:t>同时，乙方应按照《广州市工程建设项目审批制度改革试点工作领导小组办公室关于开展房屋建筑工程电子图纸全过程流转应用工作的通知》的程序及要求，上传并进行电子图纸（CAD、BIM模型）的全过程流转工作。</w:t>
      </w:r>
    </w:p>
    <w:p>
      <w:pPr>
        <w:adjustRightInd w:val="0"/>
        <w:snapToGrid w:val="0"/>
        <w:spacing w:line="360" w:lineRule="auto"/>
        <w:ind w:firstLine="482" w:firstLineChars="200"/>
        <w:outlineLvl w:val="3"/>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9.4</w:t>
      </w:r>
      <w:r>
        <w:rPr>
          <w:rFonts w:hint="eastAsia" w:ascii="宋体" w:hAnsi="宋体" w:cs="宋体"/>
          <w:color w:val="auto"/>
          <w:kern w:val="0"/>
          <w:sz w:val="24"/>
          <w:szCs w:val="24"/>
          <w:highlight w:val="none"/>
        </w:rPr>
        <w:t>乙方按合同约定的时限将设计成果文件或资料交付至甲方指定的地点，相关费用（包括运输、邮寄、电传、关税等费用）已经含于设计费中。</w:t>
      </w:r>
    </w:p>
    <w:p>
      <w:pPr>
        <w:adjustRightInd w:val="0"/>
        <w:snapToGrid w:val="0"/>
        <w:spacing w:line="360" w:lineRule="auto"/>
        <w:ind w:firstLine="482" w:firstLineChars="200"/>
        <w:outlineLvl w:val="3"/>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9.5</w:t>
      </w:r>
      <w:r>
        <w:rPr>
          <w:rFonts w:hint="eastAsia" w:ascii="宋体" w:hAnsi="宋体" w:cs="宋体"/>
          <w:color w:val="auto"/>
          <w:kern w:val="0"/>
          <w:sz w:val="24"/>
          <w:szCs w:val="24"/>
          <w:highlight w:val="none"/>
        </w:rPr>
        <w:t>在报建过程中需要提供设计成果文件或设计中间资料的电子文档的，乙方应无偿提供。</w:t>
      </w:r>
    </w:p>
    <w:p>
      <w:pPr>
        <w:adjustRightInd w:val="0"/>
        <w:snapToGrid w:val="0"/>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9.6</w:t>
      </w:r>
      <w:r>
        <w:rPr>
          <w:rFonts w:hint="eastAsia" w:ascii="宋体" w:hAnsi="宋体" w:cs="宋体"/>
          <w:color w:val="auto"/>
          <w:kern w:val="0"/>
          <w:sz w:val="24"/>
          <w:szCs w:val="24"/>
          <w:highlight w:val="none"/>
        </w:rPr>
        <w:t>造价文件编制及报审工作</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a、编制合同设计范围内方案估算、初步设计概算；</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b、</w:t>
      </w:r>
      <w:r>
        <w:rPr>
          <w:rFonts w:hint="default" w:ascii="宋体" w:hAnsi="宋体" w:cs="宋体"/>
          <w:color w:val="auto"/>
          <w:kern w:val="0"/>
          <w:sz w:val="24"/>
          <w:szCs w:val="24"/>
          <w:highlight w:val="none"/>
        </w:rPr>
        <w:t>造价预算</w:t>
      </w:r>
      <w:r>
        <w:rPr>
          <w:rFonts w:hint="eastAsia" w:ascii="宋体" w:hAnsi="宋体" w:cs="宋体"/>
          <w:color w:val="auto"/>
          <w:kern w:val="0"/>
          <w:sz w:val="24"/>
          <w:szCs w:val="24"/>
          <w:highlight w:val="none"/>
        </w:rPr>
        <w:t>（包括概算复核、</w:t>
      </w:r>
      <w:r>
        <w:rPr>
          <w:rFonts w:hint="default" w:ascii="宋体" w:hAnsi="宋体" w:cs="宋体"/>
          <w:color w:val="auto"/>
          <w:kern w:val="0"/>
          <w:sz w:val="24"/>
          <w:szCs w:val="24"/>
          <w:highlight w:val="none"/>
        </w:rPr>
        <w:t>造价预算</w:t>
      </w:r>
      <w:r>
        <w:rPr>
          <w:rFonts w:hint="eastAsia" w:ascii="宋体" w:hAnsi="宋体" w:cs="宋体"/>
          <w:color w:val="auto"/>
          <w:kern w:val="0"/>
          <w:sz w:val="24"/>
          <w:szCs w:val="24"/>
          <w:highlight w:val="none"/>
        </w:rPr>
        <w:t>编制及配合施工招标工作</w:t>
      </w:r>
      <w:r>
        <w:rPr>
          <w:rFonts w:hint="eastAsia" w:ascii="宋体" w:hAnsi="宋体" w:cs="宋体"/>
          <w:color w:val="auto"/>
          <w:sz w:val="24"/>
          <w:szCs w:val="24"/>
          <w:highlight w:val="none"/>
        </w:rPr>
        <w:t>、设计变更</w:t>
      </w:r>
      <w:r>
        <w:rPr>
          <w:rFonts w:hint="eastAsia" w:ascii="宋体" w:hAnsi="宋体" w:cs="宋体"/>
          <w:color w:val="auto"/>
          <w:sz w:val="24"/>
          <w:szCs w:val="24"/>
          <w:highlight w:val="none"/>
          <w:u w:val="single"/>
        </w:rPr>
        <w:t>预算</w:t>
      </w:r>
      <w:r>
        <w:rPr>
          <w:rFonts w:hint="eastAsia" w:ascii="宋体" w:hAnsi="宋体" w:cs="宋体"/>
          <w:color w:val="auto"/>
          <w:sz w:val="24"/>
          <w:szCs w:val="24"/>
          <w:highlight w:val="none"/>
        </w:rPr>
        <w:t>编制等</w:t>
      </w:r>
      <w:r>
        <w:rPr>
          <w:rFonts w:hint="eastAsia" w:ascii="宋体" w:hAnsi="宋体" w:cs="宋体"/>
          <w:color w:val="auto"/>
          <w:kern w:val="0"/>
          <w:sz w:val="24"/>
          <w:szCs w:val="24"/>
          <w:highlight w:val="none"/>
        </w:rPr>
        <w:t>）；</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c、负责配合初步设计概算、</w:t>
      </w:r>
      <w:r>
        <w:rPr>
          <w:rFonts w:hint="default" w:ascii="宋体" w:hAnsi="宋体" w:cs="宋体"/>
          <w:color w:val="auto"/>
          <w:kern w:val="0"/>
          <w:sz w:val="24"/>
          <w:szCs w:val="24"/>
          <w:highlight w:val="none"/>
        </w:rPr>
        <w:t>造价预算</w:t>
      </w:r>
      <w:r>
        <w:rPr>
          <w:rFonts w:hint="eastAsia" w:ascii="宋体" w:hAnsi="宋体" w:cs="宋体"/>
          <w:color w:val="auto"/>
          <w:kern w:val="0"/>
          <w:sz w:val="24"/>
          <w:szCs w:val="24"/>
          <w:highlight w:val="none"/>
        </w:rPr>
        <w:t>送报审、评审、对数工作，</w:t>
      </w:r>
      <w:r>
        <w:rPr>
          <w:rFonts w:hint="eastAsia" w:ascii="宋体" w:hAnsi="宋体" w:cs="宋体"/>
          <w:color w:val="auto"/>
          <w:sz w:val="24"/>
          <w:szCs w:val="24"/>
          <w:highlight w:val="none"/>
        </w:rPr>
        <w:t>配合甲方或甲方委托的第三方对</w:t>
      </w:r>
      <w:r>
        <w:rPr>
          <w:rFonts w:hint="default" w:ascii="宋体" w:hAnsi="宋体" w:cs="宋体"/>
          <w:color w:val="auto"/>
          <w:sz w:val="24"/>
          <w:szCs w:val="24"/>
          <w:highlight w:val="none"/>
        </w:rPr>
        <w:t>造价预算</w:t>
      </w:r>
      <w:r>
        <w:rPr>
          <w:rFonts w:hint="eastAsia" w:ascii="宋体" w:hAnsi="宋体" w:cs="宋体"/>
          <w:color w:val="auto"/>
          <w:sz w:val="24"/>
          <w:szCs w:val="24"/>
          <w:highlight w:val="none"/>
        </w:rPr>
        <w:t>的审核工作</w:t>
      </w:r>
      <w:r>
        <w:rPr>
          <w:rFonts w:hint="eastAsia" w:ascii="宋体" w:hAnsi="宋体" w:cs="宋体"/>
          <w:color w:val="auto"/>
          <w:kern w:val="0"/>
          <w:sz w:val="24"/>
          <w:szCs w:val="24"/>
          <w:highlight w:val="none"/>
        </w:rPr>
        <w:t>；</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d、各设计阶段进行各类方案比选时编制造价分析材料，给出造价分析结论；施工阶段，编制设计变更预算及相应造价增减说明。</w:t>
      </w:r>
    </w:p>
    <w:p>
      <w:pPr>
        <w:adjustRightInd w:val="0"/>
        <w:snapToGrid w:val="0"/>
        <w:spacing w:line="360" w:lineRule="auto"/>
        <w:ind w:firstLine="482" w:firstLineChars="200"/>
        <w:outlineLvl w:val="3"/>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 xml:space="preserve">9.7 </w:t>
      </w:r>
      <w:r>
        <w:rPr>
          <w:rFonts w:hint="eastAsia" w:ascii="宋体" w:hAnsi="宋体" w:cs="宋体"/>
          <w:color w:val="auto"/>
          <w:kern w:val="0"/>
          <w:sz w:val="24"/>
          <w:szCs w:val="24"/>
          <w:highlight w:val="none"/>
        </w:rPr>
        <w:t>造价文件的提交。乙方提交的各阶段造价文件的数量及格式（含电子文件份数与格式）需同时满足合同及有权审核部门的要求。须报政府主管部门审定的各阶段造价文件，待审定后，乙方须按照批复意见编制相应阶段造价文件的终稿提供给甲方，份数要求按本合同条款第9.1款执行。其他造价文件，均要求提供5份纸质文件及电子光盘两份。</w:t>
      </w:r>
    </w:p>
    <w:p>
      <w:pPr>
        <w:adjustRightInd w:val="0"/>
        <w:snapToGrid w:val="0"/>
        <w:spacing w:line="360" w:lineRule="auto"/>
        <w:ind w:firstLine="482" w:firstLineChars="200"/>
        <w:outlineLvl w:val="3"/>
        <w:rPr>
          <w:rFonts w:ascii="宋体" w:hAnsi="宋体" w:cs="宋体"/>
          <w:bCs/>
          <w:color w:val="auto"/>
          <w:kern w:val="0"/>
          <w:sz w:val="24"/>
          <w:szCs w:val="24"/>
          <w:highlight w:val="none"/>
        </w:rPr>
      </w:pPr>
      <w:r>
        <w:rPr>
          <w:rFonts w:hint="eastAsia" w:ascii="宋体" w:hAnsi="宋体" w:cs="宋体"/>
          <w:b/>
          <w:color w:val="auto"/>
          <w:kern w:val="0"/>
          <w:sz w:val="24"/>
          <w:szCs w:val="24"/>
          <w:highlight w:val="none"/>
        </w:rPr>
        <w:t>9.8</w:t>
      </w:r>
      <w:r>
        <w:rPr>
          <w:rFonts w:hint="eastAsia" w:ascii="宋体" w:hAnsi="宋体" w:cs="宋体"/>
          <w:bCs/>
          <w:color w:val="auto"/>
          <w:kern w:val="0"/>
          <w:sz w:val="24"/>
          <w:szCs w:val="24"/>
          <w:highlight w:val="none"/>
        </w:rPr>
        <w:t>乙方提交的设计成果文件中图纸图签栏签名必须由乙方在投标文件中承诺的（或根据本合同条款第8.5款约定甲方要求更换并被接受的）项目负责人及各相应专业负责人签字或加盖私章，不得以印刷字代替。其中，根据本合同条款第5条的约定，经甲方同意分包的专项设计成果文件必须由乙方负责审核，并由乙方项目负责人签字或加盖私章。</w:t>
      </w:r>
    </w:p>
    <w:p>
      <w:pPr>
        <w:pStyle w:val="10"/>
        <w:widowControl w:val="0"/>
        <w:spacing w:beforeAutospacing="0" w:afterAutospacing="0"/>
        <w:ind w:firstLine="480" w:firstLineChars="200"/>
        <w:jc w:val="both"/>
        <w:rPr>
          <w:rFonts w:hint="default" w:ascii="Calibri" w:hAnsi="Calibri" w:cs="Calibri"/>
          <w:color w:val="auto"/>
          <w:highlight w:val="none"/>
        </w:rPr>
      </w:pPr>
    </w:p>
    <w:p>
      <w:pPr>
        <w:pStyle w:val="3"/>
        <w:keepNext w:val="0"/>
        <w:keepLines w:val="0"/>
        <w:widowControl/>
        <w:spacing w:before="0" w:after="0" w:line="360" w:lineRule="auto"/>
        <w:jc w:val="center"/>
        <w:rPr>
          <w:rFonts w:ascii="宋体" w:hAnsi="宋体" w:cs="宋体"/>
          <w:color w:val="auto"/>
          <w:sz w:val="24"/>
          <w:szCs w:val="24"/>
          <w:highlight w:val="none"/>
        </w:rPr>
      </w:pPr>
      <w:r>
        <w:rPr>
          <w:rFonts w:hint="eastAsia" w:ascii="宋体" w:hAnsi="宋体" w:cs="宋体"/>
          <w:color w:val="auto"/>
          <w:kern w:val="0"/>
          <w:highlight w:val="none"/>
        </w:rPr>
        <w:t>第四章 设计质量</w:t>
      </w:r>
    </w:p>
    <w:p>
      <w:pPr>
        <w:adjustRightInd w:val="0"/>
        <w:snapToGrid w:val="0"/>
        <w:spacing w:line="360" w:lineRule="auto"/>
        <w:ind w:firstLine="472" w:firstLineChars="196"/>
        <w:outlineLvl w:val="2"/>
        <w:rPr>
          <w:rFonts w:ascii="宋体" w:hAnsi="宋体" w:cs="宋体"/>
          <w:b/>
          <w:color w:val="auto"/>
          <w:kern w:val="0"/>
          <w:sz w:val="24"/>
          <w:szCs w:val="24"/>
          <w:highlight w:val="none"/>
        </w:rPr>
      </w:pPr>
    </w:p>
    <w:p>
      <w:pPr>
        <w:adjustRightInd w:val="0"/>
        <w:snapToGrid w:val="0"/>
        <w:spacing w:line="360" w:lineRule="auto"/>
        <w:ind w:firstLine="472" w:firstLineChars="196"/>
        <w:outlineLvl w:val="2"/>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10、设计的质量要求</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10.1</w:t>
      </w:r>
      <w:r>
        <w:rPr>
          <w:rFonts w:hint="eastAsia" w:ascii="宋体" w:hAnsi="宋体" w:cs="宋体"/>
          <w:color w:val="auto"/>
          <w:kern w:val="0"/>
          <w:sz w:val="24"/>
          <w:szCs w:val="24"/>
          <w:highlight w:val="none"/>
        </w:rPr>
        <w:t>设计应体现甲方的建设意图，应符合有关法律、法规的规定，符合建设工程质量、安全标准，符合建设工程勘察设计的技术规范（尤其是强制性规范），达到设计任务书的要求，满足本合同工程的功能需求。在控制投资的同时，做到美观、适用、安全、经济，并具备良好的节能环保特性，取得良好的社会效益。</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10.2</w:t>
      </w:r>
      <w:r>
        <w:rPr>
          <w:rFonts w:hint="eastAsia" w:ascii="宋体" w:hAnsi="宋体" w:cs="宋体"/>
          <w:color w:val="auto"/>
          <w:kern w:val="0"/>
          <w:sz w:val="24"/>
          <w:szCs w:val="24"/>
          <w:highlight w:val="none"/>
        </w:rPr>
        <w:t>乙方的设计成果文件应满足现行有效的《建筑工程设计文件编制深度规定》、</w:t>
      </w:r>
      <w:r>
        <w:rPr>
          <w:rFonts w:hint="eastAsia" w:ascii="宋体" w:hAnsi="宋体" w:cs="宋体"/>
          <w:bCs/>
          <w:color w:val="auto"/>
          <w:kern w:val="0"/>
          <w:sz w:val="24"/>
          <w:szCs w:val="24"/>
          <w:highlight w:val="none"/>
        </w:rPr>
        <w:t>《市政公用工程设计文件编制深度规定》、其他设计文件编制深度要求</w:t>
      </w:r>
      <w:r>
        <w:rPr>
          <w:rFonts w:hint="eastAsia" w:ascii="宋体" w:hAnsi="宋体" w:cs="宋体"/>
          <w:color w:val="auto"/>
          <w:kern w:val="0"/>
          <w:sz w:val="24"/>
          <w:szCs w:val="24"/>
          <w:highlight w:val="none"/>
        </w:rPr>
        <w:t>及</w:t>
      </w:r>
      <w:r>
        <w:rPr>
          <w:rFonts w:hint="eastAsia" w:ascii="宋体" w:hAnsi="宋体" w:cs="宋体"/>
          <w:bCs/>
          <w:color w:val="auto"/>
          <w:kern w:val="0"/>
          <w:sz w:val="24"/>
          <w:szCs w:val="24"/>
          <w:highlight w:val="none"/>
          <w:u w:val="single"/>
        </w:rPr>
        <w:t>本项目</w:t>
      </w:r>
      <w:r>
        <w:rPr>
          <w:rFonts w:ascii="宋体" w:hAnsi="宋体" w:cs="宋体"/>
          <w:bCs/>
          <w:color w:val="auto"/>
          <w:kern w:val="0"/>
          <w:sz w:val="24"/>
          <w:szCs w:val="24"/>
          <w:highlight w:val="none"/>
          <w:u w:val="single"/>
        </w:rPr>
        <w:t>基础资料和勘察设计任务书</w:t>
      </w:r>
      <w:r>
        <w:rPr>
          <w:rFonts w:hint="eastAsia" w:ascii="宋体" w:hAnsi="宋体" w:cs="宋体"/>
          <w:color w:val="auto"/>
          <w:kern w:val="0"/>
          <w:sz w:val="24"/>
          <w:szCs w:val="24"/>
          <w:highlight w:val="none"/>
        </w:rPr>
        <w:t>中的相关要求，并按照专家评审意见和甲方要求对设计进行深化、优化。乙方对本合同范围内的勘察、设计成果文件达到合同约定的相应设计深度负总体责任。</w:t>
      </w:r>
    </w:p>
    <w:p>
      <w:pPr>
        <w:adjustRightInd w:val="0"/>
        <w:snapToGrid w:val="0"/>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 xml:space="preserve">10.3 </w:t>
      </w:r>
      <w:r>
        <w:rPr>
          <w:rFonts w:hint="eastAsia" w:ascii="宋体" w:hAnsi="宋体" w:cs="宋体"/>
          <w:color w:val="auto"/>
          <w:kern w:val="0"/>
          <w:sz w:val="24"/>
          <w:szCs w:val="24"/>
          <w:highlight w:val="none"/>
        </w:rPr>
        <w:t>乙方在设计过程中应考虑工程实施的可操作性，对工序方案提出相应的技术要求，应明确提出关键工序的工艺要求、质量控制要求及安全技术措施方案。</w:t>
      </w:r>
    </w:p>
    <w:p>
      <w:pPr>
        <w:adjustRightInd w:val="0"/>
        <w:snapToGrid w:val="0"/>
        <w:spacing w:line="360" w:lineRule="auto"/>
        <w:ind w:firstLine="482" w:firstLineChars="200"/>
        <w:rPr>
          <w:rFonts w:ascii="宋体" w:hAnsi="宋体" w:cs="宋体"/>
          <w:strike/>
          <w:color w:val="auto"/>
          <w:kern w:val="0"/>
          <w:sz w:val="24"/>
          <w:szCs w:val="24"/>
          <w:highlight w:val="none"/>
        </w:rPr>
      </w:pPr>
      <w:r>
        <w:rPr>
          <w:rFonts w:hint="eastAsia" w:ascii="宋体" w:hAnsi="宋体" w:cs="宋体"/>
          <w:b/>
          <w:color w:val="auto"/>
          <w:kern w:val="0"/>
          <w:sz w:val="24"/>
          <w:szCs w:val="24"/>
          <w:highlight w:val="none"/>
        </w:rPr>
        <w:t>10.4</w:t>
      </w:r>
      <w:r>
        <w:rPr>
          <w:rFonts w:hint="eastAsia" w:ascii="宋体" w:hAnsi="宋体" w:cs="宋体"/>
          <w:color w:val="auto"/>
          <w:kern w:val="0"/>
          <w:sz w:val="24"/>
          <w:szCs w:val="24"/>
          <w:highlight w:val="none"/>
        </w:rPr>
        <w:t>勘察、设计成果文件的计量单位均应采用国际标准计量单位。</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10.5</w:t>
      </w:r>
      <w:r>
        <w:rPr>
          <w:rFonts w:hint="eastAsia" w:ascii="宋体" w:hAnsi="宋体" w:cs="宋体"/>
          <w:color w:val="auto"/>
          <w:kern w:val="0"/>
          <w:sz w:val="24"/>
          <w:szCs w:val="24"/>
          <w:highlight w:val="none"/>
        </w:rPr>
        <w:t>设计图纸必须按照国家对工程图纸规格的规定绘制，保持同类图纸规格统一。</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10.6</w:t>
      </w:r>
      <w:r>
        <w:rPr>
          <w:rFonts w:hint="eastAsia" w:ascii="宋体" w:hAnsi="宋体" w:cs="宋体"/>
          <w:color w:val="auto"/>
          <w:kern w:val="0"/>
          <w:sz w:val="24"/>
          <w:szCs w:val="24"/>
          <w:highlight w:val="none"/>
        </w:rPr>
        <w:t>乙方应根据政府主管部门、甲方及甲方委托的第三方对勘察、设计成果文件的审核意见对勘察、设计进行必要的修改。当乙方提交的勘察、设计成果文件不符合本合同所约定的质量要求时，乙方应在收到政府主管部门、甲方、甲方委托的第三方的通知后5天内将经过修改的符合规定的勘察、设计文件交付甲方。</w:t>
      </w:r>
    </w:p>
    <w:p>
      <w:pPr>
        <w:pStyle w:val="10"/>
        <w:adjustRightInd w:val="0"/>
        <w:snapToGrid w:val="0"/>
        <w:spacing w:beforeAutospacing="0" w:afterAutospacing="0" w:line="360" w:lineRule="auto"/>
        <w:ind w:firstLine="482" w:firstLineChars="200"/>
        <w:rPr>
          <w:rFonts w:hint="default"/>
          <w:color w:val="auto"/>
          <w:highlight w:val="none"/>
        </w:rPr>
      </w:pPr>
      <w:r>
        <w:rPr>
          <w:b/>
          <w:color w:val="auto"/>
          <w:highlight w:val="none"/>
        </w:rPr>
        <w:t>10.7</w:t>
      </w:r>
      <w:r>
        <w:rPr>
          <w:rFonts w:cs="宋体"/>
          <w:color w:val="auto"/>
          <w:highlight w:val="none"/>
        </w:rPr>
        <w:t>乙方应提供国际权威机构或国内有关部门对新材料及特殊结构的试验报告，并提供相应新材料及特殊结构在工程中应用的经验供甲方参考。</w:t>
      </w:r>
    </w:p>
    <w:p>
      <w:pPr>
        <w:pStyle w:val="10"/>
        <w:adjustRightInd w:val="0"/>
        <w:snapToGrid w:val="0"/>
        <w:spacing w:beforeAutospacing="0" w:afterAutospacing="0" w:line="360" w:lineRule="auto"/>
        <w:ind w:firstLine="480" w:firstLineChars="200"/>
        <w:rPr>
          <w:rFonts w:hint="default"/>
          <w:color w:val="auto"/>
          <w:highlight w:val="none"/>
        </w:rPr>
      </w:pPr>
    </w:p>
    <w:p>
      <w:pPr>
        <w:pStyle w:val="3"/>
        <w:keepNext w:val="0"/>
        <w:keepLines w:val="0"/>
        <w:widowControl/>
        <w:spacing w:before="0" w:after="0" w:line="410" w:lineRule="auto"/>
        <w:jc w:val="center"/>
        <w:rPr>
          <w:rFonts w:ascii="宋体" w:hAnsi="宋体" w:cs="宋体"/>
          <w:color w:val="auto"/>
          <w:highlight w:val="none"/>
        </w:rPr>
      </w:pPr>
      <w:r>
        <w:rPr>
          <w:rFonts w:hint="eastAsia" w:ascii="宋体" w:hAnsi="宋体" w:cs="宋体"/>
          <w:color w:val="auto"/>
          <w:kern w:val="0"/>
          <w:highlight w:val="none"/>
        </w:rPr>
        <w:t>第五章 设计事故</w:t>
      </w:r>
    </w:p>
    <w:p>
      <w:pPr>
        <w:pStyle w:val="10"/>
        <w:adjustRightInd w:val="0"/>
        <w:snapToGrid w:val="0"/>
        <w:spacing w:beforeAutospacing="0" w:afterAutospacing="0" w:line="360" w:lineRule="auto"/>
        <w:ind w:firstLine="482" w:firstLineChars="200"/>
        <w:outlineLvl w:val="2"/>
        <w:rPr>
          <w:rFonts w:hint="default"/>
          <w:b/>
          <w:color w:val="auto"/>
          <w:highlight w:val="none"/>
        </w:rPr>
      </w:pPr>
    </w:p>
    <w:p>
      <w:pPr>
        <w:pStyle w:val="10"/>
        <w:adjustRightInd w:val="0"/>
        <w:snapToGrid w:val="0"/>
        <w:spacing w:beforeAutospacing="0" w:afterAutospacing="0" w:line="360" w:lineRule="auto"/>
        <w:ind w:firstLine="482" w:firstLineChars="200"/>
        <w:outlineLvl w:val="2"/>
        <w:rPr>
          <w:rFonts w:hint="default"/>
          <w:b/>
          <w:color w:val="auto"/>
          <w:highlight w:val="none"/>
        </w:rPr>
      </w:pPr>
      <w:r>
        <w:rPr>
          <w:b/>
          <w:color w:val="auto"/>
          <w:highlight w:val="none"/>
        </w:rPr>
        <w:t>11</w:t>
      </w:r>
      <w:r>
        <w:rPr>
          <w:rFonts w:cs="宋体"/>
          <w:b/>
          <w:color w:val="auto"/>
          <w:highlight w:val="none"/>
        </w:rPr>
        <w:t>、设计事故</w:t>
      </w:r>
    </w:p>
    <w:p>
      <w:pPr>
        <w:pStyle w:val="10"/>
        <w:adjustRightInd w:val="0"/>
        <w:snapToGrid w:val="0"/>
        <w:spacing w:beforeAutospacing="0" w:afterAutospacing="0" w:line="360" w:lineRule="auto"/>
        <w:ind w:firstLine="482" w:firstLineChars="200"/>
        <w:outlineLvl w:val="3"/>
        <w:rPr>
          <w:rFonts w:hint="default"/>
          <w:color w:val="auto"/>
          <w:highlight w:val="none"/>
        </w:rPr>
      </w:pPr>
      <w:r>
        <w:rPr>
          <w:b/>
          <w:color w:val="auto"/>
          <w:highlight w:val="none"/>
        </w:rPr>
        <w:t>11.1</w:t>
      </w:r>
      <w:r>
        <w:rPr>
          <w:rFonts w:cs="宋体"/>
          <w:color w:val="auto"/>
          <w:highlight w:val="none"/>
        </w:rPr>
        <w:t>按乙方违约行为的严重，设计事故分为一类设计事故及二类设计事故，具体如下：</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w:t>
      </w:r>
      <w:r>
        <w:rPr>
          <w:color w:val="auto"/>
          <w:highlight w:val="none"/>
        </w:rPr>
        <w:t>1</w:t>
      </w:r>
      <w:r>
        <w:rPr>
          <w:rFonts w:cs="宋体"/>
          <w:color w:val="auto"/>
          <w:highlight w:val="none"/>
        </w:rPr>
        <w:t>）一类设计事故（符合下列条件之一，但未达到二类设计事故标准的）：</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①乙方逾期提交设计成果文件</w:t>
      </w:r>
      <w:r>
        <w:rPr>
          <w:color w:val="auto"/>
          <w:highlight w:val="none"/>
        </w:rPr>
        <w:t>10</w:t>
      </w:r>
      <w:r>
        <w:rPr>
          <w:rFonts w:cs="宋体"/>
          <w:color w:val="auto"/>
          <w:highlight w:val="none"/>
        </w:rPr>
        <w:t>天以上（含</w:t>
      </w:r>
      <w:r>
        <w:rPr>
          <w:color w:val="auto"/>
          <w:highlight w:val="none"/>
        </w:rPr>
        <w:t>10</w:t>
      </w:r>
      <w:r>
        <w:rPr>
          <w:rFonts w:cs="宋体"/>
          <w:color w:val="auto"/>
          <w:highlight w:val="none"/>
        </w:rPr>
        <w:t>天）</w:t>
      </w:r>
      <w:r>
        <w:rPr>
          <w:color w:val="auto"/>
          <w:highlight w:val="none"/>
        </w:rPr>
        <w:t>,</w:t>
      </w:r>
      <w:r>
        <w:rPr>
          <w:rFonts w:cs="宋体"/>
          <w:color w:val="auto"/>
          <w:highlight w:val="none"/>
        </w:rPr>
        <w:t>或累计达</w:t>
      </w:r>
      <w:r>
        <w:rPr>
          <w:color w:val="auto"/>
          <w:highlight w:val="none"/>
        </w:rPr>
        <w:t>15</w:t>
      </w:r>
      <w:r>
        <w:rPr>
          <w:rFonts w:cs="宋体"/>
          <w:color w:val="auto"/>
          <w:highlight w:val="none"/>
        </w:rPr>
        <w:t>天以上（含</w:t>
      </w:r>
      <w:r>
        <w:rPr>
          <w:color w:val="auto"/>
          <w:highlight w:val="none"/>
        </w:rPr>
        <w:t>15</w:t>
      </w:r>
      <w:r>
        <w:rPr>
          <w:rFonts w:cs="宋体"/>
          <w:color w:val="auto"/>
          <w:highlight w:val="none"/>
        </w:rPr>
        <w:t>天）；</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②乙方提交的设计成果文件违反国家相关强制性规定累计发生</w:t>
      </w:r>
      <w:r>
        <w:rPr>
          <w:color w:val="auto"/>
          <w:highlight w:val="none"/>
        </w:rPr>
        <w:t>5</w:t>
      </w:r>
      <w:r>
        <w:rPr>
          <w:rFonts w:cs="宋体"/>
          <w:color w:val="auto"/>
          <w:highlight w:val="none"/>
        </w:rPr>
        <w:t>例（含</w:t>
      </w:r>
      <w:r>
        <w:rPr>
          <w:color w:val="auto"/>
          <w:highlight w:val="none"/>
        </w:rPr>
        <w:t>5</w:t>
      </w:r>
      <w:r>
        <w:rPr>
          <w:rFonts w:cs="宋体"/>
          <w:color w:val="auto"/>
          <w:highlight w:val="none"/>
        </w:rPr>
        <w:t>例，设计成果文件中每</w:t>
      </w:r>
      <w:r>
        <w:rPr>
          <w:color w:val="auto"/>
          <w:highlight w:val="none"/>
        </w:rPr>
        <w:t>1</w:t>
      </w:r>
      <w:r>
        <w:rPr>
          <w:rFonts w:cs="宋体"/>
          <w:color w:val="auto"/>
          <w:highlight w:val="none"/>
        </w:rPr>
        <w:t>处违反</w:t>
      </w:r>
      <w:r>
        <w:rPr>
          <w:color w:val="auto"/>
          <w:highlight w:val="none"/>
        </w:rPr>
        <w:t>1</w:t>
      </w:r>
      <w:r>
        <w:rPr>
          <w:rFonts w:cs="宋体"/>
          <w:color w:val="auto"/>
          <w:highlight w:val="none"/>
        </w:rPr>
        <w:t>条强制性规定的为</w:t>
      </w:r>
      <w:r>
        <w:rPr>
          <w:color w:val="auto"/>
          <w:highlight w:val="none"/>
        </w:rPr>
        <w:t>1</w:t>
      </w:r>
      <w:r>
        <w:rPr>
          <w:rFonts w:cs="宋体"/>
          <w:color w:val="auto"/>
          <w:highlight w:val="none"/>
        </w:rPr>
        <w:t>例）；</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③如经过甲方或施工图审查单位或甲方委托的第三方对设计变更的审核，发现乙方违反合同约定对设计变更随意进行合并、分拆的累计出现4次以上（含4次）； </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④如</w:t>
      </w:r>
      <w:r>
        <w:rPr>
          <w:rFonts w:hint="eastAsia" w:ascii="宋体" w:hAnsi="宋体" w:cs="宋体"/>
          <w:color w:val="auto"/>
          <w:kern w:val="0"/>
          <w:sz w:val="24"/>
          <w:szCs w:val="24"/>
          <w:highlight w:val="none"/>
        </w:rPr>
        <w:t>乙方的设计成果文件中含有明显倾向于某一专门厂商生产的设备、材料的描述，或</w:t>
      </w:r>
      <w:r>
        <w:rPr>
          <w:rFonts w:hint="eastAsia" w:ascii="宋体" w:hAnsi="宋体" w:cs="宋体"/>
          <w:color w:val="auto"/>
          <w:sz w:val="24"/>
          <w:szCs w:val="24"/>
          <w:highlight w:val="none"/>
        </w:rPr>
        <w:t xml:space="preserve">在其设计成果文件中选用了具有专一性、排他性的材料、设备而又未事先向甲方书面报告并详细说明理由的，累计出现4次以上（含4次）； </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⑤乙方设计成果文件出现错、漏、碰，直接导致甲方招标工作进度、项目施工进度逾期累计</w:t>
      </w:r>
      <w:r>
        <w:rPr>
          <w:color w:val="auto"/>
          <w:highlight w:val="none"/>
        </w:rPr>
        <w:t>7</w:t>
      </w:r>
      <w:r>
        <w:rPr>
          <w:rFonts w:cs="宋体"/>
          <w:color w:val="auto"/>
          <w:highlight w:val="none"/>
        </w:rPr>
        <w:t>天以上（含</w:t>
      </w:r>
      <w:r>
        <w:rPr>
          <w:color w:val="auto"/>
          <w:highlight w:val="none"/>
        </w:rPr>
        <w:t>7</w:t>
      </w:r>
      <w:r>
        <w:rPr>
          <w:rFonts w:cs="宋体"/>
          <w:color w:val="auto"/>
          <w:highlight w:val="none"/>
        </w:rPr>
        <w:t>天），或累计达</w:t>
      </w:r>
      <w:r>
        <w:rPr>
          <w:color w:val="auto"/>
          <w:highlight w:val="none"/>
        </w:rPr>
        <w:t>10</w:t>
      </w:r>
      <w:r>
        <w:rPr>
          <w:rFonts w:cs="宋体"/>
          <w:color w:val="auto"/>
          <w:highlight w:val="none"/>
        </w:rPr>
        <w:t>天（含</w:t>
      </w:r>
      <w:r>
        <w:rPr>
          <w:color w:val="auto"/>
          <w:highlight w:val="none"/>
        </w:rPr>
        <w:t>10</w:t>
      </w:r>
      <w:r>
        <w:rPr>
          <w:rFonts w:cs="宋体"/>
          <w:color w:val="auto"/>
          <w:highlight w:val="none"/>
        </w:rPr>
        <w:t>天）以上的。</w:t>
      </w:r>
    </w:p>
    <w:p>
      <w:pPr>
        <w:pStyle w:val="10"/>
        <w:adjustRightInd w:val="0"/>
        <w:snapToGrid w:val="0"/>
        <w:spacing w:beforeAutospacing="0" w:afterAutospacing="0" w:line="360" w:lineRule="auto"/>
        <w:ind w:firstLine="360" w:firstLineChars="150"/>
        <w:rPr>
          <w:rFonts w:hint="default"/>
          <w:color w:val="auto"/>
          <w:highlight w:val="none"/>
        </w:rPr>
      </w:pPr>
      <w:r>
        <w:rPr>
          <w:rFonts w:cs="宋体"/>
          <w:color w:val="auto"/>
          <w:highlight w:val="none"/>
        </w:rPr>
        <w:t>（</w:t>
      </w:r>
      <w:r>
        <w:rPr>
          <w:color w:val="auto"/>
          <w:highlight w:val="none"/>
        </w:rPr>
        <w:t>2</w:t>
      </w:r>
      <w:r>
        <w:rPr>
          <w:rFonts w:cs="宋体"/>
          <w:color w:val="auto"/>
          <w:highlight w:val="none"/>
        </w:rPr>
        <w:t>）二类设计事故（符合下列条件之一）：</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①乙方逾期提交设计成果文件</w:t>
      </w:r>
      <w:r>
        <w:rPr>
          <w:color w:val="auto"/>
          <w:highlight w:val="none"/>
        </w:rPr>
        <w:t>15</w:t>
      </w:r>
      <w:r>
        <w:rPr>
          <w:rFonts w:cs="宋体"/>
          <w:color w:val="auto"/>
          <w:highlight w:val="none"/>
        </w:rPr>
        <w:t>天（含</w:t>
      </w:r>
      <w:r>
        <w:rPr>
          <w:color w:val="auto"/>
          <w:highlight w:val="none"/>
        </w:rPr>
        <w:t>15</w:t>
      </w:r>
      <w:r>
        <w:rPr>
          <w:rFonts w:cs="宋体"/>
          <w:color w:val="auto"/>
          <w:highlight w:val="none"/>
        </w:rPr>
        <w:t>天），或累计达</w:t>
      </w:r>
      <w:r>
        <w:rPr>
          <w:color w:val="auto"/>
          <w:highlight w:val="none"/>
        </w:rPr>
        <w:t>20</w:t>
      </w:r>
      <w:r>
        <w:rPr>
          <w:rFonts w:cs="宋体"/>
          <w:color w:val="auto"/>
          <w:highlight w:val="none"/>
        </w:rPr>
        <w:t>天（含</w:t>
      </w:r>
      <w:r>
        <w:rPr>
          <w:color w:val="auto"/>
          <w:highlight w:val="none"/>
        </w:rPr>
        <w:t>20</w:t>
      </w:r>
      <w:r>
        <w:rPr>
          <w:rFonts w:cs="宋体"/>
          <w:color w:val="auto"/>
          <w:highlight w:val="none"/>
        </w:rPr>
        <w:t>天）的；</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②乙方提交的设计成果文件违反国家相关强制性规定累计发生</w:t>
      </w:r>
      <w:r>
        <w:rPr>
          <w:color w:val="auto"/>
          <w:highlight w:val="none"/>
        </w:rPr>
        <w:t>7</w:t>
      </w:r>
      <w:r>
        <w:rPr>
          <w:rFonts w:cs="宋体"/>
          <w:color w:val="auto"/>
          <w:highlight w:val="none"/>
        </w:rPr>
        <w:t>例（含</w:t>
      </w:r>
      <w:r>
        <w:rPr>
          <w:color w:val="auto"/>
          <w:highlight w:val="none"/>
        </w:rPr>
        <w:t>7</w:t>
      </w:r>
      <w:r>
        <w:rPr>
          <w:rFonts w:cs="宋体"/>
          <w:color w:val="auto"/>
          <w:highlight w:val="none"/>
        </w:rPr>
        <w:t>例，设计成果文件中每</w:t>
      </w:r>
      <w:r>
        <w:rPr>
          <w:color w:val="auto"/>
          <w:highlight w:val="none"/>
        </w:rPr>
        <w:t>1</w:t>
      </w:r>
      <w:r>
        <w:rPr>
          <w:rFonts w:cs="宋体"/>
          <w:color w:val="auto"/>
          <w:highlight w:val="none"/>
        </w:rPr>
        <w:t>处违反</w:t>
      </w:r>
      <w:r>
        <w:rPr>
          <w:color w:val="auto"/>
          <w:highlight w:val="none"/>
        </w:rPr>
        <w:t>1</w:t>
      </w:r>
      <w:r>
        <w:rPr>
          <w:rFonts w:cs="宋体"/>
          <w:color w:val="auto"/>
          <w:highlight w:val="none"/>
        </w:rPr>
        <w:t>条强制性规定的为</w:t>
      </w:r>
      <w:r>
        <w:rPr>
          <w:color w:val="auto"/>
          <w:highlight w:val="none"/>
        </w:rPr>
        <w:t>1</w:t>
      </w:r>
      <w:r>
        <w:rPr>
          <w:rFonts w:cs="宋体"/>
          <w:color w:val="auto"/>
          <w:highlight w:val="none"/>
        </w:rPr>
        <w:t>例）；</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③如经过甲方或施工图审查单位或甲方委托的第三方对设计变更的审核，发现乙方违反合同约定对设计变更随意进行合并、分拆的，累计出现7次（含7次）以上的； </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④如</w:t>
      </w:r>
      <w:r>
        <w:rPr>
          <w:rFonts w:hint="eastAsia" w:ascii="宋体" w:hAnsi="宋体" w:cs="宋体"/>
          <w:color w:val="auto"/>
          <w:kern w:val="0"/>
          <w:sz w:val="24"/>
          <w:szCs w:val="24"/>
          <w:highlight w:val="none"/>
        </w:rPr>
        <w:t>乙方的设计成果文件中含有明显倾向于某一专门厂商生产的设备、材料的描述，或</w:t>
      </w:r>
      <w:r>
        <w:rPr>
          <w:rFonts w:hint="eastAsia" w:ascii="宋体" w:hAnsi="宋体" w:cs="宋体"/>
          <w:color w:val="auto"/>
          <w:sz w:val="24"/>
          <w:szCs w:val="24"/>
          <w:highlight w:val="none"/>
        </w:rPr>
        <w:t>在其设计成果文件中选用了具有专一性、排他性的材料、设备而又未事先向甲方书面报告并详细说明理由的，累计出现7次（含7次）以上的；</w:t>
      </w:r>
    </w:p>
    <w:p>
      <w:pPr>
        <w:adjustRightInd w:val="0"/>
        <w:snapToGrid w:val="0"/>
        <w:spacing w:line="360" w:lineRule="auto"/>
        <w:ind w:firstLine="420" w:firstLineChars="200"/>
        <w:rPr>
          <w:rFonts w:ascii="宋体" w:hAnsi="宋体" w:cs="宋体"/>
          <w:color w:val="auto"/>
          <w:sz w:val="24"/>
          <w:szCs w:val="24"/>
          <w:highlight w:val="none"/>
        </w:rPr>
      </w:pPr>
      <w:r>
        <w:rPr>
          <w:rFonts w:hint="eastAsia" w:ascii="宋体" w:hAnsi="宋体" w:cs="宋体"/>
          <w:color w:val="auto"/>
          <w:szCs w:val="21"/>
          <w:highlight w:val="none"/>
        </w:rPr>
        <w:t>⑤</w:t>
      </w:r>
      <w:r>
        <w:rPr>
          <w:rFonts w:hint="eastAsia" w:ascii="宋体" w:hAnsi="宋体" w:cs="宋体"/>
          <w:color w:val="auto"/>
          <w:sz w:val="24"/>
          <w:szCs w:val="24"/>
          <w:highlight w:val="none"/>
        </w:rPr>
        <w:t>乙方的设计成果文件无法实施的（包括乙方的设计成果文件中明示的施工方案、工艺及措施难度极大或现有的施工条件无法实现的；设计成果文件中拟采用的材料设备无法采购的）；</w:t>
      </w:r>
    </w:p>
    <w:p>
      <w:pPr>
        <w:adjustRightInd w:val="0"/>
        <w:snapToGrid w:val="0"/>
        <w:spacing w:line="360" w:lineRule="auto"/>
        <w:ind w:firstLine="480" w:firstLineChars="200"/>
        <w:rPr>
          <w:rFonts w:ascii="宋体" w:hAnsi="宋体" w:cs="宋体"/>
          <w:color w:val="auto"/>
          <w:szCs w:val="21"/>
          <w:highlight w:val="none"/>
        </w:rPr>
      </w:pPr>
      <w:r>
        <w:rPr>
          <w:rFonts w:hint="eastAsia" w:ascii="宋体" w:hAnsi="宋体" w:cs="宋体"/>
          <w:color w:val="auto"/>
          <w:sz w:val="24"/>
          <w:szCs w:val="24"/>
          <w:highlight w:val="none"/>
        </w:rPr>
        <w:t>⑥乙方设计成果文件出现错、漏、碰，直接导致甲方招标工作进度、项目施工进度逾期累计10天（含10天），或累计达15天（含15天）以上的。</w:t>
      </w:r>
    </w:p>
    <w:p>
      <w:pPr>
        <w:adjustRightInd w:val="0"/>
        <w:snapToGrid w:val="0"/>
        <w:spacing w:line="360" w:lineRule="auto"/>
        <w:ind w:firstLine="482" w:firstLineChars="200"/>
        <w:outlineLvl w:val="3"/>
        <w:rPr>
          <w:rFonts w:ascii="宋体" w:hAnsi="宋体" w:cs="宋体"/>
          <w:color w:val="auto"/>
          <w:sz w:val="24"/>
          <w:szCs w:val="24"/>
          <w:highlight w:val="none"/>
        </w:rPr>
      </w:pPr>
      <w:r>
        <w:rPr>
          <w:rFonts w:hint="eastAsia" w:ascii="宋体" w:hAnsi="宋体" w:cs="宋体"/>
          <w:b/>
          <w:color w:val="auto"/>
          <w:sz w:val="24"/>
          <w:szCs w:val="24"/>
          <w:highlight w:val="none"/>
        </w:rPr>
        <w:t>11.2</w:t>
      </w:r>
      <w:r>
        <w:rPr>
          <w:rFonts w:hint="eastAsia" w:ascii="宋体" w:hAnsi="宋体" w:cs="宋体"/>
          <w:color w:val="auto"/>
          <w:sz w:val="24"/>
          <w:szCs w:val="24"/>
          <w:highlight w:val="none"/>
        </w:rPr>
        <w:t>如发生设计事故，经过甲方审定，甲方有权部分解除合同或解除合同。</w:t>
      </w:r>
    </w:p>
    <w:p>
      <w:pPr>
        <w:adjustRightInd w:val="0"/>
        <w:snapToGrid w:val="0"/>
        <w:spacing w:line="360" w:lineRule="auto"/>
        <w:ind w:firstLine="482" w:firstLineChars="200"/>
        <w:outlineLvl w:val="3"/>
        <w:rPr>
          <w:rFonts w:ascii="宋体" w:hAnsi="宋体" w:cs="宋体"/>
          <w:color w:val="auto"/>
          <w:sz w:val="24"/>
          <w:szCs w:val="24"/>
          <w:highlight w:val="none"/>
        </w:rPr>
      </w:pPr>
      <w:r>
        <w:rPr>
          <w:rFonts w:hint="eastAsia" w:ascii="宋体" w:hAnsi="宋体" w:cs="宋体"/>
          <w:b/>
          <w:color w:val="auto"/>
          <w:sz w:val="24"/>
          <w:szCs w:val="24"/>
          <w:highlight w:val="none"/>
        </w:rPr>
        <w:t>11.3</w:t>
      </w:r>
      <w:r>
        <w:rPr>
          <w:rFonts w:hint="eastAsia" w:ascii="宋体" w:hAnsi="宋体" w:cs="宋体"/>
          <w:color w:val="auto"/>
          <w:sz w:val="24"/>
          <w:szCs w:val="24"/>
          <w:highlight w:val="none"/>
        </w:rPr>
        <w:t>设计事故的认定方式及文件送达程序参照本合同条款第28.10款执行。</w:t>
      </w:r>
    </w:p>
    <w:p>
      <w:pPr>
        <w:adjustRightInd w:val="0"/>
        <w:snapToGrid w:val="0"/>
        <w:spacing w:line="360" w:lineRule="auto"/>
        <w:jc w:val="center"/>
        <w:rPr>
          <w:rFonts w:ascii="宋体" w:hAnsi="宋体" w:cs="宋体"/>
          <w:b/>
          <w:color w:val="auto"/>
          <w:sz w:val="30"/>
          <w:szCs w:val="30"/>
          <w:highlight w:val="none"/>
        </w:rPr>
      </w:pPr>
    </w:p>
    <w:p>
      <w:pPr>
        <w:adjustRightInd w:val="0"/>
        <w:snapToGrid w:val="0"/>
        <w:spacing w:line="360" w:lineRule="auto"/>
        <w:jc w:val="center"/>
        <w:rPr>
          <w:rFonts w:ascii="宋体" w:hAnsi="宋体" w:cs="宋体"/>
          <w:b/>
          <w:color w:val="auto"/>
          <w:sz w:val="30"/>
          <w:szCs w:val="30"/>
          <w:highlight w:val="none"/>
        </w:rPr>
      </w:pPr>
      <w:r>
        <w:rPr>
          <w:rFonts w:hint="eastAsia" w:ascii="宋体" w:hAnsi="宋体" w:cs="宋体"/>
          <w:b/>
          <w:color w:val="auto"/>
          <w:sz w:val="30"/>
          <w:szCs w:val="30"/>
          <w:highlight w:val="none"/>
        </w:rPr>
        <w:t>第六章 设计变更</w:t>
      </w:r>
    </w:p>
    <w:p>
      <w:pPr>
        <w:adjustRightInd w:val="0"/>
        <w:snapToGrid w:val="0"/>
        <w:spacing w:line="360" w:lineRule="auto"/>
        <w:ind w:firstLine="472" w:firstLineChars="196"/>
        <w:outlineLvl w:val="2"/>
        <w:rPr>
          <w:rFonts w:ascii="宋体" w:hAnsi="宋体" w:cs="宋体"/>
          <w:b/>
          <w:color w:val="auto"/>
          <w:kern w:val="0"/>
          <w:sz w:val="24"/>
          <w:szCs w:val="24"/>
          <w:highlight w:val="none"/>
        </w:rPr>
      </w:pPr>
    </w:p>
    <w:p>
      <w:pPr>
        <w:adjustRightInd w:val="0"/>
        <w:snapToGrid w:val="0"/>
        <w:spacing w:line="360" w:lineRule="auto"/>
        <w:ind w:firstLine="472" w:firstLineChars="196"/>
        <w:outlineLvl w:val="2"/>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12、设计变更</w:t>
      </w:r>
    </w:p>
    <w:p>
      <w:pPr>
        <w:pStyle w:val="10"/>
        <w:adjustRightInd w:val="0"/>
        <w:snapToGrid w:val="0"/>
        <w:spacing w:beforeAutospacing="0" w:afterAutospacing="0" w:line="360" w:lineRule="auto"/>
        <w:ind w:firstLine="482" w:firstLineChars="200"/>
        <w:rPr>
          <w:rFonts w:hint="default"/>
          <w:bCs/>
          <w:color w:val="auto"/>
          <w:highlight w:val="none"/>
        </w:rPr>
      </w:pPr>
      <w:r>
        <w:rPr>
          <w:b/>
          <w:color w:val="auto"/>
          <w:highlight w:val="none"/>
        </w:rPr>
        <w:t xml:space="preserve">12.1 </w:t>
      </w:r>
      <w:r>
        <w:rPr>
          <w:rFonts w:cs="宋体"/>
          <w:bCs/>
          <w:color w:val="auto"/>
          <w:highlight w:val="none"/>
        </w:rPr>
        <w:t>乙方应本着对工程质量、工期、投资等三大控制相结合的原则及甲方现行《设计变更管理办法》（合同附件8</w:t>
      </w:r>
      <w:r>
        <w:rPr>
          <w:bCs/>
          <w:color w:val="auto"/>
          <w:highlight w:val="none"/>
        </w:rPr>
        <w:t>）中的相关规定对设计变更进行管理。</w:t>
      </w:r>
    </w:p>
    <w:p>
      <w:pPr>
        <w:pStyle w:val="10"/>
        <w:adjustRightInd w:val="0"/>
        <w:snapToGrid w:val="0"/>
        <w:spacing w:beforeAutospacing="0" w:afterAutospacing="0" w:line="360" w:lineRule="auto"/>
        <w:ind w:firstLine="482" w:firstLineChars="200"/>
        <w:rPr>
          <w:rFonts w:hint="default"/>
          <w:color w:val="auto"/>
          <w:highlight w:val="none"/>
        </w:rPr>
      </w:pPr>
      <w:r>
        <w:rPr>
          <w:b/>
          <w:color w:val="auto"/>
          <w:highlight w:val="none"/>
        </w:rPr>
        <w:t>12.2</w:t>
      </w:r>
      <w:r>
        <w:rPr>
          <w:rFonts w:cs="宋体"/>
          <w:color w:val="auto"/>
          <w:highlight w:val="none"/>
        </w:rPr>
        <w:t>由于乙方的成果文件的完整性及有效性问题、设计错误、对设计基础资料选用不当、专业间接口出现矛盾等造成的设计更改（包括因此而发生的甲方另外发包的专项工程设计变更），乙方应按照甲方规定的时间提交设计变更，并按本合同条款第</w:t>
      </w:r>
      <w:r>
        <w:rPr>
          <w:color w:val="auto"/>
          <w:highlight w:val="none"/>
        </w:rPr>
        <w:t>28</w:t>
      </w:r>
      <w:r>
        <w:rPr>
          <w:rFonts w:cs="宋体"/>
          <w:color w:val="auto"/>
          <w:highlight w:val="none"/>
        </w:rPr>
        <w:t>条的相关约定承担违约责任。</w:t>
      </w:r>
    </w:p>
    <w:p>
      <w:pPr>
        <w:pStyle w:val="10"/>
        <w:adjustRightInd w:val="0"/>
        <w:snapToGrid w:val="0"/>
        <w:spacing w:beforeAutospacing="0" w:afterAutospacing="0" w:line="360" w:lineRule="auto"/>
        <w:ind w:firstLine="482" w:firstLineChars="200"/>
        <w:rPr>
          <w:rFonts w:hint="default"/>
          <w:color w:val="auto"/>
          <w:highlight w:val="none"/>
        </w:rPr>
      </w:pPr>
      <w:r>
        <w:rPr>
          <w:b/>
          <w:color w:val="auto"/>
          <w:highlight w:val="none"/>
        </w:rPr>
        <w:t>12.3</w:t>
      </w:r>
      <w:r>
        <w:rPr>
          <w:rFonts w:cs="宋体"/>
          <w:color w:val="auto"/>
          <w:highlight w:val="none"/>
        </w:rPr>
        <w:t>乙方应充分考虑中国的施工安装条件和水平、材料供应的条件（即充分考虑设计与施工的衔接），若由于设计错误导致无法施工或采购材料，乙方应无条件修改或重新设计，并按本合同条款第</w:t>
      </w:r>
      <w:r>
        <w:rPr>
          <w:color w:val="auto"/>
          <w:highlight w:val="none"/>
        </w:rPr>
        <w:t>28</w:t>
      </w:r>
      <w:r>
        <w:rPr>
          <w:rFonts w:cs="宋体"/>
          <w:color w:val="auto"/>
          <w:highlight w:val="none"/>
        </w:rPr>
        <w:t>条的相关约定承担违约责任。</w:t>
      </w:r>
    </w:p>
    <w:p>
      <w:pPr>
        <w:pStyle w:val="10"/>
        <w:adjustRightInd w:val="0"/>
        <w:snapToGrid w:val="0"/>
        <w:spacing w:beforeAutospacing="0" w:afterAutospacing="0" w:line="360" w:lineRule="auto"/>
        <w:ind w:firstLine="482" w:firstLineChars="200"/>
        <w:rPr>
          <w:rFonts w:hint="default"/>
          <w:color w:val="auto"/>
          <w:highlight w:val="none"/>
        </w:rPr>
      </w:pPr>
      <w:r>
        <w:rPr>
          <w:b/>
          <w:color w:val="auto"/>
          <w:highlight w:val="none"/>
        </w:rPr>
        <w:t>12.4</w:t>
      </w:r>
      <w:r>
        <w:rPr>
          <w:rFonts w:cs="宋体"/>
          <w:color w:val="auto"/>
          <w:highlight w:val="none"/>
        </w:rPr>
        <w:t>乙方负责根据国家及地方的相关规范、规定及</w:t>
      </w:r>
      <w:r>
        <w:rPr>
          <w:rFonts w:cs="宋体"/>
          <w:bCs/>
          <w:color w:val="auto"/>
          <w:highlight w:val="none"/>
        </w:rPr>
        <w:t>甲方现行《设计变更管理办法》</w:t>
      </w:r>
      <w:r>
        <w:rPr>
          <w:rFonts w:cs="宋体"/>
          <w:color w:val="auto"/>
          <w:highlight w:val="none"/>
        </w:rPr>
        <w:t>（合同附件8</w:t>
      </w:r>
      <w:r>
        <w:rPr>
          <w:color w:val="auto"/>
          <w:highlight w:val="none"/>
        </w:rPr>
        <w:t>）对本合同实施过程中产生的图纸会审记录进行审核；图纸会审记录中的内容须乙方核准并转化为设计变更后方可作为正式的设计文件执行。</w:t>
      </w:r>
    </w:p>
    <w:p>
      <w:pPr>
        <w:pStyle w:val="10"/>
        <w:adjustRightInd w:val="0"/>
        <w:snapToGrid w:val="0"/>
        <w:spacing w:beforeAutospacing="0" w:afterAutospacing="0" w:line="360" w:lineRule="auto"/>
        <w:ind w:firstLine="482" w:firstLineChars="200"/>
        <w:rPr>
          <w:rFonts w:hint="default"/>
          <w:color w:val="auto"/>
          <w:highlight w:val="none"/>
        </w:rPr>
      </w:pPr>
      <w:r>
        <w:rPr>
          <w:b/>
          <w:color w:val="auto"/>
          <w:highlight w:val="none"/>
        </w:rPr>
        <w:t>12.5</w:t>
      </w:r>
      <w:r>
        <w:rPr>
          <w:rFonts w:cs="宋体"/>
          <w:color w:val="auto"/>
          <w:highlight w:val="none"/>
        </w:rPr>
        <w:t>乙方应在设计变更正式发出前对可能的方案进行比选，综合考虑工期、质量、造价等方面的因素，确保设计变更的经济性及有效性。</w:t>
      </w:r>
    </w:p>
    <w:p>
      <w:pPr>
        <w:pStyle w:val="10"/>
        <w:adjustRightInd w:val="0"/>
        <w:snapToGrid w:val="0"/>
        <w:spacing w:beforeAutospacing="0" w:afterAutospacing="0" w:line="360" w:lineRule="auto"/>
        <w:ind w:firstLine="482" w:firstLineChars="200"/>
        <w:rPr>
          <w:rFonts w:hint="default"/>
          <w:color w:val="auto"/>
          <w:highlight w:val="none"/>
        </w:rPr>
      </w:pPr>
      <w:r>
        <w:rPr>
          <w:b/>
          <w:color w:val="auto"/>
          <w:highlight w:val="none"/>
        </w:rPr>
        <w:t>12.6</w:t>
      </w:r>
      <w:r>
        <w:rPr>
          <w:rFonts w:cs="宋体"/>
          <w:color w:val="auto"/>
          <w:highlight w:val="none"/>
        </w:rPr>
        <w:t>乙方应对本合同范围内的由其他设计单位发出的设计变更（包括由甲方另行发包的专项工程设计的设计变更和乙方分包的设计项目的设计变更）进行预审把关、审核及确认，确保本合同工程设计的总体性、完整性及相关专项设计满足工程投资控制的要求。</w:t>
      </w:r>
    </w:p>
    <w:p>
      <w:pPr>
        <w:pStyle w:val="10"/>
        <w:adjustRightInd w:val="0"/>
        <w:snapToGrid w:val="0"/>
        <w:spacing w:beforeAutospacing="0" w:afterAutospacing="0" w:line="360" w:lineRule="auto"/>
        <w:ind w:firstLine="482" w:firstLineChars="200"/>
        <w:rPr>
          <w:rFonts w:hint="default"/>
          <w:color w:val="auto"/>
          <w:highlight w:val="none"/>
        </w:rPr>
      </w:pPr>
      <w:r>
        <w:rPr>
          <w:b/>
          <w:color w:val="auto"/>
          <w:highlight w:val="none"/>
        </w:rPr>
        <w:t>12.7</w:t>
      </w:r>
      <w:r>
        <w:rPr>
          <w:rFonts w:cs="宋体"/>
          <w:color w:val="auto"/>
          <w:highlight w:val="none"/>
        </w:rPr>
        <w:t>乙方应对本合同范围内的设计变更（包括由甲方另行发包的专项工程设计的设计变更和乙方分包的设计部分的设计变更）的完整性、有效性、正确性、可靠性、可操作性、经济性负总体责任，乙方应按</w:t>
      </w:r>
      <w:r>
        <w:rPr>
          <w:rFonts w:cs="宋体"/>
          <w:bCs/>
          <w:color w:val="auto"/>
          <w:highlight w:val="none"/>
        </w:rPr>
        <w:t>甲方现行《设计变更管理办法》</w:t>
      </w:r>
      <w:r>
        <w:rPr>
          <w:rFonts w:cs="宋体"/>
          <w:color w:val="auto"/>
          <w:highlight w:val="none"/>
        </w:rPr>
        <w:t>（合同附件8</w:t>
      </w:r>
      <w:r>
        <w:rPr>
          <w:color w:val="auto"/>
          <w:highlight w:val="none"/>
        </w:rPr>
        <w:t>）的相关要求对设计变更进行管理，不得随意分拆、合并设计变更。</w:t>
      </w:r>
    </w:p>
    <w:p>
      <w:pPr>
        <w:pStyle w:val="10"/>
        <w:adjustRightInd w:val="0"/>
        <w:snapToGrid w:val="0"/>
        <w:spacing w:beforeAutospacing="0" w:afterAutospacing="0" w:line="360" w:lineRule="auto"/>
        <w:ind w:firstLine="482" w:firstLineChars="200"/>
        <w:rPr>
          <w:rFonts w:hint="default"/>
          <w:color w:val="auto"/>
          <w:highlight w:val="none"/>
        </w:rPr>
      </w:pPr>
      <w:r>
        <w:rPr>
          <w:b/>
          <w:color w:val="auto"/>
          <w:highlight w:val="none"/>
        </w:rPr>
        <w:t>12.8</w:t>
      </w:r>
      <w:r>
        <w:rPr>
          <w:rFonts w:cs="宋体"/>
          <w:color w:val="auto"/>
          <w:highlight w:val="none"/>
        </w:rPr>
        <w:t>乙方应准确判定设计变更的类别，对因设计变更而引起的工程造价变化须提出预算造价分析，提交设计变更对工期影响评估的书面意见。</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12.9</w:t>
      </w:r>
      <w:r>
        <w:rPr>
          <w:rFonts w:hint="eastAsia" w:ascii="宋体" w:hAnsi="宋体" w:cs="宋体"/>
          <w:color w:val="auto"/>
          <w:kern w:val="0"/>
          <w:sz w:val="24"/>
          <w:szCs w:val="24"/>
          <w:highlight w:val="none"/>
        </w:rPr>
        <w:t>乙方有关设计的任何修改、变动或由于修改设计所引起的工艺、技术、材料、设备的变更均须经过甲方的同意。</w:t>
      </w:r>
    </w:p>
    <w:p>
      <w:pPr>
        <w:adjustRightInd w:val="0"/>
        <w:snapToGrid w:val="0"/>
        <w:spacing w:line="360" w:lineRule="auto"/>
        <w:ind w:firstLine="480" w:firstLineChars="200"/>
        <w:rPr>
          <w:rFonts w:ascii="宋体" w:hAnsi="宋体" w:cs="宋体"/>
          <w:color w:val="auto"/>
          <w:kern w:val="0"/>
          <w:sz w:val="24"/>
          <w:szCs w:val="24"/>
          <w:highlight w:val="none"/>
        </w:rPr>
      </w:pPr>
    </w:p>
    <w:p>
      <w:pPr>
        <w:pStyle w:val="3"/>
        <w:keepNext w:val="0"/>
        <w:keepLines w:val="0"/>
        <w:widowControl/>
        <w:spacing w:before="0" w:after="0" w:line="410" w:lineRule="auto"/>
        <w:jc w:val="center"/>
        <w:rPr>
          <w:rFonts w:ascii="宋体" w:hAnsi="宋体" w:cs="宋体"/>
          <w:color w:val="auto"/>
          <w:sz w:val="24"/>
          <w:szCs w:val="24"/>
          <w:highlight w:val="none"/>
        </w:rPr>
      </w:pPr>
      <w:r>
        <w:rPr>
          <w:rFonts w:hint="eastAsia" w:ascii="宋体" w:hAnsi="宋体" w:cs="宋体"/>
          <w:color w:val="auto"/>
          <w:kern w:val="0"/>
          <w:highlight w:val="none"/>
        </w:rPr>
        <w:t>第七章 工程投资控制</w:t>
      </w:r>
    </w:p>
    <w:p>
      <w:pPr>
        <w:adjustRightInd w:val="0"/>
        <w:snapToGrid w:val="0"/>
        <w:spacing w:line="360" w:lineRule="auto"/>
        <w:ind w:firstLine="472" w:firstLineChars="196"/>
        <w:outlineLvl w:val="2"/>
        <w:rPr>
          <w:rFonts w:ascii="宋体" w:hAnsi="宋体" w:cs="宋体"/>
          <w:b/>
          <w:color w:val="auto"/>
          <w:kern w:val="0"/>
          <w:sz w:val="24"/>
          <w:szCs w:val="24"/>
          <w:highlight w:val="none"/>
        </w:rPr>
      </w:pPr>
    </w:p>
    <w:p>
      <w:pPr>
        <w:adjustRightInd w:val="0"/>
        <w:snapToGrid w:val="0"/>
        <w:spacing w:line="360" w:lineRule="auto"/>
        <w:ind w:firstLine="472" w:firstLineChars="196"/>
        <w:outlineLvl w:val="2"/>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13、工程投资控制</w:t>
      </w:r>
    </w:p>
    <w:p>
      <w:pPr>
        <w:adjustRightInd w:val="0"/>
        <w:snapToGrid w:val="0"/>
        <w:spacing w:line="360" w:lineRule="auto"/>
        <w:ind w:firstLine="482" w:firstLineChars="200"/>
        <w:outlineLvl w:val="3"/>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13.1</w:t>
      </w:r>
      <w:r>
        <w:rPr>
          <w:rFonts w:hint="eastAsia" w:ascii="宋体" w:hAnsi="宋体" w:cs="宋体"/>
          <w:color w:val="auto"/>
          <w:kern w:val="0"/>
          <w:sz w:val="24"/>
          <w:szCs w:val="24"/>
          <w:highlight w:val="none"/>
        </w:rPr>
        <w:t>乙方承诺在不降低设计任务书中的主要设计指标（建筑高度、建筑面积等）的前提下，确保工程设计概算不超过政府主管部门核准的工程投资估算总额</w:t>
      </w:r>
      <w:r>
        <w:rPr>
          <w:rFonts w:hint="default" w:ascii="宋体" w:hAnsi="宋体" w:cs="宋体"/>
          <w:color w:val="auto"/>
          <w:kern w:val="0"/>
          <w:sz w:val="24"/>
          <w:szCs w:val="24"/>
          <w:highlight w:val="none"/>
        </w:rPr>
        <w:t>及业主单位（或其他权责单位）审定的投资估算评审金额（如有）</w:t>
      </w:r>
      <w:r>
        <w:rPr>
          <w:rFonts w:hint="eastAsia" w:ascii="宋体" w:hAnsi="宋体" w:cs="宋体"/>
          <w:color w:val="auto"/>
          <w:kern w:val="0"/>
          <w:sz w:val="24"/>
          <w:szCs w:val="24"/>
          <w:highlight w:val="none"/>
        </w:rPr>
        <w:t>，</w:t>
      </w:r>
      <w:r>
        <w:rPr>
          <w:rFonts w:hint="default" w:ascii="宋体" w:hAnsi="宋体" w:cs="宋体"/>
          <w:color w:val="auto"/>
          <w:kern w:val="0"/>
          <w:sz w:val="24"/>
          <w:szCs w:val="24"/>
          <w:highlight w:val="none"/>
        </w:rPr>
        <w:t>造价预算</w:t>
      </w:r>
      <w:r>
        <w:rPr>
          <w:rFonts w:hint="eastAsia" w:ascii="宋体" w:hAnsi="宋体" w:cs="宋体"/>
          <w:color w:val="auto"/>
          <w:kern w:val="0"/>
          <w:sz w:val="24"/>
          <w:szCs w:val="24"/>
          <w:highlight w:val="none"/>
        </w:rPr>
        <w:t>不超过有权审核部门审定工程设计概算中的建安工程费总额。</w:t>
      </w:r>
    </w:p>
    <w:p>
      <w:pPr>
        <w:adjustRightInd w:val="0"/>
        <w:snapToGrid w:val="0"/>
        <w:spacing w:line="360" w:lineRule="auto"/>
        <w:ind w:firstLine="482" w:firstLineChars="200"/>
        <w:outlineLvl w:val="3"/>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13.2</w:t>
      </w:r>
      <w:r>
        <w:rPr>
          <w:rFonts w:hint="eastAsia" w:ascii="宋体" w:hAnsi="宋体" w:cs="宋体"/>
          <w:color w:val="auto"/>
          <w:kern w:val="0"/>
          <w:sz w:val="24"/>
          <w:szCs w:val="24"/>
          <w:highlight w:val="none"/>
        </w:rPr>
        <w:t>乙方编制的方案估算需达到工程设计概算总表深度，编制的工程设计概算需满足有权审核部门评审的要求，</w:t>
      </w:r>
      <w:r>
        <w:rPr>
          <w:rFonts w:hint="eastAsia" w:ascii="宋体" w:hAnsi="宋体" w:cs="宋体"/>
          <w:color w:val="auto"/>
          <w:sz w:val="24"/>
          <w:szCs w:val="24"/>
          <w:highlight w:val="none"/>
        </w:rPr>
        <w:t>编制的</w:t>
      </w:r>
      <w:r>
        <w:rPr>
          <w:rFonts w:hint="default" w:ascii="宋体" w:hAnsi="宋体" w:cs="宋体"/>
          <w:color w:val="auto"/>
          <w:sz w:val="24"/>
          <w:szCs w:val="24"/>
          <w:highlight w:val="none"/>
        </w:rPr>
        <w:t>造价预算</w:t>
      </w:r>
      <w:r>
        <w:rPr>
          <w:rFonts w:hint="eastAsia" w:ascii="宋体" w:hAnsi="宋体" w:cs="宋体"/>
          <w:color w:val="auto"/>
          <w:sz w:val="24"/>
          <w:szCs w:val="24"/>
          <w:highlight w:val="none"/>
        </w:rPr>
        <w:t>需满足甲方或甲方委托的第三方审核的要求，</w:t>
      </w:r>
      <w:r>
        <w:rPr>
          <w:rFonts w:hint="eastAsia" w:ascii="宋体" w:hAnsi="宋体" w:cs="宋体"/>
          <w:color w:val="auto"/>
          <w:kern w:val="0"/>
          <w:sz w:val="24"/>
          <w:szCs w:val="24"/>
          <w:highlight w:val="none"/>
        </w:rPr>
        <w:t>编制的设计变更预算达到</w:t>
      </w:r>
      <w:r>
        <w:rPr>
          <w:rFonts w:hint="default" w:ascii="宋体" w:hAnsi="宋体" w:cs="宋体"/>
          <w:color w:val="auto"/>
          <w:kern w:val="0"/>
          <w:sz w:val="24"/>
          <w:szCs w:val="24"/>
          <w:highlight w:val="none"/>
        </w:rPr>
        <w:t>造价预算</w:t>
      </w:r>
      <w:r>
        <w:rPr>
          <w:rFonts w:hint="eastAsia" w:ascii="宋体" w:hAnsi="宋体" w:cs="宋体"/>
          <w:color w:val="auto"/>
          <w:kern w:val="0"/>
          <w:sz w:val="24"/>
          <w:szCs w:val="24"/>
          <w:highlight w:val="none"/>
        </w:rPr>
        <w:t>深度要求，其他各阶段的造价文件编制需满足对应阶段造价文件深度要求。编制投资估算、概算、预算、结算等建设工程造价文件的质量偏差率，分别不得超过规定的20%、10%、5%、5%。</w:t>
      </w:r>
    </w:p>
    <w:p>
      <w:pPr>
        <w:adjustRightInd w:val="0"/>
        <w:snapToGrid w:val="0"/>
        <w:spacing w:line="360" w:lineRule="auto"/>
        <w:ind w:firstLine="482" w:firstLineChars="200"/>
        <w:outlineLvl w:val="3"/>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13.3</w:t>
      </w:r>
      <w:r>
        <w:rPr>
          <w:rFonts w:hint="eastAsia" w:ascii="宋体" w:hAnsi="宋体" w:cs="宋体"/>
          <w:color w:val="auto"/>
          <w:kern w:val="0"/>
          <w:sz w:val="24"/>
          <w:szCs w:val="24"/>
          <w:highlight w:val="none"/>
        </w:rPr>
        <w:t>乙方应保证所提供的初步设计成果文件中的工程设计概算的准确性。工程设计概算应是依据初步设计中主要材料及设备的量、价清单编制的，是客观、准确、可行的，并已包括依据国家、广东省、广州市有关法律、行政法规和政策性造价管理文件所规定的所有计费内容。甲方及时提供与本合同工程有关的资料和协助。</w:t>
      </w:r>
    </w:p>
    <w:p>
      <w:pPr>
        <w:adjustRightInd w:val="0"/>
        <w:snapToGrid w:val="0"/>
        <w:spacing w:line="360" w:lineRule="auto"/>
        <w:ind w:firstLine="482" w:firstLineChars="200"/>
        <w:outlineLvl w:val="3"/>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13.4</w:t>
      </w:r>
      <w:r>
        <w:rPr>
          <w:rFonts w:hint="eastAsia" w:ascii="宋体" w:hAnsi="宋体" w:cs="宋体"/>
          <w:color w:val="auto"/>
          <w:kern w:val="0"/>
          <w:sz w:val="24"/>
          <w:szCs w:val="24"/>
          <w:highlight w:val="none"/>
        </w:rPr>
        <w:t xml:space="preserve"> </w:t>
      </w:r>
      <w:r>
        <w:rPr>
          <w:rFonts w:hint="default" w:ascii="宋体" w:hAnsi="宋体" w:cs="宋体"/>
          <w:color w:val="auto"/>
          <w:kern w:val="0"/>
          <w:sz w:val="24"/>
          <w:szCs w:val="24"/>
          <w:highlight w:val="none"/>
        </w:rPr>
        <w:t>造价预算</w:t>
      </w:r>
      <w:r>
        <w:rPr>
          <w:rFonts w:hint="eastAsia" w:ascii="宋体" w:hAnsi="宋体" w:cs="宋体"/>
          <w:color w:val="auto"/>
          <w:kern w:val="0"/>
          <w:sz w:val="24"/>
          <w:szCs w:val="24"/>
          <w:highlight w:val="none"/>
        </w:rPr>
        <w:t>须以通过施工图审查单位审查的施工图为基础进行编制，编制范围应包括本合同条款第三章约定的全部设计内容（甲方另外发包的各专项设计的内容的</w:t>
      </w:r>
      <w:r>
        <w:rPr>
          <w:rFonts w:hint="default" w:ascii="宋体" w:hAnsi="宋体" w:cs="宋体"/>
          <w:color w:val="auto"/>
          <w:kern w:val="0"/>
          <w:sz w:val="24"/>
          <w:szCs w:val="24"/>
          <w:highlight w:val="none"/>
        </w:rPr>
        <w:t>造价预算</w:t>
      </w:r>
      <w:r>
        <w:rPr>
          <w:rFonts w:hint="eastAsia" w:ascii="宋体" w:hAnsi="宋体" w:cs="宋体"/>
          <w:color w:val="auto"/>
          <w:kern w:val="0"/>
          <w:sz w:val="24"/>
          <w:szCs w:val="24"/>
          <w:highlight w:val="none"/>
        </w:rPr>
        <w:t>由其自行负责）。如招标过程中施工图发生调整，乙方应据此相应对</w:t>
      </w:r>
      <w:r>
        <w:rPr>
          <w:rFonts w:hint="default" w:ascii="宋体" w:hAnsi="宋体" w:cs="宋体"/>
          <w:color w:val="auto"/>
          <w:kern w:val="0"/>
          <w:sz w:val="24"/>
          <w:szCs w:val="24"/>
          <w:highlight w:val="none"/>
        </w:rPr>
        <w:t>造价预算</w:t>
      </w:r>
      <w:r>
        <w:rPr>
          <w:rFonts w:hint="eastAsia" w:ascii="宋体" w:hAnsi="宋体" w:cs="宋体"/>
          <w:color w:val="auto"/>
          <w:kern w:val="0"/>
          <w:sz w:val="24"/>
          <w:szCs w:val="24"/>
          <w:highlight w:val="none"/>
        </w:rPr>
        <w:t>进行调整并及时报送甲方，确保招标计划的顺利实施。</w:t>
      </w:r>
    </w:p>
    <w:p>
      <w:pPr>
        <w:adjustRightInd w:val="0"/>
        <w:snapToGrid w:val="0"/>
        <w:spacing w:line="360" w:lineRule="auto"/>
        <w:ind w:firstLine="482" w:firstLineChars="200"/>
        <w:outlineLvl w:val="3"/>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13.5</w:t>
      </w:r>
      <w:r>
        <w:rPr>
          <w:rFonts w:hint="eastAsia" w:ascii="宋体" w:hAnsi="宋体" w:cs="宋体"/>
          <w:color w:val="auto"/>
          <w:kern w:val="0"/>
          <w:sz w:val="24"/>
          <w:szCs w:val="24"/>
          <w:highlight w:val="none"/>
        </w:rPr>
        <w:t>乙方须保证</w:t>
      </w:r>
      <w:r>
        <w:rPr>
          <w:rFonts w:hint="default" w:ascii="宋体" w:hAnsi="宋体" w:cs="宋体"/>
          <w:color w:val="auto"/>
          <w:kern w:val="0"/>
          <w:sz w:val="24"/>
          <w:szCs w:val="24"/>
          <w:highlight w:val="none"/>
        </w:rPr>
        <w:t>造价预算</w:t>
      </w:r>
      <w:r>
        <w:rPr>
          <w:rFonts w:hint="eastAsia" w:ascii="宋体" w:hAnsi="宋体" w:cs="宋体"/>
          <w:color w:val="auto"/>
          <w:kern w:val="0"/>
          <w:sz w:val="24"/>
          <w:szCs w:val="24"/>
          <w:highlight w:val="none"/>
        </w:rPr>
        <w:t>与甲方、施工图审查单位或甲方委托的第三方的审核结果的误差不超过±5%，且不超过有权审核部门审定的工程设计概算中的建安工程费总额，确保满足甲方对工程投资控制的要求。</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如果因乙方的过错造成</w:t>
      </w:r>
      <w:r>
        <w:rPr>
          <w:rFonts w:hint="default" w:ascii="宋体" w:hAnsi="宋体" w:cs="宋体"/>
          <w:color w:val="auto"/>
          <w:kern w:val="0"/>
          <w:sz w:val="24"/>
          <w:szCs w:val="24"/>
          <w:highlight w:val="none"/>
        </w:rPr>
        <w:t>造价预算</w:t>
      </w:r>
      <w:r>
        <w:rPr>
          <w:rFonts w:hint="eastAsia" w:ascii="宋体" w:hAnsi="宋体" w:cs="宋体"/>
          <w:color w:val="auto"/>
          <w:kern w:val="0"/>
          <w:sz w:val="24"/>
          <w:szCs w:val="24"/>
          <w:highlight w:val="none"/>
        </w:rPr>
        <w:t>超出经核准的工程设计概算，乙方必须在初步设计的基础上对施工图进行修改，并保证设计质量标准和施工进度。</w:t>
      </w:r>
    </w:p>
    <w:p>
      <w:pPr>
        <w:pStyle w:val="10"/>
        <w:widowControl w:val="0"/>
        <w:spacing w:beforeAutospacing="0" w:afterAutospacing="0"/>
        <w:ind w:firstLine="480" w:firstLineChars="200"/>
        <w:jc w:val="both"/>
        <w:rPr>
          <w:rFonts w:hint="default" w:ascii="Calibri" w:hAnsi="Calibri" w:cs="Calibri"/>
          <w:color w:val="auto"/>
          <w:highlight w:val="none"/>
        </w:rPr>
      </w:pPr>
    </w:p>
    <w:p>
      <w:pPr>
        <w:pStyle w:val="3"/>
        <w:keepNext w:val="0"/>
        <w:keepLines w:val="0"/>
        <w:widowControl/>
        <w:spacing w:before="0" w:after="0" w:line="360" w:lineRule="auto"/>
        <w:jc w:val="center"/>
        <w:rPr>
          <w:rFonts w:ascii="宋体" w:hAnsi="宋体" w:cs="宋体"/>
          <w:color w:val="auto"/>
          <w:sz w:val="24"/>
          <w:szCs w:val="24"/>
          <w:highlight w:val="none"/>
        </w:rPr>
      </w:pPr>
      <w:r>
        <w:rPr>
          <w:rFonts w:hint="eastAsia" w:ascii="宋体" w:hAnsi="宋体" w:cs="宋体"/>
          <w:color w:val="auto"/>
          <w:kern w:val="0"/>
          <w:highlight w:val="none"/>
        </w:rPr>
        <w:t>第八章 设计评审</w:t>
      </w:r>
    </w:p>
    <w:p>
      <w:pPr>
        <w:adjustRightInd w:val="0"/>
        <w:snapToGrid w:val="0"/>
        <w:spacing w:line="360" w:lineRule="auto"/>
        <w:ind w:firstLine="480"/>
        <w:outlineLvl w:val="2"/>
        <w:rPr>
          <w:rFonts w:ascii="宋体" w:hAnsi="宋体" w:cs="宋体"/>
          <w:b/>
          <w:color w:val="auto"/>
          <w:kern w:val="0"/>
          <w:sz w:val="24"/>
          <w:szCs w:val="24"/>
          <w:highlight w:val="none"/>
        </w:rPr>
      </w:pPr>
    </w:p>
    <w:p>
      <w:pPr>
        <w:adjustRightInd w:val="0"/>
        <w:snapToGrid w:val="0"/>
        <w:spacing w:line="360" w:lineRule="auto"/>
        <w:ind w:firstLine="480"/>
        <w:outlineLvl w:val="2"/>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14、设计评审</w:t>
      </w:r>
    </w:p>
    <w:p>
      <w:pPr>
        <w:adjustRightInd w:val="0"/>
        <w:snapToGrid w:val="0"/>
        <w:spacing w:line="360" w:lineRule="auto"/>
        <w:ind w:firstLine="480"/>
        <w:outlineLvl w:val="3"/>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14.1</w:t>
      </w:r>
      <w:r>
        <w:rPr>
          <w:rFonts w:hint="eastAsia" w:ascii="宋体" w:hAnsi="宋体" w:cs="宋体"/>
          <w:color w:val="auto"/>
          <w:sz w:val="24"/>
          <w:szCs w:val="24"/>
          <w:highlight w:val="none"/>
        </w:rPr>
        <w:t>对乙方设计成果文件的设计评审包括国家相关行政主管部门及行业主管部门的审查、施工图审查单位的审查、甲方的设计管理部门及技术评审部门评审、甲方组织的专家评审。</w:t>
      </w:r>
    </w:p>
    <w:p>
      <w:pPr>
        <w:adjustRightInd w:val="0"/>
        <w:snapToGrid w:val="0"/>
        <w:spacing w:line="360" w:lineRule="auto"/>
        <w:ind w:firstLine="480"/>
        <w:outlineLvl w:val="3"/>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14.2</w:t>
      </w:r>
      <w:r>
        <w:rPr>
          <w:rFonts w:hint="eastAsia" w:ascii="宋体" w:hAnsi="宋体" w:cs="宋体"/>
          <w:color w:val="auto"/>
          <w:kern w:val="0"/>
          <w:sz w:val="24"/>
          <w:szCs w:val="24"/>
          <w:highlight w:val="none"/>
        </w:rPr>
        <w:t xml:space="preserve"> 设计评审的依据包括：</w:t>
      </w:r>
    </w:p>
    <w:p>
      <w:pPr>
        <w:adjustRightInd w:val="0"/>
        <w:snapToGrid w:val="0"/>
        <w:spacing w:line="360" w:lineRule="auto"/>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（1）国家、省、市的施工图设计审查的相关规定；</w:t>
      </w:r>
    </w:p>
    <w:p>
      <w:pPr>
        <w:adjustRightInd w:val="0"/>
        <w:snapToGrid w:val="0"/>
        <w:spacing w:line="360" w:lineRule="auto"/>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（2）消防、节能、环保、抗震、卫生、人防等有关工程建设的强制性标准和规范；</w:t>
      </w:r>
    </w:p>
    <w:p>
      <w:pPr>
        <w:adjustRightInd w:val="0"/>
        <w:snapToGrid w:val="0"/>
        <w:spacing w:line="360" w:lineRule="auto"/>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（3）本合同工程的相关政府批文（包括但不限于立项许可文件、用地规划文件等）；</w:t>
      </w:r>
    </w:p>
    <w:p>
      <w:pPr>
        <w:adjustRightInd w:val="0"/>
        <w:snapToGrid w:val="0"/>
        <w:spacing w:line="360" w:lineRule="auto"/>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（4）本合同中与设计工作的内容、范围、管理、服务相关的约定；</w:t>
      </w:r>
    </w:p>
    <w:p>
      <w:pPr>
        <w:adjustRightInd w:val="0"/>
        <w:snapToGrid w:val="0"/>
        <w:spacing w:line="360" w:lineRule="auto"/>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（5）甲方关于设计、图档、图文、工程等的相关管理办法及规定；</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（6）政府相关行政主管部门、行业主管部门对乙方设计成果文件的审批意见；</w:t>
      </w:r>
    </w:p>
    <w:p>
      <w:pPr>
        <w:adjustRightInd w:val="0"/>
        <w:snapToGrid w:val="0"/>
        <w:spacing w:line="360" w:lineRule="auto"/>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（7）甲方在设计过程中提出的明确书面意见。</w:t>
      </w:r>
    </w:p>
    <w:p>
      <w:pPr>
        <w:adjustRightInd w:val="0"/>
        <w:snapToGrid w:val="0"/>
        <w:spacing w:line="360" w:lineRule="auto"/>
        <w:ind w:firstLine="480"/>
        <w:outlineLvl w:val="3"/>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 xml:space="preserve">14.3 </w:t>
      </w:r>
      <w:r>
        <w:rPr>
          <w:rFonts w:hint="eastAsia" w:ascii="宋体" w:hAnsi="宋体" w:cs="宋体"/>
          <w:color w:val="auto"/>
          <w:kern w:val="0"/>
          <w:sz w:val="24"/>
          <w:szCs w:val="24"/>
          <w:highlight w:val="none"/>
        </w:rPr>
        <w:t>乙方应根据政府相关行政主管部门、行业主管部门的审批意见无条件地修改、完善各阶段的设计成果文件，确保其满足相关的审批要求；乙方应根据施工图审查单位的审查、甲方的设计评审、甲方组织的专业人士评审的意见对设计成果文件进行修改、完善。</w:t>
      </w:r>
    </w:p>
    <w:p>
      <w:pPr>
        <w:adjustRightInd w:val="0"/>
        <w:snapToGrid w:val="0"/>
        <w:spacing w:line="360" w:lineRule="auto"/>
        <w:ind w:firstLine="480"/>
        <w:outlineLvl w:val="3"/>
        <w:rPr>
          <w:rFonts w:ascii="宋体" w:hAnsi="宋体" w:cs="宋体"/>
          <w:color w:val="auto"/>
          <w:kern w:val="0"/>
          <w:sz w:val="24"/>
          <w:szCs w:val="24"/>
          <w:highlight w:val="none"/>
        </w:rPr>
      </w:pPr>
      <w:r>
        <w:rPr>
          <w:rFonts w:hint="eastAsia" w:ascii="宋体" w:hAnsi="宋体" w:cs="宋体"/>
          <w:color w:val="auto"/>
          <w:kern w:val="0"/>
          <w:sz w:val="24"/>
          <w:szCs w:val="24"/>
          <w:highlight w:val="none"/>
        </w:rPr>
        <w:t>甲方将组织专家对</w:t>
      </w:r>
      <w:r>
        <w:rPr>
          <w:rFonts w:ascii="宋体" w:hAnsi="宋体" w:cs="宋体"/>
          <w:color w:val="auto"/>
          <w:kern w:val="0"/>
          <w:sz w:val="24"/>
          <w:szCs w:val="24"/>
          <w:highlight w:val="none"/>
        </w:rPr>
        <w:t>方案设计（含规划、专项方案设计）、</w:t>
      </w:r>
      <w:r>
        <w:rPr>
          <w:rFonts w:hint="eastAsia" w:ascii="宋体" w:hAnsi="宋体" w:cs="宋体"/>
          <w:color w:val="auto"/>
          <w:kern w:val="0"/>
          <w:sz w:val="24"/>
          <w:szCs w:val="24"/>
          <w:highlight w:val="none"/>
        </w:rPr>
        <w:t>初步设计及施工图设计成果文件进行质量审核，</w:t>
      </w:r>
      <w:r>
        <w:rPr>
          <w:rFonts w:ascii="宋体" w:hAnsi="宋体" w:cs="宋体"/>
          <w:color w:val="auto"/>
          <w:kern w:val="0"/>
          <w:sz w:val="24"/>
          <w:szCs w:val="24"/>
          <w:highlight w:val="none"/>
        </w:rPr>
        <w:t>相关审核费用（含场地费、专家劳务费等）由乙方在工程设计费中综合考虑，不再另行计取。</w:t>
      </w:r>
      <w:r>
        <w:rPr>
          <w:rFonts w:hint="eastAsia" w:ascii="宋体" w:hAnsi="宋体" w:cs="宋体"/>
          <w:color w:val="auto"/>
          <w:kern w:val="0"/>
          <w:sz w:val="24"/>
          <w:szCs w:val="24"/>
          <w:highlight w:val="none"/>
        </w:rPr>
        <w:t>如审核发现相关设计成果文件不符合国家设计规范要求、设计深度要求，存在错漏碰、不完整、不合理、不统一等情况，乙方应及时对设计文件进行修改、完善。</w:t>
      </w:r>
    </w:p>
    <w:p>
      <w:pPr>
        <w:adjustRightInd w:val="0"/>
        <w:snapToGrid w:val="0"/>
        <w:spacing w:line="360" w:lineRule="auto"/>
        <w:ind w:firstLine="480"/>
        <w:outlineLvl w:val="3"/>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14.4</w:t>
      </w:r>
      <w:r>
        <w:rPr>
          <w:rFonts w:hint="eastAsia" w:ascii="宋体" w:hAnsi="宋体" w:cs="宋体"/>
          <w:color w:val="auto"/>
          <w:kern w:val="0"/>
          <w:sz w:val="24"/>
          <w:szCs w:val="24"/>
          <w:highlight w:val="none"/>
        </w:rPr>
        <w:t>乙方对甲方组织的专家评审意见存在异议的，在不违反消防、节能、环保、抗震、卫生、人防等国家有关工程建设的强制性标准和规范的前提下，以甲方最终认定的意见为准。乙方应在设计评审的最终意见发出之后5天内完成其设计范围内设计成果文件的修改完善工作并提交甲方。</w:t>
      </w:r>
    </w:p>
    <w:p>
      <w:pPr>
        <w:adjustRightInd w:val="0"/>
        <w:snapToGrid w:val="0"/>
        <w:spacing w:line="360" w:lineRule="auto"/>
        <w:ind w:firstLine="480"/>
        <w:outlineLvl w:val="3"/>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14.5</w:t>
      </w:r>
      <w:r>
        <w:rPr>
          <w:rFonts w:hint="eastAsia" w:ascii="宋体" w:hAnsi="宋体" w:cs="宋体"/>
          <w:color w:val="auto"/>
          <w:kern w:val="0"/>
          <w:sz w:val="24"/>
          <w:szCs w:val="24"/>
          <w:highlight w:val="none"/>
        </w:rPr>
        <w:t>如乙方未能在设计评审的最终意见发出之日起3日内积极响应或逾期未能完成相关设计成果文件的修改完善工作，乙方应按本合同条款第28条的相关约定承担违约责任。甲方有权直接按设计评审的最终评审意见实施（但不因此免除乙方的相关设计责任）或直接委托其他设计单位进行相关的设计修改和完善，另行委托设计的相关费用（按需要进行修改完善部分的建安工程费占审定概算建安工程费之和的比例乘以本合同设计费计取）从本合同设计收费中扣取。</w:t>
      </w:r>
    </w:p>
    <w:p>
      <w:pPr>
        <w:adjustRightInd w:val="0"/>
        <w:snapToGrid w:val="0"/>
        <w:spacing w:line="360" w:lineRule="auto"/>
        <w:ind w:firstLine="480"/>
        <w:outlineLvl w:val="3"/>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14.6</w:t>
      </w:r>
      <w:r>
        <w:rPr>
          <w:rFonts w:hint="eastAsia" w:ascii="宋体" w:hAnsi="宋体" w:cs="宋体"/>
          <w:color w:val="auto"/>
          <w:kern w:val="0"/>
          <w:sz w:val="24"/>
          <w:szCs w:val="24"/>
          <w:highlight w:val="none"/>
        </w:rPr>
        <w:t xml:space="preserve"> 甲方有权根据乙方提交的各阶段的设计成果文件的设计评审意见、乙方在履行合同各阶段提供的设计服务（包括报审报建服务、招标配合服务、施工阶段的现场服务、结算配合服务的评价、保修阶段的服务）的实际情况，依照甲方现行管理制度对乙方进行考核，并根据考核结果按照本合同条款的相关约定支付设计收费。</w:t>
      </w:r>
    </w:p>
    <w:p>
      <w:pPr>
        <w:adjustRightInd w:val="0"/>
        <w:snapToGrid w:val="0"/>
        <w:spacing w:line="360" w:lineRule="auto"/>
        <w:ind w:firstLine="480"/>
        <w:outlineLvl w:val="3"/>
        <w:rPr>
          <w:rFonts w:ascii="宋体" w:hAnsi="宋体" w:cs="宋体"/>
          <w:color w:val="auto"/>
          <w:kern w:val="0"/>
          <w:sz w:val="24"/>
          <w:szCs w:val="24"/>
          <w:highlight w:val="none"/>
        </w:rPr>
      </w:pPr>
      <w:r>
        <w:rPr>
          <w:rFonts w:ascii="宋体" w:hAnsi="宋体" w:cs="宋体"/>
          <w:b/>
          <w:bCs/>
          <w:color w:val="auto"/>
          <w:kern w:val="0"/>
          <w:sz w:val="24"/>
          <w:szCs w:val="24"/>
          <w:highlight w:val="none"/>
        </w:rPr>
        <w:t>14.7</w:t>
      </w:r>
      <w:r>
        <w:rPr>
          <w:rFonts w:ascii="宋体" w:hAnsi="宋体" w:cs="宋体"/>
          <w:color w:val="auto"/>
          <w:kern w:val="0"/>
          <w:sz w:val="24"/>
          <w:szCs w:val="24"/>
          <w:highlight w:val="none"/>
        </w:rPr>
        <w:t>施工阶段，如因乙方自身设计问题导致需要组织专家评审会对设计成果文件进行审核、论证的，由此产生的审核、论证相关费用由乙方自行承担。</w:t>
      </w:r>
    </w:p>
    <w:p>
      <w:pPr>
        <w:adjustRightInd w:val="0"/>
        <w:snapToGrid w:val="0"/>
        <w:spacing w:line="360" w:lineRule="auto"/>
        <w:ind w:firstLine="424" w:firstLineChars="177"/>
        <w:jc w:val="left"/>
        <w:rPr>
          <w:rFonts w:ascii="宋体" w:hAnsi="宋体" w:cs="宋体"/>
          <w:color w:val="auto"/>
          <w:kern w:val="0"/>
          <w:sz w:val="24"/>
          <w:szCs w:val="24"/>
          <w:highlight w:val="none"/>
        </w:rPr>
      </w:pPr>
    </w:p>
    <w:p>
      <w:pPr>
        <w:pStyle w:val="3"/>
        <w:keepNext w:val="0"/>
        <w:keepLines w:val="0"/>
        <w:widowControl/>
        <w:spacing w:before="0" w:after="0" w:line="360" w:lineRule="auto"/>
        <w:jc w:val="center"/>
        <w:rPr>
          <w:rFonts w:ascii="宋体" w:hAnsi="宋体" w:cs="宋体"/>
          <w:color w:val="auto"/>
          <w:sz w:val="24"/>
          <w:szCs w:val="24"/>
          <w:highlight w:val="none"/>
        </w:rPr>
      </w:pPr>
      <w:r>
        <w:rPr>
          <w:rFonts w:hint="eastAsia" w:ascii="宋体" w:hAnsi="宋体" w:cs="宋体"/>
          <w:color w:val="auto"/>
          <w:kern w:val="0"/>
          <w:highlight w:val="none"/>
        </w:rPr>
        <w:t>第九章  设计收费的计取及支付</w:t>
      </w:r>
    </w:p>
    <w:p>
      <w:pPr>
        <w:adjustRightInd w:val="0"/>
        <w:snapToGrid w:val="0"/>
        <w:spacing w:line="360" w:lineRule="auto"/>
        <w:ind w:left="963" w:leftChars="229" w:hanging="482" w:hangingChars="200"/>
        <w:outlineLvl w:val="2"/>
        <w:rPr>
          <w:rFonts w:ascii="宋体" w:hAnsi="宋体" w:cs="宋体"/>
          <w:b/>
          <w:color w:val="auto"/>
          <w:kern w:val="0"/>
          <w:sz w:val="24"/>
          <w:szCs w:val="24"/>
          <w:highlight w:val="none"/>
        </w:rPr>
      </w:pPr>
    </w:p>
    <w:p>
      <w:pPr>
        <w:adjustRightInd w:val="0"/>
        <w:snapToGrid w:val="0"/>
        <w:spacing w:line="360" w:lineRule="auto"/>
        <w:ind w:left="963" w:leftChars="229" w:hanging="482" w:hangingChars="200"/>
        <w:outlineLvl w:val="2"/>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15、设计收费的计取</w:t>
      </w:r>
    </w:p>
    <w:p>
      <w:pPr>
        <w:adjustRightInd w:val="0"/>
        <w:snapToGrid w:val="0"/>
        <w:spacing w:line="360" w:lineRule="auto"/>
        <w:ind w:left="963" w:leftChars="229" w:hanging="482" w:hangingChars="200"/>
        <w:outlineLvl w:val="3"/>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15.1</w:t>
      </w:r>
      <w:r>
        <w:rPr>
          <w:rFonts w:hint="eastAsia" w:ascii="宋体" w:hAnsi="宋体" w:cs="宋体"/>
          <w:color w:val="auto"/>
          <w:kern w:val="0"/>
          <w:sz w:val="24"/>
          <w:szCs w:val="24"/>
          <w:highlight w:val="none"/>
        </w:rPr>
        <w:t>基本原则</w:t>
      </w:r>
    </w:p>
    <w:p>
      <w:pPr>
        <w:keepNext w:val="0"/>
        <w:keepLines w:val="0"/>
        <w:widowControl w:val="0"/>
        <w:suppressLineNumbers w:val="0"/>
        <w:adjustRightInd w:val="0"/>
        <w:snapToGrid w:val="0"/>
        <w:spacing w:before="0" w:beforeAutospacing="0" w:after="0" w:afterAutospacing="0" w:line="360" w:lineRule="auto"/>
        <w:ind w:left="0" w:right="0" w:firstLine="479" w:firstLineChars="199"/>
        <w:jc w:val="both"/>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15.1.1</w:t>
      </w:r>
      <w:r>
        <w:rPr>
          <w:rFonts w:hint="eastAsia" w:ascii="宋体" w:hAnsi="宋体" w:cs="宋体"/>
          <w:color w:val="auto"/>
          <w:kern w:val="0"/>
          <w:sz w:val="24"/>
          <w:szCs w:val="24"/>
          <w:highlight w:val="none"/>
        </w:rPr>
        <w:t>本项目设计收费中各项费用的中标价即为设计收费合同签约价。设计收费包括工程设计费</w:t>
      </w:r>
      <w:r>
        <w:rPr>
          <w:rFonts w:ascii="宋体" w:hAnsi="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bidi="ar"/>
        </w:rPr>
        <w:t>设计方案报审（含修建性详细规划调整）费</w:t>
      </w:r>
      <w:r>
        <w:rPr>
          <w:rFonts w:hint="default" w:ascii="宋体" w:hAnsi="宋体" w:eastAsia="宋体" w:cs="宋体"/>
          <w:color w:val="auto"/>
          <w:kern w:val="0"/>
          <w:sz w:val="24"/>
          <w:szCs w:val="24"/>
          <w:highlight w:val="none"/>
          <w:lang w:eastAsia="zh-CN" w:bidi="ar"/>
        </w:rPr>
        <w:t>、</w:t>
      </w:r>
      <w:r>
        <w:rPr>
          <w:rFonts w:ascii="宋体" w:hAnsi="宋体" w:cs="宋体"/>
          <w:color w:val="auto"/>
          <w:kern w:val="0"/>
          <w:sz w:val="24"/>
          <w:szCs w:val="24"/>
          <w:highlight w:val="none"/>
        </w:rPr>
        <w:t>BIM正向设计技术应用费</w:t>
      </w:r>
      <w:r>
        <w:rPr>
          <w:rFonts w:hint="eastAsia" w:ascii="宋体" w:hAnsi="宋体" w:cs="宋体"/>
          <w:color w:val="auto"/>
          <w:kern w:val="0"/>
          <w:sz w:val="24"/>
          <w:szCs w:val="24"/>
          <w:highlight w:val="none"/>
        </w:rPr>
        <w:t>等。</w:t>
      </w:r>
    </w:p>
    <w:p>
      <w:pPr>
        <w:adjustRightInd w:val="0"/>
        <w:snapToGrid w:val="0"/>
        <w:spacing w:line="360" w:lineRule="auto"/>
        <w:ind w:right="11"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15.1.2</w:t>
      </w:r>
      <w:r>
        <w:rPr>
          <w:rFonts w:hint="eastAsia" w:ascii="宋体" w:hAnsi="宋体" w:cs="宋体"/>
          <w:color w:val="auto"/>
          <w:kern w:val="0"/>
          <w:sz w:val="24"/>
          <w:szCs w:val="24"/>
          <w:highlight w:val="none"/>
        </w:rPr>
        <w:t>本合同设计收费已包括完成本项目设计范围内所有设计工作所需的费用，计取时已综合考虑各种费率变化、物价变动。</w:t>
      </w:r>
    </w:p>
    <w:p>
      <w:pPr>
        <w:adjustRightInd w:val="0"/>
        <w:snapToGrid w:val="0"/>
        <w:spacing w:line="360" w:lineRule="auto"/>
        <w:ind w:firstLine="479" w:firstLineChars="199"/>
        <w:outlineLvl w:val="3"/>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15.2</w:t>
      </w:r>
      <w:r>
        <w:rPr>
          <w:rFonts w:hint="eastAsia" w:ascii="宋体" w:hAnsi="宋体" w:cs="宋体"/>
          <w:color w:val="auto"/>
          <w:kern w:val="0"/>
          <w:sz w:val="24"/>
          <w:szCs w:val="24"/>
          <w:highlight w:val="none"/>
        </w:rPr>
        <w:t>本合同工程设计费为完成本合同条款中所描述的设计及服务工作内容及要求的全部费用，分为</w:t>
      </w:r>
      <w:r>
        <w:rPr>
          <w:rFonts w:hint="default" w:ascii="宋体" w:hAnsi="宋体" w:cs="宋体"/>
          <w:color w:val="auto"/>
          <w:kern w:val="0"/>
          <w:sz w:val="24"/>
          <w:szCs w:val="24"/>
          <w:highlight w:val="none"/>
        </w:rPr>
        <w:t>技术设计费</w:t>
      </w:r>
      <w:r>
        <w:rPr>
          <w:rFonts w:hint="eastAsia" w:ascii="宋体" w:hAnsi="宋体" w:cs="宋体"/>
          <w:color w:val="auto"/>
          <w:kern w:val="0"/>
          <w:sz w:val="24"/>
          <w:szCs w:val="24"/>
          <w:highlight w:val="none"/>
        </w:rPr>
        <w:t>、</w:t>
      </w:r>
      <w:r>
        <w:rPr>
          <w:rFonts w:hint="eastAsia" w:ascii="宋体" w:cs="宋体"/>
          <w:color w:val="auto"/>
          <w:kern w:val="0"/>
          <w:sz w:val="24"/>
          <w:szCs w:val="24"/>
          <w:highlight w:val="none"/>
        </w:rPr>
        <w:t>√</w:t>
      </w:r>
      <w:r>
        <w:rPr>
          <w:rFonts w:hint="default" w:ascii="宋体" w:hAnsi="宋体" w:cs="宋体"/>
          <w:color w:val="auto"/>
          <w:kern w:val="0"/>
          <w:sz w:val="24"/>
          <w:szCs w:val="24"/>
          <w:highlight w:val="none"/>
        </w:rPr>
        <w:t>造价预算</w:t>
      </w:r>
      <w:r>
        <w:rPr>
          <w:rFonts w:hint="eastAsia" w:ascii="宋体" w:hAnsi="宋体" w:cs="宋体"/>
          <w:color w:val="auto"/>
          <w:kern w:val="0"/>
          <w:sz w:val="24"/>
          <w:szCs w:val="24"/>
          <w:highlight w:val="none"/>
        </w:rPr>
        <w:t>编制费、其它设计收费三部分：</w:t>
      </w:r>
    </w:p>
    <w:p>
      <w:pPr>
        <w:adjustRightInd w:val="0"/>
        <w:snapToGrid w:val="0"/>
        <w:spacing w:line="360" w:lineRule="auto"/>
        <w:ind w:firstLine="477" w:firstLineChars="199"/>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default" w:ascii="宋体" w:hAnsi="宋体" w:cs="宋体"/>
          <w:color w:val="auto"/>
          <w:sz w:val="24"/>
          <w:szCs w:val="24"/>
          <w:highlight w:val="none"/>
        </w:rPr>
        <w:t>技术设计费</w:t>
      </w:r>
      <w:r>
        <w:rPr>
          <w:rFonts w:hint="eastAsia" w:ascii="宋体" w:hAnsi="宋体" w:cs="宋体"/>
          <w:color w:val="auto"/>
          <w:kern w:val="0"/>
          <w:sz w:val="24"/>
          <w:szCs w:val="24"/>
          <w:highlight w:val="none"/>
        </w:rPr>
        <w:t>：</w:t>
      </w:r>
      <w:r>
        <w:rPr>
          <w:rFonts w:hint="default" w:ascii="宋体" w:hAnsi="宋体" w:cs="宋体"/>
          <w:color w:val="auto"/>
          <w:kern w:val="0"/>
          <w:sz w:val="24"/>
          <w:szCs w:val="24"/>
          <w:highlight w:val="none"/>
        </w:rPr>
        <w:t>技术设计费</w:t>
      </w:r>
      <w:r>
        <w:rPr>
          <w:rFonts w:hint="eastAsia" w:ascii="宋体" w:hAnsi="宋体" w:cs="宋体"/>
          <w:color w:val="auto"/>
          <w:kern w:val="0"/>
          <w:sz w:val="24"/>
          <w:szCs w:val="24"/>
          <w:highlight w:val="none"/>
        </w:rPr>
        <w:t>包含分项工程设计费、工程投资估算编制费、工程设计概算编制费、报审报建配合服务费、招标配合服务费、现场服务费、完整版施工图设计费、工程结算配合服务费、工程保修阶段服务费。具体如下：</w:t>
      </w:r>
    </w:p>
    <w:p>
      <w:pPr>
        <w:adjustRightInd w:val="0"/>
        <w:snapToGrid w:val="0"/>
        <w:spacing w:line="360" w:lineRule="auto"/>
        <w:ind w:firstLine="477" w:firstLineChars="19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 分项工程设计费：指乙方按本合同规定工作内容及要求完成各分项工程的方案设计成果文件、初步设计成果文件、施工图设计成果文件、配合有关部门对设计成果文件的审查的费用。</w:t>
      </w:r>
    </w:p>
    <w:p>
      <w:pPr>
        <w:adjustRightInd w:val="0"/>
        <w:snapToGrid w:val="0"/>
        <w:spacing w:line="360" w:lineRule="auto"/>
        <w:ind w:firstLine="477" w:firstLineChars="199"/>
        <w:rPr>
          <w:rFonts w:ascii="宋体" w:hAnsi="宋体" w:cs="宋体"/>
          <w:color w:val="auto"/>
          <w:kern w:val="0"/>
          <w:sz w:val="24"/>
          <w:szCs w:val="24"/>
          <w:highlight w:val="none"/>
        </w:rPr>
      </w:pPr>
      <w:r>
        <w:rPr>
          <w:rFonts w:hint="eastAsia" w:ascii="宋体" w:hAnsi="宋体" w:cs="宋体"/>
          <w:color w:val="auto"/>
          <w:kern w:val="0"/>
          <w:sz w:val="24"/>
          <w:szCs w:val="24"/>
          <w:highlight w:val="none"/>
        </w:rPr>
        <w:t>2) 工程投资估算编制费：指乙方根据合同约定编制工程投资估算的费用。</w:t>
      </w:r>
    </w:p>
    <w:p>
      <w:pPr>
        <w:adjustRightInd w:val="0"/>
        <w:snapToGrid w:val="0"/>
        <w:spacing w:line="360" w:lineRule="auto"/>
        <w:ind w:firstLine="477" w:firstLineChars="199"/>
        <w:rPr>
          <w:rFonts w:ascii="宋体" w:hAnsi="宋体" w:cs="宋体"/>
          <w:color w:val="auto"/>
          <w:kern w:val="0"/>
          <w:sz w:val="24"/>
          <w:szCs w:val="24"/>
          <w:highlight w:val="none"/>
        </w:rPr>
      </w:pPr>
      <w:r>
        <w:rPr>
          <w:rFonts w:hint="eastAsia" w:ascii="宋体" w:hAnsi="宋体" w:cs="宋体"/>
          <w:color w:val="auto"/>
          <w:kern w:val="0"/>
          <w:sz w:val="24"/>
          <w:szCs w:val="24"/>
          <w:highlight w:val="none"/>
        </w:rPr>
        <w:t>3) 工程设计概算编制费：指乙方根据甲方关于本项目工程概算文件编制的指引文件（合同附件</w:t>
      </w: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）的规定编制初步设计概算的费用。</w:t>
      </w:r>
    </w:p>
    <w:p>
      <w:pPr>
        <w:adjustRightInd w:val="0"/>
        <w:snapToGrid w:val="0"/>
        <w:spacing w:line="360" w:lineRule="auto"/>
        <w:ind w:firstLine="477" w:firstLineChars="199"/>
        <w:rPr>
          <w:rFonts w:ascii="宋体" w:hAnsi="宋体" w:cs="宋体"/>
          <w:color w:val="auto"/>
          <w:kern w:val="0"/>
          <w:sz w:val="24"/>
          <w:szCs w:val="24"/>
          <w:highlight w:val="none"/>
        </w:rPr>
      </w:pPr>
      <w:r>
        <w:rPr>
          <w:rFonts w:hint="eastAsia" w:ascii="宋体" w:hAnsi="宋体" w:cs="宋体"/>
          <w:color w:val="auto"/>
          <w:kern w:val="0"/>
          <w:sz w:val="24"/>
          <w:szCs w:val="24"/>
          <w:highlight w:val="none"/>
        </w:rPr>
        <w:t>4) 报审报建配合服务费：指乙方根据本合同条款第7.2款的约定，配合本合同工程报审报建过程中进行必要的技术协调、送审技术性文件等工作的费用。</w:t>
      </w:r>
    </w:p>
    <w:p>
      <w:pPr>
        <w:adjustRightInd w:val="0"/>
        <w:snapToGrid w:val="0"/>
        <w:spacing w:line="360" w:lineRule="auto"/>
        <w:ind w:firstLine="477" w:firstLineChars="199"/>
        <w:rPr>
          <w:rFonts w:ascii="宋体" w:hAnsi="宋体" w:cs="宋体"/>
          <w:color w:val="auto"/>
          <w:kern w:val="0"/>
          <w:sz w:val="24"/>
          <w:szCs w:val="24"/>
          <w:highlight w:val="none"/>
        </w:rPr>
      </w:pPr>
      <w:r>
        <w:rPr>
          <w:rFonts w:hint="eastAsia" w:ascii="宋体" w:hAnsi="宋体" w:cs="宋体"/>
          <w:color w:val="auto"/>
          <w:kern w:val="0"/>
          <w:sz w:val="24"/>
          <w:szCs w:val="24"/>
          <w:highlight w:val="none"/>
        </w:rPr>
        <w:t>5) 招标配合服务费：指乙方根据本合同条款第7.3款的约定，配合甲方各项招标工作的费用，服务内容包括：配合甲方核对招标工程量清单，配合招标图纸答疑，配合甲方进行施工招标、设备材料采购招标工作，提供招标文件技术部分的具体要求，并根据甲方的要求配合甲方进行合同技术条款的谈判工作，其他有关工程招标阶段的配合工作等。</w:t>
      </w:r>
    </w:p>
    <w:p>
      <w:pPr>
        <w:adjustRightInd w:val="0"/>
        <w:snapToGrid w:val="0"/>
        <w:spacing w:line="360" w:lineRule="auto"/>
        <w:ind w:firstLine="477" w:firstLineChars="199"/>
        <w:rPr>
          <w:rFonts w:ascii="宋体" w:hAnsi="宋体" w:cs="宋体"/>
          <w:color w:val="auto"/>
          <w:kern w:val="0"/>
          <w:sz w:val="24"/>
          <w:szCs w:val="24"/>
          <w:highlight w:val="none"/>
        </w:rPr>
      </w:pPr>
      <w:r>
        <w:rPr>
          <w:rFonts w:hint="eastAsia" w:ascii="宋体" w:hAnsi="宋体" w:cs="宋体"/>
          <w:color w:val="auto"/>
          <w:kern w:val="0"/>
          <w:sz w:val="24"/>
          <w:szCs w:val="24"/>
          <w:highlight w:val="none"/>
        </w:rPr>
        <w:t>6）现场服务费：按本合同条款第7.4款的约定，在施工过程中乙方参加施工图纸会审、按约定的时间和质量提供设计成果文件的修改及变更、技术交底、解决施工中的设计技术问题、参加系统调试和联合调试、参加竣工验收等所发生的费用。</w:t>
      </w:r>
    </w:p>
    <w:p>
      <w:pPr>
        <w:adjustRightInd w:val="0"/>
        <w:snapToGrid w:val="0"/>
        <w:spacing w:line="360" w:lineRule="auto"/>
        <w:ind w:firstLine="477" w:firstLineChars="199"/>
        <w:rPr>
          <w:rFonts w:ascii="宋体" w:hAnsi="宋体" w:cs="宋体"/>
          <w:color w:val="auto"/>
          <w:kern w:val="0"/>
          <w:sz w:val="24"/>
          <w:szCs w:val="24"/>
          <w:highlight w:val="none"/>
        </w:rPr>
      </w:pPr>
      <w:r>
        <w:rPr>
          <w:rFonts w:hint="eastAsia" w:ascii="宋体" w:hAnsi="宋体" w:cs="宋体"/>
          <w:color w:val="auto"/>
          <w:kern w:val="0"/>
          <w:sz w:val="24"/>
          <w:szCs w:val="24"/>
          <w:highlight w:val="none"/>
        </w:rPr>
        <w:t>7) 完整版施工图设计费：指乙方按本合同条款第6.6.1（4）款规定及要求完成最终版的施工图并向甲方提交设计成果文件的费用。</w:t>
      </w:r>
    </w:p>
    <w:p>
      <w:pPr>
        <w:adjustRightInd w:val="0"/>
        <w:snapToGrid w:val="0"/>
        <w:spacing w:line="360" w:lineRule="auto"/>
        <w:ind w:firstLine="477" w:firstLineChars="199"/>
        <w:rPr>
          <w:rFonts w:ascii="宋体" w:hAnsi="宋体" w:cs="宋体"/>
          <w:color w:val="auto"/>
          <w:kern w:val="0"/>
          <w:sz w:val="24"/>
          <w:szCs w:val="24"/>
          <w:highlight w:val="none"/>
        </w:rPr>
      </w:pPr>
      <w:r>
        <w:rPr>
          <w:rFonts w:hint="eastAsia" w:ascii="宋体" w:hAnsi="宋体" w:cs="宋体"/>
          <w:color w:val="auto"/>
          <w:kern w:val="0"/>
          <w:sz w:val="24"/>
          <w:szCs w:val="24"/>
          <w:highlight w:val="none"/>
        </w:rPr>
        <w:t>8) 工程结算配合服务费：指乙方根据本合同条款第7.5款的约定，配合甲方进行本合同设计范围的工程竣工结算工作（包括完善施工过程中的设计变更文件、对结算审核部门提出的有关设计问题进行澄清、其他有关工程竣工结算阶段的配合工作等）所发生的费用。</w:t>
      </w:r>
    </w:p>
    <w:p>
      <w:pPr>
        <w:adjustRightInd w:val="0"/>
        <w:snapToGrid w:val="0"/>
        <w:spacing w:line="360" w:lineRule="auto"/>
        <w:ind w:firstLine="477" w:firstLineChars="199"/>
        <w:rPr>
          <w:rFonts w:ascii="宋体" w:hAnsi="宋体" w:cs="宋体"/>
          <w:color w:val="auto"/>
          <w:kern w:val="0"/>
          <w:sz w:val="24"/>
          <w:szCs w:val="24"/>
          <w:highlight w:val="none"/>
        </w:rPr>
      </w:pPr>
      <w:r>
        <w:rPr>
          <w:rFonts w:hint="eastAsia" w:ascii="宋体" w:hAnsi="宋体" w:cs="宋体"/>
          <w:color w:val="auto"/>
          <w:kern w:val="0"/>
          <w:sz w:val="24"/>
          <w:szCs w:val="24"/>
          <w:highlight w:val="none"/>
        </w:rPr>
        <w:t>9）工程保修阶段服务费：指乙方根据本合同条款第7.6款的约定，在工程保修阶段（竣工证书发出之日起开始计算，为期两年）提供相关服务的费用。</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cs="宋体"/>
          <w:color w:val="auto"/>
          <w:kern w:val="0"/>
          <w:sz w:val="24"/>
          <w:szCs w:val="24"/>
          <w:highlight w:val="none"/>
        </w:rPr>
        <w:t>√</w:t>
      </w:r>
      <w:r>
        <w:rPr>
          <w:rFonts w:hint="eastAsia" w:ascii="宋体" w:hAnsi="宋体" w:cs="宋体"/>
          <w:color w:val="auto"/>
          <w:kern w:val="0"/>
          <w:sz w:val="24"/>
          <w:szCs w:val="24"/>
          <w:highlight w:val="none"/>
        </w:rPr>
        <w:t>（2）</w:t>
      </w:r>
      <w:r>
        <w:rPr>
          <w:rFonts w:hint="default" w:ascii="宋体" w:hAnsi="宋体" w:cs="宋体"/>
          <w:color w:val="auto"/>
          <w:kern w:val="0"/>
          <w:sz w:val="24"/>
          <w:szCs w:val="24"/>
          <w:highlight w:val="none"/>
        </w:rPr>
        <w:t>造价预算</w:t>
      </w:r>
      <w:r>
        <w:rPr>
          <w:rFonts w:hint="eastAsia" w:ascii="宋体" w:hAnsi="宋体" w:cs="宋体"/>
          <w:color w:val="auto"/>
          <w:kern w:val="0"/>
          <w:sz w:val="24"/>
          <w:szCs w:val="24"/>
          <w:highlight w:val="none"/>
        </w:rPr>
        <w:t>编制费：指乙方根据甲方关于本项目工程量清单计价的指引文件（合同附件</w:t>
      </w: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）的要求编制</w:t>
      </w:r>
      <w:r>
        <w:rPr>
          <w:rFonts w:hint="default" w:ascii="宋体" w:hAnsi="宋体" w:cs="宋体"/>
          <w:color w:val="auto"/>
          <w:kern w:val="0"/>
          <w:sz w:val="24"/>
          <w:szCs w:val="24"/>
          <w:highlight w:val="none"/>
        </w:rPr>
        <w:t>造价预算</w:t>
      </w:r>
      <w:r>
        <w:rPr>
          <w:rFonts w:hint="eastAsia" w:ascii="宋体" w:hAnsi="宋体" w:cs="宋体"/>
          <w:color w:val="auto"/>
          <w:kern w:val="0"/>
          <w:sz w:val="24"/>
          <w:szCs w:val="24"/>
          <w:highlight w:val="none"/>
        </w:rPr>
        <w:t>的费用。</w:t>
      </w:r>
      <w:r>
        <w:rPr>
          <w:rFonts w:hint="eastAsia" w:ascii="宋体" w:hAnsi="宋体" w:cs="宋体"/>
          <w:bCs/>
          <w:color w:val="auto"/>
          <w:kern w:val="0"/>
          <w:sz w:val="24"/>
          <w:szCs w:val="24"/>
          <w:highlight w:val="none"/>
        </w:rPr>
        <w:t>占工程设计费总额的10%</w:t>
      </w:r>
      <w:r>
        <w:rPr>
          <w:rFonts w:hint="eastAsia" w:ascii="宋体" w:hAnsi="宋体" w:cs="宋体"/>
          <w:color w:val="auto"/>
          <w:sz w:val="24"/>
          <w:szCs w:val="24"/>
          <w:highlight w:val="none"/>
        </w:rPr>
        <w:t>。</w:t>
      </w:r>
    </w:p>
    <w:p>
      <w:pPr>
        <w:adjustRightInd w:val="0"/>
        <w:snapToGrid w:val="0"/>
        <w:spacing w:line="360" w:lineRule="auto"/>
        <w:ind w:left="2" w:firstLine="477" w:firstLineChars="199"/>
        <w:rPr>
          <w:rFonts w:ascii="宋体" w:hAnsi="宋体" w:cs="宋体"/>
          <w:color w:val="auto"/>
          <w:kern w:val="0"/>
          <w:sz w:val="24"/>
          <w:szCs w:val="24"/>
          <w:highlight w:val="none"/>
        </w:rPr>
      </w:pPr>
      <w:r>
        <w:rPr>
          <w:rFonts w:hint="eastAsia" w:ascii="宋体" w:hAnsi="宋体" w:cs="宋体"/>
          <w:color w:val="auto"/>
          <w:kern w:val="0"/>
          <w:sz w:val="24"/>
          <w:szCs w:val="24"/>
          <w:highlight w:val="none"/>
        </w:rPr>
        <w:t>（3）其它设计收费包括：</w:t>
      </w:r>
    </w:p>
    <w:p>
      <w:pPr>
        <w:adjustRightInd w:val="0"/>
        <w:snapToGrid w:val="0"/>
        <w:spacing w:line="360" w:lineRule="auto"/>
        <w:ind w:left="2" w:firstLine="477" w:firstLineChars="199"/>
        <w:rPr>
          <w:rFonts w:ascii="宋体" w:hAnsi="宋体" w:cs="宋体"/>
          <w:color w:val="auto"/>
          <w:kern w:val="0"/>
          <w:sz w:val="24"/>
          <w:szCs w:val="24"/>
          <w:highlight w:val="none"/>
        </w:rPr>
      </w:pPr>
      <w:r>
        <w:rPr>
          <w:rFonts w:hint="eastAsia" w:ascii="宋体" w:hAnsi="宋体" w:cs="宋体"/>
          <w:color w:val="auto"/>
          <w:kern w:val="0"/>
          <w:sz w:val="24"/>
          <w:szCs w:val="24"/>
          <w:highlight w:val="none"/>
        </w:rPr>
        <w:t>1）设计协调费</w:t>
      </w:r>
      <w:r>
        <w:rPr>
          <w:rFonts w:hint="eastAsia" w:ascii="宋体" w:hAnsi="宋体" w:cs="宋体"/>
          <w:color w:val="auto"/>
          <w:sz w:val="24"/>
          <w:szCs w:val="24"/>
          <w:highlight w:val="none"/>
        </w:rPr>
        <w:t>：指乙方按本合同条款第4.2款的约定，提供设计协调服务的费用。</w:t>
      </w:r>
    </w:p>
    <w:p>
      <w:pPr>
        <w:adjustRightInd w:val="0"/>
        <w:snapToGrid w:val="0"/>
        <w:spacing w:line="360" w:lineRule="auto"/>
        <w:ind w:left="2" w:leftChars="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2）驻场设计费：指乙方按</w:t>
      </w:r>
      <w:r>
        <w:rPr>
          <w:rFonts w:hint="eastAsia" w:ascii="宋体" w:hAnsi="宋体" w:cs="宋体"/>
          <w:color w:val="auto"/>
          <w:sz w:val="24"/>
          <w:szCs w:val="24"/>
          <w:highlight w:val="none"/>
        </w:rPr>
        <w:t>本合同条款第7.1款</w:t>
      </w:r>
      <w:r>
        <w:rPr>
          <w:rFonts w:hint="eastAsia" w:ascii="宋体" w:hAnsi="宋体" w:cs="宋体"/>
          <w:color w:val="auto"/>
          <w:kern w:val="0"/>
          <w:sz w:val="24"/>
          <w:szCs w:val="24"/>
          <w:highlight w:val="none"/>
        </w:rPr>
        <w:t>的约定，提供驻场设计和驻场服务所发生的费用</w:t>
      </w:r>
      <w:r>
        <w:rPr>
          <w:rFonts w:hint="eastAsia" w:ascii="宋体" w:hAnsi="宋体" w:cs="宋体"/>
          <w:color w:val="auto"/>
          <w:sz w:val="24"/>
          <w:szCs w:val="24"/>
          <w:highlight w:val="none"/>
        </w:rPr>
        <w:t>。</w:t>
      </w:r>
    </w:p>
    <w:p>
      <w:pPr>
        <w:adjustRightInd w:val="0"/>
        <w:snapToGrid w:val="0"/>
        <w:spacing w:line="360" w:lineRule="auto"/>
        <w:ind w:left="2" w:leftChars="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3）其他费用：</w:t>
      </w:r>
      <w:r>
        <w:rPr>
          <w:rFonts w:hint="eastAsia" w:ascii="宋体" w:hAnsi="宋体" w:cs="宋体"/>
          <w:bCs/>
          <w:color w:val="auto"/>
          <w:kern w:val="0"/>
          <w:sz w:val="24"/>
          <w:szCs w:val="24"/>
          <w:highlight w:val="none"/>
        </w:rPr>
        <w:t>指在本合同条款未包含但符合招标文件及合同约定的其它费用，</w:t>
      </w:r>
      <w:r>
        <w:rPr>
          <w:rFonts w:hint="eastAsia" w:ascii="宋体" w:hAnsi="宋体" w:cs="宋体"/>
          <w:color w:val="auto"/>
          <w:kern w:val="0"/>
          <w:sz w:val="24"/>
          <w:szCs w:val="24"/>
          <w:highlight w:val="none"/>
        </w:rPr>
        <w:t>包括施工阶段的设计变更造价变化分析、设计文件修改完善等费用。</w:t>
      </w:r>
    </w:p>
    <w:p>
      <w:pPr>
        <w:adjustRightInd w:val="0"/>
        <w:snapToGrid w:val="0"/>
        <w:spacing w:line="360" w:lineRule="auto"/>
        <w:ind w:left="2" w:firstLine="479" w:firstLineChars="199"/>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 xml:space="preserve">15.3 </w:t>
      </w:r>
      <w:r>
        <w:rPr>
          <w:rFonts w:hint="eastAsia" w:ascii="宋体" w:hAnsi="宋体" w:cs="宋体"/>
          <w:bCs/>
          <w:color w:val="auto"/>
          <w:kern w:val="0"/>
          <w:sz w:val="24"/>
          <w:szCs w:val="24"/>
          <w:highlight w:val="none"/>
        </w:rPr>
        <w:t>工程</w:t>
      </w:r>
      <w:r>
        <w:rPr>
          <w:rFonts w:hint="eastAsia" w:ascii="宋体" w:hAnsi="宋体" w:cs="宋体"/>
          <w:color w:val="auto"/>
          <w:kern w:val="0"/>
          <w:sz w:val="24"/>
          <w:szCs w:val="24"/>
          <w:highlight w:val="none"/>
        </w:rPr>
        <w:t>设计费的计取及结算方式按下列约定执行：</w:t>
      </w:r>
    </w:p>
    <w:p>
      <w:pPr>
        <w:snapToGrid w:val="0"/>
        <w:spacing w:line="360" w:lineRule="auto"/>
        <w:ind w:firstLine="600" w:firstLineChars="250"/>
        <w:rPr>
          <w:rFonts w:ascii="宋体" w:hAnsi="宋体" w:cs="宋体"/>
          <w:color w:val="auto"/>
          <w:sz w:val="24"/>
          <w:szCs w:val="24"/>
          <w:highlight w:val="none"/>
        </w:rPr>
      </w:pPr>
      <w:r>
        <w:rPr>
          <w:rFonts w:hint="eastAsia" w:ascii="宋体" w:cs="宋体"/>
          <w:color w:val="auto"/>
          <w:kern w:val="0"/>
          <w:sz w:val="24"/>
          <w:szCs w:val="24"/>
          <w:highlight w:val="none"/>
        </w:rPr>
        <w:t>√</w:t>
      </w:r>
      <w:r>
        <w:rPr>
          <w:rFonts w:hint="eastAsia" w:ascii="宋体" w:hAnsi="宋体" w:cs="宋体"/>
          <w:b/>
          <w:color w:val="auto"/>
          <w:kern w:val="0"/>
          <w:sz w:val="24"/>
          <w:szCs w:val="24"/>
          <w:highlight w:val="none"/>
        </w:rPr>
        <w:t>15.3.1</w:t>
      </w:r>
      <w:r>
        <w:rPr>
          <w:rFonts w:hint="eastAsia" w:ascii="宋体" w:hAnsi="宋体" w:cs="宋体"/>
          <w:color w:val="auto"/>
          <w:sz w:val="24"/>
          <w:szCs w:val="24"/>
          <w:highlight w:val="none"/>
        </w:rPr>
        <w:t>本合同暂定工程费限额为__________元，工程设计费暂定为__________元（中标价，其中，</w:t>
      </w:r>
      <w:r>
        <w:rPr>
          <w:rFonts w:hint="default" w:ascii="宋体" w:hAnsi="宋体" w:cs="宋体"/>
          <w:color w:val="auto"/>
          <w:sz w:val="24"/>
          <w:szCs w:val="24"/>
          <w:highlight w:val="none"/>
        </w:rPr>
        <w:t>技术设计费</w:t>
      </w:r>
      <w:r>
        <w:rPr>
          <w:rFonts w:hint="eastAsia" w:ascii="宋体" w:hAnsi="宋体" w:cs="宋体"/>
          <w:color w:val="auto"/>
          <w:sz w:val="24"/>
          <w:szCs w:val="24"/>
          <w:highlight w:val="none"/>
        </w:rPr>
        <w:t>为__________元，</w:t>
      </w:r>
      <w:r>
        <w:rPr>
          <w:rFonts w:hint="default" w:ascii="宋体" w:hAnsi="宋体" w:cs="宋体"/>
          <w:color w:val="auto"/>
          <w:sz w:val="24"/>
          <w:szCs w:val="24"/>
          <w:highlight w:val="none"/>
        </w:rPr>
        <w:t>造价预算</w:t>
      </w:r>
      <w:r>
        <w:rPr>
          <w:rFonts w:hint="eastAsia" w:ascii="宋体" w:hAnsi="宋体" w:cs="宋体"/>
          <w:color w:val="auto"/>
          <w:sz w:val="24"/>
          <w:szCs w:val="24"/>
          <w:highlight w:val="none"/>
        </w:rPr>
        <w:t>编制费为__________元），合同工程设计费费率为____%（中标费率）；</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ascii="宋体" w:hAnsi="宋体" w:cs="宋体"/>
          <w:color w:val="auto"/>
          <w:sz w:val="24"/>
          <w:szCs w:val="24"/>
          <w:highlight w:val="none"/>
          <w:u w:val="single"/>
        </w:rPr>
      </w:pPr>
      <w:r>
        <w:rPr>
          <w:rFonts w:hint="eastAsia" w:ascii="宋体" w:hAnsi="宋体" w:cs="宋体"/>
          <w:bCs/>
          <w:color w:val="auto"/>
          <w:sz w:val="24"/>
          <w:szCs w:val="24"/>
          <w:highlight w:val="none"/>
        </w:rPr>
        <w:t>（1）结算时，甲乙双方一致同意按如下约定结算：</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kern w:val="0"/>
          <w:sz w:val="24"/>
          <w:szCs w:val="24"/>
          <w:highlight w:val="none"/>
          <w:u w:val="single"/>
        </w:rPr>
      </w:pPr>
      <w:r>
        <w:rPr>
          <w:rFonts w:hint="eastAsia" w:ascii="宋体" w:hAnsi="宋体" w:cs="宋体"/>
          <w:color w:val="auto"/>
          <w:sz w:val="24"/>
          <w:szCs w:val="24"/>
          <w:highlight w:val="none"/>
        </w:rPr>
        <w:t>1）工程设计费结算时按有权审核部门审定的本合同乙方实际工程设计范围内所有工程概算中的建筑安装工程费之和乘以合同工程设计费费率（中标费率）及本合同的有关约定进行调整，具体按以下约定计算：</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工程设计费=建筑安装工程费×工程设计费费率（中标费率）。其中：</w:t>
      </w:r>
    </w:p>
    <w:p>
      <w:pPr>
        <w:pStyle w:val="10"/>
        <w:keepNext w:val="0"/>
        <w:keepLines w:val="0"/>
        <w:pageBreakBefore w:val="0"/>
        <w:widowControl w:val="0"/>
        <w:kinsoku/>
        <w:wordWrap/>
        <w:overflowPunct/>
        <w:topLinePunct w:val="0"/>
        <w:autoSpaceDE/>
        <w:autoSpaceDN/>
        <w:bidi w:val="0"/>
        <w:spacing w:beforeAutospacing="0" w:afterAutospacing="0" w:line="360" w:lineRule="auto"/>
        <w:ind w:firstLine="480" w:firstLineChars="200"/>
        <w:jc w:val="both"/>
        <w:textAlignment w:val="auto"/>
        <w:rPr>
          <w:rFonts w:hint="default"/>
          <w:color w:val="auto"/>
          <w:highlight w:val="none"/>
        </w:rPr>
      </w:pPr>
      <w:r>
        <w:rPr>
          <w:rFonts w:hint="eastAsia" w:ascii="宋体" w:cs="宋体"/>
          <w:color w:val="auto"/>
          <w:kern w:val="0"/>
          <w:sz w:val="24"/>
          <w:szCs w:val="24"/>
          <w:highlight w:val="none"/>
        </w:rPr>
        <w:t>√</w:t>
      </w:r>
      <w:r>
        <w:rPr>
          <w:rFonts w:cs="宋体"/>
          <w:bCs/>
          <w:color w:val="auto"/>
          <w:kern w:val="2"/>
          <w:highlight w:val="none"/>
        </w:rPr>
        <w:t>造价预算编制费：__________元，占工程设计费总额的10%。若造价预算编制工作不由乙方实施，或乙方未能在施工图设计完成后7个工作日内提交造价预算书的，甲方不予支付本项费用；</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2）其他设计收费：</w:t>
      </w:r>
    </w:p>
    <w:p>
      <w:pPr>
        <w:snapToGrid w:val="0"/>
        <w:spacing w:line="360" w:lineRule="auto"/>
        <w:ind w:left="840"/>
        <w:rPr>
          <w:rFonts w:ascii="宋体" w:hAnsi="宋体" w:cs="宋体"/>
          <w:bCs/>
          <w:color w:val="auto"/>
          <w:sz w:val="24"/>
          <w:szCs w:val="24"/>
          <w:highlight w:val="none"/>
        </w:rPr>
      </w:pPr>
      <w:r>
        <w:rPr>
          <w:rFonts w:hint="eastAsia" w:ascii="宋体" w:hAnsi="宋体" w:cs="宋体"/>
          <w:bCs/>
          <w:color w:val="auto"/>
          <w:sz w:val="24"/>
          <w:szCs w:val="24"/>
          <w:highlight w:val="none"/>
        </w:rPr>
        <w:t>①设计协调费：已包含在工程设计费中，不再另行计取；</w:t>
      </w:r>
    </w:p>
    <w:p>
      <w:pPr>
        <w:snapToGrid w:val="0"/>
        <w:spacing w:line="360" w:lineRule="auto"/>
        <w:ind w:left="840"/>
        <w:rPr>
          <w:rFonts w:ascii="宋体" w:hAnsi="宋体" w:cs="宋体"/>
          <w:bCs/>
          <w:color w:val="auto"/>
          <w:sz w:val="24"/>
          <w:szCs w:val="24"/>
          <w:highlight w:val="none"/>
        </w:rPr>
      </w:pPr>
      <w:r>
        <w:rPr>
          <w:rFonts w:hint="eastAsia" w:ascii="宋体" w:hAnsi="宋体" w:cs="宋体"/>
          <w:bCs/>
          <w:color w:val="auto"/>
          <w:sz w:val="24"/>
          <w:szCs w:val="24"/>
          <w:highlight w:val="none"/>
        </w:rPr>
        <w:t>②驻场设计费：已包含在工程设计费中，不再另行计取；</w:t>
      </w:r>
    </w:p>
    <w:p>
      <w:pPr>
        <w:snapToGrid w:val="0"/>
        <w:spacing w:line="360" w:lineRule="auto"/>
        <w:ind w:firstLine="840" w:firstLineChars="350"/>
        <w:rPr>
          <w:rFonts w:ascii="宋体" w:hAnsi="宋体" w:cs="宋体"/>
          <w:bCs/>
          <w:color w:val="auto"/>
          <w:sz w:val="24"/>
          <w:szCs w:val="24"/>
          <w:highlight w:val="none"/>
        </w:rPr>
      </w:pPr>
      <w:r>
        <w:rPr>
          <w:rFonts w:hint="eastAsia" w:ascii="宋体" w:hAnsi="宋体" w:cs="宋体"/>
          <w:bCs/>
          <w:color w:val="auto"/>
          <w:sz w:val="24"/>
          <w:szCs w:val="24"/>
          <w:highlight w:val="none"/>
        </w:rPr>
        <w:t>③其他费用：已包含在工程设计费中，不再另行计取。</w:t>
      </w:r>
    </w:p>
    <w:p>
      <w:pPr>
        <w:keepNext w:val="0"/>
        <w:keepLines w:val="0"/>
        <w:widowControl w:val="0"/>
        <w:suppressLineNumbers w:val="0"/>
        <w:spacing w:before="0" w:beforeAutospacing="0" w:after="0" w:afterAutospacing="0" w:line="360" w:lineRule="auto"/>
        <w:ind w:left="0" w:right="0" w:firstLine="480" w:firstLineChars="200"/>
        <w:jc w:val="both"/>
        <w:rPr>
          <w:rFonts w:ascii="宋体" w:hAnsi="宋体" w:cs="宋体"/>
          <w:b/>
          <w:strike/>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highlight w:val="none"/>
        </w:rPr>
        <w:t>结算时，按第</w:t>
      </w:r>
      <w:r>
        <w:rPr>
          <w:rFonts w:ascii="宋体" w:hAnsi="宋体" w:cs="宋体"/>
          <w:color w:val="auto"/>
          <w:kern w:val="0"/>
          <w:sz w:val="24"/>
          <w:highlight w:val="none"/>
        </w:rPr>
        <w:t>1</w:t>
      </w:r>
      <w:r>
        <w:rPr>
          <w:rFonts w:hint="eastAsia" w:ascii="宋体" w:hAnsi="宋体" w:cs="宋体"/>
          <w:color w:val="auto"/>
          <w:kern w:val="0"/>
          <w:sz w:val="24"/>
          <w:highlight w:val="none"/>
        </w:rPr>
        <w:t>）项的结算金额作为本合同工程设计费最终结算价；若上述第</w:t>
      </w:r>
      <w:r>
        <w:rPr>
          <w:rFonts w:ascii="宋体" w:hAnsi="宋体" w:cs="宋体"/>
          <w:color w:val="auto"/>
          <w:kern w:val="0"/>
          <w:sz w:val="24"/>
          <w:highlight w:val="none"/>
        </w:rPr>
        <w:t>1</w:t>
      </w:r>
      <w:r>
        <w:rPr>
          <w:rFonts w:hint="eastAsia" w:ascii="宋体" w:hAnsi="宋体" w:cs="宋体"/>
          <w:color w:val="auto"/>
          <w:kern w:val="0"/>
          <w:sz w:val="24"/>
          <w:highlight w:val="none"/>
        </w:rPr>
        <w:t>）项的金额超过批复概算中对应的</w:t>
      </w:r>
      <w:r>
        <w:rPr>
          <w:rFonts w:hint="default" w:ascii="宋体" w:hAnsi="宋体" w:cs="宋体"/>
          <w:color w:val="auto"/>
          <w:kern w:val="0"/>
          <w:sz w:val="24"/>
          <w:highlight w:val="none"/>
        </w:rPr>
        <w:t>基本设计费</w:t>
      </w:r>
      <w:r>
        <w:rPr>
          <w:rFonts w:hint="eastAsia" w:ascii="宋体" w:hAnsi="Wingdings 2" w:cs="Wingdings 2"/>
          <w:bCs/>
          <w:color w:val="auto"/>
          <w:sz w:val="24"/>
          <w:szCs w:val="24"/>
          <w:highlight w:val="none"/>
        </w:rPr>
        <w:sym w:font="Wingdings 2" w:char="F052"/>
      </w:r>
      <w:r>
        <w:rPr>
          <w:rFonts w:hint="eastAsia" w:ascii="宋体" w:hAnsi="宋体" w:cs="宋体"/>
          <w:color w:val="auto"/>
          <w:kern w:val="0"/>
          <w:sz w:val="24"/>
          <w:highlight w:val="none"/>
        </w:rPr>
        <w:t>扣除</w:t>
      </w:r>
      <w:r>
        <w:rPr>
          <w:rFonts w:hint="eastAsia" w:ascii="宋体" w:hAnsi="宋体"/>
          <w:color w:val="auto"/>
          <w:sz w:val="24"/>
          <w:highlight w:val="none"/>
        </w:rPr>
        <w:t>未中标单位经济补偿费</w:t>
      </w:r>
      <w:r>
        <w:rPr>
          <w:rFonts w:hint="default" w:ascii="宋体" w:hAnsi="宋体"/>
          <w:color w:val="auto"/>
          <w:sz w:val="24"/>
          <w:highlight w:val="none"/>
        </w:rPr>
        <w:t>及</w:t>
      </w:r>
      <w:r>
        <w:rPr>
          <w:rFonts w:hint="default" w:ascii="宋体" w:hAnsi="宋体"/>
          <w:b/>
          <w:bCs/>
          <w:snapToGrid w:val="0"/>
          <w:color w:val="auto"/>
          <w:kern w:val="0"/>
          <w:sz w:val="24"/>
          <w:highlight w:val="none"/>
        </w:rPr>
        <w:t>设计方案优胜奖励金额</w:t>
      </w:r>
      <w:r>
        <w:rPr>
          <w:rFonts w:hint="eastAsia" w:ascii="宋体" w:hAnsi="宋体" w:cs="宋体"/>
          <w:color w:val="auto"/>
          <w:kern w:val="0"/>
          <w:sz w:val="24"/>
          <w:highlight w:val="none"/>
        </w:rPr>
        <w:t>后的费用，则按批复概算中对应的</w:t>
      </w:r>
      <w:r>
        <w:rPr>
          <w:rFonts w:hint="default" w:ascii="宋体" w:hAnsi="宋体" w:cs="宋体"/>
          <w:color w:val="auto"/>
          <w:kern w:val="0"/>
          <w:sz w:val="24"/>
          <w:highlight w:val="none"/>
        </w:rPr>
        <w:t>基本设计费</w:t>
      </w:r>
      <w:r>
        <w:rPr>
          <w:rFonts w:hint="eastAsia" w:ascii="宋体" w:hAnsi="Wingdings 2" w:cs="Wingdings 2"/>
          <w:bCs/>
          <w:color w:val="auto"/>
          <w:sz w:val="24"/>
          <w:szCs w:val="24"/>
          <w:highlight w:val="none"/>
        </w:rPr>
        <w:sym w:font="Wingdings 2" w:char="F052"/>
      </w:r>
      <w:r>
        <w:rPr>
          <w:rFonts w:hint="eastAsia" w:ascii="宋体" w:hAnsi="宋体" w:cs="宋体"/>
          <w:color w:val="auto"/>
          <w:kern w:val="0"/>
          <w:sz w:val="24"/>
          <w:highlight w:val="none"/>
        </w:rPr>
        <w:t>扣除</w:t>
      </w:r>
      <w:r>
        <w:rPr>
          <w:rFonts w:hint="eastAsia" w:ascii="宋体" w:hAnsi="宋体"/>
          <w:color w:val="auto"/>
          <w:sz w:val="24"/>
          <w:highlight w:val="none"/>
        </w:rPr>
        <w:t>未中标单位经济补偿费</w:t>
      </w:r>
      <w:r>
        <w:rPr>
          <w:rFonts w:hint="eastAsia" w:ascii="宋体" w:hAnsi="宋体" w:cs="宋体"/>
          <w:color w:val="auto"/>
          <w:kern w:val="0"/>
          <w:sz w:val="24"/>
          <w:highlight w:val="none"/>
        </w:rPr>
        <w:t>后的费用作为结算费用。【</w:t>
      </w:r>
      <w:r>
        <w:rPr>
          <w:rFonts w:hint="eastAsia" w:ascii="宋体" w:cs="宋体"/>
          <w:color w:val="auto"/>
          <w:kern w:val="0"/>
          <w:sz w:val="24"/>
          <w:szCs w:val="24"/>
          <w:highlight w:val="none"/>
        </w:rPr>
        <w:t>√</w:t>
      </w:r>
      <w:r>
        <w:rPr>
          <w:rFonts w:hint="eastAsia" w:ascii="宋体" w:hAnsi="宋体"/>
          <w:b/>
          <w:bCs/>
          <w:snapToGrid w:val="0"/>
          <w:color w:val="auto"/>
          <w:kern w:val="0"/>
          <w:sz w:val="24"/>
          <w:highlight w:val="none"/>
        </w:rPr>
        <w:t>本项目未中标单位经济补偿费为</w:t>
      </w:r>
      <w:r>
        <w:rPr>
          <w:rFonts w:hint="eastAsia" w:ascii="宋体" w:hAnsi="宋体" w:eastAsia="宋体" w:cs="宋体"/>
          <w:b/>
          <w:color w:val="auto"/>
          <w:kern w:val="0"/>
          <w:sz w:val="24"/>
          <w:szCs w:val="24"/>
          <w:highlight w:val="none"/>
          <w:u w:val="single"/>
          <w:lang w:val="en-US" w:eastAsia="zh-CN" w:bidi="ar"/>
        </w:rPr>
        <w:t>30</w:t>
      </w:r>
      <w:r>
        <w:rPr>
          <w:rFonts w:hint="default" w:ascii="宋体" w:hAnsi="宋体"/>
          <w:b/>
          <w:bCs/>
          <w:snapToGrid w:val="0"/>
          <w:color w:val="auto"/>
          <w:kern w:val="0"/>
          <w:sz w:val="24"/>
          <w:highlight w:val="none"/>
          <w:u w:val="single"/>
          <w:lang w:eastAsia="zh-CN"/>
        </w:rPr>
        <w:t>万</w:t>
      </w:r>
      <w:r>
        <w:rPr>
          <w:rFonts w:hint="eastAsia" w:ascii="宋体" w:hAnsi="宋体"/>
          <w:b/>
          <w:bCs/>
          <w:snapToGrid w:val="0"/>
          <w:color w:val="auto"/>
          <w:kern w:val="0"/>
          <w:sz w:val="24"/>
          <w:highlight w:val="none"/>
        </w:rPr>
        <w:t>元（详见本项目招标公告），</w:t>
      </w:r>
      <w:r>
        <w:rPr>
          <w:rFonts w:hint="default" w:ascii="宋体" w:hAnsi="宋体"/>
          <w:b/>
          <w:bCs/>
          <w:snapToGrid w:val="0"/>
          <w:color w:val="auto"/>
          <w:kern w:val="0"/>
          <w:sz w:val="24"/>
          <w:highlight w:val="none"/>
        </w:rPr>
        <w:t>设计方案优胜奖励金额为</w:t>
      </w:r>
      <w:r>
        <w:rPr>
          <w:rFonts w:hint="default" w:ascii="宋体" w:hAnsi="宋体"/>
          <w:b/>
          <w:bCs/>
          <w:snapToGrid w:val="0"/>
          <w:color w:val="auto"/>
          <w:kern w:val="0"/>
          <w:sz w:val="24"/>
          <w:highlight w:val="none"/>
          <w:u w:val="single"/>
        </w:rPr>
        <w:t>120</w:t>
      </w:r>
      <w:r>
        <w:rPr>
          <w:rFonts w:hint="default" w:ascii="宋体" w:hAnsi="宋体"/>
          <w:b/>
          <w:bCs/>
          <w:snapToGrid w:val="0"/>
          <w:color w:val="auto"/>
          <w:kern w:val="0"/>
          <w:sz w:val="24"/>
          <w:highlight w:val="none"/>
          <w:u w:val="none"/>
        </w:rPr>
        <w:t>万元，</w:t>
      </w:r>
      <w:r>
        <w:rPr>
          <w:rFonts w:hint="eastAsia" w:ascii="宋体" w:hAnsi="宋体"/>
          <w:b/>
          <w:bCs/>
          <w:snapToGrid w:val="0"/>
          <w:color w:val="auto"/>
          <w:kern w:val="0"/>
          <w:sz w:val="24"/>
          <w:highlight w:val="none"/>
        </w:rPr>
        <w:t>不包含在本合同价款中，由甲方另行支付给各受补偿的投标单位</w:t>
      </w:r>
      <w:r>
        <w:rPr>
          <w:rFonts w:hint="default" w:ascii="宋体" w:hAnsi="宋体"/>
          <w:b/>
          <w:bCs/>
          <w:snapToGrid w:val="0"/>
          <w:color w:val="auto"/>
          <w:kern w:val="0"/>
          <w:sz w:val="24"/>
          <w:highlight w:val="none"/>
        </w:rPr>
        <w:t>及获得方案优胜奖的单位（若该单位非中标人），若获得方案优胜奖的单位亦是中标人，则按招标文件规定方式另行支付</w:t>
      </w:r>
      <w:r>
        <w:rPr>
          <w:rFonts w:hint="eastAsia" w:ascii="宋体" w:hAnsi="宋体"/>
          <w:b/>
          <w:bCs/>
          <w:snapToGrid w:val="0"/>
          <w:color w:val="auto"/>
          <w:kern w:val="0"/>
          <w:sz w:val="24"/>
          <w:highlight w:val="none"/>
        </w:rPr>
        <w:t>】。</w:t>
      </w:r>
    </w:p>
    <w:p>
      <w:pPr>
        <w:adjustRightInd w:val="0"/>
        <w:snapToGrid w:val="0"/>
        <w:spacing w:line="360" w:lineRule="auto"/>
        <w:ind w:firstLine="479" w:firstLineChars="199"/>
        <w:rPr>
          <w:rFonts w:ascii="宋体" w:hAnsi="宋体" w:cs="宋体"/>
          <w:color w:val="auto"/>
          <w:sz w:val="24"/>
          <w:szCs w:val="24"/>
          <w:highlight w:val="none"/>
        </w:rPr>
      </w:pPr>
      <w:r>
        <w:rPr>
          <w:rFonts w:hint="eastAsia" w:ascii="宋体" w:hAnsi="宋体" w:cs="宋体"/>
          <w:b/>
          <w:color w:val="auto"/>
          <w:sz w:val="24"/>
          <w:szCs w:val="24"/>
          <w:highlight w:val="none"/>
        </w:rPr>
        <w:t>15.3.2本项目概算最终批复后，若按上述计取方式测算的工程设计费超过本合同工程设计费暂定金额10%（不含10%），则超过部分的工程设计费的计取及结算方式由双方另行商定并应考虑</w:t>
      </w:r>
      <w:r>
        <w:rPr>
          <w:rFonts w:ascii="宋体" w:hAnsi="宋体" w:cs="宋体"/>
          <w:b/>
          <w:color w:val="auto"/>
          <w:sz w:val="24"/>
          <w:szCs w:val="24"/>
          <w:highlight w:val="none"/>
        </w:rPr>
        <w:t>一定</w:t>
      </w:r>
      <w:r>
        <w:rPr>
          <w:rFonts w:hint="eastAsia" w:ascii="宋体" w:hAnsi="宋体" w:cs="宋体"/>
          <w:b/>
          <w:color w:val="auto"/>
          <w:sz w:val="24"/>
          <w:szCs w:val="24"/>
          <w:highlight w:val="none"/>
        </w:rPr>
        <w:t>的折扣率。</w:t>
      </w:r>
    </w:p>
    <w:p>
      <w:pPr>
        <w:adjustRightInd w:val="0"/>
        <w:snapToGrid w:val="0"/>
        <w:spacing w:line="360" w:lineRule="auto"/>
        <w:ind w:firstLine="477" w:firstLineChars="199"/>
        <w:rPr>
          <w:rFonts w:hint="eastAsia" w:ascii="宋体" w:hAnsi="宋体" w:cs="宋体"/>
          <w:color w:val="auto"/>
          <w:sz w:val="24"/>
          <w:szCs w:val="24"/>
          <w:highlight w:val="none"/>
        </w:rPr>
      </w:pPr>
      <w:r>
        <w:rPr>
          <w:rFonts w:hint="eastAsia" w:ascii="宋体" w:cs="宋体"/>
          <w:color w:val="auto"/>
          <w:kern w:val="0"/>
          <w:sz w:val="24"/>
          <w:szCs w:val="24"/>
          <w:highlight w:val="none"/>
        </w:rPr>
        <w:t>√</w:t>
      </w:r>
      <w:r>
        <w:rPr>
          <w:rFonts w:hint="eastAsia" w:ascii="宋体" w:hAnsi="宋体" w:cs="宋体"/>
          <w:b/>
          <w:color w:val="auto"/>
          <w:sz w:val="24"/>
          <w:szCs w:val="24"/>
          <w:highlight w:val="none"/>
        </w:rPr>
        <w:t>15.4</w:t>
      </w:r>
      <w:r>
        <w:rPr>
          <w:rFonts w:hint="eastAsia" w:ascii="宋体" w:hAnsi="宋体" w:cs="宋体"/>
          <w:color w:val="auto"/>
          <w:sz w:val="24"/>
          <w:szCs w:val="24"/>
          <w:highlight w:val="none"/>
        </w:rPr>
        <w:t>设计方案报审（含修建性详细规划调整）费：</w:t>
      </w:r>
    </w:p>
    <w:p>
      <w:pPr>
        <w:keepNext w:val="0"/>
        <w:keepLines w:val="0"/>
        <w:widowControl w:val="0"/>
        <w:suppressLineNumbers w:val="0"/>
        <w:adjustRightInd w:val="0"/>
        <w:snapToGrid w:val="0"/>
        <w:spacing w:before="0" w:beforeAutospacing="0" w:after="0" w:afterAutospacing="0" w:line="360" w:lineRule="auto"/>
        <w:ind w:left="0" w:right="0" w:firstLine="477" w:firstLineChars="199"/>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u w:val="single"/>
          <w:lang w:val="en-US" w:eastAsia="zh-CN" w:bidi="ar"/>
        </w:rPr>
        <w:t>☑暂定为          元（综合单价为        元/公顷）。结算时以设计方案审查批复的用地面积为基数，按每公顷     元（综合单价）计算,最终结算价不超过本合同签约价中对应的设计方案报审（含修建性详细规划调整）费。</w:t>
      </w:r>
    </w:p>
    <w:p>
      <w:pPr>
        <w:snapToGrid w:val="0"/>
        <w:spacing w:line="360" w:lineRule="auto"/>
        <w:ind w:left="2" w:firstLine="477" w:firstLineChars="199"/>
        <w:rPr>
          <w:rFonts w:ascii="宋体"/>
          <w:color w:val="auto"/>
          <w:sz w:val="24"/>
          <w:szCs w:val="24"/>
          <w:highlight w:val="none"/>
          <w:u w:val="single"/>
        </w:rPr>
      </w:pPr>
      <w:r>
        <w:rPr>
          <w:rFonts w:hint="eastAsia" w:ascii="宋体" w:cs="宋体"/>
          <w:color w:val="auto"/>
          <w:kern w:val="0"/>
          <w:sz w:val="24"/>
          <w:szCs w:val="24"/>
          <w:highlight w:val="none"/>
        </w:rPr>
        <w:t>√</w:t>
      </w:r>
      <w:r>
        <w:rPr>
          <w:rFonts w:ascii="宋体" w:hAnsi="宋体" w:cs="宋体"/>
          <w:b/>
          <w:color w:val="auto"/>
          <w:sz w:val="24"/>
          <w:szCs w:val="24"/>
          <w:highlight w:val="none"/>
        </w:rPr>
        <w:t>15.5</w:t>
      </w:r>
      <w:r>
        <w:rPr>
          <w:rFonts w:hint="eastAsia" w:ascii="宋体" w:hAnsi="宋体" w:cs="宋体"/>
          <w:b/>
          <w:color w:val="auto"/>
          <w:sz w:val="24"/>
          <w:szCs w:val="24"/>
          <w:highlight w:val="none"/>
        </w:rPr>
        <w:t xml:space="preserve"> </w:t>
      </w:r>
      <w:r>
        <w:rPr>
          <w:rFonts w:ascii="宋体" w:hAnsi="宋体" w:cs="宋体"/>
          <w:color w:val="auto"/>
          <w:sz w:val="24"/>
          <w:szCs w:val="24"/>
          <w:highlight w:val="none"/>
        </w:rPr>
        <w:t>BIM</w:t>
      </w:r>
      <w:r>
        <w:rPr>
          <w:rFonts w:hint="eastAsia" w:ascii="宋体" w:hAnsi="宋体" w:cs="宋体"/>
          <w:color w:val="auto"/>
          <w:sz w:val="24"/>
          <w:szCs w:val="24"/>
          <w:highlight w:val="none"/>
        </w:rPr>
        <w:t>正向设计技术应用费：暂定为</w:t>
      </w:r>
      <w:r>
        <w:rPr>
          <w:rFonts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rPr>
        <w:t>元。</w:t>
      </w:r>
      <w:r>
        <w:rPr>
          <w:rFonts w:hint="eastAsia" w:ascii="宋体" w:hAnsi="宋体" w:cs="宋体"/>
          <w:bCs/>
          <w:color w:val="auto"/>
          <w:sz w:val="24"/>
          <w:szCs w:val="24"/>
          <w:highlight w:val="none"/>
        </w:rPr>
        <w:t>结算时，</w:t>
      </w:r>
      <w:r>
        <w:rPr>
          <w:rFonts w:hint="eastAsia" w:ascii="宋体" w:hAnsi="宋体" w:cs="宋体"/>
          <w:color w:val="auto"/>
          <w:sz w:val="24"/>
          <w:szCs w:val="24"/>
          <w:highlight w:val="none"/>
        </w:rPr>
        <w:t>以本项目的实际竣工面积为基数，按</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元</w:t>
      </w:r>
      <w:r>
        <w:rPr>
          <w:rFonts w:ascii="宋体" w:hAnsi="宋体" w:cs="宋体"/>
          <w:color w:val="auto"/>
          <w:sz w:val="24"/>
          <w:szCs w:val="24"/>
          <w:highlight w:val="none"/>
        </w:rPr>
        <w:t>/</w:t>
      </w:r>
      <w:r>
        <w:rPr>
          <w:rFonts w:hint="eastAsia" w:ascii="宋体" w:hAnsi="宋体" w:cs="宋体"/>
          <w:color w:val="auto"/>
          <w:sz w:val="24"/>
          <w:szCs w:val="24"/>
          <w:highlight w:val="none"/>
        </w:rPr>
        <w:t>平方米（综合单价）计算。最终结算金额不得超过批复概算中相应设计阶段</w:t>
      </w:r>
      <w:r>
        <w:rPr>
          <w:rFonts w:ascii="宋体" w:hAnsi="宋体" w:cs="宋体"/>
          <w:color w:val="auto"/>
          <w:sz w:val="24"/>
          <w:szCs w:val="24"/>
          <w:highlight w:val="none"/>
        </w:rPr>
        <w:t>BIM</w:t>
      </w:r>
      <w:r>
        <w:rPr>
          <w:rFonts w:hint="eastAsia" w:ascii="宋体" w:hAnsi="宋体" w:cs="宋体"/>
          <w:color w:val="auto"/>
          <w:sz w:val="24"/>
          <w:szCs w:val="24"/>
          <w:highlight w:val="none"/>
        </w:rPr>
        <w:t>费用</w:t>
      </w:r>
      <w:r>
        <w:rPr>
          <w:rFonts w:hint="eastAsia" w:ascii="宋体" w:hAnsi="宋体" w:cs="宋体"/>
          <w:bCs/>
          <w:color w:val="auto"/>
          <w:sz w:val="24"/>
          <w:szCs w:val="24"/>
          <w:highlight w:val="none"/>
        </w:rPr>
        <w:t>。</w:t>
      </w:r>
      <w:r>
        <w:rPr>
          <w:rFonts w:hint="eastAsia" w:ascii="宋体" w:hAnsi="宋体" w:cs="宋体"/>
          <w:color w:val="auto"/>
          <w:sz w:val="24"/>
          <w:szCs w:val="24"/>
          <w:highlight w:val="none"/>
        </w:rPr>
        <w:t>若本项目甲方不委托乙方开展</w:t>
      </w:r>
      <w:r>
        <w:rPr>
          <w:rFonts w:ascii="宋体" w:hAnsi="宋体" w:cs="宋体"/>
          <w:color w:val="auto"/>
          <w:sz w:val="24"/>
          <w:szCs w:val="24"/>
          <w:highlight w:val="none"/>
        </w:rPr>
        <w:t>BIM</w:t>
      </w:r>
      <w:r>
        <w:rPr>
          <w:rFonts w:hint="eastAsia" w:ascii="宋体" w:hAnsi="宋体" w:cs="宋体"/>
          <w:color w:val="auto"/>
          <w:sz w:val="24"/>
          <w:szCs w:val="24"/>
          <w:highlight w:val="none"/>
        </w:rPr>
        <w:t>设计工作，则本项费用不予结算。</w:t>
      </w:r>
    </w:p>
    <w:p>
      <w:pPr>
        <w:adjustRightInd w:val="0"/>
        <w:snapToGrid w:val="0"/>
        <w:spacing w:line="360" w:lineRule="auto"/>
        <w:ind w:firstLine="477" w:firstLineChars="199"/>
        <w:rPr>
          <w:rFonts w:ascii="宋体" w:hAnsi="宋体" w:cs="宋体"/>
          <w:bCs/>
          <w:color w:val="auto"/>
          <w:sz w:val="24"/>
          <w:szCs w:val="24"/>
          <w:highlight w:val="none"/>
          <w:u w:val="single"/>
        </w:rPr>
      </w:pPr>
      <w:r>
        <w:rPr>
          <w:rFonts w:hint="eastAsia" w:ascii="宋体" w:cs="宋体"/>
          <w:color w:val="auto"/>
          <w:kern w:val="0"/>
          <w:sz w:val="24"/>
          <w:szCs w:val="24"/>
          <w:highlight w:val="none"/>
        </w:rPr>
        <w:t>√</w:t>
      </w:r>
      <w:r>
        <w:rPr>
          <w:rFonts w:ascii="宋体" w:hAnsi="宋体"/>
          <w:b/>
          <w:color w:val="auto"/>
          <w:sz w:val="24"/>
          <w:szCs w:val="24"/>
          <w:highlight w:val="none"/>
        </w:rPr>
        <w:t>15.</w:t>
      </w:r>
      <w:r>
        <w:rPr>
          <w:rFonts w:ascii="宋体" w:hAnsi="宋体" w:cs="宋体"/>
          <w:b/>
          <w:color w:val="auto"/>
          <w:sz w:val="24"/>
          <w:szCs w:val="24"/>
          <w:highlight w:val="none"/>
        </w:rPr>
        <w:t>6</w:t>
      </w:r>
      <w:r>
        <w:rPr>
          <w:rFonts w:hint="eastAsia" w:ascii="宋体" w:hAnsi="宋体" w:cs="宋体"/>
          <w:color w:val="auto"/>
          <w:sz w:val="24"/>
          <w:szCs w:val="24"/>
          <w:highlight w:val="none"/>
        </w:rPr>
        <w:t>甲乙双方一致同意，如审计机关对本合同项目结算评审提出修正意见的，双方应当本着实事求是的原则予以纠正。</w:t>
      </w:r>
    </w:p>
    <w:p>
      <w:pPr>
        <w:adjustRightInd w:val="0"/>
        <w:snapToGrid w:val="0"/>
        <w:spacing w:line="360" w:lineRule="auto"/>
        <w:ind w:firstLine="482" w:firstLineChars="200"/>
        <w:outlineLvl w:val="2"/>
        <w:rPr>
          <w:rFonts w:ascii="宋体" w:hAnsi="宋体" w:cs="宋体"/>
          <w:b/>
          <w:color w:val="auto"/>
          <w:kern w:val="0"/>
          <w:sz w:val="24"/>
          <w:szCs w:val="24"/>
          <w:highlight w:val="none"/>
        </w:rPr>
      </w:pPr>
    </w:p>
    <w:p>
      <w:pPr>
        <w:adjustRightInd w:val="0"/>
        <w:snapToGrid w:val="0"/>
        <w:spacing w:line="360" w:lineRule="auto"/>
        <w:ind w:firstLine="482" w:firstLineChars="200"/>
        <w:outlineLvl w:val="2"/>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16、设计收费的支付</w:t>
      </w:r>
    </w:p>
    <w:p>
      <w:pPr>
        <w:adjustRightInd w:val="0"/>
        <w:snapToGrid w:val="0"/>
        <w:spacing w:line="360" w:lineRule="auto"/>
        <w:ind w:right="11"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16.1</w:t>
      </w:r>
      <w:r>
        <w:rPr>
          <w:rFonts w:hint="eastAsia" w:ascii="宋体" w:hAnsi="宋体" w:cs="宋体"/>
          <w:bCs/>
          <w:color w:val="auto"/>
          <w:kern w:val="0"/>
          <w:sz w:val="24"/>
          <w:szCs w:val="24"/>
          <w:highlight w:val="none"/>
        </w:rPr>
        <w:t>乙方按招标文件要求提交履约担保且本合同生效后，乙方按甲方财务制度要求提交申请支付文件资料，</w:t>
      </w:r>
      <w:r>
        <w:rPr>
          <w:rFonts w:hint="eastAsia" w:ascii="宋体" w:hAnsi="宋体" w:cs="宋体"/>
          <w:color w:val="auto"/>
          <w:kern w:val="0"/>
          <w:sz w:val="24"/>
          <w:szCs w:val="24"/>
          <w:highlight w:val="none"/>
        </w:rPr>
        <w:t>经甲方审核合格后十日内，甲方支付</w:t>
      </w:r>
      <w:r>
        <w:rPr>
          <w:rFonts w:hint="default" w:ascii="宋体" w:hAnsi="宋体" w:cs="宋体"/>
          <w:color w:val="auto"/>
          <w:kern w:val="0"/>
          <w:sz w:val="24"/>
          <w:szCs w:val="24"/>
          <w:highlight w:val="none"/>
        </w:rPr>
        <w:t>技术设计费</w:t>
      </w:r>
      <w:r>
        <w:rPr>
          <w:rFonts w:hint="eastAsia" w:ascii="宋体" w:hAnsi="宋体" w:cs="宋体"/>
          <w:color w:val="auto"/>
          <w:kern w:val="0"/>
          <w:sz w:val="24"/>
          <w:szCs w:val="24"/>
          <w:highlight w:val="none"/>
        </w:rPr>
        <w:t>的</w:t>
      </w:r>
      <w:r>
        <w:rPr>
          <w:rFonts w:hint="eastAsia" w:ascii="宋体" w:hAnsi="宋体" w:cs="宋体"/>
          <w:color w:val="auto"/>
          <w:kern w:val="0"/>
          <w:sz w:val="24"/>
          <w:szCs w:val="24"/>
          <w:highlight w:val="none"/>
          <w:u w:val="single"/>
        </w:rPr>
        <w:t>15</w:t>
      </w:r>
      <w:r>
        <w:rPr>
          <w:rFonts w:hint="eastAsia" w:ascii="宋体" w:hAnsi="宋体" w:cs="宋体"/>
          <w:color w:val="auto"/>
          <w:kern w:val="0"/>
          <w:sz w:val="24"/>
          <w:szCs w:val="24"/>
          <w:highlight w:val="none"/>
        </w:rPr>
        <w:t>%作为预付款，合计____________元（大写：____________元整）。本合同开始履行后，预付款在</w:t>
      </w:r>
      <w:r>
        <w:rPr>
          <w:rFonts w:hint="default" w:ascii="宋体" w:hAnsi="宋体" w:cs="宋体"/>
          <w:color w:val="auto"/>
          <w:kern w:val="0"/>
          <w:sz w:val="24"/>
          <w:szCs w:val="24"/>
          <w:highlight w:val="none"/>
        </w:rPr>
        <w:t>技术设计费</w:t>
      </w:r>
      <w:r>
        <w:rPr>
          <w:rFonts w:hint="eastAsia" w:ascii="宋体" w:hAnsi="宋体" w:cs="宋体"/>
          <w:color w:val="auto"/>
          <w:kern w:val="0"/>
          <w:sz w:val="24"/>
          <w:szCs w:val="24"/>
          <w:highlight w:val="none"/>
        </w:rPr>
        <w:t xml:space="preserve">进度款中予以抵扣。 </w:t>
      </w:r>
    </w:p>
    <w:p>
      <w:pPr>
        <w:snapToGrid w:val="0"/>
        <w:spacing w:line="360" w:lineRule="auto"/>
        <w:ind w:right="11" w:firstLine="482" w:firstLineChars="200"/>
        <w:outlineLvl w:val="3"/>
        <w:rPr>
          <w:rFonts w:ascii="宋体" w:hAnsi="宋体" w:cs="宋体"/>
          <w:color w:val="auto"/>
          <w:sz w:val="24"/>
          <w:szCs w:val="24"/>
          <w:highlight w:val="none"/>
        </w:rPr>
      </w:pPr>
      <w:r>
        <w:rPr>
          <w:rFonts w:hint="eastAsia" w:ascii="宋体" w:hAnsi="宋体" w:cs="宋体"/>
          <w:b/>
          <w:color w:val="auto"/>
          <w:kern w:val="0"/>
          <w:sz w:val="24"/>
          <w:szCs w:val="24"/>
          <w:highlight w:val="none"/>
        </w:rPr>
        <w:t>16.2</w:t>
      </w:r>
      <w:r>
        <w:rPr>
          <w:rFonts w:hint="eastAsia" w:ascii="宋体" w:hAnsi="宋体" w:cs="宋体"/>
          <w:color w:val="auto"/>
          <w:sz w:val="24"/>
          <w:szCs w:val="24"/>
          <w:highlight w:val="none"/>
        </w:rPr>
        <w:t>本合同工程设计费按本合同条款第15.3款确定后，</w:t>
      </w:r>
      <w:r>
        <w:rPr>
          <w:rFonts w:hint="eastAsia" w:ascii="宋体" w:hAnsi="宋体" w:cs="宋体"/>
          <w:bCs/>
          <w:color w:val="auto"/>
          <w:kern w:val="0"/>
          <w:sz w:val="24"/>
          <w:szCs w:val="24"/>
          <w:highlight w:val="none"/>
        </w:rPr>
        <w:t>依《工程设计费分摊计算表》（合同附件</w:t>
      </w:r>
      <w:r>
        <w:rPr>
          <w:rFonts w:ascii="宋体" w:hAnsi="宋体" w:cs="宋体"/>
          <w:bCs/>
          <w:color w:val="auto"/>
          <w:kern w:val="0"/>
          <w:sz w:val="24"/>
          <w:szCs w:val="24"/>
          <w:highlight w:val="none"/>
        </w:rPr>
        <w:t>3</w:t>
      </w:r>
      <w:r>
        <w:rPr>
          <w:rFonts w:hint="eastAsia" w:ascii="宋体" w:hAnsi="宋体" w:cs="宋体"/>
          <w:bCs/>
          <w:color w:val="auto"/>
          <w:kern w:val="0"/>
          <w:sz w:val="24"/>
          <w:szCs w:val="24"/>
          <w:highlight w:val="none"/>
        </w:rPr>
        <w:t>，表四）约定的支付项目分阶段进行分摊，并按本合同条款第16.3款执行。</w:t>
      </w:r>
      <w:r>
        <w:rPr>
          <w:rFonts w:hint="eastAsia" w:ascii="宋体" w:hAnsi="宋体" w:cs="宋体"/>
          <w:color w:val="auto"/>
          <w:sz w:val="24"/>
          <w:szCs w:val="24"/>
          <w:highlight w:val="none"/>
        </w:rPr>
        <w:t>具体支付节点和比例如下（支付节点对应的支付比例仅代表甲方根据合同约定分批次向乙方支付的合同金额，不代表乙方已完成工作内容对应的工作报酬）：</w:t>
      </w:r>
    </w:p>
    <w:p>
      <w:pPr>
        <w:adjustRightInd w:val="0"/>
        <w:snapToGrid w:val="0"/>
        <w:spacing w:line="360" w:lineRule="auto"/>
        <w:ind w:right="11"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w:t>
      </w:r>
      <w:r>
        <w:rPr>
          <w:rFonts w:hint="default" w:ascii="宋体" w:hAnsi="宋体" w:cs="宋体"/>
          <w:bCs/>
          <w:color w:val="auto"/>
          <w:kern w:val="0"/>
          <w:sz w:val="24"/>
          <w:szCs w:val="24"/>
          <w:highlight w:val="none"/>
        </w:rPr>
        <w:t>技术设计费</w:t>
      </w:r>
      <w:r>
        <w:rPr>
          <w:rFonts w:hint="eastAsia" w:ascii="宋体" w:hAnsi="宋体" w:cs="宋体"/>
          <w:bCs/>
          <w:color w:val="auto"/>
          <w:kern w:val="0"/>
          <w:sz w:val="24"/>
          <w:szCs w:val="24"/>
          <w:highlight w:val="none"/>
        </w:rPr>
        <w:t>：</w:t>
      </w:r>
    </w:p>
    <w:p>
      <w:pPr>
        <w:adjustRightInd w:val="0"/>
        <w:snapToGrid w:val="0"/>
        <w:spacing w:line="360" w:lineRule="auto"/>
        <w:ind w:left="1078" w:leftChars="399" w:hanging="240" w:hangingChars="1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1)分项工程设计费：各分项工程的方案设计完善阶段工程设计费、初步设计阶段工程设计费、施工图设计阶段工程设计费，按《工程设计费分摊计算表》（合同附件</w:t>
      </w:r>
      <w:r>
        <w:rPr>
          <w:rFonts w:ascii="宋体" w:hAnsi="宋体" w:cs="宋体"/>
          <w:bCs/>
          <w:color w:val="auto"/>
          <w:kern w:val="0"/>
          <w:sz w:val="24"/>
          <w:szCs w:val="24"/>
          <w:highlight w:val="none"/>
        </w:rPr>
        <w:t>3</w:t>
      </w:r>
      <w:r>
        <w:rPr>
          <w:rFonts w:hint="eastAsia" w:ascii="宋体" w:hAnsi="宋体" w:cs="宋体"/>
          <w:bCs/>
          <w:color w:val="auto"/>
          <w:kern w:val="0"/>
          <w:sz w:val="24"/>
          <w:szCs w:val="24"/>
          <w:highlight w:val="none"/>
        </w:rPr>
        <w:t>，表四）确定支付比例。</w:t>
      </w:r>
    </w:p>
    <w:p>
      <w:pPr>
        <w:adjustRightInd w:val="0"/>
        <w:snapToGrid w:val="0"/>
        <w:spacing w:line="360" w:lineRule="auto"/>
        <w:ind w:left="2" w:leftChars="1" w:firstLine="837" w:firstLineChars="349"/>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2)完成工程投资估算编制工作支付比例为</w:t>
      </w:r>
      <w:r>
        <w:rPr>
          <w:rFonts w:hint="eastAsia" w:ascii="宋体" w:hAnsi="宋体" w:cs="宋体"/>
          <w:color w:val="auto"/>
          <w:sz w:val="24"/>
          <w:szCs w:val="24"/>
          <w:highlight w:val="none"/>
        </w:rPr>
        <w:t>2%。</w:t>
      </w:r>
    </w:p>
    <w:p>
      <w:pPr>
        <w:adjustRightInd w:val="0"/>
        <w:snapToGrid w:val="0"/>
        <w:spacing w:line="360" w:lineRule="auto"/>
        <w:ind w:left="2" w:leftChars="1" w:firstLine="837" w:firstLineChars="349"/>
        <w:rPr>
          <w:rFonts w:ascii="宋体" w:hAnsi="宋体" w:cs="宋体"/>
          <w:color w:val="auto"/>
          <w:sz w:val="24"/>
          <w:szCs w:val="24"/>
          <w:highlight w:val="none"/>
        </w:rPr>
      </w:pPr>
      <w:r>
        <w:rPr>
          <w:rFonts w:hint="eastAsia" w:ascii="宋体" w:hAnsi="宋体" w:cs="宋体"/>
          <w:bCs/>
          <w:color w:val="auto"/>
          <w:kern w:val="0"/>
          <w:sz w:val="24"/>
          <w:szCs w:val="24"/>
          <w:highlight w:val="none"/>
        </w:rPr>
        <w:t>3)完成工程设计概算编制工作支付比例为</w:t>
      </w:r>
      <w:r>
        <w:rPr>
          <w:rFonts w:hint="eastAsia" w:ascii="宋体" w:hAnsi="宋体" w:cs="宋体"/>
          <w:color w:val="auto"/>
          <w:sz w:val="24"/>
          <w:szCs w:val="24"/>
          <w:highlight w:val="none"/>
        </w:rPr>
        <w:t>5%。</w:t>
      </w:r>
    </w:p>
    <w:p>
      <w:pPr>
        <w:adjustRightInd w:val="0"/>
        <w:snapToGrid w:val="0"/>
        <w:spacing w:line="360" w:lineRule="auto"/>
        <w:ind w:left="2" w:leftChars="1" w:firstLine="837" w:firstLineChars="349"/>
        <w:rPr>
          <w:rFonts w:ascii="宋体" w:hAnsi="宋体" w:cs="宋体"/>
          <w:color w:val="auto"/>
          <w:sz w:val="24"/>
          <w:szCs w:val="24"/>
          <w:highlight w:val="none"/>
        </w:rPr>
      </w:pPr>
      <w:r>
        <w:rPr>
          <w:rFonts w:hint="eastAsia" w:ascii="宋体" w:hAnsi="宋体" w:cs="宋体"/>
          <w:color w:val="auto"/>
          <w:sz w:val="24"/>
          <w:szCs w:val="24"/>
          <w:highlight w:val="none"/>
        </w:rPr>
        <w:t>4)完成报审报建配合服务工作支付比例</w:t>
      </w:r>
      <w:r>
        <w:rPr>
          <w:rFonts w:hint="eastAsia" w:ascii="宋体" w:hAnsi="宋体" w:cs="宋体"/>
          <w:bCs/>
          <w:color w:val="auto"/>
          <w:kern w:val="0"/>
          <w:sz w:val="24"/>
          <w:szCs w:val="24"/>
          <w:highlight w:val="none"/>
        </w:rPr>
        <w:t>为</w:t>
      </w:r>
      <w:r>
        <w:rPr>
          <w:rFonts w:hint="eastAsia" w:ascii="宋体" w:hAnsi="宋体" w:cs="宋体"/>
          <w:color w:val="auto"/>
          <w:sz w:val="24"/>
          <w:szCs w:val="24"/>
          <w:highlight w:val="none"/>
        </w:rPr>
        <w:t>3%。</w:t>
      </w:r>
    </w:p>
    <w:p>
      <w:pPr>
        <w:adjustRightInd w:val="0"/>
        <w:snapToGrid w:val="0"/>
        <w:spacing w:line="360" w:lineRule="auto"/>
        <w:ind w:left="2" w:leftChars="1" w:firstLine="837" w:firstLineChars="349"/>
        <w:rPr>
          <w:rFonts w:ascii="宋体" w:hAnsi="宋体" w:cs="宋体"/>
          <w:color w:val="auto"/>
          <w:sz w:val="24"/>
          <w:szCs w:val="24"/>
          <w:highlight w:val="none"/>
        </w:rPr>
      </w:pPr>
      <w:r>
        <w:rPr>
          <w:rFonts w:hint="eastAsia" w:ascii="宋体" w:hAnsi="宋体" w:cs="宋体"/>
          <w:bCs/>
          <w:color w:val="auto"/>
          <w:kern w:val="0"/>
          <w:sz w:val="24"/>
          <w:szCs w:val="24"/>
          <w:highlight w:val="none"/>
        </w:rPr>
        <w:t>5)完成招标配合服务工作支付比例为</w:t>
      </w:r>
      <w:r>
        <w:rPr>
          <w:rFonts w:hint="eastAsia" w:ascii="宋体" w:hAnsi="宋体" w:cs="宋体"/>
          <w:color w:val="auto"/>
          <w:sz w:val="24"/>
          <w:szCs w:val="24"/>
          <w:highlight w:val="none"/>
        </w:rPr>
        <w:t>3%。</w:t>
      </w:r>
    </w:p>
    <w:p>
      <w:pPr>
        <w:adjustRightInd w:val="0"/>
        <w:snapToGrid w:val="0"/>
        <w:spacing w:line="360" w:lineRule="auto"/>
        <w:ind w:left="2" w:leftChars="1" w:firstLine="837" w:firstLineChars="349"/>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6完成施工现场服务工作支付比例为</w:t>
      </w:r>
      <w:r>
        <w:rPr>
          <w:rFonts w:hint="eastAsia" w:ascii="宋体" w:hAnsi="宋体" w:cs="宋体"/>
          <w:color w:val="auto"/>
          <w:sz w:val="24"/>
          <w:szCs w:val="24"/>
          <w:highlight w:val="none"/>
        </w:rPr>
        <w:t>22%。</w:t>
      </w:r>
    </w:p>
    <w:p>
      <w:pPr>
        <w:adjustRightInd w:val="0"/>
        <w:snapToGrid w:val="0"/>
        <w:spacing w:line="360" w:lineRule="auto"/>
        <w:ind w:left="2" w:leftChars="1" w:firstLine="837" w:firstLineChars="349"/>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7)完成完整版施工图设计工作支付比例为5%。</w:t>
      </w:r>
    </w:p>
    <w:p>
      <w:pPr>
        <w:adjustRightInd w:val="0"/>
        <w:snapToGrid w:val="0"/>
        <w:spacing w:line="360" w:lineRule="auto"/>
        <w:ind w:left="2" w:leftChars="1" w:firstLine="837" w:firstLineChars="349"/>
        <w:rPr>
          <w:rFonts w:ascii="宋体" w:hAnsi="宋体" w:cs="宋体"/>
          <w:color w:val="auto"/>
          <w:sz w:val="24"/>
          <w:szCs w:val="24"/>
          <w:highlight w:val="none"/>
        </w:rPr>
      </w:pPr>
      <w:r>
        <w:rPr>
          <w:rFonts w:hint="eastAsia" w:ascii="宋体" w:hAnsi="宋体" w:cs="宋体"/>
          <w:bCs/>
          <w:color w:val="auto"/>
          <w:kern w:val="0"/>
          <w:sz w:val="24"/>
          <w:szCs w:val="24"/>
          <w:highlight w:val="none"/>
        </w:rPr>
        <w:t>8)完成工程结算配合服务工作支付比例为</w:t>
      </w:r>
      <w:r>
        <w:rPr>
          <w:rFonts w:hint="eastAsia" w:ascii="宋体" w:hAnsi="宋体" w:cs="宋体"/>
          <w:color w:val="auto"/>
          <w:sz w:val="24"/>
          <w:szCs w:val="24"/>
          <w:highlight w:val="none"/>
        </w:rPr>
        <w:t>5%。</w:t>
      </w:r>
    </w:p>
    <w:p>
      <w:pPr>
        <w:adjustRightInd w:val="0"/>
        <w:snapToGrid w:val="0"/>
        <w:spacing w:line="360" w:lineRule="auto"/>
        <w:ind w:left="2" w:leftChars="1" w:firstLine="837" w:firstLineChars="349"/>
        <w:rPr>
          <w:rFonts w:ascii="宋体" w:hAnsi="宋体" w:cs="宋体"/>
          <w:color w:val="auto"/>
          <w:sz w:val="24"/>
          <w:szCs w:val="24"/>
          <w:highlight w:val="none"/>
        </w:rPr>
      </w:pPr>
      <w:r>
        <w:rPr>
          <w:rFonts w:hint="eastAsia" w:ascii="宋体" w:hAnsi="宋体" w:cs="宋体"/>
          <w:color w:val="auto"/>
          <w:sz w:val="24"/>
          <w:szCs w:val="24"/>
          <w:highlight w:val="none"/>
        </w:rPr>
        <w:t>9)完成工程保修阶段服务工作支付比例</w:t>
      </w:r>
      <w:r>
        <w:rPr>
          <w:rFonts w:hint="eastAsia" w:ascii="宋体" w:hAnsi="宋体" w:cs="宋体"/>
          <w:bCs/>
          <w:color w:val="auto"/>
          <w:kern w:val="0"/>
          <w:sz w:val="24"/>
          <w:szCs w:val="24"/>
          <w:highlight w:val="none"/>
        </w:rPr>
        <w:t>为</w:t>
      </w:r>
      <w:r>
        <w:rPr>
          <w:rFonts w:hint="eastAsia" w:ascii="宋体" w:hAnsi="宋体" w:cs="宋体"/>
          <w:color w:val="auto"/>
          <w:sz w:val="24"/>
          <w:szCs w:val="24"/>
          <w:highlight w:val="none"/>
        </w:rPr>
        <w:t>5%。</w:t>
      </w:r>
    </w:p>
    <w:p>
      <w:pPr>
        <w:adjustRightInd w:val="0"/>
        <w:snapToGrid w:val="0"/>
        <w:spacing w:line="360" w:lineRule="auto"/>
        <w:ind w:firstLine="480" w:firstLineChars="200"/>
        <w:rPr>
          <w:rFonts w:ascii="宋体" w:hAnsi="宋体" w:cs="宋体"/>
          <w:bCs/>
          <w:color w:val="auto"/>
          <w:kern w:val="0"/>
          <w:sz w:val="24"/>
          <w:szCs w:val="24"/>
          <w:highlight w:val="none"/>
        </w:rPr>
      </w:pPr>
      <w:r>
        <w:rPr>
          <w:rFonts w:hint="eastAsia" w:ascii="宋体" w:cs="宋体"/>
          <w:color w:val="auto"/>
          <w:kern w:val="0"/>
          <w:sz w:val="24"/>
          <w:szCs w:val="24"/>
          <w:highlight w:val="none"/>
        </w:rPr>
        <w:t>√</w:t>
      </w:r>
      <w:r>
        <w:rPr>
          <w:rFonts w:hint="eastAsia" w:ascii="宋体" w:hAnsi="宋体" w:cs="宋体"/>
          <w:bCs/>
          <w:color w:val="auto"/>
          <w:kern w:val="0"/>
          <w:sz w:val="24"/>
          <w:szCs w:val="24"/>
          <w:highlight w:val="none"/>
        </w:rPr>
        <w:t>（2）</w:t>
      </w:r>
      <w:r>
        <w:rPr>
          <w:rFonts w:hint="default" w:ascii="宋体" w:hAnsi="宋体" w:cs="宋体"/>
          <w:bCs/>
          <w:color w:val="auto"/>
          <w:kern w:val="0"/>
          <w:sz w:val="24"/>
          <w:szCs w:val="24"/>
          <w:highlight w:val="none"/>
        </w:rPr>
        <w:t>造价预算</w:t>
      </w:r>
      <w:r>
        <w:rPr>
          <w:rFonts w:hint="eastAsia" w:ascii="宋体" w:hAnsi="宋体" w:cs="宋体"/>
          <w:bCs/>
          <w:color w:val="auto"/>
          <w:kern w:val="0"/>
          <w:sz w:val="24"/>
          <w:szCs w:val="24"/>
          <w:highlight w:val="none"/>
        </w:rPr>
        <w:t>编制费：按本合同条款第15条、第16.4款的相关约定确定。</w:t>
      </w:r>
    </w:p>
    <w:p>
      <w:pPr>
        <w:adjustRightInd w:val="0"/>
        <w:snapToGrid w:val="0"/>
        <w:spacing w:line="360" w:lineRule="auto"/>
        <w:ind w:firstLine="240" w:firstLineChars="1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 xml:space="preserve">  （3）其它设计收费：</w:t>
      </w:r>
    </w:p>
    <w:p>
      <w:pPr>
        <w:adjustRightInd w:val="0"/>
        <w:snapToGrid w:val="0"/>
        <w:spacing w:line="360" w:lineRule="auto"/>
        <w:ind w:firstLine="600" w:firstLineChars="25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 xml:space="preserve">  1）设计协调费：按本合同条款第15条、第16.5.1款的相关约定确定。</w:t>
      </w:r>
    </w:p>
    <w:p>
      <w:pPr>
        <w:adjustRightInd w:val="0"/>
        <w:snapToGrid w:val="0"/>
        <w:spacing w:line="360" w:lineRule="auto"/>
        <w:ind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 xml:space="preserve">   2）驻场设计费：按本合同条款第15条、第16.5.2款的相关约定确定。</w:t>
      </w:r>
    </w:p>
    <w:p>
      <w:pPr>
        <w:adjustRightInd w:val="0"/>
        <w:snapToGrid w:val="0"/>
        <w:spacing w:line="360" w:lineRule="auto"/>
        <w:ind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 xml:space="preserve">   3</w:t>
      </w:r>
      <w:r>
        <w:rPr>
          <w:rFonts w:hint="eastAsia" w:ascii="宋体" w:hAnsi="宋体" w:cs="宋体"/>
          <w:color w:val="auto"/>
          <w:kern w:val="0"/>
          <w:sz w:val="24"/>
          <w:szCs w:val="24"/>
          <w:highlight w:val="none"/>
        </w:rPr>
        <w:t>）</w:t>
      </w:r>
      <w:r>
        <w:rPr>
          <w:rFonts w:hint="eastAsia" w:ascii="宋体" w:hAnsi="宋体" w:cs="宋体"/>
          <w:bCs/>
          <w:color w:val="auto"/>
          <w:kern w:val="0"/>
          <w:sz w:val="24"/>
          <w:szCs w:val="24"/>
          <w:highlight w:val="none"/>
        </w:rPr>
        <w:t>其他费用</w:t>
      </w:r>
      <w:r>
        <w:rPr>
          <w:rFonts w:hint="eastAsia" w:ascii="宋体" w:hAnsi="宋体" w:cs="宋体"/>
          <w:color w:val="auto"/>
          <w:kern w:val="0"/>
          <w:sz w:val="24"/>
          <w:szCs w:val="24"/>
          <w:highlight w:val="none"/>
        </w:rPr>
        <w:t>：</w:t>
      </w:r>
      <w:r>
        <w:rPr>
          <w:rFonts w:hint="eastAsia" w:ascii="宋体" w:hAnsi="宋体" w:cs="宋体"/>
          <w:bCs/>
          <w:color w:val="auto"/>
          <w:kern w:val="0"/>
          <w:sz w:val="24"/>
          <w:szCs w:val="24"/>
          <w:highlight w:val="none"/>
        </w:rPr>
        <w:t>按本合同条款第15条的相关约定确定。</w:t>
      </w:r>
    </w:p>
    <w:p>
      <w:pPr>
        <w:adjustRightInd w:val="0"/>
        <w:snapToGrid w:val="0"/>
        <w:spacing w:line="360" w:lineRule="auto"/>
        <w:ind w:right="11" w:firstLine="236" w:firstLineChars="98"/>
        <w:outlineLvl w:val="3"/>
        <w:rPr>
          <w:rFonts w:ascii="宋体" w:hAnsi="宋体" w:cs="宋体"/>
          <w:b/>
          <w:dstrike/>
          <w:color w:val="auto"/>
          <w:kern w:val="0"/>
          <w:sz w:val="24"/>
          <w:szCs w:val="24"/>
          <w:highlight w:val="none"/>
        </w:rPr>
      </w:pPr>
    </w:p>
    <w:p>
      <w:pPr>
        <w:adjustRightInd w:val="0"/>
        <w:snapToGrid w:val="0"/>
        <w:spacing w:line="360" w:lineRule="auto"/>
        <w:ind w:right="11" w:firstLine="482" w:firstLineChars="200"/>
        <w:outlineLvl w:val="3"/>
        <w:rPr>
          <w:rFonts w:ascii="宋体" w:hAnsi="宋体" w:cs="宋体"/>
          <w:bCs/>
          <w:color w:val="auto"/>
          <w:kern w:val="0"/>
          <w:sz w:val="24"/>
          <w:szCs w:val="24"/>
          <w:highlight w:val="none"/>
        </w:rPr>
      </w:pPr>
      <w:r>
        <w:rPr>
          <w:rFonts w:hint="eastAsia" w:ascii="宋体" w:hAnsi="宋体" w:cs="宋体"/>
          <w:b/>
          <w:color w:val="auto"/>
          <w:kern w:val="0"/>
          <w:sz w:val="24"/>
          <w:szCs w:val="24"/>
          <w:highlight w:val="none"/>
        </w:rPr>
        <w:t>16.3</w:t>
      </w:r>
      <w:r>
        <w:rPr>
          <w:rFonts w:hint="eastAsia" w:ascii="宋体" w:hAnsi="宋体" w:cs="宋体"/>
          <w:bCs/>
          <w:color w:val="auto"/>
          <w:kern w:val="0"/>
          <w:sz w:val="24"/>
          <w:szCs w:val="24"/>
          <w:highlight w:val="none"/>
        </w:rPr>
        <w:t xml:space="preserve"> 本合同</w:t>
      </w:r>
      <w:r>
        <w:rPr>
          <w:rFonts w:hint="default" w:ascii="宋体" w:hAnsi="宋体" w:cs="宋体"/>
          <w:bCs/>
          <w:color w:val="auto"/>
          <w:kern w:val="0"/>
          <w:sz w:val="24"/>
          <w:szCs w:val="24"/>
          <w:highlight w:val="none"/>
        </w:rPr>
        <w:t>技术设计费</w:t>
      </w:r>
      <w:r>
        <w:rPr>
          <w:rFonts w:hint="eastAsia" w:ascii="宋体" w:hAnsi="宋体" w:cs="宋体"/>
          <w:bCs/>
          <w:color w:val="auto"/>
          <w:kern w:val="0"/>
          <w:sz w:val="24"/>
          <w:szCs w:val="24"/>
          <w:highlight w:val="none"/>
        </w:rPr>
        <w:t>进度款在抵扣完本合同的预付款后开始支付，并按如下约定执行。</w:t>
      </w:r>
    </w:p>
    <w:p>
      <w:pPr>
        <w:adjustRightInd w:val="0"/>
        <w:snapToGrid w:val="0"/>
        <w:spacing w:line="360" w:lineRule="auto"/>
        <w:ind w:right="11" w:firstLine="482" w:firstLineChars="200"/>
        <w:outlineLvl w:val="4"/>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16.3.1</w:t>
      </w:r>
      <w:r>
        <w:rPr>
          <w:rFonts w:hint="eastAsia" w:ascii="宋体" w:hAnsi="宋体" w:cs="宋体"/>
          <w:bCs/>
          <w:color w:val="auto"/>
          <w:kern w:val="0"/>
          <w:sz w:val="24"/>
          <w:szCs w:val="24"/>
          <w:highlight w:val="none"/>
        </w:rPr>
        <w:t>方案设计完善阶段工程设计费</w:t>
      </w:r>
      <w:r>
        <w:rPr>
          <w:rFonts w:hint="eastAsia" w:ascii="宋体" w:hAnsi="宋体" w:cs="宋体"/>
          <w:color w:val="auto"/>
          <w:kern w:val="0"/>
          <w:sz w:val="24"/>
          <w:szCs w:val="24"/>
          <w:highlight w:val="none"/>
        </w:rPr>
        <w:t>及</w:t>
      </w:r>
      <w:r>
        <w:rPr>
          <w:rFonts w:hint="eastAsia" w:ascii="宋体" w:hAnsi="宋体" w:cs="宋体"/>
          <w:bCs/>
          <w:color w:val="auto"/>
          <w:kern w:val="0"/>
          <w:sz w:val="24"/>
          <w:szCs w:val="24"/>
          <w:highlight w:val="none"/>
        </w:rPr>
        <w:t>工程投资估算编制费</w:t>
      </w:r>
      <w:r>
        <w:rPr>
          <w:rFonts w:hint="eastAsia" w:ascii="宋体" w:hAnsi="宋体" w:cs="宋体"/>
          <w:color w:val="auto"/>
          <w:kern w:val="0"/>
          <w:sz w:val="24"/>
          <w:szCs w:val="24"/>
          <w:highlight w:val="none"/>
        </w:rPr>
        <w:t>的支付</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乙方提交的经过完善的方案设计成果文件满足合同要求并通过甲方或甲方委托的第三方审查，且乙方编制的投资估算获甲方认可后，乙方可申请支付方案设计阶段各分项工程设计费及工程投资估算编制费。</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乙方应一并申请支付方案设计阶段的设计费、投资估算编制费。甲方根据设计评审的等级确定应支付的方案设计阶段的设计收费。 </w:t>
      </w:r>
    </w:p>
    <w:p>
      <w:pPr>
        <w:adjustRightInd w:val="0"/>
        <w:snapToGrid w:val="0"/>
        <w:spacing w:line="360" w:lineRule="auto"/>
        <w:ind w:right="11" w:firstLine="482" w:firstLineChars="200"/>
        <w:outlineLvl w:val="4"/>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16.3.2</w:t>
      </w:r>
      <w:r>
        <w:rPr>
          <w:rFonts w:hint="eastAsia" w:ascii="宋体" w:hAnsi="宋体" w:cs="宋体"/>
          <w:color w:val="auto"/>
          <w:kern w:val="0"/>
          <w:sz w:val="24"/>
          <w:szCs w:val="24"/>
          <w:highlight w:val="none"/>
        </w:rPr>
        <w:t>初步设计阶段设计费及工程设计概算编制费的支付</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乙方提交的初步设计成果文件满足合同要求，通过甲方或甲方委托的第三方审查，且设计概算获甲方认可后，乙方可申请支付初步设计阶段各分项工程的设计费及工程设计概算编制费。</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乙方应一并申请支付初步设计阶段的设计费、工程设计概算编制费。甲方根据设计评审的等级确定应支付的初步设计阶段的设计收费。 </w:t>
      </w:r>
    </w:p>
    <w:p>
      <w:pPr>
        <w:adjustRightInd w:val="0"/>
        <w:snapToGrid w:val="0"/>
        <w:spacing w:line="360" w:lineRule="auto"/>
        <w:ind w:right="11" w:firstLine="482" w:firstLineChars="200"/>
        <w:outlineLvl w:val="4"/>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16.3.3</w:t>
      </w:r>
      <w:r>
        <w:rPr>
          <w:rFonts w:hint="eastAsia" w:ascii="宋体" w:hAnsi="宋体" w:cs="宋体"/>
          <w:color w:val="auto"/>
          <w:kern w:val="0"/>
          <w:sz w:val="24"/>
          <w:szCs w:val="24"/>
          <w:highlight w:val="none"/>
        </w:rPr>
        <w:t>施工图设计阶段设计费的支付</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施工图设计阶段各分项工程的设计费分3次支付，施工图审查通过后支付本阶段设计费的30%；提交建筑施工报建的施工图设计成果文件及</w:t>
      </w:r>
      <w:r>
        <w:rPr>
          <w:rFonts w:hint="default" w:ascii="宋体" w:hAnsi="宋体" w:cs="宋体"/>
          <w:color w:val="auto"/>
          <w:kern w:val="0"/>
          <w:sz w:val="24"/>
          <w:szCs w:val="24"/>
          <w:highlight w:val="none"/>
        </w:rPr>
        <w:t>造价预算</w:t>
      </w:r>
      <w:r>
        <w:rPr>
          <w:rFonts w:hint="eastAsia" w:ascii="宋体" w:hAnsi="宋体" w:cs="宋体"/>
          <w:color w:val="auto"/>
          <w:kern w:val="0"/>
          <w:sz w:val="24"/>
          <w:szCs w:val="24"/>
          <w:highlight w:val="none"/>
        </w:rPr>
        <w:t>并配合</w:t>
      </w:r>
      <w:r>
        <w:rPr>
          <w:rFonts w:hint="default" w:ascii="宋体" w:hAnsi="宋体" w:cs="宋体"/>
          <w:color w:val="auto"/>
          <w:kern w:val="0"/>
          <w:sz w:val="24"/>
          <w:szCs w:val="24"/>
          <w:highlight w:val="none"/>
        </w:rPr>
        <w:t>造价预算</w:t>
      </w:r>
      <w:r>
        <w:rPr>
          <w:rFonts w:hint="eastAsia" w:ascii="宋体" w:hAnsi="宋体" w:cs="宋体"/>
          <w:color w:val="auto"/>
          <w:kern w:val="0"/>
          <w:sz w:val="24"/>
          <w:szCs w:val="24"/>
          <w:highlight w:val="none"/>
        </w:rPr>
        <w:t>送审后支付本阶段设计费的40%；</w:t>
      </w:r>
      <w:r>
        <w:rPr>
          <w:rFonts w:hint="eastAsia" w:ascii="宋体" w:hAnsi="宋体" w:cs="宋体"/>
          <w:color w:val="auto"/>
          <w:sz w:val="24"/>
          <w:szCs w:val="24"/>
          <w:highlight w:val="none"/>
        </w:rPr>
        <w:t>乙方根据相关部门的意见进行修改完善施工图并提交甲方，且乙方累计支付</w:t>
      </w:r>
      <w:r>
        <w:rPr>
          <w:rFonts w:hint="default" w:ascii="宋体" w:hAnsi="宋体" w:cs="宋体"/>
          <w:color w:val="auto"/>
          <w:sz w:val="24"/>
          <w:szCs w:val="24"/>
          <w:highlight w:val="none"/>
        </w:rPr>
        <w:t>造价预算</w:t>
      </w:r>
      <w:r>
        <w:rPr>
          <w:rFonts w:hint="eastAsia" w:ascii="宋体" w:hAnsi="宋体" w:cs="宋体"/>
          <w:color w:val="auto"/>
          <w:sz w:val="24"/>
          <w:szCs w:val="24"/>
          <w:highlight w:val="none"/>
        </w:rPr>
        <w:t>编制单位</w:t>
      </w:r>
      <w:r>
        <w:rPr>
          <w:rFonts w:hint="default" w:ascii="宋体" w:hAnsi="宋体" w:cs="宋体"/>
          <w:color w:val="auto"/>
          <w:sz w:val="24"/>
          <w:szCs w:val="24"/>
          <w:highlight w:val="none"/>
        </w:rPr>
        <w:t>造价预算</w:t>
      </w:r>
      <w:r>
        <w:rPr>
          <w:rFonts w:hint="eastAsia" w:ascii="宋体" w:hAnsi="宋体" w:cs="宋体"/>
          <w:color w:val="auto"/>
          <w:sz w:val="24"/>
          <w:szCs w:val="24"/>
          <w:highlight w:val="none"/>
        </w:rPr>
        <w:t>编制费用50%后支付本阶段设计费的30%。甲</w:t>
      </w:r>
      <w:r>
        <w:rPr>
          <w:rFonts w:hint="eastAsia" w:ascii="宋体" w:hAnsi="宋体" w:cs="宋体"/>
          <w:color w:val="auto"/>
          <w:kern w:val="0"/>
          <w:sz w:val="24"/>
          <w:szCs w:val="24"/>
          <w:highlight w:val="none"/>
        </w:rPr>
        <w:t>方根据设计评审的等级确定应支付的施工图设计阶段的设计收费。</w:t>
      </w:r>
    </w:p>
    <w:p>
      <w:pPr>
        <w:adjustRightInd w:val="0"/>
        <w:snapToGrid w:val="0"/>
        <w:spacing w:line="360" w:lineRule="auto"/>
        <w:ind w:right="11" w:firstLine="482" w:firstLineChars="200"/>
        <w:outlineLvl w:val="4"/>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16.3.4</w:t>
      </w:r>
      <w:r>
        <w:rPr>
          <w:rFonts w:hint="eastAsia" w:ascii="宋体" w:hAnsi="宋体" w:cs="宋体"/>
          <w:color w:val="auto"/>
          <w:kern w:val="0"/>
          <w:sz w:val="24"/>
          <w:szCs w:val="24"/>
          <w:highlight w:val="none"/>
        </w:rPr>
        <w:t>报审报建配合服务费的支付</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甲方在乙方提出支付申请后根据报审报建配合服务的考评等级确定应支付的报审报建配合服务费。</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报审报建配合服务费于本合同工程所有相关审批手续完成后一次性支付。</w:t>
      </w:r>
    </w:p>
    <w:p>
      <w:pPr>
        <w:adjustRightInd w:val="0"/>
        <w:snapToGrid w:val="0"/>
        <w:spacing w:line="360" w:lineRule="auto"/>
        <w:ind w:right="11" w:firstLine="482" w:firstLineChars="200"/>
        <w:outlineLvl w:val="4"/>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16.3.5</w:t>
      </w:r>
      <w:r>
        <w:rPr>
          <w:rFonts w:hint="eastAsia" w:ascii="宋体" w:hAnsi="宋体" w:cs="宋体"/>
          <w:color w:val="auto"/>
          <w:kern w:val="0"/>
          <w:sz w:val="24"/>
          <w:szCs w:val="24"/>
          <w:highlight w:val="none"/>
        </w:rPr>
        <w:t>招标配合服务费的支付</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甲方在乙方提出支付申请后根据招标配合服务的考评等级确定应支付的招标配合服务费。</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招标配合服务费于本合同工程全部招标工作完成</w:t>
      </w:r>
      <w:r>
        <w:rPr>
          <w:rFonts w:hint="eastAsia" w:ascii="宋体" w:hAnsi="宋体" w:cs="宋体"/>
          <w:color w:val="auto"/>
          <w:sz w:val="24"/>
          <w:szCs w:val="24"/>
          <w:highlight w:val="none"/>
        </w:rPr>
        <w:t>且乙方累计支付</w:t>
      </w:r>
      <w:r>
        <w:rPr>
          <w:rFonts w:hint="default" w:ascii="宋体" w:hAnsi="宋体" w:cs="宋体"/>
          <w:color w:val="auto"/>
          <w:sz w:val="24"/>
          <w:szCs w:val="24"/>
          <w:highlight w:val="none"/>
        </w:rPr>
        <w:t>造价预算</w:t>
      </w:r>
      <w:r>
        <w:rPr>
          <w:rFonts w:hint="eastAsia" w:ascii="宋体" w:hAnsi="宋体" w:cs="宋体"/>
          <w:color w:val="auto"/>
          <w:sz w:val="24"/>
          <w:szCs w:val="24"/>
          <w:highlight w:val="none"/>
        </w:rPr>
        <w:t>编制单位</w:t>
      </w:r>
      <w:r>
        <w:rPr>
          <w:rFonts w:hint="default" w:ascii="宋体" w:hAnsi="宋体" w:cs="宋体"/>
          <w:color w:val="auto"/>
          <w:sz w:val="24"/>
          <w:szCs w:val="24"/>
          <w:highlight w:val="none"/>
        </w:rPr>
        <w:t>造价预算</w:t>
      </w:r>
      <w:r>
        <w:rPr>
          <w:rFonts w:hint="eastAsia" w:ascii="宋体" w:hAnsi="宋体" w:cs="宋体"/>
          <w:color w:val="auto"/>
          <w:sz w:val="24"/>
          <w:szCs w:val="24"/>
          <w:highlight w:val="none"/>
        </w:rPr>
        <w:t>编制费用90%</w:t>
      </w:r>
      <w:r>
        <w:rPr>
          <w:rFonts w:hint="eastAsia" w:ascii="宋体" w:hAnsi="宋体" w:cs="宋体"/>
          <w:color w:val="auto"/>
          <w:kern w:val="0"/>
          <w:sz w:val="24"/>
          <w:szCs w:val="24"/>
          <w:highlight w:val="none"/>
        </w:rPr>
        <w:t>后一次性支付。</w:t>
      </w:r>
    </w:p>
    <w:p>
      <w:pPr>
        <w:adjustRightInd w:val="0"/>
        <w:snapToGrid w:val="0"/>
        <w:spacing w:line="360" w:lineRule="auto"/>
        <w:ind w:firstLine="482" w:firstLineChars="200"/>
        <w:outlineLvl w:val="4"/>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16.3.6</w:t>
      </w:r>
      <w:r>
        <w:rPr>
          <w:rFonts w:hint="eastAsia" w:ascii="宋体" w:hAnsi="宋体" w:cs="宋体"/>
          <w:color w:val="auto"/>
          <w:kern w:val="0"/>
          <w:sz w:val="24"/>
          <w:szCs w:val="24"/>
          <w:highlight w:val="none"/>
        </w:rPr>
        <w:t>现场服务费用的支付</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乙方现场服务期从本合同工程正式开工之日起，直至本合同工程正式通过工程验收之日止</w:t>
      </w:r>
      <w:r>
        <w:rPr>
          <w:rFonts w:hint="eastAsia" w:ascii="宋体" w:hAnsi="宋体" w:cs="宋体"/>
          <w:color w:val="auto"/>
          <w:kern w:val="0"/>
          <w:sz w:val="24"/>
          <w:szCs w:val="24"/>
          <w:highlight w:val="none"/>
          <w:u w:val="single"/>
        </w:rPr>
        <w:t>，预计</w:t>
      </w:r>
      <w:r>
        <w:rPr>
          <w:rFonts w:ascii="宋体" w:hAnsi="宋体" w:cs="宋体"/>
          <w:color w:val="auto"/>
          <w:kern w:val="0"/>
          <w:sz w:val="24"/>
          <w:szCs w:val="24"/>
          <w:highlight w:val="none"/>
          <w:u w:val="single"/>
        </w:rPr>
        <w:t>共30个月</w:t>
      </w:r>
      <w:r>
        <w:rPr>
          <w:rFonts w:hint="eastAsia" w:ascii="宋体" w:hAnsi="宋体" w:cs="宋体"/>
          <w:color w:val="auto"/>
          <w:kern w:val="0"/>
          <w:sz w:val="24"/>
          <w:szCs w:val="24"/>
          <w:highlight w:val="none"/>
        </w:rPr>
        <w:t>。</w:t>
      </w:r>
      <w:r>
        <w:rPr>
          <w:rFonts w:hint="eastAsia" w:ascii="宋体" w:hAnsi="宋体" w:cs="宋体"/>
          <w:bCs/>
          <w:color w:val="auto"/>
          <w:kern w:val="0"/>
          <w:sz w:val="24"/>
          <w:szCs w:val="24"/>
          <w:highlight w:val="none"/>
        </w:rPr>
        <w:t>现场服务费根据乙方</w:t>
      </w:r>
      <w:r>
        <w:rPr>
          <w:rFonts w:hint="eastAsia" w:ascii="宋体" w:hAnsi="宋体" w:cs="宋体"/>
          <w:color w:val="auto"/>
          <w:kern w:val="0"/>
          <w:sz w:val="24"/>
          <w:szCs w:val="24"/>
          <w:highlight w:val="none"/>
        </w:rPr>
        <w:t>现场服务期按月分摊，乙方每6个月可申请一次施工阶段的现场服务费用的支付。甲方根据施工阶段的现场服务的评审结果</w:t>
      </w:r>
      <w:r>
        <w:rPr>
          <w:rFonts w:ascii="宋体" w:hAnsi="宋体" w:cs="宋体"/>
          <w:color w:val="auto"/>
          <w:kern w:val="0"/>
          <w:sz w:val="24"/>
          <w:szCs w:val="24"/>
          <w:highlight w:val="none"/>
        </w:rPr>
        <w:t>、乙方在申请周期内提交的完整巡场报告等</w:t>
      </w:r>
      <w:r>
        <w:rPr>
          <w:rFonts w:hint="eastAsia" w:ascii="宋体" w:hAnsi="宋体" w:cs="宋体"/>
          <w:color w:val="auto"/>
          <w:kern w:val="0"/>
          <w:sz w:val="24"/>
          <w:szCs w:val="24"/>
          <w:highlight w:val="none"/>
        </w:rPr>
        <w:t>确定应支付的现场服务费。</w:t>
      </w:r>
    </w:p>
    <w:p>
      <w:pPr>
        <w:adjustRightInd w:val="0"/>
        <w:snapToGrid w:val="0"/>
        <w:spacing w:line="360" w:lineRule="auto"/>
        <w:ind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如在</w:t>
      </w:r>
      <w:r>
        <w:rPr>
          <w:rFonts w:hint="eastAsia" w:ascii="宋体" w:hAnsi="宋体" w:cs="宋体"/>
          <w:color w:val="auto"/>
          <w:kern w:val="0"/>
          <w:sz w:val="24"/>
          <w:szCs w:val="24"/>
          <w:highlight w:val="none"/>
        </w:rPr>
        <w:t>乙方现场服务期内</w:t>
      </w:r>
      <w:r>
        <w:rPr>
          <w:rFonts w:hint="eastAsia" w:ascii="宋体" w:hAnsi="宋体" w:cs="宋体"/>
          <w:bCs/>
          <w:color w:val="auto"/>
          <w:kern w:val="0"/>
          <w:sz w:val="24"/>
          <w:szCs w:val="24"/>
          <w:highlight w:val="none"/>
        </w:rPr>
        <w:t>，无论任何原因造成本合同工程中间停工而导致乙方现场服务人员必须二次或多次进出场的，本合同价款亦不会因此而有所调整，相关费用均已包含在本合同约定的现场服务费中。工程中间停工却不退场时，乙方可与甲方协商减少驻场人员的数量，本合同价款亦不作调整。</w:t>
      </w:r>
    </w:p>
    <w:p>
      <w:pPr>
        <w:adjustRightInd w:val="0"/>
        <w:snapToGrid w:val="0"/>
        <w:spacing w:line="360" w:lineRule="auto"/>
        <w:ind w:left="118" w:leftChars="56" w:firstLine="361" w:firstLineChars="15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16.3.7</w:t>
      </w:r>
      <w:r>
        <w:rPr>
          <w:rFonts w:hint="eastAsia" w:ascii="宋体" w:hAnsi="宋体" w:cs="宋体"/>
          <w:color w:val="auto"/>
          <w:kern w:val="0"/>
          <w:sz w:val="24"/>
          <w:szCs w:val="24"/>
          <w:highlight w:val="none"/>
        </w:rPr>
        <w:t>完整版施工图设计费用的支付</w:t>
      </w:r>
    </w:p>
    <w:p>
      <w:pPr>
        <w:adjustRightInd w:val="0"/>
        <w:snapToGrid w:val="0"/>
        <w:spacing w:line="360" w:lineRule="auto"/>
        <w:ind w:left="118" w:leftChars="56" w:firstLine="360" w:firstLineChars="150"/>
        <w:rPr>
          <w:rFonts w:ascii="宋体" w:hAnsi="宋体" w:cs="宋体"/>
          <w:color w:val="auto"/>
          <w:kern w:val="0"/>
          <w:sz w:val="24"/>
          <w:szCs w:val="24"/>
          <w:highlight w:val="none"/>
        </w:rPr>
      </w:pPr>
      <w:r>
        <w:rPr>
          <w:rFonts w:hint="eastAsia" w:ascii="宋体" w:hAnsi="宋体" w:cs="宋体"/>
          <w:color w:val="auto"/>
          <w:kern w:val="0"/>
          <w:sz w:val="24"/>
          <w:szCs w:val="24"/>
          <w:highlight w:val="none"/>
        </w:rPr>
        <w:t>在乙方将完整版施工图提交给甲方审核通过后，甲方向乙方一次性支付完整版施工图设计费用100%。</w:t>
      </w:r>
    </w:p>
    <w:p>
      <w:pPr>
        <w:adjustRightInd w:val="0"/>
        <w:snapToGrid w:val="0"/>
        <w:spacing w:line="360" w:lineRule="auto"/>
        <w:ind w:firstLine="482" w:firstLineChars="200"/>
        <w:outlineLvl w:val="4"/>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16.3.8</w:t>
      </w:r>
      <w:r>
        <w:rPr>
          <w:rFonts w:hint="eastAsia" w:ascii="宋体" w:hAnsi="宋体" w:cs="宋体"/>
          <w:color w:val="auto"/>
          <w:kern w:val="0"/>
          <w:sz w:val="24"/>
          <w:szCs w:val="24"/>
          <w:highlight w:val="none"/>
        </w:rPr>
        <w:t>工程结算配合服务费的支付</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甲方在乙方提出支付申请后根据工程结算配合服务的考评结果确定应支付的工程结算配合服务费。工程结算配合服务费于本合同设计范围内工程结算经结算终审部门审定</w:t>
      </w:r>
      <w:r>
        <w:rPr>
          <w:rFonts w:hint="eastAsia" w:ascii="宋体" w:hAnsi="宋体" w:cs="宋体"/>
          <w:color w:val="auto"/>
          <w:sz w:val="24"/>
          <w:szCs w:val="24"/>
          <w:highlight w:val="none"/>
        </w:rPr>
        <w:t>且乙方已支付</w:t>
      </w:r>
      <w:r>
        <w:rPr>
          <w:rFonts w:hint="default" w:ascii="宋体" w:hAnsi="宋体" w:cs="宋体"/>
          <w:color w:val="auto"/>
          <w:sz w:val="24"/>
          <w:szCs w:val="24"/>
          <w:highlight w:val="none"/>
        </w:rPr>
        <w:t>造价预算</w:t>
      </w:r>
      <w:r>
        <w:rPr>
          <w:rFonts w:hint="eastAsia" w:ascii="宋体" w:hAnsi="宋体" w:cs="宋体"/>
          <w:color w:val="auto"/>
          <w:sz w:val="24"/>
          <w:szCs w:val="24"/>
          <w:highlight w:val="none"/>
        </w:rPr>
        <w:t>编制单位</w:t>
      </w:r>
      <w:r>
        <w:rPr>
          <w:rFonts w:hint="default" w:ascii="宋体" w:hAnsi="宋体" w:cs="宋体"/>
          <w:color w:val="auto"/>
          <w:sz w:val="24"/>
          <w:szCs w:val="24"/>
          <w:highlight w:val="none"/>
        </w:rPr>
        <w:t>造价预算</w:t>
      </w:r>
      <w:r>
        <w:rPr>
          <w:rFonts w:hint="eastAsia" w:ascii="宋体" w:hAnsi="宋体" w:cs="宋体"/>
          <w:color w:val="auto"/>
          <w:sz w:val="24"/>
          <w:szCs w:val="24"/>
          <w:highlight w:val="none"/>
        </w:rPr>
        <w:t>编制费用的余款</w:t>
      </w:r>
      <w:r>
        <w:rPr>
          <w:rFonts w:hint="eastAsia" w:ascii="宋体" w:hAnsi="宋体" w:cs="宋体"/>
          <w:color w:val="auto"/>
          <w:kern w:val="0"/>
          <w:sz w:val="24"/>
          <w:szCs w:val="24"/>
          <w:highlight w:val="none"/>
        </w:rPr>
        <w:t>后一次性支付。</w:t>
      </w:r>
    </w:p>
    <w:p>
      <w:pPr>
        <w:adjustRightInd w:val="0"/>
        <w:snapToGrid w:val="0"/>
        <w:spacing w:line="360" w:lineRule="auto"/>
        <w:ind w:firstLine="482" w:firstLineChars="200"/>
        <w:outlineLvl w:val="4"/>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16.3.9</w:t>
      </w:r>
      <w:r>
        <w:rPr>
          <w:rFonts w:hint="eastAsia" w:ascii="宋体" w:hAnsi="宋体" w:cs="宋体"/>
          <w:color w:val="auto"/>
          <w:kern w:val="0"/>
          <w:sz w:val="24"/>
          <w:szCs w:val="24"/>
          <w:highlight w:val="none"/>
        </w:rPr>
        <w:t>工程保修阶段服务费的支付</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工程保修阶段服务费以合同工程设计费暂定总额为基数，按本合同条款第15条的有关约定确定；待结算终审部门审定本合同结算金额后，再根据审定结算本合同工程设计费结算总额为基数，按本合同条款第16条的约定调整；甲方在乙方提出支付申请后根据工程保修阶段服务的考评等级确定应支付的工程保修阶段服务费。工程保修阶段服务费于竣工满两年后全部支付。</w:t>
      </w:r>
    </w:p>
    <w:p>
      <w:pPr>
        <w:adjustRightInd w:val="0"/>
        <w:snapToGrid w:val="0"/>
        <w:spacing w:line="360" w:lineRule="auto"/>
        <w:ind w:firstLine="470" w:firstLineChars="196"/>
        <w:rPr>
          <w:rFonts w:ascii="宋体" w:hAnsi="宋体" w:cs="宋体"/>
          <w:b/>
          <w:color w:val="auto"/>
          <w:kern w:val="0"/>
          <w:sz w:val="24"/>
          <w:szCs w:val="24"/>
          <w:highlight w:val="none"/>
        </w:rPr>
      </w:pPr>
      <w:r>
        <w:rPr>
          <w:rFonts w:hint="eastAsia" w:ascii="宋体" w:cs="宋体"/>
          <w:color w:val="auto"/>
          <w:kern w:val="0"/>
          <w:sz w:val="24"/>
          <w:szCs w:val="24"/>
          <w:highlight w:val="none"/>
        </w:rPr>
        <w:t>√</w:t>
      </w:r>
      <w:r>
        <w:rPr>
          <w:rFonts w:hint="eastAsia" w:ascii="宋体" w:hAnsi="宋体" w:cs="宋体"/>
          <w:b/>
          <w:color w:val="auto"/>
          <w:kern w:val="0"/>
          <w:sz w:val="24"/>
          <w:szCs w:val="24"/>
          <w:highlight w:val="none"/>
        </w:rPr>
        <w:t>16.4</w:t>
      </w:r>
      <w:r>
        <w:rPr>
          <w:rFonts w:hint="default" w:ascii="宋体" w:hAnsi="宋体" w:cs="宋体"/>
          <w:color w:val="auto"/>
          <w:kern w:val="0"/>
          <w:sz w:val="24"/>
          <w:szCs w:val="24"/>
          <w:highlight w:val="none"/>
        </w:rPr>
        <w:t>造价预算</w:t>
      </w:r>
      <w:r>
        <w:rPr>
          <w:rFonts w:hint="eastAsia" w:ascii="宋体" w:hAnsi="宋体" w:cs="宋体"/>
          <w:color w:val="auto"/>
          <w:kern w:val="0"/>
          <w:sz w:val="24"/>
          <w:szCs w:val="24"/>
          <w:highlight w:val="none"/>
        </w:rPr>
        <w:t>编制费的支付</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w:t>
      </w:r>
      <w:r>
        <w:rPr>
          <w:rFonts w:hint="default" w:ascii="宋体" w:hAnsi="宋体" w:cs="宋体"/>
          <w:color w:val="auto"/>
          <w:kern w:val="0"/>
          <w:sz w:val="24"/>
          <w:szCs w:val="24"/>
          <w:highlight w:val="none"/>
        </w:rPr>
        <w:t>造价预算</w:t>
      </w:r>
      <w:r>
        <w:rPr>
          <w:rFonts w:hint="eastAsia" w:ascii="宋体" w:hAnsi="宋体" w:cs="宋体"/>
          <w:color w:val="auto"/>
          <w:kern w:val="0"/>
          <w:sz w:val="24"/>
          <w:szCs w:val="24"/>
          <w:highlight w:val="none"/>
        </w:rPr>
        <w:t>满足以下条件，甲方根据乙方的申请支付</w:t>
      </w:r>
      <w:r>
        <w:rPr>
          <w:rFonts w:hint="default" w:ascii="宋体" w:hAnsi="宋体" w:cs="宋体"/>
          <w:color w:val="auto"/>
          <w:kern w:val="0"/>
          <w:sz w:val="24"/>
          <w:szCs w:val="24"/>
          <w:highlight w:val="none"/>
        </w:rPr>
        <w:t>造价预算</w:t>
      </w:r>
      <w:r>
        <w:rPr>
          <w:rFonts w:hint="eastAsia" w:ascii="宋体" w:hAnsi="宋体" w:cs="宋体"/>
          <w:color w:val="auto"/>
          <w:kern w:val="0"/>
          <w:sz w:val="24"/>
          <w:szCs w:val="24"/>
          <w:highlight w:val="none"/>
        </w:rPr>
        <w:t>编制费的50%：</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（1）设计概算在规定的时间内按要求复核完毕；</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（2）设计概算经有权审批的部门审批，并取得概算批复；</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default" w:ascii="宋体" w:hAnsi="宋体" w:cs="宋体"/>
          <w:color w:val="auto"/>
          <w:kern w:val="0"/>
          <w:sz w:val="24"/>
          <w:szCs w:val="24"/>
          <w:highlight w:val="none"/>
        </w:rPr>
        <w:t>造价预算</w:t>
      </w:r>
      <w:r>
        <w:rPr>
          <w:rFonts w:hint="eastAsia" w:ascii="宋体" w:hAnsi="宋体" w:cs="宋体"/>
          <w:color w:val="auto"/>
          <w:kern w:val="0"/>
          <w:sz w:val="24"/>
          <w:szCs w:val="24"/>
          <w:highlight w:val="none"/>
        </w:rPr>
        <w:t>编制文件组成必须完整（包括但不限于编制说明，工程量计算书、主要材料设备定价依据文件资料等）；</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hint="default" w:ascii="宋体" w:hAnsi="宋体" w:cs="宋体"/>
          <w:color w:val="auto"/>
          <w:kern w:val="0"/>
          <w:sz w:val="24"/>
          <w:szCs w:val="24"/>
          <w:highlight w:val="none"/>
        </w:rPr>
        <w:t>造价预算</w:t>
      </w:r>
      <w:r>
        <w:rPr>
          <w:rFonts w:hint="eastAsia" w:ascii="宋体" w:hAnsi="宋体" w:cs="宋体"/>
          <w:color w:val="auto"/>
          <w:kern w:val="0"/>
          <w:sz w:val="24"/>
          <w:szCs w:val="24"/>
          <w:highlight w:val="none"/>
        </w:rPr>
        <w:t>送审金额与有权审批的部门审批金额对比在10%以内（</w:t>
      </w:r>
      <w:r>
        <w:rPr>
          <w:rFonts w:hint="default" w:ascii="宋体" w:hAnsi="宋体" w:cs="宋体"/>
          <w:color w:val="auto"/>
          <w:kern w:val="0"/>
          <w:sz w:val="24"/>
          <w:szCs w:val="24"/>
          <w:highlight w:val="none"/>
        </w:rPr>
        <w:t>造价预算</w:t>
      </w:r>
      <w:r>
        <w:rPr>
          <w:rFonts w:hint="eastAsia" w:ascii="宋体" w:hAnsi="宋体" w:cs="宋体"/>
          <w:color w:val="auto"/>
          <w:kern w:val="0"/>
          <w:sz w:val="24"/>
          <w:szCs w:val="24"/>
          <w:highlight w:val="none"/>
        </w:rPr>
        <w:t>送审金额偏差绝对值累计额相对于有权审批的部门审批金额，核减率在10%以内）；</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w:t>
      </w:r>
      <w:r>
        <w:rPr>
          <w:rFonts w:hint="default" w:ascii="宋体" w:hAnsi="宋体" w:cs="宋体"/>
          <w:color w:val="auto"/>
          <w:kern w:val="0"/>
          <w:sz w:val="24"/>
          <w:szCs w:val="24"/>
          <w:highlight w:val="none"/>
        </w:rPr>
        <w:t>造价预算</w:t>
      </w:r>
      <w:r>
        <w:rPr>
          <w:rFonts w:hint="eastAsia" w:ascii="宋体" w:hAnsi="宋体" w:cs="宋体"/>
          <w:color w:val="auto"/>
          <w:kern w:val="0"/>
          <w:sz w:val="24"/>
          <w:szCs w:val="24"/>
          <w:highlight w:val="none"/>
        </w:rPr>
        <w:t>在规定时间内按要求提交；</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（6）设计范围内</w:t>
      </w:r>
      <w:r>
        <w:rPr>
          <w:rFonts w:hint="default" w:ascii="宋体" w:hAnsi="宋体" w:cs="宋体"/>
          <w:color w:val="auto"/>
          <w:kern w:val="0"/>
          <w:sz w:val="24"/>
          <w:szCs w:val="24"/>
          <w:highlight w:val="none"/>
        </w:rPr>
        <w:t>造价预算</w:t>
      </w:r>
      <w:r>
        <w:rPr>
          <w:rFonts w:hint="eastAsia" w:ascii="宋体" w:hAnsi="宋体" w:cs="宋体"/>
          <w:color w:val="auto"/>
          <w:kern w:val="0"/>
          <w:sz w:val="24"/>
          <w:szCs w:val="24"/>
          <w:highlight w:val="none"/>
        </w:rPr>
        <w:t>经有权审批的部门审批，并取得预算批复。</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注：在设计范围内如出现批次</w:t>
      </w:r>
      <w:r>
        <w:rPr>
          <w:rFonts w:hint="default" w:ascii="宋体" w:hAnsi="宋体" w:cs="宋体"/>
          <w:color w:val="auto"/>
          <w:kern w:val="0"/>
          <w:sz w:val="24"/>
          <w:szCs w:val="24"/>
          <w:highlight w:val="none"/>
        </w:rPr>
        <w:t>造价预算</w:t>
      </w:r>
      <w:r>
        <w:rPr>
          <w:rFonts w:hint="eastAsia" w:ascii="宋体" w:hAnsi="宋体" w:cs="宋体"/>
          <w:color w:val="auto"/>
          <w:kern w:val="0"/>
          <w:sz w:val="24"/>
          <w:szCs w:val="24"/>
          <w:highlight w:val="none"/>
        </w:rPr>
        <w:t>申报的情况，在满足上述条件的情况下，申请支付</w:t>
      </w:r>
      <w:r>
        <w:rPr>
          <w:rFonts w:hint="default" w:ascii="宋体" w:hAnsi="宋体" w:cs="宋体"/>
          <w:color w:val="auto"/>
          <w:kern w:val="0"/>
          <w:sz w:val="24"/>
          <w:szCs w:val="24"/>
          <w:highlight w:val="none"/>
        </w:rPr>
        <w:t>造价预算</w:t>
      </w:r>
      <w:r>
        <w:rPr>
          <w:rFonts w:hint="eastAsia" w:ascii="宋体" w:hAnsi="宋体" w:cs="宋体"/>
          <w:color w:val="auto"/>
          <w:kern w:val="0"/>
          <w:sz w:val="24"/>
          <w:szCs w:val="24"/>
          <w:highlight w:val="none"/>
        </w:rPr>
        <w:t>编制费按每批次预算批复金额与对应的批复概算中建安工程费金额的比值乘以50%作为支付比例。</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r>
        <w:rPr>
          <w:rFonts w:hint="default" w:ascii="宋体" w:hAnsi="宋体" w:cs="宋体"/>
          <w:color w:val="auto"/>
          <w:kern w:val="0"/>
          <w:sz w:val="24"/>
          <w:szCs w:val="24"/>
          <w:highlight w:val="none"/>
        </w:rPr>
        <w:t>造价预算</w:t>
      </w:r>
      <w:r>
        <w:rPr>
          <w:rFonts w:hint="eastAsia" w:ascii="宋体" w:hAnsi="宋体" w:cs="宋体"/>
          <w:color w:val="auto"/>
          <w:kern w:val="0"/>
          <w:sz w:val="24"/>
          <w:szCs w:val="24"/>
          <w:highlight w:val="none"/>
        </w:rPr>
        <w:t>、招标控制价配合及配合施工招标满足以下条件，甲方根据乙方的申请支付</w:t>
      </w:r>
      <w:r>
        <w:rPr>
          <w:rFonts w:hint="default" w:ascii="宋体" w:hAnsi="宋体" w:cs="宋体"/>
          <w:color w:val="auto"/>
          <w:kern w:val="0"/>
          <w:sz w:val="24"/>
          <w:szCs w:val="24"/>
          <w:highlight w:val="none"/>
        </w:rPr>
        <w:t>造价预算</w:t>
      </w:r>
      <w:r>
        <w:rPr>
          <w:rFonts w:hint="eastAsia" w:ascii="宋体" w:hAnsi="宋体" w:cs="宋体"/>
          <w:color w:val="auto"/>
          <w:kern w:val="0"/>
          <w:sz w:val="24"/>
          <w:szCs w:val="24"/>
          <w:highlight w:val="none"/>
        </w:rPr>
        <w:t>编制费的40%：</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（1）复核招标控制价编制文件组成是否完整（包括但不限于编制说明，工程量计算书、主要材料设备定价依据文件资料等）；</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（2）招标控制价在规定时间内按要求复核完毕；</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（3）施工招标过程中，如发生设计调整，乙方必须根据设计调整内容，在规定时间内编制预算修改说明及相应修改预算文件，提交修改后的预算文件成果并经甲方确认；</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（4）施工招标过程中，如投标单位对预算文件的量和价提出异议，乙方需在规定时间内解答相关问题；</w:t>
      </w:r>
    </w:p>
    <w:p>
      <w:pPr>
        <w:adjustRightInd w:val="0"/>
        <w:snapToGrid w:val="0"/>
        <w:spacing w:line="360" w:lineRule="auto"/>
        <w:ind w:left="477" w:leftChars="227"/>
        <w:rPr>
          <w:rFonts w:ascii="宋体" w:hAnsi="宋体" w:cs="宋体"/>
          <w:color w:val="auto"/>
          <w:sz w:val="24"/>
          <w:szCs w:val="24"/>
          <w:highlight w:val="none"/>
        </w:rPr>
      </w:pPr>
      <w:r>
        <w:rPr>
          <w:rFonts w:hint="eastAsia" w:ascii="宋体" w:hAnsi="宋体" w:cs="宋体"/>
          <w:color w:val="auto"/>
          <w:sz w:val="24"/>
          <w:szCs w:val="24"/>
          <w:highlight w:val="none"/>
        </w:rPr>
        <w:t>（5）乙方按甲方要求提交全部施工招标控制价配合工作成果并经甲方确认；</w:t>
      </w:r>
    </w:p>
    <w:p>
      <w:pPr>
        <w:adjustRightInd w:val="0"/>
        <w:snapToGrid w:val="0"/>
        <w:spacing w:line="360" w:lineRule="auto"/>
        <w:ind w:left="477" w:leftChars="227"/>
        <w:rPr>
          <w:rFonts w:hAnsi="宋体"/>
          <w:color w:val="auto"/>
          <w:sz w:val="24"/>
          <w:szCs w:val="24"/>
          <w:highlight w:val="none"/>
        </w:rPr>
      </w:pPr>
      <w:r>
        <w:rPr>
          <w:rFonts w:hint="eastAsia" w:ascii="宋体" w:hAnsi="宋体" w:cs="宋体"/>
          <w:color w:val="auto"/>
          <w:sz w:val="24"/>
          <w:szCs w:val="24"/>
          <w:highlight w:val="none"/>
        </w:rPr>
        <w:t>（6）设计范围内全部招标项目取得中标通知书。</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注：在设计范围内如出现多批次施工招标控制价</w:t>
      </w:r>
      <w:r>
        <w:rPr>
          <w:rFonts w:hint="eastAsia" w:ascii="宋体" w:hAnsi="宋体" w:cs="宋体"/>
          <w:color w:val="auto"/>
          <w:sz w:val="24"/>
          <w:szCs w:val="24"/>
          <w:highlight w:val="none"/>
        </w:rPr>
        <w:t>配合</w:t>
      </w:r>
      <w:r>
        <w:rPr>
          <w:rFonts w:hint="eastAsia" w:ascii="宋体" w:hAnsi="宋体" w:cs="宋体"/>
          <w:color w:val="auto"/>
          <w:kern w:val="0"/>
          <w:sz w:val="24"/>
          <w:szCs w:val="24"/>
          <w:highlight w:val="none"/>
        </w:rPr>
        <w:t>的情况，在满足上述条件的情况下，申请支付</w:t>
      </w:r>
      <w:r>
        <w:rPr>
          <w:rFonts w:hint="default" w:ascii="宋体" w:hAnsi="宋体" w:cs="宋体"/>
          <w:color w:val="auto"/>
          <w:kern w:val="0"/>
          <w:sz w:val="24"/>
          <w:szCs w:val="24"/>
          <w:highlight w:val="none"/>
        </w:rPr>
        <w:t>造价预算</w:t>
      </w:r>
      <w:r>
        <w:rPr>
          <w:rFonts w:hint="eastAsia" w:ascii="宋体" w:hAnsi="宋体" w:cs="宋体"/>
          <w:color w:val="auto"/>
          <w:kern w:val="0"/>
          <w:sz w:val="24"/>
          <w:szCs w:val="24"/>
          <w:highlight w:val="none"/>
        </w:rPr>
        <w:t>编制费按每批次招标控制价金额与对应批复的概算中建安工程费金额的比值乘以40%作为支付比例。</w:t>
      </w:r>
    </w:p>
    <w:p>
      <w:pPr>
        <w:adjustRightInd w:val="0"/>
        <w:snapToGrid w:val="0"/>
        <w:spacing w:line="360" w:lineRule="auto"/>
        <w:ind w:firstLine="480" w:firstLineChars="200"/>
        <w:rPr>
          <w:rFonts w:hAnsi="宋体"/>
          <w:dstrike/>
          <w:color w:val="auto"/>
          <w:sz w:val="24"/>
          <w:szCs w:val="24"/>
          <w:highlight w:val="none"/>
        </w:rPr>
      </w:pPr>
      <w:r>
        <w:rPr>
          <w:rFonts w:hint="eastAsia" w:ascii="宋体" w:hAnsi="宋体" w:cs="宋体"/>
          <w:color w:val="auto"/>
          <w:sz w:val="24"/>
          <w:szCs w:val="24"/>
          <w:highlight w:val="none"/>
        </w:rPr>
        <w:t>（三）有权结算终审部门审定本合同结算金额后，乙方按甲方的财务管理制度办理款项申请手续，经甲方审核确认后一次性付清余下尾款。</w:t>
      </w:r>
    </w:p>
    <w:p>
      <w:pPr>
        <w:adjustRightInd w:val="0"/>
        <w:snapToGrid w:val="0"/>
        <w:spacing w:line="360" w:lineRule="auto"/>
        <w:ind w:right="11" w:firstLine="482" w:firstLineChars="200"/>
        <w:outlineLvl w:val="4"/>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16.5</w:t>
      </w:r>
      <w:r>
        <w:rPr>
          <w:rFonts w:hint="eastAsia" w:ascii="宋体" w:hAnsi="宋体" w:cs="宋体"/>
          <w:color w:val="auto"/>
          <w:kern w:val="0"/>
          <w:sz w:val="24"/>
          <w:szCs w:val="24"/>
          <w:highlight w:val="none"/>
        </w:rPr>
        <w:t>其它设计收费的支付</w:t>
      </w:r>
    </w:p>
    <w:p>
      <w:pPr>
        <w:adjustRightInd w:val="0"/>
        <w:snapToGrid w:val="0"/>
        <w:spacing w:line="360" w:lineRule="auto"/>
        <w:ind w:right="11" w:firstLine="482" w:firstLineChars="200"/>
        <w:outlineLvl w:val="4"/>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16.5.1</w:t>
      </w:r>
      <w:r>
        <w:rPr>
          <w:rFonts w:hint="eastAsia" w:ascii="宋体" w:hAnsi="宋体" w:cs="宋体"/>
          <w:color w:val="auto"/>
          <w:kern w:val="0"/>
          <w:sz w:val="24"/>
          <w:szCs w:val="24"/>
          <w:highlight w:val="none"/>
        </w:rPr>
        <w:t>设计协调费的支付</w:t>
      </w:r>
    </w:p>
    <w:p>
      <w:pPr>
        <w:adjustRightInd w:val="0"/>
        <w:snapToGrid w:val="0"/>
        <w:spacing w:line="360" w:lineRule="auto"/>
        <w:ind w:left="118" w:leftChars="56" w:firstLine="360" w:firstLineChars="150"/>
        <w:rPr>
          <w:rFonts w:ascii="宋体" w:hAnsi="宋体" w:cs="宋体"/>
          <w:color w:val="auto"/>
          <w:kern w:val="0"/>
          <w:sz w:val="24"/>
          <w:szCs w:val="24"/>
          <w:highlight w:val="none"/>
        </w:rPr>
      </w:pPr>
      <w:r>
        <w:rPr>
          <w:rFonts w:hint="eastAsia" w:ascii="宋体" w:hAnsi="宋体" w:cs="宋体"/>
          <w:color w:val="auto"/>
          <w:kern w:val="0"/>
          <w:sz w:val="24"/>
          <w:szCs w:val="24"/>
          <w:highlight w:val="none"/>
        </w:rPr>
        <w:t>已含在设计费中，不再另行计取，不单独支付。</w:t>
      </w:r>
    </w:p>
    <w:p>
      <w:pPr>
        <w:adjustRightInd w:val="0"/>
        <w:snapToGrid w:val="0"/>
        <w:spacing w:line="360" w:lineRule="auto"/>
        <w:ind w:left="480"/>
        <w:outlineLvl w:val="4"/>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16.5.2</w:t>
      </w:r>
      <w:r>
        <w:rPr>
          <w:rFonts w:hint="eastAsia" w:ascii="宋体" w:hAnsi="宋体" w:cs="宋体"/>
          <w:color w:val="auto"/>
          <w:kern w:val="0"/>
          <w:sz w:val="24"/>
          <w:szCs w:val="24"/>
          <w:highlight w:val="none"/>
        </w:rPr>
        <w:t>驻场设计费的支付</w:t>
      </w:r>
    </w:p>
    <w:p>
      <w:pPr>
        <w:adjustRightInd w:val="0"/>
        <w:snapToGrid w:val="0"/>
        <w:spacing w:line="360" w:lineRule="auto"/>
        <w:ind w:left="118" w:leftChars="56" w:firstLine="360" w:firstLineChars="15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已含在设计费中，不再另行计取，不单独支付。</w:t>
      </w:r>
    </w:p>
    <w:p>
      <w:pPr>
        <w:pStyle w:val="10"/>
        <w:keepNext w:val="0"/>
        <w:keepLines w:val="0"/>
        <w:widowControl/>
        <w:suppressLineNumbers w:val="0"/>
        <w:spacing w:before="0" w:beforeAutospacing="0" w:after="120" w:afterAutospacing="0" w:line="254" w:lineRule="auto"/>
        <w:ind w:left="0" w:leftChars="0" w:right="0" w:firstLine="0" w:firstLineChars="0"/>
        <w:jc w:val="left"/>
        <w:rPr>
          <w:rFonts w:hint="eastAsia" w:ascii="宋体" w:hAnsi="宋体" w:eastAsia="宋体" w:cs="宋体"/>
          <w:color w:val="auto"/>
          <w:kern w:val="0"/>
          <w:sz w:val="24"/>
          <w:szCs w:val="24"/>
          <w:highlight w:val="none"/>
        </w:rPr>
      </w:pPr>
      <w:r>
        <w:rPr>
          <w:rFonts w:hint="default"/>
          <w:color w:val="auto"/>
          <w:sz w:val="24"/>
          <w:szCs w:val="24"/>
          <w:highlight w:val="none"/>
        </w:rPr>
        <w:t xml:space="preserve">   </w:t>
      </w:r>
      <w:r>
        <w:rPr>
          <w:rFonts w:hint="eastAsia" w:ascii="宋体" w:hAnsi="宋体" w:eastAsia="宋体" w:cs="宋体"/>
          <w:color w:val="auto"/>
          <w:kern w:val="0"/>
          <w:sz w:val="24"/>
          <w:szCs w:val="24"/>
          <w:highlight w:val="none"/>
          <w:lang w:val="en-US" w:eastAsia="zh-CN" w:bidi="ar"/>
        </w:rPr>
        <w:t xml:space="preserve">  ☑16.6设计方案报审（含修建性详细规划调整）费的支付</w:t>
      </w:r>
    </w:p>
    <w:p>
      <w:pPr>
        <w:pStyle w:val="10"/>
        <w:keepNext w:val="0"/>
        <w:keepLines w:val="0"/>
        <w:widowControl/>
        <w:suppressLineNumbers w:val="0"/>
        <w:spacing w:before="0" w:beforeAutospacing="0" w:after="120" w:afterAutospacing="0" w:line="254" w:lineRule="auto"/>
        <w:ind w:left="0" w:leftChars="0" w:right="0" w:firstLine="0" w:firstLineChars="0"/>
        <w:jc w:val="left"/>
        <w:rPr>
          <w:rFonts w:hint="default" w:ascii="Calibri" w:hAnsi="Calibri" w:eastAsia="宋体" w:cs="Calibri"/>
          <w:color w:val="auto"/>
          <w:kern w:val="2"/>
          <w:sz w:val="22"/>
          <w:szCs w:val="22"/>
          <w:highlight w:val="none"/>
        </w:rPr>
      </w:pPr>
      <w:r>
        <w:rPr>
          <w:rFonts w:hint="eastAsia" w:ascii="宋体" w:hAnsi="宋体" w:eastAsia="宋体" w:cs="宋体"/>
          <w:color w:val="auto"/>
          <w:kern w:val="0"/>
          <w:sz w:val="24"/>
          <w:szCs w:val="24"/>
          <w:highlight w:val="none"/>
          <w:lang w:val="en-US" w:eastAsia="zh-CN" w:bidi="ar"/>
        </w:rPr>
        <w:t>乙方完成本合同约定设计方案报审（含修建性详细规划调整）工作，且相关工作成果通过甲方及相关主管部门审批通过后，甲方向乙方支付设计方案报审（含修建性详细规划调整）费的100%。</w:t>
      </w:r>
    </w:p>
    <w:p>
      <w:pPr>
        <w:adjustRightInd w:val="0"/>
        <w:snapToGrid w:val="0"/>
        <w:spacing w:line="360" w:lineRule="auto"/>
        <w:ind w:left="118" w:leftChars="56" w:firstLine="361" w:firstLineChars="150"/>
        <w:rPr>
          <w:rFonts w:ascii="宋体" w:hAnsi="宋体" w:cs="宋体"/>
          <w:color w:val="auto"/>
          <w:kern w:val="0"/>
          <w:sz w:val="24"/>
          <w:szCs w:val="24"/>
          <w:highlight w:val="none"/>
        </w:rPr>
      </w:pPr>
      <w:r>
        <w:rPr>
          <w:rFonts w:ascii="宋体" w:hAnsi="宋体" w:cs="宋体"/>
          <w:b/>
          <w:bCs/>
          <w:color w:val="auto"/>
          <w:kern w:val="0"/>
          <w:sz w:val="24"/>
          <w:szCs w:val="24"/>
          <w:highlight w:val="none"/>
        </w:rPr>
        <w:t xml:space="preserve">16.7 </w:t>
      </w:r>
      <w:r>
        <w:rPr>
          <w:rFonts w:ascii="宋体" w:hAnsi="宋体" w:cs="宋体"/>
          <w:color w:val="auto"/>
          <w:kern w:val="0"/>
          <w:sz w:val="24"/>
          <w:szCs w:val="24"/>
          <w:highlight w:val="none"/>
        </w:rPr>
        <w:t>BIM正向设计技术应用费的支付</w:t>
      </w:r>
    </w:p>
    <w:p>
      <w:pPr>
        <w:adjustRightInd w:val="0"/>
        <w:snapToGrid w:val="0"/>
        <w:spacing w:line="360" w:lineRule="auto"/>
        <w:ind w:left="118" w:leftChars="56" w:firstLine="360" w:firstLineChars="150"/>
        <w:rPr>
          <w:rFonts w:ascii="宋体" w:hAnsi="宋体" w:cs="宋体"/>
          <w:color w:val="auto"/>
          <w:kern w:val="0"/>
          <w:sz w:val="24"/>
          <w:szCs w:val="24"/>
          <w:highlight w:val="none"/>
        </w:rPr>
      </w:pPr>
      <w:r>
        <w:rPr>
          <w:rFonts w:ascii="宋体" w:hAnsi="宋体" w:cs="宋体"/>
          <w:color w:val="auto"/>
          <w:kern w:val="0"/>
          <w:sz w:val="24"/>
          <w:szCs w:val="24"/>
          <w:highlight w:val="none"/>
        </w:rPr>
        <w:t>（1）乙方的勘察、设计成果文件通过施工图审查并取得施工图审查合格书后，乙方可申请支付BIM正向设计技术应用费的50%；</w:t>
      </w:r>
    </w:p>
    <w:p>
      <w:pPr>
        <w:adjustRightInd w:val="0"/>
        <w:snapToGrid w:val="0"/>
        <w:spacing w:line="360" w:lineRule="auto"/>
        <w:ind w:left="118" w:leftChars="56" w:firstLine="360" w:firstLineChars="150"/>
        <w:rPr>
          <w:rFonts w:ascii="宋体" w:hAnsi="宋体" w:cs="宋体"/>
          <w:color w:val="auto"/>
          <w:kern w:val="0"/>
          <w:sz w:val="24"/>
          <w:szCs w:val="24"/>
          <w:highlight w:val="none"/>
        </w:rPr>
      </w:pPr>
      <w:r>
        <w:rPr>
          <w:rFonts w:ascii="宋体" w:hAnsi="宋体" w:cs="宋体"/>
          <w:color w:val="auto"/>
          <w:kern w:val="0"/>
          <w:sz w:val="24"/>
          <w:szCs w:val="24"/>
          <w:highlight w:val="none"/>
        </w:rPr>
        <w:t>（2）乙方按本合同约定提交施工图设计阶段BIM模型及所有成果，且相关工作成果经甲方审核确认后，乙方可申请支付至BIM正向设计技术应用费的70%；</w:t>
      </w:r>
    </w:p>
    <w:p>
      <w:pPr>
        <w:adjustRightInd w:val="0"/>
        <w:snapToGrid w:val="0"/>
        <w:spacing w:line="360" w:lineRule="auto"/>
        <w:ind w:left="118" w:leftChars="56" w:firstLine="360" w:firstLineChars="150"/>
        <w:rPr>
          <w:rFonts w:ascii="宋体" w:hAnsi="宋体" w:cs="宋体"/>
          <w:color w:val="auto"/>
          <w:kern w:val="0"/>
          <w:sz w:val="24"/>
          <w:szCs w:val="24"/>
          <w:highlight w:val="none"/>
        </w:rPr>
      </w:pPr>
      <w:r>
        <w:rPr>
          <w:rFonts w:ascii="宋体" w:hAnsi="宋体" w:cs="宋体"/>
          <w:color w:val="auto"/>
          <w:kern w:val="0"/>
          <w:sz w:val="24"/>
          <w:szCs w:val="24"/>
          <w:highlight w:val="none"/>
        </w:rPr>
        <w:t>（3）乙方完成施工阶段、竣工验收阶段BIM模型及相应成果的深化工作，且相关工作成果经甲方审核确认后，乙方可申请支付至BIM正向设计技术应用费的90%；</w:t>
      </w:r>
    </w:p>
    <w:p>
      <w:pPr>
        <w:adjustRightInd w:val="0"/>
        <w:snapToGrid w:val="0"/>
        <w:spacing w:line="360" w:lineRule="auto"/>
        <w:ind w:left="118" w:leftChars="56" w:firstLine="360" w:firstLineChars="150"/>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（4）本合同结算定审后，乙方可申请支付至BIM正向设计技术应用费的100%。 </w:t>
      </w:r>
    </w:p>
    <w:p>
      <w:pPr>
        <w:adjustRightInd w:val="0"/>
        <w:snapToGrid w:val="0"/>
        <w:spacing w:line="360" w:lineRule="auto"/>
        <w:ind w:left="480"/>
        <w:outlineLvl w:val="3"/>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16.</w:t>
      </w:r>
      <w:r>
        <w:rPr>
          <w:rFonts w:hint="default" w:ascii="宋体" w:hAnsi="宋体" w:cs="宋体"/>
          <w:b/>
          <w:color w:val="auto"/>
          <w:kern w:val="0"/>
          <w:sz w:val="24"/>
          <w:szCs w:val="24"/>
          <w:highlight w:val="none"/>
        </w:rPr>
        <w:t>8</w:t>
      </w:r>
      <w:r>
        <w:rPr>
          <w:rFonts w:ascii="宋体" w:hAnsi="宋体" w:cs="宋体"/>
          <w:b/>
          <w:color w:val="auto"/>
          <w:kern w:val="0"/>
          <w:sz w:val="24"/>
          <w:szCs w:val="24"/>
          <w:highlight w:val="none"/>
        </w:rPr>
        <w:t xml:space="preserve"> </w:t>
      </w:r>
      <w:r>
        <w:rPr>
          <w:rFonts w:hint="eastAsia" w:ascii="宋体" w:hAnsi="宋体" w:cs="宋体"/>
          <w:color w:val="auto"/>
          <w:kern w:val="0"/>
          <w:sz w:val="24"/>
          <w:szCs w:val="24"/>
          <w:highlight w:val="none"/>
        </w:rPr>
        <w:t>本合同设计收费的结算</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本合同工程竣工</w:t>
      </w:r>
      <w:r>
        <w:rPr>
          <w:rFonts w:hint="eastAsia" w:ascii="宋体" w:hAnsi="宋体" w:eastAsia="宋体" w:cs="宋体"/>
          <w:color w:val="auto"/>
          <w:kern w:val="2"/>
          <w:sz w:val="24"/>
          <w:szCs w:val="24"/>
          <w:highlight w:val="none"/>
          <w:lang w:val="en-US" w:eastAsia="zh-CN" w:bidi="ar"/>
        </w:rPr>
        <w:t>验收完成</w:t>
      </w:r>
      <w:r>
        <w:rPr>
          <w:rFonts w:hint="eastAsia" w:ascii="宋体" w:hAnsi="宋体" w:cs="宋体"/>
          <w:color w:val="auto"/>
          <w:sz w:val="24"/>
          <w:szCs w:val="24"/>
          <w:highlight w:val="none"/>
        </w:rPr>
        <w:t>后</w:t>
      </w:r>
      <w:r>
        <w:rPr>
          <w:rFonts w:hint="default" w:ascii="宋体" w:hAnsi="宋体" w:cs="宋体"/>
          <w:color w:val="auto"/>
          <w:sz w:val="24"/>
          <w:szCs w:val="24"/>
          <w:highlight w:val="none"/>
        </w:rPr>
        <w:t>28</w:t>
      </w:r>
      <w:r>
        <w:rPr>
          <w:rFonts w:hint="eastAsia" w:ascii="宋体" w:hAnsi="宋体" w:cs="宋体"/>
          <w:color w:val="auto"/>
          <w:sz w:val="24"/>
          <w:szCs w:val="24"/>
          <w:highlight w:val="none"/>
        </w:rPr>
        <w:t>日内，乙方应向甲方提交本合同的结算书及完整的结算资料。否则，甲方将自行进行本合同结算并上报，有权结算终审部门据此审定的金额即为本合同设计收费的结算金额。</w:t>
      </w:r>
    </w:p>
    <w:p>
      <w:pPr>
        <w:snapToGrid w:val="0"/>
        <w:spacing w:line="360" w:lineRule="auto"/>
        <w:ind w:right="11"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乙方配合甲方完成本合同全部设计项目的实施工作，并按规定提交全部技术档案资料，本合同设计收费结算金额已经获得有权结算终审部门审定，且工程保修阶段已经结束（竣工满两年），乙方可向甲方申请结清本合同设计收费尾款；如工程保修阶段尚未结束（竣工尚未满两年），乙方可根据设计收费实际的支付情况申请支付至本合同设计收费结算金额的95%。</w:t>
      </w:r>
    </w:p>
    <w:p>
      <w:pPr>
        <w:adjustRightInd w:val="0"/>
        <w:snapToGrid w:val="0"/>
        <w:spacing w:line="360" w:lineRule="auto"/>
        <w:ind w:firstLine="480"/>
        <w:outlineLvl w:val="3"/>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16.</w:t>
      </w:r>
      <w:r>
        <w:rPr>
          <w:rFonts w:hint="default" w:ascii="宋体" w:hAnsi="宋体" w:cs="宋体"/>
          <w:b/>
          <w:color w:val="auto"/>
          <w:kern w:val="0"/>
          <w:sz w:val="24"/>
          <w:szCs w:val="24"/>
          <w:highlight w:val="none"/>
        </w:rPr>
        <w:t>9</w:t>
      </w:r>
      <w:r>
        <w:rPr>
          <w:rFonts w:ascii="宋体" w:hAnsi="宋体" w:cs="宋体"/>
          <w:b/>
          <w:color w:val="auto"/>
          <w:kern w:val="0"/>
          <w:sz w:val="24"/>
          <w:szCs w:val="24"/>
          <w:highlight w:val="none"/>
        </w:rPr>
        <w:t xml:space="preserve"> </w:t>
      </w:r>
      <w:r>
        <w:rPr>
          <w:rFonts w:hint="eastAsia" w:ascii="宋体" w:hAnsi="宋体" w:cs="宋体"/>
          <w:color w:val="auto"/>
          <w:sz w:val="24"/>
          <w:szCs w:val="24"/>
          <w:highlight w:val="none"/>
        </w:rPr>
        <w:t>如本合同设计收费为暂定价（按本合同条款第15.1.1款约定的方式确定）时，当甲方累计支付的设计收费金额达到本合同设计收费暂定总价的80%时，暂停本合同设计收费的申请、审核及支付。有权审核部门审定的本合同乙方设计范围的工程概算后，乙方可申请支付至以此为基础按合同约定计算的设计收费的85%。本合同设计收费结算金额经有权终审部门审定后，设计收费尾款按本合同条款第16条相关约定支付。</w:t>
      </w:r>
    </w:p>
    <w:p>
      <w:pPr>
        <w:snapToGrid w:val="0"/>
        <w:spacing w:line="360" w:lineRule="auto"/>
        <w:ind w:firstLine="480"/>
        <w:outlineLvl w:val="3"/>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16.</w:t>
      </w:r>
      <w:r>
        <w:rPr>
          <w:rFonts w:hint="default" w:ascii="宋体" w:hAnsi="宋体" w:cs="宋体"/>
          <w:b/>
          <w:color w:val="auto"/>
          <w:kern w:val="0"/>
          <w:sz w:val="24"/>
          <w:szCs w:val="24"/>
          <w:highlight w:val="none"/>
        </w:rPr>
        <w:t>10</w:t>
      </w:r>
      <w:r>
        <w:rPr>
          <w:rFonts w:ascii="宋体" w:hAnsi="宋体" w:cs="宋体"/>
          <w:b/>
          <w:color w:val="auto"/>
          <w:kern w:val="0"/>
          <w:sz w:val="24"/>
          <w:szCs w:val="24"/>
          <w:highlight w:val="none"/>
        </w:rPr>
        <w:t xml:space="preserve"> </w:t>
      </w:r>
      <w:r>
        <w:rPr>
          <w:rFonts w:hint="eastAsia" w:ascii="宋体" w:hAnsi="宋体" w:cs="宋体"/>
          <w:color w:val="auto"/>
          <w:sz w:val="24"/>
          <w:szCs w:val="24"/>
          <w:highlight w:val="none"/>
        </w:rPr>
        <w:t xml:space="preserve">乙方分包项目的设计费已全部包含在本合同设计收费总额之内，并纳入本合同一并结算。乙方在申请支付各次设计费时应连同其分包单位的设计费一并申报。 </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乙方承诺：保证按照本合同及分包合同的约定及时向乙方分包单位支付设计费，甲方有权对乙方的付款情况予以监督。</w:t>
      </w:r>
    </w:p>
    <w:p>
      <w:pPr>
        <w:pStyle w:val="10"/>
        <w:adjustRightInd w:val="0"/>
        <w:snapToGrid w:val="0"/>
        <w:spacing w:beforeAutospacing="0" w:afterAutospacing="0" w:line="360" w:lineRule="auto"/>
        <w:ind w:firstLine="482" w:firstLineChars="200"/>
        <w:rPr>
          <w:rFonts w:hint="default"/>
          <w:color w:val="auto"/>
          <w:highlight w:val="none"/>
        </w:rPr>
      </w:pPr>
      <w:r>
        <w:rPr>
          <w:b/>
          <w:color w:val="auto"/>
          <w:highlight w:val="none"/>
        </w:rPr>
        <w:t>16.11</w:t>
      </w:r>
      <w:r>
        <w:rPr>
          <w:rFonts w:hint="default"/>
          <w:b/>
          <w:color w:val="auto"/>
          <w:highlight w:val="none"/>
        </w:rPr>
        <w:t xml:space="preserve"> </w:t>
      </w:r>
      <w:r>
        <w:rPr>
          <w:rFonts w:cs="宋体"/>
          <w:color w:val="auto"/>
          <w:highlight w:val="none"/>
        </w:rPr>
        <w:t>乙方领取款项前须按甲方的财务管理制度办理有关手续并向甲方出具符合本合同约定的合法有效的可报销凭证。</w:t>
      </w:r>
    </w:p>
    <w:p>
      <w:pPr>
        <w:pStyle w:val="10"/>
        <w:adjustRightInd w:val="0"/>
        <w:snapToGrid w:val="0"/>
        <w:spacing w:beforeAutospacing="0" w:afterAutospacing="0" w:line="360" w:lineRule="auto"/>
        <w:ind w:firstLine="482" w:firstLineChars="200"/>
        <w:rPr>
          <w:rFonts w:hint="default"/>
          <w:color w:val="auto"/>
          <w:highlight w:val="none"/>
        </w:rPr>
      </w:pPr>
      <w:r>
        <w:rPr>
          <w:b/>
          <w:color w:val="auto"/>
          <w:highlight w:val="none"/>
        </w:rPr>
        <w:t>16.12</w:t>
      </w:r>
      <w:r>
        <w:rPr>
          <w:rFonts w:hint="default"/>
          <w:b/>
          <w:color w:val="auto"/>
          <w:highlight w:val="none"/>
        </w:rPr>
        <w:t xml:space="preserve"> </w:t>
      </w:r>
      <w:r>
        <w:rPr>
          <w:rFonts w:cs="宋体"/>
          <w:color w:val="auto"/>
          <w:highlight w:val="none"/>
        </w:rPr>
        <w:t>甲方委托乙方晒制的超过合同约定数量的设计成果文件（含施工图纸），乙方按照双方约定的价格清单加收工本费；没有约定的价格清单的，甲方按以下标准向乙方支付费用：</w:t>
      </w:r>
      <w:r>
        <w:rPr>
          <w:color w:val="auto"/>
          <w:highlight w:val="none"/>
        </w:rPr>
        <w:t>A0</w:t>
      </w:r>
      <w:r>
        <w:rPr>
          <w:rFonts w:cs="宋体"/>
          <w:color w:val="auto"/>
          <w:highlight w:val="none"/>
        </w:rPr>
        <w:t>：</w:t>
      </w:r>
      <w:r>
        <w:rPr>
          <w:color w:val="auto"/>
          <w:highlight w:val="none"/>
        </w:rPr>
        <w:t>4.0</w:t>
      </w:r>
      <w:r>
        <w:rPr>
          <w:rFonts w:cs="宋体"/>
          <w:color w:val="auto"/>
          <w:highlight w:val="none"/>
        </w:rPr>
        <w:t>元</w:t>
      </w:r>
      <w:r>
        <w:rPr>
          <w:color w:val="auto"/>
          <w:highlight w:val="none"/>
        </w:rPr>
        <w:t>/</w:t>
      </w:r>
      <w:r>
        <w:rPr>
          <w:rFonts w:cs="宋体"/>
          <w:color w:val="auto"/>
          <w:highlight w:val="none"/>
        </w:rPr>
        <w:t>张；</w:t>
      </w:r>
      <w:r>
        <w:rPr>
          <w:color w:val="auto"/>
          <w:highlight w:val="none"/>
        </w:rPr>
        <w:t>A1</w:t>
      </w:r>
      <w:r>
        <w:rPr>
          <w:rFonts w:cs="宋体"/>
          <w:color w:val="auto"/>
          <w:highlight w:val="none"/>
        </w:rPr>
        <w:t>：</w:t>
      </w:r>
      <w:r>
        <w:rPr>
          <w:color w:val="auto"/>
          <w:highlight w:val="none"/>
        </w:rPr>
        <w:t>2.0</w:t>
      </w:r>
      <w:r>
        <w:rPr>
          <w:rFonts w:cs="宋体"/>
          <w:color w:val="auto"/>
          <w:highlight w:val="none"/>
        </w:rPr>
        <w:t>元</w:t>
      </w:r>
      <w:r>
        <w:rPr>
          <w:color w:val="auto"/>
          <w:highlight w:val="none"/>
        </w:rPr>
        <w:t>/</w:t>
      </w:r>
      <w:r>
        <w:rPr>
          <w:rFonts w:cs="宋体"/>
          <w:color w:val="auto"/>
          <w:highlight w:val="none"/>
        </w:rPr>
        <w:t>张；</w:t>
      </w:r>
      <w:r>
        <w:rPr>
          <w:color w:val="auto"/>
          <w:highlight w:val="none"/>
        </w:rPr>
        <w:t>A2</w:t>
      </w:r>
      <w:r>
        <w:rPr>
          <w:rFonts w:cs="宋体"/>
          <w:color w:val="auto"/>
          <w:highlight w:val="none"/>
        </w:rPr>
        <w:t>：</w:t>
      </w:r>
      <w:r>
        <w:rPr>
          <w:color w:val="auto"/>
          <w:highlight w:val="none"/>
        </w:rPr>
        <w:t>1.0</w:t>
      </w:r>
      <w:r>
        <w:rPr>
          <w:rFonts w:cs="宋体"/>
          <w:color w:val="auto"/>
          <w:highlight w:val="none"/>
        </w:rPr>
        <w:t>元</w:t>
      </w:r>
      <w:r>
        <w:rPr>
          <w:color w:val="auto"/>
          <w:highlight w:val="none"/>
        </w:rPr>
        <w:t>/</w:t>
      </w:r>
      <w:r>
        <w:rPr>
          <w:rFonts w:cs="宋体"/>
          <w:color w:val="auto"/>
          <w:highlight w:val="none"/>
        </w:rPr>
        <w:t>张；</w:t>
      </w:r>
      <w:r>
        <w:rPr>
          <w:color w:val="auto"/>
          <w:highlight w:val="none"/>
        </w:rPr>
        <w:t>A3</w:t>
      </w:r>
      <w:r>
        <w:rPr>
          <w:rFonts w:cs="宋体"/>
          <w:color w:val="auto"/>
          <w:highlight w:val="none"/>
        </w:rPr>
        <w:t>：</w:t>
      </w:r>
      <w:r>
        <w:rPr>
          <w:color w:val="auto"/>
          <w:highlight w:val="none"/>
        </w:rPr>
        <w:t>0.8</w:t>
      </w:r>
      <w:r>
        <w:rPr>
          <w:rFonts w:cs="宋体"/>
          <w:color w:val="auto"/>
          <w:highlight w:val="none"/>
        </w:rPr>
        <w:t>元</w:t>
      </w:r>
      <w:r>
        <w:rPr>
          <w:color w:val="auto"/>
          <w:highlight w:val="none"/>
        </w:rPr>
        <w:t>/</w:t>
      </w:r>
      <w:r>
        <w:rPr>
          <w:rFonts w:cs="宋体"/>
          <w:color w:val="auto"/>
          <w:highlight w:val="none"/>
        </w:rPr>
        <w:t>张；</w:t>
      </w:r>
      <w:r>
        <w:rPr>
          <w:color w:val="auto"/>
          <w:highlight w:val="none"/>
        </w:rPr>
        <w:t>A4</w:t>
      </w:r>
      <w:r>
        <w:rPr>
          <w:rFonts w:cs="宋体"/>
          <w:color w:val="auto"/>
          <w:highlight w:val="none"/>
        </w:rPr>
        <w:t>：</w:t>
      </w:r>
      <w:r>
        <w:rPr>
          <w:color w:val="auto"/>
          <w:highlight w:val="none"/>
        </w:rPr>
        <w:t>0.5</w:t>
      </w:r>
      <w:r>
        <w:rPr>
          <w:rFonts w:cs="宋体"/>
          <w:color w:val="auto"/>
          <w:highlight w:val="none"/>
        </w:rPr>
        <w:t>元</w:t>
      </w:r>
      <w:r>
        <w:rPr>
          <w:color w:val="auto"/>
          <w:highlight w:val="none"/>
        </w:rPr>
        <w:t>/</w:t>
      </w:r>
      <w:r>
        <w:rPr>
          <w:rFonts w:cs="宋体"/>
          <w:color w:val="auto"/>
          <w:highlight w:val="none"/>
        </w:rPr>
        <w:t>张。非标图纸按图面大小换算成</w:t>
      </w:r>
      <w:r>
        <w:rPr>
          <w:color w:val="auto"/>
          <w:highlight w:val="none"/>
        </w:rPr>
        <w:t>A2</w:t>
      </w:r>
      <w:r>
        <w:rPr>
          <w:rFonts w:cs="宋体"/>
          <w:color w:val="auto"/>
          <w:highlight w:val="none"/>
        </w:rPr>
        <w:t>图纸数量，甲方按</w:t>
      </w:r>
      <w:r>
        <w:rPr>
          <w:color w:val="auto"/>
          <w:highlight w:val="none"/>
        </w:rPr>
        <w:t>A2</w:t>
      </w:r>
      <w:r>
        <w:rPr>
          <w:rFonts w:cs="宋体"/>
          <w:color w:val="auto"/>
          <w:highlight w:val="none"/>
        </w:rPr>
        <w:t>图纸的费用标准支付费用。</w:t>
      </w:r>
    </w:p>
    <w:p>
      <w:pPr>
        <w:pStyle w:val="10"/>
        <w:adjustRightInd w:val="0"/>
        <w:snapToGrid w:val="0"/>
        <w:spacing w:beforeAutospacing="0" w:afterAutospacing="0" w:line="360" w:lineRule="auto"/>
        <w:ind w:firstLine="480" w:firstLineChars="200"/>
        <w:rPr>
          <w:rFonts w:hint="default"/>
          <w:color w:val="auto"/>
          <w:highlight w:val="none"/>
        </w:rPr>
      </w:pPr>
    </w:p>
    <w:p>
      <w:pPr>
        <w:pStyle w:val="3"/>
        <w:keepNext w:val="0"/>
        <w:keepLines w:val="0"/>
        <w:widowControl/>
        <w:spacing w:before="0" w:after="0" w:line="360" w:lineRule="auto"/>
        <w:jc w:val="center"/>
        <w:rPr>
          <w:rFonts w:ascii="宋体" w:hAnsi="宋体" w:cs="宋体"/>
          <w:color w:val="auto"/>
          <w:sz w:val="24"/>
          <w:szCs w:val="24"/>
          <w:highlight w:val="none"/>
        </w:rPr>
      </w:pPr>
      <w:r>
        <w:rPr>
          <w:rFonts w:hint="eastAsia" w:ascii="宋体" w:hAnsi="宋体" w:cs="宋体"/>
          <w:color w:val="auto"/>
          <w:kern w:val="0"/>
          <w:highlight w:val="none"/>
        </w:rPr>
        <w:t>第十章  勘察</w:t>
      </w:r>
    </w:p>
    <w:p>
      <w:pPr>
        <w:adjustRightInd w:val="0"/>
        <w:snapToGrid w:val="0"/>
        <w:spacing w:line="360" w:lineRule="auto"/>
        <w:ind w:firstLine="482" w:firstLineChars="200"/>
        <w:outlineLvl w:val="2"/>
        <w:rPr>
          <w:rFonts w:ascii="宋体" w:hAnsi="宋体" w:cs="宋体"/>
          <w:b/>
          <w:color w:val="auto"/>
          <w:kern w:val="0"/>
          <w:sz w:val="24"/>
          <w:szCs w:val="24"/>
          <w:highlight w:val="none"/>
        </w:rPr>
      </w:pPr>
    </w:p>
    <w:p>
      <w:pPr>
        <w:adjustRightInd w:val="0"/>
        <w:snapToGrid w:val="0"/>
        <w:spacing w:line="360" w:lineRule="auto"/>
        <w:ind w:firstLine="482" w:firstLineChars="200"/>
        <w:outlineLvl w:val="2"/>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17、勘察范围</w:t>
      </w:r>
      <w:r>
        <w:rPr>
          <w:rFonts w:hint="eastAsia" w:ascii="宋体" w:hAnsi="宋体" w:cs="宋体"/>
          <w:color w:val="auto"/>
          <w:kern w:val="0"/>
          <w:sz w:val="24"/>
          <w:szCs w:val="24"/>
          <w:highlight w:val="none"/>
        </w:rPr>
        <w:t>：</w:t>
      </w:r>
    </w:p>
    <w:p>
      <w:pPr>
        <w:pStyle w:val="10"/>
        <w:adjustRightInd w:val="0"/>
        <w:snapToGrid w:val="0"/>
        <w:spacing w:beforeAutospacing="0" w:afterAutospacing="0" w:line="360" w:lineRule="auto"/>
        <w:ind w:firstLine="482" w:firstLineChars="200"/>
        <w:rPr>
          <w:rFonts w:hint="default"/>
          <w:color w:val="auto"/>
          <w:highlight w:val="none"/>
        </w:rPr>
      </w:pPr>
      <w:r>
        <w:rPr>
          <w:b/>
          <w:color w:val="auto"/>
          <w:highlight w:val="none"/>
        </w:rPr>
        <w:t>17.1</w:t>
      </w:r>
      <w:r>
        <w:rPr>
          <w:rFonts w:cs="宋体"/>
          <w:color w:val="auto"/>
          <w:highlight w:val="none"/>
        </w:rPr>
        <w:t>勘察依据：</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w:t>
      </w:r>
      <w:r>
        <w:rPr>
          <w:color w:val="auto"/>
          <w:highlight w:val="none"/>
        </w:rPr>
        <w:t>1</w:t>
      </w:r>
      <w:r>
        <w:rPr>
          <w:rFonts w:cs="宋体"/>
          <w:color w:val="auto"/>
          <w:highlight w:val="none"/>
        </w:rPr>
        <w:t>）中华人民共和国现行有关的法律、行政法规、司法解释、部门规章、相关的工程勘察技术规范、规定及标准，和广东省、广州市现行有关的地方性法规、相关的工程勘察技术规范、规定及标准；</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w:t>
      </w:r>
      <w:r>
        <w:rPr>
          <w:color w:val="auto"/>
          <w:highlight w:val="none"/>
        </w:rPr>
        <w:t>2</w:t>
      </w:r>
      <w:r>
        <w:rPr>
          <w:rFonts w:cs="宋体"/>
          <w:color w:val="auto"/>
          <w:highlight w:val="none"/>
        </w:rPr>
        <w:t>）甲方提供的勘察任务书；</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w:t>
      </w:r>
      <w:r>
        <w:rPr>
          <w:color w:val="auto"/>
          <w:highlight w:val="none"/>
        </w:rPr>
        <w:t>3</w:t>
      </w:r>
      <w:r>
        <w:rPr>
          <w:rFonts w:cs="宋体"/>
          <w:color w:val="auto"/>
          <w:highlight w:val="none"/>
        </w:rPr>
        <w:t>）本项目工程勘察许可等批文</w:t>
      </w:r>
      <w:r>
        <w:rPr>
          <w:color w:val="auto"/>
          <w:highlight w:val="none"/>
        </w:rPr>
        <w:t>(</w:t>
      </w:r>
      <w:r>
        <w:rPr>
          <w:rFonts w:cs="宋体"/>
          <w:color w:val="auto"/>
          <w:highlight w:val="none"/>
        </w:rPr>
        <w:t>复印件</w:t>
      </w:r>
      <w:r>
        <w:rPr>
          <w:color w:val="auto"/>
          <w:highlight w:val="none"/>
        </w:rPr>
        <w:t>)</w:t>
      </w:r>
      <w:r>
        <w:rPr>
          <w:rFonts w:cs="宋体"/>
          <w:color w:val="auto"/>
          <w:highlight w:val="none"/>
        </w:rPr>
        <w:t>；</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w:t>
      </w:r>
      <w:r>
        <w:rPr>
          <w:color w:val="auto"/>
          <w:highlight w:val="none"/>
        </w:rPr>
        <w:t>4</w:t>
      </w:r>
      <w:r>
        <w:rPr>
          <w:rFonts w:cs="宋体"/>
          <w:color w:val="auto"/>
          <w:highlight w:val="none"/>
        </w:rPr>
        <w:t>）甲方提供由规划部门认可的用地红线和地形图；</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w:t>
      </w:r>
      <w:r>
        <w:rPr>
          <w:color w:val="auto"/>
          <w:highlight w:val="none"/>
        </w:rPr>
        <w:t>5</w:t>
      </w:r>
      <w:r>
        <w:rPr>
          <w:rFonts w:cs="宋体"/>
          <w:color w:val="auto"/>
          <w:highlight w:val="none"/>
        </w:rPr>
        <w:t>）本合同工程的基础资料，包括用地红线坐标</w:t>
      </w:r>
      <w:r>
        <w:rPr>
          <w:color w:val="auto"/>
          <w:highlight w:val="none"/>
        </w:rPr>
        <w:t>(</w:t>
      </w:r>
      <w:r>
        <w:rPr>
          <w:rFonts w:cs="宋体"/>
          <w:color w:val="auto"/>
          <w:highlight w:val="none"/>
        </w:rPr>
        <w:t>表</w:t>
      </w:r>
      <w:r>
        <w:rPr>
          <w:color w:val="auto"/>
          <w:highlight w:val="none"/>
        </w:rPr>
        <w:t>)</w:t>
      </w:r>
      <w:r>
        <w:rPr>
          <w:rFonts w:cs="宋体"/>
          <w:color w:val="auto"/>
          <w:highlight w:val="none"/>
        </w:rPr>
        <w:t>、现状地形图、场地标高、市政设施图的资料（绿化、道路、管线、建构筑物等）、勘察工作范围内地下管线图</w:t>
      </w:r>
      <w:r>
        <w:rPr>
          <w:color w:val="auto"/>
          <w:highlight w:val="none"/>
        </w:rPr>
        <w:t xml:space="preserve"> (</w:t>
      </w:r>
      <w:r>
        <w:rPr>
          <w:rFonts w:cs="宋体"/>
          <w:color w:val="auto"/>
          <w:highlight w:val="none"/>
        </w:rPr>
        <w:t>包括电力、电讯电缆、煤气、自来水、污水等各种管道</w:t>
      </w:r>
      <w:r>
        <w:rPr>
          <w:color w:val="auto"/>
          <w:highlight w:val="none"/>
        </w:rPr>
        <w:t>)</w:t>
      </w:r>
      <w:r>
        <w:rPr>
          <w:rFonts w:cs="宋体"/>
          <w:color w:val="auto"/>
          <w:highlight w:val="none"/>
        </w:rPr>
        <w:t>以及人防设施、洞室等具体位置分布图；</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w:t>
      </w:r>
      <w:r>
        <w:rPr>
          <w:color w:val="auto"/>
          <w:highlight w:val="none"/>
        </w:rPr>
        <w:t>6</w:t>
      </w:r>
      <w:r>
        <w:rPr>
          <w:rFonts w:cs="宋体"/>
          <w:color w:val="auto"/>
          <w:highlight w:val="none"/>
        </w:rPr>
        <w:t>）勘察范围的建筑总平面布置图、勘察技术要求、技术资料；</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w:t>
      </w:r>
      <w:r>
        <w:rPr>
          <w:color w:val="auto"/>
          <w:highlight w:val="none"/>
        </w:rPr>
        <w:t>7</w:t>
      </w:r>
      <w:r>
        <w:rPr>
          <w:rFonts w:cs="宋体"/>
          <w:color w:val="auto"/>
          <w:highlight w:val="none"/>
        </w:rPr>
        <w:t>）甲方关于设计、图档、图文、工程等相关管理办法，具体见本合同附件；</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w:t>
      </w:r>
      <w:r>
        <w:rPr>
          <w:color w:val="auto"/>
          <w:highlight w:val="none"/>
        </w:rPr>
        <w:t>8</w:t>
      </w:r>
      <w:r>
        <w:rPr>
          <w:rFonts w:cs="宋体"/>
          <w:color w:val="auto"/>
          <w:highlight w:val="none"/>
        </w:rPr>
        <w:t>）甲乙双方签署的合同及其附件和补充文件；</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w:t>
      </w:r>
      <w:r>
        <w:rPr>
          <w:color w:val="auto"/>
          <w:highlight w:val="none"/>
        </w:rPr>
        <w:t>9</w:t>
      </w:r>
      <w:r>
        <w:rPr>
          <w:rFonts w:cs="宋体"/>
          <w:color w:val="auto"/>
          <w:highlight w:val="none"/>
        </w:rPr>
        <w:t>）设计和建设过程中的政府审批意见，政府或甲方委托或组织的评审机构（会议）提出的或甲方发出的阶段性书面意见，双方来往的各类书面文件、会议纪要等；</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w:t>
      </w:r>
      <w:r>
        <w:rPr>
          <w:color w:val="auto"/>
          <w:highlight w:val="none"/>
        </w:rPr>
        <w:t>10</w:t>
      </w:r>
      <w:r>
        <w:rPr>
          <w:rFonts w:cs="宋体"/>
          <w:color w:val="auto"/>
          <w:highlight w:val="none"/>
        </w:rPr>
        <w:t>）中标通知书或甲方的勘察任务委托书。</w:t>
      </w:r>
    </w:p>
    <w:p>
      <w:pPr>
        <w:adjustRightInd w:val="0"/>
        <w:snapToGrid w:val="0"/>
        <w:spacing w:line="360" w:lineRule="auto"/>
        <w:ind w:firstLine="472" w:firstLineChars="196"/>
        <w:rPr>
          <w:rFonts w:ascii="宋体" w:hAnsi="宋体" w:cs="宋体"/>
          <w:color w:val="auto"/>
          <w:kern w:val="0"/>
          <w:sz w:val="24"/>
          <w:szCs w:val="24"/>
          <w:highlight w:val="none"/>
          <w:u w:val="single"/>
        </w:rPr>
      </w:pPr>
      <w:r>
        <w:rPr>
          <w:rFonts w:hint="eastAsia" w:ascii="宋体" w:hAnsi="宋体" w:cs="宋体"/>
          <w:b/>
          <w:color w:val="auto"/>
          <w:kern w:val="0"/>
          <w:sz w:val="24"/>
          <w:szCs w:val="24"/>
          <w:highlight w:val="none"/>
        </w:rPr>
        <w:t>17.2</w:t>
      </w:r>
      <w:r>
        <w:rPr>
          <w:rFonts w:hint="eastAsia" w:ascii="宋体" w:hAnsi="宋体" w:cs="宋体"/>
          <w:color w:val="auto"/>
          <w:kern w:val="0"/>
          <w:sz w:val="24"/>
          <w:szCs w:val="24"/>
          <w:highlight w:val="none"/>
        </w:rPr>
        <w:t>岩土工程勘察的任务（内容）与技术要求：详见</w:t>
      </w:r>
      <w:r>
        <w:rPr>
          <w:rFonts w:ascii="宋体" w:hAnsi="宋体" w:cs="宋体"/>
          <w:color w:val="auto"/>
          <w:kern w:val="0"/>
          <w:sz w:val="24"/>
          <w:szCs w:val="24"/>
          <w:highlight w:val="none"/>
        </w:rPr>
        <w:t>基础资料和勘察设计任务书</w:t>
      </w:r>
      <w:r>
        <w:rPr>
          <w:rFonts w:hint="eastAsia" w:ascii="宋体" w:hAnsi="宋体" w:cs="宋体"/>
          <w:color w:val="auto"/>
          <w:kern w:val="0"/>
          <w:sz w:val="24"/>
          <w:szCs w:val="24"/>
          <w:highlight w:val="none"/>
        </w:rPr>
        <w:t>。</w:t>
      </w:r>
    </w:p>
    <w:p>
      <w:pPr>
        <w:adjustRightInd w:val="0"/>
        <w:snapToGrid w:val="0"/>
        <w:spacing w:line="360" w:lineRule="auto"/>
        <w:ind w:firstLine="472" w:firstLineChars="196"/>
        <w:rPr>
          <w:rFonts w:ascii="宋体" w:hAnsi="宋体" w:cs="宋体"/>
          <w:color w:val="auto"/>
          <w:kern w:val="0"/>
          <w:sz w:val="24"/>
          <w:szCs w:val="24"/>
          <w:highlight w:val="none"/>
          <w:u w:val="single"/>
        </w:rPr>
      </w:pPr>
      <w:r>
        <w:rPr>
          <w:rFonts w:hint="eastAsia" w:ascii="宋体" w:hAnsi="宋体" w:cs="宋体"/>
          <w:b/>
          <w:color w:val="auto"/>
          <w:kern w:val="0"/>
          <w:sz w:val="24"/>
          <w:szCs w:val="24"/>
          <w:highlight w:val="none"/>
        </w:rPr>
        <w:t>17.3</w:t>
      </w:r>
      <w:r>
        <w:rPr>
          <w:rFonts w:hint="eastAsia" w:ascii="宋体" w:hAnsi="宋体" w:cs="宋体"/>
          <w:color w:val="auto"/>
          <w:kern w:val="0"/>
          <w:sz w:val="24"/>
          <w:szCs w:val="24"/>
          <w:highlight w:val="none"/>
        </w:rPr>
        <w:t>室内试验的任务（内容）与技术要求：详见</w:t>
      </w:r>
      <w:r>
        <w:rPr>
          <w:rFonts w:ascii="宋体" w:hAnsi="宋体" w:cs="宋体"/>
          <w:color w:val="auto"/>
          <w:kern w:val="0"/>
          <w:sz w:val="24"/>
          <w:szCs w:val="24"/>
          <w:highlight w:val="none"/>
        </w:rPr>
        <w:t>基础资料和勘察设计任务书</w:t>
      </w:r>
      <w:r>
        <w:rPr>
          <w:rFonts w:hint="eastAsia" w:ascii="宋体" w:hAnsi="宋体" w:cs="宋体"/>
          <w:color w:val="auto"/>
          <w:kern w:val="0"/>
          <w:sz w:val="24"/>
          <w:szCs w:val="24"/>
          <w:highlight w:val="none"/>
        </w:rPr>
        <w:t>。</w:t>
      </w:r>
    </w:p>
    <w:p>
      <w:pPr>
        <w:adjustRightInd w:val="0"/>
        <w:snapToGrid w:val="0"/>
        <w:spacing w:line="360" w:lineRule="auto"/>
        <w:ind w:firstLine="472" w:firstLineChars="196"/>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17.4</w:t>
      </w:r>
      <w:r>
        <w:rPr>
          <w:rFonts w:hint="eastAsia" w:ascii="宋体" w:hAnsi="宋体" w:cs="宋体"/>
          <w:color w:val="auto"/>
          <w:kern w:val="0"/>
          <w:sz w:val="24"/>
          <w:szCs w:val="24"/>
          <w:highlight w:val="none"/>
        </w:rPr>
        <w:t xml:space="preserve"> 工程测量的任务与技术要求：详见</w:t>
      </w:r>
      <w:r>
        <w:rPr>
          <w:rFonts w:ascii="宋体" w:hAnsi="宋体" w:cs="宋体"/>
          <w:color w:val="auto"/>
          <w:kern w:val="0"/>
          <w:sz w:val="24"/>
          <w:szCs w:val="24"/>
          <w:highlight w:val="none"/>
        </w:rPr>
        <w:t>基础资料和勘察设计任务书</w:t>
      </w:r>
      <w:r>
        <w:rPr>
          <w:rFonts w:hint="eastAsia" w:ascii="宋体" w:hAnsi="宋体" w:cs="宋体"/>
          <w:color w:val="auto"/>
          <w:kern w:val="0"/>
          <w:sz w:val="24"/>
          <w:szCs w:val="24"/>
          <w:highlight w:val="none"/>
        </w:rPr>
        <w:t>。</w:t>
      </w:r>
    </w:p>
    <w:p>
      <w:pPr>
        <w:pStyle w:val="10"/>
        <w:adjustRightInd w:val="0"/>
        <w:snapToGrid w:val="0"/>
        <w:spacing w:beforeAutospacing="0" w:afterAutospacing="0" w:line="360" w:lineRule="auto"/>
        <w:ind w:firstLine="482" w:firstLineChars="200"/>
        <w:rPr>
          <w:rFonts w:hint="default"/>
          <w:b/>
          <w:color w:val="auto"/>
          <w:highlight w:val="none"/>
        </w:rPr>
      </w:pPr>
      <w:r>
        <w:rPr>
          <w:b/>
          <w:color w:val="auto"/>
          <w:highlight w:val="none"/>
        </w:rPr>
        <w:t>17.5</w:t>
      </w:r>
      <w:r>
        <w:rPr>
          <w:rFonts w:cs="宋体"/>
          <w:color w:val="auto"/>
          <w:highlight w:val="none"/>
        </w:rPr>
        <w:t>其他：详见</w:t>
      </w:r>
      <w:r>
        <w:rPr>
          <w:rFonts w:hint="default" w:cs="宋体"/>
          <w:color w:val="auto"/>
          <w:highlight w:val="none"/>
        </w:rPr>
        <w:t>基础资料和勘察设计任务书</w:t>
      </w:r>
      <w:r>
        <w:rPr>
          <w:rFonts w:cs="宋体"/>
          <w:color w:val="auto"/>
          <w:highlight w:val="none"/>
        </w:rPr>
        <w:t>。</w:t>
      </w:r>
    </w:p>
    <w:p>
      <w:pPr>
        <w:adjustRightInd w:val="0"/>
        <w:snapToGrid w:val="0"/>
        <w:spacing w:line="360" w:lineRule="auto"/>
        <w:ind w:firstLine="482" w:firstLineChars="200"/>
        <w:outlineLvl w:val="2"/>
        <w:rPr>
          <w:rFonts w:ascii="宋体" w:hAnsi="宋体" w:cs="宋体"/>
          <w:b/>
          <w:color w:val="auto"/>
          <w:kern w:val="0"/>
          <w:sz w:val="24"/>
          <w:szCs w:val="24"/>
          <w:highlight w:val="none"/>
        </w:rPr>
      </w:pPr>
    </w:p>
    <w:p>
      <w:pPr>
        <w:adjustRightInd w:val="0"/>
        <w:snapToGrid w:val="0"/>
        <w:spacing w:line="360" w:lineRule="auto"/>
        <w:ind w:firstLine="482" w:firstLineChars="200"/>
        <w:outlineLvl w:val="2"/>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18、勘察服务</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18.1</w:t>
      </w:r>
      <w:r>
        <w:rPr>
          <w:rFonts w:hint="eastAsia" w:ascii="宋体" w:hAnsi="宋体" w:cs="宋体"/>
          <w:color w:val="auto"/>
          <w:kern w:val="0"/>
          <w:sz w:val="24"/>
          <w:szCs w:val="24"/>
          <w:highlight w:val="none"/>
        </w:rPr>
        <w:t>乙方应参加有关基础选型、施工方案等各种技术协调会并提供相关的技术支持配合，对地基基础方案做出论证及分析；天然地基方案应明确给出持力层和基础埋深的建议，并进行承载力、沉降分析和演算；桩基础方案应提出桩型、桩端持力层、桩端土承力和桩周摩阻力、入岩桩的桩端岩石饱和单轴抗压强度标准值，并对单桩承载力及沉桩可能性进行分析和提出建议。相关方案、分析及建议应符合国家现行岩土工程勘察规范的相关规定。当遇到软弱下卧层等不良地质条件时应相应增加钻孔数量。</w:t>
      </w:r>
    </w:p>
    <w:p>
      <w:pPr>
        <w:pStyle w:val="10"/>
        <w:adjustRightInd w:val="0"/>
        <w:snapToGrid w:val="0"/>
        <w:spacing w:beforeAutospacing="0" w:afterAutospacing="0" w:line="360" w:lineRule="auto"/>
        <w:ind w:firstLine="482" w:firstLineChars="200"/>
        <w:rPr>
          <w:rFonts w:hint="default"/>
          <w:color w:val="auto"/>
          <w:highlight w:val="none"/>
        </w:rPr>
      </w:pPr>
      <w:r>
        <w:rPr>
          <w:b/>
          <w:color w:val="auto"/>
          <w:highlight w:val="none"/>
        </w:rPr>
        <w:t>18.2</w:t>
      </w:r>
      <w:r>
        <w:rPr>
          <w:rFonts w:cs="宋体"/>
          <w:color w:val="auto"/>
          <w:highlight w:val="none"/>
        </w:rPr>
        <w:t>乙方应到基础验槽、桩基础持力层岩性鉴定等施工现场进行配合服务。</w:t>
      </w:r>
    </w:p>
    <w:p>
      <w:pPr>
        <w:pStyle w:val="10"/>
        <w:adjustRightInd w:val="0"/>
        <w:snapToGrid w:val="0"/>
        <w:spacing w:beforeAutospacing="0" w:afterAutospacing="0" w:line="360" w:lineRule="auto"/>
        <w:ind w:firstLine="482" w:firstLineChars="200"/>
        <w:rPr>
          <w:rFonts w:hint="default"/>
          <w:color w:val="auto"/>
          <w:highlight w:val="none"/>
        </w:rPr>
      </w:pPr>
      <w:r>
        <w:rPr>
          <w:b/>
          <w:color w:val="auto"/>
          <w:highlight w:val="none"/>
        </w:rPr>
        <w:t>18.3</w:t>
      </w:r>
      <w:r>
        <w:rPr>
          <w:rFonts w:cs="宋体"/>
          <w:color w:val="auto"/>
          <w:highlight w:val="none"/>
        </w:rPr>
        <w:t>乙方应参加施工图图纸会审、技术问题汇总与回复、各种技术协调会。</w:t>
      </w:r>
    </w:p>
    <w:p>
      <w:pPr>
        <w:pStyle w:val="10"/>
        <w:adjustRightInd w:val="0"/>
        <w:snapToGrid w:val="0"/>
        <w:spacing w:beforeAutospacing="0" w:afterAutospacing="0" w:line="360" w:lineRule="auto"/>
        <w:ind w:firstLine="482" w:firstLineChars="200"/>
        <w:rPr>
          <w:rFonts w:hint="default"/>
          <w:color w:val="auto"/>
          <w:highlight w:val="none"/>
        </w:rPr>
      </w:pPr>
      <w:r>
        <w:rPr>
          <w:b/>
          <w:color w:val="auto"/>
          <w:highlight w:val="none"/>
        </w:rPr>
        <w:t>18.4</w:t>
      </w:r>
      <w:r>
        <w:rPr>
          <w:rFonts w:cs="宋体"/>
          <w:color w:val="auto"/>
          <w:highlight w:val="none"/>
        </w:rPr>
        <w:t>乙方应参加基础工程验收。</w:t>
      </w:r>
    </w:p>
    <w:p>
      <w:pPr>
        <w:rPr>
          <w:rFonts w:ascii="宋体" w:hAnsi="宋体" w:cs="宋体"/>
          <w:color w:val="auto"/>
          <w:szCs w:val="21"/>
          <w:highlight w:val="none"/>
        </w:rPr>
      </w:pPr>
    </w:p>
    <w:p>
      <w:pPr>
        <w:adjustRightInd w:val="0"/>
        <w:snapToGrid w:val="0"/>
        <w:spacing w:line="360" w:lineRule="auto"/>
        <w:ind w:firstLine="482" w:firstLineChars="200"/>
        <w:outlineLvl w:val="2"/>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19、勘察人员</w:t>
      </w:r>
    </w:p>
    <w:p>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19.1</w:t>
      </w:r>
      <w:r>
        <w:rPr>
          <w:rFonts w:hint="eastAsia" w:ascii="宋体" w:hAnsi="宋体" w:cs="宋体"/>
          <w:color w:val="auto"/>
          <w:kern w:val="0"/>
          <w:sz w:val="24"/>
          <w:szCs w:val="24"/>
          <w:highlight w:val="none"/>
        </w:rPr>
        <w:t>为确保本合同工程的勘察设计质量，在本合同履行期内，在明确分工各负其责的基础上，乙方为本合同工程派出的勘察专业负责人、勘察驻场服务人员的职务、资历、资格须满足招标文件</w:t>
      </w:r>
      <w:r>
        <w:rPr>
          <w:rFonts w:hint="default" w:ascii="宋体" w:hAnsi="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bidi="ar"/>
        </w:rPr>
        <w:t>勘察设计任务书</w:t>
      </w:r>
      <w:r>
        <w:rPr>
          <w:rFonts w:hint="eastAsia" w:ascii="宋体" w:hAnsi="宋体" w:cs="宋体"/>
          <w:color w:val="auto"/>
          <w:kern w:val="0"/>
          <w:sz w:val="24"/>
          <w:szCs w:val="24"/>
          <w:highlight w:val="none"/>
        </w:rPr>
        <w:t>及本合同约定。</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19.2</w:t>
      </w:r>
      <w:r>
        <w:rPr>
          <w:rFonts w:hint="eastAsia" w:ascii="宋体" w:hAnsi="宋体" w:cs="宋体"/>
          <w:color w:val="auto"/>
          <w:kern w:val="0"/>
          <w:sz w:val="24"/>
          <w:szCs w:val="24"/>
          <w:highlight w:val="none"/>
        </w:rPr>
        <w:t>勘察单位应根据勘察任务建立项目组，从组织上保证投入的人力、物力能满足勘察开展的需要，保证不同勘察时段勘察工作的连续性和外部条件接口衔接的连贯性。</w:t>
      </w:r>
    </w:p>
    <w:p>
      <w:pPr>
        <w:adjustRightInd w:val="0"/>
        <w:snapToGrid w:val="0"/>
        <w:spacing w:line="360" w:lineRule="auto"/>
        <w:ind w:firstLine="48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19.3</w:t>
      </w:r>
      <w:r>
        <w:rPr>
          <w:rFonts w:hint="eastAsia" w:ascii="宋体" w:hAnsi="宋体" w:cs="宋体"/>
          <w:color w:val="auto"/>
          <w:kern w:val="0"/>
          <w:sz w:val="24"/>
          <w:szCs w:val="24"/>
          <w:highlight w:val="none"/>
        </w:rPr>
        <w:t>乙方如为境外机构，应自行配备提供专业翻译一名。</w:t>
      </w:r>
    </w:p>
    <w:p>
      <w:pPr>
        <w:adjustRightInd w:val="0"/>
        <w:snapToGrid w:val="0"/>
        <w:spacing w:line="360" w:lineRule="auto"/>
        <w:ind w:firstLine="48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19.4</w:t>
      </w:r>
      <w:r>
        <w:rPr>
          <w:rFonts w:hint="eastAsia" w:ascii="宋体" w:hAnsi="宋体" w:cs="宋体"/>
          <w:color w:val="auto"/>
          <w:kern w:val="0"/>
          <w:sz w:val="24"/>
          <w:szCs w:val="24"/>
          <w:highlight w:val="none"/>
        </w:rPr>
        <w:t>乙方承诺投入负责具体勘察工作的人员（合同附件</w:t>
      </w: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），在履行本合同履行期间，非经过甲方同意，不得更换或再参与本合同项目以外的其他工作。</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19.5</w:t>
      </w:r>
      <w:r>
        <w:rPr>
          <w:rFonts w:hint="eastAsia" w:ascii="宋体" w:hAnsi="宋体" w:cs="宋体"/>
          <w:color w:val="auto"/>
          <w:kern w:val="0"/>
          <w:sz w:val="24"/>
          <w:szCs w:val="24"/>
          <w:highlight w:val="none"/>
        </w:rPr>
        <w:t>甲方认为乙方派出的勘察专业负责人、驻场勘察代表不称职时，有权向乙方发出书面更换人员通知，乙方应当在收到甲方的书面通知后5天内更换，更换人员的职务、资历、资格不得低于本合同相应条款的要求，且更换人员须先经过甲方确认。若乙方对甲方要求更换人员有异议时，可申请复议一次，若经复议后甲方仍然要求更换，则乙方应无条件进行更换，否则视乙方该人员从甲方发出更换通知的时间开始擅自离岗。</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19.6</w:t>
      </w:r>
      <w:r>
        <w:rPr>
          <w:rFonts w:hint="eastAsia" w:ascii="宋体" w:hAnsi="宋体" w:cs="宋体"/>
          <w:color w:val="auto"/>
          <w:kern w:val="0"/>
          <w:sz w:val="24"/>
          <w:szCs w:val="24"/>
          <w:highlight w:val="none"/>
        </w:rPr>
        <w:t>当甲方认为乙方及其分包单位的勘察人员数量、专业水平、专业配套等达不到勘察及勘察服务所需时，甲方有权要求乙方更换及补充勘察人员，直至满足勘察及勘察服务工作要求为止；否则，甲方有权扣减勘察费直至解除合同等。</w:t>
      </w:r>
    </w:p>
    <w:p>
      <w:pPr>
        <w:adjustRightInd w:val="0"/>
        <w:snapToGrid w:val="0"/>
        <w:spacing w:line="360" w:lineRule="auto"/>
        <w:ind w:right="11" w:firstLine="480" w:firstLineChars="200"/>
        <w:rPr>
          <w:rFonts w:ascii="宋体" w:hAnsi="宋体" w:cs="宋体"/>
          <w:color w:val="auto"/>
          <w:kern w:val="0"/>
          <w:sz w:val="24"/>
          <w:szCs w:val="24"/>
          <w:highlight w:val="none"/>
          <w:u w:val="single"/>
        </w:rPr>
      </w:pPr>
    </w:p>
    <w:p>
      <w:pPr>
        <w:adjustRightInd w:val="0"/>
        <w:snapToGrid w:val="0"/>
        <w:spacing w:line="360" w:lineRule="auto"/>
        <w:ind w:firstLine="482" w:firstLineChars="200"/>
        <w:outlineLvl w:val="2"/>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20、勘察成果文件的提交</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20.1</w:t>
      </w:r>
      <w:r>
        <w:rPr>
          <w:rFonts w:hint="eastAsia" w:ascii="宋体" w:hAnsi="宋体" w:cs="宋体"/>
          <w:color w:val="auto"/>
          <w:kern w:val="0"/>
          <w:sz w:val="24"/>
          <w:szCs w:val="24"/>
          <w:highlight w:val="none"/>
        </w:rPr>
        <w:t>乙方负责向甲方提交</w:t>
      </w:r>
      <w:r>
        <w:rPr>
          <w:rFonts w:hint="eastAsia" w:ascii="宋体" w:hAnsi="宋体" w:cs="宋体"/>
          <w:b/>
          <w:color w:val="auto"/>
          <w:sz w:val="24"/>
          <w:szCs w:val="24"/>
          <w:highlight w:val="none"/>
        </w:rPr>
        <w:t>初步勘察成果文件10套、详细勘察成果文件20套及电子文档各2份</w:t>
      </w:r>
      <w:r>
        <w:rPr>
          <w:rFonts w:hint="eastAsia" w:ascii="宋体" w:hAnsi="宋体" w:cs="宋体"/>
          <w:color w:val="auto"/>
          <w:kern w:val="0"/>
          <w:sz w:val="24"/>
          <w:szCs w:val="24"/>
          <w:highlight w:val="none"/>
        </w:rPr>
        <w:t>；如甲方要求乙方提供的勘察成果文件超过合同约定套数的，乙方可按每套300元的标准另行收取工本费。</w:t>
      </w:r>
    </w:p>
    <w:p>
      <w:pPr>
        <w:pStyle w:val="10"/>
        <w:adjustRightInd w:val="0"/>
        <w:snapToGrid w:val="0"/>
        <w:spacing w:beforeAutospacing="0" w:afterAutospacing="0" w:line="360" w:lineRule="auto"/>
        <w:ind w:firstLine="482" w:firstLineChars="200"/>
        <w:rPr>
          <w:rFonts w:hint="default"/>
          <w:color w:val="auto"/>
          <w:highlight w:val="none"/>
        </w:rPr>
      </w:pPr>
      <w:r>
        <w:rPr>
          <w:b/>
          <w:color w:val="auto"/>
          <w:highlight w:val="none"/>
        </w:rPr>
        <w:t>20.2</w:t>
      </w:r>
      <w:r>
        <w:rPr>
          <w:rFonts w:cs="宋体"/>
          <w:color w:val="auto"/>
          <w:highlight w:val="none"/>
        </w:rPr>
        <w:t>乙方提交的勘察成果文件时间按甲方要求；相关勘察成果文件的质量须一次性通过甲方或甲方委托的第三方根据合同约定标准进行的审核。</w:t>
      </w:r>
    </w:p>
    <w:p>
      <w:pPr>
        <w:pStyle w:val="10"/>
        <w:adjustRightInd w:val="0"/>
        <w:snapToGrid w:val="0"/>
        <w:spacing w:beforeAutospacing="0" w:afterAutospacing="0" w:line="360" w:lineRule="auto"/>
        <w:ind w:firstLine="482" w:firstLineChars="200"/>
        <w:rPr>
          <w:rFonts w:hint="default"/>
          <w:color w:val="auto"/>
          <w:highlight w:val="none"/>
        </w:rPr>
      </w:pPr>
      <w:r>
        <w:rPr>
          <w:b/>
          <w:color w:val="auto"/>
          <w:highlight w:val="none"/>
        </w:rPr>
        <w:t>20.3</w:t>
      </w:r>
      <w:r>
        <w:rPr>
          <w:rFonts w:cs="宋体"/>
          <w:color w:val="auto"/>
          <w:highlight w:val="none"/>
        </w:rPr>
        <w:t>乙方必须按照甲方的要求及时提交勘察中间资料，以满足甲方开展有关工作的需要，相关费用已包含在本合同约定的勘察费中。</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20.4</w:t>
      </w:r>
      <w:r>
        <w:rPr>
          <w:rFonts w:hint="eastAsia" w:ascii="宋体" w:hAnsi="宋体" w:cs="宋体"/>
          <w:color w:val="auto"/>
          <w:kern w:val="0"/>
          <w:sz w:val="24"/>
          <w:szCs w:val="24"/>
          <w:highlight w:val="none"/>
        </w:rPr>
        <w:t>乙方勘察成果文件的提交时间以符合合同约定质量的勘察成果文件的提交时间为准。</w:t>
      </w:r>
    </w:p>
    <w:p>
      <w:pPr>
        <w:pStyle w:val="10"/>
        <w:adjustRightInd w:val="0"/>
        <w:snapToGrid w:val="0"/>
        <w:spacing w:beforeAutospacing="0" w:afterAutospacing="0" w:line="360" w:lineRule="auto"/>
        <w:ind w:firstLine="482" w:firstLineChars="200"/>
        <w:rPr>
          <w:rFonts w:hint="default"/>
          <w:color w:val="auto"/>
          <w:highlight w:val="none"/>
        </w:rPr>
      </w:pPr>
      <w:r>
        <w:rPr>
          <w:b/>
          <w:color w:val="auto"/>
          <w:highlight w:val="none"/>
        </w:rPr>
        <w:t>20.5</w:t>
      </w:r>
      <w:r>
        <w:rPr>
          <w:rFonts w:cs="宋体"/>
          <w:color w:val="auto"/>
          <w:highlight w:val="none"/>
        </w:rPr>
        <w:t>乙方应在项目竣工阶段提交《勘察文件质量检查报告》一式十份。</w:t>
      </w:r>
    </w:p>
    <w:p>
      <w:pPr>
        <w:adjustRightInd w:val="0"/>
        <w:snapToGrid w:val="0"/>
        <w:spacing w:line="360" w:lineRule="auto"/>
        <w:rPr>
          <w:rFonts w:ascii="宋体" w:hAnsi="宋体" w:cs="宋体"/>
          <w:color w:val="auto"/>
          <w:kern w:val="0"/>
          <w:sz w:val="24"/>
          <w:szCs w:val="24"/>
          <w:highlight w:val="none"/>
          <w:u w:val="words"/>
        </w:rPr>
      </w:pPr>
    </w:p>
    <w:p>
      <w:pPr>
        <w:adjustRightInd w:val="0"/>
        <w:snapToGrid w:val="0"/>
        <w:spacing w:line="360" w:lineRule="auto"/>
        <w:ind w:firstLine="482" w:firstLineChars="200"/>
        <w:outlineLvl w:val="2"/>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21、勘察的质量要求</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21.1</w:t>
      </w:r>
      <w:r>
        <w:rPr>
          <w:rFonts w:hint="eastAsia" w:ascii="宋体" w:hAnsi="宋体" w:cs="宋体"/>
          <w:color w:val="auto"/>
          <w:kern w:val="0"/>
          <w:sz w:val="24"/>
          <w:szCs w:val="24"/>
          <w:highlight w:val="none"/>
        </w:rPr>
        <w:t>乙方在开展勘察工作前，应向甲方提交勘察工作纲要，并按经过甲方审核批准的工作纲要实施开展勘察工作。勘察过程中，根据工程的岩土工程条件（或工作现场地形地貌、地质和水文地质条件）及技术规范要求，向甲方提出增减工作量或修改勘察工作的意见，并办理正式变更手续。</w:t>
      </w:r>
    </w:p>
    <w:p>
      <w:pPr>
        <w:adjustRightInd w:val="0"/>
        <w:snapToGrid w:val="0"/>
        <w:spacing w:line="360" w:lineRule="auto"/>
        <w:ind w:right="11"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21.2</w:t>
      </w:r>
      <w:r>
        <w:rPr>
          <w:rFonts w:hint="eastAsia" w:ascii="宋体" w:hAnsi="宋体" w:cs="宋体"/>
          <w:color w:val="auto"/>
          <w:kern w:val="0"/>
          <w:sz w:val="24"/>
          <w:szCs w:val="24"/>
          <w:highlight w:val="none"/>
        </w:rPr>
        <w:t>乙方应按国家技术规范、标准、规程和本合同约定的勘察范围及技术要求实施勘察工作，按本合同约定的时间提交质量合格的勘察成果文件并对其负责。</w:t>
      </w:r>
    </w:p>
    <w:p>
      <w:pPr>
        <w:adjustRightInd w:val="0"/>
        <w:snapToGrid w:val="0"/>
        <w:spacing w:line="360" w:lineRule="auto"/>
        <w:ind w:firstLine="479" w:firstLineChars="199"/>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21.3</w:t>
      </w:r>
      <w:r>
        <w:rPr>
          <w:rFonts w:hint="eastAsia" w:ascii="宋体" w:hAnsi="宋体" w:cs="宋体"/>
          <w:color w:val="auto"/>
          <w:kern w:val="0"/>
          <w:sz w:val="24"/>
          <w:szCs w:val="24"/>
          <w:highlight w:val="none"/>
        </w:rPr>
        <w:t>乙方应在勘察成果文件中明确列出本合同工程勘察涉及到的详细的勘察规范、规定及标准（名称、编号与版本）。</w:t>
      </w:r>
    </w:p>
    <w:p>
      <w:pPr>
        <w:adjustRightInd w:val="0"/>
        <w:snapToGrid w:val="0"/>
        <w:spacing w:line="360" w:lineRule="auto"/>
        <w:ind w:right="11"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21.4</w:t>
      </w:r>
      <w:r>
        <w:rPr>
          <w:rFonts w:hint="eastAsia" w:ascii="宋体" w:hAnsi="宋体" w:cs="宋体"/>
          <w:color w:val="auto"/>
          <w:sz w:val="24"/>
          <w:szCs w:val="24"/>
          <w:highlight w:val="none"/>
        </w:rPr>
        <w:t>乙方编制的勘察方案及勘察成果文件（含实际完成的勘察工程量）须经甲方或甲方委托的第三方旁站监督单位审核确认后，再交由施工图审查单位负责审核，并以经审核后的文件作为结算依据，对于超过设计要求的勘察深度的工作量不计算；乙方应确保其提交的勘察成果文件是完整、准确及有效的，且能通过施工图审查单位依据相关规范、规定进行的审核。</w:t>
      </w:r>
    </w:p>
    <w:p>
      <w:pPr>
        <w:adjustRightInd w:val="0"/>
        <w:snapToGrid w:val="0"/>
        <w:spacing w:line="360" w:lineRule="auto"/>
        <w:ind w:right="11"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21.5</w:t>
      </w:r>
      <w:r>
        <w:rPr>
          <w:rFonts w:hint="eastAsia" w:ascii="宋体" w:hAnsi="宋体" w:cs="宋体"/>
          <w:color w:val="auto"/>
          <w:kern w:val="0"/>
          <w:sz w:val="24"/>
          <w:szCs w:val="24"/>
          <w:highlight w:val="none"/>
        </w:rPr>
        <w:t>乙方提交的勘察成果必须经过实地勘察获得，不得采用推断或借鉴，禁止虚假；乙方提交的勘察成果经甲方或甲方委托的第三方确认未达到本合同约定的质量要求时，乙方应负责无偿给予补充完善使其达到合同要求；若乙方无力补充完善，需另委托其他单位时，乙方应承担由此产生的全部费用（含勘察费用）。</w:t>
      </w:r>
    </w:p>
    <w:p>
      <w:pPr>
        <w:adjustRightInd w:val="0"/>
        <w:snapToGrid w:val="0"/>
        <w:spacing w:line="360" w:lineRule="auto"/>
        <w:ind w:right="11" w:firstLine="480" w:firstLineChars="200"/>
        <w:rPr>
          <w:rFonts w:ascii="宋体" w:hAnsi="宋体" w:cs="宋体"/>
          <w:b/>
          <w:color w:val="auto"/>
          <w:kern w:val="0"/>
          <w:sz w:val="24"/>
          <w:szCs w:val="24"/>
          <w:highlight w:val="none"/>
        </w:rPr>
      </w:pPr>
      <w:r>
        <w:rPr>
          <w:rFonts w:ascii="宋体" w:hAnsi="宋体" w:cs="宋体"/>
          <w:color w:val="auto"/>
          <w:kern w:val="0"/>
          <w:sz w:val="24"/>
          <w:szCs w:val="24"/>
          <w:highlight w:val="none"/>
        </w:rPr>
        <w:t>在施工过程中发现乙方提交的勘察成果与现场情况严重不符而导致需要补勘时，乙方需无条件配合甲方完成补勘等相关工作。因此而产生的补充勘察等费用由乙方自行承担，甲方不再另行支付。</w:t>
      </w:r>
    </w:p>
    <w:p>
      <w:pPr>
        <w:adjustRightInd w:val="0"/>
        <w:snapToGrid w:val="0"/>
        <w:spacing w:line="360" w:lineRule="auto"/>
        <w:ind w:right="11"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 xml:space="preserve">21.6 </w:t>
      </w:r>
      <w:r>
        <w:rPr>
          <w:rFonts w:hint="eastAsia" w:ascii="宋体" w:hAnsi="宋体" w:cs="宋体"/>
          <w:color w:val="auto"/>
          <w:kern w:val="0"/>
          <w:sz w:val="24"/>
          <w:szCs w:val="24"/>
          <w:highlight w:val="none"/>
        </w:rPr>
        <w:t>乙方必须遵行甲方的相关勘察设计、图文、图档工程的管理办法和规定。乙方自行承担运输、邮寄或电传勘察文件资料（包括中间成果资料）的费用，提交资料、文件等应交至甲方日常办公所在地或甲方临时指定的地点。勘察文件的收发、传送管理按甲方有关规定办理。</w:t>
      </w:r>
    </w:p>
    <w:p>
      <w:pPr>
        <w:adjustRightInd w:val="0"/>
        <w:snapToGrid w:val="0"/>
        <w:spacing w:line="360" w:lineRule="auto"/>
        <w:ind w:right="11"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21.7</w:t>
      </w:r>
      <w:r>
        <w:rPr>
          <w:rFonts w:hint="eastAsia" w:ascii="宋体" w:hAnsi="宋体" w:cs="宋体"/>
          <w:color w:val="auto"/>
          <w:kern w:val="0"/>
          <w:sz w:val="24"/>
          <w:szCs w:val="24"/>
          <w:highlight w:val="none"/>
        </w:rPr>
        <w:t>乙方实施岩土工程勘察工作时，应按工程建设各勘察阶段的要求，正确反映工程地质条件，查明不良地质作用和地质灾害，精心勘察，精心分析，提交资料完整、评价正确的勘察报告。</w:t>
      </w:r>
    </w:p>
    <w:p>
      <w:pPr>
        <w:adjustRightInd w:val="0"/>
        <w:snapToGrid w:val="0"/>
        <w:spacing w:line="360" w:lineRule="auto"/>
        <w:ind w:right="11" w:firstLine="480" w:firstLineChars="200"/>
        <w:rPr>
          <w:rFonts w:ascii="宋体" w:hAnsi="宋体" w:cs="宋体"/>
          <w:color w:val="auto"/>
          <w:kern w:val="0"/>
          <w:sz w:val="24"/>
          <w:szCs w:val="24"/>
          <w:highlight w:val="none"/>
          <w:u w:val="single"/>
        </w:rPr>
      </w:pPr>
    </w:p>
    <w:p>
      <w:pPr>
        <w:adjustRightInd w:val="0"/>
        <w:snapToGrid w:val="0"/>
        <w:spacing w:line="360" w:lineRule="auto"/>
        <w:ind w:firstLine="482" w:firstLineChars="200"/>
        <w:outlineLvl w:val="2"/>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22、勘察费的计取及支付</w:t>
      </w:r>
    </w:p>
    <w:p>
      <w:pPr>
        <w:adjustRightInd w:val="0"/>
        <w:snapToGrid w:val="0"/>
        <w:spacing w:line="360" w:lineRule="auto"/>
        <w:ind w:left="963" w:leftChars="229" w:hanging="482" w:hangingChars="200"/>
        <w:outlineLvl w:val="3"/>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22.1</w:t>
      </w:r>
      <w:r>
        <w:rPr>
          <w:rFonts w:hint="eastAsia" w:ascii="宋体" w:hAnsi="宋体" w:cs="宋体"/>
          <w:color w:val="auto"/>
          <w:kern w:val="0"/>
          <w:sz w:val="24"/>
          <w:szCs w:val="24"/>
          <w:highlight w:val="none"/>
        </w:rPr>
        <w:t>基本原则</w:t>
      </w:r>
    </w:p>
    <w:p>
      <w:pPr>
        <w:adjustRightInd w:val="0"/>
        <w:snapToGrid w:val="0"/>
        <w:spacing w:line="360" w:lineRule="auto"/>
        <w:ind w:left="1" w:firstLine="479" w:firstLineChars="199"/>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22.1.1</w:t>
      </w:r>
      <w:r>
        <w:rPr>
          <w:rFonts w:hint="eastAsia" w:ascii="宋体" w:hAnsi="宋体" w:cs="宋体"/>
          <w:color w:val="auto"/>
          <w:kern w:val="0"/>
          <w:sz w:val="24"/>
          <w:szCs w:val="24"/>
          <w:highlight w:val="none"/>
        </w:rPr>
        <w:t>除非双方另有约定，本合同勘察费计取时已综合考虑各种费率变化、物价变动以及完成勘察工作所需的各项费用。</w:t>
      </w:r>
    </w:p>
    <w:p>
      <w:pPr>
        <w:adjustRightInd w:val="0"/>
        <w:snapToGrid w:val="0"/>
        <w:spacing w:line="360" w:lineRule="auto"/>
        <w:ind w:left="2" w:firstLine="479" w:firstLineChars="199"/>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22.1.2</w:t>
      </w:r>
      <w:r>
        <w:rPr>
          <w:rFonts w:hint="eastAsia" w:ascii="宋体" w:hAnsi="宋体" w:cs="宋体"/>
          <w:color w:val="auto"/>
          <w:kern w:val="0"/>
          <w:sz w:val="24"/>
          <w:szCs w:val="24"/>
          <w:highlight w:val="none"/>
        </w:rPr>
        <w:t>本合同勘察费为完成本合同约定的所有勘察工作内容及要求的全部费用，包括收集已有资料、现场踏勘、制定勘察纲要，进行测绘、勘探、取样、试验、测试、检测、监测等勘察作业，编制工程勘察文件和岩土工程设计文件、就岩土工程向施工单位作出技术说明、解决设计或施工中的工程勘察技术问题，参加工程测量交桩、水文地质交底、岩土工程验槽、购买有关资料、勘察文件的修改、实施勘察过程中发生的相关工作（包括障碍物拆除、开挖、地下管线的修复等）、勘察过程中发生的用材以及加工、勘察作业机具的进退场及现场搬运等服务，以及综合考虑不同自然条件下、不同作业内容、不同复杂程度及高温勘察等一切因素下的勘探作业的费用。本合同条款第22.2款约定综合单价也已包含实施上述所有勘察工作内容的费用。</w:t>
      </w:r>
    </w:p>
    <w:p>
      <w:pPr>
        <w:adjustRightInd w:val="0"/>
        <w:snapToGrid w:val="0"/>
        <w:spacing w:line="360" w:lineRule="auto"/>
        <w:ind w:firstLine="482" w:firstLineChars="200"/>
        <w:outlineLvl w:val="3"/>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 xml:space="preserve">22.2 </w:t>
      </w:r>
      <w:r>
        <w:rPr>
          <w:rFonts w:hint="eastAsia" w:ascii="宋体" w:hAnsi="宋体" w:cs="宋体"/>
          <w:color w:val="auto"/>
          <w:kern w:val="0"/>
          <w:sz w:val="24"/>
          <w:szCs w:val="24"/>
          <w:highlight w:val="none"/>
        </w:rPr>
        <w:t>勘察费的计取及结算方式按下列约定执行：</w:t>
      </w:r>
    </w:p>
    <w:p>
      <w:pPr>
        <w:keepNext w:val="0"/>
        <w:keepLines w:val="0"/>
        <w:widowControl w:val="0"/>
        <w:suppressLineNumbers w:val="0"/>
        <w:adjustRightInd w:val="0"/>
        <w:snapToGrid w:val="0"/>
        <w:spacing w:before="0" w:beforeAutospacing="0" w:after="0" w:afterAutospacing="0" w:line="360" w:lineRule="auto"/>
        <w:ind w:left="0" w:right="0" w:firstLine="600" w:firstLineChars="250"/>
        <w:jc w:val="both"/>
        <w:rPr>
          <w:rFonts w:ascii="宋体" w:hAnsi="宋体" w:cs="宋体"/>
          <w:color w:val="auto"/>
          <w:kern w:val="0"/>
          <w:sz w:val="24"/>
          <w:szCs w:val="24"/>
          <w:highlight w:val="none"/>
        </w:rPr>
      </w:pPr>
      <w:r>
        <w:rPr>
          <w:rFonts w:hint="eastAsia" w:ascii="宋体" w:hAnsi="宋体" w:cs="宋体"/>
          <w:color w:val="auto"/>
          <w:kern w:val="0"/>
          <w:sz w:val="24"/>
          <w:szCs w:val="24"/>
          <w:highlight w:val="none"/>
        </w:rPr>
        <w:t>工程勘察费按实</w:t>
      </w:r>
      <w:r>
        <w:rPr>
          <w:rFonts w:hint="eastAsia" w:ascii="宋体" w:hAnsi="宋体" w:eastAsia="宋体" w:cs="宋体"/>
          <w:color w:val="auto"/>
          <w:kern w:val="0"/>
          <w:sz w:val="24"/>
          <w:szCs w:val="24"/>
          <w:highlight w:val="none"/>
          <w:lang w:val="en-US" w:eastAsia="zh-CN" w:bidi="ar"/>
        </w:rPr>
        <w:t>际</w:t>
      </w:r>
      <w:r>
        <w:rPr>
          <w:rFonts w:hint="eastAsia" w:ascii="宋体" w:hAnsi="宋体" w:cs="宋体"/>
          <w:color w:val="auto"/>
          <w:kern w:val="0"/>
          <w:sz w:val="24"/>
          <w:szCs w:val="24"/>
          <w:highlight w:val="none"/>
        </w:rPr>
        <w:t>工作量乘以合同约定的综合单价计算。实</w:t>
      </w:r>
      <w:r>
        <w:rPr>
          <w:rFonts w:hint="eastAsia" w:ascii="宋体" w:hAnsi="宋体" w:eastAsia="宋体" w:cs="宋体"/>
          <w:color w:val="auto"/>
          <w:kern w:val="0"/>
          <w:sz w:val="24"/>
          <w:szCs w:val="24"/>
          <w:highlight w:val="none"/>
          <w:lang w:val="en-US" w:eastAsia="zh-CN" w:bidi="ar"/>
        </w:rPr>
        <w:t>际</w:t>
      </w:r>
      <w:r>
        <w:rPr>
          <w:rFonts w:hint="eastAsia" w:ascii="宋体" w:hAnsi="宋体" w:cs="宋体"/>
          <w:color w:val="auto"/>
          <w:kern w:val="0"/>
          <w:sz w:val="24"/>
          <w:szCs w:val="24"/>
          <w:highlight w:val="none"/>
        </w:rPr>
        <w:t>工作量指按照工程勘察规范、规程、合同的规定及勘察作业实际情况完成且经甲方及甲方委托的第三方共同确认的工作量，但如勘察工作量大于招标勘察工作量110%，则超出招标勘察工作量110%部分不再另行计量。</w:t>
      </w:r>
      <w:r>
        <w:rPr>
          <w:rFonts w:hint="eastAsia" w:ascii="宋体" w:hAnsi="宋体" w:eastAsia="宋体" w:cs="宋体"/>
          <w:color w:val="auto"/>
          <w:kern w:val="0"/>
          <w:sz w:val="24"/>
          <w:szCs w:val="24"/>
          <w:highlight w:val="none"/>
          <w:lang w:val="en-US" w:eastAsia="zh-CN" w:bidi="ar"/>
        </w:rPr>
        <w:t>且最终结算价不超过经有权审核部门审定的批复概算中对应的勘察费。</w:t>
      </w:r>
      <w:r>
        <w:rPr>
          <w:rFonts w:hint="eastAsia" w:ascii="宋体" w:hAnsi="宋体" w:cs="宋体"/>
          <w:color w:val="auto"/>
          <w:kern w:val="0"/>
          <w:sz w:val="24"/>
          <w:szCs w:val="24"/>
          <w:highlight w:val="none"/>
        </w:rPr>
        <w:t>合同综合单价为全费用综合单价。</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本项目岩土工程勘察费中标综合单价为</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元/米。（注：本项目为配合完成合同范围内工作（包括工程勘察、工程设计等）所需辅助测量等辅助性工作费用，已包含在勘察设计费中，不单独计费。）</w:t>
      </w:r>
    </w:p>
    <w:p>
      <w:pPr>
        <w:adjustRightInd w:val="0"/>
        <w:snapToGrid w:val="0"/>
        <w:spacing w:line="360" w:lineRule="auto"/>
        <w:ind w:firstLine="482" w:firstLineChars="200"/>
        <w:outlineLvl w:val="3"/>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22.3勘察费的支付：</w:t>
      </w:r>
    </w:p>
    <w:p>
      <w:pPr>
        <w:adjustRightInd w:val="0"/>
        <w:snapToGrid w:val="0"/>
        <w:spacing w:line="360" w:lineRule="auto"/>
        <w:ind w:right="11"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22.3.1</w:t>
      </w:r>
      <w:r>
        <w:rPr>
          <w:rFonts w:hint="eastAsia" w:ascii="宋体" w:hAnsi="宋体" w:cs="宋体"/>
          <w:color w:val="auto"/>
          <w:kern w:val="0"/>
          <w:sz w:val="24"/>
          <w:szCs w:val="24"/>
          <w:highlight w:val="none"/>
        </w:rPr>
        <w:t>乙方提交符合本合同约定的全部勘察成果文件并通过甲方或甲方委托的第三方审查，且实际乙方实施勘察工作的实物工程量得到甲方及甲方委托的第三方确认后，乙方按合同要求提交申请支付的文件资料【必须包括勘察机械设备进出场时间记录，勘察工作的全过程记录（包含全过程作业现场录像光盘）；每个勘探钻孔及钻孔岩土样本的照片】，报甲方审核合格后十日内甲方支付至勘察费总额的85%；本合同勘察结算资料报送有权结算终审部门后，甲方支付至勘察费总额的95%；有权结算终审部门审定本合同勘察费结算金额后甲方支付勘察费的尾款。</w:t>
      </w:r>
    </w:p>
    <w:p>
      <w:pPr>
        <w:adjustRightInd w:val="0"/>
        <w:snapToGrid w:val="0"/>
        <w:spacing w:line="360" w:lineRule="auto"/>
        <w:ind w:firstLine="48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22.3.2</w:t>
      </w:r>
      <w:r>
        <w:rPr>
          <w:rFonts w:hint="eastAsia" w:ascii="宋体" w:hAnsi="宋体" w:cs="宋体"/>
          <w:color w:val="auto"/>
          <w:kern w:val="0"/>
          <w:sz w:val="24"/>
          <w:szCs w:val="24"/>
          <w:highlight w:val="none"/>
        </w:rPr>
        <w:t xml:space="preserve">乙方分包项目的勘察费已全部包含在本合同勘察费之内，并纳入本合同一并结算。乙方在申请支付各次勘察费时应连同其分包单位的勘察费一并申报。 </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乙方承诺：保证按照本合同及分包合同的约定及时向乙方分包单位支付勘察费，甲方有权对乙方的付款情况予以监督。乙方未按时按量付款的，应依据本合同条款第</w:t>
      </w:r>
      <w:r>
        <w:rPr>
          <w:color w:val="auto"/>
          <w:highlight w:val="none"/>
        </w:rPr>
        <w:t>28.8</w:t>
      </w:r>
      <w:r>
        <w:rPr>
          <w:rFonts w:cs="宋体"/>
          <w:color w:val="auto"/>
          <w:highlight w:val="none"/>
        </w:rPr>
        <w:t>款第</w:t>
      </w:r>
      <w:r>
        <w:rPr>
          <w:color w:val="auto"/>
          <w:highlight w:val="none"/>
        </w:rPr>
        <w:t>(1)</w:t>
      </w:r>
      <w:r>
        <w:rPr>
          <w:rFonts w:cs="宋体"/>
          <w:color w:val="auto"/>
          <w:highlight w:val="none"/>
        </w:rPr>
        <w:t>项的约定承担违约责任。</w:t>
      </w:r>
    </w:p>
    <w:p>
      <w:pPr>
        <w:pStyle w:val="10"/>
        <w:adjustRightInd w:val="0"/>
        <w:snapToGrid w:val="0"/>
        <w:spacing w:beforeAutospacing="0" w:afterAutospacing="0" w:line="360" w:lineRule="auto"/>
        <w:ind w:firstLine="482" w:firstLineChars="200"/>
        <w:rPr>
          <w:rFonts w:hint="default"/>
          <w:color w:val="auto"/>
          <w:highlight w:val="none"/>
        </w:rPr>
      </w:pPr>
      <w:r>
        <w:rPr>
          <w:b/>
          <w:color w:val="auto"/>
          <w:highlight w:val="none"/>
        </w:rPr>
        <w:t>22.3.3</w:t>
      </w:r>
      <w:r>
        <w:rPr>
          <w:rFonts w:cs="宋体"/>
          <w:color w:val="auto"/>
          <w:highlight w:val="none"/>
        </w:rPr>
        <w:t>乙方领取款项前须按甲方的财务管理制度办理有关手续并向甲方出具符合本合同约定的合法有效的可报销凭证。</w:t>
      </w:r>
    </w:p>
    <w:p>
      <w:pPr>
        <w:pStyle w:val="10"/>
        <w:adjustRightInd w:val="0"/>
        <w:snapToGrid w:val="0"/>
        <w:spacing w:beforeAutospacing="0" w:afterAutospacing="0" w:line="360" w:lineRule="auto"/>
        <w:ind w:firstLine="482" w:firstLineChars="200"/>
        <w:rPr>
          <w:rFonts w:hint="default"/>
          <w:color w:val="auto"/>
          <w:highlight w:val="none"/>
        </w:rPr>
      </w:pPr>
      <w:r>
        <w:rPr>
          <w:b/>
          <w:color w:val="auto"/>
          <w:highlight w:val="none"/>
        </w:rPr>
        <w:t>22.3.4</w:t>
      </w:r>
      <w:r>
        <w:rPr>
          <w:rFonts w:cs="宋体"/>
          <w:color w:val="auto"/>
          <w:highlight w:val="none"/>
        </w:rPr>
        <w:t>甲方委托乙方晒制的超过合同约定数量的勘察成果文件（含施工图纸），乙方按照双方约定的价格清单加收工本费；没有约定的价格清单的，甲方按以下标准向乙方支付费用：</w:t>
      </w:r>
      <w:r>
        <w:rPr>
          <w:color w:val="auto"/>
          <w:highlight w:val="none"/>
        </w:rPr>
        <w:t>A0</w:t>
      </w:r>
      <w:r>
        <w:rPr>
          <w:rFonts w:cs="宋体"/>
          <w:color w:val="auto"/>
          <w:highlight w:val="none"/>
        </w:rPr>
        <w:t>：</w:t>
      </w:r>
      <w:r>
        <w:rPr>
          <w:color w:val="auto"/>
          <w:highlight w:val="none"/>
        </w:rPr>
        <w:t>4.0</w:t>
      </w:r>
      <w:r>
        <w:rPr>
          <w:rFonts w:cs="宋体"/>
          <w:color w:val="auto"/>
          <w:highlight w:val="none"/>
        </w:rPr>
        <w:t>元</w:t>
      </w:r>
      <w:r>
        <w:rPr>
          <w:color w:val="auto"/>
          <w:highlight w:val="none"/>
        </w:rPr>
        <w:t>/</w:t>
      </w:r>
      <w:r>
        <w:rPr>
          <w:rFonts w:cs="宋体"/>
          <w:color w:val="auto"/>
          <w:highlight w:val="none"/>
        </w:rPr>
        <w:t>张；</w:t>
      </w:r>
      <w:r>
        <w:rPr>
          <w:color w:val="auto"/>
          <w:highlight w:val="none"/>
        </w:rPr>
        <w:t>A1</w:t>
      </w:r>
      <w:r>
        <w:rPr>
          <w:rFonts w:cs="宋体"/>
          <w:color w:val="auto"/>
          <w:highlight w:val="none"/>
        </w:rPr>
        <w:t>：</w:t>
      </w:r>
      <w:r>
        <w:rPr>
          <w:color w:val="auto"/>
          <w:highlight w:val="none"/>
        </w:rPr>
        <w:t>2.0</w:t>
      </w:r>
      <w:r>
        <w:rPr>
          <w:rFonts w:cs="宋体"/>
          <w:color w:val="auto"/>
          <w:highlight w:val="none"/>
        </w:rPr>
        <w:t>元</w:t>
      </w:r>
      <w:r>
        <w:rPr>
          <w:color w:val="auto"/>
          <w:highlight w:val="none"/>
        </w:rPr>
        <w:t>/</w:t>
      </w:r>
      <w:r>
        <w:rPr>
          <w:rFonts w:cs="宋体"/>
          <w:color w:val="auto"/>
          <w:highlight w:val="none"/>
        </w:rPr>
        <w:t>张；</w:t>
      </w:r>
      <w:r>
        <w:rPr>
          <w:color w:val="auto"/>
          <w:highlight w:val="none"/>
        </w:rPr>
        <w:t>A2</w:t>
      </w:r>
      <w:r>
        <w:rPr>
          <w:rFonts w:cs="宋体"/>
          <w:color w:val="auto"/>
          <w:highlight w:val="none"/>
        </w:rPr>
        <w:t>：</w:t>
      </w:r>
      <w:r>
        <w:rPr>
          <w:color w:val="auto"/>
          <w:highlight w:val="none"/>
        </w:rPr>
        <w:t>1.0</w:t>
      </w:r>
      <w:r>
        <w:rPr>
          <w:rFonts w:cs="宋体"/>
          <w:color w:val="auto"/>
          <w:highlight w:val="none"/>
        </w:rPr>
        <w:t>元</w:t>
      </w:r>
      <w:r>
        <w:rPr>
          <w:color w:val="auto"/>
          <w:highlight w:val="none"/>
        </w:rPr>
        <w:t>/</w:t>
      </w:r>
      <w:r>
        <w:rPr>
          <w:rFonts w:cs="宋体"/>
          <w:color w:val="auto"/>
          <w:highlight w:val="none"/>
        </w:rPr>
        <w:t>张；</w:t>
      </w:r>
      <w:r>
        <w:rPr>
          <w:color w:val="auto"/>
          <w:highlight w:val="none"/>
        </w:rPr>
        <w:t>A3</w:t>
      </w:r>
      <w:r>
        <w:rPr>
          <w:rFonts w:cs="宋体"/>
          <w:color w:val="auto"/>
          <w:highlight w:val="none"/>
        </w:rPr>
        <w:t>：</w:t>
      </w:r>
      <w:r>
        <w:rPr>
          <w:color w:val="auto"/>
          <w:highlight w:val="none"/>
        </w:rPr>
        <w:t>0.8</w:t>
      </w:r>
      <w:r>
        <w:rPr>
          <w:rFonts w:cs="宋体"/>
          <w:color w:val="auto"/>
          <w:highlight w:val="none"/>
        </w:rPr>
        <w:t>元</w:t>
      </w:r>
      <w:r>
        <w:rPr>
          <w:color w:val="auto"/>
          <w:highlight w:val="none"/>
        </w:rPr>
        <w:t>/</w:t>
      </w:r>
      <w:r>
        <w:rPr>
          <w:rFonts w:cs="宋体"/>
          <w:color w:val="auto"/>
          <w:highlight w:val="none"/>
        </w:rPr>
        <w:t>张；</w:t>
      </w:r>
      <w:r>
        <w:rPr>
          <w:color w:val="auto"/>
          <w:highlight w:val="none"/>
        </w:rPr>
        <w:t>A4</w:t>
      </w:r>
      <w:r>
        <w:rPr>
          <w:rFonts w:cs="宋体"/>
          <w:color w:val="auto"/>
          <w:highlight w:val="none"/>
        </w:rPr>
        <w:t>：</w:t>
      </w:r>
      <w:r>
        <w:rPr>
          <w:color w:val="auto"/>
          <w:highlight w:val="none"/>
        </w:rPr>
        <w:t>0.5</w:t>
      </w:r>
      <w:r>
        <w:rPr>
          <w:rFonts w:cs="宋体"/>
          <w:color w:val="auto"/>
          <w:highlight w:val="none"/>
        </w:rPr>
        <w:t>元</w:t>
      </w:r>
      <w:r>
        <w:rPr>
          <w:color w:val="auto"/>
          <w:highlight w:val="none"/>
        </w:rPr>
        <w:t>/</w:t>
      </w:r>
      <w:r>
        <w:rPr>
          <w:rFonts w:cs="宋体"/>
          <w:color w:val="auto"/>
          <w:highlight w:val="none"/>
        </w:rPr>
        <w:t>张。非标图纸按图面大小换算成</w:t>
      </w:r>
      <w:r>
        <w:rPr>
          <w:color w:val="auto"/>
          <w:highlight w:val="none"/>
        </w:rPr>
        <w:t>A2</w:t>
      </w:r>
      <w:r>
        <w:rPr>
          <w:rFonts w:cs="宋体"/>
          <w:color w:val="auto"/>
          <w:highlight w:val="none"/>
        </w:rPr>
        <w:t>图纸数量，甲方按</w:t>
      </w:r>
      <w:r>
        <w:rPr>
          <w:color w:val="auto"/>
          <w:highlight w:val="none"/>
        </w:rPr>
        <w:t>A2</w:t>
      </w:r>
      <w:r>
        <w:rPr>
          <w:rFonts w:cs="宋体"/>
          <w:color w:val="auto"/>
          <w:highlight w:val="none"/>
        </w:rPr>
        <w:t>图纸的费用标准支付费用。</w:t>
      </w:r>
    </w:p>
    <w:p>
      <w:pPr>
        <w:pStyle w:val="10"/>
        <w:adjustRightInd w:val="0"/>
        <w:snapToGrid w:val="0"/>
        <w:spacing w:beforeAutospacing="0" w:afterAutospacing="0" w:line="360" w:lineRule="auto"/>
        <w:ind w:firstLine="480" w:firstLineChars="200"/>
        <w:rPr>
          <w:rFonts w:hint="default"/>
          <w:color w:val="auto"/>
          <w:highlight w:val="none"/>
        </w:rPr>
      </w:pPr>
    </w:p>
    <w:p>
      <w:pPr>
        <w:pStyle w:val="3"/>
        <w:keepNext w:val="0"/>
        <w:keepLines w:val="0"/>
        <w:widowControl/>
        <w:spacing w:before="0" w:after="0" w:line="360" w:lineRule="auto"/>
        <w:jc w:val="center"/>
        <w:rPr>
          <w:rFonts w:ascii="宋体" w:hAnsi="宋体" w:cs="宋体"/>
          <w:color w:val="auto"/>
          <w:highlight w:val="none"/>
        </w:rPr>
      </w:pPr>
      <w:r>
        <w:rPr>
          <w:rFonts w:hint="eastAsia" w:ascii="宋体" w:hAnsi="宋体" w:cs="宋体"/>
          <w:color w:val="auto"/>
          <w:kern w:val="0"/>
          <w:highlight w:val="none"/>
        </w:rPr>
        <w:t>第十一章 综合考评</w:t>
      </w:r>
    </w:p>
    <w:p>
      <w:pPr>
        <w:adjustRightInd w:val="0"/>
        <w:snapToGrid w:val="0"/>
        <w:spacing w:line="360" w:lineRule="auto"/>
        <w:outlineLvl w:val="2"/>
        <w:rPr>
          <w:rFonts w:ascii="宋体" w:hAnsi="宋体" w:cs="宋体"/>
          <w:bCs/>
          <w:color w:val="auto"/>
          <w:kern w:val="0"/>
          <w:sz w:val="24"/>
          <w:szCs w:val="24"/>
          <w:highlight w:val="none"/>
        </w:rPr>
      </w:pPr>
    </w:p>
    <w:p>
      <w:pPr>
        <w:adjustRightInd w:val="0"/>
        <w:snapToGrid w:val="0"/>
        <w:spacing w:line="360" w:lineRule="auto"/>
        <w:ind w:firstLine="241" w:firstLineChars="100"/>
        <w:outlineLvl w:val="2"/>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23、综合考评</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鉴于本合同工程的重要性，为确保本合同工程质量，甲方将对参与本合同项目建设的勘察设计、施工、监理等单位进行综合考评，并根据综合考评的结果按照相关规定执行。 </w:t>
      </w:r>
    </w:p>
    <w:p>
      <w:pPr>
        <w:adjustRightInd w:val="0"/>
        <w:snapToGrid w:val="0"/>
        <w:spacing w:line="360" w:lineRule="auto"/>
        <w:ind w:firstLine="480" w:firstLineChars="200"/>
        <w:rPr>
          <w:rFonts w:ascii="宋体" w:hAnsi="宋体" w:cs="宋体"/>
          <w:color w:val="auto"/>
          <w:kern w:val="0"/>
          <w:sz w:val="24"/>
          <w:szCs w:val="24"/>
          <w:highlight w:val="none"/>
        </w:rPr>
      </w:pPr>
    </w:p>
    <w:p>
      <w:pPr>
        <w:pStyle w:val="3"/>
        <w:keepNext w:val="0"/>
        <w:keepLines w:val="0"/>
        <w:widowControl/>
        <w:spacing w:before="0" w:after="0" w:line="360" w:lineRule="auto"/>
        <w:jc w:val="center"/>
        <w:rPr>
          <w:rFonts w:ascii="宋体" w:hAnsi="宋体" w:cs="宋体"/>
          <w:color w:val="auto"/>
          <w:sz w:val="24"/>
          <w:szCs w:val="24"/>
          <w:highlight w:val="none"/>
        </w:rPr>
      </w:pPr>
      <w:r>
        <w:rPr>
          <w:rFonts w:hint="eastAsia" w:ascii="宋体" w:hAnsi="宋体" w:cs="宋体"/>
          <w:color w:val="auto"/>
          <w:kern w:val="0"/>
          <w:highlight w:val="none"/>
        </w:rPr>
        <w:t>第十二章 信息化管理</w:t>
      </w:r>
    </w:p>
    <w:p>
      <w:pPr>
        <w:adjustRightInd w:val="0"/>
        <w:snapToGrid w:val="0"/>
        <w:spacing w:line="360" w:lineRule="auto"/>
        <w:ind w:firstLine="482" w:firstLineChars="200"/>
        <w:outlineLvl w:val="2"/>
        <w:rPr>
          <w:rFonts w:ascii="宋体" w:hAnsi="宋体" w:cs="宋体"/>
          <w:b/>
          <w:color w:val="auto"/>
          <w:kern w:val="0"/>
          <w:sz w:val="24"/>
          <w:szCs w:val="24"/>
          <w:highlight w:val="none"/>
        </w:rPr>
      </w:pPr>
    </w:p>
    <w:p>
      <w:pPr>
        <w:adjustRightInd w:val="0"/>
        <w:snapToGrid w:val="0"/>
        <w:spacing w:line="360" w:lineRule="auto"/>
        <w:ind w:firstLine="482" w:firstLineChars="200"/>
        <w:outlineLvl w:val="2"/>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24、信息化管理的要求</w:t>
      </w:r>
    </w:p>
    <w:p>
      <w:pPr>
        <w:pStyle w:val="10"/>
        <w:adjustRightInd w:val="0"/>
        <w:snapToGrid w:val="0"/>
        <w:spacing w:beforeAutospacing="0" w:afterAutospacing="0" w:line="360" w:lineRule="auto"/>
        <w:ind w:firstLine="482" w:firstLineChars="200"/>
        <w:outlineLvl w:val="3"/>
        <w:rPr>
          <w:rFonts w:hint="default"/>
          <w:color w:val="auto"/>
          <w:highlight w:val="none"/>
        </w:rPr>
      </w:pPr>
      <w:r>
        <w:rPr>
          <w:b/>
          <w:color w:val="auto"/>
          <w:highlight w:val="none"/>
        </w:rPr>
        <w:t>24.1</w:t>
      </w:r>
      <w:r>
        <w:rPr>
          <w:rFonts w:cs="宋体"/>
          <w:color w:val="auto"/>
          <w:highlight w:val="none"/>
        </w:rPr>
        <w:t>计算机信息管理的内容和基本要求</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乙方应运用计算机技术对设计项目进行科学管理，全面提高设计管理水平。甲方使用计算机工程信息管理系统对所有合同进行管理，乙方是该系统设计、文档系统方面的重要信息源之一，乙方应配置和运用该系统进行设计管理。</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乙方的计算机系统规划、配置和人员等应满足甲方的要求，以确保乙方可正确使用计算机工程信息管理系统。</w:t>
      </w:r>
    </w:p>
    <w:p>
      <w:pPr>
        <w:pStyle w:val="10"/>
        <w:adjustRightInd w:val="0"/>
        <w:snapToGrid w:val="0"/>
        <w:spacing w:beforeAutospacing="0" w:afterAutospacing="0" w:line="360" w:lineRule="auto"/>
        <w:ind w:firstLine="482" w:firstLineChars="200"/>
        <w:outlineLvl w:val="3"/>
        <w:rPr>
          <w:rFonts w:hint="default"/>
          <w:color w:val="auto"/>
          <w:highlight w:val="none"/>
        </w:rPr>
      </w:pPr>
      <w:r>
        <w:rPr>
          <w:b/>
          <w:color w:val="auto"/>
          <w:highlight w:val="none"/>
        </w:rPr>
        <w:t>24.2</w:t>
      </w:r>
      <w:r>
        <w:rPr>
          <w:rFonts w:cs="宋体"/>
          <w:color w:val="auto"/>
          <w:highlight w:val="none"/>
        </w:rPr>
        <w:t>设计管理</w:t>
      </w:r>
    </w:p>
    <w:p>
      <w:pPr>
        <w:pStyle w:val="10"/>
        <w:adjustRightInd w:val="0"/>
        <w:snapToGrid w:val="0"/>
        <w:spacing w:beforeAutospacing="0" w:afterAutospacing="0" w:line="360" w:lineRule="auto"/>
        <w:ind w:firstLine="480" w:firstLineChars="200"/>
        <w:rPr>
          <w:rFonts w:hint="default"/>
          <w:color w:val="auto"/>
          <w:highlight w:val="none"/>
        </w:rPr>
      </w:pPr>
      <w:r>
        <w:rPr>
          <w:color w:val="auto"/>
          <w:highlight w:val="none"/>
        </w:rPr>
        <w:t>a.</w:t>
      </w:r>
      <w:r>
        <w:rPr>
          <w:rFonts w:cs="宋体"/>
          <w:color w:val="auto"/>
          <w:highlight w:val="none"/>
        </w:rPr>
        <w:t>乙方必须按照甲方的要求及时提供设计分解结构，并将分解结果输入计算机工程信息管理系统；</w:t>
      </w:r>
    </w:p>
    <w:p>
      <w:pPr>
        <w:pStyle w:val="10"/>
        <w:adjustRightInd w:val="0"/>
        <w:snapToGrid w:val="0"/>
        <w:spacing w:beforeAutospacing="0" w:afterAutospacing="0" w:line="360" w:lineRule="auto"/>
        <w:ind w:firstLine="480" w:firstLineChars="200"/>
        <w:rPr>
          <w:rFonts w:hint="default"/>
          <w:color w:val="auto"/>
          <w:highlight w:val="none"/>
        </w:rPr>
      </w:pPr>
      <w:r>
        <w:rPr>
          <w:color w:val="auto"/>
          <w:highlight w:val="none"/>
        </w:rPr>
        <w:t>b.</w:t>
      </w:r>
      <w:r>
        <w:rPr>
          <w:rFonts w:cs="宋体"/>
          <w:color w:val="auto"/>
          <w:highlight w:val="none"/>
        </w:rPr>
        <w:t>乙方必须及时提供设计包的划分报告，并且把设计包及其所包含的图纸相关信息录入计算机工程信息管理系统；</w:t>
      </w:r>
    </w:p>
    <w:p>
      <w:pPr>
        <w:pStyle w:val="10"/>
        <w:adjustRightInd w:val="0"/>
        <w:snapToGrid w:val="0"/>
        <w:spacing w:beforeAutospacing="0" w:afterAutospacing="0" w:line="360" w:lineRule="auto"/>
        <w:ind w:firstLine="480" w:firstLineChars="200"/>
        <w:rPr>
          <w:rFonts w:hint="default"/>
          <w:color w:val="auto"/>
          <w:highlight w:val="none"/>
        </w:rPr>
      </w:pPr>
      <w:r>
        <w:rPr>
          <w:color w:val="auto"/>
          <w:highlight w:val="none"/>
        </w:rPr>
        <w:t>c.</w:t>
      </w:r>
      <w:r>
        <w:rPr>
          <w:rFonts w:cs="宋体"/>
          <w:color w:val="auto"/>
          <w:highlight w:val="none"/>
        </w:rPr>
        <w:t>乙方必须及时把设计进度的信息录入计算机工程信息管理系统；</w:t>
      </w:r>
    </w:p>
    <w:p>
      <w:pPr>
        <w:pStyle w:val="10"/>
        <w:adjustRightInd w:val="0"/>
        <w:snapToGrid w:val="0"/>
        <w:spacing w:beforeAutospacing="0" w:afterAutospacing="0" w:line="360" w:lineRule="auto"/>
        <w:ind w:firstLine="480" w:firstLineChars="200"/>
        <w:rPr>
          <w:rFonts w:hint="default"/>
          <w:color w:val="auto"/>
          <w:highlight w:val="none"/>
        </w:rPr>
      </w:pPr>
      <w:r>
        <w:rPr>
          <w:color w:val="auto"/>
          <w:highlight w:val="none"/>
        </w:rPr>
        <w:t>d.</w:t>
      </w:r>
      <w:r>
        <w:rPr>
          <w:rFonts w:cs="宋体"/>
          <w:color w:val="auto"/>
          <w:highlight w:val="none"/>
        </w:rPr>
        <w:t>乙方应提供计算机工程信息管理系统在线状况的信息报告，应做到正确、完整、及时，但不因此免除乙方按本合同约定提交有效书面文件的责任。</w:t>
      </w:r>
    </w:p>
    <w:p>
      <w:pPr>
        <w:pStyle w:val="10"/>
        <w:adjustRightInd w:val="0"/>
        <w:snapToGrid w:val="0"/>
        <w:spacing w:beforeAutospacing="0" w:afterAutospacing="0" w:line="360" w:lineRule="auto"/>
        <w:ind w:firstLine="482" w:firstLineChars="200"/>
        <w:outlineLvl w:val="3"/>
        <w:rPr>
          <w:rFonts w:hint="default"/>
          <w:color w:val="auto"/>
          <w:highlight w:val="none"/>
        </w:rPr>
      </w:pPr>
      <w:r>
        <w:rPr>
          <w:b/>
          <w:color w:val="auto"/>
          <w:highlight w:val="none"/>
        </w:rPr>
        <w:t>24.3</w:t>
      </w:r>
      <w:r>
        <w:rPr>
          <w:rFonts w:cs="宋体"/>
          <w:color w:val="auto"/>
          <w:highlight w:val="none"/>
        </w:rPr>
        <w:t>计算机网络</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由于甲方的信息管理系统是</w:t>
      </w:r>
      <w:r>
        <w:rPr>
          <w:color w:val="auto"/>
          <w:highlight w:val="none"/>
        </w:rPr>
        <w:t>B/S</w:t>
      </w:r>
      <w:r>
        <w:rPr>
          <w:rFonts w:cs="宋体"/>
          <w:color w:val="auto"/>
          <w:highlight w:val="none"/>
        </w:rPr>
        <w:t>结构，乙方需以自身提供设备联入互联网登录到</w:t>
      </w:r>
      <w:r>
        <w:rPr>
          <w:color w:val="auto"/>
          <w:highlight w:val="none"/>
        </w:rPr>
        <w:fldChar w:fldCharType="begin"/>
      </w:r>
      <w:r>
        <w:rPr>
          <w:color w:val="auto"/>
          <w:highlight w:val="none"/>
        </w:rPr>
        <w:instrText xml:space="preserve"> HYPERLINK "http://www.gcpo.com.cn" </w:instrText>
      </w:r>
      <w:r>
        <w:rPr>
          <w:color w:val="auto"/>
          <w:highlight w:val="none"/>
        </w:rPr>
        <w:fldChar w:fldCharType="separate"/>
      </w:r>
      <w:r>
        <w:rPr>
          <w:rStyle w:val="14"/>
          <w:rFonts w:hint="default" w:ascii="Times New Roman" w:hAnsi="Times New Roman"/>
          <w:color w:val="auto"/>
          <w:highlight w:val="none"/>
        </w:rPr>
        <w:t>www.gcpo.com.cn</w:t>
      </w:r>
      <w:r>
        <w:rPr>
          <w:rFonts w:hint="default" w:ascii="Times New Roman" w:hAnsi="Times New Roman"/>
          <w:color w:val="auto"/>
          <w:highlight w:val="none"/>
        </w:rPr>
        <w:fldChar w:fldCharType="end"/>
      </w:r>
      <w:r>
        <w:rPr>
          <w:rFonts w:cs="宋体"/>
          <w:color w:val="auto"/>
          <w:highlight w:val="none"/>
        </w:rPr>
        <w:t>或</w:t>
      </w:r>
      <w:r>
        <w:rPr>
          <w:color w:val="auto"/>
          <w:highlight w:val="none"/>
        </w:rPr>
        <w:fldChar w:fldCharType="begin"/>
      </w:r>
      <w:r>
        <w:rPr>
          <w:color w:val="auto"/>
          <w:highlight w:val="none"/>
        </w:rPr>
        <w:instrText xml:space="preserve"> HYPERLINK "http://www.gcpo.org" </w:instrText>
      </w:r>
      <w:r>
        <w:rPr>
          <w:color w:val="auto"/>
          <w:highlight w:val="none"/>
        </w:rPr>
        <w:fldChar w:fldCharType="separate"/>
      </w:r>
      <w:r>
        <w:rPr>
          <w:rStyle w:val="14"/>
          <w:rFonts w:hint="default" w:ascii="Times New Roman" w:hAnsi="Times New Roman"/>
          <w:color w:val="auto"/>
          <w:highlight w:val="none"/>
        </w:rPr>
        <w:t>www.gcpo.org</w:t>
      </w:r>
      <w:r>
        <w:rPr>
          <w:rFonts w:hint="default" w:ascii="Times New Roman" w:hAnsi="Times New Roman"/>
          <w:color w:val="auto"/>
          <w:highlight w:val="none"/>
        </w:rPr>
        <w:fldChar w:fldCharType="end"/>
      </w:r>
      <w:r>
        <w:rPr>
          <w:rFonts w:cs="宋体"/>
          <w:color w:val="auto"/>
          <w:highlight w:val="none"/>
        </w:rPr>
        <w:t>。</w:t>
      </w:r>
    </w:p>
    <w:p>
      <w:pPr>
        <w:pStyle w:val="10"/>
        <w:adjustRightInd w:val="0"/>
        <w:snapToGrid w:val="0"/>
        <w:spacing w:beforeAutospacing="0" w:afterAutospacing="0" w:line="360" w:lineRule="auto"/>
        <w:ind w:firstLine="482" w:firstLineChars="200"/>
        <w:outlineLvl w:val="3"/>
        <w:rPr>
          <w:rFonts w:hint="default"/>
          <w:color w:val="auto"/>
          <w:highlight w:val="none"/>
        </w:rPr>
      </w:pPr>
      <w:r>
        <w:rPr>
          <w:b/>
          <w:color w:val="auto"/>
          <w:highlight w:val="none"/>
        </w:rPr>
        <w:t>24.4</w:t>
      </w:r>
      <w:r>
        <w:rPr>
          <w:rFonts w:cs="宋体"/>
          <w:color w:val="auto"/>
          <w:highlight w:val="none"/>
        </w:rPr>
        <w:t>计算机硬件</w:t>
      </w:r>
    </w:p>
    <w:p>
      <w:pPr>
        <w:pStyle w:val="10"/>
        <w:adjustRightInd w:val="0"/>
        <w:snapToGrid w:val="0"/>
        <w:spacing w:beforeAutospacing="0" w:afterAutospacing="0" w:line="360" w:lineRule="auto"/>
        <w:ind w:firstLine="480" w:firstLineChars="200"/>
        <w:rPr>
          <w:rFonts w:hint="default"/>
          <w:b/>
          <w:color w:val="auto"/>
          <w:highlight w:val="none"/>
        </w:rPr>
      </w:pPr>
      <w:r>
        <w:rPr>
          <w:rFonts w:cs="宋体"/>
          <w:color w:val="auto"/>
          <w:highlight w:val="none"/>
        </w:rPr>
        <w:t>乙方应配置满足计算机工程信息管理系统运行要求的计算机和工作站来支持日常的设计管理工作。接入计算机工程信息管理系统的计算机最低配置为：</w:t>
      </w:r>
      <w:r>
        <w:rPr>
          <w:color w:val="auto"/>
          <w:highlight w:val="none"/>
        </w:rPr>
        <w:t>CPU</w:t>
      </w:r>
      <w:r>
        <w:rPr>
          <w:rFonts w:cs="宋体"/>
          <w:color w:val="auto"/>
          <w:highlight w:val="none"/>
        </w:rPr>
        <w:t>主频</w:t>
      </w:r>
      <w:r>
        <w:rPr>
          <w:color w:val="auto"/>
          <w:highlight w:val="none"/>
        </w:rPr>
        <w:t>1.6GH</w:t>
      </w:r>
      <w:r>
        <w:rPr>
          <w:rFonts w:cs="宋体"/>
          <w:color w:val="auto"/>
          <w:highlight w:val="none"/>
        </w:rPr>
        <w:t>以上、内存</w:t>
      </w:r>
      <w:r>
        <w:rPr>
          <w:color w:val="auto"/>
          <w:highlight w:val="none"/>
        </w:rPr>
        <w:t>1G</w:t>
      </w:r>
      <w:r>
        <w:rPr>
          <w:rFonts w:cs="宋体"/>
          <w:color w:val="auto"/>
          <w:highlight w:val="none"/>
        </w:rPr>
        <w:t>以上、硬盘</w:t>
      </w:r>
      <w:r>
        <w:rPr>
          <w:color w:val="auto"/>
          <w:highlight w:val="none"/>
        </w:rPr>
        <w:t>120G</w:t>
      </w:r>
      <w:r>
        <w:rPr>
          <w:rFonts w:cs="宋体"/>
          <w:b/>
          <w:color w:val="auto"/>
          <w:highlight w:val="none"/>
        </w:rPr>
        <w:t>。</w:t>
      </w:r>
    </w:p>
    <w:p>
      <w:pPr>
        <w:pStyle w:val="10"/>
        <w:adjustRightInd w:val="0"/>
        <w:snapToGrid w:val="0"/>
        <w:spacing w:beforeAutospacing="0" w:afterAutospacing="0" w:line="360" w:lineRule="auto"/>
        <w:ind w:firstLine="482" w:firstLineChars="200"/>
        <w:outlineLvl w:val="3"/>
        <w:rPr>
          <w:rFonts w:hint="default"/>
          <w:color w:val="auto"/>
          <w:highlight w:val="none"/>
        </w:rPr>
      </w:pPr>
      <w:r>
        <w:rPr>
          <w:b/>
          <w:color w:val="auto"/>
          <w:highlight w:val="none"/>
        </w:rPr>
        <w:t>24.5</w:t>
      </w:r>
      <w:r>
        <w:rPr>
          <w:rFonts w:cs="宋体"/>
          <w:color w:val="auto"/>
          <w:highlight w:val="none"/>
        </w:rPr>
        <w:t>计算机软件</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计算机工程信息管理系统运行在</w:t>
      </w:r>
      <w:r>
        <w:rPr>
          <w:color w:val="auto"/>
          <w:highlight w:val="none"/>
        </w:rPr>
        <w:t>Windows2000</w:t>
      </w:r>
      <w:r>
        <w:rPr>
          <w:rFonts w:cs="宋体"/>
          <w:color w:val="auto"/>
          <w:highlight w:val="none"/>
        </w:rPr>
        <w:t>或更高版本的操作系统上，计划编制软件由乙方自行负责。</w:t>
      </w:r>
    </w:p>
    <w:p>
      <w:pPr>
        <w:pStyle w:val="10"/>
        <w:adjustRightInd w:val="0"/>
        <w:snapToGrid w:val="0"/>
        <w:spacing w:beforeAutospacing="0" w:afterAutospacing="0" w:line="360" w:lineRule="auto"/>
        <w:ind w:firstLine="482" w:firstLineChars="200"/>
        <w:outlineLvl w:val="3"/>
        <w:rPr>
          <w:rFonts w:hint="default"/>
          <w:color w:val="auto"/>
          <w:highlight w:val="none"/>
        </w:rPr>
      </w:pPr>
      <w:r>
        <w:rPr>
          <w:b/>
          <w:color w:val="auto"/>
          <w:highlight w:val="none"/>
        </w:rPr>
        <w:t>24.6</w:t>
      </w:r>
      <w:r>
        <w:rPr>
          <w:rFonts w:cs="宋体"/>
          <w:color w:val="auto"/>
          <w:highlight w:val="none"/>
        </w:rPr>
        <w:t>人员配备及培训</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乙方应配备一定数量的专门人员负责支持和维护计算机工程信息管理系统，并报甲方备案。乙方至少应有</w:t>
      </w:r>
      <w:r>
        <w:rPr>
          <w:color w:val="auto"/>
          <w:highlight w:val="none"/>
        </w:rPr>
        <w:t>1</w:t>
      </w:r>
      <w:r>
        <w:rPr>
          <w:rFonts w:cs="宋体"/>
          <w:color w:val="auto"/>
          <w:highlight w:val="none"/>
        </w:rPr>
        <w:t>名数据管理和录入人员，负责采集、录入、核对甲方要求提供的信息，并保证数据的及时准确；负责与甲方计算机系统人员协调解决计算机工程信息管理系统应用中出现的问题。</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上述人员须参加岗位培训，经考核后方能上岗。计算机工程信息管理系统专用软件培训由甲方或甲方委托的单位提供。</w:t>
      </w:r>
    </w:p>
    <w:p>
      <w:pPr>
        <w:pStyle w:val="10"/>
        <w:adjustRightInd w:val="0"/>
        <w:snapToGrid w:val="0"/>
        <w:spacing w:beforeAutospacing="0" w:afterAutospacing="0" w:line="360" w:lineRule="auto"/>
        <w:ind w:firstLine="482" w:firstLineChars="200"/>
        <w:outlineLvl w:val="3"/>
        <w:rPr>
          <w:rFonts w:hint="default"/>
          <w:color w:val="auto"/>
          <w:highlight w:val="none"/>
        </w:rPr>
      </w:pPr>
      <w:r>
        <w:rPr>
          <w:b/>
          <w:color w:val="auto"/>
          <w:highlight w:val="none"/>
        </w:rPr>
        <w:t>24.7</w:t>
      </w:r>
      <w:r>
        <w:rPr>
          <w:rFonts w:cs="宋体"/>
          <w:color w:val="auto"/>
          <w:highlight w:val="none"/>
        </w:rPr>
        <w:t>信息内容、格式及信息传递要求</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乙方应及时准确地按甲方所要求的时限、内容和格式将相关工程信息录入并传递给甲方。如乙方未能按甲方相关管理规定将信息录入或传递给甲方，甲方有权缓付或停付本合同价款。</w:t>
      </w:r>
    </w:p>
    <w:p>
      <w:pPr>
        <w:pStyle w:val="10"/>
        <w:adjustRightInd w:val="0"/>
        <w:snapToGrid w:val="0"/>
        <w:spacing w:beforeAutospacing="0" w:afterAutospacing="0" w:line="360" w:lineRule="auto"/>
        <w:ind w:firstLine="482" w:firstLineChars="200"/>
        <w:outlineLvl w:val="3"/>
        <w:rPr>
          <w:rFonts w:hint="default"/>
          <w:color w:val="auto"/>
          <w:highlight w:val="none"/>
        </w:rPr>
      </w:pPr>
      <w:r>
        <w:rPr>
          <w:b/>
          <w:color w:val="auto"/>
          <w:highlight w:val="none"/>
        </w:rPr>
        <w:t>24.8</w:t>
      </w:r>
      <w:r>
        <w:rPr>
          <w:rFonts w:cs="宋体"/>
          <w:color w:val="auto"/>
          <w:highlight w:val="none"/>
        </w:rPr>
        <w:t>信息安全</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计算机工程信息管理系统采用授权用户及密码验证以保证合法用户使用。乙方在接入计算机工程信息管理系统过程中，应采取必要的措施，以确保信息的完整、准确和安全。计算机工程信息管理系统中的信息资源所有权属于甲方，在执行设计管理过程中，乙方仅可以访问使用与授权相关的信息。</w:t>
      </w:r>
    </w:p>
    <w:p>
      <w:pPr>
        <w:pStyle w:val="10"/>
        <w:adjustRightInd w:val="0"/>
        <w:snapToGrid w:val="0"/>
        <w:spacing w:beforeAutospacing="0" w:afterAutospacing="0" w:line="360" w:lineRule="auto"/>
        <w:ind w:firstLine="480" w:firstLineChars="200"/>
        <w:rPr>
          <w:rFonts w:hint="default"/>
          <w:color w:val="auto"/>
          <w:highlight w:val="none"/>
        </w:rPr>
      </w:pPr>
    </w:p>
    <w:p>
      <w:pPr>
        <w:pStyle w:val="3"/>
        <w:keepNext w:val="0"/>
        <w:keepLines w:val="0"/>
        <w:widowControl/>
        <w:spacing w:before="0" w:after="0" w:line="360" w:lineRule="auto"/>
        <w:jc w:val="center"/>
        <w:rPr>
          <w:rFonts w:ascii="宋体" w:hAnsi="宋体" w:cs="宋体"/>
          <w:color w:val="auto"/>
          <w:sz w:val="24"/>
          <w:szCs w:val="24"/>
          <w:highlight w:val="none"/>
        </w:rPr>
      </w:pPr>
      <w:r>
        <w:rPr>
          <w:rFonts w:hint="eastAsia" w:ascii="宋体" w:hAnsi="宋体" w:cs="宋体"/>
          <w:color w:val="auto"/>
          <w:kern w:val="0"/>
          <w:highlight w:val="none"/>
        </w:rPr>
        <w:t>第十三章  双方的权利与义务</w:t>
      </w:r>
    </w:p>
    <w:p>
      <w:pPr>
        <w:adjustRightInd w:val="0"/>
        <w:snapToGrid w:val="0"/>
        <w:spacing w:line="360" w:lineRule="auto"/>
        <w:ind w:firstLine="472" w:firstLineChars="196"/>
        <w:outlineLvl w:val="2"/>
        <w:rPr>
          <w:rFonts w:ascii="宋体" w:hAnsi="宋体" w:cs="宋体"/>
          <w:b/>
          <w:color w:val="auto"/>
          <w:kern w:val="0"/>
          <w:sz w:val="24"/>
          <w:szCs w:val="24"/>
          <w:highlight w:val="none"/>
        </w:rPr>
      </w:pPr>
    </w:p>
    <w:p>
      <w:pPr>
        <w:adjustRightInd w:val="0"/>
        <w:snapToGrid w:val="0"/>
        <w:spacing w:line="360" w:lineRule="auto"/>
        <w:ind w:firstLine="472" w:firstLineChars="196"/>
        <w:outlineLvl w:val="2"/>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25、甲方的权利与义务</w:t>
      </w:r>
    </w:p>
    <w:p>
      <w:pPr>
        <w:adjustRightInd w:val="0"/>
        <w:snapToGrid w:val="0"/>
        <w:spacing w:line="360" w:lineRule="auto"/>
        <w:ind w:firstLine="482" w:firstLineChars="200"/>
        <w:outlineLvl w:val="3"/>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25.1</w:t>
      </w:r>
      <w:r>
        <w:rPr>
          <w:rFonts w:hint="eastAsia" w:ascii="宋体" w:hAnsi="宋体" w:cs="宋体"/>
          <w:color w:val="auto"/>
          <w:kern w:val="0"/>
          <w:sz w:val="24"/>
          <w:szCs w:val="24"/>
          <w:highlight w:val="none"/>
        </w:rPr>
        <w:t>甲方的权利：</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（1）享有乙方勘察、设计文件的版权和全部使用权。</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乙方在勘察设计进度、勘察设计质量、指派人员、提供服务、协作等方面义务的履行不符合本合同约定时，甲方有追究违约责任、要求赔偿损失、直至解除合同等权利；同时，甲方还有权将乙方存在的上述违约事实公诸于众和向有关部门反映情况。</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（3）甲方有权聘请施工图审查单位作为本合同工程的勘察、设计咨询单位，乙方应接受该施工图审查单位按照相关勘察、设计咨询法规和甲方赋予的权利所进行的咨询工作。</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（4）勘察、设计变更的审批权，勘察、设计进度的监督权。</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（5）其他依据合同和法律规定属于甲方的权利。</w:t>
      </w:r>
    </w:p>
    <w:p>
      <w:pPr>
        <w:adjustRightInd w:val="0"/>
        <w:snapToGrid w:val="0"/>
        <w:spacing w:line="360" w:lineRule="auto"/>
        <w:ind w:firstLine="482" w:firstLineChars="200"/>
        <w:outlineLvl w:val="3"/>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25.2</w:t>
      </w:r>
      <w:r>
        <w:rPr>
          <w:rFonts w:hint="eastAsia" w:ascii="宋体" w:hAnsi="宋体" w:cs="宋体"/>
          <w:color w:val="auto"/>
          <w:kern w:val="0"/>
          <w:sz w:val="24"/>
          <w:szCs w:val="24"/>
          <w:highlight w:val="none"/>
        </w:rPr>
        <w:t>甲方的义务：</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（1）按本合同约定及时向乙方提供有关资料及文件，甲方提供的资料及文件具体如下：</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 方案阶段提供的资料</w:t>
      </w:r>
    </w:p>
    <w:p>
      <w:pPr>
        <w:adjustRightInd w:val="0"/>
        <w:snapToGrid w:val="0"/>
        <w:spacing w:line="360" w:lineRule="auto"/>
        <w:ind w:left="210" w:leftChars="100"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①设计任务书；</w:t>
      </w:r>
    </w:p>
    <w:p>
      <w:pPr>
        <w:adjustRightInd w:val="0"/>
        <w:snapToGrid w:val="0"/>
        <w:spacing w:line="360" w:lineRule="auto"/>
        <w:ind w:left="210" w:leftChars="100"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②立项批复文件；</w:t>
      </w:r>
    </w:p>
    <w:p>
      <w:pPr>
        <w:adjustRightInd w:val="0"/>
        <w:snapToGrid w:val="0"/>
        <w:spacing w:line="360" w:lineRule="auto"/>
        <w:ind w:left="210" w:leftChars="100"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③规划建设主管部门对本合同约定项目的规划设计要点；</w:t>
      </w:r>
    </w:p>
    <w:p>
      <w:pPr>
        <w:adjustRightInd w:val="0"/>
        <w:snapToGrid w:val="0"/>
        <w:spacing w:line="360" w:lineRule="auto"/>
        <w:ind w:left="210" w:leftChars="100"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④由规划部门认可的用地红线和地形图；</w:t>
      </w:r>
    </w:p>
    <w:p>
      <w:pPr>
        <w:adjustRightInd w:val="0"/>
        <w:snapToGrid w:val="0"/>
        <w:spacing w:line="360" w:lineRule="auto"/>
        <w:ind w:left="210" w:leftChars="100"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⑤本合同约定的项目基础资料，包括用地红线坐标(表)、场地标高、市政设施图的资料（绿化、道路、管线、建构筑物等）；</w:t>
      </w:r>
    </w:p>
    <w:p>
      <w:pPr>
        <w:adjustRightInd w:val="0"/>
        <w:snapToGrid w:val="0"/>
        <w:spacing w:line="360" w:lineRule="auto"/>
        <w:ind w:left="210" w:leftChars="100"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⑥若本合同不包括勘察工程的，还应包括地质勘察资料等；</w:t>
      </w:r>
    </w:p>
    <w:p>
      <w:pPr>
        <w:adjustRightInd w:val="0"/>
        <w:snapToGrid w:val="0"/>
        <w:spacing w:line="360" w:lineRule="auto"/>
        <w:ind w:left="210" w:leftChars="100"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⑦甲方关于设计、图档、图文、工程等相关管理办法，具体见附件；</w:t>
      </w:r>
    </w:p>
    <w:p>
      <w:pPr>
        <w:adjustRightInd w:val="0"/>
        <w:snapToGrid w:val="0"/>
        <w:spacing w:line="360" w:lineRule="auto"/>
        <w:ind w:left="210" w:leftChars="100"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⑧评标委员会的意见、甲方提出的修改意见，和版权属于甲方的其他投标方案。</w:t>
      </w:r>
    </w:p>
    <w:p>
      <w:pPr>
        <w:adjustRightInd w:val="0"/>
        <w:snapToGrid w:val="0"/>
        <w:spacing w:line="360" w:lineRule="auto"/>
        <w:ind w:left="210" w:leftChars="100"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 初步设计及施工图设计阶段提供的资料</w:t>
      </w:r>
    </w:p>
    <w:p>
      <w:pPr>
        <w:adjustRightInd w:val="0"/>
        <w:snapToGrid w:val="0"/>
        <w:spacing w:line="360" w:lineRule="auto"/>
        <w:ind w:left="210" w:leftChars="100"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①甲方对于设计方案的修改意见；</w:t>
      </w:r>
    </w:p>
    <w:p>
      <w:pPr>
        <w:adjustRightInd w:val="0"/>
        <w:snapToGrid w:val="0"/>
        <w:spacing w:line="360" w:lineRule="auto"/>
        <w:ind w:left="210" w:leftChars="100"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②政府部门、职能部门审批意见；</w:t>
      </w:r>
    </w:p>
    <w:p>
      <w:pPr>
        <w:adjustRightInd w:val="0"/>
        <w:snapToGrid w:val="0"/>
        <w:spacing w:line="360" w:lineRule="auto"/>
        <w:ind w:left="210" w:leftChars="100"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③政府或甲方委托，或组织的评审机构（会议）提出的阶段性书面意见；</w:t>
      </w:r>
    </w:p>
    <w:p>
      <w:pPr>
        <w:adjustRightInd w:val="0"/>
        <w:snapToGrid w:val="0"/>
        <w:spacing w:line="360" w:lineRule="auto"/>
        <w:ind w:left="210" w:leftChars="100"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④双方来往的各类书面文件、会议纪要等。</w:t>
      </w:r>
    </w:p>
    <w:p>
      <w:pPr>
        <w:adjustRightInd w:val="0"/>
        <w:snapToGrid w:val="0"/>
        <w:spacing w:line="360" w:lineRule="auto"/>
        <w:ind w:left="210" w:leftChars="100"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3)提供勘察相关的文件、资料</w:t>
      </w:r>
    </w:p>
    <w:p>
      <w:pPr>
        <w:adjustRightInd w:val="0"/>
        <w:snapToGrid w:val="0"/>
        <w:spacing w:line="360" w:lineRule="auto"/>
        <w:ind w:left="210" w:leftChars="100"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①甲方提供的勘察任务书；</w:t>
      </w:r>
    </w:p>
    <w:p>
      <w:pPr>
        <w:adjustRightInd w:val="0"/>
        <w:snapToGrid w:val="0"/>
        <w:spacing w:line="360" w:lineRule="auto"/>
        <w:ind w:left="210" w:leftChars="100"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②本项目工程勘察许可等批文(复印件)；</w:t>
      </w:r>
    </w:p>
    <w:p>
      <w:pPr>
        <w:adjustRightInd w:val="0"/>
        <w:snapToGrid w:val="0"/>
        <w:spacing w:line="360" w:lineRule="auto"/>
        <w:ind w:left="210" w:leftChars="100"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③本合同约定的项目基础资料，包括用地红线坐标(表)、现状地形图、场地标高、市政设施图的资料（绿化、道路、管线、建构筑物等）,勘察工作范围内地下管线图 (包括电力、电讯电缆、煤气、自来水、污水等各种管道)以及人防设施、洞室等具体位置分布图；</w:t>
      </w:r>
    </w:p>
    <w:p>
      <w:pPr>
        <w:adjustRightInd w:val="0"/>
        <w:snapToGrid w:val="0"/>
        <w:spacing w:line="360" w:lineRule="auto"/>
        <w:ind w:left="210" w:leftChars="100"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④勘察范围的建筑总平面布置图（如有），勘察技术要求、技术资料；</w:t>
      </w:r>
    </w:p>
    <w:p>
      <w:pPr>
        <w:adjustRightInd w:val="0"/>
        <w:snapToGrid w:val="0"/>
        <w:spacing w:line="360" w:lineRule="auto"/>
        <w:ind w:left="210" w:leftChars="100"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⑤甲方关于设计、图档、图文、工程等相关管理办法，具体见附件；</w:t>
      </w:r>
    </w:p>
    <w:p>
      <w:pPr>
        <w:adjustRightInd w:val="0"/>
        <w:snapToGrid w:val="0"/>
        <w:spacing w:line="360" w:lineRule="auto"/>
        <w:ind w:left="210" w:leftChars="100"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⑥设计和建设过程中的政府审批意见，政府或甲方委托或组织的评审机构（会议）提出的或甲方发出的阶段性书面意见，双方来往的各类书面文件、会议纪要等。</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bidi="ar"/>
        </w:rPr>
        <w:t>按本合同约定按时办理勘察、设计费支付</w:t>
      </w:r>
      <w:r>
        <w:rPr>
          <w:rFonts w:hint="eastAsia" w:ascii="宋体" w:hAnsi="宋体" w:cs="宋体"/>
          <w:color w:val="auto"/>
          <w:kern w:val="0"/>
          <w:sz w:val="24"/>
          <w:szCs w:val="24"/>
          <w:highlight w:val="none"/>
        </w:rPr>
        <w:t>。</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（3）甲方单方面原因变更委托勘察、设计项目、规模、条件或所提交资料作较大修改，以致造成乙方勘察、设计返工时，双方应酌情签订补充协议。</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若由于甲方原因造成乙方提交资料错误，相关提交成果资料费用及延期责任由甲方负责，并给予乙方合理修改时间和相关勘察、设计修改费用；由于乙方原因造成提交资料错误的，相关提交成果资料费用及延期责任由乙方承担，另甲方可按实际损失追究乙方责任及相应补偿。</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在整个设计过程中，因在招标阶段及合同签订时适用的设计规范及标准发生变化，造成乙方对已经被甲方确认的设计返工时，甲乙双方共同承担相关风险，双方须共同按照新规范、新标准推进设计工作，同时给予乙方合理设计时间和成果资料重复制作的费用，在规模投资不变的情况下，不再另行支付乙方设计修改的设计费用。设计中如遇国家和地区无相应规范、标准和依据的，由乙方提出建议，由甲方报送有关主管部门审查确认或解释所采用的标准、规定和依据。</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（4）工程实施前，若甲方负责提供材料的，应根据乙方提出的工程用料计划，按时提供各种材料及其产品合格证明，派人与乙方的人员一起验收。</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（5）按本合同约定的勘察、设计进度和阶段及时将乙方提交的所有勘察、设计文件转送相关部门审批，并根据时间表的规定将必要的审批件交付乙方。</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（6）甲方要求乙方比合同约定时间提前交付勘察、设计文件时，须征得乙方同意，并不得严重背离合理勘察、设计周期。</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甲方及施工图审查单位在收到乙方有关勘察、设计问题及确认问题的函件后，应在5个工作日内给予书面答复，每次勘察、设计会议纪要应在该次会议结束后两日内书面交付乙方或于甲方（广州市重点公共建设项目管理中心）网站上公布。</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（8）在施工现场服务阶段，甲方应在施工现场免费给乙方提供必要的办公用房（不含办公设备）。</w:t>
      </w:r>
    </w:p>
    <w:p>
      <w:pPr>
        <w:adjustRightInd w:val="0"/>
        <w:snapToGrid w:val="0"/>
        <w:spacing w:line="360" w:lineRule="auto"/>
        <w:ind w:firstLine="472" w:firstLineChars="196"/>
        <w:outlineLvl w:val="2"/>
        <w:rPr>
          <w:rFonts w:ascii="宋体" w:hAnsi="宋体" w:cs="宋体"/>
          <w:b/>
          <w:color w:val="auto"/>
          <w:kern w:val="0"/>
          <w:sz w:val="24"/>
          <w:szCs w:val="24"/>
          <w:highlight w:val="none"/>
        </w:rPr>
      </w:pPr>
    </w:p>
    <w:p>
      <w:pPr>
        <w:adjustRightInd w:val="0"/>
        <w:snapToGrid w:val="0"/>
        <w:spacing w:line="360" w:lineRule="auto"/>
        <w:ind w:firstLine="472" w:firstLineChars="196"/>
        <w:outlineLvl w:val="2"/>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26、乙方的权利与义务</w:t>
      </w:r>
    </w:p>
    <w:p>
      <w:pPr>
        <w:adjustRightInd w:val="0"/>
        <w:snapToGrid w:val="0"/>
        <w:spacing w:line="360" w:lineRule="auto"/>
        <w:ind w:firstLine="482" w:firstLineChars="200"/>
        <w:outlineLvl w:val="3"/>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26.1</w:t>
      </w:r>
      <w:r>
        <w:rPr>
          <w:rFonts w:hint="eastAsia" w:ascii="宋体" w:hAnsi="宋体" w:cs="宋体"/>
          <w:color w:val="auto"/>
          <w:kern w:val="0"/>
          <w:sz w:val="24"/>
          <w:szCs w:val="24"/>
          <w:highlight w:val="none"/>
        </w:rPr>
        <w:t>乙方的权利：</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（1）根据合同约定收取勘察费、设计费。</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（2）拥有勘察、设计成果文件的署名权。</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（3）设计方案、图纸未审批之前，在不影响工期及合同约定的提交成果文件的时间的情况下，有权提出修改方案、图纸的建议。</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（4）有权依据甲方的意图和本合同工程勘察、设计工作进展情况指令各专业勘察、设计单位按时、按质、按量完成本合同专项工程的勘察、设计工作。</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甲方提交资料或者文件的时间超过约定期限15天以内(含15天)的，乙方交付设计文件时间按合同的约定顺延相应的天数；甲方提交资料或者文件的时间超过约定期限15天以上的，乙方有权重新确定提交设计文件的时间。</w:t>
      </w:r>
    </w:p>
    <w:p>
      <w:pPr>
        <w:adjustRightInd w:val="0"/>
        <w:snapToGrid w:val="0"/>
        <w:spacing w:line="360" w:lineRule="auto"/>
        <w:ind w:firstLine="482" w:firstLineChars="200"/>
        <w:outlineLvl w:val="3"/>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 xml:space="preserve">26.2 </w:t>
      </w:r>
      <w:r>
        <w:rPr>
          <w:rFonts w:hint="eastAsia" w:ascii="宋体" w:hAnsi="宋体" w:cs="宋体"/>
          <w:color w:val="auto"/>
          <w:kern w:val="0"/>
          <w:sz w:val="24"/>
          <w:szCs w:val="24"/>
          <w:highlight w:val="none"/>
        </w:rPr>
        <w:t>除根据本合同约定的完成勘察、设计工作外，乙方义务还包括但不限于：</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在勘察、设计及施工过程中，乙方应充分尊重和理解甲方、代表甲方的施工图审查单位对勘察、设计提出的书面意见与要求，如无充分的否定理由应尽快予以处理和实施。对合同没有约定的部分和没有描述的部分，双方应另行协商。</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（2）在勘察、设计各阶段，乙方应根据甲方或有权审核部门的意见，及时修改、完善勘察、设计，负责完成由于勘察、设计失误未获有权审核部门批准而出现的反复修改的工作。</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（3）乙方不享有对勘察、设计文件的留置权，由乙方或其分包单位完成的勘察、设计文件应依据本合同约定的时间提交给甲方的，不论乙方与其分包单位有何种约定或分工，均不得拒绝或拖延向甲方提交。</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（4）乙方应加强对勘察、设计和管理服务人员职业操守的教育，恪守职业道德守则，并严格遵守下列规定：</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1）严防重产值、轻质量倾向，确保公众人身及财产安全；</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2）禁止向甲方及施工单位推销材料、设备，或以倾向性、排他性设计变相推销；</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3）禁止与材料、设备供应商串通，设计中选用价高质次的材料、设备；</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4）禁止与材料、设备供应商串通，在材料、设备的监造或调试过程中对不合格材料、设备产品进行包庇或以次充好，提高产品验收级别；</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5）禁止与施工单位串通，对不合格材料、设备、产品、工程进行包庇及验收；</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6）禁止与施工单位串通，对材料用量、工程量进行虚假签认；</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7）禁止与施工单位串通，不合理提高施工难度及增加材料用量，以增大施工费用，获取不正当收益。</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乙方对勘察、设计文件及施工过程中由乙方签署的设计变更通知书进行检查，并在工程竣工验收前向甲方提交勘察、设计文件质量检查报告。质量检查报告应经该项目乙方负责人审核签名并加盖公章后，提交给甲方。</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乙方应严格按照《国务院办公厅关于科学绿化的指导意见》（国办发〔2021〕19号）、《广东省人民政府办公厅关于科学绿化的实施意见》（粤府办〔2021〕48号）、《广州市关于科学绿化的实施意见》（穗办〔2021〕11号）、《广州市城市树木保护管理规定（试行）》（穗林业园林规字〔2022〕1号）等相关规定开展勘察、设计工作。</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（7）其他依据法律规定和本合同约定应由乙方履行的义务。</w:t>
      </w:r>
    </w:p>
    <w:p>
      <w:pPr>
        <w:pStyle w:val="10"/>
        <w:widowControl w:val="0"/>
        <w:spacing w:beforeAutospacing="0" w:afterAutospacing="0"/>
        <w:ind w:firstLine="480" w:firstLineChars="200"/>
        <w:jc w:val="both"/>
        <w:rPr>
          <w:rFonts w:hint="default" w:ascii="Calibri" w:hAnsi="Calibri" w:cs="Calibri"/>
          <w:color w:val="auto"/>
          <w:highlight w:val="none"/>
        </w:rPr>
      </w:pPr>
    </w:p>
    <w:p>
      <w:pPr>
        <w:pStyle w:val="3"/>
        <w:keepNext w:val="0"/>
        <w:keepLines w:val="0"/>
        <w:widowControl/>
        <w:spacing w:before="0" w:after="0" w:line="360" w:lineRule="auto"/>
        <w:jc w:val="center"/>
        <w:rPr>
          <w:rFonts w:ascii="宋体" w:hAnsi="宋体" w:cs="宋体"/>
          <w:color w:val="auto"/>
          <w:sz w:val="24"/>
          <w:szCs w:val="24"/>
          <w:highlight w:val="none"/>
        </w:rPr>
      </w:pPr>
      <w:r>
        <w:rPr>
          <w:rFonts w:hint="eastAsia" w:ascii="宋体" w:hAnsi="宋体" w:cs="宋体"/>
          <w:color w:val="auto"/>
          <w:kern w:val="0"/>
          <w:highlight w:val="none"/>
        </w:rPr>
        <w:t>第十四章  违约责任</w:t>
      </w:r>
    </w:p>
    <w:p>
      <w:pPr>
        <w:adjustRightInd w:val="0"/>
        <w:snapToGrid w:val="0"/>
        <w:spacing w:line="360" w:lineRule="auto"/>
        <w:ind w:firstLine="472" w:firstLineChars="196"/>
        <w:outlineLvl w:val="2"/>
        <w:rPr>
          <w:rFonts w:ascii="宋体" w:hAnsi="宋体" w:cs="宋体"/>
          <w:b/>
          <w:color w:val="auto"/>
          <w:kern w:val="0"/>
          <w:sz w:val="24"/>
          <w:szCs w:val="24"/>
          <w:highlight w:val="none"/>
        </w:rPr>
      </w:pPr>
    </w:p>
    <w:p>
      <w:pPr>
        <w:adjustRightInd w:val="0"/>
        <w:snapToGrid w:val="0"/>
        <w:spacing w:line="360" w:lineRule="auto"/>
        <w:ind w:firstLine="472" w:firstLineChars="196"/>
        <w:outlineLvl w:val="2"/>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27、甲方的违约责任</w:t>
      </w:r>
    </w:p>
    <w:p>
      <w:pPr>
        <w:pStyle w:val="10"/>
        <w:adjustRightInd w:val="0"/>
        <w:snapToGrid w:val="0"/>
        <w:spacing w:beforeAutospacing="0" w:afterAutospacing="0" w:line="360" w:lineRule="auto"/>
        <w:ind w:firstLine="482" w:firstLineChars="200"/>
        <w:rPr>
          <w:rFonts w:hint="default"/>
          <w:color w:val="auto"/>
          <w:highlight w:val="none"/>
        </w:rPr>
      </w:pPr>
      <w:r>
        <w:rPr>
          <w:b/>
          <w:color w:val="auto"/>
          <w:highlight w:val="none"/>
        </w:rPr>
        <w:t>27.1</w:t>
      </w:r>
      <w:r>
        <w:rPr>
          <w:rFonts w:cs="宋体"/>
          <w:color w:val="auto"/>
          <w:highlight w:val="none"/>
        </w:rPr>
        <w:t>本合同生效后，甲方无正当理由不按合同约定支付预付款的，除支付本合同约定的预付款外，还应按人民银行同期活期存款利率给乙方计付预付款拖欠期间的利息。</w:t>
      </w:r>
    </w:p>
    <w:p>
      <w:pPr>
        <w:pStyle w:val="10"/>
        <w:adjustRightInd w:val="0"/>
        <w:snapToGrid w:val="0"/>
        <w:spacing w:beforeAutospacing="0" w:afterAutospacing="0" w:line="360" w:lineRule="auto"/>
        <w:ind w:firstLine="482" w:firstLineChars="200"/>
        <w:rPr>
          <w:rFonts w:hint="default"/>
          <w:color w:val="auto"/>
          <w:highlight w:val="none"/>
        </w:rPr>
      </w:pPr>
      <w:r>
        <w:rPr>
          <w:b/>
          <w:color w:val="auto"/>
          <w:highlight w:val="none"/>
        </w:rPr>
        <w:t>27.2</w:t>
      </w:r>
      <w:r>
        <w:rPr>
          <w:rFonts w:cs="宋体"/>
          <w:bCs/>
          <w:color w:val="auto"/>
          <w:highlight w:val="none"/>
        </w:rPr>
        <w:t>甲方</w:t>
      </w:r>
      <w:r>
        <w:rPr>
          <w:rFonts w:cs="宋体"/>
          <w:color w:val="auto"/>
          <w:highlight w:val="none"/>
        </w:rPr>
        <w:t>无正当理由不按合同约定支付勘察、设计进度款的，除应支付本合同约定的勘察、设计进度款外，还应按人民银行同期活期存款利率给乙方计付该进度款拖欠期间的利息。</w:t>
      </w:r>
    </w:p>
    <w:p>
      <w:pPr>
        <w:pStyle w:val="10"/>
        <w:adjustRightInd w:val="0"/>
        <w:snapToGrid w:val="0"/>
        <w:spacing w:beforeAutospacing="0" w:afterAutospacing="0" w:line="360" w:lineRule="auto"/>
        <w:ind w:firstLine="482" w:firstLineChars="200"/>
        <w:rPr>
          <w:rFonts w:hint="default"/>
          <w:color w:val="auto"/>
          <w:highlight w:val="none"/>
        </w:rPr>
      </w:pPr>
      <w:r>
        <w:rPr>
          <w:b/>
          <w:color w:val="auto"/>
          <w:highlight w:val="none"/>
        </w:rPr>
        <w:t>27.3</w:t>
      </w:r>
      <w:r>
        <w:rPr>
          <w:rFonts w:cs="宋体"/>
          <w:bCs/>
          <w:color w:val="auto"/>
          <w:highlight w:val="none"/>
        </w:rPr>
        <w:t>甲方</w:t>
      </w:r>
      <w:r>
        <w:rPr>
          <w:rFonts w:cs="宋体"/>
          <w:color w:val="auto"/>
          <w:highlight w:val="none"/>
        </w:rPr>
        <w:t>无正当理由不支付乙方勘察、设计竣工结算款的，除应支付乙方勘察、设计竣工结算款外，还应按人民银行同期活期存款利率给乙方计付该竣工结算款拖欠期间的利息。</w:t>
      </w:r>
    </w:p>
    <w:p>
      <w:pPr>
        <w:pStyle w:val="10"/>
        <w:adjustRightInd w:val="0"/>
        <w:snapToGrid w:val="0"/>
        <w:spacing w:beforeAutospacing="0" w:afterAutospacing="0" w:line="360" w:lineRule="auto"/>
        <w:ind w:firstLine="482" w:firstLineChars="200"/>
        <w:rPr>
          <w:rFonts w:hint="default"/>
          <w:color w:val="auto"/>
          <w:highlight w:val="none"/>
        </w:rPr>
      </w:pPr>
      <w:r>
        <w:rPr>
          <w:b/>
          <w:color w:val="auto"/>
          <w:highlight w:val="none"/>
        </w:rPr>
        <w:t>27.4</w:t>
      </w:r>
      <w:r>
        <w:rPr>
          <w:rFonts w:cs="宋体"/>
          <w:color w:val="auto"/>
          <w:highlight w:val="none"/>
        </w:rPr>
        <w:t>甲方违约给乙方造成损失的，在乙方能够提交足够证据并经查证属实的情况下，相关责任单位应赔偿其直接经济损失。</w:t>
      </w:r>
    </w:p>
    <w:p>
      <w:pPr>
        <w:pStyle w:val="10"/>
        <w:adjustRightInd w:val="0"/>
        <w:snapToGrid w:val="0"/>
        <w:spacing w:beforeAutospacing="0" w:afterAutospacing="0" w:line="360" w:lineRule="auto"/>
        <w:ind w:firstLine="480" w:firstLineChars="200"/>
        <w:rPr>
          <w:rFonts w:hint="default"/>
          <w:color w:val="auto"/>
          <w:highlight w:val="none"/>
        </w:rPr>
      </w:pPr>
    </w:p>
    <w:p>
      <w:pPr>
        <w:adjustRightInd w:val="0"/>
        <w:snapToGrid w:val="0"/>
        <w:spacing w:line="360" w:lineRule="auto"/>
        <w:ind w:firstLine="472" w:firstLineChars="196"/>
        <w:outlineLvl w:val="2"/>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28、乙方的违约责任</w:t>
      </w:r>
    </w:p>
    <w:p>
      <w:pPr>
        <w:pStyle w:val="10"/>
        <w:adjustRightInd w:val="0"/>
        <w:snapToGrid w:val="0"/>
        <w:spacing w:beforeAutospacing="0" w:afterAutospacing="0" w:line="360" w:lineRule="auto"/>
        <w:ind w:firstLine="482" w:firstLineChars="200"/>
        <w:outlineLvl w:val="3"/>
        <w:rPr>
          <w:rFonts w:hint="default"/>
          <w:color w:val="auto"/>
          <w:highlight w:val="none"/>
        </w:rPr>
      </w:pPr>
      <w:r>
        <w:rPr>
          <w:b/>
          <w:color w:val="auto"/>
          <w:highlight w:val="none"/>
        </w:rPr>
        <w:t>28.1</w:t>
      </w:r>
      <w:r>
        <w:rPr>
          <w:rFonts w:cs="宋体"/>
          <w:color w:val="auto"/>
          <w:highlight w:val="none"/>
        </w:rPr>
        <w:t>乙方承担违约责任的方式包括但不限于：</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w:t>
      </w:r>
      <w:r>
        <w:rPr>
          <w:color w:val="auto"/>
          <w:highlight w:val="none"/>
        </w:rPr>
        <w:t>1</w:t>
      </w:r>
      <w:r>
        <w:rPr>
          <w:rFonts w:cs="宋体"/>
          <w:color w:val="auto"/>
          <w:highlight w:val="none"/>
        </w:rPr>
        <w:t>）书面警告。乙方未履行、未按时或按质履行义务，或不执行甲方的指令时，甲方有权向乙方发出书面警告。乙方必须在书面警告限定的时间内按要求履行义务或执行指令，否则应承担</w:t>
      </w:r>
      <w:r>
        <w:rPr>
          <w:color w:val="auto"/>
          <w:highlight w:val="none"/>
        </w:rPr>
        <w:t>1</w:t>
      </w:r>
      <w:r>
        <w:rPr>
          <w:rFonts w:cs="宋体"/>
          <w:color w:val="auto"/>
          <w:highlight w:val="none"/>
        </w:rPr>
        <w:t>次一般违约责任。</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w:t>
      </w:r>
      <w:r>
        <w:rPr>
          <w:color w:val="auto"/>
          <w:highlight w:val="none"/>
        </w:rPr>
        <w:t>2</w:t>
      </w:r>
      <w:r>
        <w:rPr>
          <w:rFonts w:cs="宋体"/>
          <w:color w:val="auto"/>
          <w:highlight w:val="none"/>
        </w:rPr>
        <w:t>）一般违约责任。乙方违反本合同的约定须承担一般违约责任时，必须向甲方交纳违约金</w:t>
      </w:r>
      <w:r>
        <w:rPr>
          <w:color w:val="auto"/>
          <w:highlight w:val="none"/>
          <w:u w:val="single"/>
        </w:rPr>
        <w:t>(</w:t>
      </w:r>
      <w:r>
        <w:rPr>
          <w:rFonts w:hint="eastAsia" w:ascii="MS Mincho" w:hAnsi="MS Mincho" w:cs="MS Mincho"/>
          <w:color w:val="auto"/>
          <w:highlight w:val="none"/>
          <w:u w:val="single"/>
          <w:lang w:eastAsia="zh-CN"/>
        </w:rPr>
        <w:t>□</w:t>
      </w:r>
      <w:r>
        <w:rPr>
          <w:color w:val="auto"/>
          <w:highlight w:val="none"/>
          <w:u w:val="single"/>
        </w:rPr>
        <w:t>3000</w:t>
      </w:r>
      <w:r>
        <w:rPr>
          <w:rFonts w:cs="宋体"/>
          <w:color w:val="auto"/>
          <w:highlight w:val="none"/>
          <w:u w:val="single"/>
        </w:rPr>
        <w:t>元</w:t>
      </w:r>
      <w:r>
        <w:rPr>
          <w:bCs/>
          <w:color w:val="auto"/>
          <w:highlight w:val="none"/>
          <w:u w:val="single"/>
        </w:rPr>
        <w:t>/次，</w:t>
      </w:r>
      <w:r>
        <w:rPr>
          <w:rFonts w:cs="宋体"/>
          <w:color w:val="auto"/>
          <w:highlight w:val="none"/>
          <w:u w:val="single"/>
        </w:rPr>
        <w:t>□</w:t>
      </w:r>
      <w:r>
        <w:rPr>
          <w:color w:val="auto"/>
          <w:highlight w:val="none"/>
          <w:u w:val="single"/>
        </w:rPr>
        <w:t>5000</w:t>
      </w:r>
      <w:r>
        <w:rPr>
          <w:rFonts w:cs="宋体"/>
          <w:color w:val="auto"/>
          <w:highlight w:val="none"/>
          <w:u w:val="single"/>
        </w:rPr>
        <w:t>元</w:t>
      </w:r>
      <w:r>
        <w:rPr>
          <w:bCs/>
          <w:color w:val="auto"/>
          <w:highlight w:val="none"/>
          <w:u w:val="single"/>
        </w:rPr>
        <w:t>/次，</w:t>
      </w:r>
      <w:r>
        <w:rPr>
          <w:rFonts w:hint="eastAsia" w:cs="宋体"/>
          <w:color w:val="auto"/>
          <w:highlight w:val="none"/>
          <w:u w:val="single"/>
          <w:lang w:eastAsia="zh-CN"/>
        </w:rPr>
        <w:t>☑</w:t>
      </w:r>
      <w:r>
        <w:rPr>
          <w:color w:val="auto"/>
          <w:highlight w:val="none"/>
          <w:u w:val="single"/>
        </w:rPr>
        <w:t>10000元</w:t>
      </w:r>
      <w:r>
        <w:rPr>
          <w:bCs/>
          <w:color w:val="auto"/>
          <w:highlight w:val="none"/>
          <w:u w:val="single"/>
        </w:rPr>
        <w:t>/次)</w:t>
      </w:r>
      <w:r>
        <w:rPr>
          <w:rFonts w:cs="宋体"/>
          <w:color w:val="auto"/>
          <w:highlight w:val="none"/>
        </w:rPr>
        <w:t>。</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w:t>
      </w:r>
      <w:r>
        <w:rPr>
          <w:color w:val="auto"/>
          <w:highlight w:val="none"/>
        </w:rPr>
        <w:t>3</w:t>
      </w:r>
      <w:r>
        <w:rPr>
          <w:rFonts w:cs="宋体"/>
          <w:color w:val="auto"/>
          <w:highlight w:val="none"/>
        </w:rPr>
        <w:t>）严重违约责任。乙方违反本合同的约定须承担严重违约责任时，必须向甲方交纳违约金</w:t>
      </w:r>
      <w:r>
        <w:rPr>
          <w:color w:val="auto"/>
          <w:highlight w:val="none"/>
          <w:u w:val="single"/>
        </w:rPr>
        <w:t>(</w:t>
      </w:r>
      <w:r>
        <w:rPr>
          <w:rFonts w:hint="eastAsia" w:ascii="MS Mincho" w:hAnsi="MS Mincho" w:cs="MS Mincho"/>
          <w:color w:val="auto"/>
          <w:highlight w:val="none"/>
          <w:u w:val="single"/>
          <w:lang w:eastAsia="zh-CN"/>
        </w:rPr>
        <w:t>□</w:t>
      </w:r>
      <w:r>
        <w:rPr>
          <w:color w:val="auto"/>
          <w:highlight w:val="none"/>
          <w:u w:val="single"/>
        </w:rPr>
        <w:t>10000</w:t>
      </w:r>
      <w:r>
        <w:rPr>
          <w:rFonts w:cs="宋体"/>
          <w:color w:val="auto"/>
          <w:highlight w:val="none"/>
          <w:u w:val="single"/>
        </w:rPr>
        <w:t>元</w:t>
      </w:r>
      <w:r>
        <w:rPr>
          <w:color w:val="auto"/>
          <w:highlight w:val="none"/>
          <w:u w:val="single"/>
        </w:rPr>
        <w:t>/</w:t>
      </w:r>
      <w:r>
        <w:rPr>
          <w:rFonts w:cs="宋体"/>
          <w:color w:val="auto"/>
          <w:highlight w:val="none"/>
          <w:u w:val="single"/>
        </w:rPr>
        <w:t>次，□</w:t>
      </w:r>
      <w:r>
        <w:rPr>
          <w:color w:val="auto"/>
          <w:highlight w:val="none"/>
          <w:u w:val="single"/>
        </w:rPr>
        <w:t>20000</w:t>
      </w:r>
      <w:r>
        <w:rPr>
          <w:rFonts w:cs="宋体"/>
          <w:color w:val="auto"/>
          <w:highlight w:val="none"/>
          <w:u w:val="single"/>
        </w:rPr>
        <w:t>元</w:t>
      </w:r>
      <w:r>
        <w:rPr>
          <w:color w:val="auto"/>
          <w:highlight w:val="none"/>
          <w:u w:val="single"/>
        </w:rPr>
        <w:t>/</w:t>
      </w:r>
      <w:r>
        <w:rPr>
          <w:rFonts w:cs="宋体"/>
          <w:color w:val="auto"/>
          <w:highlight w:val="none"/>
          <w:u w:val="single"/>
        </w:rPr>
        <w:t>次，</w:t>
      </w:r>
      <w:r>
        <w:rPr>
          <w:rFonts w:hint="eastAsia" w:cs="宋体"/>
          <w:color w:val="auto"/>
          <w:highlight w:val="none"/>
          <w:u w:val="single"/>
          <w:lang w:eastAsia="zh-CN"/>
        </w:rPr>
        <w:t>☑</w:t>
      </w:r>
      <w:r>
        <w:rPr>
          <w:color w:val="auto"/>
          <w:highlight w:val="none"/>
          <w:u w:val="single"/>
        </w:rPr>
        <w:t>30000元/</w:t>
      </w:r>
      <w:r>
        <w:rPr>
          <w:rFonts w:cs="宋体"/>
          <w:color w:val="auto"/>
          <w:highlight w:val="none"/>
          <w:u w:val="single"/>
        </w:rPr>
        <w:t>次</w:t>
      </w:r>
      <w:r>
        <w:rPr>
          <w:color w:val="auto"/>
          <w:highlight w:val="none"/>
          <w:u w:val="single"/>
        </w:rPr>
        <w:t>)</w:t>
      </w:r>
      <w:r>
        <w:rPr>
          <w:rFonts w:cs="宋体"/>
          <w:color w:val="auto"/>
          <w:highlight w:val="none"/>
        </w:rPr>
        <w:t>。</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w:t>
      </w:r>
      <w:r>
        <w:rPr>
          <w:color w:val="auto"/>
          <w:highlight w:val="none"/>
        </w:rPr>
        <w:t>4</w:t>
      </w:r>
      <w:r>
        <w:rPr>
          <w:rFonts w:cs="宋体"/>
          <w:color w:val="auto"/>
          <w:highlight w:val="none"/>
        </w:rPr>
        <w:t>）赔偿损失。因乙方原因造成甲方经济损失的，乙方应赔偿甲方的全部直接和间接经济损失。</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w:t>
      </w:r>
      <w:r>
        <w:rPr>
          <w:color w:val="auto"/>
          <w:highlight w:val="none"/>
        </w:rPr>
        <w:t>5</w:t>
      </w:r>
      <w:r>
        <w:rPr>
          <w:rFonts w:cs="宋体"/>
          <w:color w:val="auto"/>
          <w:highlight w:val="none"/>
        </w:rPr>
        <w:t>）部分解除合同。当乙方违反本合同的约定达到部分解除合同的条件时，甲方有权向乙方发出书面部分解除合同的通知，该通知在送达乙方时即生效。乙方应在该通知生效之日起五天内向甲方支付本合同价款</w:t>
      </w:r>
      <w:r>
        <w:rPr>
          <w:color w:val="auto"/>
          <w:highlight w:val="none"/>
        </w:rPr>
        <w:t>5%</w:t>
      </w:r>
      <w:r>
        <w:rPr>
          <w:rFonts w:cs="宋体"/>
          <w:color w:val="auto"/>
          <w:highlight w:val="none"/>
        </w:rPr>
        <w:t>的违约金，违约金不足以弥补甲方全部损失的，乙方还应予以赔偿。同时，乙方必须在通知生效之日起三天内停止被解除部分的工作，通知生效之日起五天内配合甲方完成现场工作和有关资料的交接，所交接资料必须完整且满足甲方要求。乙方无特殊原因未在规定期限内完成交接和离场，或交接资料不完整或不满足甲方要求的，甲方有权视情况解除合同。若因乙方拒交或延误交接现场工作和有关资料而引致甲方工期延误及其它方面的损失，乙方必须按甲方的要求赔偿。</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w:t>
      </w:r>
      <w:r>
        <w:rPr>
          <w:color w:val="auto"/>
          <w:highlight w:val="none"/>
        </w:rPr>
        <w:t>6</w:t>
      </w:r>
      <w:r>
        <w:rPr>
          <w:rFonts w:cs="宋体"/>
          <w:color w:val="auto"/>
          <w:highlight w:val="none"/>
        </w:rPr>
        <w:t>）解除合同。当乙方违反本合同的约定符合解除合同的条件时，甲方有权向乙方发出书面解除合同的通知，该通知在送达乙方时即生效。乙方应在该通知生效之日起五天内向甲方支付本合同技术设计费</w:t>
      </w:r>
      <w:r>
        <w:rPr>
          <w:color w:val="auto"/>
          <w:highlight w:val="none"/>
        </w:rPr>
        <w:t>30%</w:t>
      </w:r>
      <w:r>
        <w:rPr>
          <w:rFonts w:cs="宋体"/>
          <w:color w:val="auto"/>
          <w:highlight w:val="none"/>
        </w:rPr>
        <w:t>的违约金，给甲方造成损失的，乙方应赔偿甲方的全部损失。同时，乙方必须在通知生效之日起三天内停止全部工作，通知生效之日起五天内配合甲方完成现场工作和有关资料的交接，并于完成交接工作当天内离场。乙方应保证所移交的资料齐全完整且满足甲方要求，乙方未在规定期限内完成交接和离场或所移交的资料不完整的，引致甲方工期延误和其它方面的损失，甲方有权要求乙方赔偿。</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w:t>
      </w:r>
      <w:r>
        <w:rPr>
          <w:color w:val="auto"/>
          <w:highlight w:val="none"/>
        </w:rPr>
        <w:t>7</w:t>
      </w:r>
      <w:r>
        <w:rPr>
          <w:rFonts w:cs="宋体"/>
          <w:color w:val="auto"/>
          <w:highlight w:val="none"/>
        </w:rPr>
        <w:t>）乙方按本合同约定应缴纳的违约金和赔偿金应分别计算。违约金累计总额不超过本合同结算价款的</w:t>
      </w:r>
      <w:r>
        <w:rPr>
          <w:color w:val="auto"/>
          <w:highlight w:val="none"/>
        </w:rPr>
        <w:t>25%</w:t>
      </w:r>
      <w:r>
        <w:rPr>
          <w:rFonts w:cs="宋体"/>
          <w:color w:val="auto"/>
          <w:highlight w:val="none"/>
        </w:rPr>
        <w:t>，如违约金不足以弥补给甲方造成的损失的，乙方应赔偿甲方的损失。</w:t>
      </w:r>
    </w:p>
    <w:p>
      <w:pPr>
        <w:pStyle w:val="10"/>
        <w:adjustRightInd w:val="0"/>
        <w:snapToGrid w:val="0"/>
        <w:spacing w:beforeAutospacing="0" w:afterAutospacing="0" w:line="360" w:lineRule="auto"/>
        <w:ind w:firstLine="482" w:firstLineChars="200"/>
        <w:outlineLvl w:val="3"/>
        <w:rPr>
          <w:rFonts w:hint="default"/>
          <w:color w:val="auto"/>
          <w:highlight w:val="none"/>
        </w:rPr>
      </w:pPr>
      <w:r>
        <w:rPr>
          <w:b/>
          <w:color w:val="auto"/>
          <w:highlight w:val="none"/>
        </w:rPr>
        <w:t>28.2</w:t>
      </w:r>
      <w:r>
        <w:rPr>
          <w:rFonts w:cs="宋体"/>
          <w:color w:val="auto"/>
          <w:highlight w:val="none"/>
        </w:rPr>
        <w:t>乙方承担书面警告累计达</w:t>
      </w:r>
      <w:r>
        <w:rPr>
          <w:color w:val="auto"/>
          <w:highlight w:val="none"/>
        </w:rPr>
        <w:t>3</w:t>
      </w:r>
      <w:r>
        <w:rPr>
          <w:rFonts w:cs="宋体"/>
          <w:color w:val="auto"/>
          <w:highlight w:val="none"/>
        </w:rPr>
        <w:t>次的，另行追加一般违约责任</w:t>
      </w:r>
      <w:r>
        <w:rPr>
          <w:color w:val="auto"/>
          <w:highlight w:val="none"/>
        </w:rPr>
        <w:t>1</w:t>
      </w:r>
      <w:r>
        <w:rPr>
          <w:rFonts w:cs="宋体"/>
          <w:color w:val="auto"/>
          <w:highlight w:val="none"/>
        </w:rPr>
        <w:t>次；乙方承担一般违约责任累计达</w:t>
      </w:r>
      <w:r>
        <w:rPr>
          <w:color w:val="auto"/>
          <w:highlight w:val="none"/>
        </w:rPr>
        <w:t>3</w:t>
      </w:r>
      <w:r>
        <w:rPr>
          <w:rFonts w:cs="宋体"/>
          <w:color w:val="auto"/>
          <w:highlight w:val="none"/>
        </w:rPr>
        <w:t>次的，另行追加严重违约责任</w:t>
      </w:r>
      <w:r>
        <w:rPr>
          <w:color w:val="auto"/>
          <w:highlight w:val="none"/>
        </w:rPr>
        <w:t>1</w:t>
      </w:r>
      <w:r>
        <w:rPr>
          <w:rFonts w:cs="宋体"/>
          <w:color w:val="auto"/>
          <w:highlight w:val="none"/>
        </w:rPr>
        <w:t>次；乙方累计承担严重违约责任达</w:t>
      </w:r>
      <w:r>
        <w:rPr>
          <w:color w:val="auto"/>
          <w:highlight w:val="none"/>
        </w:rPr>
        <w:t>3</w:t>
      </w:r>
      <w:r>
        <w:rPr>
          <w:rFonts w:cs="宋体"/>
          <w:color w:val="auto"/>
          <w:highlight w:val="none"/>
        </w:rPr>
        <w:t>次的，甲方有权单方面部分解除合同或解除合同。</w:t>
      </w:r>
    </w:p>
    <w:p>
      <w:pPr>
        <w:pStyle w:val="10"/>
        <w:adjustRightInd w:val="0"/>
        <w:snapToGrid w:val="0"/>
        <w:spacing w:beforeAutospacing="0" w:afterAutospacing="0" w:line="360" w:lineRule="auto"/>
        <w:ind w:firstLine="482" w:firstLineChars="200"/>
        <w:outlineLvl w:val="3"/>
        <w:rPr>
          <w:rFonts w:hint="default"/>
          <w:color w:val="auto"/>
          <w:highlight w:val="none"/>
        </w:rPr>
      </w:pPr>
      <w:r>
        <w:rPr>
          <w:b/>
          <w:color w:val="auto"/>
          <w:highlight w:val="none"/>
        </w:rPr>
        <w:t>28.3</w:t>
      </w:r>
      <w:r>
        <w:rPr>
          <w:rFonts w:cs="宋体"/>
          <w:color w:val="auto"/>
          <w:highlight w:val="none"/>
        </w:rPr>
        <w:t>乙方违约需向甲方支付违约金、赔偿金时，按本合同条款第</w:t>
      </w:r>
      <w:r>
        <w:rPr>
          <w:color w:val="auto"/>
          <w:highlight w:val="none"/>
        </w:rPr>
        <w:t>29</w:t>
      </w:r>
      <w:r>
        <w:rPr>
          <w:rFonts w:cs="宋体"/>
          <w:color w:val="auto"/>
          <w:highlight w:val="none"/>
        </w:rPr>
        <w:t>条约定的索赔方式执行。必要时，甲方有权书面通知乙方交纳或从应支付乙方的勘察、设计费中直接扣除，结算时不予退还，乙方不得有任何异议。甲方通知乙方交纳的，乙方必须在甲方规定的时间内主动交纳；逾期交纳的，甲方有权按逾期天数每天加收逾期交纳金额</w:t>
      </w:r>
      <w:r>
        <w:rPr>
          <w:color w:val="auto"/>
          <w:highlight w:val="none"/>
        </w:rPr>
        <w:t>2</w:t>
      </w:r>
      <w:r>
        <w:rPr>
          <w:rFonts w:cs="宋体"/>
          <w:color w:val="auto"/>
          <w:highlight w:val="none"/>
        </w:rPr>
        <w:t>‰的逾期违约金。</w:t>
      </w:r>
    </w:p>
    <w:p>
      <w:pPr>
        <w:pStyle w:val="10"/>
        <w:adjustRightInd w:val="0"/>
        <w:snapToGrid w:val="0"/>
        <w:spacing w:beforeAutospacing="0" w:afterAutospacing="0" w:line="360" w:lineRule="auto"/>
        <w:ind w:firstLine="482" w:firstLineChars="200"/>
        <w:outlineLvl w:val="3"/>
        <w:rPr>
          <w:rFonts w:hint="default"/>
          <w:color w:val="auto"/>
          <w:highlight w:val="none"/>
        </w:rPr>
      </w:pPr>
      <w:r>
        <w:rPr>
          <w:b/>
          <w:color w:val="auto"/>
          <w:highlight w:val="none"/>
        </w:rPr>
        <w:t>28.4</w:t>
      </w:r>
      <w:r>
        <w:rPr>
          <w:rFonts w:cs="宋体"/>
          <w:color w:val="auto"/>
          <w:highlight w:val="none"/>
        </w:rPr>
        <w:t>本合同解除后，乙方已经完成的勘察、设计成果文件全部归甲方所有，甲方有权与其他勘察、设计人签订勘察、设计协议，其他勘察、设计人有权在乙方已经完成的勘察、设计成果文件的基础上继续勘察、设计，乙方不得有异议，并不得向甲方或者其他勘察、设计人索取任何报酬。</w:t>
      </w:r>
    </w:p>
    <w:p>
      <w:pPr>
        <w:pStyle w:val="10"/>
        <w:adjustRightInd w:val="0"/>
        <w:snapToGrid w:val="0"/>
        <w:spacing w:beforeAutospacing="0" w:afterAutospacing="0" w:line="360" w:lineRule="auto"/>
        <w:ind w:firstLine="482" w:firstLineChars="200"/>
        <w:outlineLvl w:val="3"/>
        <w:rPr>
          <w:rFonts w:hint="default"/>
          <w:color w:val="auto"/>
          <w:highlight w:val="none"/>
        </w:rPr>
      </w:pPr>
      <w:r>
        <w:rPr>
          <w:b/>
          <w:color w:val="auto"/>
          <w:highlight w:val="none"/>
        </w:rPr>
        <w:t>28.5</w:t>
      </w:r>
      <w:r>
        <w:rPr>
          <w:rFonts w:cs="宋体"/>
          <w:color w:val="auto"/>
          <w:highlight w:val="none"/>
        </w:rPr>
        <w:t>勘察、设计管理、服务方面的违约责任</w:t>
      </w:r>
    </w:p>
    <w:p>
      <w:pPr>
        <w:pStyle w:val="10"/>
        <w:adjustRightInd w:val="0"/>
        <w:snapToGrid w:val="0"/>
        <w:spacing w:beforeAutospacing="0" w:afterAutospacing="0" w:line="360" w:lineRule="auto"/>
        <w:ind w:firstLine="480" w:firstLineChars="200"/>
        <w:outlineLvl w:val="3"/>
        <w:rPr>
          <w:rFonts w:hint="default"/>
          <w:color w:val="auto"/>
          <w:highlight w:val="none"/>
        </w:rPr>
      </w:pPr>
      <w:r>
        <w:rPr>
          <w:rFonts w:cs="宋体"/>
          <w:color w:val="auto"/>
          <w:highlight w:val="none"/>
        </w:rPr>
        <w:t>（</w:t>
      </w:r>
      <w:r>
        <w:rPr>
          <w:color w:val="auto"/>
          <w:highlight w:val="none"/>
        </w:rPr>
        <w:t>1</w:t>
      </w:r>
      <w:r>
        <w:rPr>
          <w:rFonts w:cs="宋体"/>
          <w:color w:val="auto"/>
          <w:highlight w:val="none"/>
        </w:rPr>
        <w:t>）乙方在本合同工程勘察、设计招投标或履行合同过程中贿赂甲方人员或建设项目有关主管人员的，视为不正当竞争并承担严重违约</w:t>
      </w:r>
      <w:r>
        <w:rPr>
          <w:color w:val="auto"/>
          <w:highlight w:val="none"/>
        </w:rPr>
        <w:t>1</w:t>
      </w:r>
      <w:r>
        <w:rPr>
          <w:rFonts w:cs="宋体"/>
          <w:color w:val="auto"/>
          <w:highlight w:val="none"/>
        </w:rPr>
        <w:t>次。情节特别严重的，甲方有权单方面解除合同。涉嫌犯罪的，移交司法部门处理。</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w:t>
      </w:r>
      <w:r>
        <w:rPr>
          <w:color w:val="auto"/>
          <w:highlight w:val="none"/>
        </w:rPr>
        <w:t>2</w:t>
      </w:r>
      <w:r>
        <w:rPr>
          <w:rFonts w:cs="宋体"/>
          <w:color w:val="auto"/>
          <w:highlight w:val="none"/>
        </w:rPr>
        <w:t>）乙方单方面终止或解除本合同的，应参照本合同条款第</w:t>
      </w:r>
      <w:r>
        <w:rPr>
          <w:color w:val="auto"/>
          <w:highlight w:val="none"/>
        </w:rPr>
        <w:t>28.1(6)</w:t>
      </w:r>
      <w:r>
        <w:rPr>
          <w:rFonts w:cs="宋体"/>
          <w:color w:val="auto"/>
          <w:highlight w:val="none"/>
        </w:rPr>
        <w:t>款的所约定的标准向甲方支付本合同技术设计费</w:t>
      </w:r>
      <w:r>
        <w:rPr>
          <w:color w:val="auto"/>
          <w:highlight w:val="none"/>
        </w:rPr>
        <w:t>30%</w:t>
      </w:r>
      <w:r>
        <w:rPr>
          <w:rFonts w:cs="宋体"/>
          <w:color w:val="auto"/>
          <w:highlight w:val="none"/>
        </w:rPr>
        <w:t>的违约金并赔偿损失。</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w:t>
      </w:r>
      <w:r>
        <w:rPr>
          <w:color w:val="auto"/>
          <w:highlight w:val="none"/>
        </w:rPr>
        <w:t>3</w:t>
      </w:r>
      <w:r>
        <w:rPr>
          <w:rFonts w:cs="宋体"/>
          <w:color w:val="auto"/>
          <w:highlight w:val="none"/>
        </w:rPr>
        <w:t>）乙方未能按合同约定投入人员或投入人员没有按时到位的人员为一般勘察、设计人员的，每出现</w:t>
      </w:r>
      <w:r>
        <w:rPr>
          <w:color w:val="auto"/>
          <w:highlight w:val="none"/>
        </w:rPr>
        <w:t>1</w:t>
      </w:r>
      <w:r>
        <w:rPr>
          <w:rFonts w:cs="宋体"/>
          <w:color w:val="auto"/>
          <w:highlight w:val="none"/>
        </w:rPr>
        <w:t>人次，乙方承担一般违约责任</w:t>
      </w:r>
      <w:r>
        <w:rPr>
          <w:color w:val="auto"/>
          <w:highlight w:val="none"/>
        </w:rPr>
        <w:t>1</w:t>
      </w:r>
      <w:r>
        <w:rPr>
          <w:rFonts w:cs="宋体"/>
          <w:color w:val="auto"/>
          <w:highlight w:val="none"/>
        </w:rPr>
        <w:t>次；如该没有投入或者没有按时到位的人员为勘察、设计专业负责人的，每出现</w:t>
      </w:r>
      <w:r>
        <w:rPr>
          <w:color w:val="auto"/>
          <w:highlight w:val="none"/>
        </w:rPr>
        <w:t>1</w:t>
      </w:r>
      <w:r>
        <w:rPr>
          <w:rFonts w:cs="宋体"/>
          <w:color w:val="auto"/>
          <w:highlight w:val="none"/>
        </w:rPr>
        <w:t>人次，乙方承担严重违约责任</w:t>
      </w:r>
      <w:r>
        <w:rPr>
          <w:color w:val="auto"/>
          <w:highlight w:val="none"/>
        </w:rPr>
        <w:t>1</w:t>
      </w:r>
      <w:r>
        <w:rPr>
          <w:rFonts w:cs="宋体"/>
          <w:color w:val="auto"/>
          <w:highlight w:val="none"/>
        </w:rPr>
        <w:t>次。乙方要求更换人员的，按本合同条款第</w:t>
      </w:r>
      <w:r>
        <w:rPr>
          <w:color w:val="auto"/>
          <w:highlight w:val="none"/>
        </w:rPr>
        <w:t>28.5(6)</w:t>
      </w:r>
      <w:r>
        <w:rPr>
          <w:rFonts w:cs="宋体"/>
          <w:color w:val="auto"/>
          <w:highlight w:val="none"/>
        </w:rPr>
        <w:t>款的约定执行。乙方在甲方规定的宽限期内仍未将人员投入到位的，甲方有权另请他人接替其工作，另请他人的费用从应支付给乙方的勘察、设计费中扣减，乙方不得提出任何异议。</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w:t>
      </w:r>
      <w:r>
        <w:rPr>
          <w:color w:val="auto"/>
          <w:highlight w:val="none"/>
        </w:rPr>
        <w:t>4</w:t>
      </w:r>
      <w:r>
        <w:rPr>
          <w:rFonts w:cs="宋体"/>
          <w:color w:val="auto"/>
          <w:highlight w:val="none"/>
        </w:rPr>
        <w:t>）乙方纳入甲方统一管理的勘察、设计服务人员（含现场服务人员）不遵守甲方管理制度或者工作不称职的，甲方有权发出书面警告，乙方必须在甲方规定的时间内予以更换。到期不更换的，视为乙方未能按合同约定投入人员，参照本合同条款第</w:t>
      </w:r>
      <w:r>
        <w:rPr>
          <w:color w:val="auto"/>
          <w:highlight w:val="none"/>
        </w:rPr>
        <w:t>28.5(3)</w:t>
      </w:r>
      <w:r>
        <w:rPr>
          <w:rFonts w:cs="宋体"/>
          <w:color w:val="auto"/>
          <w:highlight w:val="none"/>
        </w:rPr>
        <w:t>款的约定执行。</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w:t>
      </w:r>
      <w:r>
        <w:rPr>
          <w:color w:val="auto"/>
          <w:highlight w:val="none"/>
        </w:rPr>
        <w:t>5</w:t>
      </w:r>
      <w:r>
        <w:rPr>
          <w:rFonts w:cs="宋体"/>
          <w:color w:val="auto"/>
          <w:highlight w:val="none"/>
        </w:rPr>
        <w:t>）按合同约定投入的专为本合同工程服务的乙方驻场设计人员参与其他工程工作的，每发现一人次，视为乙方未能按合同约定投入人员，参照本合同条款第</w:t>
      </w:r>
      <w:r>
        <w:rPr>
          <w:color w:val="auto"/>
          <w:highlight w:val="none"/>
        </w:rPr>
        <w:t xml:space="preserve">28.5(3) </w:t>
      </w:r>
      <w:r>
        <w:rPr>
          <w:rFonts w:cs="宋体"/>
          <w:color w:val="auto"/>
          <w:highlight w:val="none"/>
        </w:rPr>
        <w:t>款的约定执行。</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w:t>
      </w:r>
      <w:r>
        <w:rPr>
          <w:color w:val="auto"/>
          <w:highlight w:val="none"/>
        </w:rPr>
        <w:t>6</w:t>
      </w:r>
      <w:r>
        <w:rPr>
          <w:rFonts w:cs="宋体"/>
          <w:color w:val="auto"/>
          <w:highlight w:val="none"/>
        </w:rPr>
        <w:t>）在本合同履行期内乙方要求更换人员的，按以下约定处理：</w:t>
      </w:r>
    </w:p>
    <w:p>
      <w:pPr>
        <w:pStyle w:val="10"/>
        <w:adjustRightInd w:val="0"/>
        <w:snapToGrid w:val="0"/>
        <w:spacing w:beforeAutospacing="0" w:afterAutospacing="0" w:line="360" w:lineRule="auto"/>
        <w:ind w:firstLine="480" w:firstLineChars="200"/>
        <w:rPr>
          <w:rFonts w:hint="default"/>
          <w:color w:val="auto"/>
          <w:highlight w:val="none"/>
        </w:rPr>
      </w:pPr>
      <w:r>
        <w:rPr>
          <w:color w:val="auto"/>
          <w:highlight w:val="none"/>
        </w:rPr>
        <w:t>1</w:t>
      </w:r>
      <w:r>
        <w:rPr>
          <w:rFonts w:cs="宋体"/>
          <w:color w:val="auto"/>
          <w:highlight w:val="none"/>
        </w:rPr>
        <w:t>）未经甲方同意的，更换一般勘察、设计人员须向甲方支付违约金</w:t>
      </w:r>
      <w:r>
        <w:rPr>
          <w:rFonts w:hint="default" w:cs="宋体"/>
          <w:color w:val="auto"/>
          <w:highlight w:val="none"/>
        </w:rPr>
        <w:t>5</w:t>
      </w:r>
      <w:r>
        <w:rPr>
          <w:rFonts w:cs="宋体"/>
          <w:color w:val="auto"/>
          <w:highlight w:val="none"/>
        </w:rPr>
        <w:t>万元</w:t>
      </w:r>
      <w:r>
        <w:rPr>
          <w:color w:val="auto"/>
          <w:highlight w:val="none"/>
        </w:rPr>
        <w:t>/</w:t>
      </w:r>
      <w:r>
        <w:rPr>
          <w:rFonts w:cs="宋体"/>
          <w:color w:val="auto"/>
          <w:highlight w:val="none"/>
        </w:rPr>
        <w:t>人次；更换专业勘察、设计负责人须向甲方支付违约金</w:t>
      </w:r>
      <w:r>
        <w:rPr>
          <w:rFonts w:hint="default" w:cs="宋体"/>
          <w:color w:val="auto"/>
          <w:highlight w:val="none"/>
        </w:rPr>
        <w:t>15</w:t>
      </w:r>
      <w:r>
        <w:rPr>
          <w:rFonts w:cs="宋体"/>
          <w:color w:val="auto"/>
          <w:highlight w:val="none"/>
        </w:rPr>
        <w:t>万元</w:t>
      </w:r>
      <w:r>
        <w:rPr>
          <w:color w:val="auto"/>
          <w:highlight w:val="none"/>
        </w:rPr>
        <w:t>/</w:t>
      </w:r>
      <w:r>
        <w:rPr>
          <w:rFonts w:cs="宋体"/>
          <w:color w:val="auto"/>
          <w:highlight w:val="none"/>
        </w:rPr>
        <w:t>人次；更换项目勘察、设计总负责人、勘察、设计总承包管理负责人或者驻场勘察、设计代表总负责人须向甲方支付违约金</w:t>
      </w:r>
      <w:r>
        <w:rPr>
          <w:rFonts w:hint="default" w:cs="宋体"/>
          <w:color w:val="auto"/>
          <w:highlight w:val="none"/>
        </w:rPr>
        <w:t>2</w:t>
      </w:r>
      <w:r>
        <w:rPr>
          <w:rFonts w:cs="宋体"/>
          <w:color w:val="auto"/>
          <w:highlight w:val="none"/>
        </w:rPr>
        <w:t>5万元</w:t>
      </w:r>
      <w:r>
        <w:rPr>
          <w:color w:val="auto"/>
          <w:highlight w:val="none"/>
        </w:rPr>
        <w:t>/</w:t>
      </w:r>
      <w:r>
        <w:rPr>
          <w:rFonts w:cs="宋体"/>
          <w:color w:val="auto"/>
          <w:highlight w:val="none"/>
        </w:rPr>
        <w:t>人次。</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color w:val="auto"/>
          <w:highlight w:val="none"/>
        </w:rPr>
      </w:pPr>
      <w:r>
        <w:rPr>
          <w:rFonts w:hint="eastAsia" w:ascii="宋体" w:hAnsi="宋体" w:eastAsia="宋体" w:cs="宋体"/>
          <w:color w:val="auto"/>
          <w:sz w:val="24"/>
          <w:szCs w:val="24"/>
          <w:highlight w:val="none"/>
        </w:rPr>
        <w:t>2）因不可抗力事件（如重病、重伤、失踪、死亡等）造成勘察设计人员岗位空缺的，乙方必须在出现空缺之日起五日内按照投标文件承诺</w:t>
      </w:r>
      <w:r>
        <w:rPr>
          <w:rFonts w:hint="eastAsia" w:ascii="宋体" w:hAnsi="宋体" w:eastAsia="宋体" w:cs="宋体"/>
          <w:color w:val="auto"/>
          <w:kern w:val="2"/>
          <w:sz w:val="24"/>
          <w:szCs w:val="24"/>
          <w:highlight w:val="none"/>
          <w:lang w:val="en-US" w:eastAsia="zh-CN" w:bidi="ar"/>
        </w:rPr>
        <w:t>且不低于原先投入人员资历</w:t>
      </w:r>
      <w:r>
        <w:rPr>
          <w:rFonts w:hint="eastAsia" w:ascii="宋体" w:hAnsi="宋体" w:eastAsia="宋体" w:cs="宋体"/>
          <w:color w:val="auto"/>
          <w:sz w:val="24"/>
          <w:szCs w:val="24"/>
          <w:highlight w:val="none"/>
        </w:rPr>
        <w:t>的标准予以补充，但无须向甲方支付违约金。逾期未予补充或补充人员不符合投标文件承诺</w:t>
      </w:r>
      <w:r>
        <w:rPr>
          <w:rFonts w:hint="eastAsia" w:ascii="宋体" w:hAnsi="宋体" w:eastAsia="宋体" w:cs="宋体"/>
          <w:color w:val="auto"/>
          <w:kern w:val="2"/>
          <w:sz w:val="24"/>
          <w:szCs w:val="24"/>
          <w:highlight w:val="none"/>
          <w:lang w:val="en-US" w:eastAsia="zh-CN" w:bidi="ar"/>
        </w:rPr>
        <w:t>、低于原先投入人员资历</w:t>
      </w:r>
      <w:r>
        <w:rPr>
          <w:rFonts w:hint="eastAsia" w:ascii="宋体" w:hAnsi="宋体" w:eastAsia="宋体" w:cs="宋体"/>
          <w:color w:val="auto"/>
          <w:sz w:val="24"/>
          <w:szCs w:val="24"/>
          <w:highlight w:val="none"/>
        </w:rPr>
        <w:t>标准的，视作乙方未能按照合同约定投入勘察设计人员，参照本合同条款第28.5(3)款的约定执行。</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甲方要求乙方以实际工作能力较高的人员调换实际工作能力较低的现场人员，或者乙方主动要求以实际工作能力较高的人员调换实际工作能力较低的现场人员并经甲方批准且经实践证实的，乙方可不承担违约责任。</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w:t>
      </w:r>
      <w:r>
        <w:rPr>
          <w:color w:val="auto"/>
          <w:highlight w:val="none"/>
        </w:rPr>
        <w:t>7</w:t>
      </w:r>
      <w:r>
        <w:rPr>
          <w:rFonts w:cs="宋体"/>
          <w:color w:val="auto"/>
          <w:highlight w:val="none"/>
        </w:rPr>
        <w:t>）乙方应支持、服从甲方的管理工作，对甲方的指令和书面通知，若无正当理由又未提前报告、得到认可，而公开或变相拒不执行的，第一次承担一般违约责任</w:t>
      </w:r>
      <w:r>
        <w:rPr>
          <w:color w:val="auto"/>
          <w:highlight w:val="none"/>
        </w:rPr>
        <w:t>1</w:t>
      </w:r>
      <w:r>
        <w:rPr>
          <w:rFonts w:cs="宋体"/>
          <w:color w:val="auto"/>
          <w:highlight w:val="none"/>
        </w:rPr>
        <w:t>次；第二次及以后，每发生一次承担严重违约</w:t>
      </w:r>
      <w:r>
        <w:rPr>
          <w:color w:val="auto"/>
          <w:highlight w:val="none"/>
        </w:rPr>
        <w:t>1</w:t>
      </w:r>
      <w:r>
        <w:rPr>
          <w:rFonts w:cs="宋体"/>
          <w:color w:val="auto"/>
          <w:highlight w:val="none"/>
        </w:rPr>
        <w:t>次，情节特别严重的，甲方有权部分解除合同或解除合同。给甲方造成损失的，乙方应赔偿甲方的全部损失。</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w:t>
      </w:r>
      <w:r>
        <w:rPr>
          <w:color w:val="auto"/>
          <w:highlight w:val="none"/>
        </w:rPr>
        <w:t>8</w:t>
      </w:r>
      <w:r>
        <w:rPr>
          <w:rFonts w:cs="宋体"/>
          <w:color w:val="auto"/>
          <w:highlight w:val="none"/>
        </w:rPr>
        <w:t>）乙方未遵守甲方依据合同条款总则第二条约定所制订的各项制度、规定的，由乙方按所涉及的制度、规定的有关规定承担责任。所涉及的制度、规定没有明确规定的，视作不服从甲方的管理工作，参照本合同条款第</w:t>
      </w:r>
      <w:r>
        <w:rPr>
          <w:color w:val="auto"/>
          <w:highlight w:val="none"/>
        </w:rPr>
        <w:t>28.5(7)</w:t>
      </w:r>
      <w:r>
        <w:rPr>
          <w:rFonts w:cs="宋体"/>
          <w:color w:val="auto"/>
          <w:highlight w:val="none"/>
        </w:rPr>
        <w:t>款的约定处理。</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w:t>
      </w:r>
      <w:r>
        <w:rPr>
          <w:color w:val="auto"/>
          <w:highlight w:val="none"/>
        </w:rPr>
        <w:t>9</w:t>
      </w:r>
      <w:r>
        <w:rPr>
          <w:rFonts w:cs="宋体"/>
          <w:color w:val="auto"/>
          <w:highlight w:val="none"/>
        </w:rPr>
        <w:t>）乙方未按合同约定做好勘察、设计总承包管理或配合协调工作，经施工图审查单位或甲方发出限期改正通知或书面警告后</w:t>
      </w:r>
      <w:r>
        <w:rPr>
          <w:color w:val="auto"/>
          <w:highlight w:val="none"/>
        </w:rPr>
        <w:t>3</w:t>
      </w:r>
      <w:r>
        <w:rPr>
          <w:rFonts w:cs="宋体"/>
          <w:color w:val="auto"/>
          <w:highlight w:val="none"/>
        </w:rPr>
        <w:t>天内，乙方仍未能整改至令施工图审查单位或甲方满意的，视作不服从甲方的管理工作，参照本合同条款第</w:t>
      </w:r>
      <w:r>
        <w:rPr>
          <w:color w:val="auto"/>
          <w:highlight w:val="none"/>
        </w:rPr>
        <w:t>28.5(7)</w:t>
      </w:r>
      <w:r>
        <w:rPr>
          <w:rFonts w:cs="宋体"/>
          <w:color w:val="auto"/>
          <w:highlight w:val="none"/>
        </w:rPr>
        <w:t>款的约定处理。</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w:t>
      </w:r>
      <w:r>
        <w:rPr>
          <w:color w:val="auto"/>
          <w:highlight w:val="none"/>
        </w:rPr>
        <w:t>10</w:t>
      </w:r>
      <w:r>
        <w:rPr>
          <w:rFonts w:cs="宋体"/>
          <w:color w:val="auto"/>
          <w:highlight w:val="none"/>
        </w:rPr>
        <w:t>）对于甲方通知乙方（包括乙方分包单位）参加的会议（包括但不限于进场会、现场问题处理会议、工程验收会议、结算问题处理会议、质保期工作的相关会议等），被通知人员（包括但不限于乙方法定代表人、经报甲方批准同意的乙方法定代表人授权人、项目负责人等）未经甲方书面同意自行缺席的，每缺席一人次乙方承担</w:t>
      </w:r>
      <w:r>
        <w:rPr>
          <w:color w:val="auto"/>
          <w:highlight w:val="none"/>
        </w:rPr>
        <w:t>1</w:t>
      </w:r>
      <w:r>
        <w:rPr>
          <w:rFonts w:cs="宋体"/>
          <w:color w:val="auto"/>
          <w:highlight w:val="none"/>
        </w:rPr>
        <w:t>次一般违约责任。</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w:t>
      </w:r>
      <w:r>
        <w:rPr>
          <w:color w:val="auto"/>
          <w:highlight w:val="none"/>
        </w:rPr>
        <w:t>11</w:t>
      </w:r>
      <w:r>
        <w:rPr>
          <w:rFonts w:cs="宋体"/>
          <w:color w:val="auto"/>
          <w:highlight w:val="none"/>
        </w:rPr>
        <w:t>）乙方未能按合同约定及时提供招标配合服务，或其招标配合服务未能达到合同约定的要求，或其提供的服务不能达到令甲方满意的程度的，导致甲方的招标工作不能按时顺利进行的，每确认</w:t>
      </w:r>
      <w:r>
        <w:rPr>
          <w:color w:val="auto"/>
          <w:highlight w:val="none"/>
        </w:rPr>
        <w:t>1</w:t>
      </w:r>
      <w:r>
        <w:rPr>
          <w:rFonts w:cs="宋体"/>
          <w:color w:val="auto"/>
          <w:highlight w:val="none"/>
        </w:rPr>
        <w:t>次，乙方承担一般违约责任</w:t>
      </w:r>
      <w:r>
        <w:rPr>
          <w:color w:val="auto"/>
          <w:highlight w:val="none"/>
        </w:rPr>
        <w:t>1</w:t>
      </w:r>
      <w:r>
        <w:rPr>
          <w:rFonts w:cs="宋体"/>
          <w:color w:val="auto"/>
          <w:highlight w:val="none"/>
        </w:rPr>
        <w:t>次。</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w:t>
      </w:r>
      <w:r>
        <w:rPr>
          <w:color w:val="auto"/>
          <w:highlight w:val="none"/>
        </w:rPr>
        <w:t>12</w:t>
      </w:r>
      <w:r>
        <w:rPr>
          <w:rFonts w:cs="宋体"/>
          <w:color w:val="auto"/>
          <w:highlight w:val="none"/>
        </w:rPr>
        <w:t>）因乙方未按时按质地提供本合同条款第</w:t>
      </w:r>
      <w:r>
        <w:rPr>
          <w:color w:val="auto"/>
          <w:highlight w:val="none"/>
        </w:rPr>
        <w:t>7</w:t>
      </w:r>
      <w:r>
        <w:rPr>
          <w:rFonts w:cs="宋体"/>
          <w:color w:val="auto"/>
          <w:highlight w:val="none"/>
        </w:rPr>
        <w:t>条、第</w:t>
      </w:r>
      <w:r>
        <w:rPr>
          <w:color w:val="auto"/>
          <w:highlight w:val="none"/>
        </w:rPr>
        <w:t>18</w:t>
      </w:r>
      <w:r>
        <w:rPr>
          <w:rFonts w:cs="宋体"/>
          <w:color w:val="auto"/>
          <w:highlight w:val="none"/>
        </w:rPr>
        <w:t>条等约定的各项勘察、设计服务，导致本合同工程建安费用增加的，乙方按以下公式计算向甲方支付的违约金：</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违约金 = A ×（B / C）× 2</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其中：A - 实际增加的建安工程费；</w:t>
      </w:r>
    </w:p>
    <w:p>
      <w:pPr>
        <w:adjustRightInd w:val="0"/>
        <w:snapToGrid w:val="0"/>
        <w:spacing w:line="360" w:lineRule="auto"/>
        <w:ind w:firstLine="1200" w:firstLineChars="5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B - 本合同设计收费（包括工程设计费及其它收费）总额（即设计收费签约价）； </w:t>
      </w:r>
    </w:p>
    <w:p>
      <w:pPr>
        <w:adjustRightInd w:val="0"/>
        <w:snapToGrid w:val="0"/>
        <w:spacing w:line="360" w:lineRule="auto"/>
        <w:ind w:firstLine="1200" w:firstLineChars="500"/>
        <w:rPr>
          <w:rFonts w:ascii="宋体" w:hAnsi="宋体" w:cs="宋体"/>
          <w:color w:val="auto"/>
          <w:kern w:val="0"/>
          <w:sz w:val="24"/>
          <w:szCs w:val="24"/>
          <w:highlight w:val="none"/>
        </w:rPr>
      </w:pPr>
      <w:r>
        <w:rPr>
          <w:rFonts w:hint="eastAsia" w:ascii="宋体" w:hAnsi="宋体" w:cs="宋体"/>
          <w:color w:val="auto"/>
          <w:kern w:val="0"/>
          <w:sz w:val="24"/>
          <w:szCs w:val="24"/>
          <w:highlight w:val="none"/>
        </w:rPr>
        <w:t>C - 本合同工程审定工程设计概算建安工程费总额。</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w:t>
      </w:r>
      <w:r>
        <w:rPr>
          <w:color w:val="auto"/>
          <w:highlight w:val="none"/>
        </w:rPr>
        <w:t>13</w:t>
      </w:r>
      <w:r>
        <w:rPr>
          <w:rFonts w:cs="宋体"/>
          <w:color w:val="auto"/>
          <w:highlight w:val="none"/>
        </w:rPr>
        <w:t>）乙方未能按合同约定投入足够的人员、设备、设施满足本合同条款第</w:t>
      </w:r>
      <w:r>
        <w:rPr>
          <w:color w:val="auto"/>
          <w:highlight w:val="none"/>
        </w:rPr>
        <w:t>24</w:t>
      </w:r>
      <w:r>
        <w:rPr>
          <w:rFonts w:cs="宋体"/>
          <w:color w:val="auto"/>
          <w:highlight w:val="none"/>
        </w:rPr>
        <w:t>条约定的信息化管理要求的，视作不服从甲方的管理工作，参照本合同条款第</w:t>
      </w:r>
      <w:r>
        <w:rPr>
          <w:color w:val="auto"/>
          <w:highlight w:val="none"/>
        </w:rPr>
        <w:t>28.5(7)</w:t>
      </w:r>
      <w:r>
        <w:rPr>
          <w:rFonts w:cs="宋体"/>
          <w:color w:val="auto"/>
          <w:highlight w:val="none"/>
        </w:rPr>
        <w:t>款项的约定执行。</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w:t>
      </w:r>
      <w:r>
        <w:rPr>
          <w:color w:val="auto"/>
          <w:highlight w:val="none"/>
        </w:rPr>
        <w:t>14</w:t>
      </w:r>
      <w:r>
        <w:rPr>
          <w:rFonts w:cs="宋体"/>
          <w:color w:val="auto"/>
          <w:highlight w:val="none"/>
        </w:rPr>
        <w:t>）如乙方违反合同协议书第</w:t>
      </w:r>
      <w:r>
        <w:rPr>
          <w:color w:val="auto"/>
          <w:highlight w:val="none"/>
        </w:rPr>
        <w:t>6</w:t>
      </w:r>
      <w:r>
        <w:rPr>
          <w:rFonts w:cs="宋体"/>
          <w:color w:val="auto"/>
          <w:highlight w:val="none"/>
        </w:rPr>
        <w:t>条、第</w:t>
      </w:r>
      <w:r>
        <w:rPr>
          <w:color w:val="auto"/>
          <w:highlight w:val="none"/>
        </w:rPr>
        <w:t>7</w:t>
      </w:r>
      <w:r>
        <w:rPr>
          <w:rFonts w:cs="宋体"/>
          <w:color w:val="auto"/>
          <w:highlight w:val="none"/>
        </w:rPr>
        <w:t>条的约定，未在相关信息发生变化时及时将变更情况书面通知甲方的，经甲方每确认</w:t>
      </w:r>
      <w:r>
        <w:rPr>
          <w:color w:val="auto"/>
          <w:highlight w:val="none"/>
        </w:rPr>
        <w:t>1</w:t>
      </w:r>
      <w:r>
        <w:rPr>
          <w:rFonts w:cs="宋体"/>
          <w:color w:val="auto"/>
          <w:highlight w:val="none"/>
        </w:rPr>
        <w:t>次，乙方承担</w:t>
      </w:r>
      <w:r>
        <w:rPr>
          <w:color w:val="auto"/>
          <w:highlight w:val="none"/>
        </w:rPr>
        <w:t>1</w:t>
      </w:r>
      <w:r>
        <w:rPr>
          <w:rFonts w:cs="宋体"/>
          <w:color w:val="auto"/>
          <w:highlight w:val="none"/>
        </w:rPr>
        <w:t>次一般违约责任。</w:t>
      </w:r>
    </w:p>
    <w:p>
      <w:pPr>
        <w:pStyle w:val="10"/>
        <w:adjustRightInd w:val="0"/>
        <w:snapToGrid w:val="0"/>
        <w:spacing w:beforeAutospacing="0" w:afterAutospacing="0" w:line="360" w:lineRule="auto"/>
        <w:ind w:firstLine="480" w:firstLineChars="200"/>
        <w:rPr>
          <w:rFonts w:hint="default"/>
          <w:b/>
          <w:color w:val="auto"/>
          <w:highlight w:val="none"/>
          <w:u w:val="single"/>
        </w:rPr>
      </w:pPr>
      <w:r>
        <w:rPr>
          <w:rFonts w:cs="宋体"/>
          <w:color w:val="auto"/>
          <w:highlight w:val="none"/>
        </w:rPr>
        <w:t>（</w:t>
      </w:r>
      <w:r>
        <w:rPr>
          <w:color w:val="auto"/>
          <w:highlight w:val="none"/>
        </w:rPr>
        <w:t>15</w:t>
      </w:r>
      <w:r>
        <w:rPr>
          <w:rFonts w:cs="宋体"/>
          <w:color w:val="auto"/>
          <w:highlight w:val="none"/>
        </w:rPr>
        <w:t>）如乙方违反投标时的承诺，推卸履行相关专业工程施工图设计及专业工程招标需求书编制工作义务的，经甲方每确认</w:t>
      </w:r>
      <w:r>
        <w:rPr>
          <w:color w:val="auto"/>
          <w:highlight w:val="none"/>
        </w:rPr>
        <w:t>1</w:t>
      </w:r>
      <w:r>
        <w:rPr>
          <w:rFonts w:cs="宋体"/>
          <w:color w:val="auto"/>
          <w:highlight w:val="none"/>
        </w:rPr>
        <w:t>次，乙方承担</w:t>
      </w:r>
      <w:r>
        <w:rPr>
          <w:color w:val="auto"/>
          <w:highlight w:val="none"/>
        </w:rPr>
        <w:t>1</w:t>
      </w:r>
      <w:r>
        <w:rPr>
          <w:rFonts w:cs="宋体"/>
          <w:color w:val="auto"/>
          <w:highlight w:val="none"/>
        </w:rPr>
        <w:t>次一般违约责任；拒不改正的，甲方有权单方解除合同，由此给甲方造成损失的，乙方应赔偿甲方的全部损失。</w:t>
      </w:r>
    </w:p>
    <w:p>
      <w:pPr>
        <w:pStyle w:val="10"/>
        <w:adjustRightInd w:val="0"/>
        <w:snapToGrid w:val="0"/>
        <w:spacing w:beforeAutospacing="0" w:afterAutospacing="0" w:line="360" w:lineRule="auto"/>
        <w:ind w:firstLine="480" w:firstLineChars="200"/>
        <w:rPr>
          <w:rFonts w:hint="default"/>
          <w:b/>
          <w:color w:val="auto"/>
          <w:highlight w:val="none"/>
          <w:u w:val="single"/>
        </w:rPr>
      </w:pPr>
      <w:r>
        <w:rPr>
          <w:rFonts w:cs="宋体"/>
          <w:color w:val="auto"/>
          <w:highlight w:val="none"/>
        </w:rPr>
        <w:t>（</w:t>
      </w:r>
      <w:r>
        <w:rPr>
          <w:color w:val="auto"/>
          <w:highlight w:val="none"/>
        </w:rPr>
        <w:t>16</w:t>
      </w:r>
      <w:r>
        <w:rPr>
          <w:rFonts w:cs="宋体"/>
          <w:color w:val="auto"/>
          <w:highlight w:val="none"/>
        </w:rPr>
        <w:t>）乙方未及时提供本合同约定的各项服务，或提供的服务未能达到合同约定的要求或不能达到令甲方满意的程度，影响报建、设计变更等相关工作或流程推进的，经甲方每确认</w:t>
      </w:r>
      <w:r>
        <w:rPr>
          <w:color w:val="auto"/>
          <w:highlight w:val="none"/>
        </w:rPr>
        <w:t>1</w:t>
      </w:r>
      <w:r>
        <w:rPr>
          <w:rFonts w:cs="宋体"/>
          <w:color w:val="auto"/>
          <w:highlight w:val="none"/>
        </w:rPr>
        <w:t>次，乙方承担一般违约责任</w:t>
      </w:r>
      <w:r>
        <w:rPr>
          <w:color w:val="auto"/>
          <w:highlight w:val="none"/>
        </w:rPr>
        <w:t>1</w:t>
      </w:r>
      <w:r>
        <w:rPr>
          <w:rFonts w:cs="宋体"/>
          <w:color w:val="auto"/>
          <w:highlight w:val="none"/>
        </w:rPr>
        <w:t>次。给甲方造成损失的，乙方应赔偿甲方的全部损失。</w:t>
      </w:r>
    </w:p>
    <w:p>
      <w:pPr>
        <w:pStyle w:val="10"/>
        <w:adjustRightInd w:val="0"/>
        <w:snapToGrid w:val="0"/>
        <w:spacing w:beforeAutospacing="0" w:afterAutospacing="0" w:line="360" w:lineRule="auto"/>
        <w:ind w:firstLine="482" w:firstLineChars="200"/>
        <w:outlineLvl w:val="3"/>
        <w:rPr>
          <w:rFonts w:hint="default"/>
          <w:color w:val="auto"/>
          <w:highlight w:val="none"/>
        </w:rPr>
      </w:pPr>
      <w:r>
        <w:rPr>
          <w:b/>
          <w:color w:val="auto"/>
          <w:highlight w:val="none"/>
        </w:rPr>
        <w:t>28.6</w:t>
      </w:r>
      <w:r>
        <w:rPr>
          <w:rFonts w:cs="宋体"/>
          <w:color w:val="auto"/>
          <w:highlight w:val="none"/>
        </w:rPr>
        <w:t>勘察、设计成果文件方面的违约责任：</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w:t>
      </w:r>
      <w:r>
        <w:rPr>
          <w:color w:val="auto"/>
          <w:highlight w:val="none"/>
        </w:rPr>
        <w:t>1</w:t>
      </w:r>
      <w:r>
        <w:rPr>
          <w:rFonts w:cs="宋体"/>
          <w:color w:val="auto"/>
          <w:highlight w:val="none"/>
        </w:rPr>
        <w:t>）乙方未能按本合同约定的时间或甲方审核同意的勘察、设计进度各类计划要求各阶段提交的勘察、设计成果文件的。逾期</w:t>
      </w:r>
      <w:r>
        <w:rPr>
          <w:color w:val="auto"/>
          <w:highlight w:val="none"/>
        </w:rPr>
        <w:t>3</w:t>
      </w:r>
      <w:r>
        <w:rPr>
          <w:rFonts w:cs="宋体"/>
          <w:color w:val="auto"/>
          <w:highlight w:val="none"/>
        </w:rPr>
        <w:t>天以内（或累计达</w:t>
      </w:r>
      <w:r>
        <w:rPr>
          <w:color w:val="auto"/>
          <w:highlight w:val="none"/>
        </w:rPr>
        <w:t>5</w:t>
      </w:r>
      <w:r>
        <w:rPr>
          <w:rFonts w:cs="宋体"/>
          <w:color w:val="auto"/>
          <w:highlight w:val="none"/>
        </w:rPr>
        <w:t>天以上</w:t>
      </w:r>
      <w:r>
        <w:rPr>
          <w:color w:val="auto"/>
          <w:highlight w:val="none"/>
        </w:rPr>
        <w:t>10</w:t>
      </w:r>
      <w:r>
        <w:rPr>
          <w:rFonts w:cs="宋体"/>
          <w:color w:val="auto"/>
          <w:highlight w:val="none"/>
        </w:rPr>
        <w:t>天以内）的，乙方按</w:t>
      </w:r>
      <w:r>
        <w:rPr>
          <w:color w:val="auto"/>
          <w:highlight w:val="none"/>
        </w:rPr>
        <w:t>1</w:t>
      </w:r>
      <w:r>
        <w:rPr>
          <w:rFonts w:cs="宋体"/>
          <w:color w:val="auto"/>
          <w:highlight w:val="none"/>
        </w:rPr>
        <w:t>万元</w:t>
      </w:r>
      <w:r>
        <w:rPr>
          <w:color w:val="auto"/>
          <w:highlight w:val="none"/>
        </w:rPr>
        <w:t>/</w:t>
      </w:r>
      <w:r>
        <w:rPr>
          <w:rFonts w:cs="宋体"/>
          <w:color w:val="auto"/>
          <w:highlight w:val="none"/>
        </w:rPr>
        <w:t>天向甲方支付违约金，违约金不足以弥补甲方损失的，乙方应继续赔偿；逾期</w:t>
      </w:r>
      <w:r>
        <w:rPr>
          <w:color w:val="auto"/>
          <w:highlight w:val="none"/>
        </w:rPr>
        <w:t>3</w:t>
      </w:r>
      <w:r>
        <w:rPr>
          <w:rFonts w:cs="宋体"/>
          <w:color w:val="auto"/>
          <w:highlight w:val="none"/>
        </w:rPr>
        <w:t>天以上（或累计达</w:t>
      </w:r>
      <w:r>
        <w:rPr>
          <w:color w:val="auto"/>
          <w:highlight w:val="none"/>
        </w:rPr>
        <w:t>10</w:t>
      </w:r>
      <w:r>
        <w:rPr>
          <w:rFonts w:cs="宋体"/>
          <w:color w:val="auto"/>
          <w:highlight w:val="none"/>
        </w:rPr>
        <w:t>天以上）的，乙方按</w:t>
      </w:r>
      <w:r>
        <w:rPr>
          <w:color w:val="auto"/>
          <w:highlight w:val="none"/>
        </w:rPr>
        <w:t>3</w:t>
      </w:r>
      <w:r>
        <w:rPr>
          <w:rFonts w:cs="宋体"/>
          <w:color w:val="auto"/>
          <w:highlight w:val="none"/>
        </w:rPr>
        <w:t>万元</w:t>
      </w:r>
      <w:r>
        <w:rPr>
          <w:color w:val="auto"/>
          <w:highlight w:val="none"/>
        </w:rPr>
        <w:t>/</w:t>
      </w:r>
      <w:r>
        <w:rPr>
          <w:rFonts w:cs="宋体"/>
          <w:color w:val="auto"/>
          <w:highlight w:val="none"/>
        </w:rPr>
        <w:t>天向甲方支付违约金，违约金不足以弥补甲方损失的，乙方还须同时向甲方赔偿全部损失。</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w:t>
      </w:r>
      <w:r>
        <w:rPr>
          <w:color w:val="auto"/>
          <w:highlight w:val="none"/>
        </w:rPr>
        <w:t>2</w:t>
      </w:r>
      <w:r>
        <w:rPr>
          <w:rFonts w:cs="宋体"/>
          <w:color w:val="auto"/>
          <w:highlight w:val="none"/>
        </w:rPr>
        <w:t>）本合同履行期间，乙方的勘察、设计质量不符合合同约定或勘察、设计成果文件出现遗漏、错误的，甲方有权发出书面警告，乙方应在甲方规定的限期内对勘察、设计成果文件及时进行补充、修改、完善；因此造成勘察、设计成果文件逾期交付的，按本合同条款第</w:t>
      </w:r>
      <w:r>
        <w:rPr>
          <w:color w:val="auto"/>
          <w:highlight w:val="none"/>
        </w:rPr>
        <w:t>28.6(1)</w:t>
      </w:r>
      <w:r>
        <w:rPr>
          <w:rFonts w:cs="宋体"/>
          <w:color w:val="auto"/>
          <w:highlight w:val="none"/>
        </w:rPr>
        <w:t>款的约定处理。</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w:t>
      </w:r>
      <w:r>
        <w:rPr>
          <w:color w:val="auto"/>
          <w:highlight w:val="none"/>
        </w:rPr>
        <w:t>3</w:t>
      </w:r>
      <w:r>
        <w:rPr>
          <w:rFonts w:cs="宋体"/>
          <w:color w:val="auto"/>
          <w:highlight w:val="none"/>
        </w:rPr>
        <w:t>）乙方提交的设计成果文件如有违反国家相关强制性规定的，经政府有关部门确认，每发生</w:t>
      </w:r>
      <w:r>
        <w:rPr>
          <w:color w:val="auto"/>
          <w:highlight w:val="none"/>
        </w:rPr>
        <w:t>1</w:t>
      </w:r>
      <w:r>
        <w:rPr>
          <w:rFonts w:cs="宋体"/>
          <w:color w:val="auto"/>
          <w:highlight w:val="none"/>
        </w:rPr>
        <w:t>例，承担严重违约责任</w:t>
      </w:r>
      <w:r>
        <w:rPr>
          <w:color w:val="auto"/>
          <w:highlight w:val="none"/>
        </w:rPr>
        <w:t>1</w:t>
      </w:r>
      <w:r>
        <w:rPr>
          <w:rFonts w:cs="宋体"/>
          <w:color w:val="auto"/>
          <w:highlight w:val="none"/>
        </w:rPr>
        <w:t>次。</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w:t>
      </w:r>
      <w:r>
        <w:rPr>
          <w:color w:val="auto"/>
          <w:highlight w:val="none"/>
        </w:rPr>
        <w:t>4</w:t>
      </w:r>
      <w:r>
        <w:rPr>
          <w:rFonts w:cs="宋体"/>
          <w:color w:val="auto"/>
          <w:highlight w:val="none"/>
        </w:rPr>
        <w:t>）如经过甲方或施工图审查单位或甲方委托的第三方对设计变更的审核，发现乙方违反合同约定对设计变更随意进行合并、分拆的，第一次时，乙方承担一般违约</w:t>
      </w:r>
      <w:r>
        <w:rPr>
          <w:color w:val="auto"/>
          <w:highlight w:val="none"/>
        </w:rPr>
        <w:t>1</w:t>
      </w:r>
      <w:r>
        <w:rPr>
          <w:rFonts w:cs="宋体"/>
          <w:color w:val="auto"/>
          <w:highlight w:val="none"/>
        </w:rPr>
        <w:t>次；第二次及以后，每违反一次，乙方承担严重违约责任</w:t>
      </w:r>
      <w:r>
        <w:rPr>
          <w:color w:val="auto"/>
          <w:highlight w:val="none"/>
        </w:rPr>
        <w:t>1</w:t>
      </w:r>
      <w:r>
        <w:rPr>
          <w:rFonts w:cs="宋体"/>
          <w:color w:val="auto"/>
          <w:highlight w:val="none"/>
        </w:rPr>
        <w:t>次。</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w:t>
      </w:r>
      <w:r>
        <w:rPr>
          <w:color w:val="auto"/>
          <w:highlight w:val="none"/>
        </w:rPr>
        <w:t>5</w:t>
      </w:r>
      <w:r>
        <w:rPr>
          <w:rFonts w:cs="宋体"/>
          <w:color w:val="auto"/>
          <w:highlight w:val="none"/>
        </w:rPr>
        <w:t>）如乙方的设计成果文件中含有明显倾向于某一专门厂商生产的设备、材料的描述，或在其设计成果文件中选用了具有专一性、排他性的材料、设备而又未事先向甲方书面报告并详细说明理由的，每违反一次，乙方承担严重违约责任</w:t>
      </w:r>
      <w:r>
        <w:rPr>
          <w:color w:val="auto"/>
          <w:highlight w:val="none"/>
        </w:rPr>
        <w:t>1</w:t>
      </w:r>
      <w:r>
        <w:rPr>
          <w:rFonts w:cs="宋体"/>
          <w:color w:val="auto"/>
          <w:highlight w:val="none"/>
        </w:rPr>
        <w:t>次。</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w:t>
      </w:r>
      <w:r>
        <w:rPr>
          <w:color w:val="auto"/>
          <w:highlight w:val="none"/>
        </w:rPr>
        <w:t>6</w:t>
      </w:r>
      <w:r>
        <w:rPr>
          <w:rFonts w:cs="宋体"/>
          <w:color w:val="auto"/>
          <w:highlight w:val="none"/>
        </w:rPr>
        <w:t>）非甲方原因造成设计变更并引起工程费用增加的，甲方有权发出书面警告，乙方应负责修改设计，保证工程总投资在投资控制指标内；造成实际发生的建安工程费增加的，参照本合同条款第</w:t>
      </w:r>
      <w:r>
        <w:rPr>
          <w:color w:val="auto"/>
          <w:highlight w:val="none"/>
        </w:rPr>
        <w:t>28.5(12)</w:t>
      </w:r>
      <w:r>
        <w:rPr>
          <w:rFonts w:cs="宋体"/>
          <w:color w:val="auto"/>
          <w:highlight w:val="none"/>
        </w:rPr>
        <w:t>款约定的计算方法确定违约金；给甲方造成损失的，乙方应赔偿甲方的全部损失。因施工原因造成的设计变更及因本合同所述的因新规范、新标准及新规定所引起的设计变更除外。</w:t>
      </w:r>
    </w:p>
    <w:p>
      <w:pPr>
        <w:pStyle w:val="10"/>
        <w:adjustRightInd w:val="0"/>
        <w:snapToGrid w:val="0"/>
        <w:spacing w:beforeAutospacing="0" w:afterAutospacing="0" w:line="360" w:lineRule="auto"/>
        <w:ind w:firstLine="480"/>
        <w:rPr>
          <w:rFonts w:hint="default"/>
          <w:color w:val="auto"/>
          <w:highlight w:val="none"/>
        </w:rPr>
      </w:pPr>
      <w:r>
        <w:rPr>
          <w:rFonts w:hint="eastAsia" w:ascii="宋体" w:cs="宋体"/>
          <w:color w:val="auto"/>
          <w:kern w:val="0"/>
          <w:sz w:val="24"/>
          <w:szCs w:val="24"/>
          <w:highlight w:val="none"/>
        </w:rPr>
        <w:t>√</w:t>
      </w:r>
      <w:r>
        <w:rPr>
          <w:rFonts w:cs="宋体"/>
          <w:color w:val="auto"/>
          <w:highlight w:val="none"/>
        </w:rPr>
        <w:t>（</w:t>
      </w:r>
      <w:r>
        <w:rPr>
          <w:color w:val="auto"/>
          <w:highlight w:val="none"/>
        </w:rPr>
        <w:t>7</w:t>
      </w:r>
      <w:r>
        <w:rPr>
          <w:rFonts w:cs="宋体"/>
          <w:color w:val="auto"/>
          <w:highlight w:val="none"/>
        </w:rPr>
        <w:t>）经甲方认可的本合同工程施工投标人或其委托的具有施工图审查能力的单位审查并经甲方或甲方委托的第三方确认，乙方的施工图设计成果文件中存在违反国家相关强制性规定的，参照本合同条款第</w:t>
      </w:r>
      <w:r>
        <w:rPr>
          <w:color w:val="auto"/>
          <w:highlight w:val="none"/>
        </w:rPr>
        <w:t>28.6(3)</w:t>
      </w:r>
      <w:r>
        <w:rPr>
          <w:rFonts w:cs="宋体"/>
          <w:color w:val="auto"/>
          <w:highlight w:val="none"/>
        </w:rPr>
        <w:t>款的相关约定执行。</w:t>
      </w:r>
    </w:p>
    <w:p>
      <w:pPr>
        <w:pStyle w:val="10"/>
        <w:adjustRightInd w:val="0"/>
        <w:snapToGrid w:val="0"/>
        <w:spacing w:beforeAutospacing="0" w:afterAutospacing="0" w:line="360" w:lineRule="auto"/>
        <w:ind w:firstLine="480" w:firstLineChars="200"/>
        <w:rPr>
          <w:rFonts w:hint="default"/>
          <w:b/>
          <w:color w:val="auto"/>
          <w:highlight w:val="none"/>
          <w:u w:val="single"/>
        </w:rPr>
      </w:pPr>
      <w:r>
        <w:rPr>
          <w:rFonts w:cs="宋体"/>
          <w:color w:val="auto"/>
          <w:highlight w:val="none"/>
        </w:rPr>
        <w:t>（</w:t>
      </w:r>
      <w:r>
        <w:rPr>
          <w:color w:val="auto"/>
          <w:highlight w:val="none"/>
        </w:rPr>
        <w:t>8</w:t>
      </w:r>
      <w:r>
        <w:rPr>
          <w:rFonts w:cs="宋体"/>
          <w:color w:val="auto"/>
          <w:highlight w:val="none"/>
        </w:rPr>
        <w:t>）若乙方提交的设计成果文件相关负责人签章确认情况不满足本合同条款第</w:t>
      </w:r>
      <w:r>
        <w:rPr>
          <w:color w:val="auto"/>
          <w:highlight w:val="none"/>
        </w:rPr>
        <w:t>9.8</w:t>
      </w:r>
      <w:r>
        <w:rPr>
          <w:rFonts w:cs="宋体"/>
          <w:color w:val="auto"/>
          <w:highlight w:val="none"/>
        </w:rPr>
        <w:t>款约定的，乙方应在</w:t>
      </w:r>
      <w:r>
        <w:rPr>
          <w:color w:val="auto"/>
          <w:highlight w:val="none"/>
        </w:rPr>
        <w:t>2</w:t>
      </w:r>
      <w:r>
        <w:rPr>
          <w:rFonts w:cs="宋体"/>
          <w:color w:val="auto"/>
          <w:highlight w:val="none"/>
        </w:rPr>
        <w:t>个日历日内改正，最长不得超过</w:t>
      </w:r>
      <w:r>
        <w:rPr>
          <w:color w:val="auto"/>
          <w:highlight w:val="none"/>
        </w:rPr>
        <w:t>7</w:t>
      </w:r>
      <w:r>
        <w:rPr>
          <w:rFonts w:cs="宋体"/>
          <w:color w:val="auto"/>
          <w:highlight w:val="none"/>
        </w:rPr>
        <w:t>个日历日，否则应承担一般违约责任</w:t>
      </w:r>
      <w:r>
        <w:rPr>
          <w:color w:val="auto"/>
          <w:highlight w:val="none"/>
        </w:rPr>
        <w:t>1</w:t>
      </w:r>
      <w:r>
        <w:rPr>
          <w:rFonts w:cs="宋体"/>
          <w:color w:val="auto"/>
          <w:highlight w:val="none"/>
        </w:rPr>
        <w:t>次；拒不改正的，甲方有权单方解除合同，由此引起的甲方损失，由乙方承担全部赔偿责任。</w:t>
      </w:r>
    </w:p>
    <w:p>
      <w:pPr>
        <w:pStyle w:val="10"/>
        <w:adjustRightInd w:val="0"/>
        <w:snapToGrid w:val="0"/>
        <w:spacing w:beforeAutospacing="0" w:afterAutospacing="0" w:line="360" w:lineRule="auto"/>
        <w:ind w:firstLine="482" w:firstLineChars="200"/>
        <w:outlineLvl w:val="3"/>
        <w:rPr>
          <w:rFonts w:hint="default"/>
          <w:color w:val="auto"/>
          <w:highlight w:val="none"/>
        </w:rPr>
      </w:pPr>
      <w:r>
        <w:rPr>
          <w:b/>
          <w:color w:val="auto"/>
          <w:highlight w:val="none"/>
        </w:rPr>
        <w:t>28.7</w:t>
      </w:r>
      <w:r>
        <w:rPr>
          <w:rFonts w:cs="宋体"/>
          <w:color w:val="auto"/>
          <w:highlight w:val="none"/>
        </w:rPr>
        <w:t>投资控制方面的违约责任：</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w:t>
      </w:r>
      <w:r>
        <w:rPr>
          <w:color w:val="auto"/>
          <w:highlight w:val="none"/>
        </w:rPr>
        <w:t>1</w:t>
      </w:r>
      <w:r>
        <w:rPr>
          <w:rFonts w:cs="宋体"/>
          <w:color w:val="auto"/>
          <w:highlight w:val="none"/>
        </w:rPr>
        <w:t>）乙方未经甲方同意突破合同约定的投资控制要求的，乙方承担一次严重违约责任</w:t>
      </w:r>
      <w:r>
        <w:rPr>
          <w:color w:val="auto"/>
          <w:highlight w:val="none"/>
        </w:rPr>
        <w:t>1</w:t>
      </w:r>
      <w:r>
        <w:rPr>
          <w:rFonts w:cs="宋体"/>
          <w:color w:val="auto"/>
          <w:highlight w:val="none"/>
        </w:rPr>
        <w:t>次；乙方应负责修改设计，保证工程总投资控制在合同约定的投资控制要求内；如最终因此造成实际发生的建安工程费增加的，参照本合同条款第</w:t>
      </w:r>
      <w:r>
        <w:rPr>
          <w:color w:val="auto"/>
          <w:highlight w:val="none"/>
        </w:rPr>
        <w:t>28.5(12)</w:t>
      </w:r>
      <w:r>
        <w:rPr>
          <w:rFonts w:cs="宋体"/>
          <w:color w:val="auto"/>
          <w:highlight w:val="none"/>
        </w:rPr>
        <w:t>款约定的计算方法确定违约金；违约金不足以弥补甲方损失的，乙方应继续赔偿。</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w:t>
      </w:r>
      <w:r>
        <w:rPr>
          <w:color w:val="auto"/>
          <w:highlight w:val="none"/>
        </w:rPr>
        <w:t>2</w:t>
      </w:r>
      <w:r>
        <w:rPr>
          <w:rFonts w:cs="宋体"/>
          <w:color w:val="auto"/>
          <w:highlight w:val="none"/>
        </w:rPr>
        <w:t>）乙方提供的造价预算经过甲方或施工图审查单位或甲方委托的其它单位审核后确定误差超过±</w:t>
      </w:r>
      <w:r>
        <w:rPr>
          <w:color w:val="auto"/>
          <w:highlight w:val="none"/>
        </w:rPr>
        <w:t>5%</w:t>
      </w:r>
      <w:r>
        <w:rPr>
          <w:rFonts w:cs="宋体"/>
          <w:color w:val="auto"/>
          <w:highlight w:val="none"/>
        </w:rPr>
        <w:t>（不含±</w:t>
      </w:r>
      <w:r>
        <w:rPr>
          <w:color w:val="auto"/>
          <w:highlight w:val="none"/>
        </w:rPr>
        <w:t>5%</w:t>
      </w:r>
      <w:r>
        <w:rPr>
          <w:rFonts w:cs="宋体"/>
          <w:color w:val="auto"/>
          <w:highlight w:val="none"/>
        </w:rPr>
        <w:t>）的，乙方承担严重违约责任</w:t>
      </w:r>
      <w:r>
        <w:rPr>
          <w:color w:val="auto"/>
          <w:highlight w:val="none"/>
        </w:rPr>
        <w:t>1</w:t>
      </w:r>
      <w:r>
        <w:rPr>
          <w:rFonts w:cs="宋体"/>
          <w:color w:val="auto"/>
          <w:highlight w:val="none"/>
        </w:rPr>
        <w:t>次。</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w:t>
      </w:r>
      <w:r>
        <w:rPr>
          <w:color w:val="auto"/>
          <w:highlight w:val="none"/>
        </w:rPr>
        <w:t>3</w:t>
      </w:r>
      <w:r>
        <w:rPr>
          <w:rFonts w:cs="宋体"/>
          <w:color w:val="auto"/>
          <w:highlight w:val="none"/>
        </w:rPr>
        <w:t>）乙方对乙方分包单位的投资控制方面的违约相应承担连带责任，相关违约责任参照本合同条款第</w:t>
      </w:r>
      <w:r>
        <w:rPr>
          <w:color w:val="auto"/>
          <w:highlight w:val="none"/>
        </w:rPr>
        <w:t>28.7</w:t>
      </w:r>
      <w:r>
        <w:rPr>
          <w:rFonts w:cs="宋体"/>
          <w:color w:val="auto"/>
          <w:highlight w:val="none"/>
        </w:rPr>
        <w:t>款第</w:t>
      </w:r>
      <w:r>
        <w:rPr>
          <w:color w:val="auto"/>
          <w:highlight w:val="none"/>
        </w:rPr>
        <w:t>(1)</w:t>
      </w:r>
      <w:r>
        <w:rPr>
          <w:rFonts w:cs="宋体"/>
          <w:color w:val="auto"/>
          <w:highlight w:val="none"/>
        </w:rPr>
        <w:t>项的相关约定执行。</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w:t>
      </w:r>
      <w:r>
        <w:rPr>
          <w:color w:val="auto"/>
          <w:highlight w:val="none"/>
        </w:rPr>
        <w:t>4</w:t>
      </w:r>
      <w:r>
        <w:rPr>
          <w:rFonts w:cs="宋体"/>
          <w:color w:val="auto"/>
          <w:highlight w:val="none"/>
        </w:rPr>
        <w:t>）如因乙方提供的勘察成果文件的缺陷及不完整、初步设计成果文件深度不够、或其他勘察、设计失误等原因导致甲方另外发包的专项施工图设计无法满足投资控制的要求，甲方有权发出书面警告，乙方应及时完善、修改相关的勘察、设计成果文件；造成实际发生的建安工程费增加的，参照本合同条款第</w:t>
      </w:r>
      <w:r>
        <w:rPr>
          <w:color w:val="auto"/>
          <w:highlight w:val="none"/>
        </w:rPr>
        <w:t>28.5(12)</w:t>
      </w:r>
      <w:r>
        <w:rPr>
          <w:rFonts w:cs="宋体"/>
          <w:color w:val="auto"/>
          <w:highlight w:val="none"/>
        </w:rPr>
        <w:t>款约定的计算方法确定违约金；给甲方造成损失的，乙方应赔偿甲方的全部损失。</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w:t>
      </w:r>
      <w:r>
        <w:rPr>
          <w:color w:val="auto"/>
          <w:highlight w:val="none"/>
        </w:rPr>
        <w:t>5</w:t>
      </w:r>
      <w:r>
        <w:rPr>
          <w:rFonts w:cs="宋体"/>
          <w:color w:val="auto"/>
          <w:highlight w:val="none"/>
        </w:rPr>
        <w:t>）因乙方对设计变更随意进行合并、分拆导致本合同工程投资失控，造成实际发生的建安工程费增加的，参照本合同条款第</w:t>
      </w:r>
      <w:r>
        <w:rPr>
          <w:color w:val="auto"/>
          <w:highlight w:val="none"/>
        </w:rPr>
        <w:t>28.5(12)</w:t>
      </w:r>
      <w:r>
        <w:rPr>
          <w:rFonts w:cs="宋体"/>
          <w:color w:val="auto"/>
          <w:highlight w:val="none"/>
        </w:rPr>
        <w:t>款约定的计算方法确定违约金；给甲方造成损失的，乙方应赔偿甲方的全部损失。</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w:t>
      </w:r>
      <w:r>
        <w:rPr>
          <w:color w:val="auto"/>
          <w:highlight w:val="none"/>
        </w:rPr>
        <w:t>6</w:t>
      </w:r>
      <w:r>
        <w:rPr>
          <w:rFonts w:cs="宋体"/>
          <w:color w:val="auto"/>
          <w:highlight w:val="none"/>
        </w:rPr>
        <w:t>）在本项目施工招标阶段或施工阶段，因乙方编制的工程概算和（或）造价预算编制不准确而需要调整概算和（或）造价预算的，乙方除应在甲方限定期限内完成修改外，每出现</w:t>
      </w:r>
      <w:r>
        <w:rPr>
          <w:color w:val="auto"/>
          <w:highlight w:val="none"/>
        </w:rPr>
        <w:t>1</w:t>
      </w:r>
      <w:r>
        <w:rPr>
          <w:rFonts w:cs="宋体"/>
          <w:color w:val="auto"/>
          <w:highlight w:val="none"/>
        </w:rPr>
        <w:t>次，乙方还必须承担严重违约责任</w:t>
      </w:r>
      <w:r>
        <w:rPr>
          <w:color w:val="auto"/>
          <w:highlight w:val="none"/>
        </w:rPr>
        <w:t>1</w:t>
      </w:r>
      <w:r>
        <w:rPr>
          <w:rFonts w:cs="宋体"/>
          <w:color w:val="auto"/>
          <w:highlight w:val="none"/>
        </w:rPr>
        <w:t>次。</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w:t>
      </w:r>
      <w:r>
        <w:rPr>
          <w:color w:val="auto"/>
          <w:highlight w:val="none"/>
        </w:rPr>
        <w:t>7</w:t>
      </w:r>
      <w:r>
        <w:rPr>
          <w:rFonts w:cs="宋体"/>
          <w:color w:val="auto"/>
          <w:highlight w:val="none"/>
        </w:rPr>
        <w:t>）由乙方编制造价预算的，如果出现工程量偏差绝对值累计额相对于乙方报送总数量，误差率在</w:t>
      </w:r>
      <w:r>
        <w:rPr>
          <w:color w:val="auto"/>
          <w:highlight w:val="none"/>
        </w:rPr>
        <w:t>10%</w:t>
      </w:r>
      <w:r>
        <w:rPr>
          <w:rFonts w:cs="宋体"/>
          <w:color w:val="auto"/>
          <w:highlight w:val="none"/>
        </w:rPr>
        <w:t>～</w:t>
      </w:r>
      <w:r>
        <w:rPr>
          <w:color w:val="auto"/>
          <w:highlight w:val="none"/>
        </w:rPr>
        <w:t>20%</w:t>
      </w:r>
      <w:r>
        <w:rPr>
          <w:rFonts w:cs="宋体"/>
          <w:color w:val="auto"/>
          <w:highlight w:val="none"/>
        </w:rPr>
        <w:t>的，乙方除应在甲方限定期限内完成修改外，每出现</w:t>
      </w:r>
      <w:r>
        <w:rPr>
          <w:color w:val="auto"/>
          <w:highlight w:val="none"/>
        </w:rPr>
        <w:t>1</w:t>
      </w:r>
      <w:r>
        <w:rPr>
          <w:rFonts w:cs="宋体"/>
          <w:color w:val="auto"/>
          <w:highlight w:val="none"/>
        </w:rPr>
        <w:t>次，还必须承担严重违约责任</w:t>
      </w:r>
      <w:r>
        <w:rPr>
          <w:color w:val="auto"/>
          <w:highlight w:val="none"/>
        </w:rPr>
        <w:t>1</w:t>
      </w:r>
      <w:r>
        <w:rPr>
          <w:rFonts w:cs="宋体"/>
          <w:color w:val="auto"/>
          <w:highlight w:val="none"/>
        </w:rPr>
        <w:t>次；误差率超过</w:t>
      </w:r>
      <w:r>
        <w:rPr>
          <w:color w:val="auto"/>
          <w:highlight w:val="none"/>
        </w:rPr>
        <w:t>20%</w:t>
      </w:r>
      <w:r>
        <w:rPr>
          <w:rFonts w:cs="宋体"/>
          <w:color w:val="auto"/>
          <w:highlight w:val="none"/>
        </w:rPr>
        <w:t>的，甲方有权不支付相应工程造价预算编制费。</w:t>
      </w:r>
    </w:p>
    <w:p>
      <w:pPr>
        <w:pStyle w:val="10"/>
        <w:adjustRightInd w:val="0"/>
        <w:snapToGrid w:val="0"/>
        <w:spacing w:beforeAutospacing="0" w:afterAutospacing="0" w:line="360" w:lineRule="auto"/>
        <w:ind w:firstLine="482" w:firstLineChars="200"/>
        <w:outlineLvl w:val="3"/>
        <w:rPr>
          <w:rFonts w:hint="default"/>
          <w:color w:val="auto"/>
          <w:highlight w:val="none"/>
        </w:rPr>
      </w:pPr>
      <w:r>
        <w:rPr>
          <w:b/>
          <w:color w:val="auto"/>
          <w:highlight w:val="none"/>
        </w:rPr>
        <w:t>28.8</w:t>
      </w:r>
      <w:r>
        <w:rPr>
          <w:rFonts w:cs="宋体"/>
          <w:color w:val="auto"/>
          <w:highlight w:val="none"/>
        </w:rPr>
        <w:t>勘察、设计分包、转包、违法分包方面的违约责任</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（1）乙方不按合同约定进行勘察、设计分包管理的，视同不服从甲方管理，应按本合同条款第28.5(7)款的约定承担违约责任；同时甲方有权暂停支付本合同工程勘察、设计进度款，直到乙方完成相关工作为止。</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（2）乙方转包本合同工程勘察、设计或者违反法律法规及本合同约定分包本合同工程勘察、设计的，甲方有权单方面部分解除合同或解除合同，并由乙方承担由此产生的一切责任及损失。</w:t>
      </w:r>
    </w:p>
    <w:p>
      <w:pPr>
        <w:adjustRightInd w:val="0"/>
        <w:snapToGrid w:val="0"/>
        <w:spacing w:line="360" w:lineRule="auto"/>
        <w:ind w:firstLine="360" w:firstLineChars="15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（3）招标文件有要求作出分包范围承诺的，若乙方实际分包内容超出其投标文件承诺范围，则即使分包单位符合法定条件并经甲方认可，乙方仍须承担1次严重违约责任</w:t>
      </w:r>
      <w:r>
        <w:rPr>
          <w:rFonts w:hint="eastAsia" w:ascii="宋体" w:hAnsi="宋体" w:cs="宋体"/>
          <w:color w:val="auto"/>
          <w:szCs w:val="21"/>
          <w:highlight w:val="none"/>
        </w:rPr>
        <w:t>。</w:t>
      </w:r>
    </w:p>
    <w:p>
      <w:pPr>
        <w:pStyle w:val="10"/>
        <w:adjustRightInd w:val="0"/>
        <w:snapToGrid w:val="0"/>
        <w:spacing w:beforeAutospacing="0" w:afterAutospacing="0" w:line="360" w:lineRule="auto"/>
        <w:ind w:firstLine="482" w:firstLineChars="200"/>
        <w:outlineLvl w:val="3"/>
        <w:rPr>
          <w:rFonts w:hint="default"/>
          <w:color w:val="auto"/>
          <w:highlight w:val="none"/>
        </w:rPr>
      </w:pPr>
      <w:r>
        <w:rPr>
          <w:b/>
          <w:color w:val="auto"/>
          <w:highlight w:val="none"/>
        </w:rPr>
        <w:t>28.9</w:t>
      </w:r>
      <w:r>
        <w:rPr>
          <w:rFonts w:cs="宋体"/>
          <w:color w:val="auto"/>
          <w:highlight w:val="none"/>
        </w:rPr>
        <w:t>除上述约定之外，乙方不履行或不完全履行合同其他义务的，均构成违约，应当承担一般违约责任</w:t>
      </w:r>
      <w:r>
        <w:rPr>
          <w:color w:val="auto"/>
          <w:highlight w:val="none"/>
        </w:rPr>
        <w:t>1</w:t>
      </w:r>
      <w:r>
        <w:rPr>
          <w:rFonts w:cs="宋体"/>
          <w:color w:val="auto"/>
          <w:highlight w:val="none"/>
        </w:rPr>
        <w:t>次。情节较重的，应当承担严重违约责任</w:t>
      </w:r>
      <w:r>
        <w:rPr>
          <w:color w:val="auto"/>
          <w:highlight w:val="none"/>
        </w:rPr>
        <w:t>1</w:t>
      </w:r>
      <w:r>
        <w:rPr>
          <w:rFonts w:cs="宋体"/>
          <w:color w:val="auto"/>
          <w:highlight w:val="none"/>
        </w:rPr>
        <w:t>次。</w:t>
      </w:r>
    </w:p>
    <w:p>
      <w:pPr>
        <w:pStyle w:val="10"/>
        <w:adjustRightInd w:val="0"/>
        <w:snapToGrid w:val="0"/>
        <w:spacing w:beforeAutospacing="0" w:afterAutospacing="0" w:line="360" w:lineRule="auto"/>
        <w:ind w:firstLine="482" w:firstLineChars="200"/>
        <w:outlineLvl w:val="3"/>
        <w:rPr>
          <w:rFonts w:hint="default"/>
          <w:color w:val="auto"/>
          <w:highlight w:val="none"/>
        </w:rPr>
      </w:pPr>
      <w:r>
        <w:rPr>
          <w:b/>
          <w:color w:val="auto"/>
          <w:highlight w:val="none"/>
        </w:rPr>
        <w:t>28.10</w:t>
      </w:r>
      <w:r>
        <w:rPr>
          <w:rFonts w:cs="宋体"/>
          <w:color w:val="auto"/>
          <w:highlight w:val="none"/>
        </w:rPr>
        <w:t>乙方违约责任的认定方式及文件送达程序：</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w:t>
      </w:r>
      <w:r>
        <w:rPr>
          <w:color w:val="auto"/>
          <w:highlight w:val="none"/>
        </w:rPr>
        <w:t>1</w:t>
      </w:r>
      <w:r>
        <w:rPr>
          <w:rFonts w:cs="宋体"/>
          <w:color w:val="auto"/>
          <w:highlight w:val="none"/>
        </w:rPr>
        <w:t>）认定方式：以甲方发出的通知、通报、会议纪要等书面文件确定的内容为准。</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w:t>
      </w:r>
      <w:r>
        <w:rPr>
          <w:color w:val="auto"/>
          <w:highlight w:val="none"/>
        </w:rPr>
        <w:t>2</w:t>
      </w:r>
      <w:r>
        <w:rPr>
          <w:rFonts w:cs="宋体"/>
          <w:color w:val="auto"/>
          <w:highlight w:val="none"/>
        </w:rPr>
        <w:t>）送达程序：甲方以下列方式之一将书面违约处理决定等文书及材料送达乙方：</w:t>
      </w:r>
    </w:p>
    <w:p>
      <w:pPr>
        <w:pStyle w:val="10"/>
        <w:adjustRightInd w:val="0"/>
        <w:snapToGrid w:val="0"/>
        <w:spacing w:beforeAutospacing="0" w:afterAutospacing="0" w:line="360" w:lineRule="auto"/>
        <w:ind w:left="210" w:leftChars="100" w:firstLine="480" w:firstLineChars="200"/>
        <w:rPr>
          <w:rFonts w:hint="default"/>
          <w:color w:val="auto"/>
          <w:highlight w:val="none"/>
        </w:rPr>
      </w:pPr>
      <w:r>
        <w:rPr>
          <w:color w:val="auto"/>
          <w:highlight w:val="none"/>
        </w:rPr>
        <w:t>1</w:t>
      </w:r>
      <w:r>
        <w:rPr>
          <w:rFonts w:cs="宋体"/>
          <w:color w:val="auto"/>
          <w:highlight w:val="none"/>
        </w:rPr>
        <w:t>）乙方现场管理机构工作人员签收。</w:t>
      </w:r>
    </w:p>
    <w:p>
      <w:pPr>
        <w:pStyle w:val="10"/>
        <w:adjustRightInd w:val="0"/>
        <w:snapToGrid w:val="0"/>
        <w:spacing w:beforeAutospacing="0" w:afterAutospacing="0" w:line="360" w:lineRule="auto"/>
        <w:ind w:left="210" w:leftChars="100" w:firstLine="480" w:firstLineChars="200"/>
        <w:rPr>
          <w:rFonts w:hint="default"/>
          <w:color w:val="auto"/>
          <w:highlight w:val="none"/>
        </w:rPr>
      </w:pPr>
      <w:r>
        <w:rPr>
          <w:color w:val="auto"/>
          <w:highlight w:val="none"/>
        </w:rPr>
        <w:t>2</w:t>
      </w:r>
      <w:r>
        <w:rPr>
          <w:rFonts w:cs="宋体"/>
          <w:color w:val="auto"/>
          <w:highlight w:val="none"/>
        </w:rPr>
        <w:t>）乙方其他工作人员签收。</w:t>
      </w:r>
    </w:p>
    <w:p>
      <w:pPr>
        <w:pStyle w:val="10"/>
        <w:adjustRightInd w:val="0"/>
        <w:snapToGrid w:val="0"/>
        <w:spacing w:beforeAutospacing="0" w:afterAutospacing="0" w:line="360" w:lineRule="auto"/>
        <w:ind w:left="210" w:leftChars="100" w:firstLine="480" w:firstLineChars="200"/>
        <w:rPr>
          <w:rFonts w:hint="default"/>
          <w:color w:val="auto"/>
          <w:highlight w:val="none"/>
        </w:rPr>
      </w:pPr>
      <w:r>
        <w:rPr>
          <w:color w:val="auto"/>
          <w:highlight w:val="none"/>
        </w:rPr>
        <w:t>3</w:t>
      </w:r>
      <w:r>
        <w:rPr>
          <w:rFonts w:cs="宋体"/>
          <w:color w:val="auto"/>
          <w:highlight w:val="none"/>
        </w:rPr>
        <w:t>）甲方邮寄送达。</w:t>
      </w:r>
    </w:p>
    <w:p>
      <w:pPr>
        <w:pStyle w:val="10"/>
        <w:adjustRightInd w:val="0"/>
        <w:snapToGrid w:val="0"/>
        <w:spacing w:beforeAutospacing="0" w:afterAutospacing="0" w:line="360" w:lineRule="auto"/>
        <w:ind w:firstLine="480" w:firstLineChars="200"/>
        <w:rPr>
          <w:rFonts w:hint="default"/>
          <w:b/>
          <w:color w:val="auto"/>
          <w:highlight w:val="none"/>
        </w:rPr>
      </w:pPr>
      <w:r>
        <w:rPr>
          <w:rFonts w:cs="宋体"/>
          <w:color w:val="auto"/>
          <w:highlight w:val="none"/>
        </w:rPr>
        <w:t>（</w:t>
      </w:r>
      <w:r>
        <w:rPr>
          <w:color w:val="auto"/>
          <w:highlight w:val="none"/>
        </w:rPr>
        <w:t>3</w:t>
      </w:r>
      <w:r>
        <w:rPr>
          <w:rFonts w:cs="宋体"/>
          <w:color w:val="auto"/>
          <w:highlight w:val="none"/>
        </w:rPr>
        <w:t>）甲方以书面形式作出的违约处理决定一经送达乙方立即生效。乙方如有足够证据证明不应由其承担违约责任的，应在收到违约处理决定后</w:t>
      </w:r>
      <w:r>
        <w:rPr>
          <w:color w:val="auto"/>
          <w:highlight w:val="none"/>
        </w:rPr>
        <w:t>3</w:t>
      </w:r>
      <w:r>
        <w:rPr>
          <w:rFonts w:cs="宋体"/>
          <w:color w:val="auto"/>
          <w:highlight w:val="none"/>
        </w:rPr>
        <w:t>天内以书面形式向甲方提出异议并附上有关证据；甲方在收到乙方的异议后</w:t>
      </w:r>
      <w:r>
        <w:rPr>
          <w:color w:val="auto"/>
          <w:highlight w:val="none"/>
        </w:rPr>
        <w:t>15</w:t>
      </w:r>
      <w:r>
        <w:rPr>
          <w:rFonts w:cs="宋体"/>
          <w:color w:val="auto"/>
          <w:highlight w:val="none"/>
        </w:rPr>
        <w:t>天内审核完毕且作出书面决定并通知乙方。</w:t>
      </w:r>
    </w:p>
    <w:p>
      <w:pPr>
        <w:pStyle w:val="10"/>
        <w:adjustRightInd w:val="0"/>
        <w:snapToGrid w:val="0"/>
        <w:spacing w:beforeAutospacing="0" w:afterAutospacing="0" w:line="360" w:lineRule="auto"/>
        <w:ind w:firstLine="482" w:firstLineChars="200"/>
        <w:rPr>
          <w:rFonts w:hint="default"/>
          <w:b/>
          <w:color w:val="auto"/>
          <w:highlight w:val="none"/>
        </w:rPr>
      </w:pPr>
    </w:p>
    <w:p>
      <w:pPr>
        <w:pStyle w:val="3"/>
        <w:keepNext w:val="0"/>
        <w:keepLines w:val="0"/>
        <w:widowControl/>
        <w:spacing w:before="0" w:after="0" w:line="360" w:lineRule="auto"/>
        <w:jc w:val="center"/>
        <w:rPr>
          <w:rFonts w:ascii="宋体" w:hAnsi="宋体" w:cs="宋体"/>
          <w:color w:val="auto"/>
          <w:sz w:val="24"/>
          <w:szCs w:val="24"/>
          <w:highlight w:val="none"/>
          <w:u w:val="single"/>
        </w:rPr>
      </w:pPr>
      <w:r>
        <w:rPr>
          <w:rFonts w:hint="eastAsia" w:ascii="宋体" w:hAnsi="宋体" w:cs="宋体"/>
          <w:color w:val="auto"/>
          <w:kern w:val="0"/>
          <w:highlight w:val="none"/>
        </w:rPr>
        <w:t>第十五章  索赔</w:t>
      </w:r>
    </w:p>
    <w:p>
      <w:pPr>
        <w:adjustRightInd w:val="0"/>
        <w:snapToGrid w:val="0"/>
        <w:spacing w:line="360" w:lineRule="auto"/>
        <w:ind w:firstLine="472" w:firstLineChars="196"/>
        <w:outlineLvl w:val="2"/>
        <w:rPr>
          <w:rFonts w:ascii="宋体" w:hAnsi="宋体" w:cs="宋体"/>
          <w:b/>
          <w:color w:val="auto"/>
          <w:kern w:val="0"/>
          <w:sz w:val="24"/>
          <w:szCs w:val="24"/>
          <w:highlight w:val="none"/>
        </w:rPr>
      </w:pPr>
    </w:p>
    <w:p>
      <w:pPr>
        <w:adjustRightInd w:val="0"/>
        <w:snapToGrid w:val="0"/>
        <w:spacing w:line="360" w:lineRule="auto"/>
        <w:ind w:firstLine="472" w:firstLineChars="196"/>
        <w:outlineLvl w:val="2"/>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29、索赔</w:t>
      </w:r>
    </w:p>
    <w:p>
      <w:pPr>
        <w:adjustRightInd w:val="0"/>
        <w:snapToGrid w:val="0"/>
        <w:spacing w:line="360" w:lineRule="auto"/>
        <w:ind w:firstLine="472" w:firstLineChars="196"/>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29.1</w:t>
      </w:r>
      <w:r>
        <w:rPr>
          <w:rFonts w:hint="eastAsia" w:ascii="宋体" w:hAnsi="宋体" w:cs="宋体"/>
          <w:color w:val="auto"/>
          <w:kern w:val="0"/>
          <w:sz w:val="24"/>
          <w:szCs w:val="24"/>
          <w:highlight w:val="none"/>
        </w:rPr>
        <w:t>乙方未能按合同约定履行自己的各项义务或发生错误，甲方按如下约定向乙方索赔：</w:t>
      </w:r>
    </w:p>
    <w:p>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（1）甲方将自己的索赔意向书面通知乙方，并要求乙方在限期内纠正自己的违约行为，否则，甲方将考虑启用履约担保。</w:t>
      </w:r>
    </w:p>
    <w:p>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（2）限期届满，乙方没有采取纠正行为或者纠正行为不能使甲方满意的，甲方将索赔意向书面通知本合同条款第30.1款约定的保证人。</w:t>
      </w:r>
    </w:p>
    <w:p>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（3）甲方向保证人发出书面索赔意向七天内，乙方依然没有用实际行动纠正自己的违约行为或者纠正行为不能使甲方满意或者纠正行为无法弥补甲方的损失，则甲方直接向保证人发出正式书面索赔通知。</w:t>
      </w:r>
    </w:p>
    <w:p>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如果通过向保证人索赔的方式依然不能完全弥补甲方的损失，则甲方有权在应支付给乙方的勘察、设计费中直接扣取。同时甲方有权要求乙方在规定时间内按本合同条款第30.3款的约定向甲方补充提交履约担保。</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（5）如果通过向保证人索赔以及直接扣取勘察、设计费等方式依然不能完全弥补甲方损失的，乙方必须在甲方规定的时间内以现金形式支付剩余索赔额。否则，甲方将按本合同条款第32条的约定处理。</w:t>
      </w:r>
    </w:p>
    <w:p>
      <w:pPr>
        <w:adjustRightInd w:val="0"/>
        <w:snapToGrid w:val="0"/>
        <w:spacing w:line="360" w:lineRule="auto"/>
        <w:ind w:firstLine="472" w:firstLineChars="196"/>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29.2</w:t>
      </w:r>
      <w:r>
        <w:rPr>
          <w:rFonts w:hint="eastAsia" w:ascii="宋体" w:hAnsi="宋体" w:cs="宋体"/>
          <w:color w:val="auto"/>
          <w:kern w:val="0"/>
          <w:sz w:val="24"/>
          <w:szCs w:val="24"/>
          <w:highlight w:val="none"/>
        </w:rPr>
        <w:t>在任何索赔期间，不论索赔是否有据，均不能免除乙方按合同约定应履行的合同义务。乙方不得以此为借口，拒不履行或拖延合同的履行，否则甲方有权终止合同并要求乙方赔偿由此而给甲方造成的全部损失。</w:t>
      </w:r>
    </w:p>
    <w:p>
      <w:pPr>
        <w:adjustRightInd w:val="0"/>
        <w:snapToGrid w:val="0"/>
        <w:spacing w:line="360" w:lineRule="auto"/>
        <w:rPr>
          <w:rFonts w:ascii="宋体" w:hAnsi="宋体" w:cs="宋体"/>
          <w:color w:val="auto"/>
          <w:kern w:val="0"/>
          <w:sz w:val="24"/>
          <w:szCs w:val="24"/>
          <w:highlight w:val="none"/>
        </w:rPr>
      </w:pPr>
    </w:p>
    <w:p>
      <w:pPr>
        <w:adjustRightInd w:val="0"/>
        <w:snapToGrid w:val="0"/>
        <w:spacing w:line="360" w:lineRule="auto"/>
        <w:jc w:val="center"/>
        <w:rPr>
          <w:rFonts w:ascii="宋体" w:hAnsi="宋体" w:cs="宋体"/>
          <w:b/>
          <w:color w:val="auto"/>
          <w:sz w:val="30"/>
          <w:szCs w:val="30"/>
          <w:highlight w:val="none"/>
        </w:rPr>
      </w:pPr>
      <w:r>
        <w:rPr>
          <w:rFonts w:hint="eastAsia" w:ascii="宋体" w:hAnsi="宋体" w:cs="宋体"/>
          <w:b/>
          <w:color w:val="auto"/>
          <w:sz w:val="30"/>
          <w:szCs w:val="30"/>
          <w:highlight w:val="none"/>
        </w:rPr>
        <w:t>第十六章  保险与担保</w:t>
      </w:r>
    </w:p>
    <w:p>
      <w:pPr>
        <w:adjustRightInd w:val="0"/>
        <w:snapToGrid w:val="0"/>
        <w:spacing w:line="360" w:lineRule="auto"/>
        <w:ind w:right="11" w:firstLine="463" w:firstLineChars="192"/>
        <w:outlineLvl w:val="2"/>
        <w:rPr>
          <w:rFonts w:ascii="宋体" w:hAnsi="宋体" w:cs="宋体"/>
          <w:b/>
          <w:color w:val="auto"/>
          <w:kern w:val="0"/>
          <w:sz w:val="24"/>
          <w:szCs w:val="24"/>
          <w:highlight w:val="none"/>
        </w:rPr>
      </w:pPr>
    </w:p>
    <w:p>
      <w:pPr>
        <w:adjustRightInd w:val="0"/>
        <w:snapToGrid w:val="0"/>
        <w:spacing w:line="360" w:lineRule="auto"/>
        <w:ind w:right="11" w:firstLine="463" w:firstLineChars="192"/>
        <w:outlineLvl w:val="2"/>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30、保险与担保</w:t>
      </w:r>
    </w:p>
    <w:p>
      <w:pPr>
        <w:adjustRightInd w:val="0"/>
        <w:snapToGrid w:val="0"/>
        <w:spacing w:line="360" w:lineRule="auto"/>
        <w:ind w:right="11" w:firstLine="463" w:firstLineChars="192"/>
        <w:outlineLvl w:val="3"/>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30.1</w:t>
      </w:r>
      <w:r>
        <w:rPr>
          <w:rFonts w:hint="eastAsia" w:ascii="宋体" w:hAnsi="宋体" w:cs="宋体"/>
          <w:color w:val="auto"/>
          <w:kern w:val="0"/>
          <w:sz w:val="24"/>
          <w:szCs w:val="24"/>
          <w:highlight w:val="none"/>
        </w:rPr>
        <w:t>双方约定，乙方按照如下约定购买设计责任保险和向甲方提供履约担保文件：</w:t>
      </w:r>
    </w:p>
    <w:p>
      <w:pPr>
        <w:adjustRightInd w:val="0"/>
        <w:snapToGrid w:val="0"/>
        <w:spacing w:line="360" w:lineRule="auto"/>
        <w:ind w:right="11" w:firstLine="460" w:firstLineChars="192"/>
        <w:rPr>
          <w:rFonts w:ascii="宋体" w:hAnsi="宋体" w:cs="宋体"/>
          <w:color w:val="auto"/>
          <w:kern w:val="0"/>
          <w:sz w:val="24"/>
          <w:szCs w:val="24"/>
          <w:highlight w:val="none"/>
        </w:rPr>
      </w:pPr>
      <w:r>
        <w:rPr>
          <w:rFonts w:hint="eastAsia" w:ascii="宋体" w:hAnsi="宋体" w:cs="宋体"/>
          <w:color w:val="auto"/>
          <w:kern w:val="0"/>
          <w:sz w:val="24"/>
          <w:szCs w:val="24"/>
          <w:highlight w:val="none"/>
        </w:rPr>
        <w:t>（1）本合同约定设计工作开展前，乙方应购买建设工程设计责任险。</w:t>
      </w:r>
    </w:p>
    <w:p>
      <w:pPr>
        <w:adjustRightInd w:val="0"/>
        <w:snapToGrid w:val="0"/>
        <w:spacing w:line="360" w:lineRule="auto"/>
        <w:ind w:right="11" w:firstLine="460" w:firstLineChars="192"/>
        <w:rPr>
          <w:rFonts w:ascii="宋体" w:hAnsi="宋体" w:cs="宋体"/>
          <w:color w:val="auto"/>
          <w:kern w:val="0"/>
          <w:sz w:val="24"/>
          <w:szCs w:val="24"/>
          <w:highlight w:val="none"/>
        </w:rPr>
      </w:pPr>
      <w:r>
        <w:rPr>
          <w:rFonts w:hint="eastAsia" w:ascii="宋体" w:hAnsi="宋体" w:cs="宋体"/>
          <w:color w:val="auto"/>
          <w:kern w:val="0"/>
          <w:sz w:val="24"/>
          <w:szCs w:val="24"/>
          <w:highlight w:val="none"/>
        </w:rPr>
        <w:t>（2）乙方不按上述约定购买保险所产生的后果，由乙方自行承担。</w:t>
      </w:r>
    </w:p>
    <w:p>
      <w:pPr>
        <w:adjustRightInd w:val="0"/>
        <w:snapToGrid w:val="0"/>
        <w:spacing w:line="360" w:lineRule="auto"/>
        <w:ind w:right="11"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（3）本合同签订后30日内，乙方按合同附件载明的格式向甲方提交由在中华人民共和国注册并经甲方认可的担保机构开出的担保金额为合同价款的10％，即人民币____________元的《履约担保》原件。</w:t>
      </w:r>
    </w:p>
    <w:p>
      <w:pPr>
        <w:snapToGrid w:val="0"/>
        <w:spacing w:line="360" w:lineRule="auto"/>
        <w:ind w:right="11" w:firstLine="480" w:firstLineChars="200"/>
        <w:rPr>
          <w:rFonts w:ascii="宋体" w:hAnsi="宋体" w:cs="宋体"/>
          <w:strike/>
          <w:color w:val="auto"/>
          <w:sz w:val="24"/>
          <w:szCs w:val="24"/>
          <w:highlight w:val="none"/>
          <w:u w:val="single"/>
        </w:rPr>
      </w:pPr>
      <w:r>
        <w:rPr>
          <w:rFonts w:hint="eastAsia" w:ascii="宋体" w:hAnsi="宋体" w:cs="宋体"/>
          <w:color w:val="auto"/>
          <w:sz w:val="24"/>
          <w:szCs w:val="24"/>
          <w:highlight w:val="none"/>
        </w:rPr>
        <w:t>（4）乙方如未能按约定提交履约担保的，甲方有权取消乙方中标资格并解除合同，</w:t>
      </w:r>
      <w:r>
        <w:rPr>
          <w:rFonts w:ascii="宋体" w:hAnsi="宋体" w:cs="宋体"/>
          <w:color w:val="auto"/>
          <w:sz w:val="24"/>
          <w:szCs w:val="24"/>
          <w:highlight w:val="none"/>
        </w:rPr>
        <w:t>给甲方造成损失的，</w:t>
      </w:r>
      <w:r>
        <w:rPr>
          <w:rFonts w:hint="eastAsia" w:ascii="宋体" w:hAnsi="宋体" w:cs="宋体"/>
          <w:color w:val="auto"/>
          <w:sz w:val="24"/>
          <w:szCs w:val="24"/>
          <w:highlight w:val="none"/>
        </w:rPr>
        <w:t>甲方有权要求乙方承担赔偿责任。</w:t>
      </w:r>
    </w:p>
    <w:p>
      <w:pPr>
        <w:snapToGrid w:val="0"/>
        <w:spacing w:line="360" w:lineRule="auto"/>
        <w:ind w:right="11"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（5）建设工程发生损失后，应由政府建设行政主管部门按照国家有关建设工程质量事故调查处理的规定做出鉴定结论。</w:t>
      </w:r>
    </w:p>
    <w:p>
      <w:pPr>
        <w:snapToGrid w:val="0"/>
        <w:spacing w:line="360" w:lineRule="auto"/>
        <w:ind w:right="11" w:firstLine="463" w:firstLineChars="192"/>
        <w:rPr>
          <w:rFonts w:ascii="宋体" w:hAnsi="宋体" w:cs="宋体"/>
          <w:color w:val="auto"/>
          <w:sz w:val="24"/>
          <w:szCs w:val="24"/>
          <w:highlight w:val="none"/>
        </w:rPr>
      </w:pPr>
      <w:r>
        <w:rPr>
          <w:rFonts w:hint="eastAsia" w:ascii="宋体" w:hAnsi="宋体" w:cs="宋体"/>
          <w:b/>
          <w:color w:val="auto"/>
          <w:sz w:val="24"/>
          <w:szCs w:val="24"/>
          <w:highlight w:val="none"/>
        </w:rPr>
        <w:t>30.2</w:t>
      </w:r>
      <w:r>
        <w:rPr>
          <w:rFonts w:hint="eastAsia" w:ascii="宋体" w:hAnsi="宋体" w:cs="宋体"/>
          <w:bCs/>
          <w:color w:val="auto"/>
          <w:sz w:val="24"/>
          <w:szCs w:val="24"/>
          <w:highlight w:val="none"/>
        </w:rPr>
        <w:t>乙方提交的履约担保是对本合同约定的乙方的全部义务（包括但不限于乙方违约后应支付的违约金和赔偿金）的担保，乙方的任何一次不履行或不完全履行合同义务的行为，甲方均有权向保证人提出索赔。</w:t>
      </w:r>
    </w:p>
    <w:p>
      <w:pPr>
        <w:snapToGrid w:val="0"/>
        <w:spacing w:line="360" w:lineRule="auto"/>
        <w:ind w:right="11" w:firstLine="463" w:firstLineChars="192"/>
        <w:rPr>
          <w:rFonts w:ascii="宋体" w:hAnsi="宋体" w:cs="宋体"/>
          <w:color w:val="auto"/>
          <w:sz w:val="24"/>
          <w:szCs w:val="24"/>
          <w:highlight w:val="none"/>
        </w:rPr>
      </w:pPr>
      <w:r>
        <w:rPr>
          <w:rFonts w:hint="eastAsia" w:ascii="宋体" w:hAnsi="宋体" w:cs="宋体"/>
          <w:b/>
          <w:color w:val="auto"/>
          <w:sz w:val="24"/>
          <w:szCs w:val="24"/>
          <w:highlight w:val="none"/>
        </w:rPr>
        <w:t>30.3</w:t>
      </w:r>
      <w:r>
        <w:rPr>
          <w:rFonts w:hint="eastAsia" w:ascii="宋体" w:hAnsi="宋体" w:cs="宋体"/>
          <w:bCs/>
          <w:color w:val="auto"/>
          <w:sz w:val="24"/>
          <w:szCs w:val="24"/>
          <w:highlight w:val="none"/>
        </w:rPr>
        <w:t>乙方不履行或不完全履行合同义务的行为导致甲方依据履约担保向保证人索赔担保金额的一部分或者全部的，乙方必须在甲方规定的时间内补充提交履约担保，使得本合同履行期间有效的担保金额等于乙方第一次提交的担保金额。</w:t>
      </w:r>
    </w:p>
    <w:p>
      <w:pPr>
        <w:snapToGrid w:val="0"/>
        <w:spacing w:line="360" w:lineRule="auto"/>
        <w:ind w:right="11" w:firstLine="463" w:firstLineChars="192"/>
        <w:rPr>
          <w:rFonts w:ascii="宋体" w:hAnsi="宋体" w:cs="宋体"/>
          <w:color w:val="auto"/>
          <w:sz w:val="24"/>
          <w:szCs w:val="24"/>
          <w:highlight w:val="none"/>
        </w:rPr>
      </w:pPr>
      <w:r>
        <w:rPr>
          <w:rFonts w:hint="eastAsia" w:ascii="宋体" w:hAnsi="宋体" w:cs="宋体"/>
          <w:b/>
          <w:color w:val="auto"/>
          <w:sz w:val="24"/>
          <w:szCs w:val="24"/>
          <w:highlight w:val="none"/>
        </w:rPr>
        <w:t>30.4</w:t>
      </w:r>
      <w:r>
        <w:rPr>
          <w:rFonts w:hint="eastAsia" w:ascii="宋体" w:hAnsi="宋体" w:cs="宋体"/>
          <w:bCs/>
          <w:color w:val="auto"/>
          <w:sz w:val="24"/>
          <w:szCs w:val="24"/>
          <w:highlight w:val="none"/>
        </w:rPr>
        <w:t>如果乙方不按甲方的要求及时补充提交履约担保，则甲方有权单方面部分解除或解除本合同，并按合同条款第28.1(5)、(6)款的有关约定执行。</w:t>
      </w:r>
    </w:p>
    <w:p>
      <w:pPr>
        <w:adjustRightInd w:val="0"/>
        <w:snapToGrid w:val="0"/>
        <w:spacing w:line="360" w:lineRule="auto"/>
        <w:ind w:right="11" w:firstLine="482" w:firstLineChars="200"/>
        <w:rPr>
          <w:rFonts w:ascii="宋体" w:hAnsi="宋体" w:cs="宋体"/>
          <w:color w:val="auto"/>
          <w:spacing w:val="-4"/>
          <w:kern w:val="0"/>
          <w:sz w:val="24"/>
          <w:szCs w:val="24"/>
          <w:highlight w:val="none"/>
        </w:rPr>
      </w:pPr>
      <w:r>
        <w:rPr>
          <w:rFonts w:hint="eastAsia" w:ascii="宋体" w:hAnsi="宋体" w:cs="宋体"/>
          <w:b/>
          <w:color w:val="auto"/>
          <w:kern w:val="0"/>
          <w:sz w:val="24"/>
          <w:szCs w:val="24"/>
          <w:highlight w:val="none"/>
        </w:rPr>
        <w:t>30.5</w:t>
      </w:r>
      <w:r>
        <w:rPr>
          <w:rFonts w:hint="eastAsia" w:ascii="宋体" w:hAnsi="宋体" w:cs="宋体"/>
          <w:color w:val="auto"/>
          <w:spacing w:val="-4"/>
          <w:kern w:val="0"/>
          <w:sz w:val="24"/>
          <w:szCs w:val="24"/>
          <w:highlight w:val="none"/>
        </w:rPr>
        <w:t>乙方提供本项目所需全部分部（子分部）工程质量验收记录（√</w:t>
      </w:r>
      <w:r>
        <w:rPr>
          <w:rFonts w:hint="eastAsia" w:ascii="宋体" w:hAnsi="宋体" w:cs="宋体"/>
          <w:color w:val="auto"/>
          <w:kern w:val="0"/>
          <w:sz w:val="24"/>
          <w:szCs w:val="24"/>
          <w:highlight w:val="none"/>
        </w:rPr>
        <w:t>地基与基础，</w:t>
      </w:r>
      <w:r>
        <w:rPr>
          <w:rFonts w:hint="eastAsia" w:ascii="宋体" w:hAnsi="宋体" w:cs="宋体"/>
          <w:color w:val="auto"/>
          <w:spacing w:val="-4"/>
          <w:kern w:val="0"/>
          <w:sz w:val="24"/>
          <w:szCs w:val="24"/>
          <w:highlight w:val="none"/>
        </w:rPr>
        <w:t>√</w:t>
      </w:r>
      <w:r>
        <w:rPr>
          <w:rFonts w:hint="eastAsia" w:ascii="宋体" w:hAnsi="宋体" w:cs="宋体"/>
          <w:color w:val="auto"/>
          <w:kern w:val="0"/>
          <w:sz w:val="24"/>
          <w:szCs w:val="24"/>
          <w:highlight w:val="none"/>
        </w:rPr>
        <w:t>主体结构，</w:t>
      </w:r>
      <w:r>
        <w:rPr>
          <w:rFonts w:hint="eastAsia" w:ascii="宋体" w:hAnsi="宋体" w:cs="宋体"/>
          <w:color w:val="auto"/>
          <w:spacing w:val="-4"/>
          <w:kern w:val="0"/>
          <w:sz w:val="24"/>
          <w:szCs w:val="24"/>
          <w:highlight w:val="none"/>
        </w:rPr>
        <w:t>√</w:t>
      </w:r>
      <w:r>
        <w:rPr>
          <w:rFonts w:hint="eastAsia" w:ascii="宋体" w:hAnsi="宋体" w:cs="宋体"/>
          <w:color w:val="auto"/>
          <w:kern w:val="0"/>
          <w:sz w:val="24"/>
          <w:szCs w:val="24"/>
          <w:highlight w:val="none"/>
        </w:rPr>
        <w:t>建筑装饰装修，</w:t>
      </w:r>
      <w:r>
        <w:rPr>
          <w:rFonts w:hint="eastAsia" w:ascii="宋体" w:hAnsi="宋体" w:cs="宋体"/>
          <w:color w:val="auto"/>
          <w:spacing w:val="-4"/>
          <w:kern w:val="0"/>
          <w:sz w:val="24"/>
          <w:szCs w:val="24"/>
          <w:highlight w:val="none"/>
        </w:rPr>
        <w:t>√</w:t>
      </w:r>
      <w:r>
        <w:rPr>
          <w:rFonts w:hint="eastAsia" w:ascii="宋体" w:hAnsi="宋体" w:cs="宋体"/>
          <w:color w:val="auto"/>
          <w:kern w:val="0"/>
          <w:sz w:val="24"/>
          <w:szCs w:val="24"/>
          <w:highlight w:val="none"/>
        </w:rPr>
        <w:t>屋面工程，</w:t>
      </w:r>
      <w:r>
        <w:rPr>
          <w:rFonts w:hint="eastAsia" w:ascii="宋体" w:hAnsi="宋体" w:cs="宋体"/>
          <w:color w:val="auto"/>
          <w:spacing w:val="-4"/>
          <w:kern w:val="0"/>
          <w:sz w:val="24"/>
          <w:szCs w:val="24"/>
          <w:highlight w:val="none"/>
        </w:rPr>
        <w:t>√</w:t>
      </w:r>
      <w:r>
        <w:rPr>
          <w:rFonts w:hint="eastAsia" w:ascii="宋体" w:hAnsi="宋体" w:cs="宋体"/>
          <w:color w:val="auto"/>
          <w:kern w:val="0"/>
          <w:sz w:val="24"/>
          <w:szCs w:val="24"/>
          <w:highlight w:val="none"/>
        </w:rPr>
        <w:t>建筑给水、排水及采暖，</w:t>
      </w:r>
      <w:r>
        <w:rPr>
          <w:rFonts w:hint="eastAsia" w:ascii="宋体" w:hAnsi="宋体" w:cs="宋体"/>
          <w:color w:val="auto"/>
          <w:spacing w:val="-4"/>
          <w:kern w:val="0"/>
          <w:sz w:val="24"/>
          <w:szCs w:val="24"/>
          <w:highlight w:val="none"/>
        </w:rPr>
        <w:t>√</w:t>
      </w:r>
      <w:r>
        <w:rPr>
          <w:rFonts w:hint="eastAsia" w:ascii="宋体" w:hAnsi="宋体" w:cs="宋体"/>
          <w:color w:val="auto"/>
          <w:kern w:val="0"/>
          <w:sz w:val="24"/>
          <w:szCs w:val="24"/>
          <w:highlight w:val="none"/>
        </w:rPr>
        <w:t>通风与空调，</w:t>
      </w:r>
      <w:r>
        <w:rPr>
          <w:rFonts w:hint="eastAsia" w:ascii="宋体" w:hAnsi="宋体" w:cs="宋体"/>
          <w:color w:val="auto"/>
          <w:spacing w:val="-4"/>
          <w:kern w:val="0"/>
          <w:sz w:val="24"/>
          <w:szCs w:val="24"/>
          <w:highlight w:val="none"/>
        </w:rPr>
        <w:t>√</w:t>
      </w:r>
      <w:r>
        <w:rPr>
          <w:rFonts w:hint="eastAsia" w:ascii="宋体" w:hAnsi="宋体" w:cs="宋体"/>
          <w:color w:val="auto"/>
          <w:kern w:val="0"/>
          <w:sz w:val="24"/>
          <w:szCs w:val="24"/>
          <w:highlight w:val="none"/>
        </w:rPr>
        <w:t>建筑电气，</w:t>
      </w:r>
      <w:r>
        <w:rPr>
          <w:rFonts w:hint="eastAsia" w:ascii="宋体" w:hAnsi="宋体" w:cs="宋体"/>
          <w:color w:val="auto"/>
          <w:spacing w:val="-4"/>
          <w:kern w:val="0"/>
          <w:sz w:val="24"/>
          <w:szCs w:val="24"/>
          <w:highlight w:val="none"/>
        </w:rPr>
        <w:t>√</w:t>
      </w:r>
      <w:r>
        <w:rPr>
          <w:rFonts w:hint="eastAsia" w:ascii="宋体" w:hAnsi="宋体" w:cs="宋体"/>
          <w:color w:val="auto"/>
          <w:kern w:val="0"/>
          <w:sz w:val="24"/>
          <w:szCs w:val="24"/>
          <w:highlight w:val="none"/>
        </w:rPr>
        <w:t>建筑智能化，</w:t>
      </w:r>
      <w:r>
        <w:rPr>
          <w:rFonts w:hint="eastAsia" w:ascii="宋体" w:hAnsi="宋体" w:cs="宋体"/>
          <w:color w:val="auto"/>
          <w:spacing w:val="-4"/>
          <w:kern w:val="0"/>
          <w:sz w:val="24"/>
          <w:szCs w:val="24"/>
          <w:highlight w:val="none"/>
        </w:rPr>
        <w:t>√</w:t>
      </w:r>
      <w:r>
        <w:rPr>
          <w:rFonts w:hint="eastAsia" w:ascii="宋体" w:hAnsi="宋体" w:cs="宋体"/>
          <w:color w:val="auto"/>
          <w:kern w:val="0"/>
          <w:sz w:val="24"/>
          <w:szCs w:val="24"/>
          <w:highlight w:val="none"/>
        </w:rPr>
        <w:t>建筑节能，</w:t>
      </w:r>
      <w:r>
        <w:rPr>
          <w:rFonts w:hint="eastAsia" w:ascii="宋体" w:hAnsi="宋体" w:cs="宋体"/>
          <w:color w:val="auto"/>
          <w:spacing w:val="-4"/>
          <w:kern w:val="0"/>
          <w:sz w:val="24"/>
          <w:szCs w:val="24"/>
          <w:highlight w:val="none"/>
        </w:rPr>
        <w:t>√</w:t>
      </w:r>
      <w:r>
        <w:rPr>
          <w:rFonts w:hint="eastAsia" w:ascii="宋体" w:hAnsi="宋体" w:cs="宋体"/>
          <w:color w:val="auto"/>
          <w:kern w:val="0"/>
          <w:sz w:val="24"/>
          <w:szCs w:val="24"/>
          <w:highlight w:val="none"/>
        </w:rPr>
        <w:t>电梯，</w:t>
      </w:r>
      <w:r>
        <w:rPr>
          <w:rFonts w:hint="eastAsia" w:ascii="宋体" w:hAnsi="宋体" w:cs="宋体"/>
          <w:color w:val="auto"/>
          <w:spacing w:val="-4"/>
          <w:kern w:val="0"/>
          <w:sz w:val="24"/>
          <w:szCs w:val="24"/>
          <w:highlight w:val="none"/>
        </w:rPr>
        <w:t>√</w:t>
      </w:r>
      <w:r>
        <w:rPr>
          <w:rFonts w:hint="eastAsia" w:ascii="宋体" w:hAnsi="宋体" w:cs="宋体"/>
          <w:color w:val="auto"/>
          <w:kern w:val="0"/>
          <w:sz w:val="24"/>
          <w:szCs w:val="24"/>
          <w:highlight w:val="none"/>
        </w:rPr>
        <w:t>室外设施，</w:t>
      </w:r>
      <w:r>
        <w:rPr>
          <w:rFonts w:hint="eastAsia" w:ascii="宋体" w:hAnsi="宋体" w:cs="宋体"/>
          <w:color w:val="auto"/>
          <w:spacing w:val="-4"/>
          <w:kern w:val="0"/>
          <w:sz w:val="24"/>
          <w:szCs w:val="24"/>
          <w:highlight w:val="none"/>
        </w:rPr>
        <w:t>√</w:t>
      </w:r>
      <w:r>
        <w:rPr>
          <w:rFonts w:hint="eastAsia" w:ascii="宋体" w:hAnsi="宋体" w:cs="宋体"/>
          <w:color w:val="auto"/>
          <w:kern w:val="0"/>
          <w:sz w:val="24"/>
          <w:szCs w:val="24"/>
          <w:highlight w:val="none"/>
        </w:rPr>
        <w:t>附属建筑及室外环境，</w:t>
      </w:r>
      <w:r>
        <w:rPr>
          <w:rFonts w:hint="eastAsia" w:ascii="宋体" w:hAnsi="宋体" w:cs="宋体"/>
          <w:color w:val="auto"/>
          <w:spacing w:val="-4"/>
          <w:kern w:val="0"/>
          <w:sz w:val="24"/>
          <w:szCs w:val="24"/>
          <w:highlight w:val="none"/>
        </w:rPr>
        <w:t>√</w:t>
      </w:r>
      <w:r>
        <w:rPr>
          <w:rFonts w:hint="eastAsia" w:ascii="宋体" w:hAnsi="宋体" w:cs="宋体"/>
          <w:color w:val="auto"/>
          <w:kern w:val="0"/>
          <w:sz w:val="24"/>
          <w:szCs w:val="24"/>
          <w:highlight w:val="none"/>
        </w:rPr>
        <w:t>室外安装，</w:t>
      </w:r>
      <w:r>
        <w:rPr>
          <w:rFonts w:hint="eastAsia" w:ascii="宋体" w:hAnsi="宋体" w:cs="宋体"/>
          <w:color w:val="auto"/>
          <w:spacing w:val="-4"/>
          <w:kern w:val="0"/>
          <w:sz w:val="24"/>
          <w:szCs w:val="24"/>
          <w:highlight w:val="none"/>
        </w:rPr>
        <w:t>√</w:t>
      </w:r>
      <w:r>
        <w:rPr>
          <w:rFonts w:hint="eastAsia" w:ascii="宋体" w:hAnsi="宋体" w:cs="宋体"/>
          <w:color w:val="auto"/>
          <w:kern w:val="0"/>
          <w:sz w:val="24"/>
          <w:szCs w:val="24"/>
          <w:highlight w:val="none"/>
        </w:rPr>
        <w:t>其他</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如有</w:t>
      </w:r>
      <w:r>
        <w:rPr>
          <w:rFonts w:hint="eastAsia" w:ascii="宋体" w:hAnsi="宋体" w:cs="宋体"/>
          <w:color w:val="auto"/>
          <w:kern w:val="0"/>
          <w:sz w:val="24"/>
          <w:szCs w:val="24"/>
          <w:highlight w:val="none"/>
          <w:lang w:eastAsia="zh-CN"/>
        </w:rPr>
        <w:t>）</w:t>
      </w:r>
      <w:r>
        <w:rPr>
          <w:rFonts w:hint="eastAsia" w:ascii="宋体" w:hAnsi="宋体" w:cs="宋体"/>
          <w:color w:val="auto"/>
          <w:spacing w:val="-4"/>
          <w:kern w:val="0"/>
          <w:sz w:val="24"/>
          <w:szCs w:val="24"/>
          <w:highlight w:val="none"/>
        </w:rPr>
        <w:t>）及已提供竣工图证明文件（经监理人及甲方确认施工单位已提供竣工图的相关文件）后，可以向甲方申请退还履约担保。</w:t>
      </w:r>
    </w:p>
    <w:p>
      <w:pPr>
        <w:adjustRightInd w:val="0"/>
        <w:snapToGrid w:val="0"/>
        <w:spacing w:line="360" w:lineRule="auto"/>
        <w:ind w:right="11" w:firstLine="466" w:firstLineChars="200"/>
        <w:rPr>
          <w:rFonts w:hint="eastAsia" w:ascii="宋体" w:hAnsi="宋体" w:cs="宋体"/>
          <w:bCs/>
          <w:color w:val="auto"/>
          <w:spacing w:val="-4"/>
          <w:kern w:val="0"/>
          <w:sz w:val="24"/>
          <w:szCs w:val="24"/>
          <w:highlight w:val="none"/>
        </w:rPr>
      </w:pPr>
      <w:r>
        <w:rPr>
          <w:rFonts w:hint="eastAsia" w:ascii="宋体" w:hAnsi="宋体" w:cs="宋体"/>
          <w:b/>
          <w:color w:val="auto"/>
          <w:spacing w:val="-4"/>
          <w:kern w:val="0"/>
          <w:sz w:val="24"/>
          <w:szCs w:val="24"/>
          <w:highlight w:val="none"/>
        </w:rPr>
        <w:t>30.6</w:t>
      </w:r>
      <w:r>
        <w:rPr>
          <w:rFonts w:hint="eastAsia" w:ascii="宋体" w:hAnsi="宋体" w:cs="宋体"/>
          <w:bCs/>
          <w:color w:val="auto"/>
          <w:spacing w:val="-4"/>
          <w:kern w:val="0"/>
          <w:sz w:val="24"/>
          <w:szCs w:val="24"/>
          <w:highlight w:val="none"/>
        </w:rPr>
        <w:t>乙方需保证履约担保在本合同整个履行期间的有效性；若因工程延期或因其他原因导致担保期限未涵盖本合同整个有效期的，乙方应在担保有效期届满前45天办理履约担保的续期手续，并于原担保有效期届满前10天向甲方提交同样格式且更新日期后的有效履约担保，以替代原履约担保。关于新履约担保担保金额：</w:t>
      </w:r>
    </w:p>
    <w:p>
      <w:pPr>
        <w:adjustRightInd w:val="0"/>
        <w:snapToGrid w:val="0"/>
        <w:spacing w:line="360" w:lineRule="auto"/>
        <w:ind w:right="11" w:firstLine="464" w:firstLineChars="200"/>
        <w:rPr>
          <w:rFonts w:hint="eastAsia" w:ascii="宋体" w:hAnsi="宋体" w:cs="宋体"/>
          <w:bCs/>
          <w:color w:val="auto"/>
          <w:spacing w:val="-4"/>
          <w:kern w:val="0"/>
          <w:sz w:val="24"/>
          <w:szCs w:val="24"/>
          <w:highlight w:val="none"/>
        </w:rPr>
      </w:pPr>
      <w:r>
        <w:rPr>
          <w:rFonts w:hint="eastAsia" w:ascii="宋体" w:hAnsi="宋体" w:cs="宋体"/>
          <w:bCs/>
          <w:color w:val="auto"/>
          <w:spacing w:val="-4"/>
          <w:kern w:val="0"/>
          <w:sz w:val="24"/>
          <w:szCs w:val="24"/>
          <w:highlight w:val="none"/>
        </w:rPr>
        <w:t>（1）若实体工程已完工且乙方无欠付甲方相关费用的，则无论原履约担保是否到期，乙方均可申请提交担保金额为原担保金额30%的新履约担保替换原履约担保。经甲方审核同意后方可执行。</w:t>
      </w:r>
    </w:p>
    <w:p>
      <w:pPr>
        <w:adjustRightInd w:val="0"/>
        <w:snapToGrid w:val="0"/>
        <w:spacing w:line="360" w:lineRule="auto"/>
        <w:ind w:right="11" w:firstLine="464" w:firstLineChars="200"/>
        <w:rPr>
          <w:rFonts w:ascii="宋体" w:hAnsi="宋体" w:cs="宋体"/>
          <w:bCs/>
          <w:color w:val="auto"/>
          <w:spacing w:val="-4"/>
          <w:kern w:val="0"/>
          <w:sz w:val="24"/>
          <w:szCs w:val="24"/>
          <w:highlight w:val="none"/>
        </w:rPr>
      </w:pPr>
      <w:r>
        <w:rPr>
          <w:rFonts w:hint="eastAsia" w:ascii="宋体" w:hAnsi="宋体" w:cs="宋体"/>
          <w:bCs/>
          <w:color w:val="auto"/>
          <w:spacing w:val="-4"/>
          <w:kern w:val="0"/>
          <w:sz w:val="24"/>
          <w:szCs w:val="24"/>
          <w:highlight w:val="none"/>
        </w:rPr>
        <w:t>（2）若未完成实体工程的，则乙方须按原担保金额办理履约担保续期手续。</w:t>
      </w:r>
    </w:p>
    <w:p>
      <w:pPr>
        <w:adjustRightInd w:val="0"/>
        <w:snapToGrid w:val="0"/>
        <w:spacing w:line="360" w:lineRule="auto"/>
        <w:ind w:right="11" w:firstLine="466" w:firstLineChars="200"/>
        <w:rPr>
          <w:rFonts w:hint="eastAsia" w:ascii="宋体" w:hAnsi="宋体" w:cs="宋体"/>
          <w:bCs/>
          <w:color w:val="auto"/>
          <w:spacing w:val="-4"/>
          <w:kern w:val="0"/>
          <w:sz w:val="24"/>
          <w:szCs w:val="24"/>
          <w:highlight w:val="none"/>
        </w:rPr>
      </w:pPr>
      <w:r>
        <w:rPr>
          <w:rFonts w:hint="eastAsia" w:ascii="宋体" w:hAnsi="宋体" w:cs="宋体"/>
          <w:b/>
          <w:color w:val="auto"/>
          <w:spacing w:val="-4"/>
          <w:kern w:val="0"/>
          <w:sz w:val="24"/>
          <w:szCs w:val="24"/>
          <w:highlight w:val="none"/>
        </w:rPr>
        <w:t>30.7</w:t>
      </w:r>
      <w:r>
        <w:rPr>
          <w:rFonts w:hint="eastAsia" w:ascii="宋体" w:hAnsi="宋体" w:cs="宋体"/>
          <w:bCs/>
          <w:color w:val="auto"/>
          <w:spacing w:val="-4"/>
          <w:kern w:val="0"/>
          <w:sz w:val="24"/>
          <w:szCs w:val="24"/>
          <w:highlight w:val="none"/>
        </w:rPr>
        <w:t>若乙方未按合同约定更新履约担保的，应按以下约定承担违约责任，且甲方有权以不超过担保金额为限暂停支付余下的合同价款直至乙方提交新履约担保或提供本项目所需全部分部（子分部）工程质量验收记录及已提供竣工图证明文件（经监理人及甲方确认施工单位已提供竣工图的相关文件）。</w:t>
      </w:r>
    </w:p>
    <w:p>
      <w:pPr>
        <w:adjustRightInd w:val="0"/>
        <w:snapToGrid w:val="0"/>
        <w:spacing w:line="360" w:lineRule="auto"/>
        <w:ind w:right="11" w:firstLine="464" w:firstLineChars="200"/>
        <w:rPr>
          <w:rFonts w:hint="eastAsia" w:ascii="宋体" w:hAnsi="宋体" w:cs="宋体"/>
          <w:bCs/>
          <w:color w:val="auto"/>
          <w:spacing w:val="-4"/>
          <w:kern w:val="0"/>
          <w:sz w:val="24"/>
          <w:szCs w:val="24"/>
          <w:highlight w:val="none"/>
        </w:rPr>
      </w:pPr>
      <w:r>
        <w:rPr>
          <w:rFonts w:hint="eastAsia" w:ascii="宋体" w:hAnsi="宋体" w:cs="宋体"/>
          <w:bCs/>
          <w:color w:val="auto"/>
          <w:spacing w:val="-4"/>
          <w:kern w:val="0"/>
          <w:sz w:val="24"/>
          <w:szCs w:val="24"/>
          <w:highlight w:val="none"/>
        </w:rPr>
        <w:t>（1）自原担保期限届满之日起5日内未提交新履约担保的，给予书面警告并限期整改。</w:t>
      </w:r>
    </w:p>
    <w:p>
      <w:pPr>
        <w:adjustRightInd w:val="0"/>
        <w:snapToGrid w:val="0"/>
        <w:spacing w:line="360" w:lineRule="auto"/>
        <w:ind w:right="11" w:firstLine="464" w:firstLineChars="200"/>
        <w:rPr>
          <w:rFonts w:hint="eastAsia" w:ascii="宋体" w:hAnsi="宋体" w:cs="宋体"/>
          <w:bCs/>
          <w:color w:val="auto"/>
          <w:spacing w:val="-4"/>
          <w:kern w:val="0"/>
          <w:sz w:val="24"/>
          <w:szCs w:val="24"/>
          <w:highlight w:val="none"/>
        </w:rPr>
      </w:pPr>
      <w:r>
        <w:rPr>
          <w:rFonts w:hint="eastAsia" w:ascii="宋体" w:hAnsi="宋体" w:cs="宋体"/>
          <w:bCs/>
          <w:color w:val="auto"/>
          <w:spacing w:val="-4"/>
          <w:kern w:val="0"/>
          <w:sz w:val="24"/>
          <w:szCs w:val="24"/>
          <w:highlight w:val="none"/>
        </w:rPr>
        <w:t>（2）若原担保过期达10天（含）仍未提交新履约担保的，则乙方承担一般违约责任；若原担保过期达30天（含）仍未提交新履约担保的，则乙方须再承担严重违约责任。</w:t>
      </w:r>
    </w:p>
    <w:p>
      <w:pPr>
        <w:adjustRightInd w:val="0"/>
        <w:snapToGrid w:val="0"/>
        <w:spacing w:line="360" w:lineRule="auto"/>
        <w:ind w:right="11" w:firstLine="464" w:firstLineChars="200"/>
        <w:rPr>
          <w:rFonts w:ascii="宋体" w:hAnsi="宋体" w:cs="宋体"/>
          <w:bCs/>
          <w:color w:val="auto"/>
          <w:spacing w:val="-4"/>
          <w:kern w:val="0"/>
          <w:sz w:val="24"/>
          <w:szCs w:val="24"/>
          <w:highlight w:val="none"/>
        </w:rPr>
      </w:pPr>
      <w:r>
        <w:rPr>
          <w:rFonts w:hint="eastAsia" w:ascii="宋体" w:hAnsi="宋体" w:cs="宋体"/>
          <w:bCs/>
          <w:color w:val="auto"/>
          <w:spacing w:val="-4"/>
          <w:kern w:val="0"/>
          <w:sz w:val="24"/>
          <w:szCs w:val="24"/>
          <w:highlight w:val="none"/>
        </w:rPr>
        <w:t>（3）若原担保过期达60天（含）仍未提交新履约担保的，则乙方除按上述约定承担违约责任外，自原担保届满第60天起，乙方应向甲方支付违约金（</w:t>
      </w:r>
      <w:r>
        <w:rPr>
          <w:rFonts w:hint="eastAsia" w:ascii="MS Mincho" w:hAnsi="MS Mincho" w:eastAsia="MS Mincho" w:cs="MS Mincho"/>
          <w:color w:val="auto"/>
          <w:sz w:val="24"/>
          <w:szCs w:val="24"/>
          <w:highlight w:val="none"/>
        </w:rPr>
        <w:t>☑</w:t>
      </w:r>
      <w:r>
        <w:rPr>
          <w:rFonts w:hint="eastAsia" w:ascii="宋体" w:hAnsi="宋体" w:cs="宋体"/>
          <w:bCs/>
          <w:color w:val="auto"/>
          <w:spacing w:val="-4"/>
          <w:kern w:val="0"/>
          <w:sz w:val="24"/>
          <w:szCs w:val="24"/>
          <w:highlight w:val="none"/>
        </w:rPr>
        <w:t>3000元/天、□5000元/天、□10000元/天），直至乙方提交新履约担保或提供本项目所需全部分部（子分部）工程质量验收记录及已提供竣工图证明文件（经监理人及甲方确认施工单位已提供竣工图的相关文件）。</w:t>
      </w:r>
    </w:p>
    <w:p>
      <w:pPr>
        <w:adjustRightInd w:val="0"/>
        <w:snapToGrid w:val="0"/>
        <w:spacing w:line="360" w:lineRule="auto"/>
        <w:ind w:right="11" w:firstLine="464" w:firstLineChars="200"/>
        <w:rPr>
          <w:rFonts w:ascii="宋体" w:hAnsi="宋体" w:cs="宋体"/>
          <w:color w:val="auto"/>
          <w:spacing w:val="-4"/>
          <w:kern w:val="0"/>
          <w:sz w:val="24"/>
          <w:szCs w:val="24"/>
          <w:highlight w:val="none"/>
        </w:rPr>
      </w:pPr>
    </w:p>
    <w:p>
      <w:pPr>
        <w:pStyle w:val="3"/>
        <w:keepNext w:val="0"/>
        <w:keepLines w:val="0"/>
        <w:widowControl/>
        <w:spacing w:before="0" w:after="0" w:line="360" w:lineRule="auto"/>
        <w:jc w:val="center"/>
        <w:rPr>
          <w:rFonts w:ascii="宋体" w:hAnsi="宋体" w:cs="宋体"/>
          <w:color w:val="auto"/>
          <w:sz w:val="24"/>
          <w:szCs w:val="24"/>
          <w:highlight w:val="none"/>
        </w:rPr>
      </w:pPr>
      <w:r>
        <w:rPr>
          <w:rFonts w:hint="eastAsia" w:ascii="宋体" w:hAnsi="宋体" w:cs="宋体"/>
          <w:color w:val="auto"/>
          <w:kern w:val="0"/>
          <w:highlight w:val="none"/>
        </w:rPr>
        <w:t>第十七章  税  费</w:t>
      </w:r>
    </w:p>
    <w:p>
      <w:pPr>
        <w:adjustRightInd w:val="0"/>
        <w:snapToGrid w:val="0"/>
        <w:spacing w:line="360" w:lineRule="auto"/>
        <w:ind w:firstLine="472" w:firstLineChars="196"/>
        <w:rPr>
          <w:rFonts w:ascii="宋体" w:hAnsi="宋体" w:cs="宋体"/>
          <w:b/>
          <w:color w:val="auto"/>
          <w:kern w:val="0"/>
          <w:sz w:val="24"/>
          <w:szCs w:val="24"/>
          <w:highlight w:val="none"/>
        </w:rPr>
      </w:pPr>
    </w:p>
    <w:p>
      <w:pPr>
        <w:adjustRightInd w:val="0"/>
        <w:snapToGrid w:val="0"/>
        <w:spacing w:line="360" w:lineRule="auto"/>
        <w:ind w:firstLine="472" w:firstLineChars="196"/>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31、税费</w:t>
      </w:r>
    </w:p>
    <w:p>
      <w:pPr>
        <w:adjustRightInd w:val="0"/>
        <w:snapToGrid w:val="0"/>
        <w:spacing w:line="360" w:lineRule="auto"/>
        <w:ind w:right="11" w:firstLine="463" w:firstLineChars="192"/>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31.1</w:t>
      </w:r>
      <w:r>
        <w:rPr>
          <w:rFonts w:hint="eastAsia" w:ascii="宋体" w:hAnsi="宋体" w:cs="宋体"/>
          <w:color w:val="auto"/>
          <w:kern w:val="0"/>
          <w:sz w:val="24"/>
          <w:szCs w:val="24"/>
          <w:highlight w:val="none"/>
        </w:rPr>
        <w:t>乙方及其雇员因履行本合同而在中国境内取得的一切收入，必须依照中国税法纳税，税金全部由乙方及其雇员承担。</w:t>
      </w:r>
    </w:p>
    <w:p>
      <w:pPr>
        <w:adjustRightInd w:val="0"/>
        <w:snapToGrid w:val="0"/>
        <w:spacing w:line="360" w:lineRule="auto"/>
        <w:ind w:right="11" w:firstLine="463" w:firstLineChars="192"/>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31.2</w:t>
      </w:r>
      <w:r>
        <w:rPr>
          <w:rFonts w:hint="eastAsia" w:ascii="宋体" w:hAnsi="宋体" w:cs="宋体"/>
          <w:color w:val="auto"/>
          <w:kern w:val="0"/>
          <w:sz w:val="24"/>
          <w:szCs w:val="24"/>
          <w:highlight w:val="none"/>
        </w:rPr>
        <w:t>乙方因履行本合同而在中国境内取得收入，依据中国、广东省、广州市有关法律、法规和行政规章必须缴纳的费用，全部由乙方承担。</w:t>
      </w:r>
    </w:p>
    <w:p>
      <w:pPr>
        <w:adjustRightInd w:val="0"/>
        <w:snapToGrid w:val="0"/>
        <w:spacing w:line="360" w:lineRule="auto"/>
        <w:ind w:right="11" w:firstLine="463" w:firstLineChars="192"/>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31.3</w:t>
      </w:r>
      <w:r>
        <w:rPr>
          <w:rFonts w:hint="eastAsia" w:ascii="宋体" w:hAnsi="宋体" w:cs="宋体"/>
          <w:color w:val="auto"/>
          <w:kern w:val="0"/>
          <w:sz w:val="24"/>
          <w:szCs w:val="24"/>
          <w:highlight w:val="none"/>
        </w:rPr>
        <w:t>凡因履行本合同而发生在中国以外的一切税费，全部由乙方承担。</w:t>
      </w:r>
    </w:p>
    <w:p>
      <w:pPr>
        <w:adjustRightInd w:val="0"/>
        <w:snapToGrid w:val="0"/>
        <w:spacing w:line="360" w:lineRule="auto"/>
        <w:ind w:right="11" w:firstLine="403" w:firstLineChars="192"/>
        <w:rPr>
          <w:dstrike/>
          <w:color w:val="auto"/>
          <w:szCs w:val="21"/>
          <w:highlight w:val="none"/>
        </w:rPr>
      </w:pPr>
    </w:p>
    <w:p>
      <w:pPr>
        <w:adjustRightInd w:val="0"/>
        <w:snapToGrid w:val="0"/>
        <w:spacing w:line="360" w:lineRule="auto"/>
        <w:jc w:val="center"/>
        <w:rPr>
          <w:rFonts w:ascii="宋体" w:hAnsi="宋体" w:cs="宋体"/>
          <w:b/>
          <w:color w:val="auto"/>
          <w:sz w:val="30"/>
          <w:szCs w:val="30"/>
          <w:highlight w:val="none"/>
        </w:rPr>
      </w:pPr>
    </w:p>
    <w:p>
      <w:pPr>
        <w:adjustRightInd w:val="0"/>
        <w:snapToGrid w:val="0"/>
        <w:spacing w:line="360" w:lineRule="auto"/>
        <w:jc w:val="center"/>
        <w:rPr>
          <w:rFonts w:ascii="宋体" w:hAnsi="宋体" w:cs="宋体"/>
          <w:b/>
          <w:color w:val="auto"/>
          <w:sz w:val="30"/>
          <w:szCs w:val="30"/>
          <w:highlight w:val="none"/>
        </w:rPr>
      </w:pPr>
      <w:r>
        <w:rPr>
          <w:rFonts w:hint="eastAsia" w:ascii="宋体" w:hAnsi="宋体" w:cs="宋体"/>
          <w:b/>
          <w:color w:val="auto"/>
          <w:sz w:val="30"/>
          <w:szCs w:val="30"/>
          <w:highlight w:val="none"/>
        </w:rPr>
        <w:t>第十八章  法律适用及争议的解决方式</w:t>
      </w:r>
    </w:p>
    <w:p>
      <w:pPr>
        <w:adjustRightInd w:val="0"/>
        <w:snapToGrid w:val="0"/>
        <w:spacing w:line="360" w:lineRule="auto"/>
        <w:ind w:firstLine="472" w:firstLineChars="196"/>
        <w:rPr>
          <w:rFonts w:ascii="宋体" w:hAnsi="宋体" w:cs="宋体"/>
          <w:b/>
          <w:color w:val="auto"/>
          <w:kern w:val="0"/>
          <w:sz w:val="24"/>
          <w:szCs w:val="24"/>
          <w:highlight w:val="none"/>
        </w:rPr>
      </w:pPr>
    </w:p>
    <w:p>
      <w:pPr>
        <w:adjustRightInd w:val="0"/>
        <w:snapToGrid w:val="0"/>
        <w:spacing w:line="360" w:lineRule="auto"/>
        <w:ind w:firstLine="472" w:firstLineChars="196"/>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32、法律适用及争议的解决方式</w:t>
      </w:r>
    </w:p>
    <w:p>
      <w:pPr>
        <w:adjustRightInd w:val="0"/>
        <w:snapToGrid w:val="0"/>
        <w:spacing w:line="360" w:lineRule="auto"/>
        <w:ind w:right="11" w:firstLine="463" w:firstLineChars="192"/>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32.1</w:t>
      </w:r>
      <w:r>
        <w:rPr>
          <w:rFonts w:hint="eastAsia" w:ascii="宋体" w:hAnsi="宋体" w:cs="宋体"/>
          <w:color w:val="auto"/>
          <w:kern w:val="0"/>
          <w:sz w:val="24"/>
          <w:szCs w:val="24"/>
          <w:highlight w:val="none"/>
        </w:rPr>
        <w:t>本合同的订立、效力、解释、履行和争议等的解决均受中华人民共和国法律的管辖。</w:t>
      </w:r>
    </w:p>
    <w:p>
      <w:pPr>
        <w:adjustRightInd w:val="0"/>
        <w:snapToGrid w:val="0"/>
        <w:spacing w:line="360" w:lineRule="auto"/>
        <w:ind w:right="11" w:firstLine="463" w:firstLineChars="192"/>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32.2</w:t>
      </w:r>
      <w:r>
        <w:rPr>
          <w:rFonts w:hint="eastAsia" w:ascii="宋体" w:hAnsi="宋体" w:cs="宋体"/>
          <w:color w:val="auto"/>
          <w:kern w:val="0"/>
          <w:sz w:val="24"/>
          <w:szCs w:val="24"/>
          <w:highlight w:val="none"/>
        </w:rPr>
        <w:t>凡因履行本合同而引起的一切争议或与本合同有关的争议，应由甲乙双方通过友好协商解决。协商不成时，任何一方均有权向甲方住所地人民法院提起诉讼。</w:t>
      </w:r>
    </w:p>
    <w:p>
      <w:pPr>
        <w:adjustRightInd w:val="0"/>
        <w:snapToGrid w:val="0"/>
        <w:spacing w:line="360" w:lineRule="auto"/>
        <w:ind w:right="11" w:firstLine="463" w:firstLineChars="192"/>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32.3</w:t>
      </w:r>
      <w:r>
        <w:rPr>
          <w:rFonts w:hint="eastAsia" w:ascii="宋体" w:hAnsi="宋体" w:cs="宋体"/>
          <w:color w:val="auto"/>
          <w:kern w:val="0"/>
          <w:sz w:val="24"/>
          <w:szCs w:val="24"/>
          <w:highlight w:val="none"/>
        </w:rPr>
        <w:t>在诉讼过程中，除提交诉讼的部分之外，甲乙双方均应继续履行合同的其他条款。对于甲方依据本合同条款第28条的有关约定单方面解除合同的，乙方应及时移交资料和退场，同时不得妨碍甲方另行委托其他单位实施本合同工程的勘察、设计工作。</w:t>
      </w:r>
    </w:p>
    <w:p>
      <w:pPr>
        <w:adjustRightInd w:val="0"/>
        <w:snapToGrid w:val="0"/>
        <w:spacing w:line="360" w:lineRule="auto"/>
        <w:ind w:left="1197" w:leftChars="227" w:hanging="720" w:hangingChars="300"/>
        <w:rPr>
          <w:rFonts w:ascii="宋体" w:hAnsi="宋体" w:cs="宋体"/>
          <w:color w:val="auto"/>
          <w:kern w:val="0"/>
          <w:sz w:val="24"/>
          <w:szCs w:val="24"/>
          <w:highlight w:val="none"/>
        </w:rPr>
      </w:pPr>
    </w:p>
    <w:p>
      <w:pPr>
        <w:pStyle w:val="3"/>
        <w:keepNext w:val="0"/>
        <w:keepLines w:val="0"/>
        <w:widowControl/>
        <w:spacing w:before="0" w:after="0" w:line="360" w:lineRule="auto"/>
        <w:jc w:val="center"/>
        <w:rPr>
          <w:rFonts w:ascii="宋体" w:hAnsi="宋体" w:cs="宋体"/>
          <w:color w:val="auto"/>
          <w:sz w:val="24"/>
          <w:szCs w:val="24"/>
          <w:highlight w:val="none"/>
        </w:rPr>
      </w:pPr>
      <w:r>
        <w:rPr>
          <w:rFonts w:hint="eastAsia" w:ascii="宋体" w:hAnsi="宋体" w:cs="宋体"/>
          <w:color w:val="auto"/>
          <w:kern w:val="0"/>
          <w:highlight w:val="none"/>
        </w:rPr>
        <w:t>第十九章  保密、知识产权与专利技术</w:t>
      </w:r>
    </w:p>
    <w:p>
      <w:pPr>
        <w:adjustRightInd w:val="0"/>
        <w:snapToGrid w:val="0"/>
        <w:spacing w:line="360" w:lineRule="auto"/>
        <w:ind w:firstLine="472" w:firstLineChars="196"/>
        <w:rPr>
          <w:rFonts w:ascii="宋体" w:hAnsi="宋体" w:cs="宋体"/>
          <w:b/>
          <w:color w:val="auto"/>
          <w:kern w:val="0"/>
          <w:sz w:val="24"/>
          <w:szCs w:val="24"/>
          <w:highlight w:val="none"/>
        </w:rPr>
      </w:pPr>
    </w:p>
    <w:p>
      <w:pPr>
        <w:adjustRightInd w:val="0"/>
        <w:snapToGrid w:val="0"/>
        <w:spacing w:line="360" w:lineRule="auto"/>
        <w:ind w:firstLine="472" w:firstLineChars="196"/>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33、保密、知识产权与专利技术</w:t>
      </w:r>
    </w:p>
    <w:p>
      <w:pPr>
        <w:adjustRightInd w:val="0"/>
        <w:snapToGrid w:val="0"/>
        <w:spacing w:line="360" w:lineRule="auto"/>
        <w:ind w:right="11" w:firstLine="463" w:firstLineChars="192"/>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33.1</w:t>
      </w:r>
      <w:r>
        <w:rPr>
          <w:rFonts w:hint="eastAsia" w:ascii="宋体" w:hAnsi="宋体" w:cs="宋体"/>
          <w:color w:val="auto"/>
          <w:kern w:val="0"/>
          <w:sz w:val="24"/>
          <w:szCs w:val="24"/>
          <w:highlight w:val="none"/>
        </w:rPr>
        <w:t>甲、乙双方均负有保密义务，未经对方同意，任何一方都不得向第三方披露其因履行本合同而获得的与对方或本项目相关的资料、信息。否则，泄密方应承担由此引起的一切后果并承担赔偿责任。</w:t>
      </w:r>
    </w:p>
    <w:p>
      <w:pPr>
        <w:adjustRightInd w:val="0"/>
        <w:snapToGrid w:val="0"/>
        <w:spacing w:line="360" w:lineRule="auto"/>
        <w:ind w:right="11" w:firstLine="463" w:firstLineChars="192"/>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33.2</w:t>
      </w:r>
      <w:r>
        <w:rPr>
          <w:rFonts w:hint="eastAsia" w:ascii="宋体" w:hAnsi="宋体" w:cs="宋体"/>
          <w:color w:val="auto"/>
          <w:kern w:val="0"/>
          <w:sz w:val="24"/>
          <w:szCs w:val="24"/>
          <w:highlight w:val="none"/>
        </w:rPr>
        <w:t>本合同项下工程勘察、设计成果的知识产权归甲方所有，署名权除外。乙方享有本合同项下工程勘察、设计成果文件的设计署名权，并经甲方书面同意后，可在展览或书刊中进行展示、介绍及讨论其设计模型、外观图片、装饰效果图。乙方承诺自本合同签订之日起，为本合同工程所做的全部工作的成果，包括方案设计、初步设计、施工图设计及其他勘察、设计文件、资料不再用于其他任何项目的勘察、设计，不得许可他人使用或作其他商业用途，否则甲方有权向乙方追究相关责任。</w:t>
      </w:r>
    </w:p>
    <w:p>
      <w:pPr>
        <w:adjustRightInd w:val="0"/>
        <w:snapToGrid w:val="0"/>
        <w:spacing w:line="360" w:lineRule="auto"/>
        <w:ind w:right="11" w:firstLine="463" w:firstLineChars="192"/>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33.3</w:t>
      </w:r>
      <w:r>
        <w:rPr>
          <w:rFonts w:hint="eastAsia" w:ascii="宋体" w:hAnsi="宋体" w:cs="宋体"/>
          <w:color w:val="auto"/>
          <w:kern w:val="0"/>
          <w:sz w:val="24"/>
          <w:szCs w:val="24"/>
          <w:highlight w:val="none"/>
        </w:rPr>
        <w:t>乙方保证本合同工程的设计文件、资料等均未侵犯第三方的知识产权及其他权利，否则必须承担由此而引起的全部法律责任。</w:t>
      </w:r>
    </w:p>
    <w:p>
      <w:pPr>
        <w:adjustRightInd w:val="0"/>
        <w:snapToGrid w:val="0"/>
        <w:spacing w:line="360" w:lineRule="auto"/>
        <w:ind w:right="11" w:firstLine="463" w:firstLineChars="192"/>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33.4</w:t>
      </w:r>
      <w:r>
        <w:rPr>
          <w:rFonts w:hint="eastAsia" w:ascii="宋体" w:hAnsi="宋体" w:cs="宋体"/>
          <w:color w:val="auto"/>
          <w:kern w:val="0"/>
          <w:sz w:val="24"/>
          <w:szCs w:val="24"/>
          <w:highlight w:val="none"/>
        </w:rPr>
        <w:t xml:space="preserve"> 甲方拥有乙方为本合同工程勘察、设计且按本合同要求所提交的全部勘察、设计文件、资料等的所有权及完全使用权，并在本合同执行完毕后继续拥有合法使用以上勘察、设计文件、资料等的权利（包括但不限于用作本项目宣传及工程建设学术研究交流之用等）。</w:t>
      </w:r>
    </w:p>
    <w:p>
      <w:pPr>
        <w:adjustRightInd w:val="0"/>
        <w:snapToGrid w:val="0"/>
        <w:spacing w:line="360" w:lineRule="auto"/>
        <w:ind w:right="11" w:firstLine="463" w:firstLineChars="192"/>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33.5</w:t>
      </w:r>
      <w:r>
        <w:rPr>
          <w:rFonts w:hint="eastAsia" w:ascii="宋体" w:hAnsi="宋体" w:cs="宋体"/>
          <w:color w:val="auto"/>
          <w:kern w:val="0"/>
          <w:sz w:val="24"/>
          <w:szCs w:val="24"/>
          <w:highlight w:val="none"/>
        </w:rPr>
        <w:t>如工程需要使用专利技术，应先征得甲方的书面认可。甲方负责办理相应的法律手续，因此而涉及的申报、试验、使用等费用列入工程建设其他费用。</w:t>
      </w:r>
    </w:p>
    <w:p>
      <w:pPr>
        <w:adjustRightInd w:val="0"/>
        <w:snapToGrid w:val="0"/>
        <w:spacing w:line="360" w:lineRule="auto"/>
        <w:ind w:right="11" w:firstLine="463" w:firstLineChars="192"/>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33.6</w:t>
      </w:r>
      <w:r>
        <w:rPr>
          <w:rFonts w:hint="eastAsia" w:ascii="宋体" w:hAnsi="宋体" w:cs="宋体"/>
          <w:color w:val="auto"/>
          <w:kern w:val="0"/>
          <w:sz w:val="24"/>
          <w:szCs w:val="24"/>
          <w:highlight w:val="none"/>
        </w:rPr>
        <w:t>擅自使用专利技术侵犯他人专利权的，由责任方依法承担有关责任。</w:t>
      </w:r>
    </w:p>
    <w:p>
      <w:pPr>
        <w:adjustRightInd w:val="0"/>
        <w:snapToGrid w:val="0"/>
        <w:spacing w:line="360" w:lineRule="auto"/>
        <w:ind w:right="11" w:firstLine="460" w:firstLineChars="192"/>
        <w:rPr>
          <w:rFonts w:ascii="宋体" w:hAnsi="宋体" w:cs="宋体"/>
          <w:color w:val="auto"/>
          <w:kern w:val="0"/>
          <w:sz w:val="24"/>
          <w:szCs w:val="24"/>
          <w:highlight w:val="none"/>
        </w:rPr>
      </w:pPr>
    </w:p>
    <w:p>
      <w:pPr>
        <w:adjustRightInd w:val="0"/>
        <w:snapToGrid w:val="0"/>
        <w:spacing w:line="360" w:lineRule="auto"/>
        <w:ind w:right="11"/>
        <w:jc w:val="center"/>
        <w:rPr>
          <w:rFonts w:ascii="宋体" w:hAnsi="宋体" w:cs="宋体"/>
          <w:b/>
          <w:color w:val="auto"/>
          <w:sz w:val="32"/>
          <w:szCs w:val="32"/>
          <w:highlight w:val="none"/>
        </w:rPr>
      </w:pPr>
      <w:r>
        <w:rPr>
          <w:rFonts w:hint="eastAsia" w:ascii="宋体" w:hAnsi="宋体" w:cs="宋体"/>
          <w:b/>
          <w:color w:val="auto"/>
          <w:sz w:val="32"/>
          <w:szCs w:val="32"/>
          <w:highlight w:val="none"/>
        </w:rPr>
        <w:t>第二十章  不可抗力</w:t>
      </w:r>
    </w:p>
    <w:p>
      <w:pPr>
        <w:adjustRightInd w:val="0"/>
        <w:snapToGrid w:val="0"/>
        <w:spacing w:line="360" w:lineRule="auto"/>
        <w:ind w:firstLine="472" w:firstLineChars="196"/>
        <w:rPr>
          <w:rFonts w:ascii="宋体" w:hAnsi="宋体" w:cs="宋体"/>
          <w:b/>
          <w:color w:val="auto"/>
          <w:kern w:val="0"/>
          <w:sz w:val="24"/>
          <w:szCs w:val="24"/>
          <w:highlight w:val="none"/>
        </w:rPr>
      </w:pPr>
    </w:p>
    <w:p>
      <w:pPr>
        <w:adjustRightInd w:val="0"/>
        <w:snapToGrid w:val="0"/>
        <w:spacing w:line="360" w:lineRule="auto"/>
        <w:ind w:firstLine="472" w:firstLineChars="196"/>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34、不可抗力</w:t>
      </w:r>
    </w:p>
    <w:p>
      <w:pPr>
        <w:adjustRightInd w:val="0"/>
        <w:snapToGrid w:val="0"/>
        <w:spacing w:line="360" w:lineRule="auto"/>
        <w:ind w:right="11" w:firstLine="463" w:firstLineChars="192"/>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34.1</w:t>
      </w:r>
      <w:r>
        <w:rPr>
          <w:rFonts w:hint="eastAsia" w:ascii="宋体" w:hAnsi="宋体" w:cs="宋体"/>
          <w:color w:val="auto"/>
          <w:kern w:val="0"/>
          <w:sz w:val="24"/>
          <w:szCs w:val="24"/>
          <w:highlight w:val="none"/>
        </w:rPr>
        <w:t>不可抗力，是指不能预见、不能避免并不能克服、对本合同的勘察、设计或服务工作造成实质性影响的自然灾害和战争、动乱（不包括乙方内部的任何纠纷和纷争）等社会事件。</w:t>
      </w:r>
    </w:p>
    <w:p>
      <w:pPr>
        <w:adjustRightInd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34.2</w:t>
      </w:r>
      <w:r>
        <w:rPr>
          <w:rFonts w:hint="eastAsia" w:ascii="宋体" w:hAnsi="宋体" w:cs="宋体"/>
          <w:color w:val="auto"/>
          <w:kern w:val="0"/>
          <w:sz w:val="24"/>
          <w:szCs w:val="24"/>
          <w:highlight w:val="none"/>
        </w:rPr>
        <w:t>自然灾害的范围及其认定方式，按如下约定执行：</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异常天气：仅指50年（含50年）一遇以上的洪水或10级（含10级）以上的台风。因异常天气袭击工地为确保安全而停工的，乙方应于台风、洪水天气结束之日起七日内，向当地气象部门索取工程所在地台风、暴雨天气资料或报告（含气象实况及对此分析的内容），连同工作日志、现场照片办理证据保全公证，方可认定为是不可抗力。</w:t>
      </w:r>
    </w:p>
    <w:p>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（2）里氏5级（含5级）以上的地震。</w:t>
      </w:r>
    </w:p>
    <w:p>
      <w:pPr>
        <w:adjustRightInd w:val="0"/>
        <w:snapToGrid w:val="0"/>
        <w:spacing w:line="360" w:lineRule="auto"/>
        <w:ind w:right="11" w:firstLine="463" w:firstLineChars="192"/>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34.3</w:t>
      </w:r>
      <w:r>
        <w:rPr>
          <w:rFonts w:hint="eastAsia" w:ascii="宋体" w:hAnsi="宋体" w:cs="宋体"/>
          <w:color w:val="auto"/>
          <w:kern w:val="0"/>
          <w:sz w:val="24"/>
          <w:szCs w:val="24"/>
          <w:highlight w:val="none"/>
        </w:rPr>
        <w:t>政府关于本项目政策的重大调整或项目建设规划方案重大功能性调整，也属不可抗力。</w:t>
      </w:r>
    </w:p>
    <w:p>
      <w:pPr>
        <w:pStyle w:val="10"/>
        <w:adjustRightInd w:val="0"/>
        <w:snapToGrid w:val="0"/>
        <w:spacing w:beforeAutospacing="0" w:afterAutospacing="0" w:line="360" w:lineRule="auto"/>
        <w:ind w:firstLine="482" w:firstLineChars="200"/>
        <w:rPr>
          <w:rFonts w:hint="default"/>
          <w:color w:val="auto"/>
          <w:highlight w:val="none"/>
        </w:rPr>
      </w:pPr>
      <w:r>
        <w:rPr>
          <w:b/>
          <w:color w:val="auto"/>
          <w:highlight w:val="none"/>
        </w:rPr>
        <w:t>34.4</w:t>
      </w:r>
      <w:r>
        <w:rPr>
          <w:rFonts w:cs="宋体"/>
          <w:color w:val="auto"/>
          <w:highlight w:val="none"/>
        </w:rPr>
        <w:t>因不可抗力事件导致的费用损失，由甲、乙双方各自承担自己的损失。对不可抗力事件导致的乙方勘察、设计成果文件提交时间的延误，由双方协商确定乙方提交勘察、设计成果的提交时间。</w:t>
      </w:r>
    </w:p>
    <w:p>
      <w:pPr>
        <w:adjustRightInd w:val="0"/>
        <w:snapToGrid w:val="0"/>
        <w:spacing w:line="360" w:lineRule="auto"/>
        <w:ind w:left="957" w:leftChars="227" w:hanging="480" w:hangingChars="200"/>
        <w:rPr>
          <w:rFonts w:ascii="宋体" w:hAnsi="宋体" w:cs="宋体"/>
          <w:color w:val="auto"/>
          <w:kern w:val="0"/>
          <w:sz w:val="24"/>
          <w:szCs w:val="24"/>
          <w:highlight w:val="none"/>
        </w:rPr>
      </w:pPr>
    </w:p>
    <w:p>
      <w:pPr>
        <w:pStyle w:val="3"/>
        <w:keepNext w:val="0"/>
        <w:keepLines w:val="0"/>
        <w:widowControl/>
        <w:spacing w:before="0" w:after="0" w:line="360" w:lineRule="auto"/>
        <w:jc w:val="center"/>
        <w:rPr>
          <w:rFonts w:ascii="宋体" w:hAnsi="宋体" w:cs="宋体"/>
          <w:color w:val="auto"/>
          <w:highlight w:val="none"/>
        </w:rPr>
      </w:pPr>
      <w:r>
        <w:rPr>
          <w:rFonts w:hint="eastAsia" w:ascii="宋体" w:hAnsi="宋体" w:cs="宋体"/>
          <w:color w:val="auto"/>
          <w:kern w:val="0"/>
          <w:highlight w:val="none"/>
        </w:rPr>
        <w:t>第二十一章  合同生效、解除与其他</w:t>
      </w:r>
    </w:p>
    <w:p>
      <w:pPr>
        <w:adjustRightInd w:val="0"/>
        <w:snapToGrid w:val="0"/>
        <w:spacing w:line="360" w:lineRule="auto"/>
        <w:ind w:firstLine="472" w:firstLineChars="196"/>
        <w:rPr>
          <w:rFonts w:ascii="宋体" w:hAnsi="宋体" w:cs="宋体"/>
          <w:b/>
          <w:color w:val="auto"/>
          <w:kern w:val="0"/>
          <w:sz w:val="24"/>
          <w:szCs w:val="24"/>
          <w:highlight w:val="none"/>
        </w:rPr>
      </w:pPr>
    </w:p>
    <w:p>
      <w:pPr>
        <w:adjustRightInd w:val="0"/>
        <w:snapToGrid w:val="0"/>
        <w:spacing w:line="360" w:lineRule="auto"/>
        <w:ind w:firstLine="472" w:firstLineChars="196"/>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35、合同生效、解除及其他</w:t>
      </w:r>
    </w:p>
    <w:p>
      <w:pPr>
        <w:pStyle w:val="10"/>
        <w:adjustRightInd w:val="0"/>
        <w:snapToGrid w:val="0"/>
        <w:spacing w:beforeAutospacing="0" w:afterAutospacing="0" w:line="360" w:lineRule="auto"/>
        <w:ind w:firstLine="482" w:firstLineChars="200"/>
        <w:rPr>
          <w:rFonts w:hint="default"/>
          <w:color w:val="auto"/>
          <w:highlight w:val="none"/>
        </w:rPr>
      </w:pPr>
      <w:r>
        <w:rPr>
          <w:b/>
          <w:color w:val="auto"/>
          <w:highlight w:val="none"/>
        </w:rPr>
        <w:t>35.1</w:t>
      </w:r>
      <w:r>
        <w:rPr>
          <w:rFonts w:cs="宋体"/>
          <w:color w:val="auto"/>
          <w:highlight w:val="none"/>
        </w:rPr>
        <w:t>本合同的生效及终止按本合同协议书第</w:t>
      </w:r>
      <w:r>
        <w:rPr>
          <w:color w:val="auto"/>
          <w:highlight w:val="none"/>
        </w:rPr>
        <w:t>12</w:t>
      </w:r>
      <w:r>
        <w:rPr>
          <w:rFonts w:cs="宋体"/>
          <w:color w:val="auto"/>
          <w:highlight w:val="none"/>
        </w:rPr>
        <w:t>条的约定执行。</w:t>
      </w:r>
    </w:p>
    <w:p>
      <w:pPr>
        <w:pStyle w:val="10"/>
        <w:adjustRightInd w:val="0"/>
        <w:snapToGrid w:val="0"/>
        <w:spacing w:beforeAutospacing="0" w:afterAutospacing="0" w:line="360" w:lineRule="auto"/>
        <w:ind w:firstLine="482" w:firstLineChars="200"/>
        <w:rPr>
          <w:rFonts w:hint="default"/>
          <w:color w:val="auto"/>
          <w:highlight w:val="none"/>
        </w:rPr>
      </w:pPr>
      <w:r>
        <w:rPr>
          <w:b/>
          <w:color w:val="auto"/>
          <w:highlight w:val="none"/>
        </w:rPr>
        <w:t>35.2</w:t>
      </w:r>
      <w:r>
        <w:rPr>
          <w:rFonts w:cs="宋体"/>
          <w:color w:val="auto"/>
          <w:highlight w:val="none"/>
        </w:rPr>
        <w:t>本合同第三篇所列的附件均为本合同不可分割的组成部分。</w:t>
      </w:r>
    </w:p>
    <w:p>
      <w:pPr>
        <w:pStyle w:val="10"/>
        <w:adjustRightInd w:val="0"/>
        <w:snapToGrid w:val="0"/>
        <w:spacing w:beforeAutospacing="0" w:afterAutospacing="0" w:line="360" w:lineRule="auto"/>
        <w:ind w:firstLine="482" w:firstLineChars="200"/>
        <w:rPr>
          <w:rFonts w:hint="default"/>
          <w:color w:val="auto"/>
          <w:highlight w:val="none"/>
        </w:rPr>
      </w:pPr>
      <w:r>
        <w:rPr>
          <w:b/>
          <w:color w:val="auto"/>
          <w:highlight w:val="none"/>
        </w:rPr>
        <w:t>35.3</w:t>
      </w:r>
      <w:r>
        <w:rPr>
          <w:rFonts w:cs="宋体"/>
          <w:color w:val="auto"/>
          <w:highlight w:val="none"/>
        </w:rPr>
        <w:t>甲、乙双方经协商一致，可以解除合同。</w:t>
      </w:r>
    </w:p>
    <w:p>
      <w:pPr>
        <w:pStyle w:val="10"/>
        <w:adjustRightInd w:val="0"/>
        <w:snapToGrid w:val="0"/>
        <w:spacing w:beforeAutospacing="0" w:afterAutospacing="0" w:line="360" w:lineRule="auto"/>
        <w:ind w:firstLine="482" w:firstLineChars="200"/>
        <w:rPr>
          <w:rFonts w:hint="default"/>
          <w:color w:val="auto"/>
          <w:highlight w:val="none"/>
        </w:rPr>
      </w:pPr>
      <w:r>
        <w:rPr>
          <w:b/>
          <w:color w:val="auto"/>
          <w:highlight w:val="none"/>
        </w:rPr>
        <w:t>35.4</w:t>
      </w:r>
      <w:r>
        <w:rPr>
          <w:rFonts w:cs="宋体"/>
          <w:color w:val="auto"/>
          <w:highlight w:val="none"/>
        </w:rPr>
        <w:t>发生下列情形之一，甲、乙任何一方均可解除合同，但应以书面形式向对方发出解除合同的通知，通知到达时合同即解除。对解除合同有争议的，按本合同条款第</w:t>
      </w:r>
      <w:r>
        <w:rPr>
          <w:color w:val="auto"/>
          <w:highlight w:val="none"/>
        </w:rPr>
        <w:t>32</w:t>
      </w:r>
      <w:r>
        <w:rPr>
          <w:rFonts w:cs="宋体"/>
          <w:color w:val="auto"/>
          <w:highlight w:val="none"/>
        </w:rPr>
        <w:t>条的约定处理。</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w:t>
      </w:r>
      <w:r>
        <w:rPr>
          <w:color w:val="auto"/>
          <w:highlight w:val="none"/>
        </w:rPr>
        <w:t>1</w:t>
      </w:r>
      <w:r>
        <w:rPr>
          <w:rFonts w:cs="宋体"/>
          <w:color w:val="auto"/>
          <w:highlight w:val="none"/>
        </w:rPr>
        <w:t>）因不可抗力致使合同无法履行；</w:t>
      </w:r>
    </w:p>
    <w:p>
      <w:pPr>
        <w:pStyle w:val="10"/>
        <w:adjustRightInd w:val="0"/>
        <w:snapToGrid w:val="0"/>
        <w:spacing w:beforeAutospacing="0" w:afterAutospacing="0" w:line="360" w:lineRule="auto"/>
        <w:ind w:firstLine="480" w:firstLineChars="200"/>
        <w:rPr>
          <w:rFonts w:hint="default"/>
          <w:color w:val="auto"/>
          <w:highlight w:val="none"/>
        </w:rPr>
      </w:pPr>
      <w:r>
        <w:rPr>
          <w:rFonts w:cs="宋体"/>
          <w:color w:val="auto"/>
          <w:highlight w:val="none"/>
        </w:rPr>
        <w:t>（</w:t>
      </w:r>
      <w:r>
        <w:rPr>
          <w:color w:val="auto"/>
          <w:highlight w:val="none"/>
        </w:rPr>
        <w:t>2</w:t>
      </w:r>
      <w:r>
        <w:rPr>
          <w:rFonts w:cs="宋体"/>
          <w:color w:val="auto"/>
          <w:highlight w:val="none"/>
        </w:rPr>
        <w:t>）因一方违约致使合同无法履行。</w:t>
      </w:r>
    </w:p>
    <w:p>
      <w:pPr>
        <w:pStyle w:val="10"/>
        <w:adjustRightInd w:val="0"/>
        <w:snapToGrid w:val="0"/>
        <w:spacing w:beforeAutospacing="0" w:afterAutospacing="0" w:line="360" w:lineRule="auto"/>
        <w:ind w:firstLine="482" w:firstLineChars="200"/>
        <w:rPr>
          <w:rFonts w:hint="default"/>
          <w:color w:val="auto"/>
          <w:highlight w:val="none"/>
        </w:rPr>
      </w:pPr>
      <w:r>
        <w:rPr>
          <w:b/>
          <w:color w:val="auto"/>
          <w:highlight w:val="none"/>
        </w:rPr>
        <w:t>35.5</w:t>
      </w:r>
      <w:r>
        <w:rPr>
          <w:rFonts w:cs="宋体"/>
          <w:color w:val="auto"/>
          <w:highlight w:val="none"/>
        </w:rPr>
        <w:t>合同解除后，不影响双方在合同中约定的结算和清理条款的效力。乙方应妥善做好已完工项目的保护和移交工作。同时，有过错方应当向无过错方赔偿因解除合同所造成的损失。</w:t>
      </w:r>
    </w:p>
    <w:p>
      <w:pPr>
        <w:pStyle w:val="10"/>
        <w:adjustRightInd w:val="0"/>
        <w:snapToGrid w:val="0"/>
        <w:spacing w:beforeAutospacing="0" w:afterAutospacing="0" w:line="360" w:lineRule="auto"/>
        <w:ind w:firstLine="482" w:firstLineChars="200"/>
        <w:rPr>
          <w:rFonts w:hint="default"/>
          <w:color w:val="auto"/>
          <w:highlight w:val="none"/>
        </w:rPr>
      </w:pPr>
      <w:r>
        <w:rPr>
          <w:b/>
          <w:color w:val="auto"/>
          <w:highlight w:val="none"/>
        </w:rPr>
        <w:t>35.6</w:t>
      </w:r>
      <w:r>
        <w:rPr>
          <w:rFonts w:cs="宋体"/>
          <w:color w:val="auto"/>
          <w:highlight w:val="none"/>
        </w:rPr>
        <w:t>乙方承诺严格按照合同和招投标文件规定履行义务，并同意甲方将其履行合同、招投标文件义务的情况和不诚信行为（包括但不限于由甲方组织的考核、考评通报、作出的违约责任处理决定等）在甲方网站和建设项目业主网站及其他媒体上公开披露，由此造成的一切损失和不利后果均由乙方自行承担。</w:t>
      </w:r>
    </w:p>
    <w:p>
      <w:pPr>
        <w:pStyle w:val="10"/>
        <w:adjustRightInd w:val="0"/>
        <w:snapToGrid w:val="0"/>
        <w:spacing w:beforeAutospacing="0" w:afterAutospacing="0" w:line="360" w:lineRule="auto"/>
        <w:ind w:firstLine="482" w:firstLineChars="200"/>
        <w:rPr>
          <w:rFonts w:hint="default"/>
          <w:color w:val="auto"/>
          <w:highlight w:val="none"/>
        </w:rPr>
      </w:pPr>
      <w:r>
        <w:rPr>
          <w:b/>
          <w:color w:val="auto"/>
          <w:highlight w:val="none"/>
        </w:rPr>
        <w:t>35.7</w:t>
      </w:r>
      <w:r>
        <w:rPr>
          <w:rFonts w:cs="宋体"/>
          <w:color w:val="auto"/>
          <w:highlight w:val="none"/>
        </w:rPr>
        <w:t>本合同未尽事宜，由甲乙双方另行签订补充协议。</w:t>
      </w:r>
    </w:p>
    <w:p>
      <w:pPr>
        <w:pStyle w:val="10"/>
        <w:adjustRightInd w:val="0"/>
        <w:snapToGrid w:val="0"/>
        <w:spacing w:beforeAutospacing="0" w:afterAutospacing="0" w:line="360" w:lineRule="auto"/>
        <w:rPr>
          <w:rFonts w:hint="default"/>
          <w:color w:val="auto"/>
          <w:highlight w:val="none"/>
        </w:rPr>
      </w:pPr>
      <w:r>
        <w:rPr>
          <w:rFonts w:cs="宋体"/>
          <w:color w:val="auto"/>
          <w:highlight w:val="none"/>
        </w:rPr>
        <w:t>（本页以下无正文）</w:t>
      </w:r>
    </w:p>
    <w:p>
      <w:pPr>
        <w:adjustRightInd w:val="0"/>
        <w:snapToGrid w:val="0"/>
        <w:spacing w:line="360" w:lineRule="auto"/>
        <w:jc w:val="center"/>
        <w:rPr>
          <w:rFonts w:ascii="宋体" w:hAnsi="宋体" w:cs="宋体"/>
          <w:b/>
          <w:color w:val="auto"/>
          <w:kern w:val="0"/>
          <w:sz w:val="44"/>
          <w:szCs w:val="44"/>
          <w:highlight w:val="none"/>
        </w:rPr>
      </w:pPr>
      <w:r>
        <w:rPr>
          <w:rFonts w:hint="eastAsia" w:ascii="宋体" w:hAnsi="宋体"/>
          <w:b/>
          <w:color w:val="auto"/>
          <w:sz w:val="44"/>
          <w:szCs w:val="44"/>
          <w:highlight w:val="none"/>
        </w:rPr>
        <w:br w:type="page"/>
      </w:r>
      <w:r>
        <w:rPr>
          <w:rFonts w:hint="eastAsia" w:ascii="宋体" w:hAnsi="宋体" w:cs="宋体"/>
          <w:b/>
          <w:color w:val="auto"/>
          <w:kern w:val="0"/>
          <w:sz w:val="44"/>
          <w:szCs w:val="44"/>
          <w:highlight w:val="none"/>
        </w:rPr>
        <w:t>第三篇  合同附件</w:t>
      </w:r>
    </w:p>
    <w:p>
      <w:pPr>
        <w:adjustRightInd w:val="0"/>
        <w:snapToGrid w:val="0"/>
        <w:spacing w:line="360" w:lineRule="auto"/>
        <w:jc w:val="center"/>
        <w:rPr>
          <w:rFonts w:ascii="宋体" w:hAnsi="宋体" w:cs="宋体"/>
          <w:b/>
          <w:color w:val="auto"/>
          <w:kern w:val="0"/>
          <w:sz w:val="24"/>
          <w:szCs w:val="24"/>
          <w:highlight w:val="none"/>
        </w:rPr>
      </w:pPr>
    </w:p>
    <w:p>
      <w:pPr>
        <w:adjustRightInd w:val="0"/>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附件1：</w:t>
      </w:r>
    </w:p>
    <w:p>
      <w:pPr>
        <w:adjustRightInd w:val="0"/>
        <w:snapToGrid w:val="0"/>
        <w:spacing w:line="312" w:lineRule="auto"/>
        <w:jc w:val="center"/>
        <w:outlineLvl w:val="2"/>
        <w:rPr>
          <w:rFonts w:ascii="宋体" w:hAnsi="宋体" w:cs="宋体"/>
          <w:b/>
          <w:color w:val="auto"/>
          <w:sz w:val="36"/>
          <w:szCs w:val="36"/>
          <w:highlight w:val="none"/>
        </w:rPr>
      </w:pPr>
      <w:r>
        <w:rPr>
          <w:rFonts w:hint="eastAsia" w:ascii="宋体" w:hAnsi="宋体" w:cs="宋体"/>
          <w:b/>
          <w:color w:val="auto"/>
          <w:sz w:val="36"/>
          <w:szCs w:val="36"/>
          <w:highlight w:val="none"/>
        </w:rPr>
        <w:t>工程建设廉洁协议书</w:t>
      </w:r>
    </w:p>
    <w:p>
      <w:pPr>
        <w:adjustRightInd w:val="0"/>
        <w:snapToGrid w:val="0"/>
        <w:spacing w:line="312" w:lineRule="auto"/>
        <w:rPr>
          <w:rFonts w:ascii="宋体" w:hAnsi="宋体" w:cs="宋体"/>
          <w:color w:val="auto"/>
          <w:szCs w:val="21"/>
          <w:highlight w:val="none"/>
        </w:rPr>
      </w:pPr>
    </w:p>
    <w:p>
      <w:pPr>
        <w:adjustRightInd w:val="0"/>
        <w:snapToGrid w:val="0"/>
        <w:spacing w:line="312" w:lineRule="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rPr>
        <w:t>工程项目名称：</w:t>
      </w:r>
      <w:r>
        <w:rPr>
          <w:rFonts w:hint="eastAsia" w:ascii="宋体" w:hAnsi="宋体" w:cs="宋体"/>
          <w:bCs/>
          <w:color w:val="auto"/>
          <w:kern w:val="0"/>
          <w:sz w:val="24"/>
          <w:szCs w:val="24"/>
          <w:highlight w:val="none"/>
          <w:u w:val="single"/>
          <w:lang w:eastAsia="zh-CN"/>
        </w:rPr>
        <w:t>广州法治大厦项目</w:t>
      </w:r>
    </w:p>
    <w:p>
      <w:pPr>
        <w:adjustRightInd w:val="0"/>
        <w:snapToGrid w:val="0"/>
        <w:spacing w:line="312" w:lineRule="auto"/>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工程项目地址：</w:t>
      </w:r>
      <w:r>
        <w:rPr>
          <w:rFonts w:hint="eastAsia" w:ascii="宋体" w:hAnsi="宋体" w:eastAsia="宋体" w:cs="Times New Roman"/>
          <w:color w:val="auto"/>
          <w:sz w:val="24"/>
          <w:highlight w:val="none"/>
          <w:u w:val="single"/>
          <w:lang w:val="en-US" w:eastAsia="zh-CN"/>
        </w:rPr>
        <w:t>广州市海珠区琶洲西区 AH040311 地块，西临海洲路、北临新港东路，东侧距离华南快速干线 700米</w:t>
      </w:r>
    </w:p>
    <w:p>
      <w:pPr>
        <w:adjustRightInd w:val="0"/>
        <w:snapToGrid w:val="0"/>
        <w:spacing w:line="312" w:lineRule="auto"/>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甲方：广州市重点公共建设项目管理中心</w:t>
      </w:r>
    </w:p>
    <w:p>
      <w:pPr>
        <w:adjustRightInd w:val="0"/>
        <w:snapToGrid w:val="0"/>
        <w:spacing w:line="312" w:lineRule="auto"/>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乙方：</w:t>
      </w:r>
    </w:p>
    <w:p>
      <w:pPr>
        <w:adjustRightInd w:val="0"/>
        <w:snapToGrid w:val="0"/>
        <w:spacing w:line="312" w:lineRule="auto"/>
        <w:ind w:firstLine="480" w:firstLineChars="200"/>
        <w:rPr>
          <w:rFonts w:ascii="宋体" w:hAnsi="宋体" w:cs="宋体"/>
          <w:color w:val="auto"/>
          <w:sz w:val="24"/>
          <w:szCs w:val="24"/>
          <w:highlight w:val="none"/>
        </w:rPr>
      </w:pPr>
    </w:p>
    <w:p>
      <w:pPr>
        <w:adjustRightInd w:val="0"/>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为切实加强廉洁工程建设，规范甲乙双方的各项建筑活动，预防本工程违法违纪等腐败现象的发生，保障工程建设优质、安全和廉洁，根据国家工程建设相关法律法规和廉政建设责任制的规定，特订立协议书。</w:t>
      </w:r>
    </w:p>
    <w:p>
      <w:pPr>
        <w:adjustRightInd w:val="0"/>
        <w:snapToGrid w:val="0"/>
        <w:spacing w:line="312" w:lineRule="auto"/>
        <w:ind w:firstLine="470" w:firstLineChars="196"/>
        <w:rPr>
          <w:rFonts w:ascii="宋体" w:hAnsi="宋体" w:cs="宋体"/>
          <w:color w:val="auto"/>
          <w:sz w:val="24"/>
          <w:szCs w:val="24"/>
          <w:highlight w:val="none"/>
        </w:rPr>
      </w:pPr>
      <w:r>
        <w:rPr>
          <w:rFonts w:hint="eastAsia" w:ascii="宋体" w:hAnsi="宋体" w:cs="宋体"/>
          <w:color w:val="auto"/>
          <w:sz w:val="24"/>
          <w:szCs w:val="24"/>
          <w:highlight w:val="none"/>
        </w:rPr>
        <w:t>第一条 甲、乙双方责任</w:t>
      </w:r>
    </w:p>
    <w:p>
      <w:pPr>
        <w:adjustRightInd w:val="0"/>
        <w:snapToGrid w:val="0"/>
        <w:spacing w:line="312" w:lineRule="auto"/>
        <w:ind w:firstLine="470" w:firstLineChars="196"/>
        <w:rPr>
          <w:rFonts w:ascii="宋体" w:hAnsi="宋体" w:cs="宋体"/>
          <w:color w:val="auto"/>
          <w:sz w:val="24"/>
          <w:szCs w:val="24"/>
          <w:highlight w:val="none"/>
        </w:rPr>
      </w:pPr>
      <w:r>
        <w:rPr>
          <w:rFonts w:hint="eastAsia" w:ascii="宋体" w:hAnsi="宋体" w:cs="宋体"/>
          <w:color w:val="auto"/>
          <w:sz w:val="24"/>
          <w:szCs w:val="24"/>
          <w:highlight w:val="none"/>
        </w:rPr>
        <w:t>（一）严格遵守国家有关法律法规和政策规定，以及廉政建设的各项约定。</w:t>
      </w:r>
    </w:p>
    <w:p>
      <w:pPr>
        <w:adjustRightInd w:val="0"/>
        <w:snapToGrid w:val="0"/>
        <w:spacing w:line="312" w:lineRule="auto"/>
        <w:ind w:firstLine="470" w:firstLineChars="196"/>
        <w:rPr>
          <w:rFonts w:ascii="宋体" w:hAnsi="宋体" w:cs="宋体"/>
          <w:color w:val="auto"/>
          <w:sz w:val="24"/>
          <w:szCs w:val="24"/>
          <w:highlight w:val="none"/>
        </w:rPr>
      </w:pPr>
      <w:r>
        <w:rPr>
          <w:rFonts w:hint="eastAsia" w:ascii="宋体" w:hAnsi="宋体" w:cs="宋体"/>
          <w:color w:val="auto"/>
          <w:sz w:val="24"/>
          <w:szCs w:val="24"/>
          <w:highlight w:val="none"/>
        </w:rPr>
        <w:t>（二）严格执行建设工程项目承发包合同文件，自觉按合同办事。</w:t>
      </w:r>
    </w:p>
    <w:p>
      <w:pPr>
        <w:adjustRightInd w:val="0"/>
        <w:snapToGrid w:val="0"/>
        <w:spacing w:line="312" w:lineRule="auto"/>
        <w:ind w:firstLine="470" w:firstLineChars="196"/>
        <w:rPr>
          <w:rFonts w:ascii="宋体" w:hAnsi="宋体" w:cs="宋体"/>
          <w:color w:val="auto"/>
          <w:sz w:val="24"/>
          <w:szCs w:val="24"/>
          <w:highlight w:val="none"/>
        </w:rPr>
      </w:pPr>
      <w:r>
        <w:rPr>
          <w:rFonts w:hint="eastAsia" w:ascii="宋体" w:hAnsi="宋体" w:cs="宋体"/>
          <w:color w:val="auto"/>
          <w:sz w:val="24"/>
          <w:szCs w:val="24"/>
          <w:highlight w:val="none"/>
        </w:rPr>
        <w:t>（三）建筑活动必须坚持公开、公平、公正、诚信、透明的原则（除法律法规另有规定者外），不得为获取不正当的利益，损害国家、集体和对方利益，不得违反国家、省、市和甲方有关工程建设管理的规章制度。</w:t>
      </w:r>
    </w:p>
    <w:p>
      <w:pPr>
        <w:adjustRightInd w:val="0"/>
        <w:snapToGrid w:val="0"/>
        <w:spacing w:line="312" w:lineRule="auto"/>
        <w:ind w:firstLine="470" w:firstLineChars="196"/>
        <w:rPr>
          <w:rFonts w:ascii="宋体" w:hAnsi="宋体" w:cs="宋体"/>
          <w:color w:val="auto"/>
          <w:sz w:val="24"/>
          <w:szCs w:val="24"/>
          <w:highlight w:val="none"/>
        </w:rPr>
      </w:pPr>
      <w:r>
        <w:rPr>
          <w:rFonts w:hint="eastAsia" w:ascii="宋体" w:hAnsi="宋体" w:cs="宋体"/>
          <w:color w:val="auto"/>
          <w:sz w:val="24"/>
          <w:szCs w:val="24"/>
          <w:highlight w:val="none"/>
        </w:rPr>
        <w:t>（四）发现对方在建筑活动中存在违规、违纪、违法行为的，有权向其上级主管部门或纪检监察、检察等有关机关举报。</w:t>
      </w:r>
    </w:p>
    <w:p>
      <w:pPr>
        <w:adjustRightInd w:val="0"/>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（五）甲、乙双方应充分发挥各自职能作用，积极互动形成纵向监督合力，依照本协议书规定，对本工程项目承发包合同履行情况实施监督，及时制止不廉洁行为的发生。</w:t>
      </w:r>
    </w:p>
    <w:p>
      <w:pPr>
        <w:adjustRightInd w:val="0"/>
        <w:snapToGrid w:val="0"/>
        <w:spacing w:line="312" w:lineRule="auto"/>
        <w:ind w:firstLine="470" w:firstLineChars="196"/>
        <w:rPr>
          <w:rFonts w:ascii="宋体" w:hAnsi="宋体" w:cs="宋体"/>
          <w:color w:val="auto"/>
          <w:sz w:val="24"/>
          <w:szCs w:val="24"/>
          <w:highlight w:val="none"/>
        </w:rPr>
      </w:pPr>
      <w:r>
        <w:rPr>
          <w:rFonts w:hint="eastAsia" w:ascii="宋体" w:hAnsi="宋体" w:cs="宋体"/>
          <w:color w:val="auto"/>
          <w:sz w:val="24"/>
          <w:szCs w:val="24"/>
          <w:highlight w:val="none"/>
        </w:rPr>
        <w:t>第二条 甲方责任</w:t>
      </w:r>
    </w:p>
    <w:p>
      <w:pPr>
        <w:adjustRightInd w:val="0"/>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（一）甲方领导干部和从事该工程建设的管理人员，在建筑活动中须严格遵守以下廉洁从业规定：</w:t>
      </w:r>
    </w:p>
    <w:p>
      <w:pPr>
        <w:adjustRightInd w:val="0"/>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1.不准向乙方和相关单位或个人索取钱物或接受回扣、礼金、各种有价证券、信用卡和好处费、感谢费以及其它支付凭证等。</w:t>
      </w:r>
    </w:p>
    <w:p>
      <w:pPr>
        <w:adjustRightInd w:val="0"/>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2.不准接受可能影响公正执行公务的乙方和相关单位或个人的礼物馈赠、宴请、各种形式俱乐部会员资格、高消费娱乐活动。</w:t>
      </w:r>
    </w:p>
    <w:p>
      <w:pPr>
        <w:adjustRightInd w:val="0"/>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3.不准在乙方和相关单位报销任何应由甲方或个人负担的费用。</w:t>
      </w:r>
    </w:p>
    <w:p>
      <w:pPr>
        <w:adjustRightInd w:val="0"/>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4.不准要求、暗示或接受乙方和相关单位或个人为自己、配偶、子女、其他亲属朋友及身边工作人员的装修住房、婚丧嫁娶、工作安排、学习培训、经商办企业以及出国（境）、旅游、度假等支付费用。</w:t>
      </w:r>
    </w:p>
    <w:p>
      <w:pPr>
        <w:adjustRightInd w:val="0"/>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5.不准向乙方介绍配偶、子女、其他亲属朋友及身边工作人员参与同甲方项目工程合同有关的设备、材料、工程分包、劳务等经济活动。</w:t>
      </w:r>
    </w:p>
    <w:p>
      <w:pPr>
        <w:adjustRightInd w:val="0"/>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6.不得以任何理由向乙方和相关单位推荐分包单位和要求或暗示乙方购买项目工程合同规定外的材料、设备等。</w:t>
      </w:r>
    </w:p>
    <w:p>
      <w:pPr>
        <w:adjustRightInd w:val="0"/>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（二）合同签订后组织与乙方相关廉洁责任人见面会，进行廉洁工程建设交底，明确廉洁工程建设责任和目标任务、举报方式。</w:t>
      </w:r>
    </w:p>
    <w:p>
      <w:pPr>
        <w:adjustRightInd w:val="0"/>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（三）加强对合同支付、合同结算等建设管理环节的监督管理，特别是审批效能方面的监察检查，提高建设管理服务水平。</w:t>
      </w:r>
    </w:p>
    <w:p>
      <w:pPr>
        <w:adjustRightInd w:val="0"/>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（四）组织开展图片展览、法制讲座、参观监狱等活动，加强对员工的法律法规、廉洁和职业道德教育。</w:t>
      </w:r>
    </w:p>
    <w:p>
      <w:pPr>
        <w:adjustRightInd w:val="0"/>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（五）成立监督工作机构，不定期对合同履行情况开展监督检查，对发现的有关问题，及时协调给予解决。</w:t>
      </w:r>
    </w:p>
    <w:p>
      <w:pPr>
        <w:adjustRightInd w:val="0"/>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第三条 乙方责任</w:t>
      </w:r>
    </w:p>
    <w:p>
      <w:pPr>
        <w:adjustRightInd w:val="0"/>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（一）与甲方保持正常的业务交往，遵守以下规定：</w:t>
      </w:r>
    </w:p>
    <w:p>
      <w:pPr>
        <w:adjustRightInd w:val="0"/>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1.不准以任何理由向甲方人员行贿或赠送回扣、礼金、各种有价证券、信用卡和好处费、感谢费及其它支付凭证等。</w:t>
      </w:r>
    </w:p>
    <w:p>
      <w:pPr>
        <w:adjustRightInd w:val="0"/>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2.不准以任何理由为甲方人员组织有可能影响公正执行公务的宴请、各种形式俱乐部及高消费娱乐等活动。</w:t>
      </w:r>
    </w:p>
    <w:p>
      <w:pPr>
        <w:adjustRightInd w:val="0"/>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3.不准以任何理由为甲方或其个人报销应由对方或个人支付的费用。</w:t>
      </w:r>
    </w:p>
    <w:p>
      <w:pPr>
        <w:adjustRightInd w:val="0"/>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4.不准暗示或要求为甲方人员及其配偶、子女、其他亲属朋友及身边工作人员的装修住房、婚丧嫁娶、工作安排、学习培训、经商办企业以及出国（境）、旅游、度假提供方便和支付费用。</w:t>
      </w:r>
    </w:p>
    <w:p>
      <w:pPr>
        <w:adjustRightInd w:val="0"/>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5.不准介绍和安排甲方人员及其配偶、子女、其他亲属朋友及身边工作人员参与同甲方工程项目有关的设备、材料、工程分包、劳务等经济活动。</w:t>
      </w:r>
    </w:p>
    <w:p>
      <w:pPr>
        <w:adjustRightInd w:val="0"/>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（二）组织项目负责人及相关管理人员层层签订廉洁从业责任状，明确廉洁责任，形成有效的内部监督管理机制。</w:t>
      </w:r>
    </w:p>
    <w:p>
      <w:pPr>
        <w:adjustRightInd w:val="0"/>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（三）按甲方要求参加廉政座谈、法制讲座、参观监狱等活动，加强对项目负责人及相关管理人员的法律法规、廉洁和职业道德教育，共同筑牢防腐防线。</w:t>
      </w:r>
    </w:p>
    <w:p>
      <w:pPr>
        <w:adjustRightInd w:val="0"/>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第四条 违约责任</w:t>
      </w:r>
    </w:p>
    <w:p>
      <w:pPr>
        <w:adjustRightInd w:val="0"/>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（一）甲方违约责任</w:t>
      </w:r>
    </w:p>
    <w:p>
      <w:pPr>
        <w:adjustRightInd w:val="0"/>
        <w:snapToGrid w:val="0"/>
        <w:spacing w:line="312" w:lineRule="auto"/>
        <w:ind w:firstLine="480" w:firstLineChars="200"/>
        <w:rPr>
          <w:rFonts w:ascii="宋体" w:hAnsi="宋体" w:cs="宋体"/>
          <w:bCs/>
          <w:color w:val="auto"/>
          <w:sz w:val="24"/>
          <w:szCs w:val="24"/>
          <w:highlight w:val="none"/>
        </w:rPr>
      </w:pPr>
      <w:r>
        <w:rPr>
          <w:rFonts w:hint="eastAsia" w:ascii="宋体" w:hAnsi="宋体" w:cs="宋体"/>
          <w:color w:val="auto"/>
          <w:sz w:val="24"/>
          <w:szCs w:val="24"/>
          <w:highlight w:val="none"/>
        </w:rPr>
        <w:t>1.甲方</w:t>
      </w:r>
      <w:r>
        <w:rPr>
          <w:rFonts w:hint="eastAsia" w:ascii="宋体" w:hAnsi="宋体" w:cs="宋体"/>
          <w:bCs/>
          <w:color w:val="auto"/>
          <w:sz w:val="24"/>
          <w:szCs w:val="24"/>
          <w:highlight w:val="none"/>
        </w:rPr>
        <w:t>不履行或不完全履行本协议书有关责任义务给乙方造成损失的，在乙方提交足够证据并经查证属实的情况下，由甲方赔偿其直接经济损失。</w:t>
      </w:r>
    </w:p>
    <w:p>
      <w:pPr>
        <w:adjustRightInd w:val="0"/>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 甲方人员出现受贿等严重违法违纪违规行为的，按照管理权限，依据有关法律法规和规定给予党纪、政纪处分或组织处理；涉嫌犯罪的，移交司法机关追究刑事责任。</w:t>
      </w:r>
    </w:p>
    <w:p>
      <w:pPr>
        <w:adjustRightInd w:val="0"/>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（二）乙方违约责任</w:t>
      </w:r>
    </w:p>
    <w:p>
      <w:pPr>
        <w:adjustRightInd w:val="0"/>
        <w:snapToGrid w:val="0"/>
        <w:spacing w:line="312" w:lineRule="auto"/>
        <w:ind w:firstLine="480" w:firstLineChars="200"/>
        <w:rPr>
          <w:rFonts w:ascii="宋体" w:hAnsi="宋体" w:cs="宋体"/>
          <w:bCs/>
          <w:color w:val="auto"/>
          <w:sz w:val="24"/>
          <w:szCs w:val="24"/>
          <w:highlight w:val="none"/>
        </w:rPr>
      </w:pPr>
      <w:r>
        <w:rPr>
          <w:rFonts w:hint="eastAsia" w:ascii="宋体" w:hAnsi="宋体" w:cs="宋体"/>
          <w:color w:val="auto"/>
          <w:sz w:val="24"/>
          <w:szCs w:val="24"/>
          <w:highlight w:val="none"/>
        </w:rPr>
        <w:t>1.</w:t>
      </w:r>
      <w:r>
        <w:rPr>
          <w:rFonts w:hint="eastAsia" w:ascii="宋体" w:hAnsi="宋体" w:cs="宋体"/>
          <w:bCs/>
          <w:color w:val="auto"/>
          <w:sz w:val="24"/>
          <w:szCs w:val="24"/>
          <w:highlight w:val="none"/>
        </w:rPr>
        <w:t>乙方不履行或不完全履行本协议书有关责任义务的，</w:t>
      </w:r>
      <w:r>
        <w:rPr>
          <w:rFonts w:hint="eastAsia" w:ascii="宋体" w:hAnsi="宋体" w:cs="宋体"/>
          <w:color w:val="auto"/>
          <w:sz w:val="24"/>
          <w:szCs w:val="24"/>
          <w:highlight w:val="none"/>
        </w:rPr>
        <w:t>按勘察设计合同</w:t>
      </w:r>
      <w:r>
        <w:rPr>
          <w:rFonts w:hint="eastAsia" w:ascii="宋体" w:hAnsi="宋体" w:cs="宋体"/>
          <w:bCs/>
          <w:color w:val="auto"/>
          <w:sz w:val="24"/>
          <w:szCs w:val="24"/>
          <w:highlight w:val="none"/>
        </w:rPr>
        <w:t>规定须承担一次一般违约责任。情节较轻的，可给予书面警告；情节较重的，须承担一次严重违约责任。</w:t>
      </w:r>
    </w:p>
    <w:p>
      <w:pPr>
        <w:adjustRightInd w:val="0"/>
        <w:snapToGrid w:val="0"/>
        <w:spacing w:line="312" w:lineRule="auto"/>
        <w:ind w:firstLine="480" w:firstLineChars="200"/>
        <w:rPr>
          <w:rFonts w:ascii="宋体" w:hAnsi="宋体" w:cs="宋体"/>
          <w:color w:val="auto"/>
          <w:sz w:val="24"/>
          <w:szCs w:val="24"/>
          <w:highlight w:val="none"/>
        </w:rPr>
      </w:pPr>
      <w:r>
        <w:rPr>
          <w:rFonts w:hint="eastAsia" w:ascii="宋体" w:hAnsi="宋体" w:cs="宋体"/>
          <w:bCs/>
          <w:color w:val="auto"/>
          <w:sz w:val="24"/>
          <w:szCs w:val="24"/>
          <w:highlight w:val="none"/>
        </w:rPr>
        <w:t>2.乙方</w:t>
      </w:r>
      <w:r>
        <w:rPr>
          <w:rFonts w:hint="eastAsia" w:ascii="宋体" w:hAnsi="宋体" w:cs="宋体"/>
          <w:color w:val="auto"/>
          <w:sz w:val="24"/>
          <w:szCs w:val="24"/>
          <w:highlight w:val="none"/>
        </w:rPr>
        <w:t>出现严重违法违纪违规行为的，按照管理权限，依据有关法律法规和规定给予党纪、政纪处分或组织处理；涉嫌犯罪的，移交司法机关追究刑事责任。</w:t>
      </w:r>
    </w:p>
    <w:p>
      <w:pPr>
        <w:adjustRightInd w:val="0"/>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第五条 甲乙双方监管部门</w:t>
      </w:r>
    </w:p>
    <w:p>
      <w:pPr>
        <w:adjustRightInd w:val="0"/>
        <w:snapToGrid w:val="0"/>
        <w:spacing w:line="312" w:lineRule="auto"/>
        <w:ind w:firstLine="480" w:firstLineChars="200"/>
        <w:rPr>
          <w:rFonts w:ascii="宋体" w:hAnsi="宋体" w:cs="宋体"/>
          <w:bCs/>
          <w:color w:val="auto"/>
          <w:kern w:val="0"/>
          <w:sz w:val="24"/>
          <w:szCs w:val="24"/>
          <w:highlight w:val="none"/>
        </w:rPr>
      </w:pPr>
      <w:r>
        <w:rPr>
          <w:rFonts w:hint="eastAsia" w:ascii="宋体" w:hAnsi="宋体" w:cs="宋体"/>
          <w:color w:val="auto"/>
          <w:sz w:val="24"/>
          <w:szCs w:val="24"/>
          <w:highlight w:val="none"/>
        </w:rPr>
        <w:t>1.</w:t>
      </w:r>
      <w:r>
        <w:rPr>
          <w:rFonts w:hint="eastAsia" w:ascii="宋体" w:hAnsi="宋体" w:cs="宋体"/>
          <w:bCs/>
          <w:color w:val="auto"/>
          <w:kern w:val="0"/>
          <w:sz w:val="24"/>
          <w:szCs w:val="24"/>
          <w:highlight w:val="none"/>
        </w:rPr>
        <w:t>甲方监督部门：纪检</w:t>
      </w:r>
      <w:r>
        <w:rPr>
          <w:rFonts w:hint="default" w:ascii="宋体" w:hAnsi="宋体" w:cs="宋体"/>
          <w:bCs/>
          <w:color w:val="auto"/>
          <w:kern w:val="0"/>
          <w:sz w:val="24"/>
          <w:szCs w:val="24"/>
          <w:highlight w:val="none"/>
        </w:rPr>
        <w:t>审计</w:t>
      </w:r>
      <w:r>
        <w:rPr>
          <w:rFonts w:hint="eastAsia" w:ascii="宋体" w:hAnsi="宋体" w:cs="宋体"/>
          <w:bCs/>
          <w:color w:val="auto"/>
          <w:kern w:val="0"/>
          <w:sz w:val="24"/>
          <w:szCs w:val="24"/>
          <w:highlight w:val="none"/>
        </w:rPr>
        <w:t>室，举报电话/电子邮箱： 020-22905611/gcpcjj@gz.gov.cn（纪委书记信箱）。</w:t>
      </w:r>
    </w:p>
    <w:p>
      <w:pPr>
        <w:adjustRightInd w:val="0"/>
        <w:snapToGrid w:val="0"/>
        <w:spacing w:line="312" w:lineRule="auto"/>
        <w:ind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2.乙方监督部门：          ，举报电话：       ，廉政责任人：         ，职务：     ，上级主管部门：           。</w:t>
      </w:r>
    </w:p>
    <w:p>
      <w:pPr>
        <w:adjustRightInd w:val="0"/>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第六条 本协议书作为勘察设计合同的附件，与勘察设计合同具有同等法律效力。经双方签字盖章后生效。</w:t>
      </w:r>
    </w:p>
    <w:p>
      <w:pPr>
        <w:adjustRightInd w:val="0"/>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第七条 本协议书有效期为双方签字盖章之日起至所属工程项目合同履行完毕时止。</w:t>
      </w:r>
    </w:p>
    <w:p>
      <w:pPr>
        <w:adjustRightInd w:val="0"/>
        <w:snapToGrid w:val="0"/>
        <w:spacing w:line="312" w:lineRule="auto"/>
        <w:ind w:firstLine="480" w:firstLineChars="200"/>
        <w:rPr>
          <w:rFonts w:ascii="宋体" w:hAnsi="宋体" w:cs="宋体"/>
          <w:color w:val="auto"/>
          <w:kern w:val="0"/>
          <w:sz w:val="24"/>
          <w:szCs w:val="24"/>
          <w:highlight w:val="none"/>
        </w:rPr>
      </w:pPr>
      <w:r>
        <w:rPr>
          <w:rFonts w:hint="eastAsia" w:ascii="宋体" w:hAnsi="宋体" w:cs="宋体"/>
          <w:color w:val="auto"/>
          <w:sz w:val="24"/>
          <w:szCs w:val="24"/>
          <w:highlight w:val="none"/>
        </w:rPr>
        <w:t>第八条 未尽事宜，由双方协商解决。</w:t>
      </w:r>
    </w:p>
    <w:p>
      <w:pPr>
        <w:adjustRightInd w:val="0"/>
        <w:snapToGrid w:val="0"/>
        <w:spacing w:line="312"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（本页以下无正文）</w:t>
      </w:r>
    </w:p>
    <w:p>
      <w:pPr>
        <w:pStyle w:val="10"/>
        <w:widowControl w:val="0"/>
        <w:spacing w:beforeAutospacing="0" w:afterAutospacing="0" w:line="312" w:lineRule="auto"/>
        <w:ind w:firstLine="480" w:firstLineChars="200"/>
        <w:jc w:val="both"/>
        <w:rPr>
          <w:rFonts w:hint="default"/>
          <w:color w:val="auto"/>
          <w:highlight w:val="none"/>
        </w:rPr>
      </w:pPr>
    </w:p>
    <w:p>
      <w:pPr>
        <w:pStyle w:val="10"/>
        <w:widowControl w:val="0"/>
        <w:spacing w:beforeAutospacing="0" w:afterAutospacing="0" w:line="312" w:lineRule="auto"/>
        <w:ind w:firstLine="480" w:firstLineChars="200"/>
        <w:jc w:val="both"/>
        <w:rPr>
          <w:rFonts w:hint="default"/>
          <w:color w:val="auto"/>
          <w:highlight w:val="none"/>
        </w:rPr>
      </w:pPr>
    </w:p>
    <w:p>
      <w:pPr>
        <w:adjustRightInd w:val="0"/>
        <w:snapToGrid w:val="0"/>
        <w:spacing w:line="312" w:lineRule="auto"/>
        <w:ind w:left="6000" w:hanging="6000" w:hangingChars="2500"/>
        <w:rPr>
          <w:rFonts w:ascii="宋体" w:hAnsi="宋体" w:cs="宋体"/>
          <w:b/>
          <w:color w:val="auto"/>
          <w:kern w:val="0"/>
          <w:sz w:val="24"/>
          <w:szCs w:val="24"/>
          <w:highlight w:val="none"/>
        </w:rPr>
      </w:pPr>
      <w:r>
        <w:rPr>
          <w:rFonts w:hint="eastAsia" w:ascii="宋体" w:hAnsi="宋体" w:cs="宋体"/>
          <w:color w:val="auto"/>
          <w:kern w:val="0"/>
          <w:sz w:val="24"/>
          <w:szCs w:val="24"/>
          <w:highlight w:val="none"/>
        </w:rPr>
        <w:t>甲方：</w:t>
      </w:r>
      <w:r>
        <w:rPr>
          <w:rFonts w:hint="eastAsia" w:ascii="宋体" w:hAnsi="宋体" w:cs="宋体"/>
          <w:b/>
          <w:color w:val="auto"/>
          <w:spacing w:val="-20"/>
          <w:kern w:val="0"/>
          <w:sz w:val="24"/>
          <w:szCs w:val="24"/>
          <w:highlight w:val="none"/>
        </w:rPr>
        <w:t>广州市重点公共建设项目管理中心</w:t>
      </w:r>
      <w:r>
        <w:rPr>
          <w:rFonts w:hint="eastAsia" w:ascii="宋体" w:hAnsi="宋体" w:cs="宋体"/>
          <w:color w:val="auto"/>
          <w:kern w:val="0"/>
          <w:sz w:val="24"/>
          <w:szCs w:val="24"/>
          <w:highlight w:val="none"/>
        </w:rPr>
        <w:t xml:space="preserve">   乙方：</w:t>
      </w:r>
    </w:p>
    <w:p>
      <w:pPr>
        <w:adjustRightInd w:val="0"/>
        <w:snapToGrid w:val="0"/>
        <w:spacing w:line="312" w:lineRule="auto"/>
        <w:ind w:left="6000" w:hanging="6000" w:hangingChars="25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（盖章）                       （盖章）</w:t>
      </w:r>
    </w:p>
    <w:p>
      <w:pPr>
        <w:adjustRightInd w:val="0"/>
        <w:snapToGrid w:val="0"/>
        <w:spacing w:line="312" w:lineRule="auto"/>
        <w:rPr>
          <w:rFonts w:ascii="宋体" w:hAnsi="宋体" w:cs="宋体"/>
          <w:color w:val="auto"/>
          <w:kern w:val="0"/>
          <w:sz w:val="24"/>
          <w:szCs w:val="24"/>
          <w:highlight w:val="none"/>
        </w:rPr>
      </w:pPr>
    </w:p>
    <w:p>
      <w:pPr>
        <w:adjustRightInd w:val="0"/>
        <w:snapToGrid w:val="0"/>
        <w:spacing w:line="312"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                       法定代表人：</w:t>
      </w:r>
    </w:p>
    <w:p>
      <w:pPr>
        <w:adjustRightInd w:val="0"/>
        <w:snapToGrid w:val="0"/>
        <w:spacing w:line="312" w:lineRule="auto"/>
        <w:rPr>
          <w:rFonts w:ascii="宋体" w:hAnsi="宋体" w:cs="宋体"/>
          <w:color w:val="auto"/>
          <w:kern w:val="0"/>
          <w:sz w:val="24"/>
          <w:szCs w:val="24"/>
          <w:highlight w:val="none"/>
        </w:rPr>
      </w:pPr>
    </w:p>
    <w:p>
      <w:pPr>
        <w:pStyle w:val="10"/>
        <w:widowControl w:val="0"/>
        <w:spacing w:beforeAutospacing="0" w:afterAutospacing="0"/>
        <w:ind w:firstLine="480" w:firstLineChars="200"/>
        <w:jc w:val="both"/>
        <w:rPr>
          <w:rFonts w:hint="default"/>
          <w:color w:val="auto"/>
          <w:highlight w:val="none"/>
        </w:rPr>
      </w:pPr>
    </w:p>
    <w:p>
      <w:pPr>
        <w:adjustRightInd w:val="0"/>
        <w:snapToGrid w:val="0"/>
        <w:spacing w:line="312"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委托代理人：                       委托代理人：</w:t>
      </w:r>
    </w:p>
    <w:p>
      <w:pPr>
        <w:adjustRightInd w:val="0"/>
        <w:snapToGrid w:val="0"/>
        <w:spacing w:line="312" w:lineRule="auto"/>
        <w:rPr>
          <w:rFonts w:ascii="宋体" w:hAnsi="宋体" w:cs="宋体"/>
          <w:color w:val="auto"/>
          <w:kern w:val="0"/>
          <w:sz w:val="24"/>
          <w:szCs w:val="24"/>
          <w:highlight w:val="none"/>
        </w:rPr>
      </w:pPr>
    </w:p>
    <w:p>
      <w:pPr>
        <w:adjustRightInd w:val="0"/>
        <w:snapToGrid w:val="0"/>
        <w:spacing w:line="312" w:lineRule="auto"/>
        <w:ind w:firstLine="360" w:firstLineChars="1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年    月    日                     年    月    日</w:t>
      </w:r>
    </w:p>
    <w:p>
      <w:pPr>
        <w:keepNext w:val="0"/>
        <w:keepLines w:val="0"/>
        <w:widowControl w:val="0"/>
        <w:suppressLineNumbers w:val="0"/>
        <w:adjustRightInd w:val="0"/>
        <w:snapToGrid w:val="0"/>
        <w:spacing w:before="0" w:beforeAutospacing="0" w:after="0" w:afterAutospacing="0" w:line="312" w:lineRule="auto"/>
        <w:ind w:left="0" w:right="0"/>
        <w:jc w:val="both"/>
        <w:rPr>
          <w:rFonts w:ascii="宋体" w:hAnsi="宋体" w:cs="宋体"/>
          <w:color w:val="auto"/>
          <w:sz w:val="24"/>
          <w:szCs w:val="24"/>
          <w:highlight w:val="none"/>
        </w:rPr>
      </w:pPr>
      <w:r>
        <w:rPr>
          <w:rFonts w:ascii="Times New Roman" w:hAnsi="Times New Roman"/>
          <w:color w:val="auto"/>
          <w:szCs w:val="21"/>
          <w:highlight w:val="none"/>
        </w:rPr>
        <w:br w:type="page"/>
      </w:r>
      <w:r>
        <w:rPr>
          <w:rFonts w:hint="eastAsia" w:ascii="宋体" w:hAnsi="宋体" w:cs="宋体"/>
          <w:color w:val="auto"/>
          <w:sz w:val="24"/>
          <w:szCs w:val="24"/>
          <w:highlight w:val="none"/>
        </w:rPr>
        <w:t>附件2：本项目《建设资金支付协议》</w:t>
      </w:r>
      <w:r>
        <w:rPr>
          <w:rFonts w:hint="eastAsia" w:ascii="宋体" w:hAnsi="宋体" w:eastAsia="宋体" w:cs="宋体"/>
          <w:color w:val="auto"/>
          <w:kern w:val="2"/>
          <w:sz w:val="24"/>
          <w:szCs w:val="24"/>
          <w:highlight w:val="none"/>
          <w:lang w:val="en-US" w:eastAsia="zh-CN" w:bidi="ar"/>
        </w:rPr>
        <w:t>（签订合同时另附签字盖章文本）</w:t>
      </w:r>
    </w:p>
    <w:p>
      <w:pPr>
        <w:adjustRightInd w:val="0"/>
        <w:snapToGrid w:val="0"/>
        <w:spacing w:line="360" w:lineRule="auto"/>
        <w:ind w:firstLine="315" w:firstLineChars="98"/>
        <w:rPr>
          <w:rFonts w:ascii="宋体" w:hAnsi="宋体" w:cs="宋体"/>
          <w:b/>
          <w:color w:val="auto"/>
          <w:kern w:val="0"/>
          <w:sz w:val="32"/>
          <w:szCs w:val="32"/>
          <w:highlight w:val="none"/>
        </w:rPr>
      </w:pPr>
    </w:p>
    <w:p>
      <w:pPr>
        <w:adjustRightInd w:val="0"/>
        <w:snapToGrid w:val="0"/>
        <w:spacing w:line="360" w:lineRule="auto"/>
        <w:ind w:firstLine="315" w:firstLineChars="98"/>
        <w:rPr>
          <w:rFonts w:hint="default" w:ascii="宋体" w:hAnsi="宋体" w:cs="宋体"/>
          <w:b/>
          <w:color w:val="auto"/>
          <w:kern w:val="0"/>
          <w:sz w:val="32"/>
          <w:szCs w:val="32"/>
          <w:highlight w:val="none"/>
        </w:rPr>
      </w:pPr>
    </w:p>
    <w:p>
      <w:pPr>
        <w:adjustRightInd w:val="0"/>
        <w:snapToGrid w:val="0"/>
        <w:spacing w:line="360" w:lineRule="auto"/>
        <w:jc w:val="center"/>
        <w:rPr>
          <w:rFonts w:ascii="宋体" w:hAnsi="宋体" w:cs="宋体"/>
          <w:color w:val="auto"/>
          <w:kern w:val="0"/>
          <w:sz w:val="24"/>
          <w:szCs w:val="24"/>
          <w:highlight w:val="none"/>
        </w:rPr>
      </w:pPr>
    </w:p>
    <w:p>
      <w:pPr>
        <w:adjustRightInd w:val="0"/>
        <w:snapToGrid w:val="0"/>
        <w:spacing w:line="312" w:lineRule="auto"/>
        <w:rPr>
          <w:rFonts w:ascii="宋体" w:hAnsi="宋体" w:cs="宋体"/>
          <w:color w:val="auto"/>
          <w:kern w:val="0"/>
          <w:sz w:val="24"/>
          <w:szCs w:val="24"/>
          <w:highlight w:val="none"/>
        </w:rPr>
      </w:pPr>
      <w:r>
        <w:rPr>
          <w:rFonts w:hint="eastAsia" w:ascii="宋体" w:hAnsi="宋体"/>
          <w:color w:val="auto"/>
          <w:sz w:val="24"/>
          <w:szCs w:val="24"/>
          <w:highlight w:val="none"/>
        </w:rPr>
        <w:br w:type="page"/>
      </w:r>
      <w:r>
        <w:rPr>
          <w:rFonts w:hint="eastAsia" w:ascii="宋体" w:hAnsi="宋体" w:cs="宋体"/>
          <w:color w:val="auto"/>
          <w:kern w:val="0"/>
          <w:sz w:val="24"/>
          <w:szCs w:val="24"/>
          <w:highlight w:val="none"/>
        </w:rPr>
        <w:t>附件</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 xml:space="preserve">：勘察费、设计费计算表 </w:t>
      </w:r>
    </w:p>
    <w:p>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表一、工程勘察费计算表</w:t>
      </w:r>
    </w:p>
    <w:p>
      <w:pPr>
        <w:adjustRightInd w:val="0"/>
        <w:snapToGrid w:val="0"/>
        <w:spacing w:line="360" w:lineRule="auto"/>
        <w:rPr>
          <w:rFonts w:ascii="宋体" w:hAnsi="宋体" w:cs="宋体"/>
          <w:color w:val="auto"/>
          <w:spacing w:val="2"/>
          <w:kern w:val="0"/>
          <w:sz w:val="24"/>
          <w:szCs w:val="24"/>
          <w:highlight w:val="none"/>
        </w:rPr>
      </w:pPr>
    </w:p>
    <w:p>
      <w:pPr>
        <w:adjustRightInd w:val="0"/>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表二、工程设计费计算表</w:t>
      </w:r>
    </w:p>
    <w:p>
      <w:pPr>
        <w:adjustRightInd w:val="0"/>
        <w:snapToGrid w:val="0"/>
        <w:spacing w:line="360" w:lineRule="auto"/>
        <w:rPr>
          <w:rFonts w:ascii="宋体" w:hAnsi="宋体" w:cs="宋体"/>
          <w:color w:val="auto"/>
          <w:spacing w:val="2"/>
          <w:kern w:val="0"/>
          <w:sz w:val="24"/>
          <w:szCs w:val="24"/>
          <w:highlight w:val="none"/>
        </w:rPr>
      </w:pPr>
    </w:p>
    <w:p>
      <w:pPr>
        <w:adjustRightInd w:val="0"/>
        <w:snapToGrid w:val="0"/>
        <w:spacing w:line="360" w:lineRule="auto"/>
        <w:rPr>
          <w:rFonts w:ascii="宋体" w:hAnsi="宋体" w:cs="宋体"/>
          <w:color w:val="auto"/>
          <w:spacing w:val="-9"/>
          <w:kern w:val="0"/>
          <w:sz w:val="24"/>
          <w:szCs w:val="24"/>
          <w:highlight w:val="none"/>
        </w:rPr>
      </w:pPr>
      <w:r>
        <w:rPr>
          <w:rFonts w:hint="eastAsia" w:ascii="宋体" w:hAnsi="宋体" w:cs="宋体"/>
          <w:color w:val="auto"/>
          <w:spacing w:val="2"/>
          <w:kern w:val="0"/>
          <w:sz w:val="24"/>
          <w:szCs w:val="24"/>
          <w:highlight w:val="none"/>
        </w:rPr>
        <w:t>表三、工程勘察设计费汇总</w:t>
      </w:r>
      <w:r>
        <w:rPr>
          <w:rFonts w:hint="eastAsia" w:ascii="宋体" w:hAnsi="宋体" w:cs="宋体"/>
          <w:color w:val="auto"/>
          <w:spacing w:val="-9"/>
          <w:kern w:val="0"/>
          <w:sz w:val="24"/>
          <w:szCs w:val="24"/>
          <w:highlight w:val="none"/>
        </w:rPr>
        <w:t>表</w:t>
      </w:r>
    </w:p>
    <w:p>
      <w:pPr>
        <w:adjustRightInd w:val="0"/>
        <w:snapToGrid w:val="0"/>
        <w:spacing w:line="360" w:lineRule="auto"/>
        <w:rPr>
          <w:rFonts w:ascii="宋体" w:hAnsi="宋体" w:cs="宋体"/>
          <w:color w:val="auto"/>
          <w:kern w:val="0"/>
          <w:sz w:val="24"/>
          <w:szCs w:val="24"/>
          <w:highlight w:val="none"/>
        </w:rPr>
      </w:pPr>
    </w:p>
    <w:p>
      <w:pPr>
        <w:adjustRightInd w:val="0"/>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表四、工程设计费分摊计算表（附后）</w:t>
      </w:r>
    </w:p>
    <w:p>
      <w:pPr>
        <w:pStyle w:val="10"/>
        <w:widowControl w:val="0"/>
        <w:spacing w:beforeAutospacing="0" w:afterAutospacing="0"/>
        <w:jc w:val="both"/>
        <w:rPr>
          <w:rFonts w:hint="default"/>
          <w:color w:val="auto"/>
          <w:highlight w:val="none"/>
        </w:rPr>
      </w:pPr>
    </w:p>
    <w:p>
      <w:pPr>
        <w:adjustRightInd w:val="0"/>
        <w:snapToGrid w:val="0"/>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表五、BIM正向设计技术应用费计算表</w:t>
      </w:r>
    </w:p>
    <w:p>
      <w:pPr>
        <w:pStyle w:val="2"/>
        <w:rPr>
          <w:rFonts w:hint="eastAsia" w:ascii="宋体" w:hAnsi="宋体" w:cs="宋体"/>
          <w:color w:val="auto"/>
          <w:kern w:val="0"/>
          <w:sz w:val="24"/>
          <w:szCs w:val="24"/>
          <w:highlight w:val="none"/>
        </w:rPr>
      </w:pPr>
    </w:p>
    <w:p>
      <w:pPr>
        <w:pStyle w:val="10"/>
        <w:keepNext w:val="0"/>
        <w:keepLines w:val="0"/>
        <w:widowControl/>
        <w:suppressLineNumbers w:val="0"/>
        <w:spacing w:before="0" w:beforeAutospacing="0" w:after="120" w:afterAutospacing="0" w:line="254" w:lineRule="auto"/>
        <w:ind w:left="0" w:leftChars="0" w:right="0" w:firstLine="0" w:firstLineChars="0"/>
        <w:jc w:val="left"/>
        <w:rPr>
          <w:rFonts w:hint="default" w:ascii="宋体" w:hAnsi="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w:t>
      </w:r>
      <w:r>
        <w:rPr>
          <w:rFonts w:hint="default" w:ascii="Calibri" w:hAnsi="Calibri" w:eastAsia="宋体" w:cs="Calibri"/>
          <w:color w:val="auto"/>
          <w:kern w:val="0"/>
          <w:sz w:val="24"/>
          <w:szCs w:val="24"/>
          <w:highlight w:val="none"/>
          <w:lang w:val="en-US" w:eastAsia="zh-CN" w:bidi="ar"/>
        </w:rPr>
        <w:t>表六、设计方案报审（含修建性详细规划调整）费计算表</w:t>
      </w:r>
    </w:p>
    <w:p>
      <w:pPr>
        <w:pStyle w:val="2"/>
        <w:ind w:left="0" w:leftChars="0" w:firstLine="0" w:firstLineChars="0"/>
        <w:rPr>
          <w:rFonts w:hint="eastAsia" w:ascii="宋体" w:hAnsi="宋体" w:cs="宋体"/>
          <w:color w:val="auto"/>
          <w:kern w:val="0"/>
          <w:sz w:val="24"/>
          <w:szCs w:val="24"/>
          <w:highlight w:val="none"/>
        </w:rPr>
      </w:pPr>
    </w:p>
    <w:p>
      <w:pPr>
        <w:pStyle w:val="10"/>
        <w:widowControl w:val="0"/>
        <w:spacing w:beforeAutospacing="0" w:afterAutospacing="0"/>
        <w:ind w:firstLine="480" w:firstLineChars="200"/>
        <w:jc w:val="both"/>
        <w:rPr>
          <w:rFonts w:hint="default"/>
          <w:color w:val="auto"/>
          <w:highlight w:val="none"/>
        </w:rPr>
      </w:pPr>
    </w:p>
    <w:p>
      <w:pPr>
        <w:adjustRightInd w:val="0"/>
        <w:snapToGrid w:val="0"/>
        <w:spacing w:line="360" w:lineRule="auto"/>
        <w:rPr>
          <w:rFonts w:ascii="宋体" w:hAnsi="宋体" w:cs="宋体"/>
          <w:color w:val="auto"/>
          <w:spacing w:val="-9"/>
          <w:kern w:val="0"/>
          <w:sz w:val="24"/>
          <w:szCs w:val="24"/>
          <w:highlight w:val="none"/>
        </w:rPr>
      </w:pPr>
    </w:p>
    <w:p>
      <w:pPr>
        <w:adjustRightInd w:val="0"/>
        <w:snapToGrid w:val="0"/>
        <w:spacing w:line="360" w:lineRule="auto"/>
        <w:rPr>
          <w:rFonts w:ascii="宋体" w:hAnsi="宋体" w:cs="宋体"/>
          <w:color w:val="auto"/>
          <w:sz w:val="24"/>
          <w:szCs w:val="24"/>
          <w:highlight w:val="none"/>
        </w:rPr>
      </w:pPr>
      <w:r>
        <w:rPr>
          <w:rFonts w:hint="eastAsia" w:ascii="宋体" w:hAnsi="宋体"/>
          <w:color w:val="auto"/>
          <w:spacing w:val="-9"/>
          <w:sz w:val="24"/>
          <w:szCs w:val="24"/>
          <w:highlight w:val="none"/>
        </w:rPr>
        <w:br w:type="page"/>
      </w:r>
      <w:r>
        <w:rPr>
          <w:rFonts w:hint="eastAsia" w:ascii="宋体" w:hAnsi="宋体" w:cs="宋体"/>
          <w:color w:val="auto"/>
          <w:sz w:val="24"/>
          <w:szCs w:val="24"/>
          <w:highlight w:val="none"/>
        </w:rPr>
        <w:t>附件</w:t>
      </w:r>
      <w:r>
        <w:rPr>
          <w:rFonts w:ascii="宋体" w:hAnsi="宋体" w:cs="宋体"/>
          <w:color w:val="auto"/>
          <w:sz w:val="24"/>
          <w:szCs w:val="24"/>
          <w:highlight w:val="none"/>
        </w:rPr>
        <w:t>4</w:t>
      </w:r>
      <w:r>
        <w:rPr>
          <w:rFonts w:hint="eastAsia" w:ascii="宋体" w:hAnsi="宋体" w:cs="宋体"/>
          <w:color w:val="auto"/>
          <w:sz w:val="24"/>
          <w:szCs w:val="24"/>
          <w:highlight w:val="none"/>
        </w:rPr>
        <w:t>：拟投入主要勘察设计人员一览表</w:t>
      </w:r>
    </w:p>
    <w:p>
      <w:pPr>
        <w:adjustRightInd w:val="0"/>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表一、主要勘察设计人员表</w:t>
      </w:r>
    </w:p>
    <w:p>
      <w:pPr>
        <w:jc w:val="center"/>
        <w:rPr>
          <w:rFonts w:ascii="宋体" w:hAnsi="宋体" w:cs="宋体"/>
          <w:b/>
          <w:color w:val="auto"/>
          <w:sz w:val="28"/>
          <w:szCs w:val="28"/>
          <w:highlight w:val="none"/>
        </w:rPr>
      </w:pPr>
      <w:r>
        <w:rPr>
          <w:rFonts w:hint="eastAsia" w:ascii="宋体" w:hAnsi="宋体" w:cs="宋体"/>
          <w:b/>
          <w:color w:val="auto"/>
          <w:sz w:val="28"/>
          <w:szCs w:val="28"/>
          <w:highlight w:val="none"/>
        </w:rPr>
        <w:t>主要勘察设计人员表</w:t>
      </w:r>
    </w:p>
    <w:tbl>
      <w:tblPr>
        <w:tblStyle w:val="11"/>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2557"/>
        <w:gridCol w:w="1100"/>
        <w:gridCol w:w="850"/>
        <w:gridCol w:w="1000"/>
        <w:gridCol w:w="767"/>
        <w:gridCol w:w="2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255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
                <w:color w:val="auto"/>
                <w:sz w:val="24"/>
                <w:szCs w:val="24"/>
                <w:highlight w:val="none"/>
              </w:rPr>
            </w:pPr>
            <w:r>
              <w:rPr>
                <w:rFonts w:hint="eastAsia" w:ascii="宋体" w:hAnsi="宋体" w:cs="宋体"/>
                <w:b/>
                <w:color w:val="auto"/>
                <w:sz w:val="24"/>
                <w:szCs w:val="24"/>
                <w:highlight w:val="none"/>
              </w:rPr>
              <w:t>专业分工</w:t>
            </w:r>
          </w:p>
        </w:tc>
        <w:tc>
          <w:tcPr>
            <w:tcW w:w="110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
                <w:color w:val="auto"/>
                <w:sz w:val="24"/>
                <w:szCs w:val="24"/>
                <w:highlight w:val="none"/>
              </w:rPr>
            </w:pPr>
            <w:r>
              <w:rPr>
                <w:rFonts w:hint="eastAsia" w:ascii="宋体" w:hAnsi="宋体" w:cs="宋体"/>
                <w:b/>
                <w:color w:val="auto"/>
                <w:sz w:val="24"/>
                <w:szCs w:val="24"/>
                <w:highlight w:val="none"/>
              </w:rPr>
              <w:t>姓名</w:t>
            </w: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
                <w:color w:val="auto"/>
                <w:sz w:val="24"/>
                <w:szCs w:val="24"/>
                <w:highlight w:val="none"/>
              </w:rPr>
            </w:pPr>
            <w:r>
              <w:rPr>
                <w:rFonts w:hint="eastAsia" w:ascii="宋体" w:hAnsi="宋体" w:cs="宋体"/>
                <w:b/>
                <w:color w:val="auto"/>
                <w:sz w:val="24"/>
                <w:szCs w:val="24"/>
                <w:highlight w:val="none"/>
              </w:rPr>
              <w:t>年龄</w:t>
            </w:r>
          </w:p>
        </w:tc>
        <w:tc>
          <w:tcPr>
            <w:tcW w:w="100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
                <w:color w:val="auto"/>
                <w:sz w:val="24"/>
                <w:szCs w:val="24"/>
                <w:highlight w:val="none"/>
              </w:rPr>
            </w:pPr>
            <w:r>
              <w:rPr>
                <w:rFonts w:hint="eastAsia" w:ascii="宋体" w:hAnsi="宋体" w:cs="宋体"/>
                <w:b/>
                <w:color w:val="auto"/>
                <w:sz w:val="24"/>
                <w:szCs w:val="24"/>
                <w:highlight w:val="none"/>
              </w:rPr>
              <w:t>学历</w:t>
            </w:r>
          </w:p>
        </w:tc>
        <w:tc>
          <w:tcPr>
            <w:tcW w:w="76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
                <w:color w:val="auto"/>
                <w:sz w:val="24"/>
                <w:szCs w:val="24"/>
                <w:highlight w:val="none"/>
              </w:rPr>
            </w:pPr>
            <w:r>
              <w:rPr>
                <w:rFonts w:hint="eastAsia" w:ascii="宋体" w:hAnsi="宋体" w:cs="宋体"/>
                <w:b/>
                <w:color w:val="auto"/>
                <w:sz w:val="24"/>
                <w:szCs w:val="24"/>
                <w:highlight w:val="none"/>
              </w:rPr>
              <w:t>工龄</w:t>
            </w:r>
          </w:p>
        </w:tc>
        <w:tc>
          <w:tcPr>
            <w:tcW w:w="246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
                <w:color w:val="auto"/>
                <w:sz w:val="24"/>
                <w:szCs w:val="24"/>
                <w:highlight w:val="none"/>
              </w:rPr>
            </w:pPr>
            <w:r>
              <w:rPr>
                <w:rFonts w:hint="eastAsia" w:ascii="宋体" w:hAnsi="宋体" w:cs="宋体"/>
                <w:b/>
                <w:color w:val="auto"/>
                <w:sz w:val="24"/>
                <w:szCs w:val="24"/>
                <w:highlight w:val="none"/>
              </w:rPr>
              <w:t>职称（职务）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60" w:lineRule="auto"/>
              <w:ind w:left="0" w:right="0"/>
              <w:rPr>
                <w:rFonts w:hint="default" w:ascii="宋体" w:hAnsi="宋体" w:cs="宋体"/>
                <w:color w:val="auto"/>
                <w:sz w:val="24"/>
                <w:szCs w:val="24"/>
                <w:highlight w:val="none"/>
              </w:rPr>
            </w:pPr>
          </w:p>
        </w:tc>
        <w:tc>
          <w:tcPr>
            <w:tcW w:w="255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10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00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76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463" w:type="dxa"/>
            <w:tcBorders>
              <w:top w:val="single" w:color="auto" w:sz="4" w:space="0"/>
              <w:left w:val="nil"/>
              <w:bottom w:val="single" w:color="auto" w:sz="4" w:space="0"/>
              <w:right w:val="single" w:color="auto" w:sz="4" w:space="0"/>
            </w:tcBorders>
            <w:noWrap w:val="0"/>
            <w:vAlign w:val="top"/>
          </w:tcPr>
          <w:p>
            <w:pPr>
              <w:keepNext w:val="0"/>
              <w:keepLines w:val="0"/>
              <w:suppressLineNumbers w:val="0"/>
              <w:spacing w:before="0" w:beforeAutospacing="0" w:after="0" w:afterAutospacing="0" w:line="360" w:lineRule="auto"/>
              <w:ind w:left="0" w:right="0"/>
              <w:rPr>
                <w:rFonts w:hint="default"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60" w:lineRule="auto"/>
              <w:ind w:left="0" w:right="0"/>
              <w:rPr>
                <w:rFonts w:hint="default" w:ascii="宋体" w:hAnsi="宋体" w:cs="宋体"/>
                <w:color w:val="auto"/>
                <w:sz w:val="28"/>
                <w:szCs w:val="28"/>
                <w:highlight w:val="none"/>
              </w:rPr>
            </w:pPr>
          </w:p>
        </w:tc>
        <w:tc>
          <w:tcPr>
            <w:tcW w:w="255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10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00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76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46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60" w:lineRule="auto"/>
              <w:ind w:left="0" w:right="0"/>
              <w:rPr>
                <w:rFonts w:hint="default" w:ascii="宋体" w:hAnsi="宋体" w:cs="宋体"/>
                <w:color w:val="auto"/>
                <w:sz w:val="28"/>
                <w:szCs w:val="28"/>
                <w:highlight w:val="none"/>
              </w:rPr>
            </w:pPr>
          </w:p>
        </w:tc>
        <w:tc>
          <w:tcPr>
            <w:tcW w:w="255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10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00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76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46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60" w:lineRule="auto"/>
              <w:ind w:left="0" w:right="0"/>
              <w:rPr>
                <w:rFonts w:hint="default" w:ascii="宋体" w:hAnsi="宋体" w:cs="宋体"/>
                <w:color w:val="auto"/>
                <w:sz w:val="28"/>
                <w:szCs w:val="28"/>
                <w:highlight w:val="none"/>
              </w:rPr>
            </w:pPr>
          </w:p>
        </w:tc>
        <w:tc>
          <w:tcPr>
            <w:tcW w:w="255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10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00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76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46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60" w:lineRule="auto"/>
              <w:ind w:left="0" w:right="0"/>
              <w:rPr>
                <w:rFonts w:hint="default" w:ascii="宋体" w:hAnsi="宋体" w:cs="宋体"/>
                <w:color w:val="auto"/>
                <w:sz w:val="28"/>
                <w:szCs w:val="28"/>
                <w:highlight w:val="none"/>
              </w:rPr>
            </w:pPr>
          </w:p>
        </w:tc>
        <w:tc>
          <w:tcPr>
            <w:tcW w:w="255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10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00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76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46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60" w:lineRule="auto"/>
              <w:ind w:left="0" w:right="0"/>
              <w:rPr>
                <w:rFonts w:hint="default" w:ascii="宋体" w:hAnsi="宋体" w:cs="宋体"/>
                <w:color w:val="auto"/>
                <w:sz w:val="28"/>
                <w:szCs w:val="28"/>
                <w:highlight w:val="none"/>
              </w:rPr>
            </w:pPr>
          </w:p>
        </w:tc>
        <w:tc>
          <w:tcPr>
            <w:tcW w:w="255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10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00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76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46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60" w:lineRule="auto"/>
              <w:ind w:left="0" w:right="0"/>
              <w:rPr>
                <w:rFonts w:hint="default" w:ascii="宋体" w:hAnsi="宋体" w:cs="宋体"/>
                <w:color w:val="auto"/>
                <w:sz w:val="28"/>
                <w:szCs w:val="28"/>
                <w:highlight w:val="none"/>
              </w:rPr>
            </w:pPr>
          </w:p>
        </w:tc>
        <w:tc>
          <w:tcPr>
            <w:tcW w:w="255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1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宋体" w:hAnsi="宋体" w:cs="宋体"/>
                <w:color w:val="auto"/>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00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76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46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60" w:lineRule="auto"/>
              <w:ind w:left="0" w:right="0"/>
              <w:rPr>
                <w:rFonts w:hint="default" w:ascii="宋体" w:hAnsi="宋体" w:cs="宋体"/>
                <w:color w:val="auto"/>
                <w:sz w:val="28"/>
                <w:szCs w:val="28"/>
                <w:highlight w:val="none"/>
              </w:rPr>
            </w:pPr>
          </w:p>
        </w:tc>
        <w:tc>
          <w:tcPr>
            <w:tcW w:w="255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1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宋体" w:hAnsi="宋体" w:cs="宋体"/>
                <w:color w:val="auto"/>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00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76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46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60" w:lineRule="auto"/>
              <w:ind w:left="0" w:right="0"/>
              <w:rPr>
                <w:rFonts w:hint="default" w:ascii="宋体" w:hAnsi="宋体" w:cs="宋体"/>
                <w:color w:val="auto"/>
                <w:sz w:val="28"/>
                <w:szCs w:val="28"/>
                <w:highlight w:val="none"/>
              </w:rPr>
            </w:pPr>
          </w:p>
        </w:tc>
        <w:tc>
          <w:tcPr>
            <w:tcW w:w="255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10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00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76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46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60" w:lineRule="auto"/>
              <w:ind w:left="0" w:right="0"/>
              <w:rPr>
                <w:rFonts w:hint="default" w:ascii="宋体" w:hAnsi="宋体" w:cs="宋体"/>
                <w:color w:val="auto"/>
                <w:sz w:val="28"/>
                <w:szCs w:val="28"/>
                <w:highlight w:val="none"/>
              </w:rPr>
            </w:pPr>
          </w:p>
        </w:tc>
        <w:tc>
          <w:tcPr>
            <w:tcW w:w="255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10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0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宋体" w:hAnsi="宋体" w:cs="宋体"/>
                <w:color w:val="auto"/>
                <w:sz w:val="24"/>
                <w:szCs w:val="24"/>
                <w:highlight w:val="none"/>
              </w:rPr>
            </w:pPr>
          </w:p>
        </w:tc>
        <w:tc>
          <w:tcPr>
            <w:tcW w:w="76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46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60" w:lineRule="auto"/>
              <w:ind w:left="0" w:right="0"/>
              <w:rPr>
                <w:rFonts w:hint="default" w:ascii="宋体" w:hAnsi="宋体" w:cs="宋体"/>
                <w:color w:val="auto"/>
                <w:sz w:val="28"/>
                <w:szCs w:val="28"/>
                <w:highlight w:val="none"/>
              </w:rPr>
            </w:pPr>
          </w:p>
        </w:tc>
        <w:tc>
          <w:tcPr>
            <w:tcW w:w="255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10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00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76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46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60" w:lineRule="auto"/>
              <w:ind w:left="0" w:right="0"/>
              <w:rPr>
                <w:rFonts w:hint="default" w:ascii="宋体" w:hAnsi="宋体" w:cs="宋体"/>
                <w:color w:val="auto"/>
                <w:sz w:val="28"/>
                <w:szCs w:val="28"/>
                <w:highlight w:val="none"/>
              </w:rPr>
            </w:pPr>
          </w:p>
        </w:tc>
        <w:tc>
          <w:tcPr>
            <w:tcW w:w="255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10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00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76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46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r>
    </w:tbl>
    <w:p>
      <w:pPr>
        <w:adjustRightInd w:val="0"/>
        <w:snapToGrid w:val="0"/>
        <w:spacing w:line="360" w:lineRule="auto"/>
        <w:rPr>
          <w:rFonts w:ascii="宋体" w:hAnsi="宋体" w:cs="宋体"/>
          <w:color w:val="auto"/>
          <w:kern w:val="0"/>
          <w:sz w:val="24"/>
          <w:szCs w:val="24"/>
          <w:highlight w:val="none"/>
        </w:rPr>
      </w:pPr>
      <w:r>
        <w:rPr>
          <w:rFonts w:hint="eastAsia" w:ascii="宋体" w:hAnsi="宋体"/>
          <w:color w:val="auto"/>
          <w:sz w:val="24"/>
          <w:szCs w:val="24"/>
          <w:highlight w:val="none"/>
        </w:rPr>
        <w:br w:type="page"/>
      </w:r>
      <w:r>
        <w:rPr>
          <w:rFonts w:hint="eastAsia" w:ascii="宋体" w:hAnsi="宋体" w:cs="宋体"/>
          <w:color w:val="auto"/>
          <w:kern w:val="0"/>
          <w:sz w:val="24"/>
          <w:szCs w:val="24"/>
          <w:highlight w:val="none"/>
        </w:rPr>
        <w:t>表二、驻场设计及服务人员表</w:t>
      </w:r>
    </w:p>
    <w:p>
      <w:pPr>
        <w:jc w:val="center"/>
        <w:rPr>
          <w:rFonts w:ascii="宋体" w:hAnsi="宋体" w:cs="宋体"/>
          <w:b/>
          <w:color w:val="auto"/>
          <w:sz w:val="28"/>
          <w:szCs w:val="28"/>
          <w:highlight w:val="none"/>
        </w:rPr>
      </w:pPr>
      <w:r>
        <w:rPr>
          <w:rFonts w:hint="eastAsia" w:ascii="宋体" w:hAnsi="宋体" w:cs="宋体"/>
          <w:b/>
          <w:color w:val="auto"/>
          <w:kern w:val="0"/>
          <w:sz w:val="24"/>
          <w:szCs w:val="24"/>
          <w:highlight w:val="none"/>
        </w:rPr>
        <w:t>驻场设计及服务人员表</w:t>
      </w:r>
    </w:p>
    <w:tbl>
      <w:tblPr>
        <w:tblStyle w:val="11"/>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2557"/>
        <w:gridCol w:w="1100"/>
        <w:gridCol w:w="850"/>
        <w:gridCol w:w="1000"/>
        <w:gridCol w:w="767"/>
        <w:gridCol w:w="2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1" w:hRule="atLeast"/>
        </w:trPr>
        <w:tc>
          <w:tcPr>
            <w:tcW w:w="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255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
                <w:color w:val="auto"/>
                <w:sz w:val="24"/>
                <w:szCs w:val="24"/>
                <w:highlight w:val="none"/>
              </w:rPr>
            </w:pPr>
            <w:r>
              <w:rPr>
                <w:rFonts w:hint="eastAsia" w:ascii="宋体" w:hAnsi="宋体" w:cs="宋体"/>
                <w:b/>
                <w:color w:val="auto"/>
                <w:sz w:val="24"/>
                <w:szCs w:val="24"/>
                <w:highlight w:val="none"/>
              </w:rPr>
              <w:t>岗位</w:t>
            </w:r>
          </w:p>
        </w:tc>
        <w:tc>
          <w:tcPr>
            <w:tcW w:w="110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
                <w:color w:val="auto"/>
                <w:sz w:val="24"/>
                <w:szCs w:val="24"/>
                <w:highlight w:val="none"/>
              </w:rPr>
            </w:pPr>
            <w:r>
              <w:rPr>
                <w:rFonts w:hint="eastAsia" w:ascii="宋体" w:hAnsi="宋体" w:cs="宋体"/>
                <w:b/>
                <w:color w:val="auto"/>
                <w:sz w:val="24"/>
                <w:szCs w:val="24"/>
                <w:highlight w:val="none"/>
              </w:rPr>
              <w:t>姓名</w:t>
            </w: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
                <w:color w:val="auto"/>
                <w:sz w:val="24"/>
                <w:szCs w:val="24"/>
                <w:highlight w:val="none"/>
              </w:rPr>
            </w:pPr>
            <w:r>
              <w:rPr>
                <w:rFonts w:hint="eastAsia" w:ascii="宋体" w:hAnsi="宋体" w:cs="宋体"/>
                <w:b/>
                <w:color w:val="auto"/>
                <w:sz w:val="24"/>
                <w:szCs w:val="24"/>
                <w:highlight w:val="none"/>
              </w:rPr>
              <w:t>年龄</w:t>
            </w:r>
          </w:p>
        </w:tc>
        <w:tc>
          <w:tcPr>
            <w:tcW w:w="100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
                <w:color w:val="auto"/>
                <w:sz w:val="24"/>
                <w:szCs w:val="24"/>
                <w:highlight w:val="none"/>
              </w:rPr>
            </w:pPr>
            <w:r>
              <w:rPr>
                <w:rFonts w:hint="eastAsia" w:ascii="宋体" w:hAnsi="宋体" w:cs="宋体"/>
                <w:b/>
                <w:color w:val="auto"/>
                <w:sz w:val="24"/>
                <w:szCs w:val="24"/>
                <w:highlight w:val="none"/>
              </w:rPr>
              <w:t>学历</w:t>
            </w:r>
          </w:p>
        </w:tc>
        <w:tc>
          <w:tcPr>
            <w:tcW w:w="76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
                <w:color w:val="auto"/>
                <w:sz w:val="24"/>
                <w:szCs w:val="24"/>
                <w:highlight w:val="none"/>
              </w:rPr>
            </w:pPr>
            <w:r>
              <w:rPr>
                <w:rFonts w:hint="eastAsia" w:ascii="宋体" w:hAnsi="宋体" w:cs="宋体"/>
                <w:b/>
                <w:color w:val="auto"/>
                <w:sz w:val="24"/>
                <w:szCs w:val="24"/>
                <w:highlight w:val="none"/>
              </w:rPr>
              <w:t>工龄</w:t>
            </w:r>
          </w:p>
        </w:tc>
        <w:tc>
          <w:tcPr>
            <w:tcW w:w="246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
                <w:color w:val="auto"/>
                <w:sz w:val="24"/>
                <w:szCs w:val="24"/>
                <w:highlight w:val="none"/>
              </w:rPr>
            </w:pPr>
            <w:r>
              <w:rPr>
                <w:rFonts w:hint="eastAsia" w:ascii="宋体" w:hAnsi="宋体" w:cs="宋体"/>
                <w:b/>
                <w:color w:val="auto"/>
                <w:sz w:val="24"/>
                <w:szCs w:val="24"/>
                <w:highlight w:val="none"/>
              </w:rPr>
              <w:t>职称（职务）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60" w:lineRule="auto"/>
              <w:ind w:left="0" w:right="0"/>
              <w:rPr>
                <w:rFonts w:hint="default" w:ascii="宋体" w:hAnsi="宋体" w:cs="宋体"/>
                <w:color w:val="auto"/>
                <w:sz w:val="24"/>
                <w:szCs w:val="24"/>
                <w:highlight w:val="none"/>
              </w:rPr>
            </w:pPr>
          </w:p>
        </w:tc>
        <w:tc>
          <w:tcPr>
            <w:tcW w:w="255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
                <w:color w:val="auto"/>
                <w:sz w:val="24"/>
                <w:szCs w:val="24"/>
                <w:highlight w:val="none"/>
              </w:rPr>
            </w:pPr>
            <w:r>
              <w:rPr>
                <w:rFonts w:hint="eastAsia" w:ascii="宋体" w:hAnsi="宋体" w:cs="宋体"/>
                <w:b/>
                <w:color w:val="auto"/>
                <w:sz w:val="24"/>
                <w:szCs w:val="24"/>
                <w:highlight w:val="none"/>
              </w:rPr>
              <w:t>驻场设计</w:t>
            </w:r>
          </w:p>
        </w:tc>
        <w:tc>
          <w:tcPr>
            <w:tcW w:w="110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00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76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463" w:type="dxa"/>
            <w:tcBorders>
              <w:top w:val="single" w:color="auto" w:sz="4" w:space="0"/>
              <w:left w:val="nil"/>
              <w:bottom w:val="single" w:color="auto" w:sz="4" w:space="0"/>
              <w:right w:val="single" w:color="auto" w:sz="4" w:space="0"/>
            </w:tcBorders>
            <w:noWrap w:val="0"/>
            <w:vAlign w:val="top"/>
          </w:tcPr>
          <w:p>
            <w:pPr>
              <w:keepNext w:val="0"/>
              <w:keepLines w:val="0"/>
              <w:suppressLineNumbers w:val="0"/>
              <w:spacing w:before="0" w:beforeAutospacing="0" w:after="0" w:afterAutospacing="0" w:line="360" w:lineRule="auto"/>
              <w:ind w:left="0" w:right="0"/>
              <w:rPr>
                <w:rFonts w:hint="default"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60" w:lineRule="auto"/>
              <w:ind w:left="0" w:right="0"/>
              <w:rPr>
                <w:rFonts w:hint="default" w:ascii="宋体" w:hAnsi="宋体" w:cs="宋体"/>
                <w:b/>
                <w:color w:val="auto"/>
                <w:sz w:val="24"/>
                <w:szCs w:val="24"/>
                <w:highlight w:val="none"/>
              </w:rPr>
            </w:pPr>
          </w:p>
        </w:tc>
        <w:tc>
          <w:tcPr>
            <w:tcW w:w="255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
                <w:color w:val="auto"/>
                <w:sz w:val="24"/>
                <w:szCs w:val="24"/>
                <w:highlight w:val="none"/>
              </w:rPr>
            </w:pPr>
            <w:r>
              <w:rPr>
                <w:rFonts w:hint="eastAsia" w:ascii="宋体" w:hAnsi="宋体" w:cs="宋体"/>
                <w:b/>
                <w:color w:val="auto"/>
                <w:sz w:val="24"/>
                <w:szCs w:val="24"/>
                <w:highlight w:val="none"/>
              </w:rPr>
              <w:t>驻场服务（报建）</w:t>
            </w:r>
          </w:p>
        </w:tc>
        <w:tc>
          <w:tcPr>
            <w:tcW w:w="110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
                <w:color w:val="auto"/>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
                <w:color w:val="auto"/>
                <w:sz w:val="24"/>
                <w:szCs w:val="24"/>
                <w:highlight w:val="none"/>
              </w:rPr>
            </w:pPr>
          </w:p>
        </w:tc>
        <w:tc>
          <w:tcPr>
            <w:tcW w:w="100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
                <w:color w:val="auto"/>
                <w:sz w:val="24"/>
                <w:szCs w:val="24"/>
                <w:highlight w:val="none"/>
              </w:rPr>
            </w:pPr>
          </w:p>
        </w:tc>
        <w:tc>
          <w:tcPr>
            <w:tcW w:w="76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
                <w:color w:val="auto"/>
                <w:sz w:val="24"/>
                <w:szCs w:val="24"/>
                <w:highlight w:val="none"/>
              </w:rPr>
            </w:pPr>
          </w:p>
        </w:tc>
        <w:tc>
          <w:tcPr>
            <w:tcW w:w="246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60" w:lineRule="auto"/>
              <w:ind w:left="0" w:right="0"/>
              <w:rPr>
                <w:rFonts w:hint="default" w:ascii="宋体" w:hAnsi="宋体" w:cs="宋体"/>
                <w:color w:val="auto"/>
                <w:sz w:val="28"/>
                <w:szCs w:val="28"/>
                <w:highlight w:val="none"/>
              </w:rPr>
            </w:pPr>
          </w:p>
        </w:tc>
        <w:tc>
          <w:tcPr>
            <w:tcW w:w="255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10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00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76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46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r>
    </w:tbl>
    <w:p>
      <w:pPr>
        <w:adjustRightInd w:val="0"/>
        <w:snapToGrid w:val="0"/>
        <w:spacing w:line="360" w:lineRule="auto"/>
        <w:rPr>
          <w:rFonts w:ascii="宋体" w:hAnsi="宋体" w:cs="宋体"/>
          <w:color w:val="auto"/>
          <w:kern w:val="0"/>
          <w:sz w:val="24"/>
          <w:szCs w:val="24"/>
          <w:highlight w:val="none"/>
        </w:rPr>
      </w:pPr>
      <w:r>
        <w:rPr>
          <w:rFonts w:hint="eastAsia" w:ascii="宋体" w:hAnsi="宋体"/>
          <w:color w:val="auto"/>
          <w:sz w:val="24"/>
          <w:szCs w:val="24"/>
          <w:highlight w:val="none"/>
        </w:rPr>
        <w:br w:type="page"/>
      </w:r>
      <w:r>
        <w:rPr>
          <w:rFonts w:hint="eastAsia" w:ascii="宋体" w:hAnsi="宋体" w:cs="宋体"/>
          <w:color w:val="auto"/>
          <w:kern w:val="0"/>
          <w:sz w:val="24"/>
          <w:szCs w:val="24"/>
          <w:highlight w:val="none"/>
        </w:rPr>
        <w:t xml:space="preserve"> 附件</w:t>
      </w: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：乙方履约担保（格式）及承诺书</w:t>
      </w:r>
    </w:p>
    <w:p>
      <w:pPr>
        <w:adjustRightInd w:val="0"/>
        <w:snapToGrid w:val="0"/>
        <w:spacing w:line="288" w:lineRule="auto"/>
        <w:jc w:val="center"/>
        <w:outlineLvl w:val="2"/>
        <w:rPr>
          <w:rFonts w:ascii="宋体" w:hAnsi="宋体" w:cs="宋体"/>
          <w:b/>
          <w:color w:val="auto"/>
          <w:spacing w:val="4"/>
          <w:kern w:val="0"/>
          <w:sz w:val="36"/>
          <w:szCs w:val="36"/>
          <w:highlight w:val="none"/>
        </w:rPr>
      </w:pPr>
      <w:r>
        <w:rPr>
          <w:rFonts w:hint="eastAsia" w:ascii="宋体" w:hAnsi="宋体" w:cs="宋体"/>
          <w:b/>
          <w:color w:val="auto"/>
          <w:spacing w:val="4"/>
          <w:kern w:val="0"/>
          <w:sz w:val="36"/>
          <w:szCs w:val="36"/>
          <w:highlight w:val="none"/>
        </w:rPr>
        <w:t>履约</w:t>
      </w:r>
      <w:r>
        <w:rPr>
          <w:rFonts w:ascii="宋体" w:hAnsi="宋体" w:cs="宋体"/>
          <w:b/>
          <w:color w:val="auto"/>
          <w:spacing w:val="4"/>
          <w:kern w:val="0"/>
          <w:sz w:val="36"/>
          <w:szCs w:val="36"/>
          <w:highlight w:val="none"/>
        </w:rPr>
        <w:t>担保</w:t>
      </w:r>
      <w:r>
        <w:rPr>
          <w:rFonts w:hint="eastAsia" w:ascii="宋体" w:hAnsi="宋体" w:cs="宋体"/>
          <w:b/>
          <w:color w:val="auto"/>
          <w:spacing w:val="4"/>
          <w:kern w:val="0"/>
          <w:sz w:val="36"/>
          <w:szCs w:val="36"/>
          <w:highlight w:val="none"/>
        </w:rPr>
        <w:t>（格式）</w:t>
      </w:r>
    </w:p>
    <w:p>
      <w:pPr>
        <w:autoSpaceDE w:val="0"/>
        <w:autoSpaceDN w:val="0"/>
        <w:adjustRightInd w:val="0"/>
        <w:snapToGrid w:val="0"/>
        <w:spacing w:line="288"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编号：</w:t>
      </w:r>
    </w:p>
    <w:p>
      <w:pPr>
        <w:adjustRightInd w:val="0"/>
        <w:snapToGrid w:val="0"/>
        <w:spacing w:line="288"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广州市重点公共建设项目管理中心：</w:t>
      </w:r>
    </w:p>
    <w:p>
      <w:pPr>
        <w:adjustRightInd w:val="0"/>
        <w:snapToGrid w:val="0"/>
        <w:spacing w:line="288"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鉴于_______________________（以下称勘察设计人）应依法按照《______________勘察设计招标文件》和勘察设计人的投标文件与贵中心订立《___________________勘察设计合同》（以下简称合同，合同编号：_________）。我</w:t>
      </w:r>
      <w:r>
        <w:rPr>
          <w:rFonts w:ascii="宋体" w:hAnsi="宋体" w:cs="宋体"/>
          <w:color w:val="auto"/>
          <w:kern w:val="0"/>
          <w:sz w:val="24"/>
          <w:szCs w:val="24"/>
          <w:highlight w:val="none"/>
        </w:rPr>
        <w:t>方</w:t>
      </w:r>
      <w:r>
        <w:rPr>
          <w:rFonts w:hint="eastAsia" w:ascii="宋体" w:hAnsi="宋体" w:cs="宋体"/>
          <w:color w:val="auto"/>
          <w:kern w:val="0"/>
          <w:sz w:val="24"/>
          <w:szCs w:val="24"/>
          <w:highlight w:val="none"/>
        </w:rPr>
        <w:t>同意为勘察设计人</w:t>
      </w:r>
      <w:r>
        <w:rPr>
          <w:rFonts w:ascii="宋体" w:hAnsi="宋体" w:cs="宋体"/>
          <w:color w:val="auto"/>
          <w:kern w:val="0"/>
          <w:sz w:val="24"/>
          <w:szCs w:val="24"/>
          <w:highlight w:val="none"/>
        </w:rPr>
        <w:t>担保，以</w:t>
      </w:r>
      <w:r>
        <w:rPr>
          <w:rFonts w:hint="eastAsia" w:ascii="宋体" w:hAnsi="宋体" w:cs="宋体"/>
          <w:color w:val="auto"/>
          <w:kern w:val="0"/>
          <w:sz w:val="24"/>
          <w:szCs w:val="24"/>
          <w:highlight w:val="none"/>
        </w:rPr>
        <w:t>担保金额人民币_________元</w:t>
      </w:r>
      <w:r>
        <w:rPr>
          <w:rFonts w:ascii="宋体" w:hAnsi="宋体" w:cs="宋体"/>
          <w:color w:val="auto"/>
          <w:kern w:val="0"/>
          <w:sz w:val="24"/>
          <w:szCs w:val="24"/>
          <w:highlight w:val="none"/>
        </w:rPr>
        <w:t>（大写：</w:t>
      </w:r>
      <w:r>
        <w:rPr>
          <w:rFonts w:hint="eastAsia" w:ascii="宋体" w:hAnsi="宋体" w:cs="宋体"/>
          <w:color w:val="auto"/>
          <w:kern w:val="0"/>
          <w:sz w:val="24"/>
          <w:szCs w:val="24"/>
          <w:highlight w:val="none"/>
        </w:rPr>
        <w:t>_____________元）</w:t>
      </w:r>
      <w:r>
        <w:rPr>
          <w:rFonts w:ascii="宋体" w:hAnsi="宋体" w:cs="宋体"/>
          <w:color w:val="auto"/>
          <w:kern w:val="0"/>
          <w:sz w:val="24"/>
          <w:szCs w:val="24"/>
          <w:highlight w:val="none"/>
        </w:rPr>
        <w:t>向贵中心提供不可撤销的连带责任保证，</w:t>
      </w:r>
      <w:r>
        <w:rPr>
          <w:rFonts w:hint="eastAsia" w:ascii="宋体" w:hAnsi="宋体" w:cs="宋体"/>
          <w:color w:val="auto"/>
          <w:kern w:val="0"/>
          <w:sz w:val="24"/>
          <w:szCs w:val="24"/>
          <w:highlight w:val="none"/>
        </w:rPr>
        <w:t>担保的范围为：勘察设计人按合同约定应向贵中心履行的全部义务，包括但不限于合同约定的义务，应向贵中心支付的利息，人力资源、仪器设备、勘察设计质量及勘察设计工期等方面的违约金，损害赔偿金，实现债权的费用。</w:t>
      </w:r>
    </w:p>
    <w:p>
      <w:pPr>
        <w:autoSpaceDE w:val="0"/>
        <w:autoSpaceDN w:val="0"/>
        <w:adjustRightInd w:val="0"/>
        <w:snapToGrid w:val="0"/>
        <w:spacing w:line="288" w:lineRule="auto"/>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我</w:t>
      </w:r>
      <w:r>
        <w:rPr>
          <w:rFonts w:ascii="宋体" w:hAnsi="宋体" w:cs="宋体"/>
          <w:color w:val="auto"/>
          <w:kern w:val="0"/>
          <w:sz w:val="24"/>
          <w:szCs w:val="24"/>
          <w:highlight w:val="none"/>
        </w:rPr>
        <w:t>方</w:t>
      </w:r>
      <w:r>
        <w:rPr>
          <w:rFonts w:hint="eastAsia" w:ascii="宋体" w:hAnsi="宋体" w:cs="宋体"/>
          <w:color w:val="auto"/>
          <w:kern w:val="0"/>
          <w:sz w:val="24"/>
          <w:szCs w:val="24"/>
          <w:highlight w:val="none"/>
        </w:rPr>
        <w:t>承诺如下：</w:t>
      </w:r>
    </w:p>
    <w:p>
      <w:pPr>
        <w:autoSpaceDE w:val="0"/>
        <w:autoSpaceDN w:val="0"/>
        <w:adjustRightInd w:val="0"/>
        <w:snapToGrid w:val="0"/>
        <w:spacing w:line="288" w:lineRule="auto"/>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1、勘察设计人在履行合同中，由于资金、技术、质量或非不可抗力及违约等原因需向贵中心支付违约金或赔偿金时，在贵中心</w:t>
      </w:r>
      <w:r>
        <w:rPr>
          <w:rFonts w:hint="eastAsia" w:ascii="宋体" w:hAnsi="宋体" w:cs="宋体"/>
          <w:color w:val="auto"/>
          <w:sz w:val="24"/>
          <w:szCs w:val="24"/>
          <w:highlight w:val="none"/>
        </w:rPr>
        <w:t>以书面索赔通知纸质原件形式提出要求得到上述金额内的任何付款时（需提供本</w:t>
      </w:r>
      <w:r>
        <w:rPr>
          <w:rFonts w:ascii="宋体" w:hAnsi="宋体" w:cs="宋体"/>
          <w:color w:val="auto"/>
          <w:sz w:val="24"/>
          <w:szCs w:val="24"/>
          <w:highlight w:val="none"/>
        </w:rPr>
        <w:t>担保</w:t>
      </w:r>
      <w:r>
        <w:rPr>
          <w:rFonts w:hint="eastAsia" w:ascii="宋体" w:hAnsi="宋体" w:cs="宋体"/>
          <w:color w:val="auto"/>
          <w:sz w:val="24"/>
          <w:szCs w:val="24"/>
          <w:highlight w:val="none"/>
        </w:rPr>
        <w:t>正本原件供我</w:t>
      </w:r>
      <w:r>
        <w:rPr>
          <w:rFonts w:ascii="宋体" w:hAnsi="宋体" w:cs="宋体"/>
          <w:color w:val="auto"/>
          <w:sz w:val="24"/>
          <w:szCs w:val="24"/>
          <w:highlight w:val="none"/>
        </w:rPr>
        <w:t>方</w:t>
      </w:r>
      <w:r>
        <w:rPr>
          <w:rFonts w:hint="eastAsia" w:ascii="宋体" w:hAnsi="宋体" w:cs="宋体"/>
          <w:color w:val="auto"/>
          <w:sz w:val="24"/>
          <w:szCs w:val="24"/>
          <w:highlight w:val="none"/>
        </w:rPr>
        <w:t>核对），我</w:t>
      </w:r>
      <w:r>
        <w:rPr>
          <w:rFonts w:ascii="宋体" w:hAnsi="宋体" w:cs="宋体"/>
          <w:color w:val="auto"/>
          <w:sz w:val="24"/>
          <w:szCs w:val="24"/>
          <w:highlight w:val="none"/>
        </w:rPr>
        <w:t>方</w:t>
      </w:r>
      <w:r>
        <w:rPr>
          <w:rFonts w:hint="eastAsia" w:ascii="宋体" w:hAnsi="宋体" w:cs="宋体"/>
          <w:color w:val="auto"/>
          <w:sz w:val="24"/>
          <w:szCs w:val="24"/>
          <w:highlight w:val="none"/>
        </w:rPr>
        <w:t>在7个工作日内予以支付累计不超过上述担保金额的款项</w:t>
      </w:r>
      <w:r>
        <w:rPr>
          <w:rFonts w:hint="eastAsia" w:ascii="宋体" w:hAnsi="宋体" w:cs="宋体"/>
          <w:color w:val="auto"/>
          <w:kern w:val="0"/>
          <w:sz w:val="24"/>
          <w:szCs w:val="24"/>
          <w:highlight w:val="none"/>
        </w:rPr>
        <w:t>，不挑剔、不争辩，也不要求贵中心出具证明或说明背景、理由。</w:t>
      </w:r>
    </w:p>
    <w:p>
      <w:pPr>
        <w:autoSpaceDE w:val="0"/>
        <w:autoSpaceDN w:val="0"/>
        <w:adjustRightInd w:val="0"/>
        <w:snapToGrid w:val="0"/>
        <w:spacing w:line="288" w:lineRule="auto"/>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2、我</w:t>
      </w:r>
      <w:r>
        <w:rPr>
          <w:rFonts w:ascii="宋体" w:hAnsi="宋体" w:cs="宋体"/>
          <w:color w:val="auto"/>
          <w:kern w:val="0"/>
          <w:sz w:val="24"/>
          <w:szCs w:val="24"/>
          <w:highlight w:val="none"/>
        </w:rPr>
        <w:t>方</w:t>
      </w:r>
      <w:r>
        <w:rPr>
          <w:rFonts w:hint="eastAsia" w:ascii="宋体" w:hAnsi="宋体" w:cs="宋体"/>
          <w:color w:val="auto"/>
          <w:kern w:val="0"/>
          <w:sz w:val="24"/>
          <w:szCs w:val="24"/>
          <w:highlight w:val="none"/>
        </w:rPr>
        <w:t>放弃贵中心应先向勘察设计人要求赔偿上述金额然后再向我</w:t>
      </w:r>
      <w:r>
        <w:rPr>
          <w:rFonts w:ascii="宋体" w:hAnsi="宋体" w:cs="宋体"/>
          <w:color w:val="auto"/>
          <w:kern w:val="0"/>
          <w:sz w:val="24"/>
          <w:szCs w:val="24"/>
          <w:highlight w:val="none"/>
        </w:rPr>
        <w:t>方</w:t>
      </w:r>
      <w:r>
        <w:rPr>
          <w:rFonts w:hint="eastAsia" w:ascii="宋体" w:hAnsi="宋体" w:cs="宋体"/>
          <w:color w:val="auto"/>
          <w:kern w:val="0"/>
          <w:sz w:val="24"/>
          <w:szCs w:val="24"/>
          <w:highlight w:val="none"/>
        </w:rPr>
        <w:t>提出要求的权利。</w:t>
      </w:r>
    </w:p>
    <w:p>
      <w:pPr>
        <w:autoSpaceDE w:val="0"/>
        <w:autoSpaceDN w:val="0"/>
        <w:adjustRightInd w:val="0"/>
        <w:snapToGrid w:val="0"/>
        <w:spacing w:line="288" w:lineRule="auto"/>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3、我</w:t>
      </w:r>
      <w:r>
        <w:rPr>
          <w:rFonts w:ascii="宋体" w:hAnsi="宋体" w:cs="宋体"/>
          <w:color w:val="auto"/>
          <w:kern w:val="0"/>
          <w:sz w:val="24"/>
          <w:szCs w:val="24"/>
          <w:highlight w:val="none"/>
        </w:rPr>
        <w:t>方</w:t>
      </w:r>
      <w:r>
        <w:rPr>
          <w:rFonts w:hint="eastAsia" w:ascii="宋体" w:hAnsi="宋体" w:cs="宋体"/>
          <w:color w:val="auto"/>
          <w:kern w:val="0"/>
          <w:sz w:val="24"/>
          <w:szCs w:val="24"/>
          <w:highlight w:val="none"/>
        </w:rPr>
        <w:t>进一步同意，在贵中心和勘察设计人之间的合同条件、合同项下的服务或合同发生变化、补充或修改，</w:t>
      </w:r>
      <w:r>
        <w:rPr>
          <w:rFonts w:hint="eastAsia" w:ascii="宋体" w:hAnsi="宋体" w:cs="宋体"/>
          <w:color w:val="auto"/>
          <w:sz w:val="24"/>
          <w:szCs w:val="24"/>
          <w:highlight w:val="none"/>
        </w:rPr>
        <w:t>在不加重我</w:t>
      </w:r>
      <w:r>
        <w:rPr>
          <w:rFonts w:ascii="宋体" w:hAnsi="宋体" w:cs="宋体"/>
          <w:color w:val="auto"/>
          <w:sz w:val="24"/>
          <w:szCs w:val="24"/>
          <w:highlight w:val="none"/>
        </w:rPr>
        <w:t>方</w:t>
      </w:r>
      <w:r>
        <w:rPr>
          <w:rFonts w:hint="eastAsia" w:ascii="宋体" w:hAnsi="宋体" w:cs="宋体"/>
          <w:color w:val="auto"/>
          <w:sz w:val="24"/>
          <w:szCs w:val="24"/>
          <w:highlight w:val="none"/>
        </w:rPr>
        <w:t>担保责任的情况下，</w:t>
      </w:r>
      <w:r>
        <w:rPr>
          <w:rFonts w:hint="eastAsia" w:ascii="宋体" w:hAnsi="宋体" w:cs="宋体"/>
          <w:color w:val="auto"/>
          <w:kern w:val="0"/>
          <w:sz w:val="24"/>
          <w:szCs w:val="24"/>
          <w:highlight w:val="none"/>
        </w:rPr>
        <w:t>我</w:t>
      </w:r>
      <w:r>
        <w:rPr>
          <w:rFonts w:ascii="宋体" w:hAnsi="宋体" w:cs="宋体"/>
          <w:color w:val="auto"/>
          <w:kern w:val="0"/>
          <w:sz w:val="24"/>
          <w:szCs w:val="24"/>
          <w:highlight w:val="none"/>
        </w:rPr>
        <w:t>方</w:t>
      </w:r>
      <w:r>
        <w:rPr>
          <w:rFonts w:hint="eastAsia" w:ascii="宋体" w:hAnsi="宋体" w:cs="宋体"/>
          <w:color w:val="auto"/>
          <w:kern w:val="0"/>
          <w:sz w:val="24"/>
          <w:szCs w:val="24"/>
          <w:highlight w:val="none"/>
        </w:rPr>
        <w:t>承担本</w:t>
      </w:r>
      <w:r>
        <w:rPr>
          <w:rFonts w:ascii="宋体" w:hAnsi="宋体" w:cs="宋体"/>
          <w:color w:val="auto"/>
          <w:kern w:val="0"/>
          <w:sz w:val="24"/>
          <w:szCs w:val="24"/>
          <w:highlight w:val="none"/>
        </w:rPr>
        <w:t>担保</w:t>
      </w:r>
      <w:r>
        <w:rPr>
          <w:rFonts w:hint="eastAsia" w:ascii="宋体" w:hAnsi="宋体" w:cs="宋体"/>
          <w:color w:val="auto"/>
          <w:kern w:val="0"/>
          <w:sz w:val="24"/>
          <w:szCs w:val="24"/>
          <w:highlight w:val="none"/>
        </w:rPr>
        <w:t>的责任也不改变。有关上述变化、补充和修改也无须通知我</w:t>
      </w:r>
      <w:r>
        <w:rPr>
          <w:rFonts w:ascii="宋体" w:hAnsi="宋体" w:cs="宋体"/>
          <w:color w:val="auto"/>
          <w:kern w:val="0"/>
          <w:sz w:val="24"/>
          <w:szCs w:val="24"/>
          <w:highlight w:val="none"/>
        </w:rPr>
        <w:t>方</w:t>
      </w:r>
      <w:r>
        <w:rPr>
          <w:rFonts w:hint="eastAsia" w:ascii="宋体" w:hAnsi="宋体" w:cs="宋体"/>
          <w:color w:val="auto"/>
          <w:kern w:val="0"/>
          <w:sz w:val="24"/>
          <w:szCs w:val="24"/>
          <w:highlight w:val="none"/>
        </w:rPr>
        <w:t>。</w:t>
      </w:r>
    </w:p>
    <w:p>
      <w:pPr>
        <w:autoSpaceDE w:val="0"/>
        <w:autoSpaceDN w:val="0"/>
        <w:adjustRightInd w:val="0"/>
        <w:snapToGrid w:val="0"/>
        <w:spacing w:line="288" w:lineRule="auto"/>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hint="eastAsia" w:ascii="宋体" w:hAnsi="宋体" w:cs="宋体"/>
          <w:b/>
          <w:color w:val="auto"/>
          <w:sz w:val="24"/>
          <w:szCs w:val="24"/>
          <w:highlight w:val="none"/>
        </w:rPr>
        <w:t>本</w:t>
      </w:r>
      <w:r>
        <w:rPr>
          <w:rFonts w:ascii="宋体" w:hAnsi="宋体" w:cs="宋体"/>
          <w:b/>
          <w:color w:val="auto"/>
          <w:sz w:val="24"/>
          <w:szCs w:val="24"/>
          <w:highlight w:val="none"/>
        </w:rPr>
        <w:t>担保</w:t>
      </w:r>
      <w:r>
        <w:rPr>
          <w:rFonts w:hint="eastAsia" w:ascii="宋体" w:hAnsi="宋体" w:cs="宋体"/>
          <w:b/>
          <w:color w:val="auto"/>
          <w:sz w:val="24"/>
          <w:szCs w:val="24"/>
          <w:highlight w:val="none"/>
        </w:rPr>
        <w:t>有效期间为：自本</w:t>
      </w:r>
      <w:r>
        <w:rPr>
          <w:rFonts w:ascii="宋体" w:hAnsi="宋体" w:cs="宋体"/>
          <w:b/>
          <w:color w:val="auto"/>
          <w:sz w:val="24"/>
          <w:szCs w:val="24"/>
          <w:highlight w:val="none"/>
        </w:rPr>
        <w:t>担保</w:t>
      </w:r>
      <w:r>
        <w:rPr>
          <w:rFonts w:hint="eastAsia" w:ascii="宋体" w:hAnsi="宋体" w:cs="宋体"/>
          <w:b/>
          <w:color w:val="auto"/>
          <w:sz w:val="24"/>
          <w:szCs w:val="24"/>
          <w:highlight w:val="none"/>
        </w:rPr>
        <w:t>签署之日起至勘察设计人提供本项目所需全部分部（子分部）工程质量验收记录及已提供竣工图证明文件（经</w:t>
      </w:r>
      <w:r>
        <w:rPr>
          <w:rFonts w:ascii="宋体" w:hAnsi="宋体" w:cs="宋体"/>
          <w:b/>
          <w:color w:val="auto"/>
          <w:sz w:val="24"/>
          <w:szCs w:val="24"/>
          <w:highlight w:val="none"/>
        </w:rPr>
        <w:t>监理人及</w:t>
      </w:r>
      <w:r>
        <w:rPr>
          <w:rFonts w:hint="eastAsia" w:ascii="宋体" w:hAnsi="宋体" w:cs="宋体"/>
          <w:b/>
          <w:color w:val="auto"/>
          <w:sz w:val="24"/>
          <w:szCs w:val="24"/>
          <w:highlight w:val="none"/>
        </w:rPr>
        <w:t>贵中心确认施工单位已提供竣工图的相关文件）时止，但最迟不超过</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年</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月</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日。</w:t>
      </w:r>
    </w:p>
    <w:p>
      <w:pPr>
        <w:autoSpaceDE w:val="0"/>
        <w:autoSpaceDN w:val="0"/>
        <w:adjustRightInd w:val="0"/>
        <w:snapToGrid w:val="0"/>
        <w:spacing w:line="288" w:lineRule="auto"/>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5、本</w:t>
      </w:r>
      <w:r>
        <w:rPr>
          <w:rFonts w:ascii="宋体" w:hAnsi="宋体" w:cs="宋体"/>
          <w:color w:val="auto"/>
          <w:kern w:val="0"/>
          <w:sz w:val="24"/>
          <w:szCs w:val="24"/>
          <w:highlight w:val="none"/>
        </w:rPr>
        <w:t>担保</w:t>
      </w:r>
      <w:r>
        <w:rPr>
          <w:rFonts w:hint="eastAsia" w:ascii="宋体" w:hAnsi="宋体" w:cs="宋体"/>
          <w:color w:val="auto"/>
          <w:kern w:val="0"/>
          <w:sz w:val="24"/>
          <w:szCs w:val="24"/>
          <w:highlight w:val="none"/>
        </w:rPr>
        <w:t>适用中华人民共和国法律，任何与本</w:t>
      </w:r>
      <w:r>
        <w:rPr>
          <w:rFonts w:ascii="宋体" w:hAnsi="宋体" w:cs="宋体"/>
          <w:color w:val="auto"/>
          <w:kern w:val="0"/>
          <w:sz w:val="24"/>
          <w:szCs w:val="24"/>
          <w:highlight w:val="none"/>
        </w:rPr>
        <w:t>担保</w:t>
      </w:r>
      <w:r>
        <w:rPr>
          <w:rFonts w:hint="eastAsia" w:ascii="宋体" w:hAnsi="宋体" w:cs="宋体"/>
          <w:color w:val="auto"/>
          <w:kern w:val="0"/>
          <w:sz w:val="24"/>
          <w:szCs w:val="24"/>
          <w:highlight w:val="none"/>
        </w:rPr>
        <w:t>有关的争议均需提交工程项目所在地人民法院提起诉讼。</w:t>
      </w:r>
    </w:p>
    <w:p>
      <w:pPr>
        <w:autoSpaceDE w:val="0"/>
        <w:autoSpaceDN w:val="0"/>
        <w:adjustRightInd w:val="0"/>
        <w:snapToGrid w:val="0"/>
        <w:spacing w:after="240" w:line="288" w:lineRule="auto"/>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w:t>
      </w:r>
      <w:r>
        <w:rPr>
          <w:rFonts w:ascii="宋体" w:hAnsi="宋体" w:cs="宋体"/>
          <w:color w:val="auto"/>
          <w:kern w:val="0"/>
          <w:sz w:val="24"/>
          <w:szCs w:val="24"/>
          <w:highlight w:val="none"/>
        </w:rPr>
        <w:t>担保</w:t>
      </w:r>
      <w:r>
        <w:rPr>
          <w:rFonts w:hint="eastAsia" w:ascii="宋体" w:hAnsi="宋体" w:cs="宋体"/>
          <w:color w:val="auto"/>
          <w:kern w:val="0"/>
          <w:sz w:val="24"/>
          <w:szCs w:val="24"/>
          <w:highlight w:val="none"/>
        </w:rPr>
        <w:t>自我</w:t>
      </w:r>
      <w:r>
        <w:rPr>
          <w:rFonts w:ascii="宋体" w:hAnsi="宋体" w:cs="宋体"/>
          <w:color w:val="auto"/>
          <w:kern w:val="0"/>
          <w:sz w:val="24"/>
          <w:szCs w:val="24"/>
          <w:highlight w:val="none"/>
        </w:rPr>
        <w:t>方</w:t>
      </w:r>
      <w:r>
        <w:rPr>
          <w:rFonts w:hint="eastAsia" w:ascii="宋体" w:hAnsi="宋体" w:cs="宋体"/>
          <w:color w:val="auto"/>
          <w:kern w:val="0"/>
          <w:sz w:val="24"/>
          <w:szCs w:val="24"/>
          <w:highlight w:val="none"/>
        </w:rPr>
        <w:t>负责人（或委托代理人）签字并加盖公章之日起生效。</w:t>
      </w:r>
    </w:p>
    <w:p>
      <w:pPr>
        <w:autoSpaceDE w:val="0"/>
        <w:autoSpaceDN w:val="0"/>
        <w:adjustRightInd w:val="0"/>
        <w:snapToGrid w:val="0"/>
        <w:spacing w:line="288" w:lineRule="auto"/>
        <w:ind w:firstLine="4298" w:firstLineChars="1791"/>
        <w:rPr>
          <w:rFonts w:ascii="宋体" w:hAnsi="宋体" w:cs="宋体"/>
          <w:color w:val="auto"/>
          <w:kern w:val="0"/>
          <w:sz w:val="24"/>
          <w:szCs w:val="24"/>
          <w:highlight w:val="none"/>
        </w:rPr>
      </w:pPr>
      <w:r>
        <w:rPr>
          <w:rFonts w:ascii="宋体" w:hAnsi="宋体" w:cs="宋体"/>
          <w:color w:val="auto"/>
          <w:kern w:val="0"/>
          <w:sz w:val="24"/>
          <w:szCs w:val="24"/>
          <w:highlight w:val="none"/>
        </w:rPr>
        <w:t>保证</w:t>
      </w:r>
      <w:r>
        <w:rPr>
          <w:rFonts w:hint="eastAsia" w:ascii="宋体" w:hAnsi="宋体" w:cs="宋体"/>
          <w:color w:val="auto"/>
          <w:kern w:val="0"/>
          <w:sz w:val="24"/>
          <w:szCs w:val="24"/>
          <w:highlight w:val="none"/>
        </w:rPr>
        <w:t>人：（盖章）</w:t>
      </w:r>
    </w:p>
    <w:p>
      <w:pPr>
        <w:autoSpaceDE w:val="0"/>
        <w:autoSpaceDN w:val="0"/>
        <w:adjustRightInd w:val="0"/>
        <w:snapToGrid w:val="0"/>
        <w:spacing w:line="288" w:lineRule="auto"/>
        <w:ind w:firstLine="4176" w:firstLineChars="1800"/>
        <w:rPr>
          <w:rFonts w:ascii="宋体" w:hAnsi="宋体" w:cs="宋体"/>
          <w:color w:val="auto"/>
          <w:kern w:val="0"/>
          <w:sz w:val="24"/>
          <w:szCs w:val="24"/>
          <w:highlight w:val="none"/>
        </w:rPr>
      </w:pPr>
      <w:r>
        <w:rPr>
          <w:rFonts w:hint="eastAsia" w:ascii="宋体" w:hAnsi="宋体" w:cs="宋体"/>
          <w:color w:val="auto"/>
          <w:spacing w:val="-4"/>
          <w:kern w:val="0"/>
          <w:sz w:val="24"/>
          <w:szCs w:val="24"/>
          <w:highlight w:val="none"/>
        </w:rPr>
        <w:t>负责人</w:t>
      </w:r>
      <w:r>
        <w:rPr>
          <w:rFonts w:hint="eastAsia" w:ascii="宋体" w:hAnsi="宋体" w:cs="宋体"/>
          <w:color w:val="auto"/>
          <w:kern w:val="0"/>
          <w:sz w:val="24"/>
          <w:szCs w:val="24"/>
          <w:highlight w:val="none"/>
        </w:rPr>
        <w:t>（或委托代理人）：</w:t>
      </w:r>
    </w:p>
    <w:p>
      <w:pPr>
        <w:autoSpaceDE w:val="0"/>
        <w:autoSpaceDN w:val="0"/>
        <w:adjustRightInd w:val="0"/>
        <w:snapToGrid w:val="0"/>
        <w:spacing w:line="288" w:lineRule="auto"/>
        <w:ind w:firstLine="4300" w:firstLineChars="1792"/>
        <w:rPr>
          <w:rFonts w:ascii="宋体" w:hAnsi="宋体" w:cs="宋体"/>
          <w:color w:val="auto"/>
          <w:kern w:val="0"/>
          <w:sz w:val="24"/>
          <w:szCs w:val="24"/>
          <w:highlight w:val="none"/>
        </w:rPr>
      </w:pPr>
      <w:r>
        <w:rPr>
          <w:rFonts w:hint="eastAsia" w:ascii="宋体" w:hAnsi="宋体" w:cs="宋体"/>
          <w:color w:val="auto"/>
          <w:kern w:val="0"/>
          <w:sz w:val="24"/>
          <w:szCs w:val="24"/>
          <w:highlight w:val="none"/>
        </w:rPr>
        <w:t>地址：</w:t>
      </w:r>
    </w:p>
    <w:p>
      <w:pPr>
        <w:autoSpaceDE w:val="0"/>
        <w:autoSpaceDN w:val="0"/>
        <w:adjustRightInd w:val="0"/>
        <w:snapToGrid w:val="0"/>
        <w:spacing w:line="288" w:lineRule="auto"/>
        <w:ind w:firstLine="4300" w:firstLineChars="1792"/>
        <w:rPr>
          <w:rFonts w:ascii="宋体" w:hAnsi="宋体" w:cs="宋体"/>
          <w:color w:val="auto"/>
          <w:kern w:val="0"/>
          <w:sz w:val="24"/>
          <w:szCs w:val="24"/>
          <w:highlight w:val="none"/>
        </w:rPr>
      </w:pPr>
      <w:r>
        <w:rPr>
          <w:rFonts w:hint="eastAsia" w:ascii="宋体" w:hAnsi="宋体" w:cs="宋体"/>
          <w:color w:val="auto"/>
          <w:kern w:val="0"/>
          <w:sz w:val="24"/>
          <w:szCs w:val="24"/>
          <w:highlight w:val="none"/>
        </w:rPr>
        <w:t>邮政编码：</w:t>
      </w:r>
    </w:p>
    <w:p>
      <w:pPr>
        <w:autoSpaceDE w:val="0"/>
        <w:autoSpaceDN w:val="0"/>
        <w:adjustRightInd w:val="0"/>
        <w:snapToGrid w:val="0"/>
        <w:spacing w:line="288" w:lineRule="auto"/>
        <w:ind w:firstLine="4300" w:firstLineChars="1792"/>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联系电话：</w:t>
      </w:r>
    </w:p>
    <w:p>
      <w:pPr>
        <w:adjustRightInd w:val="0"/>
        <w:snapToGrid w:val="0"/>
        <w:spacing w:line="288"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日期：___年___月__日</w:t>
      </w:r>
    </w:p>
    <w:p>
      <w:pPr>
        <w:adjustRightInd w:val="0"/>
        <w:snapToGrid w:val="0"/>
        <w:spacing w:line="360" w:lineRule="auto"/>
        <w:jc w:val="center"/>
        <w:outlineLvl w:val="2"/>
        <w:rPr>
          <w:rFonts w:ascii="宋体" w:hAnsi="宋体" w:cs="宋体"/>
          <w:b/>
          <w:color w:val="auto"/>
          <w:kern w:val="0"/>
          <w:sz w:val="44"/>
          <w:szCs w:val="44"/>
          <w:highlight w:val="none"/>
        </w:rPr>
      </w:pPr>
    </w:p>
    <w:p>
      <w:pPr>
        <w:adjustRightInd w:val="0"/>
        <w:snapToGrid w:val="0"/>
        <w:spacing w:line="360" w:lineRule="auto"/>
        <w:jc w:val="center"/>
        <w:outlineLvl w:val="2"/>
        <w:rPr>
          <w:rFonts w:ascii="宋体" w:hAnsi="宋体" w:cs="宋体"/>
          <w:b/>
          <w:color w:val="auto"/>
          <w:kern w:val="0"/>
          <w:sz w:val="44"/>
          <w:szCs w:val="44"/>
          <w:highlight w:val="none"/>
        </w:rPr>
      </w:pPr>
      <w:r>
        <w:rPr>
          <w:rFonts w:hint="eastAsia" w:ascii="宋体" w:hAnsi="宋体" w:cs="宋体"/>
          <w:b/>
          <w:color w:val="auto"/>
          <w:kern w:val="0"/>
          <w:sz w:val="44"/>
          <w:szCs w:val="44"/>
          <w:highlight w:val="none"/>
        </w:rPr>
        <w:t>承 诺 书</w:t>
      </w:r>
    </w:p>
    <w:p>
      <w:pPr>
        <w:autoSpaceDE w:val="0"/>
        <w:autoSpaceDN w:val="0"/>
        <w:adjustRightInd w:val="0"/>
        <w:snapToGrid w:val="0"/>
        <w:spacing w:line="360" w:lineRule="auto"/>
        <w:ind w:firstLine="480"/>
        <w:rPr>
          <w:rFonts w:ascii="宋体" w:hAnsi="宋体" w:cs="宋体"/>
          <w:color w:val="auto"/>
          <w:kern w:val="0"/>
          <w:sz w:val="24"/>
          <w:szCs w:val="24"/>
          <w:highlight w:val="none"/>
        </w:rPr>
      </w:pPr>
    </w:p>
    <w:p>
      <w:pPr>
        <w:autoSpaceDE w:val="0"/>
        <w:autoSpaceDN w:val="0"/>
        <w:adjustRightInd w:val="0"/>
        <w:snapToGrid w:val="0"/>
        <w:spacing w:line="360" w:lineRule="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广州市重点公共建设项目管理中心：</w:t>
      </w:r>
    </w:p>
    <w:p>
      <w:pPr>
        <w:autoSpaceDE w:val="0"/>
        <w:autoSpaceDN w:val="0"/>
        <w:adjustRightInd w:val="0"/>
        <w:snapToGrid w:val="0"/>
        <w:spacing w:line="360" w:lineRule="auto"/>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我单位已于年月日向贵中心提交了______________________工程勘察设计的履约</w:t>
      </w:r>
      <w:r>
        <w:rPr>
          <w:rFonts w:ascii="宋体" w:hAnsi="宋体" w:cs="宋体"/>
          <w:color w:val="auto"/>
          <w:kern w:val="0"/>
          <w:sz w:val="24"/>
          <w:szCs w:val="24"/>
          <w:highlight w:val="none"/>
        </w:rPr>
        <w:t>担保</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履约担保</w:t>
      </w:r>
      <w:r>
        <w:rPr>
          <w:rFonts w:hint="eastAsia" w:ascii="宋体" w:hAnsi="宋体" w:cs="宋体"/>
          <w:color w:val="auto"/>
          <w:kern w:val="0"/>
          <w:sz w:val="24"/>
          <w:szCs w:val="24"/>
          <w:highlight w:val="none"/>
        </w:rPr>
        <w:t>最长有效期至______年___月___日。</w:t>
      </w:r>
    </w:p>
    <w:p>
      <w:pPr>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如在</w:t>
      </w:r>
      <w:r>
        <w:rPr>
          <w:rFonts w:ascii="宋体" w:hAnsi="宋体" w:cs="宋体"/>
          <w:color w:val="auto"/>
          <w:sz w:val="24"/>
          <w:szCs w:val="24"/>
          <w:highlight w:val="none"/>
        </w:rPr>
        <w:t>履约担保</w:t>
      </w:r>
      <w:r>
        <w:rPr>
          <w:rFonts w:hint="eastAsia" w:ascii="宋体" w:hAnsi="宋体" w:cs="宋体"/>
          <w:color w:val="auto"/>
          <w:sz w:val="24"/>
          <w:szCs w:val="24"/>
          <w:highlight w:val="none"/>
        </w:rPr>
        <w:t>最长有效期届满时，我单位未提供本项目所需全部分部（子分部）工程质量验收记录及已提供竣工图证明文件（经</w:t>
      </w:r>
      <w:r>
        <w:rPr>
          <w:rFonts w:ascii="宋体" w:hAnsi="宋体" w:cs="宋体"/>
          <w:color w:val="auto"/>
          <w:sz w:val="24"/>
          <w:szCs w:val="24"/>
          <w:highlight w:val="none"/>
        </w:rPr>
        <w:t>监理人及</w:t>
      </w:r>
      <w:r>
        <w:rPr>
          <w:rFonts w:hint="eastAsia" w:ascii="宋体" w:hAnsi="宋体" w:cs="宋体"/>
          <w:color w:val="auto"/>
          <w:sz w:val="24"/>
          <w:szCs w:val="24"/>
          <w:highlight w:val="none"/>
        </w:rPr>
        <w:t>贵中心确认施工单位已提供竣工图的相关文件），我</w:t>
      </w:r>
      <w:r>
        <w:rPr>
          <w:rFonts w:hint="eastAsia" w:ascii="宋体" w:hAnsi="宋体" w:cs="宋体"/>
          <w:color w:val="auto"/>
          <w:kern w:val="0"/>
          <w:sz w:val="24"/>
          <w:szCs w:val="24"/>
          <w:highlight w:val="none"/>
        </w:rPr>
        <w:t>单位</w:t>
      </w:r>
      <w:r>
        <w:rPr>
          <w:rFonts w:hint="eastAsia" w:ascii="宋体" w:hAnsi="宋体" w:cs="宋体"/>
          <w:color w:val="auto"/>
          <w:sz w:val="24"/>
          <w:szCs w:val="24"/>
          <w:highlight w:val="none"/>
        </w:rPr>
        <w:t>将在</w:t>
      </w:r>
      <w:r>
        <w:rPr>
          <w:rFonts w:ascii="宋体" w:hAnsi="宋体" w:cs="宋体"/>
          <w:color w:val="auto"/>
          <w:sz w:val="24"/>
          <w:szCs w:val="24"/>
          <w:highlight w:val="none"/>
        </w:rPr>
        <w:t>履约担</w:t>
      </w:r>
      <w:r>
        <w:rPr>
          <w:rFonts w:hint="eastAsia" w:ascii="宋体" w:hAnsi="宋体" w:cs="宋体"/>
          <w:color w:val="auto"/>
          <w:sz w:val="24"/>
          <w:szCs w:val="24"/>
          <w:highlight w:val="none"/>
        </w:rPr>
        <w:t>保最长有效期届满三天前按原</w:t>
      </w:r>
      <w:r>
        <w:rPr>
          <w:rFonts w:ascii="宋体" w:hAnsi="宋体" w:cs="宋体"/>
          <w:color w:val="auto"/>
          <w:sz w:val="24"/>
          <w:szCs w:val="24"/>
          <w:highlight w:val="none"/>
        </w:rPr>
        <w:t>担</w:t>
      </w:r>
      <w:r>
        <w:rPr>
          <w:rFonts w:hint="eastAsia" w:ascii="宋体" w:hAnsi="宋体" w:cs="宋体"/>
          <w:color w:val="auto"/>
          <w:sz w:val="24"/>
          <w:szCs w:val="24"/>
          <w:highlight w:val="none"/>
        </w:rPr>
        <w:t>保格式提交新的</w:t>
      </w:r>
      <w:r>
        <w:rPr>
          <w:rFonts w:ascii="宋体" w:hAnsi="宋体" w:cs="宋体"/>
          <w:color w:val="auto"/>
          <w:sz w:val="24"/>
          <w:szCs w:val="24"/>
          <w:highlight w:val="none"/>
        </w:rPr>
        <w:t>履约担保</w:t>
      </w:r>
      <w:r>
        <w:rPr>
          <w:rFonts w:hint="eastAsia" w:ascii="宋体" w:hAnsi="宋体" w:cs="宋体"/>
          <w:color w:val="auto"/>
          <w:sz w:val="24"/>
          <w:szCs w:val="24"/>
          <w:highlight w:val="none"/>
        </w:rPr>
        <w:t>，否则，贵中心有权暂停支付余下的合同价款，直至我</w:t>
      </w:r>
      <w:r>
        <w:rPr>
          <w:rFonts w:hint="eastAsia" w:ascii="宋体" w:hAnsi="宋体" w:cs="宋体"/>
          <w:color w:val="auto"/>
          <w:kern w:val="0"/>
          <w:sz w:val="24"/>
          <w:szCs w:val="24"/>
          <w:highlight w:val="none"/>
        </w:rPr>
        <w:t>单位</w:t>
      </w:r>
      <w:r>
        <w:rPr>
          <w:rFonts w:hint="eastAsia" w:ascii="宋体" w:hAnsi="宋体" w:cs="宋体"/>
          <w:color w:val="auto"/>
          <w:sz w:val="24"/>
          <w:szCs w:val="24"/>
          <w:highlight w:val="none"/>
        </w:rPr>
        <w:t>提交新的</w:t>
      </w:r>
      <w:r>
        <w:rPr>
          <w:rFonts w:ascii="宋体" w:hAnsi="宋体" w:cs="宋体"/>
          <w:color w:val="auto"/>
          <w:sz w:val="24"/>
          <w:szCs w:val="24"/>
          <w:highlight w:val="none"/>
        </w:rPr>
        <w:t>履约担保</w:t>
      </w:r>
      <w:r>
        <w:rPr>
          <w:rFonts w:hint="eastAsia" w:ascii="宋体" w:hAnsi="宋体" w:cs="宋体"/>
          <w:color w:val="auto"/>
          <w:sz w:val="24"/>
          <w:szCs w:val="24"/>
          <w:highlight w:val="none"/>
        </w:rPr>
        <w:t>或提供本项目所需全部分部（子分部）工程质量验收记录及已提供竣工图证明文件（经</w:t>
      </w:r>
      <w:r>
        <w:rPr>
          <w:rFonts w:ascii="宋体" w:hAnsi="宋体" w:cs="宋体"/>
          <w:color w:val="auto"/>
          <w:sz w:val="24"/>
          <w:szCs w:val="24"/>
          <w:highlight w:val="none"/>
        </w:rPr>
        <w:t>监理人及</w:t>
      </w:r>
      <w:r>
        <w:rPr>
          <w:rFonts w:hint="eastAsia" w:ascii="宋体" w:hAnsi="宋体" w:cs="宋体"/>
          <w:color w:val="auto"/>
          <w:sz w:val="24"/>
          <w:szCs w:val="24"/>
          <w:highlight w:val="none"/>
        </w:rPr>
        <w:t>贵中心确认施工单位已提供竣工图的相关文件）。</w:t>
      </w:r>
    </w:p>
    <w:p>
      <w:pPr>
        <w:autoSpaceDE w:val="0"/>
        <w:autoSpaceDN w:val="0"/>
        <w:adjustRightInd w:val="0"/>
        <w:snapToGrid w:val="0"/>
        <w:spacing w:line="360" w:lineRule="auto"/>
        <w:ind w:firstLine="480"/>
        <w:rPr>
          <w:rFonts w:ascii="宋体" w:hAnsi="宋体" w:cs="宋体"/>
          <w:color w:val="auto"/>
          <w:kern w:val="0"/>
          <w:sz w:val="24"/>
          <w:szCs w:val="24"/>
          <w:highlight w:val="none"/>
        </w:rPr>
      </w:pPr>
    </w:p>
    <w:p>
      <w:pPr>
        <w:autoSpaceDE w:val="0"/>
        <w:autoSpaceDN w:val="0"/>
        <w:adjustRightInd w:val="0"/>
        <w:snapToGrid w:val="0"/>
        <w:spacing w:line="360" w:lineRule="auto"/>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特此承诺。</w:t>
      </w:r>
    </w:p>
    <w:p>
      <w:pPr>
        <w:autoSpaceDE w:val="0"/>
        <w:autoSpaceDN w:val="0"/>
        <w:adjustRightInd w:val="0"/>
        <w:snapToGrid w:val="0"/>
        <w:spacing w:line="360" w:lineRule="auto"/>
        <w:rPr>
          <w:rFonts w:ascii="宋体" w:hAnsi="宋体" w:cs="宋体"/>
          <w:color w:val="auto"/>
          <w:kern w:val="0"/>
          <w:sz w:val="24"/>
          <w:szCs w:val="24"/>
          <w:highlight w:val="none"/>
        </w:rPr>
      </w:pPr>
    </w:p>
    <w:p>
      <w:pPr>
        <w:autoSpaceDE w:val="0"/>
        <w:autoSpaceDN w:val="0"/>
        <w:adjustRightInd w:val="0"/>
        <w:snapToGrid w:val="0"/>
        <w:spacing w:line="360" w:lineRule="auto"/>
        <w:rPr>
          <w:rFonts w:ascii="宋体" w:hAnsi="宋体" w:cs="宋体"/>
          <w:color w:val="auto"/>
          <w:kern w:val="0"/>
          <w:sz w:val="24"/>
          <w:szCs w:val="24"/>
          <w:highlight w:val="none"/>
        </w:rPr>
      </w:pPr>
    </w:p>
    <w:p>
      <w:pPr>
        <w:adjustRightInd w:val="0"/>
        <w:snapToGrid w:val="0"/>
        <w:spacing w:line="360" w:lineRule="auto"/>
        <w:ind w:firstLine="4320" w:firstLineChars="18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承诺人： </w:t>
      </w:r>
    </w:p>
    <w:p>
      <w:pPr>
        <w:adjustRightInd w:val="0"/>
        <w:snapToGrid w:val="0"/>
        <w:spacing w:line="360" w:lineRule="auto"/>
        <w:ind w:firstLine="6120" w:firstLineChars="255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（盖章）</w:t>
      </w:r>
    </w:p>
    <w:p>
      <w:pPr>
        <w:adjustRightInd w:val="0"/>
        <w:snapToGrid w:val="0"/>
        <w:spacing w:line="360" w:lineRule="auto"/>
        <w:ind w:firstLine="5880" w:firstLineChars="24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年     月    日</w:t>
      </w:r>
    </w:p>
    <w:p>
      <w:pPr>
        <w:adjustRightInd w:val="0"/>
        <w:snapToGrid w:val="0"/>
        <w:spacing w:line="360" w:lineRule="auto"/>
        <w:rPr>
          <w:rFonts w:ascii="宋体" w:hAnsi="宋体" w:cs="宋体"/>
          <w:color w:val="auto"/>
          <w:szCs w:val="21"/>
          <w:highlight w:val="none"/>
        </w:rPr>
      </w:pPr>
    </w:p>
    <w:p>
      <w:pPr>
        <w:adjustRightInd w:val="0"/>
        <w:snapToGrid w:val="0"/>
        <w:spacing w:line="360" w:lineRule="auto"/>
        <w:rPr>
          <w:rFonts w:ascii="宋体" w:hAnsi="宋体" w:cs="宋体"/>
          <w:color w:val="auto"/>
          <w:szCs w:val="21"/>
          <w:highlight w:val="none"/>
        </w:rPr>
      </w:pPr>
    </w:p>
    <w:p>
      <w:pPr>
        <w:adjustRightInd w:val="0"/>
        <w:snapToGrid w:val="0"/>
        <w:spacing w:line="360" w:lineRule="auto"/>
        <w:rPr>
          <w:rFonts w:ascii="宋体" w:hAnsi="宋体" w:cs="宋体"/>
          <w:color w:val="auto"/>
          <w:szCs w:val="21"/>
          <w:highlight w:val="none"/>
        </w:rPr>
      </w:pPr>
    </w:p>
    <w:p>
      <w:pPr>
        <w:adjustRightInd w:val="0"/>
        <w:snapToGrid w:val="0"/>
        <w:spacing w:line="360" w:lineRule="auto"/>
        <w:rPr>
          <w:rFonts w:ascii="宋体" w:hAnsi="宋体" w:cs="宋体"/>
          <w:color w:val="auto"/>
          <w:szCs w:val="21"/>
          <w:highlight w:val="none"/>
        </w:rPr>
      </w:pPr>
    </w:p>
    <w:p>
      <w:pPr>
        <w:adjustRightInd w:val="0"/>
        <w:snapToGrid w:val="0"/>
        <w:spacing w:line="360" w:lineRule="auto"/>
        <w:rPr>
          <w:rFonts w:ascii="宋体" w:hAnsi="宋体" w:cs="宋体"/>
          <w:color w:val="auto"/>
          <w:szCs w:val="21"/>
          <w:highlight w:val="none"/>
        </w:rPr>
      </w:pPr>
    </w:p>
    <w:p>
      <w:pPr>
        <w:adjustRightInd w:val="0"/>
        <w:snapToGrid w:val="0"/>
        <w:spacing w:line="360" w:lineRule="auto"/>
        <w:rPr>
          <w:rFonts w:ascii="宋体" w:hAnsi="宋体" w:cs="宋体"/>
          <w:color w:val="auto"/>
          <w:szCs w:val="21"/>
          <w:highlight w:val="none"/>
        </w:rPr>
      </w:pPr>
    </w:p>
    <w:p>
      <w:pPr>
        <w:adjustRightInd w:val="0"/>
        <w:snapToGrid w:val="0"/>
        <w:spacing w:line="360" w:lineRule="auto"/>
        <w:rPr>
          <w:rFonts w:ascii="宋体" w:hAnsi="宋体" w:cs="宋体"/>
          <w:color w:val="auto"/>
          <w:szCs w:val="21"/>
          <w:highlight w:val="none"/>
        </w:rPr>
      </w:pPr>
    </w:p>
    <w:p>
      <w:pPr>
        <w:adjustRightInd w:val="0"/>
        <w:snapToGrid w:val="0"/>
        <w:spacing w:line="360" w:lineRule="auto"/>
        <w:rPr>
          <w:rFonts w:ascii="宋体" w:hAnsi="宋体" w:cs="宋体"/>
          <w:color w:val="auto"/>
          <w:szCs w:val="21"/>
          <w:highlight w:val="none"/>
        </w:rPr>
      </w:pPr>
    </w:p>
    <w:p>
      <w:pPr>
        <w:adjustRightInd w:val="0"/>
        <w:snapToGrid w:val="0"/>
        <w:spacing w:line="360" w:lineRule="auto"/>
        <w:rPr>
          <w:rFonts w:ascii="宋体" w:hAnsi="宋体" w:cs="宋体"/>
          <w:color w:val="auto"/>
          <w:szCs w:val="21"/>
          <w:highlight w:val="none"/>
        </w:rPr>
      </w:pPr>
    </w:p>
    <w:p>
      <w:pPr>
        <w:adjustRightInd w:val="0"/>
        <w:snapToGrid w:val="0"/>
        <w:spacing w:line="360" w:lineRule="auto"/>
        <w:rPr>
          <w:rFonts w:ascii="宋体" w:hAnsi="宋体" w:cs="宋体"/>
          <w:color w:val="auto"/>
          <w:szCs w:val="21"/>
          <w:highlight w:val="none"/>
        </w:rPr>
      </w:pPr>
    </w:p>
    <w:p>
      <w:pPr>
        <w:adjustRightInd w:val="0"/>
        <w:snapToGrid w:val="0"/>
        <w:spacing w:line="360" w:lineRule="auto"/>
        <w:rPr>
          <w:rFonts w:ascii="宋体" w:hAnsi="宋体" w:cs="宋体"/>
          <w:color w:val="auto"/>
          <w:szCs w:val="21"/>
          <w:highlight w:val="none"/>
        </w:rPr>
      </w:pPr>
    </w:p>
    <w:p>
      <w:pPr>
        <w:adjustRightInd w:val="0"/>
        <w:snapToGrid w:val="0"/>
        <w:spacing w:line="360" w:lineRule="auto"/>
        <w:rPr>
          <w:rFonts w:ascii="宋体" w:hAnsi="宋体" w:cs="宋体"/>
          <w:color w:val="auto"/>
          <w:szCs w:val="21"/>
          <w:highlight w:val="none"/>
        </w:rPr>
      </w:pPr>
    </w:p>
    <w:p>
      <w:pPr>
        <w:adjustRightInd w:val="0"/>
        <w:snapToGrid w:val="0"/>
        <w:spacing w:line="360" w:lineRule="auto"/>
        <w:rPr>
          <w:rFonts w:ascii="宋体" w:hAnsi="宋体" w:cs="宋体"/>
          <w:color w:val="auto"/>
          <w:szCs w:val="21"/>
          <w:highlight w:val="none"/>
        </w:rPr>
      </w:pPr>
    </w:p>
    <w:p>
      <w:pPr>
        <w:adjustRightInd w:val="0"/>
        <w:snapToGrid w:val="0"/>
        <w:spacing w:line="360" w:lineRule="auto"/>
        <w:rPr>
          <w:rFonts w:ascii="宋体" w:hAnsi="宋体" w:cs="宋体"/>
          <w:color w:val="auto"/>
          <w:kern w:val="0"/>
          <w:sz w:val="24"/>
          <w:szCs w:val="24"/>
          <w:highlight w:val="none"/>
        </w:rPr>
      </w:pPr>
      <w:r>
        <w:rPr>
          <w:rFonts w:hint="eastAsia" w:ascii="宋体" w:hAnsi="宋体" w:cs="宋体"/>
          <w:bCs/>
          <w:color w:val="auto"/>
          <w:kern w:val="0"/>
          <w:sz w:val="24"/>
          <w:szCs w:val="24"/>
          <w:highlight w:val="none"/>
        </w:rPr>
        <w:t>附件6、7</w:t>
      </w:r>
      <w:r>
        <w:rPr>
          <w:rFonts w:ascii="宋体" w:hAnsi="宋体" w:cs="宋体"/>
          <w:bCs/>
          <w:color w:val="auto"/>
          <w:kern w:val="0"/>
          <w:sz w:val="24"/>
          <w:szCs w:val="24"/>
          <w:highlight w:val="none"/>
        </w:rPr>
        <w:t>、8</w:t>
      </w:r>
      <w:r>
        <w:rPr>
          <w:rFonts w:hint="eastAsia" w:ascii="宋体" w:hAnsi="宋体" w:cs="宋体"/>
          <w:bCs/>
          <w:color w:val="auto"/>
          <w:kern w:val="0"/>
          <w:sz w:val="24"/>
          <w:szCs w:val="24"/>
          <w:highlight w:val="none"/>
        </w:rPr>
        <w:t>（另册）</w:t>
      </w:r>
    </w:p>
    <w:p>
      <w:pPr>
        <w:adjustRightInd w:val="0"/>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附件</w:t>
      </w:r>
      <w:r>
        <w:rPr>
          <w:rFonts w:ascii="宋体" w:hAnsi="宋体" w:cs="宋体"/>
          <w:color w:val="auto"/>
          <w:kern w:val="0"/>
          <w:sz w:val="24"/>
          <w:szCs w:val="24"/>
          <w:highlight w:val="none"/>
        </w:rPr>
        <w:t>9</w:t>
      </w:r>
      <w:r>
        <w:rPr>
          <w:rFonts w:hint="eastAsia" w:ascii="宋体" w:hAnsi="宋体" w:cs="宋体"/>
          <w:color w:val="auto"/>
          <w:kern w:val="0"/>
          <w:sz w:val="24"/>
          <w:szCs w:val="24"/>
          <w:highlight w:val="none"/>
        </w:rPr>
        <w:t>：本项目</w:t>
      </w:r>
      <w:r>
        <w:rPr>
          <w:rFonts w:ascii="宋体" w:hAnsi="宋体" w:cs="宋体"/>
          <w:color w:val="auto"/>
          <w:kern w:val="0"/>
          <w:sz w:val="24"/>
          <w:szCs w:val="24"/>
          <w:highlight w:val="none"/>
        </w:rPr>
        <w:t>勘察设计任务书</w:t>
      </w:r>
    </w:p>
    <w:p>
      <w:pPr>
        <w:spacing w:line="360" w:lineRule="auto"/>
        <w:ind w:firstLine="480" w:firstLineChars="200"/>
        <w:rPr>
          <w:rFonts w:eastAsia="黑体"/>
          <w:bCs/>
          <w:color w:val="auto"/>
          <w:kern w:val="0"/>
          <w:sz w:val="24"/>
          <w:szCs w:val="24"/>
          <w:highlight w:val="none"/>
        </w:rPr>
      </w:pPr>
    </w:p>
    <w:p>
      <w:pPr>
        <w:spacing w:line="360" w:lineRule="auto"/>
        <w:ind w:firstLine="480" w:firstLineChars="200"/>
        <w:rPr>
          <w:rFonts w:ascii="宋体" w:hAnsi="宋体" w:cs="Courier New"/>
          <w:color w:val="auto"/>
          <w:sz w:val="24"/>
          <w:szCs w:val="24"/>
          <w:highlight w:val="none"/>
        </w:rPr>
      </w:pPr>
    </w:p>
    <w:p>
      <w:pPr>
        <w:spacing w:line="360" w:lineRule="auto"/>
        <w:ind w:firstLine="480" w:firstLineChars="200"/>
        <w:rPr>
          <w:rFonts w:ascii="宋体" w:hAnsi="宋体" w:cs="Courier New"/>
          <w:color w:val="auto"/>
          <w:sz w:val="24"/>
          <w:szCs w:val="24"/>
          <w:highlight w:val="none"/>
        </w:rPr>
      </w:pPr>
    </w:p>
    <w:p>
      <w:pPr>
        <w:spacing w:line="360" w:lineRule="auto"/>
        <w:ind w:firstLine="480" w:firstLineChars="200"/>
        <w:rPr>
          <w:rFonts w:ascii="宋体" w:hAnsi="宋体" w:cs="Courier New"/>
          <w:color w:val="auto"/>
          <w:sz w:val="24"/>
          <w:szCs w:val="24"/>
          <w:highlight w:val="none"/>
        </w:rPr>
      </w:pPr>
    </w:p>
    <w:p>
      <w:pPr>
        <w:spacing w:line="360" w:lineRule="auto"/>
        <w:ind w:firstLine="480" w:firstLineChars="200"/>
        <w:rPr>
          <w:rFonts w:ascii="宋体" w:hAnsi="宋体" w:cs="Courier New"/>
          <w:color w:val="auto"/>
          <w:sz w:val="24"/>
          <w:szCs w:val="24"/>
          <w:highlight w:val="none"/>
        </w:rPr>
      </w:pPr>
    </w:p>
    <w:p>
      <w:pPr>
        <w:spacing w:line="360" w:lineRule="auto"/>
        <w:ind w:firstLine="480" w:firstLineChars="200"/>
        <w:rPr>
          <w:rFonts w:ascii="宋体" w:hAnsi="宋体" w:cs="Courier New"/>
          <w:color w:val="auto"/>
          <w:sz w:val="24"/>
          <w:szCs w:val="24"/>
          <w:highlight w:val="none"/>
        </w:rPr>
      </w:pPr>
    </w:p>
    <w:p>
      <w:pPr>
        <w:spacing w:line="360" w:lineRule="auto"/>
        <w:ind w:firstLine="480" w:firstLineChars="200"/>
        <w:rPr>
          <w:rFonts w:ascii="宋体" w:hAnsi="宋体" w:cs="Courier New"/>
          <w:color w:val="auto"/>
          <w:sz w:val="24"/>
          <w:szCs w:val="24"/>
          <w:highlight w:val="none"/>
        </w:rPr>
      </w:pPr>
    </w:p>
    <w:p>
      <w:pPr>
        <w:adjustRightInd w:val="0"/>
        <w:snapToGrid w:val="0"/>
        <w:spacing w:line="360" w:lineRule="auto"/>
        <w:rPr>
          <w:rFonts w:ascii="黑体" w:hAnsi="宋体" w:eastAsia="黑体" w:cs="黑体"/>
          <w:color w:val="auto"/>
          <w:sz w:val="30"/>
          <w:szCs w:val="30"/>
          <w:highlight w:val="none"/>
        </w:rPr>
      </w:pPr>
    </w:p>
    <w:p>
      <w:pPr>
        <w:adjustRightInd w:val="0"/>
        <w:snapToGrid w:val="0"/>
        <w:spacing w:line="360" w:lineRule="auto"/>
        <w:rPr>
          <w:rFonts w:ascii="黑体" w:hAnsi="宋体" w:eastAsia="黑体" w:cs="黑体"/>
          <w:color w:val="auto"/>
          <w:sz w:val="30"/>
          <w:szCs w:val="30"/>
          <w:highlight w:val="none"/>
        </w:rPr>
      </w:pPr>
    </w:p>
    <w:p>
      <w:pPr>
        <w:adjustRightInd w:val="0"/>
        <w:snapToGrid w:val="0"/>
        <w:spacing w:line="360" w:lineRule="auto"/>
        <w:rPr>
          <w:rFonts w:ascii="黑体" w:hAnsi="宋体" w:eastAsia="黑体" w:cs="黑体"/>
          <w:color w:val="auto"/>
          <w:sz w:val="30"/>
          <w:szCs w:val="30"/>
          <w:highlight w:val="none"/>
        </w:rPr>
      </w:pPr>
    </w:p>
    <w:p>
      <w:pPr>
        <w:adjustRightInd w:val="0"/>
        <w:snapToGrid w:val="0"/>
        <w:spacing w:line="360" w:lineRule="auto"/>
        <w:rPr>
          <w:rFonts w:ascii="黑体" w:hAnsi="宋体" w:eastAsia="黑体" w:cs="黑体"/>
          <w:color w:val="auto"/>
          <w:sz w:val="30"/>
          <w:szCs w:val="30"/>
          <w:highlight w:val="none"/>
        </w:rPr>
      </w:pPr>
    </w:p>
    <w:p>
      <w:pPr>
        <w:adjustRightInd w:val="0"/>
        <w:snapToGrid w:val="0"/>
        <w:spacing w:line="360" w:lineRule="auto"/>
        <w:rPr>
          <w:rFonts w:ascii="黑体" w:hAnsi="宋体" w:eastAsia="黑体" w:cs="黑体"/>
          <w:color w:val="auto"/>
          <w:sz w:val="30"/>
          <w:szCs w:val="30"/>
          <w:highlight w:val="none"/>
        </w:rPr>
      </w:pPr>
    </w:p>
    <w:p>
      <w:pPr>
        <w:adjustRightInd w:val="0"/>
        <w:snapToGrid w:val="0"/>
        <w:spacing w:line="360" w:lineRule="auto"/>
        <w:rPr>
          <w:rFonts w:ascii="黑体" w:hAnsi="宋体" w:eastAsia="黑体" w:cs="黑体"/>
          <w:color w:val="auto"/>
          <w:sz w:val="30"/>
          <w:szCs w:val="30"/>
          <w:highlight w:val="none"/>
        </w:rPr>
      </w:pPr>
    </w:p>
    <w:p>
      <w:pPr>
        <w:adjustRightInd w:val="0"/>
        <w:snapToGrid w:val="0"/>
        <w:spacing w:line="360" w:lineRule="auto"/>
        <w:rPr>
          <w:rFonts w:ascii="黑体" w:hAnsi="宋体" w:eastAsia="黑体" w:cs="黑体"/>
          <w:color w:val="auto"/>
          <w:sz w:val="30"/>
          <w:szCs w:val="30"/>
          <w:highlight w:val="none"/>
        </w:rPr>
      </w:pPr>
    </w:p>
    <w:p>
      <w:pPr>
        <w:adjustRightInd w:val="0"/>
        <w:snapToGrid w:val="0"/>
        <w:spacing w:line="360" w:lineRule="auto"/>
        <w:rPr>
          <w:rFonts w:ascii="黑体" w:hAnsi="宋体" w:eastAsia="黑体" w:cs="黑体"/>
          <w:color w:val="auto"/>
          <w:sz w:val="30"/>
          <w:szCs w:val="30"/>
          <w:highlight w:val="none"/>
        </w:rPr>
      </w:pPr>
    </w:p>
    <w:p>
      <w:pPr>
        <w:adjustRightInd w:val="0"/>
        <w:snapToGrid w:val="0"/>
        <w:spacing w:line="360" w:lineRule="auto"/>
        <w:rPr>
          <w:rFonts w:ascii="黑体" w:hAnsi="宋体" w:eastAsia="黑体" w:cs="黑体"/>
          <w:color w:val="auto"/>
          <w:sz w:val="30"/>
          <w:szCs w:val="30"/>
          <w:highlight w:val="none"/>
        </w:rPr>
      </w:pPr>
    </w:p>
    <w:p>
      <w:pPr>
        <w:adjustRightInd w:val="0"/>
        <w:snapToGrid w:val="0"/>
        <w:spacing w:line="360" w:lineRule="auto"/>
        <w:rPr>
          <w:rFonts w:ascii="黑体" w:hAnsi="宋体" w:eastAsia="黑体" w:cs="黑体"/>
          <w:color w:val="auto"/>
          <w:sz w:val="30"/>
          <w:szCs w:val="30"/>
          <w:highlight w:val="none"/>
        </w:rPr>
      </w:pPr>
    </w:p>
    <w:p>
      <w:pPr>
        <w:adjustRightInd w:val="0"/>
        <w:snapToGrid w:val="0"/>
        <w:spacing w:line="360" w:lineRule="auto"/>
        <w:rPr>
          <w:rFonts w:ascii="黑体" w:hAnsi="宋体" w:eastAsia="黑体" w:cs="黑体"/>
          <w:color w:val="auto"/>
          <w:sz w:val="30"/>
          <w:szCs w:val="30"/>
          <w:highlight w:val="none"/>
        </w:rPr>
      </w:pPr>
    </w:p>
    <w:p>
      <w:pPr>
        <w:adjustRightInd w:val="0"/>
        <w:snapToGrid w:val="0"/>
        <w:spacing w:line="360" w:lineRule="auto"/>
        <w:rPr>
          <w:rFonts w:ascii="黑体" w:hAnsi="宋体" w:eastAsia="黑体" w:cs="黑体"/>
          <w:color w:val="auto"/>
          <w:sz w:val="30"/>
          <w:szCs w:val="30"/>
          <w:highlight w:val="none"/>
        </w:rPr>
      </w:pPr>
    </w:p>
    <w:p>
      <w:pPr>
        <w:adjustRightInd w:val="0"/>
        <w:snapToGrid w:val="0"/>
        <w:spacing w:line="360" w:lineRule="auto"/>
        <w:rPr>
          <w:rFonts w:ascii="黑体" w:hAnsi="宋体" w:eastAsia="黑体" w:cs="黑体"/>
          <w:color w:val="auto"/>
          <w:sz w:val="30"/>
          <w:szCs w:val="30"/>
          <w:highlight w:val="none"/>
        </w:rPr>
      </w:pPr>
    </w:p>
    <w:p>
      <w:pPr>
        <w:adjustRightInd w:val="0"/>
        <w:snapToGrid w:val="0"/>
        <w:spacing w:line="360" w:lineRule="auto"/>
        <w:rPr>
          <w:rFonts w:ascii="黑体" w:hAnsi="宋体" w:eastAsia="黑体" w:cs="黑体"/>
          <w:color w:val="auto"/>
          <w:sz w:val="30"/>
          <w:szCs w:val="30"/>
          <w:highlight w:val="none"/>
        </w:rPr>
      </w:pPr>
    </w:p>
    <w:p>
      <w:pPr>
        <w:adjustRightInd w:val="0"/>
        <w:snapToGrid w:val="0"/>
        <w:spacing w:line="360" w:lineRule="auto"/>
        <w:rPr>
          <w:rFonts w:ascii="黑体" w:hAnsi="宋体" w:eastAsia="黑体" w:cs="黑体"/>
          <w:color w:val="auto"/>
          <w:sz w:val="30"/>
          <w:szCs w:val="30"/>
          <w:highlight w:val="none"/>
        </w:rPr>
      </w:pPr>
    </w:p>
    <w:p>
      <w:pPr>
        <w:adjustRightInd w:val="0"/>
        <w:snapToGrid w:val="0"/>
        <w:spacing w:line="360" w:lineRule="auto"/>
        <w:rPr>
          <w:rFonts w:ascii="黑体" w:hAnsi="宋体" w:eastAsia="黑体" w:cs="黑体"/>
          <w:color w:val="auto"/>
          <w:sz w:val="30"/>
          <w:szCs w:val="30"/>
          <w:highlight w:val="none"/>
        </w:rPr>
      </w:pPr>
    </w:p>
    <w:p>
      <w:pPr>
        <w:adjustRightInd w:val="0"/>
        <w:snapToGrid w:val="0"/>
        <w:spacing w:line="360" w:lineRule="auto"/>
        <w:rPr>
          <w:rFonts w:ascii="黑体" w:hAnsi="宋体" w:eastAsia="黑体" w:cs="黑体"/>
          <w:color w:val="auto"/>
          <w:sz w:val="30"/>
          <w:szCs w:val="30"/>
          <w:highlight w:val="none"/>
        </w:rPr>
      </w:pPr>
    </w:p>
    <w:p>
      <w:pPr>
        <w:adjustRightInd w:val="0"/>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附件</w:t>
      </w:r>
      <w:r>
        <w:rPr>
          <w:rFonts w:ascii="宋体" w:hAnsi="宋体" w:cs="宋体"/>
          <w:color w:val="auto"/>
          <w:kern w:val="0"/>
          <w:sz w:val="24"/>
          <w:szCs w:val="24"/>
          <w:highlight w:val="none"/>
        </w:rPr>
        <w:t>10</w:t>
      </w:r>
      <w:r>
        <w:rPr>
          <w:rFonts w:hint="eastAsia" w:ascii="宋体" w:hAnsi="宋体" w:cs="宋体"/>
          <w:color w:val="auto"/>
          <w:kern w:val="0"/>
          <w:sz w:val="24"/>
          <w:szCs w:val="24"/>
          <w:highlight w:val="none"/>
        </w:rPr>
        <w:t>：乙方营业执照及其法定代表人、项目负责人的姓名、身份证复印件、职务、职称、联系方式</w:t>
      </w:r>
    </w:p>
    <w:p>
      <w:pPr>
        <w:pStyle w:val="10"/>
        <w:widowControl w:val="0"/>
        <w:spacing w:beforeAutospacing="0" w:afterAutospacing="0"/>
        <w:ind w:firstLine="480" w:firstLineChars="200"/>
        <w:rPr>
          <w:rFonts w:hint="default"/>
          <w:color w:val="auto"/>
          <w:highlight w:val="none"/>
        </w:rPr>
      </w:pPr>
    </w:p>
    <w:p>
      <w:pPr>
        <w:adjustRightInd w:val="0"/>
        <w:snapToGrid w:val="0"/>
        <w:spacing w:line="360" w:lineRule="auto"/>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乙方营业执照</w:t>
      </w:r>
    </w:p>
    <w:p>
      <w:pPr>
        <w:pStyle w:val="10"/>
        <w:widowControl w:val="0"/>
        <w:spacing w:beforeAutospacing="0" w:afterAutospacing="0"/>
        <w:ind w:firstLine="480" w:firstLineChars="200"/>
        <w:jc w:val="both"/>
        <w:rPr>
          <w:rFonts w:hint="default"/>
          <w:color w:val="auto"/>
          <w:highlight w:val="none"/>
        </w:rPr>
      </w:pPr>
    </w:p>
    <w:tbl>
      <w:tblPr>
        <w:tblStyle w:val="11"/>
        <w:tblW w:w="8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8"/>
        <w:gridCol w:w="4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55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b/>
                <w:color w:val="auto"/>
                <w:sz w:val="24"/>
                <w:szCs w:val="24"/>
                <w:highlight w:val="none"/>
              </w:rPr>
              <w:t>乙方法定代表人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42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法定代表人的姓名</w:t>
            </w:r>
          </w:p>
        </w:tc>
        <w:tc>
          <w:tcPr>
            <w:tcW w:w="4278"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2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身份证号码</w:t>
            </w:r>
          </w:p>
        </w:tc>
        <w:tc>
          <w:tcPr>
            <w:tcW w:w="4278"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42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职务</w:t>
            </w:r>
          </w:p>
        </w:tc>
        <w:tc>
          <w:tcPr>
            <w:tcW w:w="4278"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42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职称</w:t>
            </w:r>
          </w:p>
        </w:tc>
        <w:tc>
          <w:tcPr>
            <w:tcW w:w="4278"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2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联系方式</w:t>
            </w:r>
          </w:p>
        </w:tc>
        <w:tc>
          <w:tcPr>
            <w:tcW w:w="4278"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trPr>
        <w:tc>
          <w:tcPr>
            <w:tcW w:w="8556"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身份证复印件</w:t>
            </w:r>
          </w:p>
        </w:tc>
      </w:tr>
    </w:tbl>
    <w:p>
      <w:pPr>
        <w:adjustRightInd w:val="0"/>
        <w:snapToGrid w:val="0"/>
        <w:spacing w:line="360" w:lineRule="auto"/>
        <w:rPr>
          <w:rFonts w:ascii="宋体" w:hAnsi="宋体" w:cs="宋体"/>
          <w:b/>
          <w:color w:val="auto"/>
          <w:kern w:val="0"/>
          <w:sz w:val="24"/>
          <w:szCs w:val="24"/>
          <w:highlight w:val="none"/>
        </w:rPr>
      </w:pPr>
    </w:p>
    <w:tbl>
      <w:tblPr>
        <w:tblStyle w:val="11"/>
        <w:tblW w:w="8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8"/>
        <w:gridCol w:w="4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55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b/>
                <w:color w:val="auto"/>
                <w:sz w:val="24"/>
                <w:szCs w:val="24"/>
                <w:highlight w:val="none"/>
              </w:rPr>
              <w:t>乙方项目负责人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42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项目负责人的姓名</w:t>
            </w:r>
          </w:p>
        </w:tc>
        <w:tc>
          <w:tcPr>
            <w:tcW w:w="4278"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42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身份证号码</w:t>
            </w:r>
          </w:p>
        </w:tc>
        <w:tc>
          <w:tcPr>
            <w:tcW w:w="4278"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42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职务</w:t>
            </w:r>
          </w:p>
        </w:tc>
        <w:tc>
          <w:tcPr>
            <w:tcW w:w="4278"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42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职称</w:t>
            </w:r>
          </w:p>
        </w:tc>
        <w:tc>
          <w:tcPr>
            <w:tcW w:w="4278"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2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联系方式</w:t>
            </w:r>
          </w:p>
        </w:tc>
        <w:tc>
          <w:tcPr>
            <w:tcW w:w="4278"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trPr>
        <w:tc>
          <w:tcPr>
            <w:tcW w:w="8556"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身份证复印件</w:t>
            </w:r>
          </w:p>
        </w:tc>
      </w:tr>
    </w:tbl>
    <w:p>
      <w:pPr>
        <w:rPr>
          <w:rFonts w:ascii="宋体" w:hAnsi="宋体" w:cs="宋体"/>
          <w:color w:val="auto"/>
          <w:kern w:val="0"/>
          <w:sz w:val="24"/>
          <w:szCs w:val="24"/>
          <w:highlight w:val="none"/>
        </w:rPr>
      </w:pPr>
      <w:r>
        <w:rPr>
          <w:rFonts w:hint="eastAsia" w:ascii="宋体" w:hAnsi="宋体"/>
          <w:color w:val="auto"/>
          <w:szCs w:val="21"/>
          <w:highlight w:val="none"/>
        </w:rPr>
        <w:br w:type="page"/>
      </w:r>
      <w:r>
        <w:rPr>
          <w:rFonts w:hint="eastAsia" w:ascii="宋体" w:hAnsi="宋体" w:cs="宋体"/>
          <w:color w:val="auto"/>
          <w:kern w:val="0"/>
          <w:sz w:val="24"/>
          <w:szCs w:val="24"/>
          <w:highlight w:val="none"/>
        </w:rPr>
        <w:t>附件1</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 xml:space="preserve">：建筑工程质量安全终身责任承诺书及勘察设计项目负责人更换保证书 </w:t>
      </w:r>
    </w:p>
    <w:p>
      <w:pPr>
        <w:adjustRightInd w:val="0"/>
        <w:snapToGrid w:val="0"/>
        <w:spacing w:line="360" w:lineRule="auto"/>
        <w:rPr>
          <w:rFonts w:ascii="宋体" w:hAnsi="宋体" w:cs="宋体"/>
          <w:color w:val="auto"/>
          <w:kern w:val="0"/>
          <w:sz w:val="24"/>
          <w:szCs w:val="24"/>
          <w:highlight w:val="none"/>
        </w:rPr>
      </w:pPr>
    </w:p>
    <w:p>
      <w:pPr>
        <w:spacing w:before="312" w:beforeLines="100" w:after="312" w:afterLines="100"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法定代表人授权书</w:t>
      </w:r>
    </w:p>
    <w:p>
      <w:pPr>
        <w:spacing w:before="468" w:beforeLines="150"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兹授权我单位________担任____________工程项目的勘察项目负责人，对该工程项目的勘察工作实施组织管理，依据国家有关法律法规及标准规范履行职责，并依法对设计使用年限内的工程质量承担相应终身责任。</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本授权书自授权之日起生效。</w:t>
      </w:r>
    </w:p>
    <w:p>
      <w:pPr>
        <w:spacing w:line="360" w:lineRule="auto"/>
        <w:ind w:firstLine="720" w:firstLineChars="200"/>
        <w:rPr>
          <w:rFonts w:ascii="宋体" w:hAnsi="宋体" w:cs="宋体"/>
          <w:color w:val="auto"/>
          <w:sz w:val="36"/>
          <w:szCs w:val="36"/>
          <w:highlight w:val="none"/>
        </w:rPr>
      </w:pP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011"/>
        <w:gridCol w:w="1921"/>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8" w:hRule="atLeast"/>
          <w:jc w:val="center"/>
        </w:trPr>
        <w:tc>
          <w:tcPr>
            <w:tcW w:w="8522"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
                <w:color w:val="auto"/>
                <w:sz w:val="24"/>
                <w:szCs w:val="24"/>
                <w:highlight w:val="none"/>
              </w:rPr>
            </w:pPr>
            <w:r>
              <w:rPr>
                <w:rFonts w:hint="eastAsia" w:ascii="宋体" w:hAnsi="宋体" w:cs="宋体"/>
                <w:b/>
                <w:color w:val="auto"/>
                <w:sz w:val="24"/>
                <w:szCs w:val="24"/>
                <w:highlight w:val="none"/>
              </w:rPr>
              <w:t>被授权人基本情况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姓  名</w:t>
            </w:r>
          </w:p>
        </w:tc>
        <w:tc>
          <w:tcPr>
            <w:tcW w:w="201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c>
          <w:tcPr>
            <w:tcW w:w="192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46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注册执业资格</w:t>
            </w:r>
          </w:p>
        </w:tc>
        <w:tc>
          <w:tcPr>
            <w:tcW w:w="201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c>
          <w:tcPr>
            <w:tcW w:w="192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注册执业证号</w:t>
            </w:r>
          </w:p>
        </w:tc>
        <w:tc>
          <w:tcPr>
            <w:tcW w:w="246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522"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被授权人签字：</w:t>
            </w:r>
          </w:p>
        </w:tc>
      </w:tr>
    </w:tbl>
    <w:p>
      <w:pPr>
        <w:spacing w:line="360" w:lineRule="auto"/>
        <w:ind w:firstLine="720" w:firstLineChars="200"/>
        <w:rPr>
          <w:rFonts w:ascii="宋体" w:hAnsi="宋体" w:cs="宋体"/>
          <w:color w:val="auto"/>
          <w:sz w:val="36"/>
          <w:szCs w:val="36"/>
          <w:highlight w:val="none"/>
        </w:rPr>
      </w:pPr>
    </w:p>
    <w:p>
      <w:pPr>
        <w:spacing w:line="360" w:lineRule="auto"/>
        <w:ind w:firstLine="560" w:firstLineChars="200"/>
        <w:rPr>
          <w:rFonts w:ascii="宋体" w:hAnsi="宋体" w:cs="宋体"/>
          <w:color w:val="auto"/>
          <w:sz w:val="28"/>
          <w:szCs w:val="28"/>
          <w:highlight w:val="none"/>
          <w:u w:val="single"/>
        </w:rPr>
      </w:pPr>
      <w:r>
        <w:rPr>
          <w:rFonts w:hint="eastAsia" w:ascii="宋体" w:hAnsi="宋体" w:cs="宋体"/>
          <w:color w:val="auto"/>
          <w:sz w:val="28"/>
          <w:szCs w:val="28"/>
          <w:highlight w:val="none"/>
        </w:rPr>
        <w:t>授权单位（盖章）：</w:t>
      </w:r>
      <w:r>
        <w:rPr>
          <w:rFonts w:hint="eastAsia" w:ascii="宋体" w:hAnsi="宋体" w:cs="宋体"/>
          <w:color w:val="auto"/>
          <w:sz w:val="28"/>
          <w:szCs w:val="28"/>
          <w:highlight w:val="none"/>
          <w:u w:val="single"/>
        </w:rPr>
        <w:t>_______________________</w:t>
      </w:r>
    </w:p>
    <w:p>
      <w:pPr>
        <w:spacing w:line="360" w:lineRule="auto"/>
        <w:ind w:firstLine="560" w:firstLineChars="200"/>
        <w:rPr>
          <w:rFonts w:ascii="宋体" w:hAnsi="宋体" w:cs="宋体"/>
          <w:color w:val="auto"/>
          <w:sz w:val="28"/>
          <w:szCs w:val="28"/>
          <w:highlight w:val="none"/>
          <w:u w:val="single"/>
        </w:rPr>
      </w:pPr>
      <w:r>
        <w:rPr>
          <w:rFonts w:hint="eastAsia" w:ascii="宋体" w:hAnsi="宋体" w:cs="宋体"/>
          <w:color w:val="auto"/>
          <w:sz w:val="28"/>
          <w:szCs w:val="28"/>
          <w:highlight w:val="none"/>
        </w:rPr>
        <w:t xml:space="preserve">                 法定代表人（签字）：</w:t>
      </w:r>
    </w:p>
    <w:p>
      <w:pPr>
        <w:spacing w:line="360" w:lineRule="auto"/>
        <w:ind w:firstLine="644" w:firstLineChars="200"/>
        <w:rPr>
          <w:rFonts w:ascii="宋体" w:hAnsi="宋体" w:cs="宋体"/>
          <w:color w:val="auto"/>
          <w:sz w:val="36"/>
          <w:szCs w:val="36"/>
          <w:highlight w:val="none"/>
        </w:rPr>
      </w:pPr>
      <w:r>
        <w:rPr>
          <w:rFonts w:hint="eastAsia" w:ascii="宋体" w:hAnsi="宋体" w:cs="宋体"/>
          <w:color w:val="auto"/>
          <w:spacing w:val="21"/>
          <w:sz w:val="28"/>
          <w:szCs w:val="28"/>
          <w:highlight w:val="none"/>
        </w:rPr>
        <w:t>授权日期：</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日</w:t>
      </w:r>
    </w:p>
    <w:p>
      <w:pPr>
        <w:spacing w:line="360" w:lineRule="auto"/>
        <w:rPr>
          <w:rFonts w:ascii="宋体" w:hAnsi="宋体" w:cs="宋体"/>
          <w:color w:val="auto"/>
          <w:szCs w:val="21"/>
          <w:highlight w:val="none"/>
        </w:rPr>
      </w:pPr>
      <w:r>
        <w:rPr>
          <w:rFonts w:hint="eastAsia" w:ascii="宋体" w:hAnsi="宋体"/>
          <w:color w:val="auto"/>
          <w:szCs w:val="21"/>
          <w:highlight w:val="none"/>
        </w:rPr>
        <w:br w:type="page"/>
      </w:r>
    </w:p>
    <w:p>
      <w:pPr>
        <w:widowControl/>
        <w:spacing w:line="360" w:lineRule="auto"/>
        <w:jc w:val="center"/>
        <w:rPr>
          <w:rFonts w:ascii="宋体" w:hAnsi="宋体" w:cs="宋体"/>
          <w:b/>
          <w:color w:val="auto"/>
          <w:kern w:val="0"/>
          <w:sz w:val="44"/>
          <w:szCs w:val="44"/>
          <w:highlight w:val="none"/>
        </w:rPr>
      </w:pPr>
      <w:r>
        <w:rPr>
          <w:rFonts w:hint="eastAsia" w:ascii="宋体" w:hAnsi="宋体" w:cs="宋体"/>
          <w:b/>
          <w:color w:val="auto"/>
          <w:kern w:val="0"/>
          <w:sz w:val="44"/>
          <w:szCs w:val="44"/>
          <w:highlight w:val="none"/>
        </w:rPr>
        <w:t>建筑工程质量安全终身责任承诺书</w:t>
      </w:r>
    </w:p>
    <w:p>
      <w:pPr>
        <w:widowControl/>
        <w:spacing w:line="360" w:lineRule="auto"/>
        <w:jc w:val="center"/>
        <w:rPr>
          <w:rFonts w:ascii="宋体" w:hAnsi="宋体" w:cs="宋体"/>
          <w:color w:val="auto"/>
          <w:kern w:val="0"/>
          <w:sz w:val="30"/>
          <w:szCs w:val="30"/>
          <w:highlight w:val="none"/>
        </w:rPr>
      </w:pPr>
      <w:r>
        <w:rPr>
          <w:rFonts w:hint="eastAsia" w:ascii="宋体" w:hAnsi="宋体" w:cs="宋体"/>
          <w:color w:val="auto"/>
          <w:kern w:val="0"/>
          <w:sz w:val="30"/>
          <w:szCs w:val="30"/>
          <w:highlight w:val="none"/>
        </w:rPr>
        <w:t>（勘察单位及项目负责人）</w:t>
      </w:r>
    </w:p>
    <w:p>
      <w:pPr>
        <w:widowControl/>
        <w:spacing w:before="312" w:beforeLines="100" w:after="312" w:afterLines="100" w:line="360" w:lineRule="auto"/>
        <w:rPr>
          <w:rFonts w:ascii="宋体" w:hAnsi="宋体" w:cs="宋体"/>
          <w:b/>
          <w:color w:val="auto"/>
          <w:kern w:val="0"/>
          <w:sz w:val="24"/>
          <w:szCs w:val="24"/>
          <w:highlight w:val="none"/>
        </w:rPr>
      </w:pPr>
      <w:r>
        <w:rPr>
          <w:rFonts w:hint="eastAsia" w:ascii="宋体" w:hAnsi="宋体" w:cs="宋体"/>
          <w:color w:val="auto"/>
          <w:kern w:val="0"/>
          <w:sz w:val="24"/>
          <w:szCs w:val="24"/>
          <w:highlight w:val="none"/>
        </w:rPr>
        <w:t>广州市重点公共建设项目管理中心：</w:t>
      </w:r>
    </w:p>
    <w:p>
      <w:pPr>
        <w:widowControl/>
        <w:spacing w:line="360" w:lineRule="auto"/>
        <w:ind w:firstLine="470" w:firstLineChars="196"/>
        <w:rPr>
          <w:rFonts w:ascii="宋体" w:hAnsi="宋体" w:cs="宋体"/>
          <w:color w:val="auto"/>
          <w:kern w:val="0"/>
          <w:sz w:val="24"/>
          <w:szCs w:val="24"/>
          <w:highlight w:val="none"/>
        </w:rPr>
      </w:pPr>
      <w:r>
        <w:rPr>
          <w:rFonts w:hint="eastAsia" w:ascii="宋体" w:hAnsi="宋体" w:cs="宋体"/>
          <w:color w:val="auto"/>
          <w:kern w:val="0"/>
          <w:sz w:val="24"/>
          <w:szCs w:val="24"/>
          <w:highlight w:val="none"/>
        </w:rPr>
        <w:t>我单位与贵中心就_______________勘察设计事宜签订了《_____________勘察设计合同》（合同编号：_________）。现我单位授权________（职务：__________，执业资格：_________，身份证号码：__________）担任_________________建设工程勘察项目负责人，代表我单位对该工程项目勘察工作实施组织管理。我单位承诺且保证项目负责人将严格依据国家有关法律法规及标准规范履行职责，并对设计使用年限内的工程质量安全承担相应终身责任。现郑重承诺如下：</w:t>
      </w:r>
    </w:p>
    <w:p>
      <w:pPr>
        <w:widowControl/>
        <w:spacing w:line="360" w:lineRule="auto"/>
        <w:ind w:firstLine="470" w:firstLineChars="196"/>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一、保证确认承担项目的勘察人员符合相应的注册执业资格要求，具备相应的专业技术能力，观测员、记录员、机长等现场作业人员符合专业培训要求。不允许他人以本人的名义承担工程勘察项目。</w:t>
      </w:r>
    </w:p>
    <w:p>
      <w:pPr>
        <w:widowControl/>
        <w:spacing w:line="360" w:lineRule="auto"/>
        <w:ind w:firstLine="470" w:firstLineChars="196"/>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二、依据有关法律法规、工程建设强制性标准和勘察合同（包括勘察任务委托书），组织编写勘察纲要，就相关要求向勘察人员交底，组织开展工程勘察工作。</w:t>
      </w:r>
    </w:p>
    <w:p>
      <w:pPr>
        <w:widowControl/>
        <w:spacing w:line="360" w:lineRule="auto"/>
        <w:ind w:firstLine="470" w:firstLineChars="196"/>
        <w:rPr>
          <w:rFonts w:ascii="宋体" w:hAnsi="宋体" w:cs="宋体"/>
          <w:color w:val="auto"/>
          <w:kern w:val="0"/>
          <w:sz w:val="24"/>
          <w:szCs w:val="24"/>
          <w:highlight w:val="none"/>
        </w:rPr>
      </w:pPr>
      <w:r>
        <w:rPr>
          <w:rFonts w:hint="eastAsia" w:ascii="宋体" w:hAnsi="宋体" w:cs="宋体"/>
          <w:color w:val="auto"/>
          <w:kern w:val="0"/>
          <w:sz w:val="24"/>
          <w:szCs w:val="24"/>
          <w:highlight w:val="none"/>
        </w:rPr>
        <w:t>三、保证勘察现场作业安全，要求勘察作业人员严格执行操作规程，并根据建设单位提供的资料和场地情况，采取措施保证各类人员，场地内和周边建筑物、构筑物及各类管线设施的安全。</w:t>
      </w:r>
    </w:p>
    <w:p>
      <w:pPr>
        <w:widowControl/>
        <w:spacing w:line="360" w:lineRule="auto"/>
        <w:ind w:firstLine="470" w:firstLineChars="196"/>
        <w:rPr>
          <w:rFonts w:ascii="宋体" w:hAnsi="宋体" w:cs="宋体"/>
          <w:color w:val="auto"/>
          <w:kern w:val="0"/>
          <w:sz w:val="24"/>
          <w:szCs w:val="24"/>
          <w:highlight w:val="none"/>
        </w:rPr>
      </w:pPr>
      <w:r>
        <w:rPr>
          <w:rFonts w:hint="eastAsia" w:ascii="宋体" w:hAnsi="宋体" w:cs="宋体"/>
          <w:color w:val="auto"/>
          <w:kern w:val="0"/>
          <w:sz w:val="24"/>
          <w:szCs w:val="24"/>
          <w:highlight w:val="none"/>
        </w:rPr>
        <w:t>四、保证对原始取样、记录的真实性和准确性负责，组织人员及时整理、核对原始记录，核验有关现场和试验人员在记录上的签字，对原始记录、测试报告、土工试验成果等各项作业资料验收签字。</w:t>
      </w:r>
    </w:p>
    <w:p>
      <w:pPr>
        <w:widowControl/>
        <w:spacing w:line="360" w:lineRule="auto"/>
        <w:ind w:firstLine="470" w:firstLineChars="196"/>
        <w:rPr>
          <w:rFonts w:ascii="宋体" w:hAnsi="宋体" w:cs="宋体"/>
          <w:color w:val="auto"/>
          <w:kern w:val="0"/>
          <w:sz w:val="24"/>
          <w:szCs w:val="24"/>
          <w:highlight w:val="none"/>
        </w:rPr>
      </w:pPr>
      <w:r>
        <w:rPr>
          <w:rFonts w:hint="eastAsia" w:ascii="宋体" w:hAnsi="宋体" w:cs="宋体"/>
          <w:color w:val="auto"/>
          <w:kern w:val="0"/>
          <w:sz w:val="24"/>
          <w:szCs w:val="24"/>
          <w:highlight w:val="none"/>
        </w:rPr>
        <w:t>五、对勘察成果的真实性和准确性负责，保证勘察文件符合国家规定的深度要求，在勘察文件上签字盖章。</w:t>
      </w:r>
    </w:p>
    <w:p>
      <w:pPr>
        <w:widowControl/>
        <w:spacing w:line="360" w:lineRule="auto"/>
        <w:ind w:firstLine="470" w:firstLineChars="196"/>
        <w:rPr>
          <w:rFonts w:ascii="宋体" w:hAnsi="宋体" w:cs="宋体"/>
          <w:color w:val="auto"/>
          <w:kern w:val="0"/>
          <w:sz w:val="24"/>
          <w:szCs w:val="24"/>
          <w:highlight w:val="none"/>
        </w:rPr>
      </w:pPr>
      <w:r>
        <w:rPr>
          <w:rFonts w:hint="eastAsia" w:ascii="宋体" w:hAnsi="宋体" w:cs="宋体"/>
          <w:color w:val="auto"/>
          <w:kern w:val="0"/>
          <w:sz w:val="24"/>
          <w:szCs w:val="24"/>
          <w:highlight w:val="none"/>
        </w:rPr>
        <w:t>六、对勘察后期服务工作负责，组织相关勘察人员及时解决工程设计和施工中与勘察工作有关的问题；组织参与施工验槽；组织勘察人员参加工程竣工验收，验收合格后在相关验收文件上签字，对城市轨道交通工程，还应参加单位工程、项目工程验收并在验收文件上签字；组织勘察人员参与相关工程质量安全事故分析，并对因勘察原因造成的质量安全事故，提出与勘察工作有关的技术处理措施。</w:t>
      </w:r>
    </w:p>
    <w:p>
      <w:pPr>
        <w:widowControl/>
        <w:spacing w:line="360" w:lineRule="auto"/>
        <w:ind w:firstLine="470" w:firstLineChars="196"/>
        <w:rPr>
          <w:rFonts w:ascii="宋体" w:hAnsi="宋体" w:cs="宋体"/>
          <w:color w:val="auto"/>
          <w:kern w:val="0"/>
          <w:sz w:val="24"/>
          <w:szCs w:val="24"/>
          <w:highlight w:val="none"/>
        </w:rPr>
      </w:pPr>
      <w:r>
        <w:rPr>
          <w:rFonts w:hint="eastAsia" w:ascii="宋体" w:hAnsi="宋体" w:cs="宋体"/>
          <w:color w:val="auto"/>
          <w:kern w:val="0"/>
          <w:sz w:val="24"/>
          <w:szCs w:val="24"/>
          <w:highlight w:val="none"/>
        </w:rPr>
        <w:t>七、对勘察资料的归档工作负责，组织相关勘察人员将全部资料分类编目，装订成册，归档保存。</w:t>
      </w:r>
    </w:p>
    <w:p>
      <w:pPr>
        <w:widowControl/>
        <w:spacing w:line="360" w:lineRule="auto"/>
        <w:ind w:firstLine="470" w:firstLineChars="196"/>
        <w:rPr>
          <w:rFonts w:ascii="宋体" w:hAnsi="宋体" w:cs="宋体"/>
          <w:color w:val="auto"/>
          <w:kern w:val="0"/>
          <w:sz w:val="24"/>
          <w:szCs w:val="24"/>
          <w:highlight w:val="none"/>
        </w:rPr>
      </w:pPr>
      <w:r>
        <w:rPr>
          <w:rFonts w:hint="eastAsia" w:ascii="宋体" w:hAnsi="宋体" w:cs="宋体"/>
          <w:color w:val="auto"/>
          <w:kern w:val="0"/>
          <w:sz w:val="24"/>
          <w:szCs w:val="24"/>
          <w:highlight w:val="none"/>
        </w:rPr>
        <w:t>违反上述承诺，本单位及本单位授权的项目负责人愿意承担一切法律责任，包括但不限于依据住建部《建筑工程五方责任主体项目负责人质量终身责任追究暂行办法》及《建筑工程勘察单位项目负责人质量安全责任七项规定（试行）》的规定承担相应行政责任，及依据《建设工程质量管理条例》及其他相关法律法规承担刑事和民事责任。</w:t>
      </w:r>
    </w:p>
    <w:p>
      <w:pPr>
        <w:widowControl/>
        <w:spacing w:line="360" w:lineRule="auto"/>
        <w:rPr>
          <w:rFonts w:ascii="宋体" w:hAnsi="宋体" w:cs="宋体"/>
          <w:color w:val="auto"/>
          <w:kern w:val="0"/>
          <w:sz w:val="24"/>
          <w:szCs w:val="24"/>
          <w:highlight w:val="none"/>
        </w:rPr>
      </w:pPr>
    </w:p>
    <w:p>
      <w:pPr>
        <w:widowControl/>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勘察项目负责人（签名）：             ____________________（单位盖章）</w:t>
      </w:r>
    </w:p>
    <w:p>
      <w:pPr>
        <w:widowControl/>
        <w:spacing w:line="360" w:lineRule="auto"/>
        <w:ind w:firstLine="643"/>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年   月   日</w:t>
      </w:r>
    </w:p>
    <w:p>
      <w:pPr>
        <w:widowControl/>
        <w:spacing w:line="360" w:lineRule="auto"/>
        <w:rPr>
          <w:rFonts w:ascii="宋体" w:hAnsi="宋体" w:cs="宋体"/>
          <w:color w:val="auto"/>
          <w:kern w:val="0"/>
          <w:sz w:val="24"/>
          <w:szCs w:val="24"/>
          <w:highlight w:val="none"/>
        </w:rPr>
      </w:pPr>
    </w:p>
    <w:p>
      <w:pPr>
        <w:widowControl/>
        <w:spacing w:line="360" w:lineRule="auto"/>
        <w:rPr>
          <w:rFonts w:ascii="宋体" w:hAnsi="宋体" w:cs="宋体"/>
          <w:color w:val="auto"/>
          <w:kern w:val="0"/>
          <w:sz w:val="24"/>
          <w:szCs w:val="24"/>
          <w:highlight w:val="none"/>
        </w:rPr>
      </w:pPr>
    </w:p>
    <w:p>
      <w:pPr>
        <w:widowControl/>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附：身份证复印件粘贴</w:t>
      </w:r>
    </w:p>
    <w:tbl>
      <w:tblPr>
        <w:tblStyle w:val="11"/>
        <w:tblW w:w="9007" w:type="dxa"/>
        <w:tblInd w:w="0" w:type="dxa"/>
        <w:tblLayout w:type="fixed"/>
        <w:tblCellMar>
          <w:top w:w="0" w:type="dxa"/>
          <w:left w:w="108" w:type="dxa"/>
          <w:bottom w:w="0" w:type="dxa"/>
          <w:right w:w="108" w:type="dxa"/>
        </w:tblCellMar>
      </w:tblPr>
      <w:tblGrid>
        <w:gridCol w:w="9007"/>
      </w:tblGrid>
      <w:tr>
        <w:tblPrEx>
          <w:tblCellMar>
            <w:top w:w="0" w:type="dxa"/>
            <w:left w:w="108" w:type="dxa"/>
            <w:bottom w:w="0" w:type="dxa"/>
            <w:right w:w="108" w:type="dxa"/>
          </w:tblCellMar>
        </w:tblPrEx>
        <w:trPr>
          <w:trHeight w:val="3508" w:hRule="atLeast"/>
        </w:trPr>
        <w:tc>
          <w:tcPr>
            <w:tcW w:w="9007"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rPr>
                <w:rFonts w:hint="default" w:ascii="宋体" w:hAnsi="宋体" w:cs="宋体"/>
                <w:color w:val="auto"/>
                <w:kern w:val="0"/>
                <w:sz w:val="32"/>
                <w:szCs w:val="32"/>
                <w:highlight w:val="none"/>
              </w:rPr>
            </w:pPr>
          </w:p>
          <w:p>
            <w:pPr>
              <w:keepNext w:val="0"/>
              <w:keepLines w:val="0"/>
              <w:widowControl/>
              <w:suppressLineNumbers w:val="0"/>
              <w:spacing w:before="0" w:beforeAutospacing="0" w:after="0" w:afterAutospacing="0" w:line="360" w:lineRule="auto"/>
              <w:ind w:left="0" w:right="0"/>
              <w:rPr>
                <w:rFonts w:hint="default" w:ascii="宋体" w:hAnsi="宋体" w:cs="宋体"/>
                <w:color w:val="auto"/>
                <w:kern w:val="0"/>
                <w:sz w:val="32"/>
                <w:szCs w:val="32"/>
                <w:highlight w:val="none"/>
              </w:rPr>
            </w:pPr>
          </w:p>
          <w:p>
            <w:pPr>
              <w:keepNext w:val="0"/>
              <w:keepLines w:val="0"/>
              <w:widowControl/>
              <w:suppressLineNumbers w:val="0"/>
              <w:spacing w:before="0" w:beforeAutospacing="0" w:after="0" w:afterAutospacing="0" w:line="360" w:lineRule="auto"/>
              <w:ind w:left="0" w:right="0"/>
              <w:rPr>
                <w:rFonts w:hint="default" w:ascii="宋体" w:hAnsi="宋体" w:cs="宋体"/>
                <w:color w:val="auto"/>
                <w:kern w:val="0"/>
                <w:sz w:val="32"/>
                <w:szCs w:val="32"/>
                <w:highlight w:val="none"/>
              </w:rPr>
            </w:pPr>
          </w:p>
        </w:tc>
      </w:tr>
    </w:tbl>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adjustRightInd w:val="0"/>
        <w:snapToGrid w:val="0"/>
        <w:spacing w:line="360" w:lineRule="auto"/>
        <w:rPr>
          <w:rFonts w:ascii="宋体" w:hAnsi="宋体" w:cs="宋体"/>
          <w:color w:val="auto"/>
          <w:kern w:val="0"/>
          <w:sz w:val="24"/>
          <w:szCs w:val="24"/>
          <w:highlight w:val="none"/>
        </w:rPr>
      </w:pPr>
      <w:r>
        <w:rPr>
          <w:rFonts w:hint="eastAsia" w:ascii="宋体" w:hAnsi="宋体"/>
          <w:color w:val="auto"/>
          <w:sz w:val="24"/>
          <w:szCs w:val="24"/>
          <w:highlight w:val="none"/>
        </w:rPr>
        <w:br w:type="page"/>
      </w:r>
    </w:p>
    <w:p>
      <w:pPr>
        <w:adjustRightInd w:val="0"/>
        <w:snapToGrid w:val="0"/>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法定代表人授权书</w:t>
      </w:r>
    </w:p>
    <w:p>
      <w:pPr>
        <w:spacing w:before="468" w:beforeLines="150"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兹授权我单位</w:t>
      </w:r>
      <w:r>
        <w:rPr>
          <w:rFonts w:hint="eastAsia" w:ascii="宋体" w:hAnsi="宋体" w:cs="宋体"/>
          <w:color w:val="auto"/>
          <w:kern w:val="0"/>
          <w:sz w:val="24"/>
          <w:szCs w:val="24"/>
          <w:highlight w:val="none"/>
        </w:rPr>
        <w:t>_________</w:t>
      </w:r>
      <w:r>
        <w:rPr>
          <w:rFonts w:hint="eastAsia" w:ascii="宋体" w:hAnsi="宋体" w:cs="宋体"/>
          <w:color w:val="auto"/>
          <w:sz w:val="28"/>
          <w:szCs w:val="28"/>
          <w:highlight w:val="none"/>
        </w:rPr>
        <w:t>担任</w:t>
      </w:r>
      <w:r>
        <w:rPr>
          <w:rFonts w:hint="eastAsia" w:ascii="宋体" w:hAnsi="宋体" w:cs="宋体"/>
          <w:color w:val="auto"/>
          <w:kern w:val="0"/>
          <w:sz w:val="24"/>
          <w:szCs w:val="24"/>
          <w:highlight w:val="none"/>
        </w:rPr>
        <w:t>_______________</w:t>
      </w:r>
      <w:r>
        <w:rPr>
          <w:rFonts w:hint="eastAsia" w:ascii="宋体" w:hAnsi="宋体" w:cs="宋体"/>
          <w:color w:val="auto"/>
          <w:sz w:val="28"/>
          <w:szCs w:val="28"/>
          <w:highlight w:val="none"/>
        </w:rPr>
        <w:t>工程项目的设计项目负责人，对该工程项目的设计工作实施组织管理，依据国家有关法律法规及标准规范履行职责，并依法对设计使用年限内的工程质量承担相应终身责任。</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本授权书自授权之日起生效。</w:t>
      </w:r>
    </w:p>
    <w:p>
      <w:pPr>
        <w:spacing w:line="360" w:lineRule="auto"/>
        <w:ind w:firstLine="560" w:firstLineChars="200"/>
        <w:rPr>
          <w:rFonts w:ascii="宋体" w:hAnsi="宋体" w:cs="宋体"/>
          <w:color w:val="auto"/>
          <w:sz w:val="28"/>
          <w:szCs w:val="28"/>
          <w:highlight w:val="none"/>
        </w:rPr>
      </w:pPr>
    </w:p>
    <w:tbl>
      <w:tblPr>
        <w:tblStyle w:val="11"/>
        <w:tblW w:w="8755" w:type="dxa"/>
        <w:tblInd w:w="0" w:type="dxa"/>
        <w:tblLayout w:type="fixed"/>
        <w:tblCellMar>
          <w:top w:w="0" w:type="dxa"/>
          <w:left w:w="108" w:type="dxa"/>
          <w:bottom w:w="0" w:type="dxa"/>
          <w:right w:w="108" w:type="dxa"/>
        </w:tblCellMar>
      </w:tblPr>
      <w:tblGrid>
        <w:gridCol w:w="2130"/>
        <w:gridCol w:w="2231"/>
        <w:gridCol w:w="1843"/>
        <w:gridCol w:w="2551"/>
      </w:tblGrid>
      <w:tr>
        <w:tblPrEx>
          <w:tblCellMar>
            <w:top w:w="0" w:type="dxa"/>
            <w:left w:w="108" w:type="dxa"/>
            <w:bottom w:w="0" w:type="dxa"/>
            <w:right w:w="108" w:type="dxa"/>
          </w:tblCellMar>
        </w:tblPrEx>
        <w:trPr>
          <w:trHeight w:val="551" w:hRule="atLeast"/>
        </w:trPr>
        <w:tc>
          <w:tcPr>
            <w:tcW w:w="875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b/>
                <w:color w:val="auto"/>
                <w:sz w:val="24"/>
                <w:szCs w:val="24"/>
                <w:highlight w:val="none"/>
              </w:rPr>
              <w:t>被授权人基本情况</w:t>
            </w:r>
          </w:p>
        </w:tc>
      </w:tr>
      <w:tr>
        <w:tblPrEx>
          <w:tblCellMar>
            <w:top w:w="0" w:type="dxa"/>
            <w:left w:w="108" w:type="dxa"/>
            <w:bottom w:w="0" w:type="dxa"/>
            <w:right w:w="108" w:type="dxa"/>
          </w:tblCellMar>
        </w:tblPrEx>
        <w:trPr>
          <w:trHeight w:val="512" w:hRule="atLeast"/>
        </w:trPr>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姓  名</w:t>
            </w:r>
          </w:p>
        </w:tc>
        <w:tc>
          <w:tcPr>
            <w:tcW w:w="223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c>
          <w:tcPr>
            <w:tcW w:w="184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5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r>
      <w:tr>
        <w:tblPrEx>
          <w:tblCellMar>
            <w:top w:w="0" w:type="dxa"/>
            <w:left w:w="108" w:type="dxa"/>
            <w:bottom w:w="0" w:type="dxa"/>
            <w:right w:w="108" w:type="dxa"/>
          </w:tblCellMar>
        </w:tblPrEx>
        <w:trPr>
          <w:trHeight w:val="578" w:hRule="atLeast"/>
        </w:trPr>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注册执业资格</w:t>
            </w:r>
          </w:p>
        </w:tc>
        <w:tc>
          <w:tcPr>
            <w:tcW w:w="223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c>
          <w:tcPr>
            <w:tcW w:w="184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注册执业证号</w:t>
            </w:r>
          </w:p>
        </w:tc>
        <w:tc>
          <w:tcPr>
            <w:tcW w:w="255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r>
      <w:tr>
        <w:tblPrEx>
          <w:tblCellMar>
            <w:top w:w="0" w:type="dxa"/>
            <w:left w:w="108" w:type="dxa"/>
            <w:bottom w:w="0" w:type="dxa"/>
            <w:right w:w="108" w:type="dxa"/>
          </w:tblCellMar>
        </w:tblPrEx>
        <w:trPr>
          <w:trHeight w:val="1075" w:hRule="atLeast"/>
        </w:trPr>
        <w:tc>
          <w:tcPr>
            <w:tcW w:w="875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被授权人签字：</w:t>
            </w:r>
          </w:p>
        </w:tc>
      </w:tr>
    </w:tbl>
    <w:p>
      <w:pPr>
        <w:spacing w:line="360" w:lineRule="auto"/>
        <w:rPr>
          <w:rFonts w:ascii="宋体" w:hAnsi="宋体" w:cs="宋体"/>
          <w:color w:val="auto"/>
          <w:sz w:val="28"/>
          <w:szCs w:val="28"/>
          <w:highlight w:val="none"/>
        </w:rPr>
      </w:pPr>
    </w:p>
    <w:p>
      <w:pPr>
        <w:spacing w:line="360" w:lineRule="auto"/>
        <w:ind w:left="6860" w:leftChars="200" w:hanging="6440" w:hangingChars="2000"/>
        <w:jc w:val="left"/>
        <w:rPr>
          <w:rFonts w:ascii="宋体" w:hAnsi="宋体" w:cs="宋体"/>
          <w:color w:val="auto"/>
          <w:sz w:val="28"/>
          <w:szCs w:val="28"/>
          <w:highlight w:val="none"/>
          <w:u w:val="single"/>
        </w:rPr>
      </w:pPr>
      <w:r>
        <w:rPr>
          <w:rFonts w:hint="eastAsia" w:ascii="宋体" w:hAnsi="宋体" w:cs="宋体"/>
          <w:color w:val="auto"/>
          <w:spacing w:val="21"/>
          <w:sz w:val="28"/>
          <w:szCs w:val="28"/>
          <w:highlight w:val="none"/>
        </w:rPr>
        <w:t>授权单位（盖章）</w:t>
      </w:r>
      <w:r>
        <w:rPr>
          <w:rFonts w:hint="eastAsia" w:ascii="宋体" w:hAnsi="宋体" w:cs="宋体"/>
          <w:color w:val="auto"/>
          <w:sz w:val="28"/>
          <w:szCs w:val="28"/>
          <w:highlight w:val="none"/>
        </w:rPr>
        <w:t>：</w:t>
      </w:r>
      <w:r>
        <w:rPr>
          <w:rFonts w:hint="eastAsia" w:ascii="宋体" w:hAnsi="宋体" w:cs="宋体"/>
          <w:color w:val="auto"/>
          <w:sz w:val="28"/>
          <w:szCs w:val="28"/>
          <w:highlight w:val="none"/>
          <w:u w:val="single"/>
        </w:rPr>
        <w:t>____________________</w:t>
      </w:r>
    </w:p>
    <w:p>
      <w:pPr>
        <w:spacing w:line="360" w:lineRule="auto"/>
        <w:ind w:firstLine="560" w:firstLineChars="200"/>
        <w:rPr>
          <w:rFonts w:ascii="宋体" w:hAnsi="宋体" w:cs="宋体"/>
          <w:color w:val="auto"/>
          <w:sz w:val="28"/>
          <w:szCs w:val="28"/>
          <w:highlight w:val="none"/>
          <w:u w:val="single"/>
        </w:rPr>
      </w:pPr>
      <w:r>
        <w:rPr>
          <w:rFonts w:hint="eastAsia" w:ascii="宋体" w:hAnsi="宋体" w:cs="宋体"/>
          <w:color w:val="auto"/>
          <w:sz w:val="28"/>
          <w:szCs w:val="28"/>
          <w:highlight w:val="none"/>
        </w:rPr>
        <w:t xml:space="preserve">                法定代表人（签字）：</w:t>
      </w:r>
    </w:p>
    <w:p>
      <w:pPr>
        <w:spacing w:line="360" w:lineRule="auto"/>
        <w:ind w:firstLine="644" w:firstLineChars="200"/>
        <w:rPr>
          <w:rFonts w:ascii="宋体" w:hAnsi="宋体" w:cs="宋体"/>
          <w:color w:val="auto"/>
          <w:sz w:val="28"/>
          <w:szCs w:val="28"/>
          <w:highlight w:val="none"/>
        </w:rPr>
      </w:pPr>
      <w:r>
        <w:rPr>
          <w:rFonts w:hint="eastAsia" w:ascii="宋体" w:hAnsi="宋体" w:cs="宋体"/>
          <w:color w:val="auto"/>
          <w:spacing w:val="21"/>
          <w:sz w:val="28"/>
          <w:szCs w:val="28"/>
          <w:highlight w:val="none"/>
        </w:rPr>
        <w:t>授权日期：</w:t>
      </w:r>
      <w:r>
        <w:rPr>
          <w:rFonts w:hint="eastAsia" w:ascii="宋体" w:hAnsi="宋体" w:cs="宋体"/>
          <w:color w:val="auto"/>
          <w:sz w:val="28"/>
          <w:szCs w:val="28"/>
          <w:highlight w:val="none"/>
          <w:u w:val="single"/>
        </w:rPr>
        <w:t xml:space="preserve">  ___</w:t>
      </w:r>
      <w:r>
        <w:rPr>
          <w:rFonts w:hint="eastAsia" w:ascii="宋体" w:hAnsi="宋体" w:cs="宋体"/>
          <w:color w:val="auto"/>
          <w:sz w:val="28"/>
          <w:szCs w:val="28"/>
          <w:highlight w:val="none"/>
        </w:rPr>
        <w:t>年月日</w:t>
      </w: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jc w:val="center"/>
        <w:rPr>
          <w:rFonts w:ascii="宋体" w:hAnsi="宋体" w:cs="宋体"/>
          <w:b/>
          <w:color w:val="auto"/>
          <w:kern w:val="0"/>
          <w:sz w:val="44"/>
          <w:szCs w:val="44"/>
          <w:highlight w:val="none"/>
        </w:rPr>
      </w:pPr>
      <w:r>
        <w:rPr>
          <w:rFonts w:hint="eastAsia" w:ascii="宋体" w:hAnsi="宋体"/>
          <w:color w:val="auto"/>
          <w:szCs w:val="21"/>
          <w:highlight w:val="none"/>
        </w:rPr>
        <w:br w:type="page"/>
      </w:r>
      <w:r>
        <w:rPr>
          <w:rFonts w:hint="eastAsia" w:ascii="宋体" w:hAnsi="宋体" w:cs="宋体"/>
          <w:b/>
          <w:color w:val="auto"/>
          <w:kern w:val="0"/>
          <w:sz w:val="44"/>
          <w:szCs w:val="44"/>
          <w:highlight w:val="none"/>
        </w:rPr>
        <w:t>建筑工程质量安全终身责任承诺书</w:t>
      </w:r>
    </w:p>
    <w:p>
      <w:pPr>
        <w:widowControl/>
        <w:spacing w:line="360" w:lineRule="auto"/>
        <w:jc w:val="center"/>
        <w:rPr>
          <w:rFonts w:ascii="宋体" w:hAnsi="宋体" w:cs="宋体"/>
          <w:color w:val="auto"/>
          <w:kern w:val="0"/>
          <w:sz w:val="32"/>
          <w:szCs w:val="32"/>
          <w:highlight w:val="none"/>
        </w:rPr>
      </w:pPr>
      <w:r>
        <w:rPr>
          <w:rFonts w:hint="eastAsia" w:ascii="宋体" w:hAnsi="宋体" w:cs="宋体"/>
          <w:color w:val="auto"/>
          <w:kern w:val="0"/>
          <w:sz w:val="32"/>
          <w:szCs w:val="32"/>
          <w:highlight w:val="none"/>
        </w:rPr>
        <w:t>（设计单位及项目负责人）</w:t>
      </w:r>
    </w:p>
    <w:p>
      <w:pPr>
        <w:widowControl/>
        <w:spacing w:before="312" w:beforeLines="100" w:after="312" w:afterLines="100" w:line="360" w:lineRule="auto"/>
        <w:rPr>
          <w:rFonts w:ascii="宋体" w:hAnsi="宋体" w:cs="宋体"/>
          <w:b/>
          <w:color w:val="auto"/>
          <w:kern w:val="0"/>
          <w:sz w:val="24"/>
          <w:szCs w:val="24"/>
          <w:highlight w:val="none"/>
        </w:rPr>
      </w:pPr>
      <w:r>
        <w:rPr>
          <w:rFonts w:hint="eastAsia" w:ascii="宋体" w:hAnsi="宋体" w:cs="宋体"/>
          <w:color w:val="auto"/>
          <w:kern w:val="0"/>
          <w:sz w:val="24"/>
          <w:szCs w:val="24"/>
          <w:highlight w:val="none"/>
        </w:rPr>
        <w:t>广州市重点公共建设项目管理中心：</w:t>
      </w:r>
    </w:p>
    <w:p>
      <w:pPr>
        <w:widowControl/>
        <w:spacing w:line="360" w:lineRule="auto"/>
        <w:ind w:firstLine="470" w:firstLineChars="196"/>
        <w:rPr>
          <w:rFonts w:ascii="宋体" w:hAnsi="宋体" w:cs="宋体"/>
          <w:color w:val="auto"/>
          <w:kern w:val="0"/>
          <w:sz w:val="24"/>
          <w:szCs w:val="24"/>
          <w:highlight w:val="none"/>
        </w:rPr>
      </w:pPr>
      <w:r>
        <w:rPr>
          <w:rFonts w:hint="eastAsia" w:ascii="宋体" w:hAnsi="宋体" w:cs="宋体"/>
          <w:color w:val="auto"/>
          <w:kern w:val="0"/>
          <w:sz w:val="24"/>
          <w:szCs w:val="24"/>
          <w:highlight w:val="none"/>
        </w:rPr>
        <w:t>我单位与贵中心就_____________勘察设计事宜签订了《_____________勘察设计合同》（合同编号：_______）。现我单位授权_________（职务：_________，执业资格：_________，身份证号码：____________）担任___________建设工程设计项目负责人，代表我单位对该工程项目设计工作实施组织管理。我单位承诺且保证项目负责人将严格依据国家有关法律法规及标准规范履行职责，并对设计使用年限内的工程质量安全承担相应终身责任。现郑重承诺如下：</w:t>
      </w:r>
    </w:p>
    <w:p>
      <w:pPr>
        <w:widowControl/>
        <w:spacing w:line="360" w:lineRule="auto"/>
        <w:rPr>
          <w:rFonts w:ascii="宋体" w:hAnsi="宋体" w:cs="仿宋_GB2312"/>
          <w:color w:val="auto"/>
          <w:kern w:val="0"/>
          <w:sz w:val="24"/>
          <w:szCs w:val="24"/>
          <w:highlight w:val="none"/>
        </w:rPr>
      </w:pPr>
      <w:r>
        <w:rPr>
          <w:rFonts w:hint="eastAsia" w:ascii="宋体" w:hAnsi="宋体" w:cs="宋体"/>
          <w:color w:val="auto"/>
          <w:kern w:val="0"/>
          <w:sz w:val="24"/>
          <w:szCs w:val="24"/>
          <w:highlight w:val="none"/>
        </w:rPr>
        <w:t>一、保证确认承担项目的设计人员符合相应的注册执业资格要求，具备相应的专业技术能力。不允许他人以本人的名义承担工程设计项目。</w:t>
      </w:r>
    </w:p>
    <w:p>
      <w:pPr>
        <w:widowControl/>
        <w:spacing w:line="360" w:lineRule="auto"/>
        <w:ind w:firstLine="480" w:firstLineChars="200"/>
        <w:rPr>
          <w:rFonts w:ascii="宋体" w:hAnsi="宋体" w:cs="仿宋_GB2312"/>
          <w:color w:val="auto"/>
          <w:kern w:val="0"/>
          <w:sz w:val="24"/>
          <w:szCs w:val="24"/>
          <w:highlight w:val="none"/>
        </w:rPr>
      </w:pPr>
      <w:r>
        <w:rPr>
          <w:rFonts w:hint="eastAsia" w:ascii="宋体" w:hAnsi="宋体" w:cs="宋体"/>
          <w:color w:val="auto"/>
          <w:kern w:val="0"/>
          <w:sz w:val="24"/>
          <w:szCs w:val="24"/>
          <w:highlight w:val="none"/>
        </w:rPr>
        <w:t>二、依据有关法律法规、项目批准文件、城乡规划、工程建设强制性标准、设计深度要求、设计合同（包括设计任务书）和工程勘察成果文件，就相关要求向设计人员交底，组织开展建筑工程设计工作，协调各专业之间及与外部各单位之间的技术接口工作。</w:t>
      </w:r>
    </w:p>
    <w:p>
      <w:pPr>
        <w:widowControl/>
        <w:spacing w:line="360" w:lineRule="auto"/>
        <w:ind w:firstLine="480" w:firstLineChars="200"/>
        <w:rPr>
          <w:rFonts w:ascii="宋体" w:hAnsi="宋体" w:cs="仿宋_GB2312"/>
          <w:color w:val="auto"/>
          <w:kern w:val="0"/>
          <w:sz w:val="24"/>
          <w:szCs w:val="24"/>
          <w:highlight w:val="none"/>
        </w:rPr>
      </w:pPr>
      <w:r>
        <w:rPr>
          <w:rFonts w:hint="eastAsia" w:ascii="宋体" w:hAnsi="宋体" w:cs="宋体"/>
          <w:color w:val="auto"/>
          <w:kern w:val="0"/>
          <w:sz w:val="24"/>
          <w:szCs w:val="24"/>
          <w:highlight w:val="none"/>
        </w:rPr>
        <w:t>三、要求设计人员在设计文件中注明建筑工程合理使用年限，标明采用的建筑材料、建筑构配件和设备的规格、性能等技术指标，其质量要求必须符合国家规定的标准及建筑工程的功能需求。</w:t>
      </w:r>
    </w:p>
    <w:p>
      <w:pPr>
        <w:widowControl/>
        <w:spacing w:line="360" w:lineRule="auto"/>
        <w:ind w:firstLine="480" w:firstLineChars="200"/>
        <w:rPr>
          <w:rFonts w:ascii="宋体" w:hAnsi="宋体" w:cs="仿宋_GB2312"/>
          <w:color w:val="auto"/>
          <w:kern w:val="0"/>
          <w:sz w:val="24"/>
          <w:szCs w:val="24"/>
          <w:highlight w:val="none"/>
        </w:rPr>
      </w:pPr>
      <w:r>
        <w:rPr>
          <w:rFonts w:hint="eastAsia" w:ascii="宋体" w:hAnsi="宋体" w:cs="宋体"/>
          <w:color w:val="auto"/>
          <w:kern w:val="0"/>
          <w:sz w:val="24"/>
          <w:szCs w:val="24"/>
          <w:highlight w:val="none"/>
        </w:rPr>
        <w:t>四、要求设计人员考虑施工安全操作和防护的需要，在设计文件中注明涉及施工安全的重点部位和环节，并对防范安全生产事故提出指导意见；采用新结构、新材料、新工艺和特殊结构的，应在设计中提出保障施工作业人员安全和预防生产安全事故的措施建议。</w:t>
      </w:r>
    </w:p>
    <w:p>
      <w:pPr>
        <w:widowControl/>
        <w:spacing w:line="360" w:lineRule="auto"/>
        <w:ind w:firstLine="480" w:firstLineChars="200"/>
        <w:rPr>
          <w:rFonts w:ascii="宋体" w:hAnsi="宋体" w:cs="仿宋_GB2312"/>
          <w:color w:val="auto"/>
          <w:kern w:val="0"/>
          <w:sz w:val="24"/>
          <w:szCs w:val="24"/>
          <w:highlight w:val="none"/>
        </w:rPr>
      </w:pPr>
      <w:r>
        <w:rPr>
          <w:rFonts w:hint="eastAsia" w:ascii="宋体" w:hAnsi="宋体" w:cs="宋体"/>
          <w:color w:val="auto"/>
          <w:kern w:val="0"/>
          <w:sz w:val="24"/>
          <w:szCs w:val="24"/>
          <w:highlight w:val="none"/>
        </w:rPr>
        <w:t>五、严格核验各专业设计、校核、审核、审定等技术人员在相关设计文件上的签字，核验注册建筑师、注册结构工程师等注册执业人员在设计文件上的签章，并对各专业设计文件验收签字。</w:t>
      </w:r>
    </w:p>
    <w:p>
      <w:pPr>
        <w:widowControl/>
        <w:spacing w:line="360" w:lineRule="auto"/>
        <w:ind w:firstLine="480" w:firstLineChars="200"/>
        <w:rPr>
          <w:rFonts w:ascii="宋体" w:hAnsi="宋体" w:cs="仿宋_GB2312"/>
          <w:color w:val="auto"/>
          <w:kern w:val="0"/>
          <w:sz w:val="24"/>
          <w:szCs w:val="24"/>
          <w:highlight w:val="none"/>
        </w:rPr>
      </w:pPr>
      <w:r>
        <w:rPr>
          <w:rFonts w:hint="eastAsia" w:ascii="宋体" w:hAnsi="宋体" w:cs="宋体"/>
          <w:color w:val="auto"/>
          <w:kern w:val="0"/>
          <w:sz w:val="24"/>
          <w:szCs w:val="24"/>
          <w:highlight w:val="none"/>
        </w:rPr>
        <w:t>六、在施工前就审查合格的施工图设计文件，组织设计人员向施工及监理单位做出详细说明；组织设计人员解决施工中出现的设计问题。不在违反强制性标准或不满足设计要求的变更文件上签字。根据设计合同中约定的责任、权利、费用和时限，组织开展后期服务工作。</w:t>
      </w:r>
    </w:p>
    <w:p>
      <w:pPr>
        <w:widowControl/>
        <w:spacing w:line="360" w:lineRule="auto"/>
        <w:ind w:firstLine="480" w:firstLineChars="200"/>
        <w:rPr>
          <w:rFonts w:ascii="宋体" w:hAnsi="宋体" w:cs="仿宋_GB2312"/>
          <w:color w:val="auto"/>
          <w:kern w:val="0"/>
          <w:sz w:val="24"/>
          <w:szCs w:val="24"/>
          <w:highlight w:val="none"/>
        </w:rPr>
      </w:pPr>
      <w:r>
        <w:rPr>
          <w:rFonts w:hint="eastAsia" w:ascii="宋体" w:hAnsi="宋体" w:cs="宋体"/>
          <w:color w:val="auto"/>
          <w:kern w:val="0"/>
          <w:sz w:val="24"/>
          <w:szCs w:val="24"/>
          <w:highlight w:val="none"/>
        </w:rPr>
        <w:t>七、组织设计人员参加建筑工程竣工验收，验收合格后在相关验收文件上签字；组织设计人员参与相关工程质量安全事故分析，并对因设计原因造成的质量安全事故，提出与设计工作相关的技术处理措施；组织相关人员及时将设计资料归档保存。</w:t>
      </w:r>
    </w:p>
    <w:p>
      <w:pPr>
        <w:widowControl/>
        <w:spacing w:line="360" w:lineRule="auto"/>
        <w:ind w:firstLine="480" w:firstLineChars="200"/>
        <w:rPr>
          <w:rFonts w:ascii="宋体" w:hAnsi="宋体" w:cs="仿宋_GB2312"/>
          <w:color w:val="auto"/>
          <w:kern w:val="0"/>
          <w:sz w:val="24"/>
          <w:szCs w:val="24"/>
          <w:highlight w:val="none"/>
        </w:rPr>
      </w:pPr>
      <w:r>
        <w:rPr>
          <w:rFonts w:hint="eastAsia" w:ascii="宋体" w:hAnsi="宋体" w:cs="宋体"/>
          <w:color w:val="auto"/>
          <w:kern w:val="0"/>
          <w:sz w:val="24"/>
          <w:szCs w:val="24"/>
          <w:highlight w:val="none"/>
        </w:rPr>
        <w:t>违反上述承诺，本单位及本单位授权的项目负责人愿意承担一切法律责任，包括但不限于依据住建部《建筑工程五方责任主体项目负责人质量终身责任追究暂行办法》及《建筑工程设计单位项目负责人质量安全责任七项规定（试行）》的规定承担相应行政责任，及依据《建设工程质量管理条例》及其他相关法律法规承担刑事和民事责任。</w:t>
      </w:r>
    </w:p>
    <w:p>
      <w:pPr>
        <w:widowControl/>
        <w:spacing w:line="360" w:lineRule="auto"/>
        <w:rPr>
          <w:rFonts w:ascii="宋体" w:hAnsi="宋体" w:cs="宋体"/>
          <w:color w:val="auto"/>
          <w:kern w:val="0"/>
          <w:sz w:val="24"/>
          <w:szCs w:val="24"/>
          <w:highlight w:val="none"/>
        </w:rPr>
      </w:pPr>
    </w:p>
    <w:p>
      <w:pPr>
        <w:widowControl/>
        <w:spacing w:line="360" w:lineRule="auto"/>
        <w:ind w:left="6000" w:hanging="6000" w:hangingChars="2500"/>
        <w:rPr>
          <w:rFonts w:ascii="宋体" w:hAnsi="宋体" w:cs="宋体"/>
          <w:color w:val="auto"/>
          <w:kern w:val="0"/>
          <w:sz w:val="24"/>
          <w:szCs w:val="24"/>
          <w:highlight w:val="none"/>
        </w:rPr>
      </w:pPr>
      <w:r>
        <w:rPr>
          <w:rFonts w:hint="eastAsia" w:ascii="宋体" w:hAnsi="宋体" w:cs="宋体"/>
          <w:color w:val="auto"/>
          <w:kern w:val="0"/>
          <w:sz w:val="24"/>
          <w:szCs w:val="24"/>
          <w:highlight w:val="none"/>
        </w:rPr>
        <w:t>设计项目负责人（签名）：          _______________________（单位盖章）</w:t>
      </w:r>
    </w:p>
    <w:p>
      <w:pPr>
        <w:widowControl/>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年   月   日</w:t>
      </w:r>
    </w:p>
    <w:p>
      <w:pPr>
        <w:widowControl/>
        <w:spacing w:line="360" w:lineRule="auto"/>
        <w:rPr>
          <w:rFonts w:ascii="宋体" w:hAnsi="宋体" w:cs="宋体"/>
          <w:color w:val="auto"/>
          <w:kern w:val="0"/>
          <w:sz w:val="24"/>
          <w:szCs w:val="24"/>
          <w:highlight w:val="none"/>
        </w:rPr>
      </w:pPr>
    </w:p>
    <w:p>
      <w:pPr>
        <w:widowControl/>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附：身份证复印件粘贴</w:t>
      </w:r>
    </w:p>
    <w:tbl>
      <w:tblPr>
        <w:tblStyle w:val="11"/>
        <w:tblW w:w="9057" w:type="dxa"/>
        <w:tblInd w:w="0" w:type="dxa"/>
        <w:tblLayout w:type="fixed"/>
        <w:tblCellMar>
          <w:top w:w="0" w:type="dxa"/>
          <w:left w:w="108" w:type="dxa"/>
          <w:bottom w:w="0" w:type="dxa"/>
          <w:right w:w="108" w:type="dxa"/>
        </w:tblCellMar>
      </w:tblPr>
      <w:tblGrid>
        <w:gridCol w:w="9057"/>
      </w:tblGrid>
      <w:tr>
        <w:tblPrEx>
          <w:tblCellMar>
            <w:top w:w="0" w:type="dxa"/>
            <w:left w:w="108" w:type="dxa"/>
            <w:bottom w:w="0" w:type="dxa"/>
            <w:right w:w="108" w:type="dxa"/>
          </w:tblCellMar>
        </w:tblPrEx>
        <w:trPr>
          <w:trHeight w:val="3566" w:hRule="atLeast"/>
        </w:trPr>
        <w:tc>
          <w:tcPr>
            <w:tcW w:w="9057"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auto"/>
              <w:ind w:left="0" w:right="0"/>
              <w:rPr>
                <w:rFonts w:hint="default" w:ascii="宋体" w:hAnsi="宋体" w:cs="宋体"/>
                <w:color w:val="auto"/>
                <w:kern w:val="0"/>
                <w:sz w:val="32"/>
                <w:szCs w:val="32"/>
                <w:highlight w:val="none"/>
              </w:rPr>
            </w:pPr>
          </w:p>
          <w:p>
            <w:pPr>
              <w:keepNext w:val="0"/>
              <w:keepLines w:val="0"/>
              <w:widowControl/>
              <w:suppressLineNumbers w:val="0"/>
              <w:spacing w:before="0" w:beforeAutospacing="0" w:after="0" w:afterAutospacing="0" w:line="360" w:lineRule="auto"/>
              <w:ind w:left="0" w:right="0"/>
              <w:rPr>
                <w:rFonts w:hint="default" w:ascii="宋体" w:hAnsi="宋体" w:cs="宋体"/>
                <w:color w:val="auto"/>
                <w:kern w:val="0"/>
                <w:sz w:val="32"/>
                <w:szCs w:val="32"/>
                <w:highlight w:val="none"/>
              </w:rPr>
            </w:pPr>
          </w:p>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color w:val="auto"/>
                <w:kern w:val="0"/>
                <w:sz w:val="32"/>
                <w:szCs w:val="32"/>
                <w:highlight w:val="none"/>
              </w:rPr>
            </w:pPr>
          </w:p>
        </w:tc>
      </w:tr>
    </w:tbl>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jc w:val="center"/>
        <w:rPr>
          <w:rFonts w:ascii="宋体" w:hAnsi="宋体" w:cs="黑体"/>
          <w:b/>
          <w:color w:val="auto"/>
          <w:kern w:val="0"/>
          <w:sz w:val="44"/>
          <w:szCs w:val="44"/>
          <w:highlight w:val="none"/>
        </w:rPr>
      </w:pPr>
      <w:r>
        <w:rPr>
          <w:rFonts w:hint="eastAsia" w:ascii="宋体" w:hAnsi="宋体"/>
          <w:color w:val="auto"/>
          <w:szCs w:val="21"/>
          <w:highlight w:val="none"/>
        </w:rPr>
        <w:br w:type="page"/>
      </w:r>
      <w:r>
        <w:rPr>
          <w:rFonts w:hint="eastAsia" w:ascii="宋体" w:hAnsi="宋体" w:cs="宋体"/>
          <w:b/>
          <w:color w:val="auto"/>
          <w:kern w:val="0"/>
          <w:sz w:val="44"/>
          <w:szCs w:val="44"/>
          <w:highlight w:val="none"/>
        </w:rPr>
        <w:t>建筑工程勘察设计项目负责人更换保证书</w:t>
      </w:r>
    </w:p>
    <w:p>
      <w:pPr>
        <w:widowControl/>
        <w:spacing w:before="312" w:beforeLines="100" w:line="360" w:lineRule="auto"/>
        <w:rPr>
          <w:rFonts w:ascii="宋体" w:hAnsi="宋体" w:cs="宋体"/>
          <w:b/>
          <w:color w:val="auto"/>
          <w:kern w:val="0"/>
          <w:sz w:val="24"/>
          <w:szCs w:val="24"/>
          <w:highlight w:val="none"/>
        </w:rPr>
      </w:pPr>
      <w:r>
        <w:rPr>
          <w:rFonts w:hint="eastAsia" w:ascii="宋体" w:hAnsi="宋体" w:cs="宋体"/>
          <w:color w:val="auto"/>
          <w:kern w:val="0"/>
          <w:sz w:val="24"/>
          <w:szCs w:val="24"/>
          <w:highlight w:val="none"/>
        </w:rPr>
        <w:t>广州市重点公共建设项目管理中心：</w:t>
      </w:r>
    </w:p>
    <w:p>
      <w:pPr>
        <w:widowControl/>
        <w:spacing w:line="360" w:lineRule="auto"/>
        <w:ind w:firstLine="480" w:firstLineChars="200"/>
        <w:rPr>
          <w:rFonts w:ascii="宋体" w:hAnsi="宋体" w:cs="仿宋_GB2312"/>
          <w:color w:val="auto"/>
          <w:kern w:val="0"/>
          <w:sz w:val="24"/>
          <w:szCs w:val="24"/>
          <w:highlight w:val="none"/>
        </w:rPr>
      </w:pPr>
      <w:r>
        <w:rPr>
          <w:rFonts w:hint="eastAsia" w:ascii="宋体" w:hAnsi="宋体" w:cs="宋体"/>
          <w:color w:val="auto"/>
          <w:kern w:val="0"/>
          <w:sz w:val="24"/>
          <w:szCs w:val="24"/>
          <w:highlight w:val="none"/>
        </w:rPr>
        <w:t>我单位承担___________项目的勘察设计工作,并分别授权___________担任本工程勘察、设计项目负责人，代表我单位对该工程项目的勘察、设计工作实施组织管理。我单位将严格监督所指派的项目负责人遵守《建筑工程质量安全终身责任承诺书》，如该项目负责人需更换，我单位郑重承诺如下：</w:t>
      </w:r>
    </w:p>
    <w:p>
      <w:pPr>
        <w:widowControl/>
        <w:spacing w:line="360" w:lineRule="auto"/>
        <w:ind w:firstLine="480" w:firstLineChars="200"/>
        <w:rPr>
          <w:rFonts w:ascii="宋体" w:hAnsi="宋体" w:cs="仿宋_GB2312"/>
          <w:color w:val="auto"/>
          <w:kern w:val="0"/>
          <w:sz w:val="24"/>
          <w:szCs w:val="24"/>
          <w:highlight w:val="none"/>
        </w:rPr>
      </w:pPr>
      <w:r>
        <w:rPr>
          <w:rFonts w:hint="eastAsia" w:ascii="宋体" w:hAnsi="宋体" w:cs="宋体"/>
          <w:color w:val="auto"/>
          <w:sz w:val="24"/>
          <w:szCs w:val="24"/>
          <w:highlight w:val="none"/>
        </w:rPr>
        <w:t>一、我单位保证</w:t>
      </w:r>
      <w:r>
        <w:rPr>
          <w:rFonts w:hint="eastAsia" w:ascii="宋体" w:hAnsi="宋体" w:cs="宋体"/>
          <w:color w:val="auto"/>
          <w:kern w:val="0"/>
          <w:sz w:val="24"/>
          <w:szCs w:val="24"/>
          <w:highlight w:val="none"/>
        </w:rPr>
        <w:t>非经过贵中心同意，项目负责人不得更换或再参与本合同项目以外的其他工作。</w:t>
      </w:r>
    </w:p>
    <w:p>
      <w:pPr>
        <w:widowControl/>
        <w:spacing w:line="360" w:lineRule="auto"/>
        <w:ind w:firstLine="480" w:firstLineChars="200"/>
        <w:rPr>
          <w:rFonts w:ascii="宋体" w:hAnsi="宋体" w:cs="仿宋_GB2312"/>
          <w:color w:val="auto"/>
          <w:kern w:val="0"/>
          <w:sz w:val="24"/>
          <w:szCs w:val="24"/>
          <w:highlight w:val="none"/>
        </w:rPr>
      </w:pPr>
      <w:r>
        <w:rPr>
          <w:rFonts w:hint="eastAsia" w:ascii="宋体" w:hAnsi="宋体" w:cs="宋体"/>
          <w:color w:val="auto"/>
          <w:kern w:val="0"/>
          <w:sz w:val="24"/>
          <w:szCs w:val="24"/>
          <w:highlight w:val="none"/>
        </w:rPr>
        <w:t>二、贵中心认为勘察或设计项目负责人不称职时，有权向我单位发出书面更换人员通知，我单位在收到书面通知后</w:t>
      </w:r>
      <w:r>
        <w:rPr>
          <w:rFonts w:hint="eastAsia" w:ascii="宋体" w:hAnsi="宋体" w:cs="仿宋_GB2312"/>
          <w:color w:val="auto"/>
          <w:kern w:val="0"/>
          <w:sz w:val="24"/>
          <w:szCs w:val="24"/>
          <w:highlight w:val="none"/>
        </w:rPr>
        <w:t>5天内更换，更换人员须先经过贵中心确认。若我单位对贵中心要求更换人员有异议时，可申请复议一次，若经复议后贵中心仍然要求更换，则我单位将无条件进行更换，否则视该项目负责人从贵中心发出更换通知的时间开始擅自离岗。</w:t>
      </w:r>
    </w:p>
    <w:p>
      <w:pPr>
        <w:widowControl/>
        <w:spacing w:line="360" w:lineRule="auto"/>
        <w:ind w:firstLine="480" w:firstLineChars="200"/>
        <w:rPr>
          <w:rFonts w:ascii="宋体" w:hAnsi="宋体" w:cs="仿宋_GB2312"/>
          <w:color w:val="auto"/>
          <w:kern w:val="0"/>
          <w:sz w:val="24"/>
          <w:szCs w:val="24"/>
          <w:highlight w:val="none"/>
        </w:rPr>
      </w:pPr>
      <w:r>
        <w:rPr>
          <w:rFonts w:hint="eastAsia" w:ascii="宋体" w:hAnsi="宋体" w:cs="宋体"/>
          <w:color w:val="auto"/>
          <w:kern w:val="0"/>
          <w:sz w:val="24"/>
          <w:szCs w:val="24"/>
          <w:highlight w:val="none"/>
        </w:rPr>
        <w:t>三、保证上述两种情况下更换项目负责人，更换人员的职务、资历、资格不低于招标文件、投标文件、本合同及相应法律法规和政府文件的要求。</w:t>
      </w:r>
    </w:p>
    <w:p>
      <w:pPr>
        <w:spacing w:line="360" w:lineRule="auto"/>
        <w:ind w:firstLine="480" w:firstLineChars="200"/>
        <w:rPr>
          <w:rFonts w:ascii="宋体" w:hAnsi="宋体" w:cs="仿宋_GB2312"/>
          <w:color w:val="auto"/>
          <w:sz w:val="24"/>
          <w:szCs w:val="24"/>
          <w:highlight w:val="none"/>
        </w:rPr>
      </w:pPr>
      <w:r>
        <w:rPr>
          <w:rFonts w:hint="eastAsia" w:ascii="宋体" w:hAnsi="宋体" w:cs="宋体"/>
          <w:color w:val="auto"/>
          <w:kern w:val="0"/>
          <w:sz w:val="24"/>
          <w:szCs w:val="24"/>
          <w:highlight w:val="none"/>
        </w:rPr>
        <w:t>四、保证按照</w:t>
      </w:r>
      <w:r>
        <w:rPr>
          <w:rFonts w:hint="eastAsia" w:ascii="宋体" w:hAnsi="宋体" w:cs="宋体"/>
          <w:color w:val="auto"/>
          <w:sz w:val="24"/>
          <w:szCs w:val="24"/>
          <w:highlight w:val="none"/>
        </w:rPr>
        <w:t>《建筑工程五方责任主体项目负责人质量终身责任追究暂行办法》第八条的规定，更换项目负责人时“办理变更程序，重新签署工程质量终身责任承诺书，连同法定代表人授权书，报工程质量监督机构备案”。</w:t>
      </w:r>
    </w:p>
    <w:p>
      <w:pPr>
        <w:spacing w:line="360" w:lineRule="auto"/>
        <w:ind w:firstLine="480" w:firstLineChars="200"/>
        <w:rPr>
          <w:rFonts w:ascii="宋体" w:hAnsi="宋体" w:cs="仿宋_GB2312"/>
          <w:color w:val="auto"/>
          <w:sz w:val="24"/>
          <w:szCs w:val="24"/>
          <w:highlight w:val="none"/>
        </w:rPr>
      </w:pPr>
      <w:r>
        <w:rPr>
          <w:rFonts w:hint="eastAsia" w:ascii="宋体" w:hAnsi="宋体" w:cs="宋体"/>
          <w:color w:val="auto"/>
          <w:sz w:val="24"/>
          <w:szCs w:val="24"/>
          <w:highlight w:val="none"/>
        </w:rPr>
        <w:t>五、更换项目负责人后，对于质量安全责任，能够区分具体人的，由具体项目负责人承担，不能区分的，由更换之后的项目负责人承担。</w:t>
      </w:r>
    </w:p>
    <w:p>
      <w:pPr>
        <w:spacing w:line="360" w:lineRule="auto"/>
        <w:ind w:firstLine="480" w:firstLineChars="200"/>
        <w:rPr>
          <w:rFonts w:ascii="宋体" w:hAnsi="宋体" w:cs="仿宋_GB2312"/>
          <w:color w:val="auto"/>
          <w:sz w:val="24"/>
          <w:szCs w:val="24"/>
          <w:highlight w:val="none"/>
        </w:rPr>
      </w:pPr>
      <w:r>
        <w:rPr>
          <w:rFonts w:hint="eastAsia" w:ascii="宋体" w:hAnsi="宋体" w:cs="宋体"/>
          <w:color w:val="auto"/>
          <w:sz w:val="24"/>
          <w:szCs w:val="24"/>
          <w:highlight w:val="none"/>
        </w:rPr>
        <w:t>六、我单位经过贵中心同意更换项目负责人或未经贵中心同意更换项目负责人，愿意参照勘察设计合同关于“更换项目勘察、设计总负责人”的约定承担相应的违约责任。</w:t>
      </w:r>
    </w:p>
    <w:p>
      <w:pPr>
        <w:spacing w:line="360" w:lineRule="auto"/>
        <w:ind w:left="1" w:right="67" w:rightChars="32" w:hanging="1"/>
        <w:jc w:val="right"/>
        <w:rPr>
          <w:rFonts w:ascii="宋体" w:hAnsi="宋体" w:cs="仿宋_GB2312"/>
          <w:color w:val="auto"/>
          <w:sz w:val="24"/>
          <w:szCs w:val="24"/>
          <w:highlight w:val="none"/>
        </w:rPr>
      </w:pPr>
      <w:r>
        <w:rPr>
          <w:rFonts w:hint="eastAsia" w:ascii="宋体" w:hAnsi="宋体" w:cs="宋体"/>
          <w:color w:val="auto"/>
          <w:sz w:val="24"/>
          <w:szCs w:val="24"/>
          <w:highlight w:val="none"/>
        </w:rPr>
        <w:t>__________________________（单位盖章）</w:t>
      </w:r>
    </w:p>
    <w:p>
      <w:pPr>
        <w:spacing w:line="360" w:lineRule="auto"/>
        <w:ind w:firstLine="480" w:firstLineChars="200"/>
        <w:jc w:val="center"/>
        <w:rPr>
          <w:rFonts w:ascii="宋体" w:hAnsi="宋体" w:cs="仿宋_GB2312"/>
          <w:color w:val="auto"/>
          <w:sz w:val="24"/>
          <w:szCs w:val="24"/>
          <w:highlight w:val="none"/>
        </w:rPr>
      </w:pPr>
      <w:r>
        <w:rPr>
          <w:rFonts w:hint="eastAsia" w:ascii="宋体" w:hAnsi="宋体" w:cs="宋体"/>
          <w:color w:val="auto"/>
          <w:sz w:val="24"/>
          <w:szCs w:val="24"/>
          <w:highlight w:val="none"/>
        </w:rPr>
        <w:t>法定代表人（签字）</w:t>
      </w:r>
    </w:p>
    <w:p>
      <w:pPr>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年   月   日</w:t>
      </w:r>
    </w:p>
    <w:p>
      <w:pPr>
        <w:pStyle w:val="10"/>
        <w:widowControl w:val="0"/>
        <w:spacing w:beforeAutospacing="0" w:afterAutospacing="0"/>
        <w:jc w:val="both"/>
        <w:rPr>
          <w:rFonts w:hint="default" w:cs="宋体"/>
          <w:color w:val="auto"/>
          <w:highlight w:val="none"/>
        </w:rPr>
      </w:pPr>
      <w:r>
        <w:rPr>
          <w:rFonts w:hint="default" w:ascii="Times New Roman" w:hAnsi="Times New Roman"/>
          <w:color w:val="auto"/>
          <w:kern w:val="2"/>
          <w:sz w:val="21"/>
          <w:szCs w:val="21"/>
          <w:highlight w:val="none"/>
        </w:rPr>
        <w:br w:type="page"/>
      </w:r>
      <w:r>
        <w:rPr>
          <w:rFonts w:cs="宋体"/>
          <w:color w:val="auto"/>
          <w:kern w:val="2"/>
          <w:highlight w:val="none"/>
        </w:rPr>
        <w:t>附件12：工程质量终身责任承诺书</w:t>
      </w:r>
    </w:p>
    <w:p>
      <w:pPr>
        <w:spacing w:line="360" w:lineRule="auto"/>
        <w:jc w:val="left"/>
        <w:rPr>
          <w:rFonts w:ascii="宋体" w:hAnsi="宋体" w:cs="宋体"/>
          <w:color w:val="auto"/>
          <w:kern w:val="0"/>
          <w:sz w:val="24"/>
          <w:szCs w:val="24"/>
          <w:highlight w:val="none"/>
        </w:rPr>
      </w:pPr>
    </w:p>
    <w:p>
      <w:pPr>
        <w:spacing w:before="312" w:beforeLines="100" w:after="312" w:afterLines="100"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法定代表人授权书</w:t>
      </w:r>
    </w:p>
    <w:p>
      <w:pPr>
        <w:spacing w:before="468" w:beforeLines="150" w:line="360" w:lineRule="auto"/>
        <w:ind w:firstLine="420" w:firstLineChars="150"/>
        <w:rPr>
          <w:rFonts w:ascii="宋体" w:hAnsi="宋体" w:cs="宋体"/>
          <w:color w:val="auto"/>
          <w:sz w:val="28"/>
          <w:szCs w:val="28"/>
          <w:highlight w:val="none"/>
        </w:rPr>
      </w:pPr>
      <w:r>
        <w:rPr>
          <w:rFonts w:hint="eastAsia" w:ascii="宋体" w:hAnsi="宋体" w:cs="宋体"/>
          <w:color w:val="auto"/>
          <w:sz w:val="28"/>
          <w:szCs w:val="28"/>
          <w:highlight w:val="none"/>
        </w:rPr>
        <w:t>兹授权我单位</w:t>
      </w:r>
      <w:r>
        <w:rPr>
          <w:rFonts w:hint="eastAsia" w:ascii="宋体" w:hAnsi="宋体" w:cs="宋体"/>
          <w:color w:val="auto"/>
          <w:kern w:val="0"/>
          <w:sz w:val="24"/>
          <w:szCs w:val="24"/>
          <w:highlight w:val="none"/>
        </w:rPr>
        <w:t>___________</w:t>
      </w:r>
      <w:r>
        <w:rPr>
          <w:rFonts w:hint="eastAsia" w:ascii="宋体" w:hAnsi="宋体" w:cs="宋体"/>
          <w:color w:val="auto"/>
          <w:sz w:val="28"/>
          <w:szCs w:val="28"/>
          <w:highlight w:val="none"/>
        </w:rPr>
        <w:t>担任</w:t>
      </w:r>
      <w:r>
        <w:rPr>
          <w:rFonts w:hint="eastAsia" w:ascii="宋体" w:hAnsi="宋体" w:cs="宋体"/>
          <w:color w:val="auto"/>
          <w:kern w:val="0"/>
          <w:sz w:val="24"/>
          <w:szCs w:val="24"/>
          <w:highlight w:val="none"/>
        </w:rPr>
        <w:t>_______________</w:t>
      </w:r>
      <w:r>
        <w:rPr>
          <w:rFonts w:hint="eastAsia" w:ascii="宋体" w:hAnsi="宋体" w:cs="宋体"/>
          <w:color w:val="auto"/>
          <w:sz w:val="28"/>
          <w:szCs w:val="28"/>
          <w:highlight w:val="none"/>
        </w:rPr>
        <w:t>工程项目的勘察项目负责人，对该工程项目的勘察工作实施组织管理，依据国家有关法律法规及标准规范履行职责，并依法对设计使用年限内的工程质量承担相应终身责任。</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本授权书自授权之日起生效。</w:t>
      </w:r>
    </w:p>
    <w:p>
      <w:pPr>
        <w:spacing w:line="360" w:lineRule="auto"/>
        <w:ind w:firstLine="720" w:firstLineChars="200"/>
        <w:rPr>
          <w:rFonts w:ascii="宋体" w:hAnsi="宋体" w:cs="宋体"/>
          <w:color w:val="auto"/>
          <w:sz w:val="36"/>
          <w:szCs w:val="36"/>
          <w:highlight w:val="none"/>
        </w:rPr>
      </w:pPr>
    </w:p>
    <w:tbl>
      <w:tblPr>
        <w:tblStyle w:val="11"/>
        <w:tblW w:w="8755" w:type="dxa"/>
        <w:tblInd w:w="0" w:type="dxa"/>
        <w:tblLayout w:type="fixed"/>
        <w:tblCellMar>
          <w:top w:w="0" w:type="dxa"/>
          <w:left w:w="108" w:type="dxa"/>
          <w:bottom w:w="0" w:type="dxa"/>
          <w:right w:w="108" w:type="dxa"/>
        </w:tblCellMar>
      </w:tblPr>
      <w:tblGrid>
        <w:gridCol w:w="2130"/>
        <w:gridCol w:w="2231"/>
        <w:gridCol w:w="1843"/>
        <w:gridCol w:w="2551"/>
      </w:tblGrid>
      <w:tr>
        <w:tblPrEx>
          <w:tblCellMar>
            <w:top w:w="0" w:type="dxa"/>
            <w:left w:w="108" w:type="dxa"/>
            <w:bottom w:w="0" w:type="dxa"/>
            <w:right w:w="108" w:type="dxa"/>
          </w:tblCellMar>
        </w:tblPrEx>
        <w:trPr>
          <w:trHeight w:val="551" w:hRule="atLeast"/>
        </w:trPr>
        <w:tc>
          <w:tcPr>
            <w:tcW w:w="875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b/>
                <w:color w:val="auto"/>
                <w:sz w:val="24"/>
                <w:szCs w:val="24"/>
                <w:highlight w:val="none"/>
              </w:rPr>
              <w:t>被授权人基本情况</w:t>
            </w:r>
          </w:p>
        </w:tc>
      </w:tr>
      <w:tr>
        <w:tblPrEx>
          <w:tblCellMar>
            <w:top w:w="0" w:type="dxa"/>
            <w:left w:w="108" w:type="dxa"/>
            <w:bottom w:w="0" w:type="dxa"/>
            <w:right w:w="108" w:type="dxa"/>
          </w:tblCellMar>
        </w:tblPrEx>
        <w:trPr>
          <w:trHeight w:val="512" w:hRule="atLeast"/>
        </w:trPr>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姓  名</w:t>
            </w:r>
          </w:p>
        </w:tc>
        <w:tc>
          <w:tcPr>
            <w:tcW w:w="223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c>
          <w:tcPr>
            <w:tcW w:w="184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5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r>
      <w:tr>
        <w:tblPrEx>
          <w:tblCellMar>
            <w:top w:w="0" w:type="dxa"/>
            <w:left w:w="108" w:type="dxa"/>
            <w:bottom w:w="0" w:type="dxa"/>
            <w:right w:w="108" w:type="dxa"/>
          </w:tblCellMar>
        </w:tblPrEx>
        <w:trPr>
          <w:trHeight w:val="578" w:hRule="atLeast"/>
        </w:trPr>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注册执业资格</w:t>
            </w:r>
          </w:p>
        </w:tc>
        <w:tc>
          <w:tcPr>
            <w:tcW w:w="223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c>
          <w:tcPr>
            <w:tcW w:w="1843"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注册执业证号</w:t>
            </w:r>
          </w:p>
        </w:tc>
        <w:tc>
          <w:tcPr>
            <w:tcW w:w="255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r>
      <w:tr>
        <w:tblPrEx>
          <w:tblCellMar>
            <w:top w:w="0" w:type="dxa"/>
            <w:left w:w="108" w:type="dxa"/>
            <w:bottom w:w="0" w:type="dxa"/>
            <w:right w:w="108" w:type="dxa"/>
          </w:tblCellMar>
        </w:tblPrEx>
        <w:trPr>
          <w:trHeight w:val="892" w:hRule="atLeast"/>
        </w:trPr>
        <w:tc>
          <w:tcPr>
            <w:tcW w:w="875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被授权人签字：</w:t>
            </w:r>
          </w:p>
        </w:tc>
      </w:tr>
    </w:tbl>
    <w:p>
      <w:pPr>
        <w:spacing w:line="360" w:lineRule="auto"/>
        <w:ind w:firstLine="720" w:firstLineChars="200"/>
        <w:rPr>
          <w:rFonts w:ascii="宋体" w:hAnsi="宋体" w:cs="宋体"/>
          <w:color w:val="auto"/>
          <w:sz w:val="36"/>
          <w:szCs w:val="36"/>
          <w:highlight w:val="none"/>
        </w:rPr>
      </w:pPr>
    </w:p>
    <w:p>
      <w:pPr>
        <w:spacing w:line="360" w:lineRule="auto"/>
        <w:ind w:left="5180" w:leftChars="200" w:hanging="4760" w:hangingChars="1700"/>
        <w:jc w:val="left"/>
        <w:rPr>
          <w:rFonts w:ascii="宋体" w:hAnsi="宋体" w:cs="宋体"/>
          <w:color w:val="auto"/>
          <w:sz w:val="28"/>
          <w:szCs w:val="28"/>
          <w:highlight w:val="none"/>
          <w:u w:val="single"/>
        </w:rPr>
      </w:pPr>
      <w:r>
        <w:rPr>
          <w:rFonts w:hint="eastAsia" w:ascii="宋体" w:hAnsi="宋体" w:cs="宋体"/>
          <w:color w:val="auto"/>
          <w:sz w:val="28"/>
          <w:szCs w:val="28"/>
          <w:highlight w:val="none"/>
        </w:rPr>
        <w:t>授权单位（盖章）：</w:t>
      </w:r>
      <w:r>
        <w:rPr>
          <w:rFonts w:hint="eastAsia" w:ascii="宋体" w:hAnsi="宋体" w:cs="宋体"/>
          <w:color w:val="auto"/>
          <w:sz w:val="28"/>
          <w:szCs w:val="28"/>
          <w:highlight w:val="none"/>
          <w:u w:val="single"/>
        </w:rPr>
        <w:t>___________________</w:t>
      </w:r>
    </w:p>
    <w:p>
      <w:pPr>
        <w:spacing w:line="360" w:lineRule="auto"/>
        <w:ind w:firstLine="560" w:firstLineChars="200"/>
        <w:rPr>
          <w:rFonts w:ascii="宋体" w:hAnsi="宋体" w:cs="宋体"/>
          <w:color w:val="auto"/>
          <w:sz w:val="28"/>
          <w:szCs w:val="28"/>
          <w:highlight w:val="none"/>
          <w:u w:val="single"/>
        </w:rPr>
      </w:pPr>
      <w:r>
        <w:rPr>
          <w:rFonts w:hint="eastAsia" w:ascii="宋体" w:hAnsi="宋体" w:cs="宋体"/>
          <w:color w:val="auto"/>
          <w:sz w:val="28"/>
          <w:szCs w:val="28"/>
          <w:highlight w:val="none"/>
        </w:rPr>
        <w:t xml:space="preserve">                  法定代表人（签字）：</w:t>
      </w:r>
    </w:p>
    <w:p>
      <w:pPr>
        <w:spacing w:line="360" w:lineRule="auto"/>
        <w:ind w:firstLine="644" w:firstLineChars="200"/>
        <w:rPr>
          <w:rFonts w:ascii="宋体" w:hAnsi="宋体" w:cs="宋体"/>
          <w:color w:val="auto"/>
          <w:sz w:val="36"/>
          <w:szCs w:val="36"/>
          <w:highlight w:val="none"/>
        </w:rPr>
      </w:pPr>
      <w:r>
        <w:rPr>
          <w:rFonts w:hint="eastAsia" w:ascii="宋体" w:hAnsi="宋体" w:cs="宋体"/>
          <w:color w:val="auto"/>
          <w:spacing w:val="21"/>
          <w:sz w:val="28"/>
          <w:szCs w:val="28"/>
          <w:highlight w:val="none"/>
        </w:rPr>
        <w:t>授权日期：</w:t>
      </w:r>
      <w:r>
        <w:rPr>
          <w:rFonts w:hint="eastAsia" w:ascii="宋体" w:hAnsi="宋体" w:cs="宋体"/>
          <w:color w:val="auto"/>
          <w:sz w:val="28"/>
          <w:szCs w:val="28"/>
          <w:highlight w:val="none"/>
          <w:u w:val="single"/>
        </w:rPr>
        <w:t xml:space="preserve">  ___</w:t>
      </w:r>
      <w:r>
        <w:rPr>
          <w:rFonts w:hint="eastAsia" w:ascii="宋体" w:hAnsi="宋体" w:cs="宋体"/>
          <w:color w:val="auto"/>
          <w:sz w:val="28"/>
          <w:szCs w:val="28"/>
          <w:highlight w:val="none"/>
        </w:rPr>
        <w:t>年月日</w:t>
      </w:r>
    </w:p>
    <w:p>
      <w:pPr>
        <w:spacing w:line="360" w:lineRule="auto"/>
        <w:ind w:firstLine="560" w:firstLineChars="200"/>
        <w:rPr>
          <w:rFonts w:ascii="宋体" w:hAnsi="宋体" w:cs="宋体"/>
          <w:color w:val="auto"/>
          <w:sz w:val="28"/>
          <w:szCs w:val="28"/>
          <w:highlight w:val="none"/>
        </w:rPr>
      </w:pPr>
    </w:p>
    <w:p>
      <w:pPr>
        <w:spacing w:line="360" w:lineRule="auto"/>
        <w:jc w:val="center"/>
        <w:rPr>
          <w:rFonts w:ascii="宋体" w:hAnsi="宋体" w:cs="宋体"/>
          <w:b/>
          <w:color w:val="auto"/>
          <w:sz w:val="44"/>
          <w:szCs w:val="44"/>
          <w:highlight w:val="none"/>
        </w:rPr>
      </w:pPr>
      <w:r>
        <w:rPr>
          <w:rFonts w:hint="eastAsia" w:ascii="宋体" w:hAnsi="宋体"/>
          <w:color w:val="auto"/>
          <w:sz w:val="28"/>
          <w:szCs w:val="28"/>
          <w:highlight w:val="none"/>
        </w:rPr>
        <w:br w:type="page"/>
      </w:r>
      <w:r>
        <w:rPr>
          <w:rFonts w:hint="eastAsia" w:ascii="宋体" w:hAnsi="宋体" w:cs="宋体"/>
          <w:b/>
          <w:color w:val="auto"/>
          <w:sz w:val="44"/>
          <w:szCs w:val="44"/>
          <w:highlight w:val="none"/>
        </w:rPr>
        <w:t>工程质量终身责任承诺书</w:t>
      </w:r>
    </w:p>
    <w:p>
      <w:pPr>
        <w:spacing w:before="468" w:beforeLines="150"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本人受___________________（法定代表人</w:t>
      </w:r>
      <w:r>
        <w:rPr>
          <w:rFonts w:hint="eastAsia" w:ascii="宋体" w:hAnsi="宋体" w:cs="宋体"/>
          <w:color w:val="auto"/>
          <w:kern w:val="0"/>
          <w:sz w:val="24"/>
          <w:szCs w:val="24"/>
          <w:highlight w:val="none"/>
        </w:rPr>
        <w:t>_______</w:t>
      </w:r>
      <w:r>
        <w:rPr>
          <w:rFonts w:hint="eastAsia" w:ascii="宋体" w:hAnsi="宋体" w:cs="宋体"/>
          <w:color w:val="auto"/>
          <w:sz w:val="28"/>
          <w:szCs w:val="28"/>
          <w:highlight w:val="none"/>
        </w:rPr>
        <w:t>）授权，担任</w:t>
      </w:r>
      <w:r>
        <w:rPr>
          <w:rFonts w:hint="eastAsia" w:ascii="宋体" w:hAnsi="宋体" w:cs="宋体"/>
          <w:color w:val="auto"/>
          <w:kern w:val="0"/>
          <w:sz w:val="24"/>
          <w:szCs w:val="24"/>
          <w:highlight w:val="none"/>
        </w:rPr>
        <w:t>__________________</w:t>
      </w:r>
      <w:r>
        <w:rPr>
          <w:rFonts w:hint="eastAsia" w:ascii="宋体" w:hAnsi="宋体" w:cs="宋体"/>
          <w:color w:val="auto"/>
          <w:sz w:val="28"/>
          <w:szCs w:val="28"/>
          <w:highlight w:val="none"/>
        </w:rPr>
        <w:t>工程项目的勘察项目负责人，对该工程项目的勘察工作实施组织管理。本人承诺严格依据国家有关法律法规及标准规范履行职责，并对设计使用年限内的工程质量承担相应终身责任。</w:t>
      </w:r>
    </w:p>
    <w:p>
      <w:pPr>
        <w:spacing w:line="360" w:lineRule="auto"/>
        <w:ind w:firstLine="560" w:firstLineChars="200"/>
        <w:rPr>
          <w:rFonts w:ascii="宋体" w:hAnsi="宋体" w:cs="宋体"/>
          <w:color w:val="auto"/>
          <w:sz w:val="28"/>
          <w:szCs w:val="28"/>
          <w:highlight w:val="none"/>
        </w:rPr>
      </w:pPr>
    </w:p>
    <w:p>
      <w:pPr>
        <w:spacing w:line="360" w:lineRule="auto"/>
        <w:ind w:firstLine="560" w:firstLineChars="200"/>
        <w:rPr>
          <w:rFonts w:ascii="宋体" w:hAnsi="宋体" w:cs="宋体"/>
          <w:color w:val="auto"/>
          <w:sz w:val="28"/>
          <w:szCs w:val="28"/>
          <w:highlight w:val="none"/>
        </w:rPr>
      </w:pPr>
    </w:p>
    <w:p>
      <w:pPr>
        <w:spacing w:line="360" w:lineRule="auto"/>
        <w:ind w:firstLine="680" w:firstLineChars="200"/>
        <w:rPr>
          <w:rFonts w:ascii="宋体" w:hAnsi="宋体" w:cs="宋体"/>
          <w:color w:val="auto"/>
          <w:sz w:val="28"/>
          <w:szCs w:val="28"/>
          <w:highlight w:val="none"/>
          <w:u w:val="single"/>
        </w:rPr>
      </w:pPr>
      <w:r>
        <w:rPr>
          <w:rFonts w:hint="eastAsia" w:ascii="宋体" w:hAnsi="宋体" w:cs="宋体"/>
          <w:color w:val="auto"/>
          <w:spacing w:val="30"/>
          <w:sz w:val="28"/>
          <w:szCs w:val="28"/>
          <w:highlight w:val="none"/>
        </w:rPr>
        <w:t>承诺人签字</w:t>
      </w:r>
      <w:r>
        <w:rPr>
          <w:rFonts w:hint="eastAsia" w:ascii="宋体" w:hAnsi="宋体" w:cs="宋体"/>
          <w:color w:val="auto"/>
          <w:sz w:val="28"/>
          <w:szCs w:val="28"/>
          <w:highlight w:val="none"/>
        </w:rPr>
        <w:t>：</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 xml:space="preserve">                身 份 证 号：</w:t>
      </w:r>
      <w:r>
        <w:rPr>
          <w:rFonts w:hint="eastAsia" w:ascii="宋体" w:hAnsi="宋体" w:cs="宋体"/>
          <w:color w:val="auto"/>
          <w:kern w:val="0"/>
          <w:sz w:val="24"/>
          <w:szCs w:val="24"/>
          <w:highlight w:val="none"/>
        </w:rPr>
        <w:t>__________________</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 xml:space="preserve">                注册执业资格：</w:t>
      </w:r>
      <w:r>
        <w:rPr>
          <w:rFonts w:hint="eastAsia" w:ascii="宋体" w:hAnsi="宋体" w:cs="宋体"/>
          <w:color w:val="auto"/>
          <w:kern w:val="0"/>
          <w:sz w:val="24"/>
          <w:szCs w:val="24"/>
          <w:highlight w:val="none"/>
        </w:rPr>
        <w:t>__________________</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 xml:space="preserve">                注册执业证号：</w:t>
      </w:r>
      <w:r>
        <w:rPr>
          <w:rFonts w:hint="eastAsia" w:ascii="宋体" w:hAnsi="宋体" w:cs="宋体"/>
          <w:color w:val="auto"/>
          <w:kern w:val="0"/>
          <w:sz w:val="24"/>
          <w:szCs w:val="24"/>
          <w:highlight w:val="none"/>
        </w:rPr>
        <w:t>__________________</w:t>
      </w:r>
    </w:p>
    <w:p>
      <w:pPr>
        <w:spacing w:line="360" w:lineRule="auto"/>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 xml:space="preserve">                签 字 日 期：    年   月   日</w:t>
      </w:r>
    </w:p>
    <w:p>
      <w:pPr>
        <w:spacing w:line="360" w:lineRule="auto"/>
        <w:ind w:firstLine="560" w:firstLineChars="200"/>
        <w:jc w:val="left"/>
        <w:rPr>
          <w:rFonts w:ascii="宋体" w:hAnsi="宋体" w:cs="宋体"/>
          <w:color w:val="auto"/>
          <w:sz w:val="28"/>
          <w:szCs w:val="28"/>
          <w:highlight w:val="none"/>
        </w:rPr>
      </w:pPr>
    </w:p>
    <w:p>
      <w:pPr>
        <w:spacing w:line="360" w:lineRule="auto"/>
        <w:jc w:val="center"/>
        <w:rPr>
          <w:rFonts w:ascii="宋体" w:hAnsi="宋体" w:cs="宋体"/>
          <w:b/>
          <w:color w:val="auto"/>
          <w:sz w:val="44"/>
          <w:szCs w:val="44"/>
          <w:highlight w:val="none"/>
        </w:rPr>
      </w:pPr>
      <w:r>
        <w:rPr>
          <w:rFonts w:hint="eastAsia" w:ascii="宋体" w:hAnsi="宋体"/>
          <w:color w:val="auto"/>
          <w:sz w:val="28"/>
          <w:szCs w:val="28"/>
          <w:highlight w:val="none"/>
        </w:rPr>
        <w:br w:type="page"/>
      </w:r>
      <w:r>
        <w:rPr>
          <w:rFonts w:hint="eastAsia" w:ascii="宋体" w:hAnsi="宋体" w:cs="宋体"/>
          <w:b/>
          <w:color w:val="auto"/>
          <w:sz w:val="44"/>
          <w:szCs w:val="44"/>
          <w:highlight w:val="none"/>
        </w:rPr>
        <w:t>法定代表人授权书</w:t>
      </w:r>
    </w:p>
    <w:p>
      <w:pPr>
        <w:spacing w:before="468" w:beforeLines="150"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兹授权我单位</w:t>
      </w:r>
      <w:r>
        <w:rPr>
          <w:rFonts w:hint="eastAsia" w:ascii="宋体" w:hAnsi="宋体" w:cs="宋体"/>
          <w:color w:val="auto"/>
          <w:kern w:val="0"/>
          <w:sz w:val="24"/>
          <w:szCs w:val="24"/>
          <w:highlight w:val="none"/>
        </w:rPr>
        <w:t>________</w:t>
      </w:r>
      <w:r>
        <w:rPr>
          <w:rFonts w:hint="eastAsia" w:ascii="宋体" w:hAnsi="宋体" w:cs="宋体"/>
          <w:color w:val="auto"/>
          <w:sz w:val="28"/>
          <w:szCs w:val="28"/>
          <w:highlight w:val="none"/>
        </w:rPr>
        <w:t>担任</w:t>
      </w:r>
      <w:r>
        <w:rPr>
          <w:rFonts w:hint="eastAsia" w:ascii="宋体" w:hAnsi="宋体" w:cs="宋体"/>
          <w:color w:val="auto"/>
          <w:kern w:val="0"/>
          <w:sz w:val="24"/>
          <w:szCs w:val="24"/>
          <w:highlight w:val="none"/>
        </w:rPr>
        <w:t>__________________</w:t>
      </w:r>
      <w:r>
        <w:rPr>
          <w:rFonts w:hint="eastAsia" w:ascii="宋体" w:hAnsi="宋体" w:cs="宋体"/>
          <w:color w:val="auto"/>
          <w:sz w:val="28"/>
          <w:szCs w:val="28"/>
          <w:highlight w:val="none"/>
        </w:rPr>
        <w:t>工程项目的设计项目负责人，对该工程项目的设计工作实施组织管理，依据国家有关法律法规及标准规范履行职责，并依法对设计使用年限内的工程质量承担相应终身责任。</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本授权书自授权之日起生效。</w:t>
      </w:r>
    </w:p>
    <w:p>
      <w:pPr>
        <w:spacing w:line="360" w:lineRule="auto"/>
        <w:ind w:firstLine="560" w:firstLineChars="200"/>
        <w:rPr>
          <w:rFonts w:ascii="宋体" w:hAnsi="宋体" w:cs="宋体"/>
          <w:color w:val="auto"/>
          <w:sz w:val="28"/>
          <w:szCs w:val="28"/>
          <w:highlight w:val="none"/>
        </w:rPr>
      </w:pPr>
    </w:p>
    <w:tbl>
      <w:tblPr>
        <w:tblStyle w:val="11"/>
        <w:tblW w:w="9162" w:type="dxa"/>
        <w:tblInd w:w="0" w:type="dxa"/>
        <w:tblLayout w:type="fixed"/>
        <w:tblCellMar>
          <w:top w:w="0" w:type="dxa"/>
          <w:left w:w="108" w:type="dxa"/>
          <w:bottom w:w="0" w:type="dxa"/>
          <w:right w:w="108" w:type="dxa"/>
        </w:tblCellMar>
      </w:tblPr>
      <w:tblGrid>
        <w:gridCol w:w="2229"/>
        <w:gridCol w:w="2334"/>
        <w:gridCol w:w="1928"/>
        <w:gridCol w:w="2671"/>
      </w:tblGrid>
      <w:tr>
        <w:tblPrEx>
          <w:tblCellMar>
            <w:top w:w="0" w:type="dxa"/>
            <w:left w:w="108" w:type="dxa"/>
            <w:bottom w:w="0" w:type="dxa"/>
            <w:right w:w="108" w:type="dxa"/>
          </w:tblCellMar>
        </w:tblPrEx>
        <w:trPr>
          <w:trHeight w:val="813" w:hRule="atLeast"/>
        </w:trPr>
        <w:tc>
          <w:tcPr>
            <w:tcW w:w="9162"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b/>
                <w:color w:val="auto"/>
                <w:sz w:val="24"/>
                <w:szCs w:val="24"/>
                <w:highlight w:val="none"/>
              </w:rPr>
              <w:t>被授权人基本情况</w:t>
            </w:r>
          </w:p>
        </w:tc>
      </w:tr>
      <w:tr>
        <w:tblPrEx>
          <w:tblCellMar>
            <w:top w:w="0" w:type="dxa"/>
            <w:left w:w="108" w:type="dxa"/>
            <w:bottom w:w="0" w:type="dxa"/>
            <w:right w:w="108" w:type="dxa"/>
          </w:tblCellMar>
        </w:tblPrEx>
        <w:trPr>
          <w:trHeight w:val="755" w:hRule="atLeast"/>
        </w:trPr>
        <w:tc>
          <w:tcPr>
            <w:tcW w:w="22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姓  名</w:t>
            </w:r>
          </w:p>
        </w:tc>
        <w:tc>
          <w:tcPr>
            <w:tcW w:w="233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928"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67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r>
      <w:tr>
        <w:tblPrEx>
          <w:tblCellMar>
            <w:top w:w="0" w:type="dxa"/>
            <w:left w:w="108" w:type="dxa"/>
            <w:bottom w:w="0" w:type="dxa"/>
            <w:right w:w="108" w:type="dxa"/>
          </w:tblCellMar>
        </w:tblPrEx>
        <w:trPr>
          <w:trHeight w:val="852" w:hRule="atLeast"/>
        </w:trPr>
        <w:tc>
          <w:tcPr>
            <w:tcW w:w="22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注册执业资格</w:t>
            </w:r>
          </w:p>
        </w:tc>
        <w:tc>
          <w:tcPr>
            <w:tcW w:w="2334"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928"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注册执业证号</w:t>
            </w:r>
          </w:p>
        </w:tc>
        <w:tc>
          <w:tcPr>
            <w:tcW w:w="267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r>
      <w:tr>
        <w:tblPrEx>
          <w:tblCellMar>
            <w:top w:w="0" w:type="dxa"/>
            <w:left w:w="108" w:type="dxa"/>
            <w:bottom w:w="0" w:type="dxa"/>
            <w:right w:w="108" w:type="dxa"/>
          </w:tblCellMar>
        </w:tblPrEx>
        <w:trPr>
          <w:trHeight w:val="869" w:hRule="atLeast"/>
        </w:trPr>
        <w:tc>
          <w:tcPr>
            <w:tcW w:w="9162"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被授权人签字：</w:t>
            </w:r>
          </w:p>
        </w:tc>
      </w:tr>
    </w:tbl>
    <w:p>
      <w:pPr>
        <w:spacing w:line="360" w:lineRule="auto"/>
        <w:ind w:firstLine="560" w:firstLineChars="200"/>
        <w:rPr>
          <w:rFonts w:ascii="宋体" w:hAnsi="宋体" w:cs="宋体"/>
          <w:color w:val="auto"/>
          <w:sz w:val="28"/>
          <w:szCs w:val="28"/>
          <w:highlight w:val="none"/>
        </w:rPr>
      </w:pPr>
    </w:p>
    <w:p>
      <w:pPr>
        <w:spacing w:line="360" w:lineRule="auto"/>
        <w:ind w:left="6860" w:leftChars="200" w:hanging="6440" w:hangingChars="2000"/>
        <w:rPr>
          <w:rFonts w:ascii="宋体" w:hAnsi="宋体" w:cs="宋体"/>
          <w:color w:val="auto"/>
          <w:sz w:val="28"/>
          <w:szCs w:val="28"/>
          <w:highlight w:val="none"/>
          <w:u w:val="single"/>
        </w:rPr>
      </w:pPr>
      <w:r>
        <w:rPr>
          <w:rFonts w:hint="eastAsia" w:ascii="宋体" w:hAnsi="宋体" w:cs="宋体"/>
          <w:color w:val="auto"/>
          <w:spacing w:val="21"/>
          <w:sz w:val="28"/>
          <w:szCs w:val="28"/>
          <w:highlight w:val="none"/>
        </w:rPr>
        <w:t>授权单位（盖章）</w:t>
      </w:r>
      <w:r>
        <w:rPr>
          <w:rFonts w:hint="eastAsia" w:ascii="宋体" w:hAnsi="宋体" w:cs="宋体"/>
          <w:color w:val="auto"/>
          <w:sz w:val="28"/>
          <w:szCs w:val="28"/>
          <w:highlight w:val="none"/>
        </w:rPr>
        <w:t>：</w:t>
      </w:r>
      <w:r>
        <w:rPr>
          <w:rFonts w:hint="eastAsia" w:ascii="宋体" w:hAnsi="宋体" w:cs="宋体"/>
          <w:color w:val="auto"/>
          <w:sz w:val="28"/>
          <w:szCs w:val="28"/>
          <w:highlight w:val="none"/>
          <w:u w:val="single"/>
        </w:rPr>
        <w:t>______________________</w:t>
      </w:r>
    </w:p>
    <w:p>
      <w:pPr>
        <w:spacing w:line="360" w:lineRule="auto"/>
        <w:ind w:firstLine="560" w:firstLineChars="200"/>
        <w:rPr>
          <w:rFonts w:ascii="宋体" w:hAnsi="宋体" w:cs="宋体"/>
          <w:color w:val="auto"/>
          <w:sz w:val="28"/>
          <w:szCs w:val="28"/>
          <w:highlight w:val="none"/>
          <w:u w:val="single"/>
        </w:rPr>
      </w:pPr>
      <w:r>
        <w:rPr>
          <w:rFonts w:hint="eastAsia" w:ascii="宋体" w:hAnsi="宋体" w:cs="宋体"/>
          <w:color w:val="auto"/>
          <w:sz w:val="28"/>
          <w:szCs w:val="28"/>
          <w:highlight w:val="none"/>
        </w:rPr>
        <w:t xml:space="preserve">             法定代表人（签字）：</w:t>
      </w:r>
    </w:p>
    <w:p>
      <w:pPr>
        <w:spacing w:line="360" w:lineRule="auto"/>
        <w:ind w:firstLine="644" w:firstLineChars="200"/>
        <w:rPr>
          <w:rFonts w:ascii="宋体" w:hAnsi="宋体" w:cs="宋体"/>
          <w:color w:val="auto"/>
          <w:sz w:val="28"/>
          <w:szCs w:val="28"/>
          <w:highlight w:val="none"/>
        </w:rPr>
      </w:pPr>
      <w:r>
        <w:rPr>
          <w:rFonts w:hint="eastAsia" w:ascii="宋体" w:hAnsi="宋体" w:cs="宋体"/>
          <w:color w:val="auto"/>
          <w:spacing w:val="21"/>
          <w:sz w:val="28"/>
          <w:szCs w:val="28"/>
          <w:highlight w:val="none"/>
        </w:rPr>
        <w:t>授权日期：</w:t>
      </w:r>
      <w:r>
        <w:rPr>
          <w:rFonts w:hint="eastAsia" w:ascii="宋体" w:hAnsi="宋体" w:cs="宋体"/>
          <w:color w:val="auto"/>
          <w:sz w:val="28"/>
          <w:szCs w:val="28"/>
          <w:highlight w:val="none"/>
        </w:rPr>
        <w:t>年月日</w:t>
      </w:r>
    </w:p>
    <w:p>
      <w:pPr>
        <w:spacing w:before="312" w:beforeLines="100" w:after="312" w:afterLines="100" w:line="360" w:lineRule="auto"/>
        <w:jc w:val="center"/>
        <w:rPr>
          <w:rFonts w:ascii="宋体" w:hAnsi="宋体" w:cs="宋体"/>
          <w:b/>
          <w:color w:val="auto"/>
          <w:sz w:val="44"/>
          <w:szCs w:val="44"/>
          <w:highlight w:val="none"/>
        </w:rPr>
      </w:pPr>
      <w:r>
        <w:rPr>
          <w:rFonts w:hint="eastAsia" w:ascii="宋体" w:hAnsi="宋体"/>
          <w:color w:val="auto"/>
          <w:sz w:val="28"/>
          <w:szCs w:val="28"/>
          <w:highlight w:val="none"/>
        </w:rPr>
        <w:br w:type="page"/>
      </w:r>
      <w:r>
        <w:rPr>
          <w:rFonts w:hint="eastAsia" w:ascii="宋体" w:hAnsi="宋体" w:cs="宋体"/>
          <w:b/>
          <w:color w:val="auto"/>
          <w:sz w:val="44"/>
          <w:szCs w:val="44"/>
          <w:highlight w:val="none"/>
        </w:rPr>
        <w:t>工程质量终身责任承诺书</w:t>
      </w:r>
    </w:p>
    <w:p>
      <w:pPr>
        <w:spacing w:before="468" w:beforeLines="150"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本人受</w:t>
      </w:r>
      <w:r>
        <w:rPr>
          <w:rFonts w:hint="eastAsia" w:ascii="宋体" w:hAnsi="宋体" w:cs="宋体"/>
          <w:color w:val="auto"/>
          <w:kern w:val="0"/>
          <w:sz w:val="24"/>
          <w:szCs w:val="24"/>
          <w:highlight w:val="none"/>
        </w:rPr>
        <w:t>_________________</w:t>
      </w:r>
      <w:r>
        <w:rPr>
          <w:rFonts w:hint="eastAsia" w:ascii="宋体" w:hAnsi="宋体" w:cs="宋体"/>
          <w:color w:val="auto"/>
          <w:sz w:val="28"/>
          <w:szCs w:val="28"/>
          <w:highlight w:val="none"/>
        </w:rPr>
        <w:t>（法定代表人）授权，担任</w:t>
      </w:r>
      <w:r>
        <w:rPr>
          <w:rFonts w:hint="eastAsia" w:ascii="宋体" w:hAnsi="宋体" w:cs="宋体"/>
          <w:color w:val="auto"/>
          <w:kern w:val="0"/>
          <w:sz w:val="24"/>
          <w:szCs w:val="24"/>
          <w:highlight w:val="none"/>
        </w:rPr>
        <w:t>__________________</w:t>
      </w:r>
      <w:r>
        <w:rPr>
          <w:rFonts w:hint="eastAsia" w:ascii="宋体" w:hAnsi="宋体" w:cs="宋体"/>
          <w:color w:val="auto"/>
          <w:sz w:val="28"/>
          <w:szCs w:val="28"/>
          <w:highlight w:val="none"/>
        </w:rPr>
        <w:t>工程项目的设计项目负责人，对该工程项目的设计工作实施组织管理。本人承诺严格依据国家有关法律法规及标准规范履行职责，并对设计使用年限内的工程质量承担相应终身责任。</w:t>
      </w:r>
    </w:p>
    <w:p>
      <w:pPr>
        <w:spacing w:line="360" w:lineRule="auto"/>
        <w:ind w:firstLine="560" w:firstLineChars="200"/>
        <w:rPr>
          <w:rFonts w:ascii="宋体" w:hAnsi="宋体" w:cs="宋体"/>
          <w:color w:val="auto"/>
          <w:sz w:val="28"/>
          <w:szCs w:val="28"/>
          <w:highlight w:val="none"/>
        </w:rPr>
      </w:pPr>
    </w:p>
    <w:p>
      <w:pPr>
        <w:spacing w:line="360" w:lineRule="auto"/>
        <w:ind w:firstLine="560" w:firstLineChars="200"/>
        <w:rPr>
          <w:rFonts w:ascii="宋体" w:hAnsi="宋体" w:cs="宋体"/>
          <w:color w:val="auto"/>
          <w:sz w:val="28"/>
          <w:szCs w:val="28"/>
          <w:highlight w:val="none"/>
        </w:rPr>
      </w:pPr>
    </w:p>
    <w:p>
      <w:pPr>
        <w:spacing w:line="360" w:lineRule="auto"/>
        <w:ind w:firstLine="680" w:firstLineChars="200"/>
        <w:rPr>
          <w:rFonts w:ascii="宋体" w:hAnsi="宋体" w:cs="宋体"/>
          <w:color w:val="auto"/>
          <w:sz w:val="28"/>
          <w:szCs w:val="28"/>
          <w:highlight w:val="none"/>
          <w:u w:val="single"/>
        </w:rPr>
      </w:pPr>
      <w:r>
        <w:rPr>
          <w:rFonts w:hint="eastAsia" w:ascii="宋体" w:hAnsi="宋体" w:cs="宋体"/>
          <w:color w:val="auto"/>
          <w:spacing w:val="30"/>
          <w:sz w:val="28"/>
          <w:szCs w:val="28"/>
          <w:highlight w:val="none"/>
        </w:rPr>
        <w:t>承诺人签字</w:t>
      </w:r>
      <w:r>
        <w:rPr>
          <w:rFonts w:hint="eastAsia" w:ascii="宋体" w:hAnsi="宋体" w:cs="宋体"/>
          <w:color w:val="auto"/>
          <w:sz w:val="28"/>
          <w:szCs w:val="28"/>
          <w:highlight w:val="none"/>
        </w:rPr>
        <w:t>：</w:t>
      </w:r>
    </w:p>
    <w:p>
      <w:pPr>
        <w:spacing w:line="360" w:lineRule="auto"/>
        <w:ind w:firstLine="560" w:firstLineChars="200"/>
        <w:rPr>
          <w:rFonts w:ascii="宋体" w:hAnsi="宋体" w:cs="宋体"/>
          <w:color w:val="auto"/>
          <w:sz w:val="28"/>
          <w:szCs w:val="28"/>
          <w:highlight w:val="none"/>
          <w:u w:val="single"/>
        </w:rPr>
      </w:pPr>
      <w:r>
        <w:rPr>
          <w:rFonts w:hint="eastAsia" w:ascii="宋体" w:hAnsi="宋体" w:cs="宋体"/>
          <w:color w:val="auto"/>
          <w:sz w:val="28"/>
          <w:szCs w:val="28"/>
          <w:highlight w:val="none"/>
        </w:rPr>
        <w:t xml:space="preserve">                身 份 证 号：</w:t>
      </w:r>
      <w:r>
        <w:rPr>
          <w:rFonts w:hint="eastAsia" w:ascii="宋体" w:hAnsi="宋体" w:cs="宋体"/>
          <w:color w:val="auto"/>
          <w:kern w:val="0"/>
          <w:sz w:val="24"/>
          <w:szCs w:val="24"/>
          <w:highlight w:val="none"/>
        </w:rPr>
        <w:t>__________________</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 xml:space="preserve">                注册执业资格：</w:t>
      </w:r>
      <w:r>
        <w:rPr>
          <w:rFonts w:hint="eastAsia" w:ascii="宋体" w:hAnsi="宋体" w:cs="宋体"/>
          <w:color w:val="auto"/>
          <w:kern w:val="0"/>
          <w:sz w:val="24"/>
          <w:szCs w:val="24"/>
          <w:highlight w:val="none"/>
        </w:rPr>
        <w:t>__________________</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 xml:space="preserve">                注册执业证号：</w:t>
      </w:r>
      <w:r>
        <w:rPr>
          <w:rFonts w:hint="eastAsia" w:ascii="宋体" w:hAnsi="宋体" w:cs="宋体"/>
          <w:color w:val="auto"/>
          <w:kern w:val="0"/>
          <w:sz w:val="24"/>
          <w:szCs w:val="24"/>
          <w:highlight w:val="none"/>
        </w:rPr>
        <w:t>__________________</w:t>
      </w:r>
    </w:p>
    <w:p>
      <w:pPr>
        <w:spacing w:line="360" w:lineRule="auto"/>
        <w:ind w:firstLine="560" w:firstLineChars="200"/>
        <w:rPr>
          <w:rFonts w:hint="eastAsia"/>
          <w:color w:val="auto"/>
          <w:szCs w:val="21"/>
          <w:highlight w:val="none"/>
        </w:rPr>
        <w:sectPr>
          <w:headerReference r:id="rId19" w:type="default"/>
          <w:footerReference r:id="rId20" w:type="default"/>
          <w:pgSz w:w="11906" w:h="16838"/>
          <w:pgMar w:top="1440" w:right="1800" w:bottom="1440" w:left="1800" w:header="851" w:footer="992" w:gutter="0"/>
          <w:cols w:space="425" w:num="1"/>
          <w:docGrid w:type="lines" w:linePitch="312" w:charSpace="0"/>
        </w:sectPr>
      </w:pPr>
      <w:r>
        <w:rPr>
          <w:rFonts w:hint="eastAsia" w:ascii="宋体" w:hAnsi="宋体" w:cs="宋体"/>
          <w:color w:val="auto"/>
          <w:sz w:val="28"/>
          <w:szCs w:val="28"/>
          <w:highlight w:val="none"/>
        </w:rPr>
        <w:t xml:space="preserve">                签 字 日 期：    年   月  日</w:t>
      </w:r>
    </w:p>
    <w:p>
      <w:pPr>
        <w:adjustRightInd w:val="0"/>
        <w:snapToGrid w:val="0"/>
        <w:spacing w:line="360" w:lineRule="auto"/>
        <w:rPr>
          <w:rFonts w:ascii="宋体"/>
          <w:color w:val="auto"/>
          <w:szCs w:val="21"/>
          <w:highlight w:val="none"/>
        </w:rPr>
      </w:pPr>
      <w:r>
        <w:rPr>
          <w:rFonts w:hint="eastAsia"/>
          <w:color w:val="auto"/>
          <w:szCs w:val="21"/>
          <w:highlight w:val="none"/>
        </w:rPr>
        <w:t>附</w:t>
      </w:r>
      <w:r>
        <w:rPr>
          <w:rFonts w:hint="eastAsia" w:ascii="宋体" w:hAnsi="宋体" w:cs="宋体"/>
          <w:color w:val="auto"/>
          <w:szCs w:val="21"/>
          <w:highlight w:val="none"/>
        </w:rPr>
        <w:t>件</w:t>
      </w:r>
      <w:r>
        <w:rPr>
          <w:rFonts w:ascii="宋体" w:hAnsi="宋体" w:cs="宋体"/>
          <w:color w:val="auto"/>
          <w:szCs w:val="21"/>
          <w:highlight w:val="none"/>
        </w:rPr>
        <w:t>2</w:t>
      </w:r>
      <w:r>
        <w:rPr>
          <w:rFonts w:hint="eastAsia" w:ascii="宋体" w:hAnsi="宋体" w:cs="宋体"/>
          <w:color w:val="auto"/>
          <w:szCs w:val="21"/>
          <w:highlight w:val="none"/>
        </w:rPr>
        <w:t>：</w:t>
      </w:r>
    </w:p>
    <w:p>
      <w:pPr>
        <w:adjustRightInd w:val="0"/>
        <w:snapToGrid w:val="0"/>
        <w:spacing w:line="360" w:lineRule="auto"/>
        <w:rPr>
          <w:rFonts w:ascii="宋体"/>
          <w:color w:val="auto"/>
          <w:szCs w:val="21"/>
          <w:highlight w:val="none"/>
        </w:rPr>
      </w:pPr>
      <w:r>
        <w:rPr>
          <w:rFonts w:hint="eastAsia" w:ascii="宋体" w:hAnsi="宋体" w:cs="宋体"/>
          <w:color w:val="auto"/>
          <w:szCs w:val="21"/>
          <w:highlight w:val="none"/>
        </w:rPr>
        <w:t>表四、工程设计费分摊计算表</w:t>
      </w:r>
    </w:p>
    <w:p>
      <w:pPr>
        <w:adjustRightInd w:val="0"/>
        <w:snapToGrid w:val="0"/>
        <w:spacing w:line="360" w:lineRule="auto"/>
        <w:ind w:right="10" w:rightChars="5" w:firstLine="420"/>
        <w:rPr>
          <w:rFonts w:ascii="宋体"/>
          <w:color w:val="auto"/>
          <w:szCs w:val="21"/>
          <w:highlight w:val="none"/>
        </w:rPr>
      </w:pPr>
      <w:r>
        <w:rPr>
          <w:rFonts w:hint="eastAsia" w:ascii="宋体" w:hAnsi="宋体" w:cs="宋体"/>
          <w:color w:val="auto"/>
          <w:szCs w:val="21"/>
          <w:highlight w:val="none"/>
        </w:rPr>
        <w:t>本合同工程设计费总价暂定为</w:t>
      </w:r>
      <w:r>
        <w:rPr>
          <w:rFonts w:hint="eastAsia" w:ascii="宋体" w:hAnsi="宋体" w:cs="宋体"/>
          <w:b/>
          <w:color w:val="auto"/>
          <w:szCs w:val="21"/>
          <w:highlight w:val="none"/>
        </w:rPr>
        <w:t>元</w:t>
      </w:r>
      <w:r>
        <w:rPr>
          <w:rFonts w:hint="eastAsia" w:ascii="宋体" w:hAnsi="宋体" w:cs="宋体"/>
          <w:color w:val="auto"/>
          <w:szCs w:val="21"/>
          <w:highlight w:val="none"/>
        </w:rPr>
        <w:t>。其中：（</w:t>
      </w:r>
      <w:r>
        <w:rPr>
          <w:color w:val="auto"/>
          <w:szCs w:val="21"/>
          <w:highlight w:val="none"/>
        </w:rPr>
        <w:t>1</w:t>
      </w:r>
      <w:r>
        <w:rPr>
          <w:rFonts w:hint="eastAsia" w:ascii="宋体" w:hAnsi="宋体" w:cs="宋体"/>
          <w:color w:val="auto"/>
          <w:szCs w:val="21"/>
          <w:highlight w:val="none"/>
        </w:rPr>
        <w:t>）</w:t>
      </w:r>
      <w:r>
        <w:rPr>
          <w:rFonts w:hint="default" w:ascii="宋体" w:hAnsi="宋体" w:cs="宋体"/>
          <w:color w:val="auto"/>
          <w:szCs w:val="21"/>
          <w:highlight w:val="none"/>
        </w:rPr>
        <w:t>技术设计费</w:t>
      </w:r>
      <w:r>
        <w:rPr>
          <w:rFonts w:hint="eastAsia" w:ascii="宋体" w:hAnsi="宋体" w:cs="宋体"/>
          <w:color w:val="auto"/>
          <w:szCs w:val="21"/>
          <w:highlight w:val="none"/>
        </w:rPr>
        <w:t>暂定为元；（</w:t>
      </w:r>
      <w:r>
        <w:rPr>
          <w:color w:val="auto"/>
          <w:szCs w:val="21"/>
          <w:highlight w:val="none"/>
        </w:rPr>
        <w:t>2</w:t>
      </w:r>
      <w:r>
        <w:rPr>
          <w:rFonts w:hint="eastAsia" w:ascii="宋体" w:hAnsi="宋体" w:cs="宋体"/>
          <w:color w:val="auto"/>
          <w:szCs w:val="21"/>
          <w:highlight w:val="none"/>
        </w:rPr>
        <w:t>）</w:t>
      </w:r>
      <w:r>
        <w:rPr>
          <w:rFonts w:hint="default" w:ascii="宋体" w:hAnsi="宋体" w:cs="宋体"/>
          <w:color w:val="auto"/>
          <w:szCs w:val="21"/>
          <w:highlight w:val="none"/>
        </w:rPr>
        <w:t>造价预算</w:t>
      </w:r>
      <w:r>
        <w:rPr>
          <w:rFonts w:hint="eastAsia" w:ascii="宋体" w:hAnsi="宋体" w:cs="宋体"/>
          <w:color w:val="auto"/>
          <w:szCs w:val="21"/>
          <w:highlight w:val="none"/>
          <w:u w:val="single"/>
        </w:rPr>
        <w:t>编制</w:t>
      </w:r>
      <w:r>
        <w:rPr>
          <w:rFonts w:hint="eastAsia" w:ascii="宋体" w:hAnsi="宋体" w:cs="宋体"/>
          <w:color w:val="auto"/>
          <w:szCs w:val="21"/>
          <w:highlight w:val="none"/>
        </w:rPr>
        <w:t>费暂定为元。</w:t>
      </w:r>
    </w:p>
    <w:tbl>
      <w:tblPr>
        <w:tblStyle w:val="11"/>
        <w:tblW w:w="21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723"/>
        <w:gridCol w:w="1134"/>
        <w:gridCol w:w="1134"/>
        <w:gridCol w:w="851"/>
        <w:gridCol w:w="850"/>
        <w:gridCol w:w="709"/>
        <w:gridCol w:w="851"/>
        <w:gridCol w:w="708"/>
        <w:gridCol w:w="851"/>
        <w:gridCol w:w="709"/>
        <w:gridCol w:w="992"/>
        <w:gridCol w:w="709"/>
        <w:gridCol w:w="992"/>
        <w:gridCol w:w="709"/>
        <w:gridCol w:w="992"/>
        <w:gridCol w:w="709"/>
        <w:gridCol w:w="992"/>
        <w:gridCol w:w="709"/>
        <w:gridCol w:w="992"/>
        <w:gridCol w:w="709"/>
        <w:gridCol w:w="992"/>
        <w:gridCol w:w="709"/>
        <w:gridCol w:w="708"/>
        <w:gridCol w:w="676"/>
        <w:gridCol w:w="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721" w:type="dxa"/>
            <w:noWrap w:val="0"/>
            <w:vAlign w:val="top"/>
          </w:tcPr>
          <w:p>
            <w:pPr>
              <w:keepNext w:val="0"/>
              <w:keepLines w:val="0"/>
              <w:widowControl/>
              <w:suppressLineNumbers w:val="0"/>
              <w:adjustRightInd w:val="0"/>
              <w:snapToGrid w:val="0"/>
              <w:spacing w:before="0" w:beforeAutospacing="0" w:after="0" w:afterAutospacing="0" w:line="360" w:lineRule="auto"/>
              <w:ind w:left="0" w:right="0"/>
              <w:jc w:val="right"/>
              <w:rPr>
                <w:rFonts w:hint="default" w:ascii="宋体" w:cs="宋体"/>
                <w:color w:val="auto"/>
                <w:kern w:val="0"/>
                <w:sz w:val="18"/>
                <w:szCs w:val="18"/>
                <w:highlight w:val="none"/>
              </w:rPr>
            </w:pPr>
            <w:r>
              <w:rPr>
                <w:rFonts w:hint="eastAsia" w:ascii="宋体" w:hAnsi="宋体" w:cs="宋体"/>
                <w:color w:val="auto"/>
                <w:kern w:val="0"/>
                <w:sz w:val="18"/>
                <w:szCs w:val="18"/>
                <w:highlight w:val="none"/>
              </w:rPr>
              <w:t>栏号</w:t>
            </w:r>
          </w:p>
        </w:tc>
        <w:tc>
          <w:tcPr>
            <w:tcW w:w="723" w:type="dxa"/>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auto"/>
                <w:kern w:val="0"/>
                <w:sz w:val="18"/>
                <w:szCs w:val="18"/>
                <w:highlight w:val="none"/>
              </w:rPr>
            </w:pPr>
            <w:r>
              <w:rPr>
                <w:rFonts w:hint="eastAsia" w:ascii="宋体" w:hAnsi="宋体" w:cs="宋体"/>
                <w:b/>
                <w:color w:val="auto"/>
                <w:kern w:val="0"/>
                <w:sz w:val="18"/>
                <w:szCs w:val="18"/>
                <w:highlight w:val="none"/>
              </w:rPr>
              <w:t>设计内容</w:t>
            </w:r>
          </w:p>
        </w:tc>
        <w:tc>
          <w:tcPr>
            <w:tcW w:w="1134" w:type="dxa"/>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auto"/>
                <w:kern w:val="0"/>
                <w:sz w:val="18"/>
                <w:szCs w:val="18"/>
                <w:highlight w:val="none"/>
              </w:rPr>
            </w:pPr>
            <w:r>
              <w:rPr>
                <w:rFonts w:hint="eastAsia" w:ascii="宋体" w:hAnsi="宋体" w:cs="宋体"/>
                <w:b/>
                <w:color w:val="auto"/>
                <w:kern w:val="0"/>
                <w:sz w:val="18"/>
                <w:szCs w:val="18"/>
                <w:highlight w:val="none"/>
              </w:rPr>
              <w:t>乙方实际设计范围内审定工程概算建安工程费（万元）</w:t>
            </w:r>
          </w:p>
        </w:tc>
        <w:tc>
          <w:tcPr>
            <w:tcW w:w="1134" w:type="dxa"/>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auto"/>
                <w:kern w:val="0"/>
                <w:sz w:val="18"/>
                <w:szCs w:val="18"/>
                <w:highlight w:val="none"/>
              </w:rPr>
            </w:pPr>
            <w:r>
              <w:rPr>
                <w:rFonts w:hint="default" w:ascii="宋体" w:hAnsi="宋体" w:cs="宋体"/>
                <w:b/>
                <w:color w:val="auto"/>
                <w:kern w:val="0"/>
                <w:sz w:val="18"/>
                <w:szCs w:val="18"/>
                <w:highlight w:val="none"/>
              </w:rPr>
              <w:t>技术设计费</w:t>
            </w:r>
            <w:r>
              <w:rPr>
                <w:rFonts w:hint="eastAsia" w:ascii="宋体" w:hAnsi="宋体" w:cs="宋体"/>
                <w:b/>
                <w:color w:val="auto"/>
                <w:kern w:val="0"/>
                <w:sz w:val="18"/>
                <w:szCs w:val="18"/>
                <w:highlight w:val="none"/>
              </w:rPr>
              <w:t>（万元）</w:t>
            </w:r>
          </w:p>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auto"/>
                <w:kern w:val="0"/>
                <w:sz w:val="18"/>
                <w:szCs w:val="18"/>
                <w:highlight w:val="none"/>
              </w:rPr>
            </w:pPr>
          </w:p>
        </w:tc>
        <w:tc>
          <w:tcPr>
            <w:tcW w:w="851" w:type="dxa"/>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auto"/>
                <w:kern w:val="0"/>
                <w:sz w:val="18"/>
                <w:szCs w:val="18"/>
                <w:highlight w:val="none"/>
              </w:rPr>
            </w:pPr>
            <w:r>
              <w:rPr>
                <w:rFonts w:hint="eastAsia" w:ascii="宋体" w:hAnsi="宋体" w:cs="宋体"/>
                <w:b/>
                <w:color w:val="auto"/>
                <w:kern w:val="0"/>
                <w:sz w:val="18"/>
                <w:szCs w:val="18"/>
                <w:highlight w:val="none"/>
              </w:rPr>
              <w:t>方案设计阶段工程设计工作支付比例</w:t>
            </w:r>
          </w:p>
        </w:tc>
        <w:tc>
          <w:tcPr>
            <w:tcW w:w="850" w:type="dxa"/>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auto"/>
                <w:kern w:val="0"/>
                <w:sz w:val="18"/>
                <w:szCs w:val="18"/>
                <w:highlight w:val="none"/>
              </w:rPr>
            </w:pPr>
            <w:r>
              <w:rPr>
                <w:rFonts w:hint="eastAsia" w:ascii="宋体" w:hAnsi="宋体" w:cs="宋体"/>
                <w:b/>
                <w:color w:val="auto"/>
                <w:kern w:val="0"/>
                <w:sz w:val="18"/>
                <w:szCs w:val="18"/>
                <w:highlight w:val="none"/>
              </w:rPr>
              <w:t>方案设计阶段工程设计费（万元）</w:t>
            </w:r>
          </w:p>
        </w:tc>
        <w:tc>
          <w:tcPr>
            <w:tcW w:w="709" w:type="dxa"/>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auto"/>
                <w:kern w:val="0"/>
                <w:sz w:val="18"/>
                <w:szCs w:val="18"/>
                <w:highlight w:val="none"/>
              </w:rPr>
            </w:pPr>
            <w:r>
              <w:rPr>
                <w:rFonts w:hint="eastAsia" w:ascii="宋体" w:hAnsi="宋体" w:cs="宋体"/>
                <w:b/>
                <w:color w:val="auto"/>
                <w:kern w:val="0"/>
                <w:sz w:val="18"/>
                <w:szCs w:val="18"/>
                <w:highlight w:val="none"/>
              </w:rPr>
              <w:t>工程投资估算编制工作支付比例</w:t>
            </w:r>
          </w:p>
        </w:tc>
        <w:tc>
          <w:tcPr>
            <w:tcW w:w="851" w:type="dxa"/>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auto"/>
                <w:kern w:val="0"/>
                <w:sz w:val="18"/>
                <w:szCs w:val="18"/>
                <w:highlight w:val="none"/>
              </w:rPr>
            </w:pPr>
            <w:r>
              <w:rPr>
                <w:rFonts w:hint="eastAsia" w:ascii="宋体" w:hAnsi="宋体" w:cs="宋体"/>
                <w:b/>
                <w:color w:val="auto"/>
                <w:kern w:val="0"/>
                <w:sz w:val="18"/>
                <w:szCs w:val="18"/>
                <w:highlight w:val="none"/>
              </w:rPr>
              <w:t>工程投资估算编制费（万元）</w:t>
            </w:r>
          </w:p>
        </w:tc>
        <w:tc>
          <w:tcPr>
            <w:tcW w:w="708" w:type="dxa"/>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auto"/>
                <w:kern w:val="0"/>
                <w:sz w:val="18"/>
                <w:szCs w:val="18"/>
                <w:highlight w:val="none"/>
              </w:rPr>
            </w:pPr>
            <w:r>
              <w:rPr>
                <w:rFonts w:hint="eastAsia" w:ascii="宋体" w:hAnsi="宋体" w:cs="宋体"/>
                <w:b/>
                <w:color w:val="auto"/>
                <w:kern w:val="0"/>
                <w:sz w:val="18"/>
                <w:szCs w:val="18"/>
                <w:highlight w:val="none"/>
              </w:rPr>
              <w:t>初步设计阶段工程设计工作支付比例</w:t>
            </w:r>
          </w:p>
        </w:tc>
        <w:tc>
          <w:tcPr>
            <w:tcW w:w="851" w:type="dxa"/>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auto"/>
                <w:kern w:val="0"/>
                <w:sz w:val="18"/>
                <w:szCs w:val="18"/>
                <w:highlight w:val="none"/>
              </w:rPr>
            </w:pPr>
            <w:r>
              <w:rPr>
                <w:rFonts w:hint="eastAsia" w:ascii="宋体" w:hAnsi="宋体" w:cs="宋体"/>
                <w:b/>
                <w:color w:val="auto"/>
                <w:kern w:val="0"/>
                <w:sz w:val="18"/>
                <w:szCs w:val="18"/>
                <w:highlight w:val="none"/>
              </w:rPr>
              <w:t>初步设计阶段工程设计费（万元）</w:t>
            </w:r>
          </w:p>
        </w:tc>
        <w:tc>
          <w:tcPr>
            <w:tcW w:w="709" w:type="dxa"/>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auto"/>
                <w:kern w:val="0"/>
                <w:sz w:val="18"/>
                <w:szCs w:val="18"/>
                <w:highlight w:val="none"/>
              </w:rPr>
            </w:pPr>
            <w:r>
              <w:rPr>
                <w:rFonts w:hint="eastAsia" w:ascii="宋体" w:hAnsi="宋体" w:cs="宋体"/>
                <w:b/>
                <w:color w:val="auto"/>
                <w:kern w:val="0"/>
                <w:sz w:val="18"/>
                <w:szCs w:val="18"/>
                <w:highlight w:val="none"/>
              </w:rPr>
              <w:t>报审报建配合服务工作支付比例</w:t>
            </w:r>
          </w:p>
        </w:tc>
        <w:tc>
          <w:tcPr>
            <w:tcW w:w="992" w:type="dxa"/>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auto"/>
                <w:kern w:val="0"/>
                <w:sz w:val="18"/>
                <w:szCs w:val="18"/>
                <w:highlight w:val="none"/>
              </w:rPr>
            </w:pPr>
            <w:r>
              <w:rPr>
                <w:rFonts w:hint="eastAsia" w:ascii="宋体" w:hAnsi="宋体" w:cs="宋体"/>
                <w:b/>
                <w:color w:val="auto"/>
                <w:kern w:val="0"/>
                <w:sz w:val="18"/>
                <w:szCs w:val="18"/>
                <w:highlight w:val="none"/>
              </w:rPr>
              <w:t>报审报建配合服务费（万元）</w:t>
            </w:r>
          </w:p>
        </w:tc>
        <w:tc>
          <w:tcPr>
            <w:tcW w:w="709" w:type="dxa"/>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auto"/>
                <w:kern w:val="0"/>
                <w:sz w:val="18"/>
                <w:szCs w:val="18"/>
                <w:highlight w:val="none"/>
              </w:rPr>
            </w:pPr>
            <w:r>
              <w:rPr>
                <w:rFonts w:hint="eastAsia" w:ascii="宋体" w:hAnsi="宋体" w:cs="宋体"/>
                <w:b/>
                <w:color w:val="auto"/>
                <w:kern w:val="0"/>
                <w:sz w:val="18"/>
                <w:szCs w:val="18"/>
                <w:highlight w:val="none"/>
              </w:rPr>
              <w:t>工程设计概算编制工作支付比例</w:t>
            </w:r>
          </w:p>
        </w:tc>
        <w:tc>
          <w:tcPr>
            <w:tcW w:w="992" w:type="dxa"/>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auto"/>
                <w:kern w:val="0"/>
                <w:sz w:val="18"/>
                <w:szCs w:val="18"/>
                <w:highlight w:val="none"/>
              </w:rPr>
            </w:pPr>
            <w:r>
              <w:rPr>
                <w:rFonts w:hint="eastAsia" w:ascii="宋体" w:hAnsi="宋体" w:cs="宋体"/>
                <w:b/>
                <w:color w:val="auto"/>
                <w:kern w:val="0"/>
                <w:sz w:val="18"/>
                <w:szCs w:val="18"/>
                <w:highlight w:val="none"/>
              </w:rPr>
              <w:t>工程设计概算编制费（万元）</w:t>
            </w:r>
          </w:p>
        </w:tc>
        <w:tc>
          <w:tcPr>
            <w:tcW w:w="709" w:type="dxa"/>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auto"/>
                <w:kern w:val="0"/>
                <w:sz w:val="18"/>
                <w:szCs w:val="18"/>
                <w:highlight w:val="none"/>
              </w:rPr>
            </w:pPr>
            <w:r>
              <w:rPr>
                <w:rFonts w:hint="eastAsia" w:ascii="宋体" w:hAnsi="宋体" w:cs="宋体"/>
                <w:b/>
                <w:color w:val="auto"/>
                <w:kern w:val="0"/>
                <w:sz w:val="18"/>
                <w:szCs w:val="18"/>
                <w:highlight w:val="none"/>
              </w:rPr>
              <w:t>施工图设计阶段工作支付比例</w:t>
            </w:r>
          </w:p>
        </w:tc>
        <w:tc>
          <w:tcPr>
            <w:tcW w:w="992" w:type="dxa"/>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auto"/>
                <w:kern w:val="0"/>
                <w:sz w:val="18"/>
                <w:szCs w:val="18"/>
                <w:highlight w:val="none"/>
              </w:rPr>
            </w:pPr>
            <w:r>
              <w:rPr>
                <w:rFonts w:hint="eastAsia" w:ascii="宋体" w:hAnsi="宋体" w:cs="宋体"/>
                <w:b/>
                <w:color w:val="auto"/>
                <w:kern w:val="0"/>
                <w:sz w:val="18"/>
                <w:szCs w:val="18"/>
                <w:highlight w:val="none"/>
              </w:rPr>
              <w:t>施工图设计阶段费用（万元）</w:t>
            </w:r>
          </w:p>
        </w:tc>
        <w:tc>
          <w:tcPr>
            <w:tcW w:w="709" w:type="dxa"/>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auto"/>
                <w:kern w:val="0"/>
                <w:sz w:val="18"/>
                <w:szCs w:val="18"/>
                <w:highlight w:val="none"/>
              </w:rPr>
            </w:pPr>
            <w:r>
              <w:rPr>
                <w:rFonts w:hint="eastAsia" w:ascii="宋体" w:hAnsi="宋体" w:cs="宋体"/>
                <w:b/>
                <w:color w:val="auto"/>
                <w:kern w:val="0"/>
                <w:sz w:val="18"/>
                <w:szCs w:val="18"/>
                <w:highlight w:val="none"/>
              </w:rPr>
              <w:t>招标设计配合服务工作支付比例</w:t>
            </w:r>
          </w:p>
        </w:tc>
        <w:tc>
          <w:tcPr>
            <w:tcW w:w="992" w:type="dxa"/>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auto"/>
                <w:kern w:val="0"/>
                <w:sz w:val="18"/>
                <w:szCs w:val="18"/>
                <w:highlight w:val="none"/>
              </w:rPr>
            </w:pPr>
            <w:r>
              <w:rPr>
                <w:rFonts w:hint="eastAsia" w:ascii="宋体" w:hAnsi="宋体" w:cs="宋体"/>
                <w:b/>
                <w:color w:val="auto"/>
                <w:kern w:val="0"/>
                <w:sz w:val="18"/>
                <w:szCs w:val="18"/>
                <w:highlight w:val="none"/>
              </w:rPr>
              <w:t>招标配合服务费（万元）</w:t>
            </w:r>
          </w:p>
        </w:tc>
        <w:tc>
          <w:tcPr>
            <w:tcW w:w="709" w:type="dxa"/>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auto"/>
                <w:kern w:val="0"/>
                <w:sz w:val="18"/>
                <w:szCs w:val="18"/>
                <w:highlight w:val="none"/>
              </w:rPr>
            </w:pPr>
            <w:r>
              <w:rPr>
                <w:rFonts w:hint="eastAsia" w:ascii="宋体" w:hAnsi="宋体" w:cs="宋体"/>
                <w:b/>
                <w:color w:val="auto"/>
                <w:kern w:val="0"/>
                <w:sz w:val="18"/>
                <w:szCs w:val="18"/>
                <w:highlight w:val="none"/>
              </w:rPr>
              <w:t>施工阶段的现场服务工作支付比例</w:t>
            </w:r>
          </w:p>
        </w:tc>
        <w:tc>
          <w:tcPr>
            <w:tcW w:w="992" w:type="dxa"/>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auto"/>
                <w:kern w:val="0"/>
                <w:sz w:val="18"/>
                <w:szCs w:val="18"/>
                <w:highlight w:val="none"/>
              </w:rPr>
            </w:pPr>
            <w:r>
              <w:rPr>
                <w:rFonts w:hint="eastAsia" w:ascii="宋体" w:hAnsi="宋体" w:cs="宋体"/>
                <w:b/>
                <w:color w:val="auto"/>
                <w:kern w:val="0"/>
                <w:sz w:val="18"/>
                <w:szCs w:val="18"/>
                <w:highlight w:val="none"/>
              </w:rPr>
              <w:t>施工阶段的现场服务费（万元）</w:t>
            </w:r>
          </w:p>
        </w:tc>
        <w:tc>
          <w:tcPr>
            <w:tcW w:w="709" w:type="dxa"/>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auto"/>
                <w:kern w:val="0"/>
                <w:sz w:val="18"/>
                <w:szCs w:val="18"/>
                <w:highlight w:val="none"/>
              </w:rPr>
            </w:pPr>
            <w:r>
              <w:rPr>
                <w:rFonts w:hint="eastAsia" w:ascii="宋体" w:hAnsi="宋体" w:cs="宋体"/>
                <w:b/>
                <w:color w:val="auto"/>
                <w:kern w:val="0"/>
                <w:sz w:val="18"/>
                <w:szCs w:val="18"/>
                <w:highlight w:val="none"/>
              </w:rPr>
              <w:t>完整版施工图设计工作支付比例</w:t>
            </w:r>
          </w:p>
        </w:tc>
        <w:tc>
          <w:tcPr>
            <w:tcW w:w="992" w:type="dxa"/>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auto"/>
                <w:kern w:val="0"/>
                <w:sz w:val="18"/>
                <w:szCs w:val="18"/>
                <w:highlight w:val="none"/>
              </w:rPr>
            </w:pPr>
            <w:r>
              <w:rPr>
                <w:rFonts w:hint="eastAsia" w:ascii="宋体" w:hAnsi="宋体" w:cs="宋体"/>
                <w:b/>
                <w:color w:val="auto"/>
                <w:kern w:val="0"/>
                <w:sz w:val="18"/>
                <w:szCs w:val="18"/>
                <w:highlight w:val="none"/>
              </w:rPr>
              <w:t>完整版施工图费用（万元）</w:t>
            </w:r>
          </w:p>
        </w:tc>
        <w:tc>
          <w:tcPr>
            <w:tcW w:w="709" w:type="dxa"/>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auto"/>
                <w:kern w:val="0"/>
                <w:sz w:val="18"/>
                <w:szCs w:val="18"/>
                <w:highlight w:val="none"/>
              </w:rPr>
            </w:pPr>
            <w:r>
              <w:rPr>
                <w:rFonts w:hint="eastAsia" w:ascii="宋体" w:hAnsi="宋体" w:cs="宋体"/>
                <w:b/>
                <w:color w:val="auto"/>
                <w:kern w:val="0"/>
                <w:sz w:val="18"/>
                <w:szCs w:val="18"/>
                <w:highlight w:val="none"/>
              </w:rPr>
              <w:t>工程结算配合服务工作支付比例</w:t>
            </w:r>
          </w:p>
        </w:tc>
        <w:tc>
          <w:tcPr>
            <w:tcW w:w="708" w:type="dxa"/>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auto"/>
                <w:kern w:val="0"/>
                <w:sz w:val="18"/>
                <w:szCs w:val="18"/>
                <w:highlight w:val="none"/>
              </w:rPr>
            </w:pPr>
            <w:r>
              <w:rPr>
                <w:rFonts w:hint="eastAsia" w:ascii="宋体" w:hAnsi="宋体" w:cs="宋体"/>
                <w:b/>
                <w:color w:val="auto"/>
                <w:kern w:val="0"/>
                <w:sz w:val="18"/>
                <w:szCs w:val="18"/>
                <w:highlight w:val="none"/>
              </w:rPr>
              <w:t>工程结算配合服务费（万元）</w:t>
            </w:r>
          </w:p>
        </w:tc>
        <w:tc>
          <w:tcPr>
            <w:tcW w:w="676" w:type="dxa"/>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auto"/>
                <w:kern w:val="0"/>
                <w:sz w:val="18"/>
                <w:szCs w:val="18"/>
                <w:highlight w:val="none"/>
              </w:rPr>
            </w:pPr>
            <w:r>
              <w:rPr>
                <w:rFonts w:hint="eastAsia" w:ascii="宋体" w:hAnsi="宋体" w:cs="宋体"/>
                <w:b/>
                <w:color w:val="auto"/>
                <w:kern w:val="0"/>
                <w:sz w:val="18"/>
                <w:szCs w:val="18"/>
                <w:highlight w:val="none"/>
              </w:rPr>
              <w:t>工程保修阶段服务工作支付比例</w:t>
            </w:r>
          </w:p>
        </w:tc>
        <w:tc>
          <w:tcPr>
            <w:tcW w:w="722" w:type="dxa"/>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auto"/>
                <w:kern w:val="0"/>
                <w:sz w:val="18"/>
                <w:szCs w:val="18"/>
                <w:highlight w:val="none"/>
              </w:rPr>
            </w:pPr>
            <w:r>
              <w:rPr>
                <w:rFonts w:hint="eastAsia" w:ascii="宋体" w:hAnsi="宋体" w:cs="宋体"/>
                <w:b/>
                <w:color w:val="auto"/>
                <w:kern w:val="0"/>
                <w:sz w:val="18"/>
                <w:szCs w:val="18"/>
                <w:highlight w:val="none"/>
              </w:rPr>
              <w:t>工程保修阶段的服务费（万元）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721" w:type="dxa"/>
            <w:noWrap w:val="0"/>
            <w:vAlign w:val="center"/>
          </w:tcPr>
          <w:p>
            <w:pPr>
              <w:keepNext w:val="0"/>
              <w:keepLines w:val="0"/>
              <w:widowControl/>
              <w:suppressLineNumbers w:val="0"/>
              <w:adjustRightInd w:val="0"/>
              <w:snapToGrid w:val="0"/>
              <w:spacing w:before="0" w:beforeAutospacing="0" w:after="0" w:afterAutospacing="0" w:line="360" w:lineRule="auto"/>
              <w:ind w:left="0" w:right="0"/>
              <w:jc w:val="left"/>
              <w:rPr>
                <w:rFonts w:hint="default" w:ascii="宋体" w:cs="宋体"/>
                <w:b/>
                <w:color w:val="auto"/>
                <w:kern w:val="0"/>
                <w:sz w:val="18"/>
                <w:szCs w:val="18"/>
                <w:highlight w:val="none"/>
              </w:rPr>
            </w:pPr>
            <w:r>
              <w:rPr>
                <w:rFonts w:hint="eastAsia" w:ascii="宋体" w:hAnsi="宋体" w:cs="宋体"/>
                <w:b/>
                <w:color w:val="auto"/>
                <w:kern w:val="0"/>
                <w:sz w:val="18"/>
                <w:szCs w:val="18"/>
                <w:highlight w:val="none"/>
              </w:rPr>
              <w:t>项号</w:t>
            </w:r>
          </w:p>
        </w:tc>
        <w:tc>
          <w:tcPr>
            <w:tcW w:w="723" w:type="dxa"/>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auto"/>
                <w:kern w:val="0"/>
                <w:sz w:val="18"/>
                <w:szCs w:val="18"/>
                <w:highlight w:val="none"/>
              </w:rPr>
            </w:pPr>
            <w:r>
              <w:rPr>
                <w:rFonts w:hint="default" w:ascii="宋体" w:cs="宋体"/>
                <w:b/>
                <w:color w:val="auto"/>
                <w:kern w:val="0"/>
                <w:sz w:val="18"/>
                <w:szCs w:val="18"/>
                <w:highlight w:val="none"/>
              </w:rPr>
              <w:t>-</w:t>
            </w:r>
          </w:p>
        </w:tc>
        <w:tc>
          <w:tcPr>
            <w:tcW w:w="1134" w:type="dxa"/>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auto"/>
                <w:kern w:val="0"/>
                <w:sz w:val="18"/>
                <w:szCs w:val="18"/>
                <w:highlight w:val="none"/>
              </w:rPr>
            </w:pPr>
            <w:r>
              <w:rPr>
                <w:rFonts w:hint="default" w:ascii="宋体" w:hAnsi="宋体" w:cs="宋体"/>
                <w:b/>
                <w:color w:val="auto"/>
                <w:kern w:val="0"/>
                <w:sz w:val="18"/>
                <w:szCs w:val="18"/>
                <w:highlight w:val="none"/>
              </w:rPr>
              <w:t>(1)</w:t>
            </w:r>
          </w:p>
        </w:tc>
        <w:tc>
          <w:tcPr>
            <w:tcW w:w="1134" w:type="dxa"/>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auto"/>
                <w:kern w:val="0"/>
                <w:sz w:val="18"/>
                <w:szCs w:val="18"/>
                <w:highlight w:val="none"/>
              </w:rPr>
            </w:pPr>
            <w:r>
              <w:rPr>
                <w:rFonts w:hint="default" w:ascii="宋体" w:hAnsi="宋体" w:cs="宋体"/>
                <w:b/>
                <w:color w:val="auto"/>
                <w:kern w:val="0"/>
                <w:sz w:val="18"/>
                <w:szCs w:val="18"/>
                <w:highlight w:val="none"/>
              </w:rPr>
              <w:t>(2)</w:t>
            </w:r>
          </w:p>
        </w:tc>
        <w:tc>
          <w:tcPr>
            <w:tcW w:w="851" w:type="dxa"/>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auto"/>
                <w:kern w:val="0"/>
                <w:sz w:val="18"/>
                <w:szCs w:val="18"/>
                <w:highlight w:val="none"/>
              </w:rPr>
            </w:pPr>
            <w:r>
              <w:rPr>
                <w:rFonts w:hint="default" w:ascii="宋体" w:hAnsi="宋体" w:cs="宋体"/>
                <w:b/>
                <w:color w:val="auto"/>
                <w:kern w:val="0"/>
                <w:sz w:val="18"/>
                <w:szCs w:val="18"/>
                <w:highlight w:val="none"/>
              </w:rPr>
              <w:t>(3)</w:t>
            </w:r>
          </w:p>
        </w:tc>
        <w:tc>
          <w:tcPr>
            <w:tcW w:w="850" w:type="dxa"/>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auto"/>
                <w:kern w:val="0"/>
                <w:sz w:val="18"/>
                <w:szCs w:val="18"/>
                <w:highlight w:val="none"/>
              </w:rPr>
            </w:pPr>
            <w:r>
              <w:rPr>
                <w:rFonts w:hint="default" w:ascii="宋体" w:hAnsi="宋体" w:cs="宋体"/>
                <w:b/>
                <w:color w:val="auto"/>
                <w:kern w:val="0"/>
                <w:sz w:val="18"/>
                <w:szCs w:val="18"/>
                <w:highlight w:val="none"/>
              </w:rPr>
              <w:t>(4)=(2)</w:t>
            </w:r>
            <w:r>
              <w:rPr>
                <w:rFonts w:hint="eastAsia" w:ascii="宋体" w:hAnsi="宋体" w:cs="宋体"/>
                <w:b/>
                <w:color w:val="auto"/>
                <w:kern w:val="0"/>
                <w:sz w:val="18"/>
                <w:szCs w:val="18"/>
                <w:highlight w:val="none"/>
              </w:rPr>
              <w:t>×</w:t>
            </w:r>
            <w:r>
              <w:rPr>
                <w:rFonts w:hint="default" w:ascii="宋体" w:hAnsi="宋体" w:cs="宋体"/>
                <w:b/>
                <w:color w:val="auto"/>
                <w:kern w:val="0"/>
                <w:sz w:val="18"/>
                <w:szCs w:val="18"/>
                <w:highlight w:val="none"/>
              </w:rPr>
              <w:t>(3)</w:t>
            </w:r>
          </w:p>
        </w:tc>
        <w:tc>
          <w:tcPr>
            <w:tcW w:w="709" w:type="dxa"/>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auto"/>
                <w:kern w:val="0"/>
                <w:sz w:val="18"/>
                <w:szCs w:val="18"/>
                <w:highlight w:val="none"/>
              </w:rPr>
            </w:pPr>
            <w:r>
              <w:rPr>
                <w:rFonts w:hint="eastAsia" w:ascii="宋体" w:hAnsi="宋体" w:cs="宋体"/>
                <w:b/>
                <w:color w:val="auto"/>
                <w:kern w:val="0"/>
                <w:sz w:val="18"/>
                <w:szCs w:val="18"/>
                <w:highlight w:val="none"/>
              </w:rPr>
              <w:t>（</w:t>
            </w:r>
            <w:r>
              <w:rPr>
                <w:rFonts w:hint="default" w:ascii="宋体" w:hAnsi="宋体" w:cs="宋体"/>
                <w:b/>
                <w:color w:val="auto"/>
                <w:kern w:val="0"/>
                <w:sz w:val="18"/>
                <w:szCs w:val="18"/>
                <w:highlight w:val="none"/>
              </w:rPr>
              <w:t>5</w:t>
            </w:r>
            <w:r>
              <w:rPr>
                <w:rFonts w:hint="eastAsia" w:ascii="宋体" w:hAnsi="宋体" w:cs="宋体"/>
                <w:b/>
                <w:color w:val="auto"/>
                <w:kern w:val="0"/>
                <w:sz w:val="18"/>
                <w:szCs w:val="18"/>
                <w:highlight w:val="none"/>
              </w:rPr>
              <w:t>）</w:t>
            </w:r>
          </w:p>
        </w:tc>
        <w:tc>
          <w:tcPr>
            <w:tcW w:w="851" w:type="dxa"/>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auto"/>
                <w:kern w:val="0"/>
                <w:sz w:val="18"/>
                <w:szCs w:val="18"/>
                <w:highlight w:val="none"/>
              </w:rPr>
            </w:pPr>
            <w:r>
              <w:rPr>
                <w:rFonts w:hint="default" w:ascii="宋体" w:hAnsi="宋体" w:cs="宋体"/>
                <w:b/>
                <w:color w:val="auto"/>
                <w:kern w:val="0"/>
                <w:sz w:val="18"/>
                <w:szCs w:val="18"/>
                <w:highlight w:val="none"/>
              </w:rPr>
              <w:t>(6)=(2)</w:t>
            </w:r>
            <w:r>
              <w:rPr>
                <w:rFonts w:hint="eastAsia" w:ascii="宋体" w:hAnsi="宋体" w:cs="宋体"/>
                <w:b/>
                <w:color w:val="auto"/>
                <w:kern w:val="0"/>
                <w:sz w:val="18"/>
                <w:szCs w:val="18"/>
                <w:highlight w:val="none"/>
              </w:rPr>
              <w:t>×</w:t>
            </w:r>
            <w:r>
              <w:rPr>
                <w:rFonts w:hint="default" w:ascii="宋体" w:hAnsi="宋体" w:cs="宋体"/>
                <w:b/>
                <w:color w:val="auto"/>
                <w:kern w:val="0"/>
                <w:sz w:val="18"/>
                <w:szCs w:val="18"/>
                <w:highlight w:val="none"/>
              </w:rPr>
              <w:t>(5)</w:t>
            </w:r>
          </w:p>
        </w:tc>
        <w:tc>
          <w:tcPr>
            <w:tcW w:w="708" w:type="dxa"/>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auto"/>
                <w:kern w:val="0"/>
                <w:sz w:val="18"/>
                <w:szCs w:val="18"/>
                <w:highlight w:val="none"/>
              </w:rPr>
            </w:pPr>
            <w:r>
              <w:rPr>
                <w:rFonts w:hint="eastAsia" w:ascii="宋体" w:hAnsi="宋体" w:cs="宋体"/>
                <w:b/>
                <w:color w:val="auto"/>
                <w:kern w:val="0"/>
                <w:sz w:val="18"/>
                <w:szCs w:val="18"/>
                <w:highlight w:val="none"/>
              </w:rPr>
              <w:t>（</w:t>
            </w:r>
            <w:r>
              <w:rPr>
                <w:rFonts w:hint="default" w:ascii="宋体" w:hAnsi="宋体" w:cs="宋体"/>
                <w:b/>
                <w:color w:val="auto"/>
                <w:kern w:val="0"/>
                <w:sz w:val="18"/>
                <w:szCs w:val="18"/>
                <w:highlight w:val="none"/>
              </w:rPr>
              <w:t>7</w:t>
            </w:r>
            <w:r>
              <w:rPr>
                <w:rFonts w:hint="eastAsia" w:ascii="宋体" w:hAnsi="宋体" w:cs="宋体"/>
                <w:b/>
                <w:color w:val="auto"/>
                <w:kern w:val="0"/>
                <w:sz w:val="18"/>
                <w:szCs w:val="18"/>
                <w:highlight w:val="none"/>
              </w:rPr>
              <w:t>）</w:t>
            </w:r>
          </w:p>
        </w:tc>
        <w:tc>
          <w:tcPr>
            <w:tcW w:w="851" w:type="dxa"/>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auto"/>
                <w:kern w:val="0"/>
                <w:sz w:val="18"/>
                <w:szCs w:val="18"/>
                <w:highlight w:val="none"/>
              </w:rPr>
            </w:pPr>
            <w:r>
              <w:rPr>
                <w:rFonts w:hint="default" w:ascii="宋体" w:hAnsi="宋体" w:cs="宋体"/>
                <w:b/>
                <w:color w:val="auto"/>
                <w:kern w:val="0"/>
                <w:sz w:val="18"/>
                <w:szCs w:val="18"/>
                <w:highlight w:val="none"/>
              </w:rPr>
              <w:t>(8)=(2)</w:t>
            </w:r>
            <w:r>
              <w:rPr>
                <w:rFonts w:hint="eastAsia" w:ascii="宋体" w:hAnsi="宋体" w:cs="宋体"/>
                <w:b/>
                <w:color w:val="auto"/>
                <w:kern w:val="0"/>
                <w:sz w:val="18"/>
                <w:szCs w:val="18"/>
                <w:highlight w:val="none"/>
              </w:rPr>
              <w:t>×</w:t>
            </w:r>
            <w:r>
              <w:rPr>
                <w:rFonts w:hint="default" w:ascii="宋体" w:hAnsi="宋体" w:cs="宋体"/>
                <w:b/>
                <w:color w:val="auto"/>
                <w:kern w:val="0"/>
                <w:sz w:val="18"/>
                <w:szCs w:val="18"/>
                <w:highlight w:val="none"/>
              </w:rPr>
              <w:t>(7)</w:t>
            </w:r>
          </w:p>
        </w:tc>
        <w:tc>
          <w:tcPr>
            <w:tcW w:w="709" w:type="dxa"/>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auto"/>
                <w:kern w:val="0"/>
                <w:sz w:val="18"/>
                <w:szCs w:val="18"/>
                <w:highlight w:val="none"/>
              </w:rPr>
            </w:pPr>
            <w:r>
              <w:rPr>
                <w:rFonts w:hint="eastAsia" w:ascii="宋体" w:hAnsi="宋体" w:cs="宋体"/>
                <w:b/>
                <w:color w:val="auto"/>
                <w:kern w:val="0"/>
                <w:sz w:val="18"/>
                <w:szCs w:val="18"/>
                <w:highlight w:val="none"/>
              </w:rPr>
              <w:t>（</w:t>
            </w:r>
            <w:r>
              <w:rPr>
                <w:rFonts w:hint="default" w:ascii="宋体" w:hAnsi="宋体" w:cs="宋体"/>
                <w:b/>
                <w:color w:val="auto"/>
                <w:kern w:val="0"/>
                <w:sz w:val="18"/>
                <w:szCs w:val="18"/>
                <w:highlight w:val="none"/>
              </w:rPr>
              <w:t>9</w:t>
            </w:r>
            <w:r>
              <w:rPr>
                <w:rFonts w:hint="eastAsia" w:ascii="宋体" w:hAnsi="宋体" w:cs="宋体"/>
                <w:b/>
                <w:color w:val="auto"/>
                <w:kern w:val="0"/>
                <w:sz w:val="18"/>
                <w:szCs w:val="18"/>
                <w:highlight w:val="none"/>
              </w:rPr>
              <w:t>）</w:t>
            </w:r>
          </w:p>
        </w:tc>
        <w:tc>
          <w:tcPr>
            <w:tcW w:w="992" w:type="dxa"/>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auto"/>
                <w:kern w:val="0"/>
                <w:sz w:val="18"/>
                <w:szCs w:val="18"/>
                <w:highlight w:val="none"/>
              </w:rPr>
            </w:pPr>
            <w:r>
              <w:rPr>
                <w:rFonts w:hint="default" w:ascii="宋体" w:hAnsi="宋体" w:cs="宋体"/>
                <w:b/>
                <w:color w:val="auto"/>
                <w:kern w:val="0"/>
                <w:sz w:val="18"/>
                <w:szCs w:val="18"/>
                <w:highlight w:val="none"/>
              </w:rPr>
              <w:t>(10)=(2)</w:t>
            </w:r>
            <w:r>
              <w:rPr>
                <w:rFonts w:hint="eastAsia" w:ascii="宋体" w:hAnsi="宋体" w:cs="宋体"/>
                <w:b/>
                <w:color w:val="auto"/>
                <w:kern w:val="0"/>
                <w:sz w:val="18"/>
                <w:szCs w:val="18"/>
                <w:highlight w:val="none"/>
              </w:rPr>
              <w:t>×</w:t>
            </w:r>
            <w:r>
              <w:rPr>
                <w:rFonts w:hint="default" w:ascii="宋体" w:hAnsi="宋体" w:cs="宋体"/>
                <w:b/>
                <w:color w:val="auto"/>
                <w:kern w:val="0"/>
                <w:sz w:val="18"/>
                <w:szCs w:val="18"/>
                <w:highlight w:val="none"/>
              </w:rPr>
              <w:t>(9)</w:t>
            </w:r>
          </w:p>
        </w:tc>
        <w:tc>
          <w:tcPr>
            <w:tcW w:w="709" w:type="dxa"/>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auto"/>
                <w:kern w:val="0"/>
                <w:sz w:val="18"/>
                <w:szCs w:val="18"/>
                <w:highlight w:val="none"/>
              </w:rPr>
            </w:pPr>
            <w:r>
              <w:rPr>
                <w:rFonts w:hint="default" w:ascii="宋体" w:hAnsi="宋体" w:cs="宋体"/>
                <w:b/>
                <w:color w:val="auto"/>
                <w:kern w:val="0"/>
                <w:sz w:val="18"/>
                <w:szCs w:val="18"/>
                <w:highlight w:val="none"/>
              </w:rPr>
              <w:t>(11)</w:t>
            </w:r>
          </w:p>
        </w:tc>
        <w:tc>
          <w:tcPr>
            <w:tcW w:w="992" w:type="dxa"/>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auto"/>
                <w:kern w:val="0"/>
                <w:sz w:val="18"/>
                <w:szCs w:val="18"/>
                <w:highlight w:val="none"/>
              </w:rPr>
            </w:pPr>
            <w:r>
              <w:rPr>
                <w:rFonts w:hint="default" w:ascii="宋体" w:hAnsi="宋体" w:cs="宋体"/>
                <w:b/>
                <w:color w:val="auto"/>
                <w:kern w:val="0"/>
                <w:sz w:val="18"/>
                <w:szCs w:val="18"/>
                <w:highlight w:val="none"/>
              </w:rPr>
              <w:t>(12)=(2)</w:t>
            </w:r>
            <w:r>
              <w:rPr>
                <w:rFonts w:hint="eastAsia" w:ascii="宋体" w:hAnsi="宋体" w:cs="宋体"/>
                <w:b/>
                <w:color w:val="auto"/>
                <w:kern w:val="0"/>
                <w:sz w:val="18"/>
                <w:szCs w:val="18"/>
                <w:highlight w:val="none"/>
              </w:rPr>
              <w:t>×</w:t>
            </w:r>
            <w:r>
              <w:rPr>
                <w:rFonts w:hint="default" w:ascii="宋体" w:hAnsi="宋体" w:cs="宋体"/>
                <w:b/>
                <w:color w:val="auto"/>
                <w:kern w:val="0"/>
                <w:sz w:val="18"/>
                <w:szCs w:val="18"/>
                <w:highlight w:val="none"/>
              </w:rPr>
              <w:t>(11)</w:t>
            </w:r>
          </w:p>
        </w:tc>
        <w:tc>
          <w:tcPr>
            <w:tcW w:w="709" w:type="dxa"/>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auto"/>
                <w:kern w:val="0"/>
                <w:sz w:val="18"/>
                <w:szCs w:val="18"/>
                <w:highlight w:val="none"/>
              </w:rPr>
            </w:pPr>
            <w:r>
              <w:rPr>
                <w:rFonts w:hint="default" w:ascii="宋体" w:hAnsi="宋体" w:cs="宋体"/>
                <w:b/>
                <w:color w:val="auto"/>
                <w:kern w:val="0"/>
                <w:sz w:val="18"/>
                <w:szCs w:val="18"/>
                <w:highlight w:val="none"/>
              </w:rPr>
              <w:t>(13)</w:t>
            </w:r>
          </w:p>
        </w:tc>
        <w:tc>
          <w:tcPr>
            <w:tcW w:w="992" w:type="dxa"/>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auto"/>
                <w:kern w:val="0"/>
                <w:sz w:val="18"/>
                <w:szCs w:val="18"/>
                <w:highlight w:val="none"/>
              </w:rPr>
            </w:pPr>
            <w:r>
              <w:rPr>
                <w:rFonts w:hint="default" w:ascii="宋体" w:hAnsi="宋体" w:cs="宋体"/>
                <w:b/>
                <w:color w:val="auto"/>
                <w:kern w:val="0"/>
                <w:sz w:val="18"/>
                <w:szCs w:val="18"/>
                <w:highlight w:val="none"/>
              </w:rPr>
              <w:t>(14)=(2)</w:t>
            </w:r>
            <w:r>
              <w:rPr>
                <w:rFonts w:hint="eastAsia" w:ascii="宋体" w:hAnsi="宋体" w:cs="宋体"/>
                <w:b/>
                <w:color w:val="auto"/>
                <w:kern w:val="0"/>
                <w:sz w:val="18"/>
                <w:szCs w:val="18"/>
                <w:highlight w:val="none"/>
              </w:rPr>
              <w:t>×</w:t>
            </w:r>
            <w:r>
              <w:rPr>
                <w:rFonts w:hint="default" w:ascii="宋体" w:hAnsi="宋体" w:cs="宋体"/>
                <w:b/>
                <w:color w:val="auto"/>
                <w:kern w:val="0"/>
                <w:sz w:val="18"/>
                <w:szCs w:val="18"/>
                <w:highlight w:val="none"/>
              </w:rPr>
              <w:t>(13)</w:t>
            </w:r>
          </w:p>
        </w:tc>
        <w:tc>
          <w:tcPr>
            <w:tcW w:w="709" w:type="dxa"/>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auto"/>
                <w:kern w:val="0"/>
                <w:sz w:val="18"/>
                <w:szCs w:val="18"/>
                <w:highlight w:val="none"/>
              </w:rPr>
            </w:pPr>
            <w:r>
              <w:rPr>
                <w:rFonts w:hint="default" w:ascii="宋体" w:hAnsi="宋体" w:cs="宋体"/>
                <w:b/>
                <w:color w:val="auto"/>
                <w:kern w:val="0"/>
                <w:sz w:val="18"/>
                <w:szCs w:val="18"/>
                <w:highlight w:val="none"/>
              </w:rPr>
              <w:t>(15)</w:t>
            </w:r>
          </w:p>
        </w:tc>
        <w:tc>
          <w:tcPr>
            <w:tcW w:w="992" w:type="dxa"/>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auto"/>
                <w:kern w:val="0"/>
                <w:sz w:val="18"/>
                <w:szCs w:val="18"/>
                <w:highlight w:val="none"/>
              </w:rPr>
            </w:pPr>
            <w:r>
              <w:rPr>
                <w:rFonts w:hint="default" w:ascii="宋体" w:hAnsi="宋体" w:cs="宋体"/>
                <w:b/>
                <w:color w:val="auto"/>
                <w:kern w:val="0"/>
                <w:sz w:val="18"/>
                <w:szCs w:val="18"/>
                <w:highlight w:val="none"/>
              </w:rPr>
              <w:t>(16)=(2)</w:t>
            </w:r>
            <w:r>
              <w:rPr>
                <w:rFonts w:hint="eastAsia" w:ascii="宋体" w:hAnsi="宋体" w:cs="宋体"/>
                <w:b/>
                <w:color w:val="auto"/>
                <w:kern w:val="0"/>
                <w:sz w:val="18"/>
                <w:szCs w:val="18"/>
                <w:highlight w:val="none"/>
              </w:rPr>
              <w:t>×</w:t>
            </w:r>
            <w:r>
              <w:rPr>
                <w:rFonts w:hint="default" w:ascii="宋体" w:hAnsi="宋体" w:cs="宋体"/>
                <w:b/>
                <w:color w:val="auto"/>
                <w:kern w:val="0"/>
                <w:sz w:val="18"/>
                <w:szCs w:val="18"/>
                <w:highlight w:val="none"/>
              </w:rPr>
              <w:t>(15)</w:t>
            </w:r>
          </w:p>
        </w:tc>
        <w:tc>
          <w:tcPr>
            <w:tcW w:w="709" w:type="dxa"/>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auto"/>
                <w:kern w:val="0"/>
                <w:sz w:val="18"/>
                <w:szCs w:val="18"/>
                <w:highlight w:val="none"/>
              </w:rPr>
            </w:pPr>
            <w:r>
              <w:rPr>
                <w:rFonts w:hint="default" w:ascii="宋体" w:hAnsi="宋体" w:cs="宋体"/>
                <w:b/>
                <w:color w:val="auto"/>
                <w:kern w:val="0"/>
                <w:sz w:val="18"/>
                <w:szCs w:val="18"/>
                <w:highlight w:val="none"/>
              </w:rPr>
              <w:t>(17)</w:t>
            </w:r>
          </w:p>
        </w:tc>
        <w:tc>
          <w:tcPr>
            <w:tcW w:w="992" w:type="dxa"/>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auto"/>
                <w:kern w:val="0"/>
                <w:sz w:val="18"/>
                <w:szCs w:val="18"/>
                <w:highlight w:val="none"/>
              </w:rPr>
            </w:pPr>
            <w:r>
              <w:rPr>
                <w:rFonts w:hint="default" w:ascii="宋体" w:hAnsi="宋体" w:cs="宋体"/>
                <w:b/>
                <w:color w:val="auto"/>
                <w:kern w:val="0"/>
                <w:sz w:val="18"/>
                <w:szCs w:val="18"/>
                <w:highlight w:val="none"/>
              </w:rPr>
              <w:t>(18)=(2)</w:t>
            </w:r>
            <w:r>
              <w:rPr>
                <w:rFonts w:hint="eastAsia" w:ascii="宋体" w:hAnsi="宋体" w:cs="宋体"/>
                <w:b/>
                <w:color w:val="auto"/>
                <w:kern w:val="0"/>
                <w:sz w:val="18"/>
                <w:szCs w:val="18"/>
                <w:highlight w:val="none"/>
              </w:rPr>
              <w:t>×</w:t>
            </w:r>
            <w:r>
              <w:rPr>
                <w:rFonts w:hint="default" w:ascii="宋体" w:hAnsi="宋体" w:cs="宋体"/>
                <w:b/>
                <w:color w:val="auto"/>
                <w:kern w:val="0"/>
                <w:sz w:val="18"/>
                <w:szCs w:val="18"/>
                <w:highlight w:val="none"/>
              </w:rPr>
              <w:t>(17)</w:t>
            </w:r>
          </w:p>
        </w:tc>
        <w:tc>
          <w:tcPr>
            <w:tcW w:w="709" w:type="dxa"/>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auto"/>
                <w:kern w:val="0"/>
                <w:sz w:val="18"/>
                <w:szCs w:val="18"/>
                <w:highlight w:val="none"/>
              </w:rPr>
            </w:pPr>
            <w:r>
              <w:rPr>
                <w:rFonts w:hint="default" w:ascii="宋体" w:hAnsi="宋体" w:cs="宋体"/>
                <w:b/>
                <w:color w:val="auto"/>
                <w:kern w:val="0"/>
                <w:sz w:val="18"/>
                <w:szCs w:val="18"/>
                <w:highlight w:val="none"/>
              </w:rPr>
              <w:t>(19)</w:t>
            </w:r>
          </w:p>
        </w:tc>
        <w:tc>
          <w:tcPr>
            <w:tcW w:w="992" w:type="dxa"/>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auto"/>
                <w:kern w:val="0"/>
                <w:sz w:val="18"/>
                <w:szCs w:val="18"/>
                <w:highlight w:val="none"/>
              </w:rPr>
            </w:pPr>
            <w:r>
              <w:rPr>
                <w:rFonts w:hint="default" w:ascii="宋体" w:hAnsi="宋体" w:cs="宋体"/>
                <w:b/>
                <w:color w:val="auto"/>
                <w:kern w:val="0"/>
                <w:sz w:val="18"/>
                <w:szCs w:val="18"/>
                <w:highlight w:val="none"/>
              </w:rPr>
              <w:t>(20)=(2)</w:t>
            </w:r>
            <w:r>
              <w:rPr>
                <w:rFonts w:hint="eastAsia" w:ascii="宋体" w:hAnsi="宋体" w:cs="宋体"/>
                <w:b/>
                <w:color w:val="auto"/>
                <w:kern w:val="0"/>
                <w:sz w:val="18"/>
                <w:szCs w:val="18"/>
                <w:highlight w:val="none"/>
              </w:rPr>
              <w:t>×</w:t>
            </w:r>
            <w:r>
              <w:rPr>
                <w:rFonts w:hint="default" w:ascii="宋体" w:hAnsi="宋体" w:cs="宋体"/>
                <w:b/>
                <w:color w:val="auto"/>
                <w:kern w:val="0"/>
                <w:sz w:val="18"/>
                <w:szCs w:val="18"/>
                <w:highlight w:val="none"/>
              </w:rPr>
              <w:t>(19)</w:t>
            </w:r>
          </w:p>
        </w:tc>
        <w:tc>
          <w:tcPr>
            <w:tcW w:w="709" w:type="dxa"/>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auto"/>
                <w:kern w:val="0"/>
                <w:sz w:val="18"/>
                <w:szCs w:val="18"/>
                <w:highlight w:val="none"/>
              </w:rPr>
            </w:pPr>
            <w:r>
              <w:rPr>
                <w:rFonts w:hint="default" w:ascii="宋体" w:hAnsi="宋体" w:cs="宋体"/>
                <w:b/>
                <w:color w:val="auto"/>
                <w:kern w:val="0"/>
                <w:sz w:val="18"/>
                <w:szCs w:val="18"/>
                <w:highlight w:val="none"/>
              </w:rPr>
              <w:t>(21)</w:t>
            </w:r>
          </w:p>
        </w:tc>
        <w:tc>
          <w:tcPr>
            <w:tcW w:w="708" w:type="dxa"/>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auto"/>
                <w:kern w:val="0"/>
                <w:sz w:val="18"/>
                <w:szCs w:val="18"/>
                <w:highlight w:val="none"/>
              </w:rPr>
            </w:pPr>
            <w:r>
              <w:rPr>
                <w:rFonts w:hint="default" w:ascii="宋体" w:hAnsi="宋体" w:cs="宋体"/>
                <w:b/>
                <w:color w:val="auto"/>
                <w:kern w:val="0"/>
                <w:sz w:val="18"/>
                <w:szCs w:val="18"/>
                <w:highlight w:val="none"/>
              </w:rPr>
              <w:t>(22)=(2)</w:t>
            </w:r>
            <w:r>
              <w:rPr>
                <w:rFonts w:hint="eastAsia" w:ascii="宋体" w:hAnsi="宋体" w:cs="宋体"/>
                <w:b/>
                <w:color w:val="auto"/>
                <w:kern w:val="0"/>
                <w:sz w:val="18"/>
                <w:szCs w:val="18"/>
                <w:highlight w:val="none"/>
              </w:rPr>
              <w:t>×</w:t>
            </w:r>
            <w:r>
              <w:rPr>
                <w:rFonts w:hint="default" w:ascii="宋体" w:hAnsi="宋体" w:cs="宋体"/>
                <w:b/>
                <w:color w:val="auto"/>
                <w:kern w:val="0"/>
                <w:sz w:val="18"/>
                <w:szCs w:val="18"/>
                <w:highlight w:val="none"/>
              </w:rPr>
              <w:t>(21)</w:t>
            </w:r>
          </w:p>
        </w:tc>
        <w:tc>
          <w:tcPr>
            <w:tcW w:w="676" w:type="dxa"/>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auto"/>
                <w:kern w:val="0"/>
                <w:sz w:val="18"/>
                <w:szCs w:val="18"/>
                <w:highlight w:val="none"/>
              </w:rPr>
            </w:pPr>
            <w:r>
              <w:rPr>
                <w:rFonts w:hint="default" w:ascii="宋体" w:hAnsi="宋体" w:cs="宋体"/>
                <w:b/>
                <w:color w:val="auto"/>
                <w:kern w:val="0"/>
                <w:sz w:val="18"/>
                <w:szCs w:val="18"/>
                <w:highlight w:val="none"/>
              </w:rPr>
              <w:t>(23)</w:t>
            </w:r>
          </w:p>
        </w:tc>
        <w:tc>
          <w:tcPr>
            <w:tcW w:w="722" w:type="dxa"/>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auto"/>
                <w:kern w:val="0"/>
                <w:sz w:val="18"/>
                <w:szCs w:val="18"/>
                <w:highlight w:val="none"/>
              </w:rPr>
            </w:pPr>
            <w:r>
              <w:rPr>
                <w:rFonts w:hint="default" w:ascii="宋体" w:hAnsi="宋体" w:cs="宋体"/>
                <w:b/>
                <w:color w:val="auto"/>
                <w:kern w:val="0"/>
                <w:sz w:val="18"/>
                <w:szCs w:val="18"/>
                <w:highlight w:val="none"/>
              </w:rPr>
              <w:t>(24)=(2)</w:t>
            </w:r>
            <w:r>
              <w:rPr>
                <w:rFonts w:hint="eastAsia" w:ascii="宋体" w:hAnsi="宋体" w:cs="宋体"/>
                <w:b/>
                <w:color w:val="auto"/>
                <w:kern w:val="0"/>
                <w:sz w:val="18"/>
                <w:szCs w:val="18"/>
                <w:highlight w:val="none"/>
              </w:rPr>
              <w:t>×</w:t>
            </w:r>
            <w:r>
              <w:rPr>
                <w:rFonts w:hint="default" w:ascii="宋体" w:hAnsi="宋体" w:cs="宋体"/>
                <w:b/>
                <w:color w:val="auto"/>
                <w:kern w:val="0"/>
                <w:sz w:val="18"/>
                <w:szCs w:val="18"/>
                <w:highlight w:val="none"/>
              </w:rPr>
              <w:t xml:space="preserve">(23)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21" w:type="dxa"/>
            <w:noWrap w:val="0"/>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cs="宋体"/>
                <w:b/>
                <w:color w:val="auto"/>
                <w:kern w:val="0"/>
                <w:sz w:val="18"/>
                <w:szCs w:val="18"/>
                <w:highlight w:val="none"/>
              </w:rPr>
            </w:pPr>
            <w:r>
              <w:rPr>
                <w:rFonts w:hint="default" w:ascii="宋体" w:hAnsi="宋体" w:cs="宋体"/>
                <w:b/>
                <w:color w:val="auto"/>
                <w:kern w:val="0"/>
                <w:sz w:val="18"/>
                <w:szCs w:val="18"/>
                <w:highlight w:val="none"/>
              </w:rPr>
              <w:t>(</w:t>
            </w:r>
            <w:r>
              <w:rPr>
                <w:rFonts w:hint="eastAsia" w:ascii="宋体" w:hAnsi="宋体" w:cs="宋体"/>
                <w:b/>
                <w:color w:val="auto"/>
                <w:kern w:val="0"/>
                <w:sz w:val="18"/>
                <w:szCs w:val="18"/>
                <w:highlight w:val="none"/>
              </w:rPr>
              <w:t>一</w:t>
            </w:r>
            <w:r>
              <w:rPr>
                <w:rFonts w:hint="default" w:ascii="宋体" w:hAnsi="宋体" w:cs="宋体"/>
                <w:b/>
                <w:color w:val="auto"/>
                <w:kern w:val="0"/>
                <w:sz w:val="18"/>
                <w:szCs w:val="18"/>
                <w:highlight w:val="none"/>
              </w:rPr>
              <w:t>)</w:t>
            </w:r>
          </w:p>
        </w:tc>
        <w:tc>
          <w:tcPr>
            <w:tcW w:w="723" w:type="dxa"/>
            <w:noWrap w:val="0"/>
            <w:vAlign w:val="center"/>
          </w:tcPr>
          <w:p>
            <w:pPr>
              <w:keepNext w:val="0"/>
              <w:keepLines w:val="0"/>
              <w:widowControl/>
              <w:suppressLineNumbers w:val="0"/>
              <w:adjustRightInd w:val="0"/>
              <w:snapToGrid w:val="0"/>
              <w:spacing w:before="0" w:beforeAutospacing="0" w:after="0" w:afterAutospacing="0" w:line="273" w:lineRule="auto"/>
              <w:ind w:left="0" w:right="0"/>
              <w:jc w:val="center"/>
              <w:rPr>
                <w:rFonts w:hint="default" w:ascii="宋体" w:cs="宋体"/>
                <w:b/>
                <w:color w:val="auto"/>
                <w:kern w:val="0"/>
                <w:sz w:val="18"/>
                <w:szCs w:val="18"/>
                <w:highlight w:val="none"/>
              </w:rPr>
            </w:pPr>
            <w:r>
              <w:rPr>
                <w:rFonts w:hint="default" w:ascii="宋体" w:hAnsi="宋体" w:cs="宋体"/>
                <w:color w:val="auto"/>
                <w:szCs w:val="21"/>
                <w:highlight w:val="none"/>
              </w:rPr>
              <w:t>技术设计费</w:t>
            </w:r>
          </w:p>
        </w:tc>
        <w:tc>
          <w:tcPr>
            <w:tcW w:w="1134"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cs="宋体"/>
                <w:color w:val="auto"/>
                <w:kern w:val="0"/>
                <w:sz w:val="18"/>
                <w:szCs w:val="18"/>
                <w:highlight w:val="none"/>
              </w:rPr>
            </w:pPr>
          </w:p>
        </w:tc>
        <w:tc>
          <w:tcPr>
            <w:tcW w:w="1134" w:type="dxa"/>
            <w:noWrap w:val="0"/>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cs="宋体"/>
                <w:color w:val="auto"/>
                <w:kern w:val="0"/>
                <w:sz w:val="18"/>
                <w:szCs w:val="18"/>
                <w:highlight w:val="none"/>
              </w:rPr>
            </w:pPr>
          </w:p>
        </w:tc>
        <w:tc>
          <w:tcPr>
            <w:tcW w:w="851" w:type="dxa"/>
            <w:noWrap w:val="0"/>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cs="宋体"/>
                <w:dstrike/>
                <w:color w:val="auto"/>
                <w:kern w:val="0"/>
                <w:sz w:val="18"/>
                <w:szCs w:val="18"/>
                <w:highlight w:val="none"/>
              </w:rPr>
            </w:pPr>
            <w:r>
              <w:rPr>
                <w:rFonts w:hint="default" w:ascii="宋体" w:hAnsi="宋体" w:cs="宋体"/>
                <w:color w:val="auto"/>
                <w:kern w:val="0"/>
                <w:sz w:val="18"/>
                <w:szCs w:val="18"/>
                <w:highlight w:val="none"/>
              </w:rPr>
              <w:t>5.00%</w:t>
            </w:r>
          </w:p>
        </w:tc>
        <w:tc>
          <w:tcPr>
            <w:tcW w:w="850" w:type="dxa"/>
            <w:noWrap w:val="0"/>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cs="宋体"/>
                <w:color w:val="auto"/>
                <w:kern w:val="0"/>
                <w:sz w:val="18"/>
                <w:szCs w:val="18"/>
                <w:highlight w:val="none"/>
              </w:rPr>
            </w:pPr>
          </w:p>
        </w:tc>
        <w:tc>
          <w:tcPr>
            <w:tcW w:w="709" w:type="dxa"/>
            <w:noWrap w:val="0"/>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cs="宋体"/>
                <w:color w:val="auto"/>
                <w:kern w:val="0"/>
                <w:sz w:val="18"/>
                <w:szCs w:val="18"/>
                <w:highlight w:val="none"/>
              </w:rPr>
            </w:pPr>
            <w:r>
              <w:rPr>
                <w:rFonts w:hint="default" w:ascii="宋体" w:hAnsi="宋体" w:cs="宋体"/>
                <w:color w:val="auto"/>
                <w:kern w:val="0"/>
                <w:sz w:val="18"/>
                <w:szCs w:val="18"/>
                <w:highlight w:val="none"/>
              </w:rPr>
              <w:t>2.00%</w:t>
            </w:r>
          </w:p>
        </w:tc>
        <w:tc>
          <w:tcPr>
            <w:tcW w:w="851" w:type="dxa"/>
            <w:noWrap w:val="0"/>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cs="宋体"/>
                <w:color w:val="auto"/>
                <w:kern w:val="0"/>
                <w:sz w:val="18"/>
                <w:szCs w:val="18"/>
                <w:highlight w:val="none"/>
              </w:rPr>
            </w:pPr>
          </w:p>
        </w:tc>
        <w:tc>
          <w:tcPr>
            <w:tcW w:w="708" w:type="dxa"/>
            <w:noWrap w:val="0"/>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cs="宋体"/>
                <w:color w:val="auto"/>
                <w:kern w:val="0"/>
                <w:sz w:val="18"/>
                <w:szCs w:val="18"/>
                <w:highlight w:val="none"/>
              </w:rPr>
            </w:pPr>
            <w:r>
              <w:rPr>
                <w:rFonts w:hint="default" w:ascii="宋体" w:hAnsi="宋体" w:cs="宋体"/>
                <w:color w:val="auto"/>
                <w:kern w:val="0"/>
                <w:sz w:val="18"/>
                <w:szCs w:val="18"/>
                <w:highlight w:val="none"/>
              </w:rPr>
              <w:t>25%</w:t>
            </w:r>
          </w:p>
        </w:tc>
        <w:tc>
          <w:tcPr>
            <w:tcW w:w="851" w:type="dxa"/>
            <w:noWrap w:val="0"/>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cs="宋体"/>
                <w:color w:val="auto"/>
                <w:kern w:val="0"/>
                <w:sz w:val="18"/>
                <w:szCs w:val="18"/>
                <w:highlight w:val="none"/>
              </w:rPr>
            </w:pPr>
          </w:p>
        </w:tc>
        <w:tc>
          <w:tcPr>
            <w:tcW w:w="709" w:type="dxa"/>
            <w:noWrap w:val="0"/>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cs="宋体"/>
                <w:color w:val="auto"/>
                <w:kern w:val="0"/>
                <w:sz w:val="18"/>
                <w:szCs w:val="18"/>
                <w:highlight w:val="none"/>
              </w:rPr>
            </w:pPr>
            <w:r>
              <w:rPr>
                <w:rFonts w:hint="default" w:ascii="宋体" w:hAnsi="宋体" w:cs="宋体"/>
                <w:color w:val="auto"/>
                <w:kern w:val="0"/>
                <w:sz w:val="18"/>
                <w:szCs w:val="18"/>
                <w:highlight w:val="none"/>
              </w:rPr>
              <w:t>3.00%</w:t>
            </w:r>
          </w:p>
        </w:tc>
        <w:tc>
          <w:tcPr>
            <w:tcW w:w="992" w:type="dxa"/>
            <w:noWrap w:val="0"/>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cs="宋体"/>
                <w:color w:val="auto"/>
                <w:kern w:val="0"/>
                <w:sz w:val="18"/>
                <w:szCs w:val="18"/>
                <w:highlight w:val="none"/>
              </w:rPr>
            </w:pPr>
          </w:p>
        </w:tc>
        <w:tc>
          <w:tcPr>
            <w:tcW w:w="709" w:type="dxa"/>
            <w:noWrap w:val="0"/>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cs="宋体"/>
                <w:color w:val="auto"/>
                <w:kern w:val="0"/>
                <w:sz w:val="18"/>
                <w:szCs w:val="18"/>
                <w:highlight w:val="none"/>
              </w:rPr>
            </w:pPr>
            <w:r>
              <w:rPr>
                <w:rFonts w:hint="default" w:ascii="宋体" w:hAnsi="宋体" w:cs="宋体"/>
                <w:color w:val="auto"/>
                <w:kern w:val="0"/>
                <w:sz w:val="18"/>
                <w:szCs w:val="18"/>
                <w:highlight w:val="none"/>
              </w:rPr>
              <w:t>5.00%</w:t>
            </w:r>
          </w:p>
        </w:tc>
        <w:tc>
          <w:tcPr>
            <w:tcW w:w="992" w:type="dxa"/>
            <w:noWrap w:val="0"/>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cs="宋体"/>
                <w:color w:val="auto"/>
                <w:kern w:val="0"/>
                <w:sz w:val="18"/>
                <w:szCs w:val="18"/>
                <w:highlight w:val="none"/>
              </w:rPr>
            </w:pPr>
          </w:p>
        </w:tc>
        <w:tc>
          <w:tcPr>
            <w:tcW w:w="709" w:type="dxa"/>
            <w:noWrap w:val="0"/>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cs="宋体"/>
                <w:color w:val="auto"/>
                <w:kern w:val="0"/>
                <w:sz w:val="18"/>
                <w:szCs w:val="18"/>
                <w:highlight w:val="none"/>
              </w:rPr>
            </w:pPr>
            <w:r>
              <w:rPr>
                <w:rFonts w:hint="default" w:ascii="宋体" w:hAnsi="宋体" w:cs="宋体"/>
                <w:color w:val="auto"/>
                <w:kern w:val="0"/>
                <w:sz w:val="18"/>
                <w:szCs w:val="18"/>
                <w:highlight w:val="none"/>
              </w:rPr>
              <w:t>20.00%</w:t>
            </w:r>
          </w:p>
        </w:tc>
        <w:tc>
          <w:tcPr>
            <w:tcW w:w="992" w:type="dxa"/>
            <w:noWrap w:val="0"/>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cs="宋体"/>
                <w:color w:val="auto"/>
                <w:kern w:val="0"/>
                <w:sz w:val="18"/>
                <w:szCs w:val="18"/>
                <w:highlight w:val="none"/>
              </w:rPr>
            </w:pPr>
          </w:p>
        </w:tc>
        <w:tc>
          <w:tcPr>
            <w:tcW w:w="709" w:type="dxa"/>
            <w:noWrap w:val="0"/>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cs="宋体"/>
                <w:color w:val="auto"/>
                <w:kern w:val="0"/>
                <w:sz w:val="18"/>
                <w:szCs w:val="18"/>
                <w:highlight w:val="none"/>
              </w:rPr>
            </w:pPr>
            <w:r>
              <w:rPr>
                <w:rFonts w:hint="default" w:ascii="宋体" w:hAnsi="宋体" w:cs="宋体"/>
                <w:color w:val="auto"/>
                <w:kern w:val="0"/>
                <w:sz w:val="18"/>
                <w:szCs w:val="18"/>
                <w:highlight w:val="none"/>
              </w:rPr>
              <w:t>3.00%</w:t>
            </w:r>
          </w:p>
        </w:tc>
        <w:tc>
          <w:tcPr>
            <w:tcW w:w="992" w:type="dxa"/>
            <w:noWrap w:val="0"/>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cs="宋体"/>
                <w:color w:val="auto"/>
                <w:kern w:val="0"/>
                <w:sz w:val="18"/>
                <w:szCs w:val="18"/>
                <w:highlight w:val="none"/>
              </w:rPr>
            </w:pPr>
          </w:p>
        </w:tc>
        <w:tc>
          <w:tcPr>
            <w:tcW w:w="709" w:type="dxa"/>
            <w:noWrap w:val="0"/>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cs="宋体"/>
                <w:color w:val="auto"/>
                <w:kern w:val="0"/>
                <w:sz w:val="18"/>
                <w:szCs w:val="18"/>
                <w:highlight w:val="none"/>
              </w:rPr>
            </w:pPr>
            <w:r>
              <w:rPr>
                <w:rFonts w:hint="default" w:ascii="宋体" w:hAnsi="宋体" w:cs="宋体"/>
                <w:color w:val="auto"/>
                <w:kern w:val="0"/>
                <w:sz w:val="18"/>
                <w:szCs w:val="18"/>
                <w:highlight w:val="none"/>
              </w:rPr>
              <w:t>22.00%</w:t>
            </w:r>
          </w:p>
        </w:tc>
        <w:tc>
          <w:tcPr>
            <w:tcW w:w="992" w:type="dxa"/>
            <w:noWrap w:val="0"/>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cs="宋体"/>
                <w:color w:val="auto"/>
                <w:kern w:val="0"/>
                <w:sz w:val="18"/>
                <w:szCs w:val="18"/>
                <w:highlight w:val="none"/>
              </w:rPr>
            </w:pPr>
          </w:p>
        </w:tc>
        <w:tc>
          <w:tcPr>
            <w:tcW w:w="709" w:type="dxa"/>
            <w:noWrap w:val="0"/>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cs="宋体"/>
                <w:color w:val="auto"/>
                <w:kern w:val="0"/>
                <w:sz w:val="18"/>
                <w:szCs w:val="18"/>
                <w:highlight w:val="none"/>
              </w:rPr>
            </w:pPr>
            <w:r>
              <w:rPr>
                <w:rFonts w:hint="default" w:ascii="宋体" w:hAnsi="宋体" w:cs="宋体"/>
                <w:color w:val="auto"/>
                <w:kern w:val="0"/>
                <w:sz w:val="18"/>
                <w:szCs w:val="18"/>
                <w:highlight w:val="none"/>
              </w:rPr>
              <w:t>5.00%</w:t>
            </w:r>
          </w:p>
        </w:tc>
        <w:tc>
          <w:tcPr>
            <w:tcW w:w="992" w:type="dxa"/>
            <w:noWrap w:val="0"/>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cs="宋体"/>
                <w:color w:val="auto"/>
                <w:kern w:val="0"/>
                <w:sz w:val="18"/>
                <w:szCs w:val="18"/>
                <w:highlight w:val="none"/>
              </w:rPr>
            </w:pPr>
          </w:p>
        </w:tc>
        <w:tc>
          <w:tcPr>
            <w:tcW w:w="709" w:type="dxa"/>
            <w:noWrap w:val="0"/>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cs="宋体"/>
                <w:color w:val="auto"/>
                <w:kern w:val="0"/>
                <w:sz w:val="18"/>
                <w:szCs w:val="18"/>
                <w:highlight w:val="none"/>
              </w:rPr>
            </w:pPr>
            <w:r>
              <w:rPr>
                <w:rFonts w:hint="default" w:ascii="宋体" w:hAnsi="宋体" w:cs="宋体"/>
                <w:color w:val="auto"/>
                <w:kern w:val="0"/>
                <w:sz w:val="18"/>
                <w:szCs w:val="18"/>
                <w:highlight w:val="none"/>
              </w:rPr>
              <w:t>5.00%</w:t>
            </w:r>
          </w:p>
        </w:tc>
        <w:tc>
          <w:tcPr>
            <w:tcW w:w="708" w:type="dxa"/>
            <w:noWrap w:val="0"/>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cs="宋体"/>
                <w:color w:val="auto"/>
                <w:kern w:val="0"/>
                <w:sz w:val="18"/>
                <w:szCs w:val="18"/>
                <w:highlight w:val="none"/>
              </w:rPr>
            </w:pPr>
          </w:p>
        </w:tc>
        <w:tc>
          <w:tcPr>
            <w:tcW w:w="676" w:type="dxa"/>
            <w:noWrap w:val="0"/>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cs="宋体"/>
                <w:color w:val="auto"/>
                <w:kern w:val="0"/>
                <w:sz w:val="18"/>
                <w:szCs w:val="18"/>
                <w:highlight w:val="none"/>
              </w:rPr>
            </w:pPr>
            <w:r>
              <w:rPr>
                <w:rFonts w:hint="default" w:ascii="宋体" w:hAnsi="宋体" w:cs="宋体"/>
                <w:color w:val="auto"/>
                <w:kern w:val="0"/>
                <w:sz w:val="18"/>
                <w:szCs w:val="18"/>
                <w:highlight w:val="none"/>
              </w:rPr>
              <w:t>5.00%</w:t>
            </w:r>
          </w:p>
        </w:tc>
        <w:tc>
          <w:tcPr>
            <w:tcW w:w="72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0" w:hRule="atLeast"/>
          <w:jc w:val="center"/>
        </w:trPr>
        <w:tc>
          <w:tcPr>
            <w:tcW w:w="721" w:type="dxa"/>
            <w:tcBorders>
              <w:top w:val="nil"/>
              <w:bottom w:val="nil"/>
            </w:tcBorders>
            <w:noWrap w:val="0"/>
            <w:vAlign w:val="top"/>
          </w:tcPr>
          <w:p>
            <w:pPr>
              <w:keepNext w:val="0"/>
              <w:keepLines w:val="0"/>
              <w:suppressLineNumbers w:val="0"/>
              <w:adjustRightInd w:val="0"/>
              <w:snapToGrid w:val="0"/>
              <w:spacing w:before="0" w:beforeAutospacing="0" w:after="0" w:afterAutospacing="0" w:line="360" w:lineRule="auto"/>
              <w:ind w:left="0" w:right="0"/>
              <w:jc w:val="left"/>
              <w:rPr>
                <w:rFonts w:hint="default" w:ascii="宋体" w:cs="宋体"/>
                <w:b/>
                <w:color w:val="auto"/>
                <w:kern w:val="0"/>
                <w:sz w:val="18"/>
                <w:szCs w:val="18"/>
                <w:highlight w:val="none"/>
              </w:rPr>
            </w:pPr>
          </w:p>
          <w:p>
            <w:pPr>
              <w:keepNext w:val="0"/>
              <w:keepLines w:val="0"/>
              <w:suppressLineNumbers w:val="0"/>
              <w:adjustRightInd w:val="0"/>
              <w:snapToGrid w:val="0"/>
              <w:spacing w:before="0" w:beforeAutospacing="0" w:after="0" w:afterAutospacing="0" w:line="360" w:lineRule="auto"/>
              <w:ind w:left="0" w:right="0"/>
              <w:jc w:val="left"/>
              <w:rPr>
                <w:rFonts w:hint="default" w:ascii="宋体" w:cs="宋体"/>
                <w:b/>
                <w:color w:val="auto"/>
                <w:kern w:val="0"/>
                <w:sz w:val="18"/>
                <w:szCs w:val="18"/>
                <w:highlight w:val="none"/>
              </w:rPr>
            </w:pPr>
            <w:r>
              <w:rPr>
                <w:rFonts w:hint="default" w:ascii="宋体" w:hAnsi="宋体" w:cs="宋体"/>
                <w:b/>
                <w:color w:val="auto"/>
                <w:kern w:val="0"/>
                <w:sz w:val="18"/>
                <w:szCs w:val="18"/>
                <w:highlight w:val="none"/>
              </w:rPr>
              <w:t>(</w:t>
            </w:r>
            <w:r>
              <w:rPr>
                <w:rFonts w:hint="eastAsia" w:ascii="宋体" w:hAnsi="宋体" w:cs="宋体"/>
                <w:b/>
                <w:color w:val="auto"/>
                <w:kern w:val="0"/>
                <w:sz w:val="18"/>
                <w:szCs w:val="18"/>
                <w:highlight w:val="none"/>
              </w:rPr>
              <w:t>二</w:t>
            </w:r>
            <w:r>
              <w:rPr>
                <w:rFonts w:hint="default" w:ascii="宋体" w:hAnsi="宋体" w:cs="宋体"/>
                <w:b/>
                <w:color w:val="auto"/>
                <w:kern w:val="0"/>
                <w:sz w:val="18"/>
                <w:szCs w:val="18"/>
                <w:highlight w:val="none"/>
              </w:rPr>
              <w:t>)</w:t>
            </w:r>
          </w:p>
        </w:tc>
        <w:tc>
          <w:tcPr>
            <w:tcW w:w="723" w:type="dxa"/>
            <w:tcBorders>
              <w:top w:val="nil"/>
              <w:bottom w:val="nil"/>
            </w:tcBorders>
            <w:noWrap w:val="0"/>
            <w:vAlign w:val="center"/>
          </w:tcPr>
          <w:p>
            <w:pPr>
              <w:keepNext w:val="0"/>
              <w:keepLines w:val="0"/>
              <w:suppressLineNumbers w:val="0"/>
              <w:adjustRightInd w:val="0"/>
              <w:snapToGrid w:val="0"/>
              <w:spacing w:before="0" w:beforeAutospacing="0" w:after="0" w:afterAutospacing="0" w:line="273" w:lineRule="auto"/>
              <w:ind w:left="0" w:right="0"/>
              <w:jc w:val="center"/>
              <w:rPr>
                <w:rFonts w:hint="default" w:ascii="宋体" w:cs="宋体"/>
                <w:b/>
                <w:color w:val="auto"/>
                <w:kern w:val="0"/>
                <w:sz w:val="18"/>
                <w:szCs w:val="18"/>
                <w:highlight w:val="none"/>
              </w:rPr>
            </w:pPr>
            <w:r>
              <w:rPr>
                <w:rFonts w:hint="default" w:ascii="宋体" w:hAnsi="宋体" w:cs="宋体"/>
                <w:b/>
                <w:color w:val="auto"/>
                <w:kern w:val="0"/>
                <w:sz w:val="18"/>
                <w:szCs w:val="18"/>
                <w:highlight w:val="none"/>
              </w:rPr>
              <w:t>造价预算</w:t>
            </w:r>
            <w:r>
              <w:rPr>
                <w:rFonts w:hint="eastAsia" w:ascii="宋体" w:hAnsi="宋体" w:cs="宋体"/>
                <w:b/>
                <w:color w:val="auto"/>
                <w:kern w:val="0"/>
                <w:sz w:val="18"/>
                <w:szCs w:val="18"/>
                <w:highlight w:val="none"/>
              </w:rPr>
              <w:t>编制费</w:t>
            </w:r>
          </w:p>
        </w:tc>
        <w:tc>
          <w:tcPr>
            <w:tcW w:w="20109" w:type="dxa"/>
            <w:gridSpan w:val="24"/>
            <w:noWrap w:val="0"/>
            <w:vAlign w:val="center"/>
          </w:tcPr>
          <w:p>
            <w:pPr>
              <w:keepNext w:val="0"/>
              <w:keepLines w:val="0"/>
              <w:widowControl/>
              <w:suppressLineNumbers w:val="0"/>
              <w:adjustRightInd w:val="0"/>
              <w:snapToGrid w:val="0"/>
              <w:spacing w:before="0" w:beforeAutospacing="0" w:after="0" w:afterAutospacing="0" w:line="273" w:lineRule="auto"/>
              <w:ind w:left="0" w:right="0"/>
              <w:jc w:val="center"/>
              <w:rPr>
                <w:rFonts w:hint="default" w:ascii="宋体" w:cs="宋体"/>
                <w:color w:val="auto"/>
                <w:kern w:val="0"/>
                <w:sz w:val="18"/>
                <w:szCs w:val="18"/>
                <w:highlight w:val="none"/>
              </w:rPr>
            </w:pPr>
          </w:p>
          <w:p>
            <w:pPr>
              <w:keepNext w:val="0"/>
              <w:keepLines w:val="0"/>
              <w:suppressLineNumbers w:val="0"/>
              <w:adjustRightInd w:val="0"/>
              <w:snapToGrid w:val="0"/>
              <w:spacing w:before="0" w:beforeAutospacing="0" w:after="0" w:afterAutospacing="0" w:line="360" w:lineRule="auto"/>
              <w:ind w:left="0" w:right="270" w:firstLine="531" w:firstLineChars="294"/>
              <w:rPr>
                <w:rFonts w:hint="default" w:ascii="宋体"/>
                <w:b/>
                <w:color w:val="auto"/>
                <w:kern w:val="0"/>
                <w:sz w:val="18"/>
                <w:szCs w:val="18"/>
                <w:highlight w:val="none"/>
              </w:rPr>
            </w:pPr>
            <w:r>
              <w:rPr>
                <w:rFonts w:hint="eastAsia" w:ascii="宋体" w:hAnsi="宋体" w:cs="宋体"/>
                <w:b/>
                <w:color w:val="auto"/>
                <w:kern w:val="0"/>
                <w:sz w:val="18"/>
                <w:szCs w:val="18"/>
                <w:highlight w:val="none"/>
              </w:rPr>
              <w:t>按本合同条款第</w:t>
            </w:r>
            <w:r>
              <w:rPr>
                <w:rFonts w:hint="default" w:ascii="宋体" w:hAnsi="宋体" w:cs="宋体"/>
                <w:b/>
                <w:color w:val="auto"/>
                <w:kern w:val="0"/>
                <w:sz w:val="18"/>
                <w:szCs w:val="18"/>
                <w:highlight w:val="none"/>
              </w:rPr>
              <w:t>15</w:t>
            </w:r>
            <w:r>
              <w:rPr>
                <w:rFonts w:hint="eastAsia" w:ascii="宋体" w:hAnsi="宋体" w:cs="宋体"/>
                <w:b/>
                <w:color w:val="auto"/>
                <w:kern w:val="0"/>
                <w:sz w:val="18"/>
                <w:szCs w:val="18"/>
                <w:highlight w:val="none"/>
              </w:rPr>
              <w:t>条的相关约定执行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jc w:val="center"/>
        </w:trPr>
        <w:tc>
          <w:tcPr>
            <w:tcW w:w="721" w:type="dxa"/>
            <w:tcBorders>
              <w:top w:val="nil"/>
            </w:tcBorders>
            <w:noWrap w:val="0"/>
            <w:vAlign w:val="center"/>
          </w:tcPr>
          <w:p>
            <w:pPr>
              <w:keepNext w:val="0"/>
              <w:keepLines w:val="0"/>
              <w:suppressLineNumbers w:val="0"/>
              <w:spacing w:before="0" w:beforeAutospacing="0" w:after="0" w:afterAutospacing="0"/>
              <w:ind w:left="0" w:right="0"/>
              <w:rPr>
                <w:rFonts w:hint="default" w:ascii="Times New Roman" w:hAnsi="Times New Roman"/>
                <w:color w:val="auto"/>
                <w:sz w:val="20"/>
                <w:szCs w:val="20"/>
                <w:highlight w:val="none"/>
              </w:rPr>
            </w:pPr>
            <w:r>
              <w:rPr>
                <w:rFonts w:hint="default" w:ascii="宋体" w:hAnsi="宋体" w:cs="宋体"/>
                <w:b/>
                <w:color w:val="auto"/>
                <w:kern w:val="0"/>
                <w:sz w:val="18"/>
                <w:szCs w:val="18"/>
                <w:highlight w:val="none"/>
              </w:rPr>
              <w:t>(</w:t>
            </w:r>
            <w:r>
              <w:rPr>
                <w:rFonts w:hint="eastAsia" w:ascii="宋体" w:hAnsi="宋体" w:cs="宋体"/>
                <w:b/>
                <w:color w:val="auto"/>
                <w:kern w:val="0"/>
                <w:sz w:val="18"/>
                <w:szCs w:val="18"/>
                <w:highlight w:val="none"/>
              </w:rPr>
              <w:t>三</w:t>
            </w:r>
            <w:r>
              <w:rPr>
                <w:rFonts w:hint="default" w:ascii="宋体" w:hAnsi="宋体" w:cs="宋体"/>
                <w:b/>
                <w:color w:val="auto"/>
                <w:kern w:val="0"/>
                <w:sz w:val="18"/>
                <w:szCs w:val="18"/>
                <w:highlight w:val="none"/>
              </w:rPr>
              <w:t>)</w:t>
            </w:r>
          </w:p>
        </w:tc>
        <w:tc>
          <w:tcPr>
            <w:tcW w:w="723" w:type="dxa"/>
            <w:tcBorders>
              <w:top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olor w:val="auto"/>
                <w:sz w:val="20"/>
                <w:szCs w:val="20"/>
                <w:highlight w:val="none"/>
              </w:rPr>
            </w:pPr>
            <w:r>
              <w:rPr>
                <w:rFonts w:hint="eastAsia" w:ascii="宋体" w:hAnsi="宋体" w:cs="宋体"/>
                <w:b/>
                <w:color w:val="auto"/>
                <w:kern w:val="0"/>
                <w:sz w:val="18"/>
                <w:szCs w:val="18"/>
                <w:highlight w:val="none"/>
              </w:rPr>
              <w:t>其它设计收费</w:t>
            </w:r>
          </w:p>
        </w:tc>
        <w:tc>
          <w:tcPr>
            <w:tcW w:w="20109" w:type="dxa"/>
            <w:gridSpan w:val="24"/>
            <w:noWrap w:val="0"/>
            <w:vAlign w:val="center"/>
          </w:tcPr>
          <w:p>
            <w:pPr>
              <w:keepNext w:val="0"/>
              <w:keepLines w:val="0"/>
              <w:widowControl/>
              <w:suppressLineNumbers w:val="0"/>
              <w:adjustRightInd w:val="0"/>
              <w:snapToGrid w:val="0"/>
              <w:spacing w:before="0" w:beforeAutospacing="0" w:after="0" w:afterAutospacing="0" w:line="273" w:lineRule="auto"/>
              <w:ind w:left="0" w:right="0"/>
              <w:jc w:val="center"/>
              <w:rPr>
                <w:rFonts w:hint="default" w:ascii="宋体" w:cs="宋体"/>
                <w:b/>
                <w:color w:val="auto"/>
                <w:kern w:val="0"/>
                <w:sz w:val="18"/>
                <w:szCs w:val="18"/>
                <w:highlight w:val="none"/>
              </w:rPr>
            </w:pPr>
          </w:p>
          <w:p>
            <w:pPr>
              <w:keepNext w:val="0"/>
              <w:keepLines w:val="0"/>
              <w:suppressLineNumbers w:val="0"/>
              <w:adjustRightInd w:val="0"/>
              <w:snapToGrid w:val="0"/>
              <w:spacing w:before="0" w:beforeAutospacing="0" w:after="0" w:afterAutospacing="0" w:line="360" w:lineRule="auto"/>
              <w:ind w:left="0" w:right="0"/>
              <w:jc w:val="center"/>
              <w:rPr>
                <w:rFonts w:hint="default" w:ascii="宋体" w:cs="宋体"/>
                <w:b/>
                <w:dstrike/>
                <w:color w:val="auto"/>
                <w:kern w:val="0"/>
                <w:sz w:val="18"/>
                <w:szCs w:val="18"/>
                <w:highlight w:val="none"/>
              </w:rPr>
            </w:pPr>
          </w:p>
          <w:p>
            <w:pPr>
              <w:keepNext w:val="0"/>
              <w:keepLines w:val="0"/>
              <w:suppressLineNumbers w:val="0"/>
              <w:adjustRightInd w:val="0"/>
              <w:snapToGrid w:val="0"/>
              <w:spacing w:before="0" w:beforeAutospacing="0" w:after="0" w:afterAutospacing="0" w:line="360" w:lineRule="auto"/>
              <w:ind w:left="0" w:right="270" w:firstLine="531" w:firstLineChars="294"/>
              <w:rPr>
                <w:rFonts w:hint="default" w:ascii="宋体" w:cs="宋体"/>
                <w:b/>
                <w:color w:val="auto"/>
                <w:kern w:val="0"/>
                <w:sz w:val="18"/>
                <w:szCs w:val="18"/>
                <w:highlight w:val="none"/>
              </w:rPr>
            </w:pPr>
            <w:r>
              <w:rPr>
                <w:rFonts w:hint="eastAsia" w:ascii="宋体" w:hAnsi="宋体" w:cs="宋体"/>
                <w:b/>
                <w:color w:val="auto"/>
                <w:kern w:val="0"/>
                <w:sz w:val="18"/>
                <w:szCs w:val="18"/>
                <w:highlight w:val="none"/>
              </w:rPr>
              <w:t>按本合同条款第</w:t>
            </w:r>
            <w:r>
              <w:rPr>
                <w:rFonts w:hint="default" w:ascii="宋体" w:hAnsi="宋体" w:cs="宋体"/>
                <w:b/>
                <w:color w:val="auto"/>
                <w:kern w:val="0"/>
                <w:sz w:val="18"/>
                <w:szCs w:val="18"/>
                <w:highlight w:val="none"/>
              </w:rPr>
              <w:t>15</w:t>
            </w:r>
            <w:r>
              <w:rPr>
                <w:rFonts w:hint="eastAsia" w:ascii="宋体" w:hAnsi="宋体" w:cs="宋体"/>
                <w:b/>
                <w:color w:val="auto"/>
                <w:kern w:val="0"/>
                <w:sz w:val="18"/>
                <w:szCs w:val="18"/>
                <w:highlight w:val="none"/>
              </w:rPr>
              <w:t>条的相关约定执行</w:t>
            </w:r>
          </w:p>
        </w:tc>
      </w:tr>
    </w:tbl>
    <w:p>
      <w:pPr>
        <w:adjustRightInd w:val="0"/>
        <w:snapToGrid w:val="0"/>
        <w:spacing w:line="360" w:lineRule="auto"/>
        <w:rPr>
          <w:rFonts w:ascii="宋体"/>
          <w:color w:val="auto"/>
          <w:szCs w:val="21"/>
          <w:highlight w:val="none"/>
        </w:rPr>
      </w:pPr>
      <w:r>
        <w:rPr>
          <w:rFonts w:hint="eastAsia" w:ascii="宋体" w:hAnsi="宋体" w:cs="宋体"/>
          <w:color w:val="auto"/>
          <w:szCs w:val="21"/>
          <w:highlight w:val="none"/>
        </w:rPr>
        <w:t>本表中</w:t>
      </w:r>
      <w:r>
        <w:rPr>
          <w:rFonts w:ascii="宋体" w:hAnsi="宋体" w:cs="宋体"/>
          <w:color w:val="auto"/>
          <w:szCs w:val="21"/>
          <w:highlight w:val="none"/>
        </w:rPr>
        <w:t>1.</w:t>
      </w:r>
      <w:r>
        <w:rPr>
          <w:rFonts w:hint="eastAsia" w:ascii="宋体" w:hAnsi="宋体" w:cs="宋体"/>
          <w:color w:val="auto"/>
          <w:szCs w:val="21"/>
          <w:highlight w:val="none"/>
        </w:rPr>
        <w:t>“乙方实际设计范围内审定工程概算建安工程费”</w:t>
      </w:r>
      <w:r>
        <w:rPr>
          <w:rFonts w:ascii="宋体" w:hAnsi="宋体" w:cs="宋体"/>
          <w:color w:val="auto"/>
          <w:szCs w:val="21"/>
          <w:highlight w:val="none"/>
        </w:rPr>
        <w:t>暂按招标公告及报价表中的工程费限额</w:t>
      </w:r>
      <w:r>
        <w:rPr>
          <w:rFonts w:hint="eastAsia" w:ascii="宋体" w:hAnsi="宋体" w:cs="宋体"/>
          <w:color w:val="auto"/>
          <w:szCs w:val="21"/>
          <w:highlight w:val="none"/>
        </w:rPr>
        <w:t>金额填写；</w:t>
      </w:r>
    </w:p>
    <w:p>
      <w:pPr>
        <w:adjustRightInd w:val="0"/>
        <w:snapToGrid w:val="0"/>
        <w:spacing w:line="360" w:lineRule="auto"/>
        <w:ind w:firstLine="735" w:firstLineChars="350"/>
        <w:rPr>
          <w:rFonts w:ascii="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本合同设计收费的价款的支付按合同条款第</w:t>
      </w:r>
      <w:r>
        <w:rPr>
          <w:rFonts w:ascii="宋体" w:hAnsi="宋体" w:cs="宋体"/>
          <w:color w:val="auto"/>
          <w:szCs w:val="21"/>
          <w:highlight w:val="none"/>
        </w:rPr>
        <w:t>16</w:t>
      </w:r>
      <w:r>
        <w:rPr>
          <w:rFonts w:hint="eastAsia" w:ascii="宋体" w:hAnsi="宋体" w:cs="宋体"/>
          <w:color w:val="auto"/>
          <w:szCs w:val="21"/>
          <w:highlight w:val="none"/>
        </w:rPr>
        <w:t>条的相关约定确定。</w:t>
      </w:r>
    </w:p>
    <w:p>
      <w:pPr>
        <w:adjustRightInd w:val="0"/>
        <w:snapToGrid w:val="0"/>
        <w:spacing w:line="360" w:lineRule="auto"/>
        <w:ind w:firstLine="735" w:firstLineChars="350"/>
        <w:rPr>
          <w:rFonts w:ascii="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如在乙方设计范围内存在甲方另外分包的设计工作</w:t>
      </w:r>
      <w:r>
        <w:rPr>
          <w:rFonts w:ascii="宋体" w:cs="宋体"/>
          <w:color w:val="auto"/>
          <w:szCs w:val="21"/>
          <w:highlight w:val="none"/>
        </w:rPr>
        <w:t>,</w:t>
      </w:r>
      <w:r>
        <w:rPr>
          <w:rFonts w:hint="eastAsia" w:ascii="宋体" w:hAnsi="宋体" w:cs="宋体"/>
          <w:color w:val="auto"/>
          <w:szCs w:val="21"/>
          <w:highlight w:val="none"/>
        </w:rPr>
        <w:t>则根据合同条款第</w:t>
      </w:r>
      <w:r>
        <w:rPr>
          <w:rFonts w:ascii="宋体" w:hAnsi="宋体" w:cs="宋体"/>
          <w:color w:val="auto"/>
          <w:szCs w:val="21"/>
          <w:highlight w:val="none"/>
        </w:rPr>
        <w:t>15.3</w:t>
      </w:r>
      <w:r>
        <w:rPr>
          <w:rFonts w:hint="eastAsia" w:ascii="宋体" w:hAnsi="宋体" w:cs="宋体"/>
          <w:color w:val="auto"/>
          <w:szCs w:val="21"/>
          <w:highlight w:val="none"/>
        </w:rPr>
        <w:t>款的约定相应调整合同价款。</w:t>
      </w:r>
    </w:p>
    <w:p>
      <w:pPr>
        <w:spacing w:line="360" w:lineRule="auto"/>
        <w:ind w:firstLine="840" w:firstLineChars="400"/>
        <w:rPr>
          <w:color w:val="auto"/>
          <w:highlight w:val="none"/>
        </w:rPr>
      </w:pPr>
      <w:r>
        <w:rPr>
          <w:rFonts w:ascii="宋体" w:hAnsi="宋体" w:cs="宋体"/>
          <w:color w:val="auto"/>
          <w:szCs w:val="21"/>
          <w:highlight w:val="none"/>
        </w:rPr>
        <w:t>4.</w:t>
      </w:r>
      <w:r>
        <w:rPr>
          <w:rFonts w:hint="eastAsia" w:ascii="宋体" w:hAnsi="宋体" w:cs="宋体"/>
          <w:color w:val="auto"/>
          <w:szCs w:val="21"/>
          <w:highlight w:val="none"/>
        </w:rPr>
        <w:t>有权审核部门审定本合同乙方设计范围的工程设计概算后，按本合同条款第</w:t>
      </w:r>
      <w:r>
        <w:rPr>
          <w:rFonts w:ascii="宋体" w:hAnsi="宋体" w:cs="宋体"/>
          <w:color w:val="auto"/>
          <w:szCs w:val="21"/>
          <w:highlight w:val="none"/>
        </w:rPr>
        <w:t>15.3</w:t>
      </w:r>
      <w:r>
        <w:rPr>
          <w:rFonts w:hint="eastAsia" w:ascii="宋体" w:hAnsi="宋体" w:cs="宋体"/>
          <w:color w:val="auto"/>
          <w:szCs w:val="21"/>
          <w:highlight w:val="none"/>
        </w:rPr>
        <w:t>款的约定相应调整</w:t>
      </w:r>
      <w:r>
        <w:rPr>
          <w:rFonts w:hint="eastAsia" w:ascii="宋体" w:hAnsi="宋体" w:cs="宋体"/>
          <w:color w:val="auto"/>
          <w:szCs w:val="21"/>
          <w:highlight w:val="none"/>
          <w:lang w:eastAsia="zh-CN"/>
        </w:rPr>
        <w:t>。</w:t>
      </w:r>
    </w:p>
    <w:p>
      <w:pPr>
        <w:rPr>
          <w:color w:val="auto"/>
          <w:highlight w:val="none"/>
        </w:rPr>
      </w:pPr>
    </w:p>
    <w:p>
      <w:pPr>
        <w:pStyle w:val="2"/>
        <w:rPr>
          <w:color w:val="auto"/>
          <w:highlight w:val="none"/>
        </w:rPr>
      </w:pPr>
    </w:p>
    <w:sectPr>
      <w:pgSz w:w="23811" w:h="16838"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MS Mincho">
    <w:panose1 w:val="020206090402050803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0"/>
        <w:sz w:val="18"/>
        <w:szCs w:val="18"/>
        <w:lang w:val="en-US" w:eastAsia="zh-CN" w:bidi="ar-S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w:fldChar w:fldCharType="begin"/>
    </w:r>
    <w:r>
      <w:rPr>
        <w:rFonts w:ascii="Calibri" w:hAnsi="Calibri" w:eastAsia="宋体" w:cs="Times New Roman"/>
        <w:kern w:val="0"/>
        <w:sz w:val="18"/>
        <w:szCs w:val="18"/>
        <w:lang w:val="en-US" w:eastAsia="zh-CN" w:bidi="ar-SA"/>
      </w:rPr>
      <w:instrText xml:space="preserve">PAGE   \* MERGEFORMAT</w:instrText>
    </w:r>
    <w:r>
      <w:rPr>
        <w:rFonts w:ascii="Calibri" w:hAnsi="Calibri" w:eastAsia="宋体" w:cs="Times New Roman"/>
        <w:kern w:val="0"/>
        <w:sz w:val="18"/>
        <w:szCs w:val="18"/>
        <w:lang w:val="en-US" w:eastAsia="zh-CN" w:bidi="ar-SA"/>
      </w:rPr>
      <w:fldChar w:fldCharType="separate"/>
    </w:r>
    <w:r>
      <w:rPr>
        <w:rFonts w:ascii="Calibri" w:hAnsi="Calibri" w:eastAsia="宋体" w:cs="Times New Roman"/>
        <w:kern w:val="0"/>
        <w:sz w:val="18"/>
        <w:szCs w:val="18"/>
        <w:lang w:val="zh-CN" w:eastAsia="zh-CN" w:bidi="ar-SA"/>
      </w:rPr>
      <w:t>69</w:t>
    </w:r>
    <w:r>
      <w:rPr>
        <w:rFonts w:ascii="Calibri" w:hAnsi="Calibri" w:eastAsia="宋体" w:cs="Times New Roman"/>
        <w:kern w:val="0"/>
        <w:sz w:val="18"/>
        <w:szCs w:val="18"/>
        <w:lang w:val="en-US" w:eastAsia="zh-CN" w:bidi="ar-SA"/>
      </w:rPr>
      <w:fldChar w:fldCharType="end"/>
    </w:r>
  </w:p>
  <w:p>
    <w:pPr>
      <w:widowControl w:val="0"/>
      <w:tabs>
        <w:tab w:val="center" w:pos="4153"/>
        <w:tab w:val="right" w:pos="8306"/>
      </w:tabs>
      <w:snapToGrid w:val="0"/>
      <w:jc w:val="left"/>
      <w:rPr>
        <w:rFonts w:ascii="Calibri" w:hAnsi="Calibri" w:eastAsia="宋体" w:cs="Times New Roman"/>
        <w:kern w:val="0"/>
        <w:sz w:val="18"/>
        <w:szCs w:val="18"/>
        <w:lang w:val="en-US" w:eastAsia="zh-CN" w:bidi="ar-SA"/>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widowControl w:val="0"/>
                            <w:snapToGrid w:val="0"/>
                            <w:jc w:val="left"/>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w:fldChar w:fldCharType="begin"/>
                          </w:r>
                          <w:r>
                            <w:rPr>
                              <w:rFonts w:ascii="Times New Roman" w:hAnsi="Times New Roman" w:eastAsia="宋体" w:cs="Times New Roman"/>
                              <w:kern w:val="2"/>
                              <w:sz w:val="21"/>
                              <w:szCs w:val="22"/>
                              <w:lang w:val="en-US" w:eastAsia="zh-CN" w:bidi="ar-SA"/>
                            </w:rPr>
                            <w:instrText xml:space="preserve">PAGE  </w:instrText>
                          </w:r>
                          <w:r>
                            <w:rPr>
                              <w:rFonts w:ascii="Calibri" w:hAnsi="Calibri" w:eastAsia="宋体" w:cs="Times New Roman"/>
                              <w:kern w:val="0"/>
                              <w:sz w:val="18"/>
                              <w:szCs w:val="18"/>
                              <w:lang w:val="en-US" w:eastAsia="zh-CN" w:bidi="ar-SA"/>
                            </w:rPr>
                            <w:fldChar w:fldCharType="separate"/>
                          </w:r>
                          <w:r>
                            <w:rPr>
                              <w:rFonts w:ascii="Times New Roman" w:hAnsi="Times New Roman" w:eastAsia="宋体" w:cs="Times New Roman"/>
                              <w:kern w:val="2"/>
                              <w:sz w:val="21"/>
                              <w:szCs w:val="22"/>
                              <w:lang w:val="en-US" w:eastAsia="zh-CN" w:bidi="ar-SA"/>
                            </w:rPr>
                            <w:t>61</w:t>
                          </w:r>
                          <w:r>
                            <w:rPr>
                              <w:rFonts w:ascii="Calibri" w:hAnsi="Calibri" w:eastAsia="宋体" w:cs="Times New Roman"/>
                              <w:kern w:val="0"/>
                              <w:sz w:val="18"/>
                              <w:szCs w:val="18"/>
                              <w:lang w:val="en-US" w:eastAsia="zh-CN" w:bidi="ar-S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Xxrah2AEAALADAAAOAAAAAAAAAAEAIAAA&#10;AB4BAABkcnMvZTJvRG9jLnhtbFBLBQYAAAAABgAGAFkBAABoBQAAAAA=&#10;">
              <v:fill on="f" focussize="0,0"/>
              <v:stroke on="f"/>
              <v:imagedata o:title=""/>
              <o:lock v:ext="edit" aspectratio="f"/>
              <v:textbox inset="0mm,0mm,0mm,0mm" style="mso-fit-shape-to-text:t;">
                <w:txbxContent>
                  <w:p>
                    <w:pPr>
                      <w:widowControl w:val="0"/>
                      <w:snapToGrid w:val="0"/>
                      <w:jc w:val="left"/>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w:fldChar w:fldCharType="begin"/>
                    </w:r>
                    <w:r>
                      <w:rPr>
                        <w:rFonts w:ascii="Times New Roman" w:hAnsi="Times New Roman" w:eastAsia="宋体" w:cs="Times New Roman"/>
                        <w:kern w:val="2"/>
                        <w:sz w:val="21"/>
                        <w:szCs w:val="22"/>
                        <w:lang w:val="en-US" w:eastAsia="zh-CN" w:bidi="ar-SA"/>
                      </w:rPr>
                      <w:instrText xml:space="preserve">PAGE  </w:instrText>
                    </w:r>
                    <w:r>
                      <w:rPr>
                        <w:rFonts w:ascii="Calibri" w:hAnsi="Calibri" w:eastAsia="宋体" w:cs="Times New Roman"/>
                        <w:kern w:val="0"/>
                        <w:sz w:val="18"/>
                        <w:szCs w:val="18"/>
                        <w:lang w:val="en-US" w:eastAsia="zh-CN" w:bidi="ar-SA"/>
                      </w:rPr>
                      <w:fldChar w:fldCharType="separate"/>
                    </w:r>
                    <w:r>
                      <w:rPr>
                        <w:rFonts w:ascii="Times New Roman" w:hAnsi="Times New Roman" w:eastAsia="宋体" w:cs="Times New Roman"/>
                        <w:kern w:val="2"/>
                        <w:sz w:val="21"/>
                        <w:szCs w:val="22"/>
                        <w:lang w:val="en-US" w:eastAsia="zh-CN" w:bidi="ar-SA"/>
                      </w:rPr>
                      <w:t>61</w:t>
                    </w:r>
                    <w:r>
                      <w:rPr>
                        <w:rFonts w:ascii="Calibri" w:hAnsi="Calibri" w:eastAsia="宋体" w:cs="Times New Roman"/>
                        <w:kern w:val="0"/>
                        <w:sz w:val="18"/>
                        <w:szCs w:val="18"/>
                        <w:lang w:val="en-US" w:eastAsia="zh-CN" w:bidi="ar-S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7</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7"/>
                    </w:pPr>
                  </w:p>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widowControl w:val="0"/>
                            <w:snapToGrid w:val="0"/>
                            <w:jc w:val="left"/>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w:fldChar w:fldCharType="begin"/>
                          </w:r>
                          <w:r>
                            <w:rPr>
                              <w:rFonts w:ascii="Times New Roman" w:hAnsi="Times New Roman" w:eastAsia="宋体" w:cs="Times New Roman"/>
                              <w:kern w:val="2"/>
                              <w:sz w:val="21"/>
                              <w:szCs w:val="22"/>
                              <w:lang w:val="en-US" w:eastAsia="zh-CN" w:bidi="ar-SA"/>
                            </w:rPr>
                            <w:instrText xml:space="preserve">PAGE  </w:instrText>
                          </w:r>
                          <w:r>
                            <w:rPr>
                              <w:rFonts w:ascii="Calibri" w:hAnsi="Calibri" w:eastAsia="宋体" w:cs="Times New Roman"/>
                              <w:kern w:val="0"/>
                              <w:sz w:val="18"/>
                              <w:szCs w:val="18"/>
                              <w:lang w:val="en-US" w:eastAsia="zh-CN" w:bidi="ar-SA"/>
                            </w:rPr>
                            <w:fldChar w:fldCharType="separate"/>
                          </w:r>
                          <w:r>
                            <w:rPr>
                              <w:rFonts w:ascii="Times New Roman" w:hAnsi="Times New Roman" w:eastAsia="宋体" w:cs="Times New Roman"/>
                              <w:kern w:val="2"/>
                              <w:sz w:val="21"/>
                              <w:szCs w:val="22"/>
                              <w:lang w:val="en-US" w:eastAsia="zh-CN" w:bidi="ar-SA"/>
                            </w:rPr>
                            <w:t>61</w:t>
                          </w:r>
                          <w:r>
                            <w:rPr>
                              <w:rFonts w:ascii="Calibri" w:hAnsi="Calibri" w:eastAsia="宋体" w:cs="Times New Roman"/>
                              <w:kern w:val="0"/>
                              <w:sz w:val="18"/>
                              <w:szCs w:val="18"/>
                              <w:lang w:val="en-US" w:eastAsia="zh-CN" w:bidi="ar-S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C5UTbT2AEAALADAAAOAAAAAAAAAAEAIAAA&#10;AB4BAABkcnMvZTJvRG9jLnhtbFBLBQYAAAAABgAGAFkBAABoBQAAAAA=&#10;">
              <v:fill on="f" focussize="0,0"/>
              <v:stroke on="f"/>
              <v:imagedata o:title=""/>
              <o:lock v:ext="edit" aspectratio="f"/>
              <v:textbox inset="0mm,0mm,0mm,0mm" style="mso-fit-shape-to-text:t;">
                <w:txbxContent>
                  <w:p>
                    <w:pPr>
                      <w:widowControl w:val="0"/>
                      <w:snapToGrid w:val="0"/>
                      <w:jc w:val="left"/>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w:fldChar w:fldCharType="begin"/>
                    </w:r>
                    <w:r>
                      <w:rPr>
                        <w:rFonts w:ascii="Times New Roman" w:hAnsi="Times New Roman" w:eastAsia="宋体" w:cs="Times New Roman"/>
                        <w:kern w:val="2"/>
                        <w:sz w:val="21"/>
                        <w:szCs w:val="22"/>
                        <w:lang w:val="en-US" w:eastAsia="zh-CN" w:bidi="ar-SA"/>
                      </w:rPr>
                      <w:instrText xml:space="preserve">PAGE  </w:instrText>
                    </w:r>
                    <w:r>
                      <w:rPr>
                        <w:rFonts w:ascii="Calibri" w:hAnsi="Calibri" w:eastAsia="宋体" w:cs="Times New Roman"/>
                        <w:kern w:val="0"/>
                        <w:sz w:val="18"/>
                        <w:szCs w:val="18"/>
                        <w:lang w:val="en-US" w:eastAsia="zh-CN" w:bidi="ar-SA"/>
                      </w:rPr>
                      <w:fldChar w:fldCharType="separate"/>
                    </w:r>
                    <w:r>
                      <w:rPr>
                        <w:rFonts w:ascii="Times New Roman" w:hAnsi="Times New Roman" w:eastAsia="宋体" w:cs="Times New Roman"/>
                        <w:kern w:val="2"/>
                        <w:sz w:val="21"/>
                        <w:szCs w:val="22"/>
                        <w:lang w:val="en-US" w:eastAsia="zh-CN" w:bidi="ar-SA"/>
                      </w:rPr>
                      <w:t>61</w:t>
                    </w:r>
                    <w:r>
                      <w:rPr>
                        <w:rFonts w:ascii="Calibri" w:hAnsi="Calibri" w:eastAsia="宋体" w:cs="Times New Roman"/>
                        <w:kern w:val="0"/>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tabs>
        <w:tab w:val="center" w:pos="4153"/>
        <w:tab w:val="right" w:pos="8306"/>
      </w:tabs>
      <w:snapToGrid w:val="0"/>
      <w:jc w:val="left"/>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w:fldChar w:fldCharType="begin"/>
    </w:r>
    <w:r>
      <w:rPr>
        <w:rFonts w:ascii="Times New Roman" w:hAnsi="Times New Roman" w:eastAsia="宋体" w:cs="Times New Roman"/>
        <w:kern w:val="2"/>
        <w:sz w:val="21"/>
        <w:szCs w:val="22"/>
        <w:lang w:val="en-US" w:eastAsia="zh-CN" w:bidi="ar-SA"/>
      </w:rPr>
      <w:instrText xml:space="preserve">PAGE  </w:instrText>
    </w:r>
    <w:r>
      <w:rPr>
        <w:rFonts w:ascii="Calibri" w:hAnsi="Calibri" w:eastAsia="宋体" w:cs="Times New Roman"/>
        <w:kern w:val="0"/>
        <w:sz w:val="18"/>
        <w:szCs w:val="18"/>
        <w:lang w:val="en-US" w:eastAsia="zh-CN" w:bidi="ar-SA"/>
      </w:rPr>
      <w:fldChar w:fldCharType="separate"/>
    </w:r>
    <w:r>
      <w:rPr>
        <w:rFonts w:ascii="Times New Roman" w:hAnsi="Times New Roman" w:eastAsia="宋体" w:cs="Times New Roman"/>
        <w:kern w:val="2"/>
        <w:sz w:val="21"/>
        <w:szCs w:val="22"/>
        <w:lang w:val="en-US" w:eastAsia="zh-CN" w:bidi="ar-SA"/>
      </w:rPr>
      <w:t>38</w:t>
    </w:r>
    <w:r>
      <w:rPr>
        <w:rFonts w:ascii="Calibri" w:hAnsi="Calibri" w:eastAsia="宋体" w:cs="Times New Roman"/>
        <w:kern w:val="0"/>
        <w:sz w:val="18"/>
        <w:szCs w:val="18"/>
        <w:lang w:val="en-US" w:eastAsia="zh-CN" w:bidi="ar-SA"/>
      </w:rPr>
      <w:fldChar w:fldCharType="end"/>
    </w:r>
  </w:p>
  <w:p>
    <w:pPr>
      <w:widowControl w:val="0"/>
      <w:tabs>
        <w:tab w:val="center" w:pos="4153"/>
        <w:tab w:val="right" w:pos="8306"/>
      </w:tabs>
      <w:snapToGrid w:val="0"/>
      <w:jc w:val="center"/>
      <w:rPr>
        <w:rFonts w:ascii="Calibri" w:hAnsi="Calibri" w:eastAsia="宋体" w:cs="Times New Roman"/>
        <w:kern w:val="0"/>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35255" cy="16256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35255" cy="162560"/>
                      </a:xfrm>
                      <a:prstGeom prst="rect">
                        <a:avLst/>
                      </a:prstGeom>
                      <a:noFill/>
                      <a:ln w="9525">
                        <a:noFill/>
                      </a:ln>
                      <a:effectLst/>
                    </wps:spPr>
                    <wps:txbx>
                      <w:txbxContent>
                        <w:p>
                          <w:pPr>
                            <w:jc w:val="center"/>
                            <w:rPr>
                              <w:rFonts w:ascii="Calibri" w:hAnsi="Calibri" w:eastAsia="宋体" w:cs="Times New Roman"/>
                            </w:rPr>
                          </w:pPr>
                          <w:r>
                            <w:rPr>
                              <w:rFonts w:ascii="Calibri" w:hAnsi="Calibri" w:eastAsia="宋体" w:cs="Times New Roman"/>
                            </w:rPr>
                            <w:fldChar w:fldCharType="begin"/>
                          </w:r>
                          <w:r>
                            <w:rPr>
                              <w:rFonts w:ascii="Calibri" w:hAnsi="Calibri" w:eastAsia="宋体" w:cs="Times New Roman"/>
                            </w:rPr>
                            <w:instrText xml:space="preserve"> PAGE  \* MERGEFORMAT </w:instrText>
                          </w:r>
                          <w:r>
                            <w:rPr>
                              <w:rFonts w:ascii="Calibri" w:hAnsi="Calibri" w:eastAsia="宋体" w:cs="Times New Roman"/>
                            </w:rPr>
                            <w:fldChar w:fldCharType="separate"/>
                          </w:r>
                          <w:r>
                            <w:rPr>
                              <w:rFonts w:ascii="Calibri" w:hAnsi="Calibri" w:eastAsia="宋体" w:cs="Times New Roman"/>
                            </w:rPr>
                            <w:t>46</w:t>
                          </w:r>
                          <w:r>
                            <w:rPr>
                              <w:rFonts w:ascii="Calibri" w:hAnsi="Calibri" w:eastAsia="宋体" w:cs="Times New Roma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8pt;width:10.65pt;mso-position-horizontal:center;mso-position-horizontal-relative:margin;mso-wrap-style:none;z-index:251660288;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f/RzB0QAAAAMBAAAPAAAAAAAAAAEAIAAA&#10;ACIAAABkcnMvZG93bnJldi54bWxQSwECFAAUAAAACACHTuJANJj+BdoBAACuAwAADgAAAAAAAAAB&#10;ACAAAAAgAQAAZHJzL2Uyb0RvYy54bWxQSwUGAAAAAAYABgBZAQAAbAUAAAAA&#10;">
              <v:fill on="f" focussize="0,0"/>
              <v:stroke on="f"/>
              <v:imagedata o:title=""/>
              <o:lock v:ext="edit" aspectratio="f"/>
              <v:textbox inset="0mm,0mm,0mm,0mm" style="mso-fit-shape-to-text:t;">
                <w:txbxContent>
                  <w:p>
                    <w:pPr>
                      <w:jc w:val="center"/>
                      <w:rPr>
                        <w:rFonts w:ascii="Calibri" w:hAnsi="Calibri" w:eastAsia="宋体" w:cs="Times New Roman"/>
                      </w:rPr>
                    </w:pPr>
                    <w:r>
                      <w:rPr>
                        <w:rFonts w:ascii="Calibri" w:hAnsi="Calibri" w:eastAsia="宋体" w:cs="Times New Roman"/>
                      </w:rPr>
                      <w:fldChar w:fldCharType="begin"/>
                    </w:r>
                    <w:r>
                      <w:rPr>
                        <w:rFonts w:ascii="Calibri" w:hAnsi="Calibri" w:eastAsia="宋体" w:cs="Times New Roman"/>
                      </w:rPr>
                      <w:instrText xml:space="preserve"> PAGE  \* MERGEFORMAT </w:instrText>
                    </w:r>
                    <w:r>
                      <w:rPr>
                        <w:rFonts w:ascii="Calibri" w:hAnsi="Calibri" w:eastAsia="宋体" w:cs="Times New Roman"/>
                      </w:rPr>
                      <w:fldChar w:fldCharType="separate"/>
                    </w:r>
                    <w:r>
                      <w:rPr>
                        <w:rFonts w:ascii="Calibri" w:hAnsi="Calibri" w:eastAsia="宋体" w:cs="Times New Roman"/>
                      </w:rPr>
                      <w:t>46</w:t>
                    </w:r>
                    <w:r>
                      <w:rPr>
                        <w:rFonts w:ascii="Calibri" w:hAnsi="Calibri" w:eastAsia="宋体" w:cs="Times New Roma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Align="top"/>
      <w:widowControl w:val="0"/>
      <w:tabs>
        <w:tab w:val="center" w:pos="4153"/>
        <w:tab w:val="right" w:pos="8306"/>
      </w:tabs>
      <w:snapToGrid w:val="0"/>
      <w:jc w:val="left"/>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w:fldChar w:fldCharType="begin"/>
    </w:r>
    <w:r>
      <w:rPr>
        <w:rFonts w:ascii="Times New Roman" w:hAnsi="Times New Roman" w:eastAsia="宋体" w:cs="Times New Roman"/>
        <w:kern w:val="2"/>
        <w:sz w:val="21"/>
        <w:szCs w:val="22"/>
        <w:lang w:val="en-US" w:eastAsia="zh-CN" w:bidi="ar-SA"/>
      </w:rPr>
      <w:instrText xml:space="preserve">PAGE  </w:instrText>
    </w:r>
    <w:r>
      <w:rPr>
        <w:rFonts w:ascii="Calibri" w:hAnsi="Calibri" w:eastAsia="宋体" w:cs="Times New Roman"/>
        <w:kern w:val="0"/>
        <w:sz w:val="18"/>
        <w:szCs w:val="18"/>
        <w:lang w:val="en-US" w:eastAsia="zh-CN" w:bidi="ar-SA"/>
      </w:rPr>
      <w:fldChar w:fldCharType="separate"/>
    </w:r>
    <w:r>
      <w:rPr>
        <w:rFonts w:ascii="Times New Roman" w:hAnsi="Times New Roman" w:eastAsia="宋体" w:cs="Times New Roman"/>
        <w:kern w:val="2"/>
        <w:sz w:val="21"/>
        <w:szCs w:val="22"/>
        <w:lang w:val="en-US" w:eastAsia="zh-CN" w:bidi="ar-SA"/>
      </w:rPr>
      <w:t>21</w:t>
    </w:r>
    <w:r>
      <w:rPr>
        <w:rFonts w:ascii="Calibri" w:hAnsi="Calibri" w:eastAsia="宋体" w:cs="Times New Roman"/>
        <w:kern w:val="0"/>
        <w:sz w:val="18"/>
        <w:szCs w:val="18"/>
        <w:lang w:val="en-US" w:eastAsia="zh-CN" w:bidi="ar-SA"/>
      </w:rPr>
      <w:fldChar w:fldCharType="end"/>
    </w:r>
  </w:p>
  <w:p>
    <w:pPr>
      <w:widowControl w:val="0"/>
      <w:tabs>
        <w:tab w:val="center" w:pos="4153"/>
        <w:tab w:val="right" w:pos="8306"/>
      </w:tabs>
      <w:snapToGrid w:val="0"/>
      <w:jc w:val="left"/>
      <w:rPr>
        <w:rFonts w:ascii="Calibri" w:hAnsi="Calibri" w:eastAsia="宋体" w:cs="Times New Roman"/>
        <w:kern w:val="0"/>
        <w:sz w:val="18"/>
        <w:szCs w:val="1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pPr>
                            <w:widowControl w:val="0"/>
                            <w:tabs>
                              <w:tab w:val="center" w:pos="4153"/>
                              <w:tab w:val="right" w:pos="8306"/>
                            </w:tabs>
                            <w:snapToGrid w:val="0"/>
                            <w:jc w:val="left"/>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w:fldChar w:fldCharType="begin"/>
                          </w:r>
                          <w:r>
                            <w:rPr>
                              <w:rFonts w:ascii="Times New Roman" w:hAnsi="Times New Roman" w:eastAsia="宋体" w:cs="Times New Roman"/>
                              <w:kern w:val="2"/>
                              <w:sz w:val="21"/>
                              <w:szCs w:val="22"/>
                              <w:lang w:val="en-US" w:eastAsia="zh-CN" w:bidi="ar-SA"/>
                            </w:rPr>
                            <w:instrText xml:space="preserve"> PAGE  \* MERGEFORMAT </w:instrText>
                          </w:r>
                          <w:r>
                            <w:rPr>
                              <w:rFonts w:ascii="Calibri" w:hAnsi="Calibri" w:eastAsia="宋体" w:cs="Times New Roman"/>
                              <w:kern w:val="0"/>
                              <w:sz w:val="18"/>
                              <w:szCs w:val="18"/>
                              <w:lang w:val="en-US" w:eastAsia="zh-CN" w:bidi="ar-SA"/>
                            </w:rPr>
                            <w:fldChar w:fldCharType="separate"/>
                          </w:r>
                          <w:r>
                            <w:rPr>
                              <w:rFonts w:ascii="Times New Roman" w:hAnsi="Times New Roman" w:eastAsia="宋体" w:cs="Times New Roman"/>
                              <w:kern w:val="2"/>
                              <w:sz w:val="21"/>
                              <w:szCs w:val="22"/>
                              <w:lang w:val="en-US" w:eastAsia="zh-CN" w:bidi="ar-SA"/>
                            </w:rPr>
                            <w:t>47</w:t>
                          </w:r>
                          <w:r>
                            <w:rPr>
                              <w:rFonts w:ascii="Calibri" w:hAnsi="Calibri" w:eastAsia="宋体" w:cs="Times New Roman"/>
                              <w:kern w:val="0"/>
                              <w:sz w:val="18"/>
                              <w:szCs w:val="18"/>
                              <w:lang w:val="en-US" w:eastAsia="zh-CN" w:bidi="ar-S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D5X5J0AAAAAMBAAAPAAAAAAAAAAEAIAAAACIAAABkcnMvZG93bnJl&#10;di54bWxQSwECFAAUAAAACACHTuJAxpoxrcwBAACZAwAADgAAAAAAAAABACAAAAAfAQAAZHJzL2Uy&#10;b0RvYy54bWxQSwUGAAAAAAYABgBZAQAAXQUAAAAA&#10;">
              <v:fill on="f" focussize="0,0"/>
              <v:stroke on="f"/>
              <v:imagedata o:title=""/>
              <o:lock v:ext="edit" aspectratio="f"/>
              <v:textbox inset="0mm,0mm,0mm,0mm" style="mso-fit-shape-to-text:t;">
                <w:txbxContent>
                  <w:p>
                    <w:pPr>
                      <w:widowControl w:val="0"/>
                      <w:tabs>
                        <w:tab w:val="center" w:pos="4153"/>
                        <w:tab w:val="right" w:pos="8306"/>
                      </w:tabs>
                      <w:snapToGrid w:val="0"/>
                      <w:jc w:val="left"/>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w:fldChar w:fldCharType="begin"/>
                    </w:r>
                    <w:r>
                      <w:rPr>
                        <w:rFonts w:ascii="Times New Roman" w:hAnsi="Times New Roman" w:eastAsia="宋体" w:cs="Times New Roman"/>
                        <w:kern w:val="2"/>
                        <w:sz w:val="21"/>
                        <w:szCs w:val="22"/>
                        <w:lang w:val="en-US" w:eastAsia="zh-CN" w:bidi="ar-SA"/>
                      </w:rPr>
                      <w:instrText xml:space="preserve"> PAGE  \* MERGEFORMAT </w:instrText>
                    </w:r>
                    <w:r>
                      <w:rPr>
                        <w:rFonts w:ascii="Calibri" w:hAnsi="Calibri" w:eastAsia="宋体" w:cs="Times New Roman"/>
                        <w:kern w:val="0"/>
                        <w:sz w:val="18"/>
                        <w:szCs w:val="18"/>
                        <w:lang w:val="en-US" w:eastAsia="zh-CN" w:bidi="ar-SA"/>
                      </w:rPr>
                      <w:fldChar w:fldCharType="separate"/>
                    </w:r>
                    <w:r>
                      <w:rPr>
                        <w:rFonts w:ascii="Times New Roman" w:hAnsi="Times New Roman" w:eastAsia="宋体" w:cs="Times New Roman"/>
                        <w:kern w:val="2"/>
                        <w:sz w:val="21"/>
                        <w:szCs w:val="22"/>
                        <w:lang w:val="en-US" w:eastAsia="zh-CN" w:bidi="ar-SA"/>
                      </w:rPr>
                      <w:t>47</w:t>
                    </w:r>
                    <w:r>
                      <w:rPr>
                        <w:rFonts w:ascii="Calibri" w:hAnsi="Calibri" w:eastAsia="宋体" w:cs="Times New Roman"/>
                        <w:kern w:val="0"/>
                        <w:sz w:val="18"/>
                        <w:szCs w:val="18"/>
                        <w:lang w:val="en-US" w:eastAsia="zh-CN" w:bidi="ar-S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Align="top"/>
      <w:widowControl w:val="0"/>
      <w:tabs>
        <w:tab w:val="center" w:pos="4153"/>
        <w:tab w:val="right" w:pos="8306"/>
      </w:tabs>
      <w:snapToGrid w:val="0"/>
      <w:jc w:val="left"/>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w:fldChar w:fldCharType="begin"/>
    </w:r>
    <w:r>
      <w:rPr>
        <w:rFonts w:ascii="Times New Roman" w:hAnsi="Times New Roman" w:eastAsia="宋体" w:cs="Times New Roman"/>
        <w:kern w:val="2"/>
        <w:sz w:val="21"/>
        <w:szCs w:val="22"/>
        <w:lang w:val="en-US" w:eastAsia="zh-CN" w:bidi="ar-SA"/>
      </w:rPr>
      <w:instrText xml:space="preserve">PAGE  </w:instrText>
    </w:r>
    <w:r>
      <w:rPr>
        <w:rFonts w:ascii="Calibri" w:hAnsi="Calibri" w:eastAsia="宋体" w:cs="Times New Roman"/>
        <w:kern w:val="0"/>
        <w:sz w:val="18"/>
        <w:szCs w:val="18"/>
        <w:lang w:val="en-US" w:eastAsia="zh-CN" w:bidi="ar-SA"/>
      </w:rPr>
      <w:fldChar w:fldCharType="separate"/>
    </w:r>
    <w:r>
      <w:rPr>
        <w:rFonts w:ascii="Times New Roman" w:hAnsi="Times New Roman" w:eastAsia="宋体" w:cs="Times New Roman"/>
        <w:kern w:val="2"/>
        <w:sz w:val="21"/>
        <w:szCs w:val="22"/>
        <w:lang w:val="en-US" w:eastAsia="zh-CN" w:bidi="ar-SA"/>
      </w:rPr>
      <w:t>21</w:t>
    </w:r>
    <w:r>
      <w:rPr>
        <w:rFonts w:ascii="Calibri" w:hAnsi="Calibri" w:eastAsia="宋体" w:cs="Times New Roman"/>
        <w:kern w:val="0"/>
        <w:sz w:val="18"/>
        <w:szCs w:val="18"/>
        <w:lang w:val="en-US" w:eastAsia="zh-CN" w:bidi="ar-SA"/>
      </w:rPr>
      <w:fldChar w:fldCharType="end"/>
    </w:r>
  </w:p>
  <w:p>
    <w:pPr>
      <w:widowControl w:val="0"/>
      <w:tabs>
        <w:tab w:val="center" w:pos="4153"/>
        <w:tab w:val="right" w:pos="8306"/>
      </w:tabs>
      <w:snapToGrid w:val="0"/>
      <w:jc w:val="left"/>
      <w:rPr>
        <w:rFonts w:ascii="Calibri" w:hAnsi="Calibri" w:eastAsia="宋体" w:cs="Times New Roman"/>
        <w:kern w:val="0"/>
        <w:sz w:val="18"/>
        <w:szCs w:val="18"/>
        <w:lang w:val="en-US" w:eastAsia="zh-CN" w:bidi="ar-S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tabs>
        <w:tab w:val="center" w:pos="4153"/>
        <w:tab w:val="right" w:pos="8306"/>
      </w:tabs>
      <w:snapToGrid w:val="0"/>
      <w:jc w:val="left"/>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w:fldChar w:fldCharType="begin"/>
    </w:r>
    <w:r>
      <w:rPr>
        <w:rFonts w:ascii="Times New Roman" w:hAnsi="Times New Roman" w:eastAsia="宋体" w:cs="Times New Roman"/>
        <w:kern w:val="2"/>
        <w:sz w:val="21"/>
        <w:szCs w:val="22"/>
        <w:lang w:val="en-US" w:eastAsia="zh-CN" w:bidi="ar-SA"/>
      </w:rPr>
      <w:instrText xml:space="preserve">PAGE  </w:instrText>
    </w:r>
    <w:r>
      <w:rPr>
        <w:rFonts w:ascii="Calibri" w:hAnsi="Calibri" w:eastAsia="宋体" w:cs="Times New Roman"/>
        <w:kern w:val="0"/>
        <w:sz w:val="18"/>
        <w:szCs w:val="18"/>
        <w:lang w:val="en-US" w:eastAsia="zh-CN" w:bidi="ar-SA"/>
      </w:rPr>
      <w:fldChar w:fldCharType="separate"/>
    </w:r>
    <w:r>
      <w:rPr>
        <w:rFonts w:ascii="Times New Roman" w:hAnsi="Times New Roman" w:eastAsia="宋体" w:cs="Times New Roman"/>
        <w:kern w:val="2"/>
        <w:sz w:val="21"/>
        <w:szCs w:val="22"/>
        <w:lang w:val="en-US" w:eastAsia="zh-CN" w:bidi="ar-SA"/>
      </w:rPr>
      <w:t>62</w:t>
    </w:r>
    <w:r>
      <w:rPr>
        <w:rFonts w:ascii="Calibri" w:hAnsi="Calibri" w:eastAsia="宋体" w:cs="Times New Roman"/>
        <w:kern w:val="0"/>
        <w:sz w:val="18"/>
        <w:szCs w:val="18"/>
        <w:lang w:val="en-US" w:eastAsia="zh-CN" w:bidi="ar-SA"/>
      </w:rPr>
      <w:fldChar w:fldCharType="end"/>
    </w:r>
  </w:p>
  <w:p>
    <w:pPr>
      <w:widowControl w:val="0"/>
      <w:tabs>
        <w:tab w:val="center" w:pos="4153"/>
        <w:tab w:val="right" w:pos="8306"/>
      </w:tabs>
      <w:snapToGrid w:val="0"/>
      <w:jc w:val="left"/>
      <w:rPr>
        <w:rFonts w:ascii="Calibri" w:hAnsi="Calibri" w:eastAsia="宋体" w:cs="Times New Roman"/>
        <w:kern w:val="0"/>
        <w:sz w:val="18"/>
        <w:szCs w:val="18"/>
        <w:lang w:val="en-US" w:eastAsia="zh-CN" w:bidi="ar-S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6205" cy="1397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a:effectLst/>
                    </wps:spPr>
                    <wps:txbx>
                      <w:txbxContent>
                        <w:p>
                          <w:pPr>
                            <w:widowControl w:val="0"/>
                            <w:tabs>
                              <w:tab w:val="center" w:pos="4153"/>
                              <w:tab w:val="right" w:pos="8306"/>
                            </w:tabs>
                            <w:snapToGrid w:val="0"/>
                            <w:jc w:val="center"/>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w:fldChar w:fldCharType="begin"/>
                          </w:r>
                          <w:r>
                            <w:rPr>
                              <w:rFonts w:ascii="Calibri" w:hAnsi="Calibri" w:eastAsia="宋体" w:cs="Times New Roman"/>
                              <w:kern w:val="0"/>
                              <w:sz w:val="18"/>
                              <w:szCs w:val="18"/>
                              <w:lang w:val="en-US" w:eastAsia="zh-CN" w:bidi="ar-SA"/>
                            </w:rPr>
                            <w:instrText xml:space="preserve"> PAGE  \* MERGEFORMAT </w:instrText>
                          </w:r>
                          <w:r>
                            <w:rPr>
                              <w:rFonts w:ascii="Calibri" w:hAnsi="Calibri" w:eastAsia="宋体" w:cs="Times New Roman"/>
                              <w:kern w:val="0"/>
                              <w:sz w:val="18"/>
                              <w:szCs w:val="18"/>
                              <w:lang w:val="en-US" w:eastAsia="zh-CN" w:bidi="ar-SA"/>
                            </w:rPr>
                            <w:fldChar w:fldCharType="separate"/>
                          </w:r>
                          <w:r>
                            <w:rPr>
                              <w:rFonts w:ascii="Calibri" w:hAnsi="Calibri" w:eastAsia="宋体" w:cs="Times New Roman"/>
                              <w:kern w:val="0"/>
                              <w:sz w:val="18"/>
                              <w:szCs w:val="18"/>
                              <w:lang w:val="en-US" w:eastAsia="zh-CN" w:bidi="ar-SA"/>
                            </w:rPr>
                            <w:t>65</w:t>
                          </w:r>
                          <w:r>
                            <w:rPr>
                              <w:rFonts w:ascii="Calibri" w:hAnsi="Calibri" w:eastAsia="宋体" w:cs="Times New Roman"/>
                              <w:kern w:val="0"/>
                              <w:sz w:val="18"/>
                              <w:szCs w:val="18"/>
                              <w:lang w:val="en-US" w:eastAsia="zh-CN" w:bidi="ar-S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62336;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GLpYU0AAAAAMBAAAPAAAAAAAAAAEAIAAAACIAAABkcnMvZG93bnJl&#10;di54bWxQSwECFAAUAAAACACHTuJAjn3YK8wBAACZAwAADgAAAAAAAAABACAAAAAfAQAAZHJzL2Uy&#10;b0RvYy54bWxQSwUGAAAAAAYABgBZAQAAXQUAAAAA&#10;">
              <v:fill on="f" focussize="0,0"/>
              <v:stroke on="f"/>
              <v:imagedata o:title=""/>
              <o:lock v:ext="edit" aspectratio="f"/>
              <v:textbox inset="0mm,0mm,0mm,0mm" style="mso-fit-shape-to-text:t;">
                <w:txbxContent>
                  <w:p>
                    <w:pPr>
                      <w:widowControl w:val="0"/>
                      <w:tabs>
                        <w:tab w:val="center" w:pos="4153"/>
                        <w:tab w:val="right" w:pos="8306"/>
                      </w:tabs>
                      <w:snapToGrid w:val="0"/>
                      <w:jc w:val="center"/>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w:fldChar w:fldCharType="begin"/>
                    </w:r>
                    <w:r>
                      <w:rPr>
                        <w:rFonts w:ascii="Calibri" w:hAnsi="Calibri" w:eastAsia="宋体" w:cs="Times New Roman"/>
                        <w:kern w:val="0"/>
                        <w:sz w:val="18"/>
                        <w:szCs w:val="18"/>
                        <w:lang w:val="en-US" w:eastAsia="zh-CN" w:bidi="ar-SA"/>
                      </w:rPr>
                      <w:instrText xml:space="preserve"> PAGE  \* MERGEFORMAT </w:instrText>
                    </w:r>
                    <w:r>
                      <w:rPr>
                        <w:rFonts w:ascii="Calibri" w:hAnsi="Calibri" w:eastAsia="宋体" w:cs="Times New Roman"/>
                        <w:kern w:val="0"/>
                        <w:sz w:val="18"/>
                        <w:szCs w:val="18"/>
                        <w:lang w:val="en-US" w:eastAsia="zh-CN" w:bidi="ar-SA"/>
                      </w:rPr>
                      <w:fldChar w:fldCharType="separate"/>
                    </w:r>
                    <w:r>
                      <w:rPr>
                        <w:rFonts w:ascii="Calibri" w:hAnsi="Calibri" w:eastAsia="宋体" w:cs="Times New Roman"/>
                        <w:kern w:val="0"/>
                        <w:sz w:val="18"/>
                        <w:szCs w:val="18"/>
                        <w:lang w:val="en-US" w:eastAsia="zh-CN" w:bidi="ar-SA"/>
                      </w:rPr>
                      <w:t>65</w:t>
                    </w:r>
                    <w:r>
                      <w:rPr>
                        <w:rFonts w:ascii="Calibri" w:hAnsi="Calibri" w:eastAsia="宋体" w:cs="Times New Roman"/>
                        <w:kern w:val="0"/>
                        <w:sz w:val="18"/>
                        <w:szCs w:val="18"/>
                        <w:lang w:val="en-US" w:eastAsia="zh-CN" w:bidi="ar-SA"/>
                      </w:rPr>
                      <w:fldChar w:fldCharType="end"/>
                    </w:r>
                  </w:p>
                </w:txbxContent>
              </v:textbox>
            </v:shape>
          </w:pict>
        </mc:Fallback>
      </mc:AlternateContent>
    </w:r>
  </w:p>
  <w:p>
    <w:pPr>
      <w:widowControl w:val="0"/>
      <w:tabs>
        <w:tab w:val="center" w:pos="4153"/>
        <w:tab w:val="right" w:pos="8306"/>
      </w:tabs>
      <w:snapToGrid w:val="0"/>
      <w:jc w:val="left"/>
      <w:rPr>
        <w:rFonts w:ascii="Calibri" w:hAnsi="Calibri" w:eastAsia="宋体" w:cs="Times New Roman"/>
        <w:kern w:val="0"/>
        <w:sz w:val="18"/>
        <w:szCs w:val="18"/>
        <w:lang w:val="en-US" w:eastAsia="zh-CN" w:bidi="ar-SA"/>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w:fldChar w:fldCharType="begin"/>
    </w:r>
    <w:r>
      <w:rPr>
        <w:rFonts w:ascii="Calibri" w:hAnsi="Calibri" w:eastAsia="宋体" w:cs="Times New Roman"/>
        <w:kern w:val="0"/>
        <w:sz w:val="18"/>
        <w:szCs w:val="18"/>
        <w:lang w:val="en-US" w:eastAsia="zh-CN" w:bidi="ar-SA"/>
      </w:rPr>
      <w:instrText xml:space="preserve">PAGE   \* MERGEFORMAT</w:instrText>
    </w:r>
    <w:r>
      <w:rPr>
        <w:rFonts w:ascii="Calibri" w:hAnsi="Calibri" w:eastAsia="宋体" w:cs="Times New Roman"/>
        <w:kern w:val="0"/>
        <w:sz w:val="18"/>
        <w:szCs w:val="18"/>
        <w:lang w:val="en-US" w:eastAsia="zh-CN" w:bidi="ar-SA"/>
      </w:rPr>
      <w:fldChar w:fldCharType="separate"/>
    </w:r>
    <w:r>
      <w:rPr>
        <w:rFonts w:ascii="Calibri" w:hAnsi="Calibri" w:eastAsia="宋体" w:cs="Times New Roman"/>
        <w:kern w:val="0"/>
        <w:sz w:val="18"/>
        <w:szCs w:val="18"/>
        <w:lang w:val="zh-CN" w:eastAsia="zh-CN" w:bidi="ar-SA"/>
      </w:rPr>
      <w:t>69</w:t>
    </w:r>
    <w:r>
      <w:rPr>
        <w:rFonts w:ascii="Calibri" w:hAnsi="Calibri" w:eastAsia="宋体" w:cs="Times New Roman"/>
        <w:kern w:val="0"/>
        <w:sz w:val="18"/>
        <w:szCs w:val="18"/>
        <w:lang w:val="en-US" w:eastAsia="zh-CN" w:bidi="ar-SA"/>
      </w:rPr>
      <w:fldChar w:fldCharType="end"/>
    </w:r>
  </w:p>
  <w:p>
    <w:pPr>
      <w:widowControl w:val="0"/>
      <w:tabs>
        <w:tab w:val="center" w:pos="4153"/>
        <w:tab w:val="right" w:pos="8306"/>
      </w:tabs>
      <w:snapToGrid w:val="0"/>
      <w:jc w:val="left"/>
      <w:rPr>
        <w:rFonts w:ascii="Calibri" w:hAnsi="Calibri" w:eastAsia="宋体" w:cs="Times New Roman"/>
        <w:kern w:val="0"/>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center" w:pos="4153"/>
        <w:tab w:val="right" w:pos="8306"/>
      </w:tabs>
      <w:snapToGrid w:val="0"/>
      <w:jc w:val="center"/>
      <w:rPr>
        <w:rFonts w:ascii="Calibri" w:hAnsi="Calibri" w:eastAsia="宋体" w:cs="Times New Roman"/>
        <w:kern w:val="0"/>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center" w:pos="4153"/>
        <w:tab w:val="right" w:pos="8306"/>
      </w:tabs>
      <w:snapToGrid w:val="0"/>
      <w:jc w:val="center"/>
      <w:rPr>
        <w:rFonts w:ascii="Calibri" w:hAnsi="Calibri" w:eastAsia="宋体" w:cs="Times New Roman"/>
        <w:kern w:val="0"/>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center" w:pos="4153"/>
        <w:tab w:val="right" w:pos="8306"/>
      </w:tabs>
      <w:snapToGrid w:val="0"/>
      <w:jc w:val="center"/>
      <w:rPr>
        <w:rFonts w:ascii="Calibri" w:hAnsi="Calibri" w:eastAsia="宋体" w:cs="Times New Roman"/>
        <w:kern w:val="0"/>
        <w:sz w:val="18"/>
        <w:szCs w:val="18"/>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kern w:val="0"/>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center" w:pos="4153"/>
        <w:tab w:val="right" w:pos="8306"/>
      </w:tabs>
      <w:snapToGrid w:val="0"/>
      <w:jc w:val="center"/>
      <w:rPr>
        <w:rFonts w:ascii="Calibri" w:hAnsi="Calibri" w:eastAsia="宋体" w:cs="Times New Roman"/>
        <w:kern w:val="0"/>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92A334"/>
    <w:multiLevelType w:val="singleLevel"/>
    <w:tmpl w:val="B492A334"/>
    <w:lvl w:ilvl="0" w:tentative="0">
      <w:start w:val="1"/>
      <w:numFmt w:val="decimal"/>
      <w:suff w:val="space"/>
      <w:lvlText w:val="%1."/>
      <w:lvlJc w:val="left"/>
    </w:lvl>
  </w:abstractNum>
  <w:abstractNum w:abstractNumId="1">
    <w:nsid w:val="38FA6447"/>
    <w:multiLevelType w:val="singleLevel"/>
    <w:tmpl w:val="38FA6447"/>
    <w:lvl w:ilvl="0" w:tentative="0">
      <w:start w:val="10"/>
      <w:numFmt w:val="decimal"/>
      <w:suff w:val="space"/>
      <w:lvlText w:val="%1、"/>
      <w:lvlJc w:val="left"/>
    </w:lvl>
  </w:abstractNum>
  <w:abstractNum w:abstractNumId="2">
    <w:nsid w:val="6D55C038"/>
    <w:multiLevelType w:val="singleLevel"/>
    <w:tmpl w:val="6D55C038"/>
    <w:lvl w:ilvl="0" w:tentative="0">
      <w:start w:val="13"/>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62"/>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4Mzc5NjE1NWI2M2E4ODc4Mjk5MDcxYjVmYTM5MzYifQ=="/>
  </w:docVars>
  <w:rsids>
    <w:rsidRoot w:val="4AA0289D"/>
    <w:rsid w:val="01184357"/>
    <w:rsid w:val="033250C0"/>
    <w:rsid w:val="03FAD66F"/>
    <w:rsid w:val="06FD2C57"/>
    <w:rsid w:val="078F3BFD"/>
    <w:rsid w:val="088E7A4F"/>
    <w:rsid w:val="098E621B"/>
    <w:rsid w:val="0B22305A"/>
    <w:rsid w:val="0BEDCA48"/>
    <w:rsid w:val="0DDA100E"/>
    <w:rsid w:val="0E997BFC"/>
    <w:rsid w:val="0EB3C81F"/>
    <w:rsid w:val="0F2B421B"/>
    <w:rsid w:val="0F452A49"/>
    <w:rsid w:val="0FF9C154"/>
    <w:rsid w:val="0FFF0D68"/>
    <w:rsid w:val="10FE3D58"/>
    <w:rsid w:val="114368E8"/>
    <w:rsid w:val="14745875"/>
    <w:rsid w:val="17AF9B62"/>
    <w:rsid w:val="17F61768"/>
    <w:rsid w:val="1841460D"/>
    <w:rsid w:val="19FF8760"/>
    <w:rsid w:val="1A8F6349"/>
    <w:rsid w:val="1AF5317E"/>
    <w:rsid w:val="1B7C841A"/>
    <w:rsid w:val="1B9CDF9F"/>
    <w:rsid w:val="1BD683DB"/>
    <w:rsid w:val="1CAEF96D"/>
    <w:rsid w:val="1CFDC6BF"/>
    <w:rsid w:val="1D3DFFC1"/>
    <w:rsid w:val="1DFD11E4"/>
    <w:rsid w:val="1EF463E4"/>
    <w:rsid w:val="1FADDC31"/>
    <w:rsid w:val="1FBE455D"/>
    <w:rsid w:val="1FC7AE90"/>
    <w:rsid w:val="1FCE0D20"/>
    <w:rsid w:val="1FDB43ED"/>
    <w:rsid w:val="1FEF8A22"/>
    <w:rsid w:val="1FFF9A67"/>
    <w:rsid w:val="200A0C39"/>
    <w:rsid w:val="22D819F2"/>
    <w:rsid w:val="22FC50EC"/>
    <w:rsid w:val="231C7B5B"/>
    <w:rsid w:val="233B4D1E"/>
    <w:rsid w:val="23F7FE4D"/>
    <w:rsid w:val="24587BF5"/>
    <w:rsid w:val="27092408"/>
    <w:rsid w:val="270E6D4F"/>
    <w:rsid w:val="27DF4EA9"/>
    <w:rsid w:val="27FADD54"/>
    <w:rsid w:val="27FDEE64"/>
    <w:rsid w:val="28F357E6"/>
    <w:rsid w:val="29D79551"/>
    <w:rsid w:val="29DE2420"/>
    <w:rsid w:val="2C153500"/>
    <w:rsid w:val="2C6B2FE7"/>
    <w:rsid w:val="2D7F7E47"/>
    <w:rsid w:val="2D9F284C"/>
    <w:rsid w:val="2DEE1680"/>
    <w:rsid w:val="2DFC8439"/>
    <w:rsid w:val="2E3F29F5"/>
    <w:rsid w:val="2E544B59"/>
    <w:rsid w:val="2EBF2207"/>
    <w:rsid w:val="2F77CF2E"/>
    <w:rsid w:val="2FE9D77D"/>
    <w:rsid w:val="2FF46FBA"/>
    <w:rsid w:val="2FFE7D4D"/>
    <w:rsid w:val="33237DA0"/>
    <w:rsid w:val="33FFEFD4"/>
    <w:rsid w:val="359E4CCB"/>
    <w:rsid w:val="35F751C3"/>
    <w:rsid w:val="36287465"/>
    <w:rsid w:val="36F3E9B4"/>
    <w:rsid w:val="36FEC9C1"/>
    <w:rsid w:val="371F485E"/>
    <w:rsid w:val="375A4A5B"/>
    <w:rsid w:val="37E7AC0D"/>
    <w:rsid w:val="37FB79AF"/>
    <w:rsid w:val="37FFAC3A"/>
    <w:rsid w:val="37FFEDD2"/>
    <w:rsid w:val="38B4192E"/>
    <w:rsid w:val="38C72E3D"/>
    <w:rsid w:val="394703A0"/>
    <w:rsid w:val="397F6C7F"/>
    <w:rsid w:val="39841FA9"/>
    <w:rsid w:val="39E552F4"/>
    <w:rsid w:val="3A2F20D2"/>
    <w:rsid w:val="3A3020F5"/>
    <w:rsid w:val="3BB5687D"/>
    <w:rsid w:val="3BB73C5B"/>
    <w:rsid w:val="3BF93934"/>
    <w:rsid w:val="3CE13CA3"/>
    <w:rsid w:val="3CECD585"/>
    <w:rsid w:val="3CF95004"/>
    <w:rsid w:val="3CFFC52D"/>
    <w:rsid w:val="3DB68658"/>
    <w:rsid w:val="3DEF9D0E"/>
    <w:rsid w:val="3DF20A9F"/>
    <w:rsid w:val="3E7578FE"/>
    <w:rsid w:val="3EBD18F7"/>
    <w:rsid w:val="3EDB37CD"/>
    <w:rsid w:val="3EDB548E"/>
    <w:rsid w:val="3EF712BF"/>
    <w:rsid w:val="3F31F484"/>
    <w:rsid w:val="3F335018"/>
    <w:rsid w:val="3F376B3C"/>
    <w:rsid w:val="3F3F782E"/>
    <w:rsid w:val="3F7FD891"/>
    <w:rsid w:val="3FBF9A5A"/>
    <w:rsid w:val="3FCEB43F"/>
    <w:rsid w:val="3FCFE99B"/>
    <w:rsid w:val="3FF77D08"/>
    <w:rsid w:val="4015518A"/>
    <w:rsid w:val="409C2BBB"/>
    <w:rsid w:val="41D53A67"/>
    <w:rsid w:val="41DD3674"/>
    <w:rsid w:val="429C6C07"/>
    <w:rsid w:val="43F7687F"/>
    <w:rsid w:val="444BC90C"/>
    <w:rsid w:val="47BE63FF"/>
    <w:rsid w:val="47DBA595"/>
    <w:rsid w:val="47FA8F89"/>
    <w:rsid w:val="48FDD00C"/>
    <w:rsid w:val="49724BA8"/>
    <w:rsid w:val="49B67539"/>
    <w:rsid w:val="4AA0289D"/>
    <w:rsid w:val="4BBFDDA6"/>
    <w:rsid w:val="4BDEC202"/>
    <w:rsid w:val="4BE6FAA0"/>
    <w:rsid w:val="4BFF0B68"/>
    <w:rsid w:val="4BFF6C8D"/>
    <w:rsid w:val="4D4E28D6"/>
    <w:rsid w:val="4D785BA5"/>
    <w:rsid w:val="4E267AC7"/>
    <w:rsid w:val="4EF7CA25"/>
    <w:rsid w:val="4FE77976"/>
    <w:rsid w:val="4FF339E0"/>
    <w:rsid w:val="51EB498A"/>
    <w:rsid w:val="534122A6"/>
    <w:rsid w:val="53CC28FA"/>
    <w:rsid w:val="55BFAAD1"/>
    <w:rsid w:val="55D54DB3"/>
    <w:rsid w:val="55DF10E3"/>
    <w:rsid w:val="56CB2E33"/>
    <w:rsid w:val="56EFCE75"/>
    <w:rsid w:val="577B16B7"/>
    <w:rsid w:val="57B2B18C"/>
    <w:rsid w:val="57BF460E"/>
    <w:rsid w:val="57E79224"/>
    <w:rsid w:val="57FE5281"/>
    <w:rsid w:val="58FF8232"/>
    <w:rsid w:val="5977599E"/>
    <w:rsid w:val="5A7F726E"/>
    <w:rsid w:val="5AF76211"/>
    <w:rsid w:val="5B2C0549"/>
    <w:rsid w:val="5B32515B"/>
    <w:rsid w:val="5B7F1B73"/>
    <w:rsid w:val="5C447CC6"/>
    <w:rsid w:val="5CBDF252"/>
    <w:rsid w:val="5D30B819"/>
    <w:rsid w:val="5D7F965D"/>
    <w:rsid w:val="5DEFCA40"/>
    <w:rsid w:val="5DFBB753"/>
    <w:rsid w:val="5DFD7A29"/>
    <w:rsid w:val="5DFE8533"/>
    <w:rsid w:val="5DFF776B"/>
    <w:rsid w:val="5EFFD962"/>
    <w:rsid w:val="5F1C8B32"/>
    <w:rsid w:val="5F308D6C"/>
    <w:rsid w:val="5F7B8585"/>
    <w:rsid w:val="5F7FD855"/>
    <w:rsid w:val="5FB1E22C"/>
    <w:rsid w:val="5FB70467"/>
    <w:rsid w:val="5FBB5CFA"/>
    <w:rsid w:val="5FBF9B87"/>
    <w:rsid w:val="5FE517E3"/>
    <w:rsid w:val="5FEA9557"/>
    <w:rsid w:val="5FF7B76E"/>
    <w:rsid w:val="5FFF9BE4"/>
    <w:rsid w:val="5FFFEFCD"/>
    <w:rsid w:val="60592F0B"/>
    <w:rsid w:val="60BD4088"/>
    <w:rsid w:val="61375EAB"/>
    <w:rsid w:val="6142054C"/>
    <w:rsid w:val="61EECC28"/>
    <w:rsid w:val="62AA4A34"/>
    <w:rsid w:val="62ABC9ED"/>
    <w:rsid w:val="63E69EC9"/>
    <w:rsid w:val="653E53CB"/>
    <w:rsid w:val="6573ED21"/>
    <w:rsid w:val="6597042A"/>
    <w:rsid w:val="65E26D51"/>
    <w:rsid w:val="65EDC561"/>
    <w:rsid w:val="65FF4F42"/>
    <w:rsid w:val="66FEFB0F"/>
    <w:rsid w:val="674F868F"/>
    <w:rsid w:val="677F9551"/>
    <w:rsid w:val="677F96DD"/>
    <w:rsid w:val="67EE1D18"/>
    <w:rsid w:val="680110BE"/>
    <w:rsid w:val="6A2BD076"/>
    <w:rsid w:val="6A5FF936"/>
    <w:rsid w:val="6A6F38C6"/>
    <w:rsid w:val="6AFEE9A7"/>
    <w:rsid w:val="6B140BB3"/>
    <w:rsid w:val="6B2DD1F9"/>
    <w:rsid w:val="6B5DABEE"/>
    <w:rsid w:val="6B6F45EE"/>
    <w:rsid w:val="6B972C2C"/>
    <w:rsid w:val="6BEA29B5"/>
    <w:rsid w:val="6BF50CD1"/>
    <w:rsid w:val="6BF7D35C"/>
    <w:rsid w:val="6BFFDD15"/>
    <w:rsid w:val="6CDE96E0"/>
    <w:rsid w:val="6DBD4F24"/>
    <w:rsid w:val="6DD98CD3"/>
    <w:rsid w:val="6DDE867C"/>
    <w:rsid w:val="6DE69E65"/>
    <w:rsid w:val="6E074902"/>
    <w:rsid w:val="6E7F5D56"/>
    <w:rsid w:val="6EBF8B89"/>
    <w:rsid w:val="6EEFCF03"/>
    <w:rsid w:val="6F0F8539"/>
    <w:rsid w:val="6F5A4CEC"/>
    <w:rsid w:val="6F5F2F35"/>
    <w:rsid w:val="6F720C57"/>
    <w:rsid w:val="6F7FF347"/>
    <w:rsid w:val="6F9D59A7"/>
    <w:rsid w:val="6FC6B5B2"/>
    <w:rsid w:val="6FDDBF40"/>
    <w:rsid w:val="6FDF7B74"/>
    <w:rsid w:val="6FDFEA15"/>
    <w:rsid w:val="6FEF56EE"/>
    <w:rsid w:val="6FF7205D"/>
    <w:rsid w:val="6FFA01D3"/>
    <w:rsid w:val="6FFF407A"/>
    <w:rsid w:val="6FFFB794"/>
    <w:rsid w:val="70635F35"/>
    <w:rsid w:val="71C014D9"/>
    <w:rsid w:val="724E1341"/>
    <w:rsid w:val="73BD52E7"/>
    <w:rsid w:val="73BF9DC9"/>
    <w:rsid w:val="73EC0EBC"/>
    <w:rsid w:val="73FA5DC1"/>
    <w:rsid w:val="74465802"/>
    <w:rsid w:val="74FF1793"/>
    <w:rsid w:val="757E6E7D"/>
    <w:rsid w:val="75CFB1E2"/>
    <w:rsid w:val="75E75371"/>
    <w:rsid w:val="75EBCD74"/>
    <w:rsid w:val="75FA1150"/>
    <w:rsid w:val="75FF4A6B"/>
    <w:rsid w:val="769C428E"/>
    <w:rsid w:val="76F55DE0"/>
    <w:rsid w:val="76FF6CE4"/>
    <w:rsid w:val="777D93F8"/>
    <w:rsid w:val="778F7689"/>
    <w:rsid w:val="77AABA34"/>
    <w:rsid w:val="77AF7692"/>
    <w:rsid w:val="77BEB964"/>
    <w:rsid w:val="77BFE5CB"/>
    <w:rsid w:val="77C7A1B1"/>
    <w:rsid w:val="77D69703"/>
    <w:rsid w:val="77F3DC55"/>
    <w:rsid w:val="77FCDC91"/>
    <w:rsid w:val="77FD917A"/>
    <w:rsid w:val="77FFF892"/>
    <w:rsid w:val="78B951C2"/>
    <w:rsid w:val="78BF1B59"/>
    <w:rsid w:val="79DEBD3F"/>
    <w:rsid w:val="79DF9B26"/>
    <w:rsid w:val="79E06C03"/>
    <w:rsid w:val="79FF9855"/>
    <w:rsid w:val="7A33177A"/>
    <w:rsid w:val="7A9FE459"/>
    <w:rsid w:val="7AF956ED"/>
    <w:rsid w:val="7AFE73E7"/>
    <w:rsid w:val="7B3F1814"/>
    <w:rsid w:val="7B7F6588"/>
    <w:rsid w:val="7B97F8BE"/>
    <w:rsid w:val="7BA4123E"/>
    <w:rsid w:val="7BAF79CB"/>
    <w:rsid w:val="7BBF9F38"/>
    <w:rsid w:val="7BD7488B"/>
    <w:rsid w:val="7BEBEDF0"/>
    <w:rsid w:val="7BEF4871"/>
    <w:rsid w:val="7BF189E3"/>
    <w:rsid w:val="7BF36AFF"/>
    <w:rsid w:val="7BFB5E48"/>
    <w:rsid w:val="7BFF5DA4"/>
    <w:rsid w:val="7C4CE640"/>
    <w:rsid w:val="7C5F4930"/>
    <w:rsid w:val="7C67541F"/>
    <w:rsid w:val="7C7DF6B3"/>
    <w:rsid w:val="7CBD86A4"/>
    <w:rsid w:val="7CFB16FF"/>
    <w:rsid w:val="7CFF4C92"/>
    <w:rsid w:val="7CFF7AC2"/>
    <w:rsid w:val="7CFFC039"/>
    <w:rsid w:val="7D6BA7B7"/>
    <w:rsid w:val="7D7EC9D1"/>
    <w:rsid w:val="7D8EC7EC"/>
    <w:rsid w:val="7D9D72D4"/>
    <w:rsid w:val="7DB7DFA6"/>
    <w:rsid w:val="7DCF2A44"/>
    <w:rsid w:val="7DD792D7"/>
    <w:rsid w:val="7DD7BEB0"/>
    <w:rsid w:val="7DDD4EEB"/>
    <w:rsid w:val="7DDFB49D"/>
    <w:rsid w:val="7DE5114D"/>
    <w:rsid w:val="7DE7F345"/>
    <w:rsid w:val="7DF79463"/>
    <w:rsid w:val="7DFE69D1"/>
    <w:rsid w:val="7DFFEAF7"/>
    <w:rsid w:val="7E560F70"/>
    <w:rsid w:val="7E77F6C1"/>
    <w:rsid w:val="7E799466"/>
    <w:rsid w:val="7E7B8441"/>
    <w:rsid w:val="7E7F79B8"/>
    <w:rsid w:val="7EC791F6"/>
    <w:rsid w:val="7ECFC7ED"/>
    <w:rsid w:val="7EDF812D"/>
    <w:rsid w:val="7EED0C41"/>
    <w:rsid w:val="7EEE69C5"/>
    <w:rsid w:val="7EF33623"/>
    <w:rsid w:val="7EFB8997"/>
    <w:rsid w:val="7EFF2E82"/>
    <w:rsid w:val="7EFF54A5"/>
    <w:rsid w:val="7F1FBDCD"/>
    <w:rsid w:val="7F33405F"/>
    <w:rsid w:val="7F3F2CE4"/>
    <w:rsid w:val="7F7ABD8B"/>
    <w:rsid w:val="7F7E917B"/>
    <w:rsid w:val="7F7F733C"/>
    <w:rsid w:val="7F7FB0B5"/>
    <w:rsid w:val="7F93D150"/>
    <w:rsid w:val="7F9DEEB1"/>
    <w:rsid w:val="7FAE3907"/>
    <w:rsid w:val="7FB44F94"/>
    <w:rsid w:val="7FBB7B07"/>
    <w:rsid w:val="7FBDE20F"/>
    <w:rsid w:val="7FD5D940"/>
    <w:rsid w:val="7FDC8B1E"/>
    <w:rsid w:val="7FDE35EE"/>
    <w:rsid w:val="7FE77D17"/>
    <w:rsid w:val="7FE96B7C"/>
    <w:rsid w:val="7FED36C2"/>
    <w:rsid w:val="7FEF1965"/>
    <w:rsid w:val="7FEF7650"/>
    <w:rsid w:val="7FF180B7"/>
    <w:rsid w:val="7FF75C92"/>
    <w:rsid w:val="7FF7FFBB"/>
    <w:rsid w:val="7FFCA827"/>
    <w:rsid w:val="7FFD1BA1"/>
    <w:rsid w:val="7FFDAAFC"/>
    <w:rsid w:val="7FFF2542"/>
    <w:rsid w:val="7FFF2641"/>
    <w:rsid w:val="7FFF5507"/>
    <w:rsid w:val="7FFF9B5A"/>
    <w:rsid w:val="7FFFF673"/>
    <w:rsid w:val="8BFB8B10"/>
    <w:rsid w:val="8EB69340"/>
    <w:rsid w:val="93FC5830"/>
    <w:rsid w:val="95EFB0CE"/>
    <w:rsid w:val="95F7B038"/>
    <w:rsid w:val="96BE27BE"/>
    <w:rsid w:val="98FF34F8"/>
    <w:rsid w:val="9BEE53C6"/>
    <w:rsid w:val="9D396272"/>
    <w:rsid w:val="9E2FFC7C"/>
    <w:rsid w:val="9F19E869"/>
    <w:rsid w:val="9F7F87C8"/>
    <w:rsid w:val="9F8CE783"/>
    <w:rsid w:val="9FA5BD7E"/>
    <w:rsid w:val="9FAF0953"/>
    <w:rsid w:val="A37F0489"/>
    <w:rsid w:val="A6FF48A0"/>
    <w:rsid w:val="A73C1D3C"/>
    <w:rsid w:val="A7AF382D"/>
    <w:rsid w:val="A861817F"/>
    <w:rsid w:val="AB5A434C"/>
    <w:rsid w:val="ABEFF04D"/>
    <w:rsid w:val="AE8D86A8"/>
    <w:rsid w:val="AF5F1C01"/>
    <w:rsid w:val="AF7F863C"/>
    <w:rsid w:val="AFEBF0CA"/>
    <w:rsid w:val="AFFBB1F0"/>
    <w:rsid w:val="B3EFC3EB"/>
    <w:rsid w:val="B5554915"/>
    <w:rsid w:val="B63FD11B"/>
    <w:rsid w:val="B6A5675A"/>
    <w:rsid w:val="B6BF52CC"/>
    <w:rsid w:val="B701DE11"/>
    <w:rsid w:val="B70DEA36"/>
    <w:rsid w:val="B7724545"/>
    <w:rsid w:val="B7C3B097"/>
    <w:rsid w:val="B7C78800"/>
    <w:rsid w:val="B7DF6261"/>
    <w:rsid w:val="B7EF6266"/>
    <w:rsid w:val="B7FC05D3"/>
    <w:rsid w:val="B7FFACD0"/>
    <w:rsid w:val="B8BFD0F6"/>
    <w:rsid w:val="B8FFB175"/>
    <w:rsid w:val="B9D66AC8"/>
    <w:rsid w:val="BB6F8603"/>
    <w:rsid w:val="BBFDE161"/>
    <w:rsid w:val="BBFF3EBA"/>
    <w:rsid w:val="BCF9C3FA"/>
    <w:rsid w:val="BD1A4050"/>
    <w:rsid w:val="BDBF1038"/>
    <w:rsid w:val="BED7D490"/>
    <w:rsid w:val="BEE58C86"/>
    <w:rsid w:val="BEE90D58"/>
    <w:rsid w:val="BEEFD180"/>
    <w:rsid w:val="BEF7DA16"/>
    <w:rsid w:val="BEF947D7"/>
    <w:rsid w:val="BEFD6635"/>
    <w:rsid w:val="BF3EDB04"/>
    <w:rsid w:val="BF6FA71E"/>
    <w:rsid w:val="BF6FE06D"/>
    <w:rsid w:val="BF7B9C1F"/>
    <w:rsid w:val="BF7C7862"/>
    <w:rsid w:val="BFBE2943"/>
    <w:rsid w:val="BFE7065E"/>
    <w:rsid w:val="BFEF541A"/>
    <w:rsid w:val="BFEFC582"/>
    <w:rsid w:val="BFF460DC"/>
    <w:rsid w:val="BFF7CA80"/>
    <w:rsid w:val="BFFF7EA8"/>
    <w:rsid w:val="C3FD11F9"/>
    <w:rsid w:val="C5B5D14A"/>
    <w:rsid w:val="C6FFE36E"/>
    <w:rsid w:val="C715453C"/>
    <w:rsid w:val="C7A759E5"/>
    <w:rsid w:val="C9FE7B4B"/>
    <w:rsid w:val="CBBBCF9C"/>
    <w:rsid w:val="CBEFA098"/>
    <w:rsid w:val="CBFE2141"/>
    <w:rsid w:val="CCF7F8AA"/>
    <w:rsid w:val="CE1FE166"/>
    <w:rsid w:val="CFB5D7DF"/>
    <w:rsid w:val="CFDF5691"/>
    <w:rsid w:val="CFF67DEE"/>
    <w:rsid w:val="D33F4FCC"/>
    <w:rsid w:val="D4BE19B7"/>
    <w:rsid w:val="D4EBE80D"/>
    <w:rsid w:val="D5B725CC"/>
    <w:rsid w:val="D7E1B6A0"/>
    <w:rsid w:val="D7EFE3DA"/>
    <w:rsid w:val="D8B953DF"/>
    <w:rsid w:val="DBAA5468"/>
    <w:rsid w:val="DBB34F57"/>
    <w:rsid w:val="DD6E6C24"/>
    <w:rsid w:val="DD769211"/>
    <w:rsid w:val="DD97DDDC"/>
    <w:rsid w:val="DDDFA785"/>
    <w:rsid w:val="DDEC49E1"/>
    <w:rsid w:val="DDF6828F"/>
    <w:rsid w:val="DDFA2384"/>
    <w:rsid w:val="DDFA7923"/>
    <w:rsid w:val="DE485782"/>
    <w:rsid w:val="DEED06BF"/>
    <w:rsid w:val="DEF3E593"/>
    <w:rsid w:val="DEFC19B0"/>
    <w:rsid w:val="DF2F8462"/>
    <w:rsid w:val="DF3FA3AF"/>
    <w:rsid w:val="DF5F9E73"/>
    <w:rsid w:val="DF7FDAFB"/>
    <w:rsid w:val="DF9F5947"/>
    <w:rsid w:val="DFD8B0C8"/>
    <w:rsid w:val="DFD9D462"/>
    <w:rsid w:val="DFDC8B4B"/>
    <w:rsid w:val="DFED6AF2"/>
    <w:rsid w:val="DFED93ED"/>
    <w:rsid w:val="DFEFB9F6"/>
    <w:rsid w:val="DFF58DE6"/>
    <w:rsid w:val="E138C4B4"/>
    <w:rsid w:val="E2AD2F03"/>
    <w:rsid w:val="E2BBF3AC"/>
    <w:rsid w:val="E377DF39"/>
    <w:rsid w:val="E3EFFBDB"/>
    <w:rsid w:val="E3FDDE9C"/>
    <w:rsid w:val="E4DD0B3A"/>
    <w:rsid w:val="E51A6D17"/>
    <w:rsid w:val="E5A7F60D"/>
    <w:rsid w:val="E5BF727A"/>
    <w:rsid w:val="E747A03F"/>
    <w:rsid w:val="E79F39D7"/>
    <w:rsid w:val="E7AD9850"/>
    <w:rsid w:val="E7D79AB9"/>
    <w:rsid w:val="E7DF5486"/>
    <w:rsid w:val="E7E68C35"/>
    <w:rsid w:val="E7EF8AD2"/>
    <w:rsid w:val="E7FC6035"/>
    <w:rsid w:val="E9EFB99F"/>
    <w:rsid w:val="EA76D43E"/>
    <w:rsid w:val="EADBB0BF"/>
    <w:rsid w:val="EAFB934E"/>
    <w:rsid w:val="EBBC3B3C"/>
    <w:rsid w:val="EBCBA37B"/>
    <w:rsid w:val="EBD7B839"/>
    <w:rsid w:val="EC7BDCA1"/>
    <w:rsid w:val="EE3B0CDF"/>
    <w:rsid w:val="EE577D59"/>
    <w:rsid w:val="EEF6229D"/>
    <w:rsid w:val="EEFA78CC"/>
    <w:rsid w:val="EEFBCEE4"/>
    <w:rsid w:val="EF23190B"/>
    <w:rsid w:val="EF5738EC"/>
    <w:rsid w:val="EF73E47D"/>
    <w:rsid w:val="EF7D6003"/>
    <w:rsid w:val="EFBE5B6E"/>
    <w:rsid w:val="EFCF3282"/>
    <w:rsid w:val="EFCF61F3"/>
    <w:rsid w:val="EFDFC7DE"/>
    <w:rsid w:val="EFEF4AC3"/>
    <w:rsid w:val="EFF75DA0"/>
    <w:rsid w:val="EFFBC34D"/>
    <w:rsid w:val="EFFFA20A"/>
    <w:rsid w:val="F07AC02F"/>
    <w:rsid w:val="F1BA2972"/>
    <w:rsid w:val="F1BF5BC9"/>
    <w:rsid w:val="F1D77743"/>
    <w:rsid w:val="F1FC0D53"/>
    <w:rsid w:val="F34FBA57"/>
    <w:rsid w:val="F37D7790"/>
    <w:rsid w:val="F3D78C95"/>
    <w:rsid w:val="F4DB194F"/>
    <w:rsid w:val="F54F468D"/>
    <w:rsid w:val="F57DE913"/>
    <w:rsid w:val="F6DF60E3"/>
    <w:rsid w:val="F6DFBCEE"/>
    <w:rsid w:val="F6E64F78"/>
    <w:rsid w:val="F6F9FC5F"/>
    <w:rsid w:val="F7376C7B"/>
    <w:rsid w:val="F74F7641"/>
    <w:rsid w:val="F77B6CAE"/>
    <w:rsid w:val="F77F86F1"/>
    <w:rsid w:val="F7963460"/>
    <w:rsid w:val="F79FA626"/>
    <w:rsid w:val="F7C35EDA"/>
    <w:rsid w:val="F7CFE634"/>
    <w:rsid w:val="F7E54BF8"/>
    <w:rsid w:val="F7ED9B54"/>
    <w:rsid w:val="F7EE4BB5"/>
    <w:rsid w:val="F7FBB757"/>
    <w:rsid w:val="F7FE855E"/>
    <w:rsid w:val="F7FF64F8"/>
    <w:rsid w:val="F8FEB5A7"/>
    <w:rsid w:val="F8FF0E56"/>
    <w:rsid w:val="F9CF08C6"/>
    <w:rsid w:val="F9EFF36A"/>
    <w:rsid w:val="F9FF71A4"/>
    <w:rsid w:val="FACF754B"/>
    <w:rsid w:val="FAFECE0A"/>
    <w:rsid w:val="FAFF26D0"/>
    <w:rsid w:val="FB1B9C11"/>
    <w:rsid w:val="FB6A3F16"/>
    <w:rsid w:val="FB9F1297"/>
    <w:rsid w:val="FBBF93A5"/>
    <w:rsid w:val="FBDB4EE5"/>
    <w:rsid w:val="FBDC1677"/>
    <w:rsid w:val="FBEFA261"/>
    <w:rsid w:val="FBFF309D"/>
    <w:rsid w:val="FC4DDC74"/>
    <w:rsid w:val="FC968BBD"/>
    <w:rsid w:val="FCA6B7B8"/>
    <w:rsid w:val="FCD6D03B"/>
    <w:rsid w:val="FCEC8F1B"/>
    <w:rsid w:val="FCF73C91"/>
    <w:rsid w:val="FCFCAEB0"/>
    <w:rsid w:val="FD7DB97F"/>
    <w:rsid w:val="FD83958A"/>
    <w:rsid w:val="FD9205DA"/>
    <w:rsid w:val="FDC514A2"/>
    <w:rsid w:val="FDCEB324"/>
    <w:rsid w:val="FDE49749"/>
    <w:rsid w:val="FDEB8775"/>
    <w:rsid w:val="FDFE9ED8"/>
    <w:rsid w:val="FDFFE9EF"/>
    <w:rsid w:val="FE274076"/>
    <w:rsid w:val="FE898DAD"/>
    <w:rsid w:val="FED78951"/>
    <w:rsid w:val="FEF75655"/>
    <w:rsid w:val="FEF7CEF9"/>
    <w:rsid w:val="FEF9C7D0"/>
    <w:rsid w:val="FEFCD646"/>
    <w:rsid w:val="FEFD960E"/>
    <w:rsid w:val="FEFE357C"/>
    <w:rsid w:val="FF1C0A67"/>
    <w:rsid w:val="FF2F69F8"/>
    <w:rsid w:val="FF3FC522"/>
    <w:rsid w:val="FF4E9FA6"/>
    <w:rsid w:val="FF6A10C4"/>
    <w:rsid w:val="FF7E5CEA"/>
    <w:rsid w:val="FF8FE012"/>
    <w:rsid w:val="FF9B2BF8"/>
    <w:rsid w:val="FF9E20CE"/>
    <w:rsid w:val="FFB01A83"/>
    <w:rsid w:val="FFB97CF8"/>
    <w:rsid w:val="FFBBB417"/>
    <w:rsid w:val="FFBF0B66"/>
    <w:rsid w:val="FFCE8881"/>
    <w:rsid w:val="FFD5FCF2"/>
    <w:rsid w:val="FFD6834B"/>
    <w:rsid w:val="FFDA7A53"/>
    <w:rsid w:val="FFDBA87C"/>
    <w:rsid w:val="FFDC435C"/>
    <w:rsid w:val="FFDFD32D"/>
    <w:rsid w:val="FFDFE43B"/>
    <w:rsid w:val="FFE4686F"/>
    <w:rsid w:val="FFEB3223"/>
    <w:rsid w:val="FFEF5DB1"/>
    <w:rsid w:val="FFF54678"/>
    <w:rsid w:val="FFFA4648"/>
    <w:rsid w:val="FFFBAABD"/>
    <w:rsid w:val="FFFDE61E"/>
    <w:rsid w:val="FFFDFDF6"/>
    <w:rsid w:val="FFFE3890"/>
    <w:rsid w:val="FFFF93D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libri Light" w:hAnsi="Calibri Light" w:eastAsia="宋体" w:cs="Times New Roman"/>
      <w:b/>
      <w:bCs/>
      <w:sz w:val="32"/>
      <w:szCs w:val="32"/>
    </w:rPr>
  </w:style>
  <w:style w:type="character" w:default="1" w:styleId="12">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1"/>
    <w:unhideWhenUsed/>
    <w:qFormat/>
    <w:uiPriority w:val="0"/>
    <w:pPr>
      <w:keepNext w:val="0"/>
      <w:keepLines w:val="0"/>
      <w:widowControl/>
      <w:suppressLineNumbers w:val="0"/>
      <w:spacing w:before="0" w:beforeAutospacing="0" w:after="120" w:afterAutospacing="0" w:line="256" w:lineRule="auto"/>
      <w:ind w:left="420" w:leftChars="200" w:right="0" w:firstLine="420" w:firstLineChars="200"/>
      <w:jc w:val="left"/>
    </w:pPr>
    <w:rPr>
      <w:rFonts w:hint="default" w:ascii="Calibri" w:hAnsi="Calibri" w:eastAsia="Calibri" w:cs="Calibri"/>
      <w:color w:val="000000"/>
      <w:kern w:val="2"/>
      <w:sz w:val="22"/>
      <w:szCs w:val="22"/>
      <w:lang w:val="en-US" w:eastAsia="zh-CN" w:bidi="ar"/>
    </w:rPr>
  </w:style>
  <w:style w:type="paragraph" w:styleId="4">
    <w:name w:val="annotation text"/>
    <w:basedOn w:val="1"/>
    <w:qFormat/>
    <w:uiPriority w:val="0"/>
    <w:pPr>
      <w:jc w:val="left"/>
    </w:pPr>
  </w:style>
  <w:style w:type="paragraph" w:styleId="5">
    <w:name w:val="Body Text Indent"/>
    <w:basedOn w:val="1"/>
    <w:link w:val="17"/>
    <w:qFormat/>
    <w:uiPriority w:val="0"/>
    <w:pPr>
      <w:spacing w:after="120" w:afterLines="0" w:afterAutospacing="0"/>
      <w:ind w:left="420" w:leftChars="200"/>
    </w:pPr>
  </w:style>
  <w:style w:type="paragraph" w:styleId="6">
    <w:name w:val="Plain Text"/>
    <w:basedOn w:val="1"/>
    <w:qFormat/>
    <w:uiPriority w:val="0"/>
    <w:pPr>
      <w:keepNext w:val="0"/>
      <w:keepLines w:val="0"/>
      <w:widowControl w:val="0"/>
      <w:suppressLineNumbers w:val="0"/>
      <w:spacing w:before="0" w:beforeAutospacing="0" w:after="0" w:afterAutospacing="0"/>
      <w:ind w:left="0" w:right="0"/>
      <w:jc w:val="center"/>
    </w:pPr>
    <w:rPr>
      <w:rFonts w:hint="eastAsia" w:ascii="宋体" w:hAnsi="宋体" w:eastAsia="宋体" w:cs="Times New Roman"/>
      <w:b/>
      <w:spacing w:val="-20"/>
      <w:kern w:val="10"/>
      <w:sz w:val="44"/>
      <w:szCs w:val="44"/>
      <w:lang w:val="en-US" w:eastAsia="zh-CN" w:bidi="ar"/>
    </w:rPr>
  </w:style>
  <w:style w:type="paragraph" w:styleId="7">
    <w:name w:val="footer"/>
    <w:basedOn w:val="1"/>
    <w:unhideWhenUsed/>
    <w:qFormat/>
    <w:uiPriority w:val="0"/>
    <w:pPr>
      <w:tabs>
        <w:tab w:val="center" w:pos="4153"/>
        <w:tab w:val="right" w:pos="8306"/>
      </w:tabs>
      <w:snapToGrid w:val="0"/>
      <w:jc w:val="left"/>
    </w:pPr>
    <w:rPr>
      <w:kern w:val="0"/>
      <w:sz w:val="18"/>
      <w:szCs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semiHidden/>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13">
    <w:name w:val="Strong"/>
    <w:basedOn w:val="12"/>
    <w:qFormat/>
    <w:uiPriority w:val="0"/>
    <w:rPr>
      <w:b/>
    </w:rPr>
  </w:style>
  <w:style w:type="character" w:styleId="14">
    <w:name w:val="Hyperlink"/>
    <w:basedOn w:val="12"/>
    <w:unhideWhenUsed/>
    <w:qFormat/>
    <w:uiPriority w:val="99"/>
    <w:rPr>
      <w:color w:val="0000FF"/>
      <w:u w:val="single"/>
    </w:rPr>
  </w:style>
  <w:style w:type="character" w:customStyle="1" w:styleId="15">
    <w:name w:val="15"/>
    <w:basedOn w:val="12"/>
    <w:qFormat/>
    <w:uiPriority w:val="0"/>
    <w:rPr>
      <w:rFonts w:hint="default" w:ascii="Times New Roman" w:hAnsi="Times New Roman" w:cs="Times New Roman"/>
    </w:rPr>
  </w:style>
  <w:style w:type="character" w:customStyle="1" w:styleId="16">
    <w:name w:val="正文文本首行缩进 2 字符"/>
    <w:basedOn w:val="17"/>
    <w:qFormat/>
    <w:uiPriority w:val="0"/>
    <w:rPr>
      <w:rFonts w:hint="default" w:ascii="Calibri" w:hAnsi="Calibri" w:eastAsia="宋体" w:cs="Times New Roman"/>
      <w:kern w:val="2"/>
      <w:sz w:val="21"/>
      <w:szCs w:val="22"/>
    </w:rPr>
  </w:style>
  <w:style w:type="character" w:customStyle="1" w:styleId="17">
    <w:name w:val="正文文本缩进 字符"/>
    <w:basedOn w:val="12"/>
    <w:link w:val="5"/>
    <w:qFormat/>
    <w:uiPriority w:val="0"/>
    <w:rPr>
      <w:rFonts w:hint="default"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header" Target="header5.xml"/><Relationship Id="rId18" Type="http://schemas.openxmlformats.org/officeDocument/2006/relationships/footer" Target="footer12.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header" Target="header3.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222</Pages>
  <Words>122640</Words>
  <Characters>127848</Characters>
  <Lines>1</Lines>
  <Paragraphs>1</Paragraphs>
  <TotalTime>18</TotalTime>
  <ScaleCrop>false</ScaleCrop>
  <LinksUpToDate>false</LinksUpToDate>
  <CharactersWithSpaces>133183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2024-12-22T06:33:00Z</dcterms:created>
  <dc:creator>78527</dc:creator>
  <cp:lastModifiedBy>C-言诺</cp:lastModifiedBy>
  <dcterms:modified xsi:type="dcterms:W3CDTF">2025-07-31T13:34:14Z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8193CA2DF546438789265F381F905F3C_13</vt:lpwstr>
  </property>
  <property fmtid="{D5CDD505-2E9C-101B-9397-08002B2CF9AE}" pid="4" name="KSOTemplateDocerSaveRecord">
    <vt:lpwstr>eyJoZGlkIjoiNDRjNTZlYTc4YmU5YjRiODA0YjE3ZTUxMzQyOTJkOGYiLCJ1c2VySWQiOiIyMDYzMTExODMifQ==</vt:lpwstr>
  </property>
</Properties>
</file>