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A4D13">
      <w:pPr>
        <w:pStyle w:val="9"/>
        <w:jc w:val="center"/>
        <w:rPr>
          <w:rFonts w:ascii="宋体" w:hAnsi="宋体"/>
          <w:b/>
          <w:bCs/>
          <w:sz w:val="24"/>
          <w:szCs w:val="24"/>
        </w:rPr>
      </w:pPr>
      <w:r>
        <w:rPr>
          <w:rFonts w:hint="eastAsia" w:ascii="黑体" w:hAnsi="黑体" w:eastAsia="黑体" w:cs="黑体"/>
          <w:b/>
          <w:sz w:val="28"/>
          <w:szCs w:val="28"/>
          <w:lang w:eastAsia="zh-CN"/>
        </w:rPr>
        <w:t>高州市石仔岭产业园厂房及配套设施建设工程-蒲康大道建设项目</w:t>
      </w:r>
      <w:r>
        <w:rPr>
          <w:rFonts w:hint="eastAsia" w:ascii="黑体" w:hAnsi="黑体" w:eastAsia="黑体" w:cs="黑体"/>
          <w:b/>
          <w:sz w:val="28"/>
          <w:szCs w:val="28"/>
        </w:rPr>
        <w:t>EPC招标公告</w:t>
      </w:r>
    </w:p>
    <w:tbl>
      <w:tblPr>
        <w:tblStyle w:val="11"/>
        <w:tblW w:w="0" w:type="auto"/>
        <w:jc w:val="center"/>
        <w:tblLayout w:type="fixed"/>
        <w:tblCellMar>
          <w:top w:w="0" w:type="dxa"/>
          <w:left w:w="108" w:type="dxa"/>
          <w:bottom w:w="0" w:type="dxa"/>
          <w:right w:w="108" w:type="dxa"/>
        </w:tblCellMar>
      </w:tblPr>
      <w:tblGrid>
        <w:gridCol w:w="2130"/>
        <w:gridCol w:w="1748"/>
        <w:gridCol w:w="1436"/>
        <w:gridCol w:w="2189"/>
        <w:gridCol w:w="2189"/>
      </w:tblGrid>
      <w:tr w14:paraId="5D313F1A">
        <w:tblPrEx>
          <w:tblCellMar>
            <w:top w:w="0" w:type="dxa"/>
            <w:left w:w="108" w:type="dxa"/>
            <w:bottom w:w="0" w:type="dxa"/>
            <w:right w:w="108" w:type="dxa"/>
          </w:tblCellMar>
        </w:tblPrEx>
        <w:trPr>
          <w:trHeight w:val="4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02B5687A">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投资项目代码</w:t>
            </w:r>
          </w:p>
        </w:tc>
        <w:tc>
          <w:tcPr>
            <w:tcW w:w="7562" w:type="dxa"/>
            <w:gridSpan w:val="4"/>
            <w:tcBorders>
              <w:top w:val="single" w:color="auto" w:sz="4" w:space="0"/>
              <w:left w:val="single" w:color="auto" w:sz="4" w:space="0"/>
              <w:bottom w:val="single" w:color="auto" w:sz="4" w:space="0"/>
              <w:right w:val="single" w:color="auto" w:sz="4" w:space="0"/>
            </w:tcBorders>
            <w:vAlign w:val="center"/>
          </w:tcPr>
          <w:p w14:paraId="1E4CDDB3">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2209-440981-04-01-429568</w:t>
            </w:r>
          </w:p>
        </w:tc>
      </w:tr>
      <w:tr w14:paraId="03C09D9E">
        <w:tblPrEx>
          <w:tblCellMar>
            <w:top w:w="0" w:type="dxa"/>
            <w:left w:w="108" w:type="dxa"/>
            <w:bottom w:w="0" w:type="dxa"/>
            <w:right w:w="108" w:type="dxa"/>
          </w:tblCellMar>
        </w:tblPrEx>
        <w:trPr>
          <w:trHeight w:val="416"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540DD3C0">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投资项目名称</w:t>
            </w:r>
          </w:p>
        </w:tc>
        <w:tc>
          <w:tcPr>
            <w:tcW w:w="7562" w:type="dxa"/>
            <w:gridSpan w:val="4"/>
            <w:tcBorders>
              <w:top w:val="single" w:color="auto" w:sz="4" w:space="0"/>
              <w:left w:val="single" w:color="auto" w:sz="4" w:space="0"/>
              <w:bottom w:val="single" w:color="auto" w:sz="4" w:space="0"/>
              <w:right w:val="single" w:color="auto" w:sz="4" w:space="0"/>
            </w:tcBorders>
            <w:vAlign w:val="center"/>
          </w:tcPr>
          <w:p w14:paraId="7C0D4BC0">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高州市石仔岭产业园厂房及配套设施建设工程</w:t>
            </w:r>
          </w:p>
        </w:tc>
      </w:tr>
      <w:tr w14:paraId="4885AC97">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0CFD471B">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招标项目名称</w:t>
            </w:r>
          </w:p>
        </w:tc>
        <w:tc>
          <w:tcPr>
            <w:tcW w:w="7562" w:type="dxa"/>
            <w:gridSpan w:val="4"/>
            <w:tcBorders>
              <w:top w:val="single" w:color="auto" w:sz="4" w:space="0"/>
              <w:left w:val="single" w:color="auto" w:sz="4" w:space="0"/>
              <w:bottom w:val="single" w:color="auto" w:sz="4" w:space="0"/>
              <w:right w:val="single" w:color="auto" w:sz="4" w:space="0"/>
            </w:tcBorders>
            <w:vAlign w:val="center"/>
          </w:tcPr>
          <w:p w14:paraId="53E791AE">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高州市石仔岭产业园厂房及配套设施建设工程-蒲康大道建设项目</w:t>
            </w:r>
            <w:r>
              <w:rPr>
                <w:rFonts w:hint="eastAsia" w:ascii="宋体" w:hAnsi="宋体" w:eastAsia="宋体" w:cs="宋体"/>
                <w:color w:val="000000"/>
                <w:sz w:val="18"/>
                <w:szCs w:val="18"/>
              </w:rPr>
              <w:t>EPC</w:t>
            </w:r>
          </w:p>
        </w:tc>
      </w:tr>
      <w:tr w14:paraId="00CD594C">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vAlign w:val="center"/>
          </w:tcPr>
          <w:p w14:paraId="10DFF340">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标段（包）名称</w:t>
            </w:r>
          </w:p>
        </w:tc>
        <w:tc>
          <w:tcPr>
            <w:tcW w:w="1748" w:type="dxa"/>
            <w:tcBorders>
              <w:top w:val="single" w:color="auto" w:sz="4" w:space="0"/>
              <w:left w:val="single" w:color="000000" w:sz="4" w:space="0"/>
              <w:bottom w:val="single" w:color="000000" w:sz="4" w:space="0"/>
              <w:right w:val="single" w:color="000000" w:sz="4" w:space="0"/>
            </w:tcBorders>
            <w:vAlign w:val="center"/>
          </w:tcPr>
          <w:p w14:paraId="2EC922C0">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sz w:val="18"/>
                <w:szCs w:val="18"/>
              </w:rPr>
              <w:t>/</w:t>
            </w:r>
          </w:p>
        </w:tc>
        <w:tc>
          <w:tcPr>
            <w:tcW w:w="1436" w:type="dxa"/>
            <w:tcBorders>
              <w:top w:val="single" w:color="auto" w:sz="4" w:space="0"/>
              <w:left w:val="single" w:color="000000" w:sz="4" w:space="0"/>
              <w:bottom w:val="single" w:color="000000" w:sz="4" w:space="0"/>
              <w:right w:val="single" w:color="000000" w:sz="4" w:space="0"/>
            </w:tcBorders>
            <w:vAlign w:val="center"/>
          </w:tcPr>
          <w:p w14:paraId="222DB9B8">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公告性质</w:t>
            </w:r>
          </w:p>
        </w:tc>
        <w:tc>
          <w:tcPr>
            <w:tcW w:w="4378" w:type="dxa"/>
            <w:gridSpan w:val="2"/>
            <w:tcBorders>
              <w:top w:val="single" w:color="auto" w:sz="4" w:space="0"/>
              <w:left w:val="single" w:color="000000" w:sz="4" w:space="0"/>
              <w:bottom w:val="single" w:color="000000" w:sz="4" w:space="0"/>
              <w:right w:val="single" w:color="000000" w:sz="4" w:space="0"/>
            </w:tcBorders>
            <w:vAlign w:val="center"/>
          </w:tcPr>
          <w:p w14:paraId="57BB6F6B">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正常</w:t>
            </w:r>
          </w:p>
        </w:tc>
      </w:tr>
      <w:tr w14:paraId="4AB47883">
        <w:tblPrEx>
          <w:tblCellMar>
            <w:top w:w="0" w:type="dxa"/>
            <w:left w:w="108" w:type="dxa"/>
            <w:bottom w:w="0" w:type="dxa"/>
            <w:right w:w="108" w:type="dxa"/>
          </w:tblCellMar>
        </w:tblPrEx>
        <w:trPr>
          <w:trHeight w:val="433" w:hRule="atLeast"/>
          <w:jc w:val="center"/>
        </w:trPr>
        <w:tc>
          <w:tcPr>
            <w:tcW w:w="2130" w:type="dxa"/>
            <w:tcBorders>
              <w:top w:val="single" w:color="auto" w:sz="4" w:space="0"/>
              <w:left w:val="single" w:color="000000" w:sz="4" w:space="0"/>
              <w:bottom w:val="single" w:color="000000" w:sz="4" w:space="0"/>
              <w:right w:val="single" w:color="000000" w:sz="4" w:space="0"/>
            </w:tcBorders>
            <w:vAlign w:val="center"/>
          </w:tcPr>
          <w:p w14:paraId="213572A1">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资格审查方式</w:t>
            </w:r>
          </w:p>
        </w:tc>
        <w:tc>
          <w:tcPr>
            <w:tcW w:w="7562" w:type="dxa"/>
            <w:gridSpan w:val="4"/>
            <w:tcBorders>
              <w:top w:val="single" w:color="auto" w:sz="4" w:space="0"/>
              <w:left w:val="single" w:color="000000" w:sz="4" w:space="0"/>
              <w:bottom w:val="single" w:color="000000" w:sz="4" w:space="0"/>
              <w:right w:val="single" w:color="000000" w:sz="4" w:space="0"/>
            </w:tcBorders>
            <w:vAlign w:val="center"/>
          </w:tcPr>
          <w:p w14:paraId="0FD46FBE">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资格后审</w:t>
            </w:r>
          </w:p>
        </w:tc>
      </w:tr>
      <w:tr w14:paraId="5F324D15">
        <w:tblPrEx>
          <w:tblCellMar>
            <w:top w:w="0" w:type="dxa"/>
            <w:left w:w="108" w:type="dxa"/>
            <w:bottom w:w="0" w:type="dxa"/>
            <w:right w:w="108" w:type="dxa"/>
          </w:tblCellMar>
        </w:tblPrEx>
        <w:trPr>
          <w:trHeight w:val="494"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F71005F">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招标项目实施</w:t>
            </w:r>
          </w:p>
          <w:p w14:paraId="260DE69B">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（交货）地点</w:t>
            </w:r>
          </w:p>
        </w:tc>
        <w:tc>
          <w:tcPr>
            <w:tcW w:w="7562" w:type="dxa"/>
            <w:gridSpan w:val="4"/>
            <w:tcBorders>
              <w:top w:val="single" w:color="000000" w:sz="4" w:space="0"/>
              <w:left w:val="single" w:color="000000" w:sz="4" w:space="0"/>
              <w:bottom w:val="single" w:color="000000" w:sz="4" w:space="0"/>
              <w:right w:val="single" w:color="000000" w:sz="4" w:space="0"/>
            </w:tcBorders>
            <w:vAlign w:val="center"/>
          </w:tcPr>
          <w:p w14:paraId="631654C0">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sz w:val="18"/>
                <w:szCs w:val="18"/>
                <w:lang w:val="en-US" w:eastAsia="zh-CN"/>
              </w:rPr>
              <w:t>高州市</w:t>
            </w:r>
          </w:p>
        </w:tc>
      </w:tr>
      <w:tr w14:paraId="4C53BBB6">
        <w:tblPrEx>
          <w:tblCellMar>
            <w:top w:w="0" w:type="dxa"/>
            <w:left w:w="108" w:type="dxa"/>
            <w:bottom w:w="0" w:type="dxa"/>
            <w:right w:w="108" w:type="dxa"/>
          </w:tblCellMar>
        </w:tblPrEx>
        <w:trPr>
          <w:trHeight w:val="9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77F019B3">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资金来源</w:t>
            </w:r>
          </w:p>
        </w:tc>
        <w:tc>
          <w:tcPr>
            <w:tcW w:w="1748" w:type="dxa"/>
            <w:tcBorders>
              <w:top w:val="single" w:color="000000" w:sz="4" w:space="0"/>
              <w:left w:val="single" w:color="000000" w:sz="4" w:space="0"/>
              <w:bottom w:val="single" w:color="000000" w:sz="4" w:space="0"/>
              <w:right w:val="nil"/>
            </w:tcBorders>
            <w:vAlign w:val="center"/>
          </w:tcPr>
          <w:p w14:paraId="15655405">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sz w:val="18"/>
                <w:szCs w:val="18"/>
              </w:rPr>
            </w:pPr>
            <w:r>
              <w:rPr>
                <w:rFonts w:hint="eastAsia" w:ascii="宋体" w:hAnsi="宋体" w:eastAsia="宋体" w:cs="宋体"/>
                <w:color w:val="auto"/>
                <w:sz w:val="18"/>
                <w:szCs w:val="18"/>
                <w:highlight w:val="none"/>
                <w:lang w:val="en-US" w:eastAsia="zh-CN"/>
              </w:rPr>
              <w:t>申请债券资金及财政资金解决</w:t>
            </w:r>
          </w:p>
        </w:tc>
        <w:tc>
          <w:tcPr>
            <w:tcW w:w="1436" w:type="dxa"/>
            <w:tcBorders>
              <w:top w:val="single" w:color="000000" w:sz="4" w:space="0"/>
              <w:left w:val="single" w:color="000000" w:sz="4" w:space="0"/>
              <w:bottom w:val="single" w:color="000000" w:sz="4" w:space="0"/>
              <w:right w:val="single" w:color="000000" w:sz="4" w:space="0"/>
            </w:tcBorders>
            <w:vAlign w:val="center"/>
          </w:tcPr>
          <w:p w14:paraId="4A37EB84">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资金来源构成</w:t>
            </w:r>
          </w:p>
        </w:tc>
        <w:tc>
          <w:tcPr>
            <w:tcW w:w="4378" w:type="dxa"/>
            <w:gridSpan w:val="2"/>
            <w:tcBorders>
              <w:top w:val="single" w:color="000000" w:sz="4" w:space="0"/>
              <w:left w:val="nil"/>
              <w:bottom w:val="single" w:color="000000" w:sz="4" w:space="0"/>
              <w:right w:val="single" w:color="000000" w:sz="4" w:space="0"/>
            </w:tcBorders>
            <w:vAlign w:val="center"/>
          </w:tcPr>
          <w:p w14:paraId="445AF9A6">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申请债券资金及财政资金解决</w:t>
            </w:r>
          </w:p>
        </w:tc>
      </w:tr>
      <w:tr w14:paraId="03F6163A">
        <w:tblPrEx>
          <w:tblCellMar>
            <w:top w:w="0" w:type="dxa"/>
            <w:left w:w="108" w:type="dxa"/>
            <w:bottom w:w="0" w:type="dxa"/>
            <w:right w:w="108" w:type="dxa"/>
          </w:tblCellMar>
        </w:tblPrEx>
        <w:trPr>
          <w:trHeight w:val="108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6068A27F">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招标范围及规模</w:t>
            </w:r>
          </w:p>
        </w:tc>
        <w:tc>
          <w:tcPr>
            <w:tcW w:w="7562" w:type="dxa"/>
            <w:gridSpan w:val="4"/>
            <w:tcBorders>
              <w:top w:val="single" w:color="000000" w:sz="4" w:space="0"/>
              <w:left w:val="single" w:color="000000" w:sz="4" w:space="0"/>
              <w:bottom w:val="single" w:color="000000" w:sz="4" w:space="0"/>
              <w:right w:val="single" w:color="000000" w:sz="4" w:space="0"/>
            </w:tcBorders>
            <w:vAlign w:val="center"/>
          </w:tcPr>
          <w:p w14:paraId="5D0DC862">
            <w:pPr>
              <w:pStyle w:val="8"/>
              <w:keepNext w:val="0"/>
              <w:keepLines w:val="0"/>
              <w:pageBreakBefore w:val="0"/>
              <w:kinsoku/>
              <w:wordWrap/>
              <w:overflowPunct/>
              <w:topLinePunct w:val="0"/>
              <w:bidi w:val="0"/>
              <w:snapToGrid/>
              <w:spacing w:line="2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项目概算总投资为14889.53万元，其中建安工程费用13066.24万元。项目位于高州市,呈东西走向,东起旧国道 G207 线,桩号 K0+000,西至国道 G207改线，K2+176.504，全长2176.504m。城市主干路设计，红线宽36m，设计时速 50Km/h。采用水泥混凝土路面结构,设计使用年限为 30 年。工程建设内容:道路工程、交通工程、给排水工程、照明工程、绿化工程、 通信工程等。</w:t>
            </w:r>
          </w:p>
        </w:tc>
      </w:tr>
      <w:tr w14:paraId="4AD4FA49">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A28C0AF">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招标内容</w:t>
            </w:r>
          </w:p>
        </w:tc>
        <w:tc>
          <w:tcPr>
            <w:tcW w:w="7562" w:type="dxa"/>
            <w:gridSpan w:val="4"/>
            <w:tcBorders>
              <w:top w:val="single" w:color="000000" w:sz="4" w:space="0"/>
              <w:left w:val="single" w:color="000000" w:sz="4" w:space="0"/>
              <w:bottom w:val="single" w:color="000000" w:sz="4" w:space="0"/>
              <w:right w:val="single" w:color="000000" w:sz="4" w:space="0"/>
            </w:tcBorders>
            <w:vAlign w:val="center"/>
          </w:tcPr>
          <w:p w14:paraId="6FCD7660">
            <w:pPr>
              <w:keepNext w:val="0"/>
              <w:keepLines w:val="0"/>
              <w:pageBreakBefore w:val="0"/>
              <w:tabs>
                <w:tab w:val="left" w:pos="540"/>
              </w:tabs>
              <w:kinsoku/>
              <w:wordWrap/>
              <w:overflowPunct/>
              <w:topLinePunct w:val="0"/>
              <w:bidi w:val="0"/>
              <w:snapToGrid/>
              <w:spacing w:line="260" w:lineRule="exact"/>
              <w:ind w:firstLine="270" w:firstLineChars="150"/>
              <w:rPr>
                <w:rFonts w:hint="eastAsia" w:ascii="宋体" w:hAnsi="宋体" w:eastAsia="宋体" w:cs="宋体"/>
                <w:color w:val="000000"/>
                <w:sz w:val="18"/>
                <w:szCs w:val="18"/>
              </w:rPr>
            </w:pPr>
            <w:r>
              <w:rPr>
                <w:rFonts w:hint="eastAsia" w:ascii="宋体" w:hAnsi="宋体" w:eastAsia="宋体" w:cs="宋体"/>
                <w:color w:val="000000"/>
                <w:sz w:val="18"/>
                <w:szCs w:val="18"/>
              </w:rPr>
              <w:t>本项目招标范围为项目设计、采购(如有)、施工。本次招标确定工程总承包承担主体，中标后负责本项目的设计、采购(如有)、施工等工作。</w:t>
            </w:r>
          </w:p>
          <w:p w14:paraId="7D3EC2AE">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1、设计部分(包括但不限于以下内容): 本工程的所有专业的报建图设计(如果需要)、施工图设计以及后续施工的深化设计、竣工图编制、施工图预结算编制、工程施工过程中的设计指导、设计变更、后续设计服务、施工现场配合服务、参加竣工验收等。</w:t>
            </w:r>
          </w:p>
          <w:p w14:paraId="7AE433CD">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2、施工部分(包括但不限于以下内容）:</w:t>
            </w:r>
          </w:p>
          <w:p w14:paraId="1C61B666">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1）设计范围内所有工程内容的施工(包工、包料、包质量、包安全生产、包文明施工包工期、包承包范围内工程验收通过、包移交、包结算、包资料整理、包施工承包管理和现场整体组织、包专业协调及配合等)、设备购置及安装、竣工图及结算编制等；</w:t>
            </w:r>
          </w:p>
          <w:p w14:paraId="378B112C">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（2）负责预算、结算的编制工作，配合发包人对预算和结算的审核及审计工作。</w:t>
            </w:r>
          </w:p>
          <w:p w14:paraId="1C3BDE6A">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3）负责办理或配合办理:工程开工及验收所需的各项手续,包括但不限于施工许可证(或临时施工许可)、报监手续、余泥排放证、排污手续、排水接驳、水质检测、排水许可证、环保验收、消防验收、人防验收、节能备案、分项分部工程验收和各专业验收及通邮等工作,并承担办理上述手续属于施工方的费用。</w:t>
            </w:r>
          </w:p>
          <w:p w14:paraId="33F89107">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（4）协助做好发包人各项检查及工程筹备等工作。</w:t>
            </w:r>
          </w:p>
          <w:p w14:paraId="04108ABC">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（5）按政府有关规定，做好建设过程中的消防维保工作，确保安全生产、零隐患、零事故。</w:t>
            </w:r>
          </w:p>
          <w:p w14:paraId="4D78AFFB">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（6）组织本项目的整体竣工验收及备案和整体工程资料汇总及整理归档工作，具体施工范围详见招标文件。</w:t>
            </w:r>
          </w:p>
          <w:p w14:paraId="54FF3C0B">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3、工程管理服务(包括但不限于以下内容):对工程建设全过程和各阶段进行专业化管理和服务。对需要专业分包的专项设计和工程，承包人与专业分包单位签订专业分包合同，配合做好协调和管理工作。同时，承包人须按国家、地方、行业规定以及发包人要求的工程措施、安全措施、文明措施对项目进行工程总承包管理，作为联合体主办方负责项目设计、施工总协调工作及工程涉及的其它协调工作。最终以招标文件(含招标答疑、澄清文件)、经审定的设计图纸、经审定的施工图预算内容及工程总承包合同为准且包括发包人发出的与本工程有关的一切文件。    </w:t>
            </w:r>
          </w:p>
          <w:p w14:paraId="4A981988">
            <w:pPr>
              <w:pStyle w:val="13"/>
              <w:keepNext w:val="0"/>
              <w:keepLines w:val="0"/>
              <w:pageBreakBefore w:val="0"/>
              <w:kinsoku/>
              <w:wordWrap/>
              <w:overflowPunct/>
              <w:topLinePunct w:val="0"/>
              <w:bidi w:val="0"/>
              <w:snapToGrid/>
              <w:spacing w:line="260" w:lineRule="exact"/>
              <w:rPr>
                <w:rFonts w:hint="eastAsia" w:ascii="宋体" w:hAnsi="宋体" w:eastAsia="宋体" w:cs="宋体"/>
                <w:sz w:val="18"/>
                <w:szCs w:val="18"/>
              </w:rPr>
            </w:pPr>
            <w:r>
              <w:rPr>
                <w:rFonts w:hint="eastAsia" w:ascii="宋体" w:hAnsi="宋体" w:eastAsia="宋体" w:cs="宋体"/>
                <w:kern w:val="2"/>
                <w:sz w:val="18"/>
                <w:szCs w:val="18"/>
              </w:rPr>
              <w:t xml:space="preserve">  </w:t>
            </w:r>
          </w:p>
        </w:tc>
      </w:tr>
      <w:tr w14:paraId="784E750A">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789B2289">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工期（交货期）</w:t>
            </w:r>
          </w:p>
        </w:tc>
        <w:tc>
          <w:tcPr>
            <w:tcW w:w="7562" w:type="dxa"/>
            <w:gridSpan w:val="4"/>
            <w:tcBorders>
              <w:top w:val="single" w:color="000000" w:sz="4" w:space="0"/>
              <w:left w:val="single" w:color="000000" w:sz="4" w:space="0"/>
              <w:bottom w:val="single" w:color="000000" w:sz="4" w:space="0"/>
              <w:right w:val="single" w:color="000000" w:sz="4" w:space="0"/>
            </w:tcBorders>
            <w:vAlign w:val="center"/>
          </w:tcPr>
          <w:p w14:paraId="50B31288">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000000"/>
                <w:sz w:val="18"/>
                <w:szCs w:val="18"/>
              </w:rPr>
            </w:pPr>
            <w:r>
              <w:rPr>
                <w:rFonts w:hint="eastAsia" w:ascii="宋体" w:hAnsi="宋体" w:eastAsia="宋体" w:cs="宋体"/>
                <w:sz w:val="18"/>
                <w:szCs w:val="18"/>
              </w:rPr>
              <w:t xml:space="preserve">总工期  </w:t>
            </w:r>
            <w:r>
              <w:rPr>
                <w:rFonts w:hint="eastAsia" w:ascii="宋体" w:hAnsi="宋体" w:eastAsia="宋体" w:cs="宋体"/>
                <w:sz w:val="18"/>
                <w:szCs w:val="18"/>
                <w:lang w:val="en-US" w:eastAsia="zh-CN"/>
              </w:rPr>
              <w:t>210</w:t>
            </w:r>
            <w:r>
              <w:rPr>
                <w:rFonts w:hint="eastAsia" w:ascii="宋体" w:hAnsi="宋体" w:eastAsia="宋体" w:cs="宋体"/>
                <w:sz w:val="18"/>
                <w:szCs w:val="18"/>
              </w:rPr>
              <w:t xml:space="preserve">  日历天，其中施工 </w:t>
            </w:r>
            <w:r>
              <w:rPr>
                <w:rFonts w:hint="eastAsia" w:ascii="宋体" w:hAnsi="宋体" w:eastAsia="宋体" w:cs="宋体"/>
                <w:sz w:val="18"/>
                <w:szCs w:val="18"/>
                <w:lang w:val="en-US" w:eastAsia="zh-CN"/>
              </w:rPr>
              <w:t>180</w:t>
            </w:r>
            <w:r>
              <w:rPr>
                <w:rFonts w:hint="eastAsia" w:ascii="宋体" w:hAnsi="宋体" w:eastAsia="宋体" w:cs="宋体"/>
                <w:sz w:val="18"/>
                <w:szCs w:val="18"/>
              </w:rPr>
              <w:t xml:space="preserve"> 日历天</w:t>
            </w:r>
            <w:r>
              <w:rPr>
                <w:rFonts w:hint="eastAsia" w:ascii="宋体" w:hAnsi="宋体" w:eastAsia="宋体" w:cs="宋体"/>
                <w:sz w:val="18"/>
                <w:szCs w:val="18"/>
                <w:highlight w:val="none"/>
              </w:rPr>
              <w:t>，设计  30  日历天。</w:t>
            </w:r>
          </w:p>
        </w:tc>
      </w:tr>
      <w:tr w14:paraId="6F3B295C">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26AB1617">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最高投标限价</w:t>
            </w:r>
          </w:p>
        </w:tc>
        <w:tc>
          <w:tcPr>
            <w:tcW w:w="7562" w:type="dxa"/>
            <w:gridSpan w:val="4"/>
            <w:tcBorders>
              <w:top w:val="single" w:color="000000" w:sz="4" w:space="0"/>
              <w:left w:val="single" w:color="000000" w:sz="4" w:space="0"/>
              <w:bottom w:val="single" w:color="000000" w:sz="4" w:space="0"/>
              <w:right w:val="single" w:color="000000" w:sz="4" w:space="0"/>
            </w:tcBorders>
            <w:vAlign w:val="center"/>
          </w:tcPr>
          <w:p w14:paraId="26E1334C">
            <w:pPr>
              <w:keepNext w:val="0"/>
              <w:keepLines w:val="0"/>
              <w:pageBreakBefore w:val="0"/>
              <w:tabs>
                <w:tab w:val="left" w:pos="540"/>
              </w:tabs>
              <w:kinsoku/>
              <w:wordWrap/>
              <w:overflowPunct/>
              <w:topLinePunct w:val="0"/>
              <w:bidi w:val="0"/>
              <w:snapToGrid/>
              <w:spacing w:line="260" w:lineRule="exact"/>
              <w:ind w:firstLine="90" w:firstLineChars="50"/>
              <w:rPr>
                <w:rFonts w:hint="eastAsia" w:ascii="宋体" w:hAnsi="宋体" w:eastAsia="宋体" w:cs="宋体"/>
                <w:color w:val="auto"/>
                <w:sz w:val="18"/>
                <w:szCs w:val="18"/>
              </w:rPr>
            </w:pPr>
            <w:r>
              <w:rPr>
                <w:rFonts w:hint="eastAsia" w:ascii="宋体" w:hAnsi="宋体" w:cs="宋体"/>
                <w:color w:val="auto"/>
                <w:sz w:val="18"/>
                <w:szCs w:val="18"/>
                <w:lang w:val="en-US" w:eastAsia="zh-CN"/>
              </w:rPr>
              <w:t>13214.5145</w:t>
            </w:r>
            <w:r>
              <w:rPr>
                <w:rFonts w:hint="eastAsia" w:ascii="宋体" w:hAnsi="宋体" w:eastAsia="宋体" w:cs="宋体"/>
                <w:color w:val="auto"/>
                <w:sz w:val="18"/>
                <w:szCs w:val="18"/>
                <w:lang w:val="en-US" w:eastAsia="zh-CN"/>
              </w:rPr>
              <w:t>万元，其中建安费13066.24 万元，施工图设计费</w:t>
            </w:r>
            <w:r>
              <w:rPr>
                <w:rFonts w:hint="eastAsia" w:ascii="宋体" w:hAnsi="宋体" w:cs="宋体"/>
                <w:color w:val="auto"/>
                <w:sz w:val="18"/>
                <w:szCs w:val="18"/>
                <w:lang w:val="en-US" w:eastAsia="zh-CN"/>
              </w:rPr>
              <w:t>148.2745</w:t>
            </w:r>
            <w:r>
              <w:rPr>
                <w:rFonts w:hint="eastAsia" w:ascii="宋体" w:hAnsi="宋体" w:eastAsia="宋体" w:cs="宋体"/>
                <w:color w:val="auto"/>
                <w:sz w:val="18"/>
                <w:szCs w:val="18"/>
                <w:lang w:val="en-US" w:eastAsia="zh-CN"/>
              </w:rPr>
              <w:t>万元</w:t>
            </w:r>
            <w:r>
              <w:rPr>
                <w:rFonts w:hint="eastAsia" w:ascii="宋体" w:hAnsi="宋体" w:eastAsia="宋体" w:cs="宋体"/>
                <w:color w:val="auto"/>
                <w:sz w:val="18"/>
                <w:szCs w:val="18"/>
              </w:rPr>
              <w:t>。</w:t>
            </w:r>
          </w:p>
        </w:tc>
      </w:tr>
      <w:tr w14:paraId="38877CB8">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29CE12DF">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是否接受联合体投标</w:t>
            </w:r>
          </w:p>
        </w:tc>
        <w:tc>
          <w:tcPr>
            <w:tcW w:w="7562" w:type="dxa"/>
            <w:gridSpan w:val="4"/>
            <w:tcBorders>
              <w:top w:val="single" w:color="000000" w:sz="4" w:space="0"/>
              <w:left w:val="single" w:color="000000" w:sz="4" w:space="0"/>
              <w:bottom w:val="single" w:color="000000" w:sz="4" w:space="0"/>
              <w:right w:val="single" w:color="000000" w:sz="4" w:space="0"/>
            </w:tcBorders>
            <w:vAlign w:val="center"/>
          </w:tcPr>
          <w:p w14:paraId="26E60547">
            <w:pPr>
              <w:keepNext w:val="0"/>
              <w:keepLines w:val="0"/>
              <w:pageBreakBefore w:val="0"/>
              <w:tabs>
                <w:tab w:val="left" w:pos="540"/>
              </w:tabs>
              <w:kinsoku/>
              <w:wordWrap/>
              <w:overflowPunct/>
              <w:topLinePunct w:val="0"/>
              <w:bidi w:val="0"/>
              <w:snapToGrid/>
              <w:spacing w:line="260" w:lineRule="exact"/>
              <w:ind w:firstLine="450" w:firstLineChars="250"/>
              <w:rPr>
                <w:rFonts w:hint="eastAsia" w:ascii="宋体" w:hAnsi="宋体" w:eastAsia="宋体" w:cs="宋体"/>
                <w:color w:val="auto"/>
                <w:sz w:val="18"/>
                <w:szCs w:val="18"/>
              </w:rPr>
            </w:pPr>
            <w:r>
              <w:rPr>
                <w:rFonts w:hint="eastAsia" w:ascii="宋体" w:hAnsi="宋体" w:eastAsia="宋体" w:cs="宋体"/>
                <w:color w:val="auto"/>
                <w:sz w:val="18"/>
                <w:szCs w:val="18"/>
              </w:rPr>
              <w:t>本次招标接受联合体投标。但应遵守如下规定:</w:t>
            </w:r>
          </w:p>
          <w:p w14:paraId="519B7ABA">
            <w:pPr>
              <w:keepNext w:val="0"/>
              <w:keepLines w:val="0"/>
              <w:pageBreakBefore w:val="0"/>
              <w:tabs>
                <w:tab w:val="left" w:pos="540"/>
              </w:tabs>
              <w:kinsoku/>
              <w:wordWrap/>
              <w:overflowPunct/>
              <w:topLinePunct w:val="0"/>
              <w:bidi w:val="0"/>
              <w:snapToGrid/>
              <w:spacing w:line="260" w:lineRule="exact"/>
              <w:ind w:firstLine="450" w:firstLineChars="250"/>
              <w:rPr>
                <w:rFonts w:hint="eastAsia" w:ascii="宋体" w:hAnsi="宋体" w:eastAsia="宋体" w:cs="宋体"/>
                <w:color w:val="auto"/>
                <w:sz w:val="18"/>
                <w:szCs w:val="18"/>
              </w:rPr>
            </w:pPr>
            <w:r>
              <w:rPr>
                <w:rFonts w:hint="eastAsia" w:ascii="宋体" w:hAnsi="宋体" w:eastAsia="宋体" w:cs="宋体"/>
                <w:color w:val="auto"/>
                <w:sz w:val="18"/>
                <w:szCs w:val="18"/>
              </w:rPr>
              <w:t xml:space="preserve">联合体成员不多于 </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 家，可由不同独立法人组成联合体投标，牵头人必须是本项目的施工单位，联合体投标时，必须签订联合体协议书，明确联合体成员各方的权利和义务:已组成联合体各方不得再以自己名义单独或加入其它联合体在本项目中参加投标。</w:t>
            </w:r>
          </w:p>
        </w:tc>
      </w:tr>
      <w:tr w14:paraId="5AD6C2FE">
        <w:tblPrEx>
          <w:tblCellMar>
            <w:top w:w="0" w:type="dxa"/>
            <w:left w:w="108" w:type="dxa"/>
            <w:bottom w:w="0" w:type="dxa"/>
            <w:right w:w="108" w:type="dxa"/>
          </w:tblCellMar>
        </w:tblPrEx>
        <w:trPr>
          <w:trHeight w:val="775" w:hRule="atLeast"/>
          <w:jc w:val="center"/>
        </w:trPr>
        <w:tc>
          <w:tcPr>
            <w:tcW w:w="2130" w:type="dxa"/>
            <w:vMerge w:val="restart"/>
            <w:tcBorders>
              <w:top w:val="single" w:color="000000" w:sz="4" w:space="0"/>
              <w:left w:val="single" w:color="000000" w:sz="4" w:space="0"/>
              <w:right w:val="single" w:color="000000" w:sz="4" w:space="0"/>
            </w:tcBorders>
            <w:vAlign w:val="center"/>
          </w:tcPr>
          <w:p w14:paraId="5340D3FA">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eastAsia="zh-CN" w:bidi="ar"/>
              </w:rPr>
            </w:pPr>
            <w:r>
              <w:rPr>
                <w:rFonts w:hint="eastAsia" w:ascii="宋体" w:hAnsi="宋体" w:eastAsia="宋体" w:cs="宋体"/>
                <w:b/>
                <w:bCs/>
                <w:color w:val="000000"/>
                <w:kern w:val="0"/>
                <w:sz w:val="18"/>
                <w:szCs w:val="18"/>
                <w:lang w:bidi="ar"/>
              </w:rPr>
              <w:t>投标资格能力要求</w:t>
            </w:r>
          </w:p>
          <w:p w14:paraId="28C89D87">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（包括但不限于资质人员、业绩等要求）</w:t>
            </w:r>
          </w:p>
        </w:tc>
        <w:tc>
          <w:tcPr>
            <w:tcW w:w="1748" w:type="dxa"/>
            <w:tcBorders>
              <w:top w:val="single" w:color="000000" w:sz="4" w:space="0"/>
              <w:left w:val="single" w:color="000000" w:sz="4" w:space="0"/>
              <w:bottom w:val="single" w:color="000000" w:sz="4" w:space="0"/>
              <w:right w:val="single" w:color="000000" w:sz="4" w:space="0"/>
            </w:tcBorders>
            <w:vAlign w:val="center"/>
          </w:tcPr>
          <w:p w14:paraId="5A1609AD">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投标人资格要求</w:t>
            </w:r>
          </w:p>
        </w:tc>
        <w:tc>
          <w:tcPr>
            <w:tcW w:w="5814" w:type="dxa"/>
            <w:gridSpan w:val="3"/>
            <w:tcBorders>
              <w:top w:val="single" w:color="000000" w:sz="4" w:space="0"/>
              <w:left w:val="single" w:color="000000" w:sz="4" w:space="0"/>
              <w:bottom w:val="single" w:color="000000" w:sz="4" w:space="0"/>
              <w:right w:val="single" w:color="000000" w:sz="4" w:space="0"/>
            </w:tcBorders>
            <w:vAlign w:val="center"/>
          </w:tcPr>
          <w:p w14:paraId="0D8A0F62">
            <w:pPr>
              <w:keepNext w:val="0"/>
              <w:keepLines w:val="0"/>
              <w:pageBreakBefore w:val="0"/>
              <w:kinsoku/>
              <w:wordWrap/>
              <w:overflowPunct/>
              <w:topLinePunct w:val="0"/>
              <w:bidi w:val="0"/>
              <w:snapToGrid/>
              <w:spacing w:line="26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投标人需同时具备①工程设计综合甲级资质，或市政行业设计</w:t>
            </w:r>
            <w:r>
              <w:rPr>
                <w:rFonts w:hint="eastAsia" w:ascii="宋体" w:hAnsi="宋体" w:cs="宋体"/>
                <w:sz w:val="18"/>
                <w:szCs w:val="18"/>
                <w:lang w:val="en-US" w:eastAsia="zh-CN"/>
              </w:rPr>
              <w:t>甲</w:t>
            </w:r>
            <w:r>
              <w:rPr>
                <w:rFonts w:hint="eastAsia" w:ascii="宋体" w:hAnsi="宋体" w:eastAsia="宋体" w:cs="宋体"/>
                <w:sz w:val="18"/>
                <w:szCs w:val="18"/>
              </w:rPr>
              <w:t>级资质,或市政行业（燃气工程、轨道交通工程除外）设计</w:t>
            </w:r>
            <w:r>
              <w:rPr>
                <w:rFonts w:hint="eastAsia" w:ascii="宋体" w:hAnsi="宋体" w:cs="宋体"/>
                <w:sz w:val="18"/>
                <w:szCs w:val="18"/>
                <w:lang w:val="en-US" w:eastAsia="zh-CN"/>
              </w:rPr>
              <w:t>甲</w:t>
            </w:r>
            <w:r>
              <w:rPr>
                <w:rFonts w:hint="eastAsia" w:ascii="宋体" w:hAnsi="宋体" w:eastAsia="宋体" w:cs="宋体"/>
                <w:sz w:val="18"/>
                <w:szCs w:val="18"/>
              </w:rPr>
              <w:t>级资质，或市政行业（给水工程或排水工程或道路工程）专业设计</w:t>
            </w:r>
            <w:r>
              <w:rPr>
                <w:rFonts w:hint="eastAsia" w:ascii="宋体" w:hAnsi="宋体" w:cs="宋体"/>
                <w:sz w:val="18"/>
                <w:szCs w:val="18"/>
                <w:lang w:val="en-US" w:eastAsia="zh-CN"/>
              </w:rPr>
              <w:t>甲</w:t>
            </w:r>
            <w:r>
              <w:rPr>
                <w:rFonts w:hint="eastAsia" w:ascii="宋体" w:hAnsi="宋体" w:eastAsia="宋体" w:cs="宋体"/>
                <w:sz w:val="18"/>
                <w:szCs w:val="18"/>
              </w:rPr>
              <w:t>级资质②建设主管部门认定的</w:t>
            </w:r>
            <w:bookmarkStart w:id="0" w:name="OLE_LINK1"/>
            <w:r>
              <w:rPr>
                <w:rFonts w:hint="eastAsia" w:ascii="宋体" w:hAnsi="宋体" w:eastAsia="宋体" w:cs="宋体"/>
                <w:sz w:val="18"/>
                <w:szCs w:val="18"/>
              </w:rPr>
              <w:t>市政公用工程施工总承包</w:t>
            </w:r>
            <w:r>
              <w:rPr>
                <w:rFonts w:hint="eastAsia" w:ascii="宋体" w:hAnsi="宋体" w:eastAsia="宋体" w:cs="宋体"/>
                <w:sz w:val="18"/>
                <w:szCs w:val="18"/>
                <w:lang w:val="en-US" w:eastAsia="zh-CN"/>
              </w:rPr>
              <w:t>一</w:t>
            </w:r>
            <w:r>
              <w:rPr>
                <w:rFonts w:hint="eastAsia" w:ascii="宋体" w:hAnsi="宋体" w:eastAsia="宋体" w:cs="宋体"/>
                <w:sz w:val="18"/>
                <w:szCs w:val="18"/>
              </w:rPr>
              <w:t>级</w:t>
            </w:r>
            <w:bookmarkEnd w:id="0"/>
            <w:r>
              <w:rPr>
                <w:rFonts w:hint="eastAsia" w:ascii="宋体" w:hAnsi="宋体" w:eastAsia="宋体" w:cs="宋体"/>
                <w:sz w:val="18"/>
                <w:szCs w:val="18"/>
              </w:rPr>
              <w:t>或以上资质；且获得建设行政主管部门核发的安全生产许可证（在有效期内）。联合体成员不得多于</w:t>
            </w:r>
            <w:r>
              <w:rPr>
                <w:rFonts w:hint="eastAsia" w:ascii="宋体" w:hAnsi="宋体" w:cs="宋体"/>
                <w:sz w:val="18"/>
                <w:szCs w:val="18"/>
                <w:lang w:val="en-US" w:eastAsia="zh-CN"/>
              </w:rPr>
              <w:t>2</w:t>
            </w:r>
            <w:r>
              <w:rPr>
                <w:rFonts w:hint="eastAsia" w:ascii="宋体" w:hAnsi="宋体" w:eastAsia="宋体" w:cs="宋体"/>
                <w:sz w:val="18"/>
                <w:szCs w:val="18"/>
              </w:rPr>
              <w:t>个；广东省外企业须在“进粤企业和人员诚信信息登记平台”录入信息并通过数据规范检查显示正常登记，且投标人拟派人员必须已经在该平台录入。</w:t>
            </w:r>
          </w:p>
          <w:p w14:paraId="6EE2F528">
            <w:pPr>
              <w:keepNext w:val="0"/>
              <w:keepLines w:val="0"/>
              <w:pageBreakBefore w:val="0"/>
              <w:kinsoku/>
              <w:wordWrap/>
              <w:overflowPunct/>
              <w:topLinePunct w:val="0"/>
              <w:bidi w:val="0"/>
              <w:snapToGrid/>
              <w:spacing w:line="26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说明:符合广东省住房和城乡建设厅关于建设工程企业资质有关事宜的通知粤建许函〔2022〕846号文件要求。</w:t>
            </w:r>
          </w:p>
          <w:p w14:paraId="45831D8D">
            <w:pPr>
              <w:keepNext w:val="0"/>
              <w:keepLines w:val="0"/>
              <w:pageBreakBefore w:val="0"/>
              <w:kinsoku/>
              <w:wordWrap/>
              <w:overflowPunct/>
              <w:topLinePunct w:val="0"/>
              <w:bidi w:val="0"/>
              <w:snapToGrid/>
              <w:spacing w:line="26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4.拟委任的工程总承包项目经理须具备①</w:t>
            </w:r>
            <w:r>
              <w:rPr>
                <w:rFonts w:hint="eastAsia" w:ascii="宋体" w:hAnsi="宋体" w:eastAsia="宋体" w:cs="宋体"/>
                <w:sz w:val="18"/>
                <w:szCs w:val="18"/>
                <w:lang w:val="en-US" w:eastAsia="zh-CN"/>
              </w:rPr>
              <w:t>②</w:t>
            </w:r>
            <w:bookmarkStart w:id="1" w:name="_GoBack"/>
            <w:bookmarkEnd w:id="1"/>
            <w:r>
              <w:rPr>
                <w:rFonts w:hint="eastAsia" w:ascii="宋体" w:hAnsi="宋体" w:eastAsia="宋体" w:cs="宋体"/>
                <w:sz w:val="18"/>
                <w:szCs w:val="18"/>
              </w:rPr>
              <w:t>。</w:t>
            </w:r>
          </w:p>
          <w:p w14:paraId="58ADF447">
            <w:pPr>
              <w:keepNext w:val="0"/>
              <w:keepLines w:val="0"/>
              <w:pageBreakBefore w:val="0"/>
              <w:kinsoku/>
              <w:wordWrap/>
              <w:overflowPunct/>
              <w:topLinePunct w:val="0"/>
              <w:bidi w:val="0"/>
              <w:snapToGrid/>
              <w:spacing w:line="26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①  </w:t>
            </w:r>
            <w:r>
              <w:rPr>
                <w:rFonts w:hint="eastAsia" w:ascii="宋体" w:hAnsi="宋体" w:eastAsia="宋体" w:cs="宋体"/>
                <w:sz w:val="18"/>
                <w:szCs w:val="18"/>
                <w:lang w:val="en-US" w:eastAsia="zh-CN"/>
              </w:rPr>
              <w:t>市政公用工程类一级注册执业资格[包括：注册建筑师、勘察设计注册工程师、注册建造师或者注册监理工程师]或者未实施注册执业资格的，取得高级专业技术职称</w:t>
            </w:r>
            <w:r>
              <w:rPr>
                <w:rFonts w:hint="eastAsia" w:ascii="宋体" w:hAnsi="宋体" w:eastAsia="宋体" w:cs="宋体"/>
                <w:sz w:val="18"/>
                <w:szCs w:val="18"/>
              </w:rPr>
              <w:t>；</w:t>
            </w:r>
            <w:r>
              <w:rPr>
                <w:rFonts w:hint="eastAsia" w:ascii="宋体" w:hAnsi="宋体" w:eastAsia="宋体" w:cs="宋体"/>
                <w:sz w:val="18"/>
                <w:szCs w:val="18"/>
                <w:lang w:val="en-US" w:eastAsia="zh-CN"/>
              </w:rPr>
              <w:t>②担任过与拟建项目相类似的工程总承包项目经理或设计项目负责人或施工项目负责人或项目总监理工程师。</w:t>
            </w:r>
          </w:p>
          <w:p w14:paraId="376A2FC2">
            <w:pPr>
              <w:keepNext w:val="0"/>
              <w:keepLines w:val="0"/>
              <w:pageBreakBefore w:val="0"/>
              <w:kinsoku/>
              <w:wordWrap/>
              <w:overflowPunct/>
              <w:topLinePunct w:val="0"/>
              <w:bidi w:val="0"/>
              <w:snapToGrid/>
              <w:spacing w:line="260" w:lineRule="exact"/>
              <w:ind w:firstLine="360" w:firstLineChars="200"/>
              <w:rPr>
                <w:rFonts w:hint="eastAsia" w:ascii="宋体" w:hAnsi="宋体" w:eastAsia="宋体" w:cs="宋体"/>
                <w:color w:val="000000"/>
                <w:kern w:val="0"/>
                <w:sz w:val="18"/>
                <w:szCs w:val="18"/>
                <w:lang w:bidi="ar"/>
              </w:rPr>
            </w:pPr>
            <w:r>
              <w:rPr>
                <w:rFonts w:hint="eastAsia" w:ascii="宋体" w:hAnsi="宋体" w:eastAsia="宋体" w:cs="宋体"/>
                <w:sz w:val="18"/>
                <w:szCs w:val="18"/>
              </w:rPr>
              <w:t>目前工程总承包项目经理不得同时在两个或两个以上工程项目担任工程总承包项目经理、施工项目负责人，严禁有在建项目的项目经理作为本项目的项目经理参与本项目投标</w:t>
            </w:r>
            <w:r>
              <w:rPr>
                <w:rFonts w:hint="eastAsia" w:ascii="宋体" w:hAnsi="宋体" w:eastAsia="宋体" w:cs="宋体"/>
                <w:sz w:val="18"/>
                <w:szCs w:val="18"/>
                <w:lang w:eastAsia="zh-CN"/>
              </w:rPr>
              <w:t>。</w:t>
            </w:r>
          </w:p>
        </w:tc>
      </w:tr>
      <w:tr w14:paraId="39B773CB">
        <w:tblPrEx>
          <w:tblCellMar>
            <w:top w:w="0" w:type="dxa"/>
            <w:left w:w="108" w:type="dxa"/>
            <w:bottom w:w="0" w:type="dxa"/>
            <w:right w:w="108" w:type="dxa"/>
          </w:tblCellMar>
        </w:tblPrEx>
        <w:trPr>
          <w:trHeight w:val="458" w:hRule="atLeast"/>
          <w:jc w:val="center"/>
        </w:trPr>
        <w:tc>
          <w:tcPr>
            <w:tcW w:w="2130" w:type="dxa"/>
            <w:vMerge w:val="continue"/>
            <w:tcBorders>
              <w:left w:val="single" w:color="000000" w:sz="4" w:space="0"/>
              <w:bottom w:val="single" w:color="000000" w:sz="4" w:space="0"/>
              <w:right w:val="single" w:color="000000" w:sz="4" w:space="0"/>
            </w:tcBorders>
            <w:vAlign w:val="center"/>
          </w:tcPr>
          <w:p w14:paraId="49842462">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sz w:val="18"/>
                <w:szCs w:val="18"/>
              </w:rPr>
            </w:pPr>
          </w:p>
        </w:tc>
        <w:tc>
          <w:tcPr>
            <w:tcW w:w="1748" w:type="dxa"/>
            <w:tcBorders>
              <w:top w:val="single" w:color="000000" w:sz="4" w:space="0"/>
              <w:left w:val="single" w:color="000000" w:sz="4" w:space="0"/>
              <w:bottom w:val="single" w:color="000000" w:sz="4" w:space="0"/>
              <w:right w:val="single" w:color="000000" w:sz="4" w:space="0"/>
            </w:tcBorders>
            <w:vAlign w:val="center"/>
          </w:tcPr>
          <w:p w14:paraId="1D3336BD">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投标人业绩要求</w:t>
            </w:r>
          </w:p>
        </w:tc>
        <w:tc>
          <w:tcPr>
            <w:tcW w:w="5814" w:type="dxa"/>
            <w:gridSpan w:val="3"/>
            <w:tcBorders>
              <w:top w:val="single" w:color="000000" w:sz="4" w:space="0"/>
              <w:left w:val="single" w:color="000000" w:sz="4" w:space="0"/>
              <w:bottom w:val="single" w:color="000000" w:sz="4" w:space="0"/>
              <w:right w:val="single" w:color="000000" w:sz="4" w:space="0"/>
            </w:tcBorders>
            <w:vAlign w:val="center"/>
          </w:tcPr>
          <w:p w14:paraId="47C531BA">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w:t>
            </w:r>
          </w:p>
        </w:tc>
      </w:tr>
      <w:tr w14:paraId="1C61C8F9">
        <w:tblPrEx>
          <w:tblCellMar>
            <w:top w:w="0" w:type="dxa"/>
            <w:left w:w="108" w:type="dxa"/>
            <w:bottom w:w="0" w:type="dxa"/>
            <w:right w:w="108" w:type="dxa"/>
          </w:tblCellMar>
        </w:tblPrEx>
        <w:trPr>
          <w:trHeight w:val="1433" w:hRule="atLeast"/>
          <w:jc w:val="center"/>
        </w:trPr>
        <w:tc>
          <w:tcPr>
            <w:tcW w:w="2130" w:type="dxa"/>
            <w:vMerge w:val="restart"/>
            <w:tcBorders>
              <w:top w:val="single" w:color="000000" w:sz="4" w:space="0"/>
              <w:left w:val="single" w:color="000000" w:sz="4" w:space="0"/>
              <w:right w:val="single" w:color="000000" w:sz="4" w:space="0"/>
            </w:tcBorders>
            <w:vAlign w:val="center"/>
          </w:tcPr>
          <w:p w14:paraId="60B967AB">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eastAsia="zh-CN" w:bidi="ar"/>
              </w:rPr>
            </w:pPr>
            <w:r>
              <w:rPr>
                <w:rFonts w:hint="eastAsia" w:ascii="宋体" w:hAnsi="宋体" w:eastAsia="宋体" w:cs="宋体"/>
                <w:b/>
                <w:bCs/>
                <w:color w:val="000000"/>
                <w:kern w:val="0"/>
                <w:sz w:val="18"/>
                <w:szCs w:val="18"/>
                <w:lang w:bidi="ar"/>
              </w:rPr>
              <w:t>是否采用电子</w:t>
            </w:r>
          </w:p>
          <w:p w14:paraId="642FB279">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招标投标方式</w:t>
            </w:r>
          </w:p>
        </w:tc>
        <w:tc>
          <w:tcPr>
            <w:tcW w:w="1748" w:type="dxa"/>
            <w:vMerge w:val="restart"/>
            <w:tcBorders>
              <w:top w:val="single" w:color="000000" w:sz="4" w:space="0"/>
              <w:left w:val="single" w:color="000000" w:sz="4" w:space="0"/>
              <w:right w:val="single" w:color="000000" w:sz="4" w:space="0"/>
            </w:tcBorders>
            <w:vAlign w:val="center"/>
          </w:tcPr>
          <w:p w14:paraId="2E3718ED">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否</w:t>
            </w:r>
          </w:p>
        </w:tc>
        <w:tc>
          <w:tcPr>
            <w:tcW w:w="1436" w:type="dxa"/>
            <w:vMerge w:val="restart"/>
            <w:tcBorders>
              <w:top w:val="single" w:color="000000" w:sz="4" w:space="0"/>
              <w:left w:val="single" w:color="000000" w:sz="4" w:space="0"/>
              <w:right w:val="single" w:color="000000" w:sz="4" w:space="0"/>
            </w:tcBorders>
            <w:vAlign w:val="center"/>
          </w:tcPr>
          <w:p w14:paraId="34F9CFA5">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b/>
                <w:bCs/>
                <w:color w:val="000000"/>
                <w:kern w:val="0"/>
                <w:sz w:val="18"/>
                <w:szCs w:val="18"/>
                <w:lang w:bidi="ar"/>
              </w:rPr>
              <w:t>获取资格预审/招标文件的方式</w:t>
            </w:r>
          </w:p>
        </w:tc>
        <w:tc>
          <w:tcPr>
            <w:tcW w:w="2189" w:type="dxa"/>
            <w:tcBorders>
              <w:top w:val="single" w:color="000000" w:sz="4" w:space="0"/>
              <w:left w:val="single" w:color="000000" w:sz="4" w:space="0"/>
              <w:bottom w:val="single" w:color="000000" w:sz="4" w:space="0"/>
              <w:right w:val="single" w:color="000000" w:sz="4" w:space="0"/>
            </w:tcBorders>
            <w:vAlign w:val="center"/>
          </w:tcPr>
          <w:p w14:paraId="5D4E94E2">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下载招标文件的网络地址</w:t>
            </w:r>
          </w:p>
        </w:tc>
        <w:tc>
          <w:tcPr>
            <w:tcW w:w="2189" w:type="dxa"/>
            <w:tcBorders>
              <w:top w:val="single" w:color="000000" w:sz="4" w:space="0"/>
              <w:left w:val="single" w:color="000000" w:sz="4" w:space="0"/>
              <w:bottom w:val="single" w:color="000000" w:sz="4" w:space="0"/>
              <w:right w:val="single" w:color="000000" w:sz="4" w:space="0"/>
            </w:tcBorders>
            <w:vAlign w:val="center"/>
          </w:tcPr>
          <w:p w14:paraId="1BD74A78">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广州公共资源交易中心网站(网址：http://www.gzggzy.cn/)</w:t>
            </w:r>
          </w:p>
        </w:tc>
      </w:tr>
      <w:tr w14:paraId="74E231AA">
        <w:tblPrEx>
          <w:tblCellMar>
            <w:top w:w="0" w:type="dxa"/>
            <w:left w:w="108" w:type="dxa"/>
            <w:bottom w:w="0" w:type="dxa"/>
            <w:right w:w="108" w:type="dxa"/>
          </w:tblCellMar>
        </w:tblPrEx>
        <w:trPr>
          <w:trHeight w:val="745" w:hRule="atLeast"/>
          <w:jc w:val="center"/>
        </w:trPr>
        <w:tc>
          <w:tcPr>
            <w:tcW w:w="2130" w:type="dxa"/>
            <w:vMerge w:val="continue"/>
            <w:tcBorders>
              <w:left w:val="single" w:color="000000" w:sz="4" w:space="0"/>
              <w:bottom w:val="single" w:color="000000" w:sz="4" w:space="0"/>
              <w:right w:val="single" w:color="000000" w:sz="4" w:space="0"/>
            </w:tcBorders>
            <w:vAlign w:val="center"/>
          </w:tcPr>
          <w:p w14:paraId="422D34EB">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b/>
                <w:bCs/>
                <w:sz w:val="18"/>
                <w:szCs w:val="18"/>
              </w:rPr>
            </w:pPr>
          </w:p>
        </w:tc>
        <w:tc>
          <w:tcPr>
            <w:tcW w:w="1748" w:type="dxa"/>
            <w:vMerge w:val="continue"/>
            <w:tcBorders>
              <w:left w:val="single" w:color="000000" w:sz="4" w:space="0"/>
              <w:bottom w:val="single" w:color="000000" w:sz="4" w:space="0"/>
              <w:right w:val="single" w:color="000000" w:sz="4" w:space="0"/>
            </w:tcBorders>
            <w:vAlign w:val="center"/>
          </w:tcPr>
          <w:p w14:paraId="16AA1969">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sz w:val="18"/>
                <w:szCs w:val="18"/>
              </w:rPr>
            </w:pPr>
          </w:p>
        </w:tc>
        <w:tc>
          <w:tcPr>
            <w:tcW w:w="1436" w:type="dxa"/>
            <w:vMerge w:val="continue"/>
            <w:tcBorders>
              <w:left w:val="single" w:color="000000" w:sz="4" w:space="0"/>
              <w:bottom w:val="single" w:color="000000" w:sz="4" w:space="0"/>
              <w:right w:val="single" w:color="000000" w:sz="4" w:space="0"/>
            </w:tcBorders>
            <w:vAlign w:val="center"/>
          </w:tcPr>
          <w:p w14:paraId="30EE4515">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sz w:val="18"/>
                <w:szCs w:val="18"/>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6A34B5">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sz w:val="18"/>
                <w:szCs w:val="18"/>
              </w:rPr>
            </w:pPr>
            <w:r>
              <w:rPr>
                <w:rFonts w:hint="eastAsia" w:ascii="宋体" w:hAnsi="宋体" w:eastAsia="宋体" w:cs="宋体"/>
                <w:color w:val="000000"/>
                <w:sz w:val="18"/>
                <w:szCs w:val="18"/>
              </w:rPr>
              <w:t>获取招标文件的方式</w:t>
            </w:r>
          </w:p>
        </w:tc>
        <w:tc>
          <w:tcPr>
            <w:tcW w:w="2189" w:type="dxa"/>
            <w:tcBorders>
              <w:top w:val="single" w:color="000000" w:sz="4" w:space="0"/>
              <w:left w:val="single" w:color="000000" w:sz="4" w:space="0"/>
              <w:bottom w:val="single" w:color="000000" w:sz="4" w:space="0"/>
              <w:right w:val="single" w:color="000000" w:sz="4" w:space="0"/>
            </w:tcBorders>
            <w:vAlign w:val="center"/>
          </w:tcPr>
          <w:p w14:paraId="2F1340BF">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本项目招标文件于2025年  月  日发出，投标人自行登录广州公共资源交易中心网站（http://www.gzggzy.cn）首页“建设工程-招标公告”，下载招标文件及相关资料。符合本项目资格要求的投标人根据招标文件要求编制投标文件，可直接参与本项目的投标。</w:t>
            </w:r>
          </w:p>
        </w:tc>
      </w:tr>
      <w:tr w14:paraId="0A93F3C7">
        <w:tblPrEx>
          <w:tblCellMar>
            <w:top w:w="0" w:type="dxa"/>
            <w:left w:w="108" w:type="dxa"/>
            <w:bottom w:w="0" w:type="dxa"/>
            <w:right w:w="108" w:type="dxa"/>
          </w:tblCellMar>
        </w:tblPrEx>
        <w:trPr>
          <w:trHeight w:val="77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B69D759">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获取资格预审/招标文件开始时间</w:t>
            </w:r>
          </w:p>
        </w:tc>
        <w:tc>
          <w:tcPr>
            <w:tcW w:w="1748" w:type="dxa"/>
            <w:tcBorders>
              <w:top w:val="single" w:color="000000" w:sz="4" w:space="0"/>
              <w:left w:val="single" w:color="000000" w:sz="4" w:space="0"/>
              <w:bottom w:val="single" w:color="000000" w:sz="4" w:space="0"/>
              <w:right w:val="single" w:color="000000" w:sz="4" w:space="0"/>
            </w:tcBorders>
            <w:vAlign w:val="center"/>
          </w:tcPr>
          <w:p w14:paraId="7CDB7ECE">
            <w:pPr>
              <w:keepNext w:val="0"/>
              <w:keepLines w:val="0"/>
              <w:pageBreakBefore w:val="0"/>
              <w:kinsoku/>
              <w:wordWrap/>
              <w:overflowPunct/>
              <w:topLinePunct w:val="0"/>
              <w:bidi w:val="0"/>
              <w:snapToGrid/>
              <w:spacing w:line="2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月</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 xml:space="preserve">  日（详见广州公共资源交易中心招标公告日程安排）</w:t>
            </w:r>
          </w:p>
        </w:tc>
        <w:tc>
          <w:tcPr>
            <w:tcW w:w="1436" w:type="dxa"/>
            <w:tcBorders>
              <w:top w:val="single" w:color="000000" w:sz="4" w:space="0"/>
              <w:left w:val="single" w:color="000000" w:sz="4" w:space="0"/>
              <w:bottom w:val="single" w:color="000000" w:sz="4" w:space="0"/>
              <w:right w:val="single" w:color="000000" w:sz="4" w:space="0"/>
            </w:tcBorders>
            <w:vAlign w:val="center"/>
          </w:tcPr>
          <w:p w14:paraId="6356FAB2">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b/>
                <w:bCs/>
                <w:color w:val="000000"/>
                <w:kern w:val="0"/>
                <w:sz w:val="18"/>
                <w:szCs w:val="18"/>
                <w:lang w:bidi="ar"/>
              </w:rPr>
              <w:t>获取资格预审/招标文件截止时间</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0DAED5C6">
            <w:pPr>
              <w:keepNext w:val="0"/>
              <w:keepLines w:val="0"/>
              <w:pageBreakBefore w:val="0"/>
              <w:kinsoku/>
              <w:wordWrap/>
              <w:overflowPunct/>
              <w:topLinePunct w:val="0"/>
              <w:bidi w:val="0"/>
              <w:snapToGrid/>
              <w:spacing w:line="2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 xml:space="preserve"> 月</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 xml:space="preserve"> 日（详见广州公共资源交易中心招标公告日程安排）</w:t>
            </w:r>
          </w:p>
        </w:tc>
      </w:tr>
      <w:tr w14:paraId="5A4D965E">
        <w:tblPrEx>
          <w:tblCellMar>
            <w:top w:w="0" w:type="dxa"/>
            <w:left w:w="108" w:type="dxa"/>
            <w:bottom w:w="0" w:type="dxa"/>
            <w:right w:w="108" w:type="dxa"/>
          </w:tblCellMar>
        </w:tblPrEx>
        <w:trPr>
          <w:trHeight w:val="3164"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5AAE7001">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递交资格预审/投标文件截止时间</w:t>
            </w:r>
          </w:p>
        </w:tc>
        <w:tc>
          <w:tcPr>
            <w:tcW w:w="1748" w:type="dxa"/>
            <w:tcBorders>
              <w:top w:val="single" w:color="000000" w:sz="4" w:space="0"/>
              <w:left w:val="single" w:color="000000" w:sz="4" w:space="0"/>
              <w:bottom w:val="single" w:color="000000" w:sz="4" w:space="0"/>
              <w:right w:val="single" w:color="000000" w:sz="4" w:space="0"/>
            </w:tcBorders>
            <w:vAlign w:val="center"/>
          </w:tcPr>
          <w:p w14:paraId="39EB7E6C">
            <w:pPr>
              <w:keepNext w:val="0"/>
              <w:keepLines w:val="0"/>
              <w:pageBreakBefore w:val="0"/>
              <w:kinsoku/>
              <w:wordWrap/>
              <w:overflowPunct/>
              <w:topLinePunct w:val="0"/>
              <w:bidi w:val="0"/>
              <w:snapToGrid/>
              <w:spacing w:line="2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 xml:space="preserve">年 </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 xml:space="preserve"> 月</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 xml:space="preserve"> 日（详见广州公共资源交易中心招标公告日程安排）</w:t>
            </w:r>
          </w:p>
        </w:tc>
        <w:tc>
          <w:tcPr>
            <w:tcW w:w="1436" w:type="dxa"/>
            <w:tcBorders>
              <w:top w:val="single" w:color="000000" w:sz="4" w:space="0"/>
              <w:left w:val="single" w:color="000000" w:sz="4" w:space="0"/>
              <w:bottom w:val="single" w:color="000000" w:sz="4" w:space="0"/>
              <w:right w:val="single" w:color="000000" w:sz="4" w:space="0"/>
            </w:tcBorders>
            <w:vAlign w:val="center"/>
          </w:tcPr>
          <w:p w14:paraId="05E94531">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b/>
                <w:bCs/>
                <w:color w:val="000000"/>
                <w:kern w:val="0"/>
                <w:sz w:val="18"/>
                <w:szCs w:val="18"/>
                <w:lang w:bidi="ar"/>
              </w:rPr>
              <w:t>资格预审/投标文件递交方式</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6E7CDA1B">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投标人应在递交投标文件截止时间前，凭法定代表人证明书原件、法定代表人授权委托证明书原件、授权委托人身份证原件（非法定代表人递交时提供）、电子保函打印盖章件或投标保证金银行保函原件或投标保证金保证保险保函原件（投标保证金如采用银行转账形式可不提供保函原件）到达开标地点递交投标文件。没有按上述要求提交资料的，投标文件将被拒绝接收。</w:t>
            </w:r>
          </w:p>
          <w:p w14:paraId="66CBF93E">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2.递交投标文件截止时间与开标时间是否有变化，请密切留意相关的公告或通知。</w:t>
            </w:r>
          </w:p>
          <w:p w14:paraId="5621AE3D">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3.逾期送达的或者未送达指定地点的投标文件，招标人不予受理。 </w:t>
            </w:r>
          </w:p>
        </w:tc>
      </w:tr>
      <w:tr w14:paraId="12BF7A88">
        <w:tblPrEx>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72416EF3">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开标时间</w:t>
            </w:r>
          </w:p>
        </w:tc>
        <w:tc>
          <w:tcPr>
            <w:tcW w:w="1748" w:type="dxa"/>
            <w:tcBorders>
              <w:top w:val="single" w:color="000000" w:sz="4" w:space="0"/>
              <w:left w:val="single" w:color="000000" w:sz="4" w:space="0"/>
              <w:bottom w:val="single" w:color="000000" w:sz="4" w:space="0"/>
              <w:right w:val="single" w:color="000000" w:sz="4" w:space="0"/>
            </w:tcBorders>
            <w:vAlign w:val="center"/>
          </w:tcPr>
          <w:p w14:paraId="66D3545E">
            <w:pPr>
              <w:keepNext w:val="0"/>
              <w:keepLines w:val="0"/>
              <w:pageBreakBefore w:val="0"/>
              <w:widowControl/>
              <w:kinsoku/>
              <w:wordWrap/>
              <w:overflowPunct/>
              <w:topLinePunct w:val="0"/>
              <w:bidi w:val="0"/>
              <w:snapToGrid/>
              <w:spacing w:line="260" w:lineRule="exact"/>
              <w:ind w:left="210" w:hanging="180" w:hangingChars="10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年</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 xml:space="preserve">月 </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 xml:space="preserve">日 </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时</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分（与投标截止时间为同一时间）</w:t>
            </w:r>
          </w:p>
        </w:tc>
        <w:tc>
          <w:tcPr>
            <w:tcW w:w="1436" w:type="dxa"/>
            <w:tcBorders>
              <w:top w:val="single" w:color="000000" w:sz="4" w:space="0"/>
              <w:left w:val="single" w:color="000000" w:sz="4" w:space="0"/>
              <w:bottom w:val="single" w:color="000000" w:sz="4" w:space="0"/>
              <w:right w:val="single" w:color="000000" w:sz="4" w:space="0"/>
            </w:tcBorders>
            <w:vAlign w:val="center"/>
          </w:tcPr>
          <w:p w14:paraId="4F42600C">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color w:val="000000"/>
                <w:sz w:val="18"/>
                <w:szCs w:val="18"/>
              </w:rPr>
            </w:pPr>
            <w:r>
              <w:rPr>
                <w:rFonts w:hint="eastAsia" w:ascii="宋体" w:hAnsi="宋体" w:eastAsia="宋体" w:cs="宋体"/>
                <w:b/>
                <w:bCs/>
                <w:color w:val="000000"/>
                <w:kern w:val="0"/>
                <w:sz w:val="18"/>
                <w:szCs w:val="18"/>
                <w:lang w:bidi="ar"/>
              </w:rPr>
              <w:t>开标地点</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0B370118">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广州公共资源交易中心</w:t>
            </w:r>
            <w:r>
              <w:rPr>
                <w:rFonts w:hint="eastAsia" w:ascii="宋体" w:hAnsi="宋体" w:eastAsia="宋体" w:cs="宋体"/>
                <w:color w:val="000000"/>
                <w:sz w:val="18"/>
                <w:szCs w:val="18"/>
                <w:lang w:val="en-US" w:eastAsia="zh-CN"/>
              </w:rPr>
              <w:t xml:space="preserve">第 </w:t>
            </w:r>
            <w:r>
              <w:rPr>
                <w:rFonts w:hint="eastAsia" w:ascii="宋体" w:hAnsi="宋体" w:eastAsia="宋体" w:cs="宋体"/>
                <w:color w:val="000000"/>
                <w:sz w:val="18"/>
                <w:szCs w:val="18"/>
              </w:rPr>
              <w:t>开标室(广州市天河区天润路 333 号)(详见广州公共资源交易中心网招标公告日程安排)</w:t>
            </w:r>
          </w:p>
        </w:tc>
      </w:tr>
      <w:tr w14:paraId="5A733F90">
        <w:tblPrEx>
          <w:tblCellMar>
            <w:top w:w="0" w:type="dxa"/>
            <w:left w:w="108" w:type="dxa"/>
            <w:bottom w:w="0" w:type="dxa"/>
            <w:right w:w="108" w:type="dxa"/>
          </w:tblCellMar>
        </w:tblPrEx>
        <w:trPr>
          <w:trHeight w:val="409"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CDACFDA">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发布公告媒介</w:t>
            </w:r>
          </w:p>
        </w:tc>
        <w:tc>
          <w:tcPr>
            <w:tcW w:w="7562" w:type="dxa"/>
            <w:gridSpan w:val="4"/>
            <w:tcBorders>
              <w:top w:val="single" w:color="000000" w:sz="4" w:space="0"/>
              <w:left w:val="single" w:color="000000" w:sz="4" w:space="0"/>
              <w:bottom w:val="single" w:color="000000" w:sz="4" w:space="0"/>
              <w:right w:val="single" w:color="000000" w:sz="4" w:space="0"/>
            </w:tcBorders>
            <w:vAlign w:val="center"/>
          </w:tcPr>
          <w:p w14:paraId="7719C85A">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广东省招标投标监管网、广州公共资源交易中心网</w:t>
            </w:r>
          </w:p>
        </w:tc>
      </w:tr>
      <w:tr w14:paraId="7CE0C035">
        <w:tblPrEx>
          <w:tblCellMar>
            <w:top w:w="0" w:type="dxa"/>
            <w:left w:w="108" w:type="dxa"/>
            <w:bottom w:w="0" w:type="dxa"/>
            <w:right w:w="108" w:type="dxa"/>
          </w:tblCellMar>
        </w:tblPrEx>
        <w:trPr>
          <w:trHeight w:val="775"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596A253">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招标人</w:t>
            </w:r>
          </w:p>
        </w:tc>
        <w:tc>
          <w:tcPr>
            <w:tcW w:w="1748" w:type="dxa"/>
            <w:tcBorders>
              <w:top w:val="single" w:color="000000" w:sz="4" w:space="0"/>
              <w:left w:val="single" w:color="000000" w:sz="4" w:space="0"/>
              <w:bottom w:val="single" w:color="000000" w:sz="4" w:space="0"/>
              <w:right w:val="single" w:color="000000" w:sz="4" w:space="0"/>
            </w:tcBorders>
            <w:vAlign w:val="center"/>
          </w:tcPr>
          <w:p w14:paraId="292D3FD7">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高州市城乡基础设施建设投资有限公司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2C832BC9">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联系地址</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2B50AC5C">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auto"/>
                <w:sz w:val="18"/>
                <w:szCs w:val="18"/>
                <w:highlight w:val="none"/>
                <w:lang w:eastAsia="zh-CN"/>
              </w:rPr>
              <w:t>高州市文笔路57号2楼2室</w:t>
            </w:r>
          </w:p>
        </w:tc>
      </w:tr>
      <w:tr w14:paraId="77084BC3">
        <w:tblPrEx>
          <w:tblCellMar>
            <w:top w:w="0" w:type="dxa"/>
            <w:left w:w="108" w:type="dxa"/>
            <w:bottom w:w="0" w:type="dxa"/>
            <w:right w:w="108" w:type="dxa"/>
          </w:tblCellMar>
        </w:tblPrEx>
        <w:trPr>
          <w:trHeight w:val="4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51A45D8C">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招标人联系人</w:t>
            </w:r>
          </w:p>
        </w:tc>
        <w:tc>
          <w:tcPr>
            <w:tcW w:w="1748" w:type="dxa"/>
            <w:tcBorders>
              <w:top w:val="single" w:color="000000" w:sz="4" w:space="0"/>
              <w:left w:val="single" w:color="000000" w:sz="4" w:space="0"/>
              <w:bottom w:val="single" w:color="000000" w:sz="4" w:space="0"/>
              <w:right w:val="single" w:color="000000" w:sz="4" w:space="0"/>
            </w:tcBorders>
            <w:vAlign w:val="center"/>
          </w:tcPr>
          <w:p w14:paraId="26978BBC">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sz w:val="18"/>
                <w:szCs w:val="18"/>
              </w:rPr>
            </w:pPr>
            <w:r>
              <w:rPr>
                <w:rFonts w:hint="eastAsia" w:ascii="宋体" w:hAnsi="宋体" w:eastAsia="宋体" w:cs="宋体"/>
                <w:color w:val="auto"/>
                <w:sz w:val="18"/>
                <w:szCs w:val="18"/>
                <w:highlight w:val="none"/>
                <w:lang w:eastAsia="zh-CN"/>
              </w:rPr>
              <w:t>邓先生</w:t>
            </w:r>
          </w:p>
        </w:tc>
        <w:tc>
          <w:tcPr>
            <w:tcW w:w="1436" w:type="dxa"/>
            <w:tcBorders>
              <w:top w:val="single" w:color="000000" w:sz="4" w:space="0"/>
              <w:left w:val="single" w:color="000000" w:sz="4" w:space="0"/>
              <w:bottom w:val="single" w:color="000000" w:sz="4" w:space="0"/>
              <w:right w:val="single" w:color="000000" w:sz="4" w:space="0"/>
            </w:tcBorders>
            <w:vAlign w:val="center"/>
          </w:tcPr>
          <w:p w14:paraId="1946CE59">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联系电话</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3F23ED9E">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sz w:val="18"/>
                <w:szCs w:val="18"/>
              </w:rPr>
            </w:pPr>
            <w:r>
              <w:rPr>
                <w:rFonts w:hint="eastAsia" w:ascii="宋体" w:hAnsi="宋体" w:eastAsia="宋体" w:cs="宋体"/>
                <w:color w:val="auto"/>
                <w:sz w:val="18"/>
                <w:szCs w:val="18"/>
                <w:highlight w:val="none"/>
                <w:lang w:eastAsia="zh-CN"/>
              </w:rPr>
              <w:t xml:space="preserve">0668-6559266 </w:t>
            </w:r>
          </w:p>
        </w:tc>
      </w:tr>
      <w:tr w14:paraId="2985BE4F">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0E88BB0F">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招标代理机构</w:t>
            </w:r>
          </w:p>
        </w:tc>
        <w:tc>
          <w:tcPr>
            <w:tcW w:w="1748" w:type="dxa"/>
            <w:tcBorders>
              <w:top w:val="single" w:color="000000" w:sz="4" w:space="0"/>
              <w:left w:val="single" w:color="000000" w:sz="4" w:space="0"/>
              <w:bottom w:val="single" w:color="000000" w:sz="4" w:space="0"/>
              <w:right w:val="single" w:color="000000" w:sz="4" w:space="0"/>
            </w:tcBorders>
            <w:vAlign w:val="center"/>
          </w:tcPr>
          <w:p w14:paraId="7A384867">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茂名市群博工程管理有限公司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75298646">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联系地址</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783EA29C">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auto"/>
                <w:sz w:val="18"/>
                <w:szCs w:val="18"/>
                <w:highlight w:val="none"/>
                <w:lang w:eastAsia="zh-CN"/>
              </w:rPr>
              <w:t>高州市桂圆路坡耀村七经济合作社A15栋商住楼9楼902</w:t>
            </w:r>
          </w:p>
        </w:tc>
      </w:tr>
      <w:tr w14:paraId="1DD9C591">
        <w:tblPrEx>
          <w:tblCellMar>
            <w:top w:w="0" w:type="dxa"/>
            <w:left w:w="108" w:type="dxa"/>
            <w:bottom w:w="0" w:type="dxa"/>
            <w:right w:w="108" w:type="dxa"/>
          </w:tblCellMar>
        </w:tblPrEx>
        <w:trPr>
          <w:trHeight w:val="475"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4120CF48">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招标代理联系人</w:t>
            </w:r>
          </w:p>
        </w:tc>
        <w:tc>
          <w:tcPr>
            <w:tcW w:w="1748" w:type="dxa"/>
            <w:tcBorders>
              <w:top w:val="single" w:color="000000" w:sz="4" w:space="0"/>
              <w:left w:val="single" w:color="000000" w:sz="4" w:space="0"/>
              <w:bottom w:val="single" w:color="000000" w:sz="4" w:space="0"/>
              <w:right w:val="single" w:color="000000" w:sz="4" w:space="0"/>
            </w:tcBorders>
            <w:vAlign w:val="center"/>
          </w:tcPr>
          <w:p w14:paraId="6704928C">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auto"/>
                <w:sz w:val="18"/>
                <w:szCs w:val="18"/>
                <w:highlight w:val="none"/>
                <w:lang w:val="en-US" w:eastAsia="zh-CN"/>
              </w:rPr>
              <w:t>周</w:t>
            </w:r>
            <w:r>
              <w:rPr>
                <w:rFonts w:hint="eastAsia" w:ascii="宋体" w:hAnsi="宋体" w:eastAsia="宋体" w:cs="宋体"/>
                <w:color w:val="auto"/>
                <w:sz w:val="18"/>
                <w:szCs w:val="18"/>
                <w:highlight w:val="none"/>
                <w:lang w:eastAsia="zh-CN"/>
              </w:rPr>
              <w:t>小姐</w:t>
            </w:r>
          </w:p>
        </w:tc>
        <w:tc>
          <w:tcPr>
            <w:tcW w:w="1436" w:type="dxa"/>
            <w:tcBorders>
              <w:top w:val="single" w:color="000000" w:sz="4" w:space="0"/>
              <w:left w:val="single" w:color="000000" w:sz="4" w:space="0"/>
              <w:bottom w:val="single" w:color="000000" w:sz="4" w:space="0"/>
              <w:right w:val="single" w:color="000000" w:sz="4" w:space="0"/>
            </w:tcBorders>
            <w:vAlign w:val="center"/>
          </w:tcPr>
          <w:p w14:paraId="045BCB71">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联系电话</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6BC0C2C6">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19075418307</w:t>
            </w:r>
          </w:p>
        </w:tc>
      </w:tr>
      <w:tr w14:paraId="6F930168">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625C30C6">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招标监督机构</w:t>
            </w:r>
          </w:p>
        </w:tc>
        <w:tc>
          <w:tcPr>
            <w:tcW w:w="1748" w:type="dxa"/>
            <w:tcBorders>
              <w:top w:val="single" w:color="000000" w:sz="4" w:space="0"/>
              <w:left w:val="single" w:color="000000" w:sz="4" w:space="0"/>
              <w:bottom w:val="single" w:color="000000" w:sz="4" w:space="0"/>
              <w:right w:val="single" w:color="000000" w:sz="4" w:space="0"/>
            </w:tcBorders>
            <w:vAlign w:val="center"/>
          </w:tcPr>
          <w:p w14:paraId="055E63A7">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高州市建设工程招标投标办公室</w:t>
            </w:r>
          </w:p>
        </w:tc>
        <w:tc>
          <w:tcPr>
            <w:tcW w:w="1436" w:type="dxa"/>
            <w:tcBorders>
              <w:top w:val="single" w:color="000000" w:sz="4" w:space="0"/>
              <w:left w:val="single" w:color="000000" w:sz="4" w:space="0"/>
              <w:bottom w:val="single" w:color="000000" w:sz="4" w:space="0"/>
              <w:right w:val="single" w:color="000000" w:sz="4" w:space="0"/>
            </w:tcBorders>
            <w:vAlign w:val="center"/>
          </w:tcPr>
          <w:p w14:paraId="18A54970">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联系电话</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46CA689D">
            <w:pPr>
              <w:keepNext w:val="0"/>
              <w:keepLines w:val="0"/>
              <w:pageBreakBefore w:val="0"/>
              <w:widowControl/>
              <w:kinsoku/>
              <w:wordWrap/>
              <w:overflowPunct/>
              <w:topLinePunct w:val="0"/>
              <w:bidi w:val="0"/>
              <w:snapToGrid/>
              <w:spacing w:line="26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0668-6666999</w:t>
            </w:r>
          </w:p>
        </w:tc>
      </w:tr>
      <w:tr w14:paraId="1D5F2FC4">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0206D4CF">
            <w:pPr>
              <w:keepNext w:val="0"/>
              <w:keepLines w:val="0"/>
              <w:pageBreakBefore w:val="0"/>
              <w:widowControl/>
              <w:kinsoku/>
              <w:wordWrap/>
              <w:overflowPunct/>
              <w:topLinePunct w:val="0"/>
              <w:bidi w:val="0"/>
              <w:snapToGrid/>
              <w:spacing w:line="260" w:lineRule="exact"/>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其他依法应当载明的内容</w:t>
            </w:r>
          </w:p>
        </w:tc>
        <w:tc>
          <w:tcPr>
            <w:tcW w:w="7562" w:type="dxa"/>
            <w:gridSpan w:val="4"/>
            <w:tcBorders>
              <w:top w:val="single" w:color="000000" w:sz="4" w:space="0"/>
              <w:left w:val="single" w:color="000000" w:sz="4" w:space="0"/>
              <w:bottom w:val="single" w:color="000000" w:sz="4" w:space="0"/>
              <w:right w:val="single" w:color="000000" w:sz="4" w:space="0"/>
            </w:tcBorders>
          </w:tcPr>
          <w:p w14:paraId="56E2205E">
            <w:pPr>
              <w:keepNext w:val="0"/>
              <w:keepLines w:val="0"/>
              <w:pageBreakBefore w:val="0"/>
              <w:numPr>
                <w:ilvl w:val="0"/>
                <w:numId w:val="1"/>
              </w:numPr>
              <w:kinsoku/>
              <w:wordWrap/>
              <w:overflowPunct/>
              <w:topLinePunct w:val="0"/>
              <w:bidi w:val="0"/>
              <w:snapToGrid/>
              <w:spacing w:line="260" w:lineRule="exact"/>
              <w:rPr>
                <w:rFonts w:hint="eastAsia"/>
                <w:sz w:val="18"/>
                <w:szCs w:val="18"/>
                <w:lang w:val="en-US" w:eastAsia="zh-CN"/>
              </w:rPr>
            </w:pPr>
            <w:r>
              <w:rPr>
                <w:rFonts w:hint="eastAsia" w:ascii="宋体" w:hAnsi="宋体" w:eastAsia="宋体" w:cs="宋体"/>
                <w:color w:val="000000"/>
                <w:sz w:val="18"/>
                <w:szCs w:val="18"/>
              </w:rPr>
              <w:t>本项目招标文件于2025年  月  日发出，投标人自行登录广州公共资源交易中心网站（http://www.gzggzy.cn）首页“建设工程-招标公告”，下载招标文件及相关资料。符合本项目资格要求的投标人根据招标文件要求编制投标文件，可直接参与本项目的投标。投标人若对招标文件有疑问，在招标文件《投标人须知》规定时间内以匿名方式在广州公共资源交易中心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14:paraId="596FA8D1">
            <w:pPr>
              <w:keepNext w:val="0"/>
              <w:keepLines w:val="0"/>
              <w:pageBreakBefore w:val="0"/>
              <w:kinsoku/>
              <w:wordWrap/>
              <w:overflowPunct/>
              <w:topLinePunct w:val="0"/>
              <w:bidi w:val="0"/>
              <w:snapToGrid/>
              <w:spacing w:line="260" w:lineRule="exact"/>
              <w:rPr>
                <w:rFonts w:hint="eastAsia"/>
                <w:sz w:val="18"/>
                <w:szCs w:val="18"/>
              </w:rPr>
            </w:pPr>
            <w:r>
              <w:rPr>
                <w:rFonts w:hint="eastAsia" w:ascii="宋体" w:hAnsi="宋体" w:eastAsia="宋体" w:cs="宋体"/>
                <w:color w:val="000000"/>
                <w:sz w:val="18"/>
                <w:szCs w:val="18"/>
              </w:rPr>
              <w:t>2、对于本项目的招标公告和招标文件存在任何违规或不公平内容，投标人可以在招标文件公示期间向招标人提出异议。根据广州公共资源交易中心《关于开通全流程在线异议功能的通知》，本项目采用在线异议方式。具体操作详见“广州交易集团有限公司(广州公共资源交易中心)服务指南→系统帮助→操作手册→发起及受理异议操作指引”。</w:t>
            </w:r>
          </w:p>
          <w:p w14:paraId="243C6437">
            <w:pPr>
              <w:keepNext w:val="0"/>
              <w:keepLines w:val="0"/>
              <w:pageBreakBefore w:val="0"/>
              <w:kinsoku/>
              <w:wordWrap/>
              <w:overflowPunct/>
              <w:topLinePunct w:val="0"/>
              <w:bidi w:val="0"/>
              <w:snapToGrid/>
              <w:spacing w:line="260" w:lineRule="exac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开标时要求法人或法人授权代理人（为本公司人员，提供本公司为其购买的2025年</w:t>
            </w:r>
            <w:r>
              <w:rPr>
                <w:rFonts w:hint="eastAsia" w:ascii="宋体" w:hAnsi="宋体" w:cs="宋体"/>
                <w:color w:val="000000"/>
                <w:sz w:val="18"/>
                <w:szCs w:val="18"/>
                <w:lang w:val="en-US" w:eastAsia="zh-CN"/>
              </w:rPr>
              <w:t>4</w:t>
            </w:r>
            <w:r>
              <w:rPr>
                <w:rFonts w:hint="eastAsia" w:ascii="宋体" w:hAnsi="宋体" w:eastAsia="宋体" w:cs="宋体"/>
                <w:color w:val="000000"/>
                <w:sz w:val="18"/>
                <w:szCs w:val="18"/>
                <w:lang w:val="en-US" w:eastAsia="zh-CN"/>
              </w:rPr>
              <w:t>月-2025年</w:t>
            </w:r>
            <w:r>
              <w:rPr>
                <w:rFonts w:hint="eastAsia" w:ascii="宋体" w:hAnsi="宋体" w:cs="宋体"/>
                <w:color w:val="000000"/>
                <w:sz w:val="18"/>
                <w:szCs w:val="18"/>
                <w:lang w:val="en-US" w:eastAsia="zh-CN"/>
              </w:rPr>
              <w:t>6</w:t>
            </w:r>
            <w:r>
              <w:rPr>
                <w:rFonts w:hint="eastAsia" w:ascii="宋体" w:hAnsi="宋体" w:eastAsia="宋体" w:cs="宋体"/>
                <w:color w:val="000000"/>
                <w:sz w:val="18"/>
                <w:szCs w:val="18"/>
                <w:lang w:val="en-US" w:eastAsia="zh-CN"/>
              </w:rPr>
              <w:t>月社保证明）参与投标准时参加开标会,且需在投标截止时间前进场做签到工作,开标时手持本人身份证原件、法定代表人身份证明书原件、法人授权委托证明书原件（法定代表人出席开标会的，则无需提供）和电子保函打印件加盖投标人（联合体牵头人）公章【或投标保证金银行保函原件或投标保证金保证保险保函原件（投标保证金如采用银行转账形式可不提供保函原件）】递交投标文件。没有按上述要求提交资料的，投标文件将被拒绝接收。</w:t>
            </w:r>
          </w:p>
          <w:p w14:paraId="7DB30483">
            <w:pPr>
              <w:keepNext w:val="0"/>
              <w:keepLines w:val="0"/>
              <w:pageBreakBefore w:val="0"/>
              <w:kinsoku/>
              <w:wordWrap/>
              <w:overflowPunct/>
              <w:topLinePunct w:val="0"/>
              <w:bidi w:val="0"/>
              <w:snapToGrid/>
              <w:spacing w:line="260" w:lineRule="exact"/>
              <w:rPr>
                <w:rFonts w:hint="eastAsia"/>
                <w:sz w:val="18"/>
                <w:szCs w:val="18"/>
                <w:lang w:val="en-US" w:eastAsia="zh-CN"/>
              </w:rPr>
            </w:pPr>
            <w:r>
              <w:rPr>
                <w:rFonts w:hint="eastAsia" w:ascii="宋体" w:hAnsi="宋体" w:cs="宋体"/>
                <w:color w:val="000000"/>
                <w:sz w:val="18"/>
                <w:szCs w:val="18"/>
                <w:lang w:val="en-US" w:eastAsia="zh-CN"/>
              </w:rPr>
              <w:t>4、</w:t>
            </w:r>
            <w:r>
              <w:rPr>
                <w:rFonts w:hint="eastAsia" w:hAnsi="宋体" w:cs="宋体"/>
                <w:color w:val="000000"/>
                <w:sz w:val="18"/>
                <w:szCs w:val="18"/>
                <w:lang w:val="en-US" w:eastAsia="zh-CN"/>
              </w:rPr>
              <w:t>投标人并于递交投标文件时缴交招标文件资料费人民币 200 元。</w:t>
            </w:r>
          </w:p>
          <w:p w14:paraId="1D72668E">
            <w:pPr>
              <w:keepNext w:val="0"/>
              <w:keepLines w:val="0"/>
              <w:pageBreakBefore w:val="0"/>
              <w:kinsoku/>
              <w:wordWrap/>
              <w:overflowPunct/>
              <w:topLinePunct w:val="0"/>
              <w:bidi w:val="0"/>
              <w:snapToGrid/>
              <w:spacing w:line="260" w:lineRule="exact"/>
              <w:rPr>
                <w:rFonts w:hint="eastAsia" w:ascii="宋体" w:hAnsi="宋体" w:eastAsia="宋体" w:cs="宋体"/>
                <w:color w:val="000000"/>
                <w:sz w:val="18"/>
                <w:szCs w:val="18"/>
              </w:rPr>
            </w:pPr>
            <w:r>
              <w:rPr>
                <w:rFonts w:hint="eastAsia" w:ascii="宋体" w:hAnsi="宋体" w:cs="宋体"/>
                <w:color w:val="000000"/>
                <w:sz w:val="18"/>
                <w:szCs w:val="18"/>
                <w:lang w:val="en-US" w:eastAsia="zh-CN"/>
              </w:rPr>
              <w:t>5</w:t>
            </w:r>
            <w:r>
              <w:rPr>
                <w:rFonts w:hint="eastAsia" w:ascii="宋体" w:hAnsi="宋体" w:eastAsia="宋体" w:cs="宋体"/>
                <w:color w:val="000000"/>
                <w:sz w:val="18"/>
                <w:szCs w:val="18"/>
              </w:rPr>
              <w:t>、投标人采用现金转账方式递交投标保证金的，将投标保证金与本项目进行绑定，绑定成功后才能被认定为完成缴交投标保证金，到账情况以开标时广州公共资源交易中心数据库查询的信息为准。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w:t>
            </w:r>
          </w:p>
        </w:tc>
      </w:tr>
    </w:tbl>
    <w:p w14:paraId="29C380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76EC8"/>
    <w:multiLevelType w:val="singleLevel"/>
    <w:tmpl w:val="0AE76EC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NTkwNDQ2ZTUwZjg3NDgzNTg3ZmExMDA0YWEzNTMifQ=="/>
  </w:docVars>
  <w:rsids>
    <w:rsidRoot w:val="74DD2A0C"/>
    <w:rsid w:val="00F45FB4"/>
    <w:rsid w:val="01D46B46"/>
    <w:rsid w:val="02097123"/>
    <w:rsid w:val="022E44A8"/>
    <w:rsid w:val="02820350"/>
    <w:rsid w:val="0374238F"/>
    <w:rsid w:val="037C7496"/>
    <w:rsid w:val="044E2BE0"/>
    <w:rsid w:val="06307106"/>
    <w:rsid w:val="06B86A37"/>
    <w:rsid w:val="073C1416"/>
    <w:rsid w:val="07A33243"/>
    <w:rsid w:val="08CB2A51"/>
    <w:rsid w:val="09A6701A"/>
    <w:rsid w:val="09E518F1"/>
    <w:rsid w:val="0A560A40"/>
    <w:rsid w:val="0AF33435"/>
    <w:rsid w:val="0AF3628F"/>
    <w:rsid w:val="0B016BFE"/>
    <w:rsid w:val="0B470389"/>
    <w:rsid w:val="0B8909A2"/>
    <w:rsid w:val="0C71390F"/>
    <w:rsid w:val="0CE13E9A"/>
    <w:rsid w:val="0CF72CA0"/>
    <w:rsid w:val="0D326111"/>
    <w:rsid w:val="0DFF3950"/>
    <w:rsid w:val="0E034A3B"/>
    <w:rsid w:val="0E4B1F3E"/>
    <w:rsid w:val="0E685D84"/>
    <w:rsid w:val="0E80608C"/>
    <w:rsid w:val="0F557D79"/>
    <w:rsid w:val="125D0492"/>
    <w:rsid w:val="13312112"/>
    <w:rsid w:val="13511DA5"/>
    <w:rsid w:val="141862B2"/>
    <w:rsid w:val="14294AD0"/>
    <w:rsid w:val="14B20F69"/>
    <w:rsid w:val="14D7277E"/>
    <w:rsid w:val="14FA4979"/>
    <w:rsid w:val="15915F0B"/>
    <w:rsid w:val="15D078F9"/>
    <w:rsid w:val="17A10E21"/>
    <w:rsid w:val="19153875"/>
    <w:rsid w:val="1A3B73DF"/>
    <w:rsid w:val="1AA66E7A"/>
    <w:rsid w:val="1B0D6177"/>
    <w:rsid w:val="1B1D4A4C"/>
    <w:rsid w:val="1CB041E9"/>
    <w:rsid w:val="1EF04B68"/>
    <w:rsid w:val="1F33268E"/>
    <w:rsid w:val="1F66307C"/>
    <w:rsid w:val="1FDC333E"/>
    <w:rsid w:val="20112FE8"/>
    <w:rsid w:val="20144886"/>
    <w:rsid w:val="20AE132E"/>
    <w:rsid w:val="20ED62A7"/>
    <w:rsid w:val="21366A7E"/>
    <w:rsid w:val="21D73DBD"/>
    <w:rsid w:val="22252D7A"/>
    <w:rsid w:val="238B1303"/>
    <w:rsid w:val="247B7A54"/>
    <w:rsid w:val="25C71BD4"/>
    <w:rsid w:val="25E76599"/>
    <w:rsid w:val="27CD20B3"/>
    <w:rsid w:val="28CC03F4"/>
    <w:rsid w:val="295E4DC4"/>
    <w:rsid w:val="2AA77572"/>
    <w:rsid w:val="2BD870AF"/>
    <w:rsid w:val="2BF0264B"/>
    <w:rsid w:val="3038636F"/>
    <w:rsid w:val="331C1F78"/>
    <w:rsid w:val="332930F1"/>
    <w:rsid w:val="33DB598F"/>
    <w:rsid w:val="378B147A"/>
    <w:rsid w:val="383D6539"/>
    <w:rsid w:val="3A465B2C"/>
    <w:rsid w:val="3A7E52C6"/>
    <w:rsid w:val="3BC1190E"/>
    <w:rsid w:val="3C9B75CE"/>
    <w:rsid w:val="3D7E57B5"/>
    <w:rsid w:val="3F746192"/>
    <w:rsid w:val="3FB01F4D"/>
    <w:rsid w:val="3FB222DC"/>
    <w:rsid w:val="411C3143"/>
    <w:rsid w:val="41235BD0"/>
    <w:rsid w:val="41742F7F"/>
    <w:rsid w:val="4216697D"/>
    <w:rsid w:val="429766AA"/>
    <w:rsid w:val="42D77ED7"/>
    <w:rsid w:val="46C2076F"/>
    <w:rsid w:val="47643554"/>
    <w:rsid w:val="4981092F"/>
    <w:rsid w:val="498B5309"/>
    <w:rsid w:val="4B775B45"/>
    <w:rsid w:val="4DB34E2F"/>
    <w:rsid w:val="4E4A5793"/>
    <w:rsid w:val="4FE45773"/>
    <w:rsid w:val="5046169A"/>
    <w:rsid w:val="513B7615"/>
    <w:rsid w:val="52483D98"/>
    <w:rsid w:val="52FE4D9E"/>
    <w:rsid w:val="53433C36"/>
    <w:rsid w:val="55607BF1"/>
    <w:rsid w:val="559453A3"/>
    <w:rsid w:val="55E92BE2"/>
    <w:rsid w:val="569A6B8C"/>
    <w:rsid w:val="56DD63AD"/>
    <w:rsid w:val="56F24C1A"/>
    <w:rsid w:val="5771743E"/>
    <w:rsid w:val="58472D43"/>
    <w:rsid w:val="590D5D3B"/>
    <w:rsid w:val="5AA91A93"/>
    <w:rsid w:val="5AD54636"/>
    <w:rsid w:val="5B1B431D"/>
    <w:rsid w:val="5D775E79"/>
    <w:rsid w:val="61F53810"/>
    <w:rsid w:val="627B5AC3"/>
    <w:rsid w:val="62B66AFB"/>
    <w:rsid w:val="62DC3850"/>
    <w:rsid w:val="635B58F5"/>
    <w:rsid w:val="645B1639"/>
    <w:rsid w:val="65AC0C62"/>
    <w:rsid w:val="65D35C16"/>
    <w:rsid w:val="66F757BC"/>
    <w:rsid w:val="6727621A"/>
    <w:rsid w:val="6760172C"/>
    <w:rsid w:val="67AC671F"/>
    <w:rsid w:val="67DD0FCE"/>
    <w:rsid w:val="686B482C"/>
    <w:rsid w:val="698536CB"/>
    <w:rsid w:val="69FA4C6A"/>
    <w:rsid w:val="6AA3205B"/>
    <w:rsid w:val="6B4577A8"/>
    <w:rsid w:val="6C3413BA"/>
    <w:rsid w:val="6C5C6966"/>
    <w:rsid w:val="6D08089B"/>
    <w:rsid w:val="6E0F17B6"/>
    <w:rsid w:val="6E6F00D1"/>
    <w:rsid w:val="70643C03"/>
    <w:rsid w:val="7074630E"/>
    <w:rsid w:val="71D15700"/>
    <w:rsid w:val="72035AD5"/>
    <w:rsid w:val="72E94CCB"/>
    <w:rsid w:val="73005B71"/>
    <w:rsid w:val="741923E5"/>
    <w:rsid w:val="749F7A51"/>
    <w:rsid w:val="74DD2A0C"/>
    <w:rsid w:val="757545F4"/>
    <w:rsid w:val="75E8126A"/>
    <w:rsid w:val="764C17F9"/>
    <w:rsid w:val="767E397C"/>
    <w:rsid w:val="77004391"/>
    <w:rsid w:val="7715608F"/>
    <w:rsid w:val="7A8F3624"/>
    <w:rsid w:val="7BD5403F"/>
    <w:rsid w:val="7C20671F"/>
    <w:rsid w:val="7DCE54A2"/>
    <w:rsid w:val="7E265025"/>
    <w:rsid w:val="7E486D4A"/>
    <w:rsid w:val="7EBB3DED"/>
    <w:rsid w:val="7EC16994"/>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3">
    <w:name w:val="heading 2"/>
    <w:basedOn w:val="1"/>
    <w:next w:val="1"/>
    <w:autoRedefine/>
    <w:qFormat/>
    <w:uiPriority w:val="99"/>
    <w:pPr>
      <w:keepNext/>
      <w:keepLines/>
      <w:spacing w:before="260" w:after="260" w:line="416" w:lineRule="auto"/>
      <w:outlineLvl w:val="1"/>
    </w:pPr>
    <w:rPr>
      <w:rFonts w:ascii="Arial" w:hAnsi="Arial" w:eastAsia="黑体"/>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tabs>
        <w:tab w:val="left" w:pos="432"/>
      </w:tabs>
      <w:ind w:firstLine="420"/>
    </w:pPr>
  </w:style>
  <w:style w:type="paragraph" w:styleId="5">
    <w:name w:val="annotation text"/>
    <w:basedOn w:val="1"/>
    <w:autoRedefine/>
    <w:qFormat/>
    <w:uiPriority w:val="0"/>
    <w:pPr>
      <w:jc w:val="left"/>
    </w:pPr>
    <w:rPr>
      <w:szCs w:val="24"/>
    </w:rPr>
  </w:style>
  <w:style w:type="paragraph" w:styleId="6">
    <w:name w:val="Body Text"/>
    <w:basedOn w:val="1"/>
    <w:next w:val="1"/>
    <w:autoRedefine/>
    <w:qFormat/>
    <w:uiPriority w:val="0"/>
    <w:pPr>
      <w:spacing w:line="360" w:lineRule="auto"/>
    </w:pPr>
    <w:rPr>
      <w:sz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pPr>
      <w:widowControl/>
      <w:ind w:left="1800" w:hanging="360"/>
      <w:jc w:val="left"/>
    </w:pPr>
    <w:rPr>
      <w:rFonts w:ascii="宋体" w:hAnsi="Courier New"/>
      <w:kern w:val="0"/>
      <w:sz w:val="24"/>
    </w:rPr>
  </w:style>
  <w:style w:type="paragraph" w:styleId="9">
    <w:name w:val="Body Text 2"/>
    <w:basedOn w:val="1"/>
    <w:autoRedefine/>
    <w:qFormat/>
    <w:uiPriority w:val="0"/>
    <w:pPr>
      <w:spacing w:line="400" w:lineRule="exact"/>
    </w:pPr>
    <w:rPr>
      <w:rFonts w:ascii="宋体" w:hAnsi="宋体"/>
      <w:sz w:val="24"/>
    </w:rPr>
  </w:style>
  <w:style w:type="paragraph" w:styleId="10">
    <w:name w:val="Body Text First Indent"/>
    <w:basedOn w:val="6"/>
    <w:next w:val="1"/>
    <w:autoRedefine/>
    <w:qFormat/>
    <w:uiPriority w:val="0"/>
    <w:pPr>
      <w:spacing w:after="120" w:line="240" w:lineRule="auto"/>
      <w:ind w:firstLine="420" w:firstLineChars="100"/>
    </w:pPr>
    <w:rPr>
      <w:sz w:val="21"/>
      <w:szCs w:val="24"/>
    </w:rPr>
  </w:style>
  <w:style w:type="paragraph" w:customStyle="1" w:styleId="1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样式 宋体 行距: 1.5 倍行距"/>
    <w:basedOn w:val="1"/>
    <w:autoRedefine/>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3518</Words>
  <Characters>3762</Characters>
  <Lines>0</Lines>
  <Paragraphs>0</Paragraphs>
  <TotalTime>0</TotalTime>
  <ScaleCrop>false</ScaleCrop>
  <LinksUpToDate>false</LinksUpToDate>
  <CharactersWithSpaces>3831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2022-09-19T04:27:00Z</dcterms:created>
  <dc:creator>Anan</dc:creator>
  <cp:lastModifiedBy>Anan</cp:lastModifiedBy>
  <cp:lastPrinted>2025-07-25T08:41:00Z</cp:lastPrinted>
  <dcterms:modified xsi:type="dcterms:W3CDTF">2025-07-31T03:03:40Z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55C3DF9756E74A8C9E2AEA3670DCE8A4</vt:lpwstr>
  </property>
</Properties>
</file>