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center"/>
        <w:rPr>
          <w:rFonts w:ascii="宋体" w:hAnsi="宋体" w:eastAsia="宋体" w:cs="宋体"/>
          <w:b/>
          <w:color w:val="auto"/>
          <w:sz w:val="48"/>
          <w:szCs w:val="48"/>
          <w:highlight w:val="none"/>
          <w:lang w:bidi="ar"/>
        </w:rPr>
      </w:pPr>
    </w:p>
    <w:p>
      <w:pPr>
        <w:wordWrap w:val="0"/>
        <w:spacing w:line="360" w:lineRule="auto"/>
        <w:jc w:val="center"/>
        <w:rPr>
          <w:rFonts w:ascii="宋体" w:hAnsi="宋体" w:eastAsia="宋体" w:cs="宋体"/>
          <w:b/>
          <w:color w:val="auto"/>
          <w:sz w:val="48"/>
          <w:szCs w:val="48"/>
          <w:highlight w:val="none"/>
          <w:lang w:bidi="ar"/>
        </w:rPr>
      </w:pPr>
    </w:p>
    <w:p>
      <w:pPr>
        <w:wordWrap w:val="0"/>
        <w:spacing w:line="360" w:lineRule="auto"/>
        <w:jc w:val="center"/>
        <w:rPr>
          <w:rFonts w:ascii="宋体" w:hAnsi="宋体" w:eastAsia="宋体" w:cs="宋体"/>
          <w:color w:val="auto"/>
          <w:sz w:val="48"/>
          <w:szCs w:val="48"/>
          <w:highlight w:val="none"/>
        </w:rPr>
      </w:pPr>
      <w:r>
        <w:rPr>
          <w:rFonts w:hint="eastAsia" w:ascii="宋体" w:hAnsi="宋体" w:eastAsia="宋体" w:cs="宋体"/>
          <w:b/>
          <w:color w:val="auto"/>
          <w:sz w:val="48"/>
          <w:szCs w:val="48"/>
          <w:highlight w:val="none"/>
          <w:lang w:eastAsia="zh-CN" w:bidi="ar"/>
        </w:rPr>
        <w:t>人民桥重建工程</w:t>
      </w:r>
      <w:r>
        <w:rPr>
          <w:rFonts w:hint="eastAsia" w:ascii="宋体" w:hAnsi="宋体" w:eastAsia="宋体" w:cs="宋体"/>
          <w:b/>
          <w:color w:val="auto"/>
          <w:sz w:val="48"/>
          <w:szCs w:val="48"/>
          <w:highlight w:val="none"/>
          <w:lang w:bidi="ar"/>
        </w:rPr>
        <w:t>勘察设计</w:t>
      </w:r>
    </w:p>
    <w:p>
      <w:pPr>
        <w:wordWrap w:val="0"/>
        <w:spacing w:line="360" w:lineRule="auto"/>
        <w:rPr>
          <w:rFonts w:ascii="宋体" w:hAnsi="宋体" w:eastAsia="宋体" w:cs="宋体"/>
          <w:b/>
          <w:color w:val="auto"/>
          <w:spacing w:val="40"/>
          <w:sz w:val="44"/>
          <w:szCs w:val="44"/>
          <w:highlight w:val="none"/>
        </w:rPr>
      </w:pPr>
    </w:p>
    <w:p>
      <w:pPr>
        <w:wordWrap w:val="0"/>
        <w:spacing w:line="360" w:lineRule="auto"/>
        <w:jc w:val="left"/>
        <w:rPr>
          <w:rFonts w:ascii="宋体" w:hAnsi="宋体" w:eastAsia="宋体" w:cs="宋体"/>
          <w:color w:val="auto"/>
          <w:sz w:val="36"/>
          <w:szCs w:val="36"/>
          <w:highlight w:val="none"/>
          <w:u w:val="single"/>
          <w:lang w:bidi="ar"/>
        </w:rPr>
      </w:pPr>
    </w:p>
    <w:p>
      <w:pPr>
        <w:wordWrap w:val="0"/>
        <w:spacing w:line="360" w:lineRule="auto"/>
        <w:jc w:val="left"/>
        <w:rPr>
          <w:rFonts w:ascii="宋体" w:hAnsi="宋体" w:eastAsia="宋体" w:cs="宋体"/>
          <w:color w:val="auto"/>
          <w:sz w:val="36"/>
          <w:szCs w:val="36"/>
          <w:highlight w:val="none"/>
          <w:u w:val="single"/>
          <w:lang w:bidi="ar"/>
        </w:rPr>
      </w:pPr>
      <w:bookmarkStart w:id="261" w:name="_GoBack"/>
      <w:bookmarkEnd w:id="261"/>
    </w:p>
    <w:p>
      <w:pPr>
        <w:wordWrap w:val="0"/>
        <w:spacing w:line="360" w:lineRule="auto"/>
        <w:jc w:val="left"/>
        <w:rPr>
          <w:rFonts w:ascii="宋体" w:hAnsi="宋体" w:eastAsia="宋体" w:cs="宋体"/>
          <w:color w:val="auto"/>
          <w:sz w:val="36"/>
          <w:szCs w:val="36"/>
          <w:highlight w:val="none"/>
          <w:u w:val="single"/>
          <w:lang w:bidi="ar"/>
        </w:rPr>
      </w:pPr>
    </w:p>
    <w:p>
      <w:pPr>
        <w:wordWrap w:val="0"/>
        <w:spacing w:line="360" w:lineRule="auto"/>
        <w:jc w:val="left"/>
        <w:rPr>
          <w:rFonts w:ascii="宋体" w:hAnsi="宋体" w:eastAsia="宋体" w:cs="宋体"/>
          <w:color w:val="auto"/>
          <w:sz w:val="36"/>
          <w:szCs w:val="36"/>
          <w:highlight w:val="none"/>
          <w:u w:val="single"/>
          <w:lang w:bidi="ar"/>
        </w:rPr>
      </w:pPr>
    </w:p>
    <w:p>
      <w:pPr>
        <w:wordWrap w:val="0"/>
        <w:spacing w:line="360" w:lineRule="auto"/>
        <w:jc w:val="left"/>
        <w:rPr>
          <w:rFonts w:ascii="宋体" w:hAnsi="宋体" w:eastAsia="宋体" w:cs="宋体"/>
          <w:color w:val="auto"/>
          <w:sz w:val="36"/>
          <w:szCs w:val="36"/>
          <w:highlight w:val="none"/>
          <w:u w:val="single"/>
        </w:rPr>
      </w:pPr>
    </w:p>
    <w:p>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招标文件</w:t>
      </w:r>
    </w:p>
    <w:p>
      <w:pPr>
        <w:wordWrap w:val="0"/>
        <w:spacing w:line="360" w:lineRule="auto"/>
        <w:rPr>
          <w:rFonts w:ascii="宋体" w:hAnsi="宋体" w:eastAsia="宋体" w:cs="宋体"/>
          <w:color w:val="auto"/>
          <w:sz w:val="32"/>
          <w:szCs w:val="32"/>
          <w:highlight w:val="none"/>
        </w:rPr>
      </w:pPr>
    </w:p>
    <w:p>
      <w:pPr>
        <w:wordWrap w:val="0"/>
        <w:spacing w:line="360" w:lineRule="auto"/>
        <w:rPr>
          <w:rFonts w:ascii="宋体" w:hAnsi="宋体" w:eastAsia="宋体" w:cs="宋体"/>
          <w:color w:val="auto"/>
          <w:sz w:val="52"/>
          <w:szCs w:val="52"/>
          <w:highlight w:val="none"/>
        </w:rPr>
      </w:pPr>
    </w:p>
    <w:p>
      <w:pPr>
        <w:wordWrap w:val="0"/>
        <w:spacing w:line="360" w:lineRule="auto"/>
        <w:rPr>
          <w:rFonts w:ascii="宋体" w:hAnsi="宋体" w:eastAsia="宋体" w:cs="宋体"/>
          <w:color w:val="auto"/>
          <w:sz w:val="52"/>
          <w:szCs w:val="52"/>
          <w:highlight w:val="none"/>
          <w:lang w:bidi="ar"/>
        </w:rPr>
      </w:pPr>
    </w:p>
    <w:p>
      <w:pPr>
        <w:wordWrap w:val="0"/>
        <w:spacing w:line="360" w:lineRule="auto"/>
        <w:rPr>
          <w:rFonts w:ascii="宋体" w:hAnsi="宋体" w:eastAsia="宋体" w:cs="宋体"/>
          <w:color w:val="auto"/>
          <w:sz w:val="52"/>
          <w:szCs w:val="52"/>
          <w:highlight w:val="none"/>
          <w:lang w:bidi="ar"/>
        </w:rPr>
      </w:pPr>
    </w:p>
    <w:p>
      <w:pPr>
        <w:wordWrap w:val="0"/>
        <w:spacing w:line="360" w:lineRule="auto"/>
        <w:rPr>
          <w:rFonts w:ascii="宋体" w:hAnsi="宋体" w:eastAsia="宋体" w:cs="宋体"/>
          <w:color w:val="auto"/>
          <w:sz w:val="21"/>
          <w:szCs w:val="21"/>
          <w:highlight w:val="none"/>
          <w:lang w:bidi="ar"/>
        </w:rPr>
      </w:pPr>
    </w:p>
    <w:p>
      <w:pPr>
        <w:wordWrap w:val="0"/>
        <w:spacing w:line="360" w:lineRule="auto"/>
        <w:rPr>
          <w:rFonts w:ascii="宋体" w:hAnsi="宋体" w:eastAsia="宋体" w:cs="宋体"/>
          <w:color w:val="auto"/>
          <w:sz w:val="52"/>
          <w:szCs w:val="52"/>
          <w:highlight w:val="none"/>
          <w:lang w:bidi="ar"/>
        </w:rPr>
      </w:pPr>
    </w:p>
    <w:p>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sz w:val="32"/>
          <w:szCs w:val="32"/>
          <w:highlight w:val="none"/>
          <w:u w:val="single"/>
          <w:lang w:bidi="ar"/>
        </w:rPr>
        <w:t>广州市花都区交通运输局</w:t>
      </w:r>
    </w:p>
    <w:p>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single"/>
          <w:lang w:eastAsia="zh-CN" w:bidi="ar"/>
        </w:rPr>
        <w:t>广州市交正工程咨询有限公司</w:t>
      </w:r>
    </w:p>
    <w:p>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hint="eastAsia" w:ascii="宋体" w:hAnsi="宋体" w:eastAsia="宋体" w:cs="宋体"/>
          <w:color w:val="auto"/>
          <w:sz w:val="32"/>
          <w:szCs w:val="32"/>
          <w:highlight w:val="none"/>
          <w:u w:val="none"/>
          <w:lang w:val="en-US" w:eastAsia="zh-CN" w:bidi="ar"/>
        </w:rPr>
        <w:t>7</w:t>
      </w:r>
      <w:r>
        <w:rPr>
          <w:rFonts w:hint="eastAsia" w:ascii="宋体" w:hAnsi="宋体" w:eastAsia="宋体" w:cs="宋体"/>
          <w:color w:val="auto"/>
          <w:sz w:val="32"/>
          <w:szCs w:val="32"/>
          <w:highlight w:val="none"/>
          <w:lang w:bidi="ar"/>
        </w:rPr>
        <w:t>月</w:t>
      </w:r>
    </w:p>
    <w:p>
      <w:pPr>
        <w:wordWrap w:val="0"/>
        <w:spacing w:line="360" w:lineRule="auto"/>
        <w:rPr>
          <w:rFonts w:ascii="Calibri" w:hAnsi="Calibri" w:eastAsia="宋体" w:cs="Times New Roman"/>
          <w:b/>
          <w:color w:val="auto"/>
          <w:sz w:val="36"/>
          <w:szCs w:val="36"/>
          <w:highlight w:val="none"/>
        </w:rPr>
        <w:sectPr>
          <w:footerReference r:id="rId3" w:type="default"/>
          <w:type w:val="continuous"/>
          <w:pgSz w:w="11905" w:h="16838"/>
          <w:pgMar w:top="1440" w:right="1800" w:bottom="1440" w:left="1800" w:header="720" w:footer="720" w:gutter="0"/>
          <w:pgNumType w:start="0"/>
          <w:cols w:space="425" w:num="1"/>
          <w:titlePg/>
          <w:docGrid w:type="lines" w:linePitch="312" w:charSpace="0"/>
        </w:sectPr>
      </w:pPr>
    </w:p>
    <w:p>
      <w:pPr>
        <w:widowControl/>
        <w:wordWrap w:val="0"/>
        <w:jc w:val="left"/>
        <w:rPr>
          <w:rFonts w:ascii="Times New Roman" w:hAnsi="Times New Roman" w:eastAsia="宋体" w:cs="Times New Roman"/>
          <w:color w:val="auto"/>
          <w:kern w:val="0"/>
          <w:sz w:val="20"/>
          <w:szCs w:val="20"/>
          <w:highlight w:val="none"/>
        </w:rPr>
      </w:pPr>
      <w:r>
        <w:rPr>
          <w:rFonts w:ascii="Times New Roman" w:hAnsi="Times New Roman" w:eastAsia="宋体" w:cs="Times New Roman"/>
          <w:color w:val="auto"/>
          <w:kern w:val="0"/>
          <w:sz w:val="20"/>
          <w:szCs w:val="20"/>
          <w:highlight w:val="none"/>
        </w:rPr>
        <w:br w:type="page"/>
      </w:r>
    </w:p>
    <w:p>
      <w:pPr>
        <w:wordWrap w:val="0"/>
        <w:spacing w:after="120"/>
        <w:ind w:firstLine="200" w:firstLineChars="100"/>
        <w:rPr>
          <w:rFonts w:ascii="Times New Roman" w:hAnsi="Times New Roman" w:eastAsia="宋体" w:cs="Times New Roman"/>
          <w:color w:val="auto"/>
          <w:kern w:val="0"/>
          <w:sz w:val="20"/>
          <w:szCs w:val="20"/>
          <w:highlight w:val="none"/>
        </w:rPr>
      </w:pPr>
    </w:p>
    <w:p>
      <w:pPr>
        <w:keepNext/>
        <w:keepLines/>
        <w:widowControl/>
        <w:wordWrap w:val="0"/>
        <w:spacing w:before="480" w:line="276"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CN"/>
        </w:rPr>
        <w:t>目 录</w:t>
      </w:r>
    </w:p>
    <w:p>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rFonts w:hint="eastAsia" w:ascii="宋体" w:hAnsi="宋体" w:cs="宋体"/>
          <w:bCs w:val="0"/>
          <w:caps w:val="0"/>
          <w:color w:val="auto"/>
          <w:sz w:val="24"/>
          <w:szCs w:val="24"/>
          <w:highlight w:val="none"/>
        </w:rPr>
        <w:fldChar w:fldCharType="begin"/>
      </w:r>
      <w:r>
        <w:rPr>
          <w:rFonts w:hint="eastAsia" w:ascii="宋体" w:hAnsi="宋体" w:cs="宋体"/>
          <w:bCs w:val="0"/>
          <w:caps w:val="0"/>
          <w:color w:val="auto"/>
          <w:sz w:val="24"/>
          <w:szCs w:val="24"/>
          <w:highlight w:val="none"/>
        </w:rPr>
        <w:instrText xml:space="preserve"> TOC \o "1-3" \h \z \u </w:instrText>
      </w:r>
      <w:r>
        <w:rPr>
          <w:rFonts w:hint="eastAsia" w:ascii="宋体" w:hAnsi="宋体" w:cs="宋体"/>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"_Toc193357935" </w:instrText>
      </w:r>
      <w:r>
        <w:rPr>
          <w:color w:val="auto"/>
          <w:highlight w:val="none"/>
        </w:rPr>
        <w:fldChar w:fldCharType="separate"/>
      </w:r>
      <w:r>
        <w:rPr>
          <w:rStyle w:val="52"/>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_Toc193357935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"_Toc193357936" </w:instrText>
      </w:r>
      <w:r>
        <w:rPr>
          <w:color w:val="auto"/>
          <w:highlight w:val="none"/>
        </w:rPr>
        <w:fldChar w:fldCharType="separate"/>
      </w:r>
      <w:r>
        <w:rPr>
          <w:rStyle w:val="52"/>
          <w:color w:val="auto"/>
          <w:highlight w:val="none"/>
          <w:lang w:bidi="ar"/>
        </w:rPr>
        <w:t>第一章  招标公告</w:t>
      </w:r>
      <w:r>
        <w:rPr>
          <w:color w:val="auto"/>
          <w:highlight w:val="none"/>
        </w:rPr>
        <w:tab/>
      </w:r>
      <w:r>
        <w:rPr>
          <w:color w:val="auto"/>
          <w:highlight w:val="none"/>
        </w:rPr>
        <w:fldChar w:fldCharType="begin"/>
      </w:r>
      <w:r>
        <w:rPr>
          <w:color w:val="auto"/>
          <w:highlight w:val="none"/>
        </w:rPr>
        <w:instrText xml:space="preserve"> PAGEREF _Toc193357936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"_Toc193357937" </w:instrText>
      </w:r>
      <w:r>
        <w:rPr>
          <w:color w:val="auto"/>
          <w:highlight w:val="none"/>
        </w:rPr>
        <w:fldChar w:fldCharType="separate"/>
      </w:r>
      <w:r>
        <w:rPr>
          <w:rStyle w:val="52"/>
          <w:color w:val="auto"/>
          <w:highlight w:val="none"/>
          <w:lang w:bidi="ar"/>
        </w:rPr>
        <w:t>第二章  投标人须知</w:t>
      </w:r>
      <w:r>
        <w:rPr>
          <w:color w:val="auto"/>
          <w:highlight w:val="none"/>
        </w:rPr>
        <w:tab/>
      </w:r>
      <w:r>
        <w:rPr>
          <w:color w:val="auto"/>
          <w:highlight w:val="none"/>
        </w:rPr>
        <w:fldChar w:fldCharType="begin"/>
      </w:r>
      <w:r>
        <w:rPr>
          <w:color w:val="auto"/>
          <w:highlight w:val="none"/>
        </w:rPr>
        <w:instrText xml:space="preserve"> PAGEREF _Toc193357937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"_Toc193358002" </w:instrText>
      </w:r>
      <w:r>
        <w:rPr>
          <w:color w:val="auto"/>
          <w:highlight w:val="none"/>
        </w:rPr>
        <w:fldChar w:fldCharType="separate"/>
      </w:r>
      <w:r>
        <w:rPr>
          <w:rStyle w:val="52"/>
          <w:color w:val="auto"/>
          <w:highlight w:val="none"/>
        </w:rPr>
        <w:t>第三章  评标办法（综合评估法）</w:t>
      </w:r>
      <w:r>
        <w:rPr>
          <w:color w:val="auto"/>
          <w:highlight w:val="none"/>
        </w:rPr>
        <w:tab/>
      </w:r>
      <w:r>
        <w:rPr>
          <w:color w:val="auto"/>
          <w:highlight w:val="none"/>
        </w:rPr>
        <w:fldChar w:fldCharType="end"/>
      </w:r>
      <w:r>
        <w:rPr>
          <w:rFonts w:hint="eastAsia"/>
          <w:color w:val="auto"/>
          <w:highlight w:val="none"/>
          <w:lang w:val="en-US" w:eastAsia="zh-CN"/>
        </w:rPr>
        <w:t>30</w:t>
      </w:r>
    </w:p>
    <w:p>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"_Toc193358019" </w:instrText>
      </w:r>
      <w:r>
        <w:rPr>
          <w:color w:val="auto"/>
          <w:highlight w:val="none"/>
        </w:rPr>
        <w:fldChar w:fldCharType="separate"/>
      </w:r>
      <w:r>
        <w:rPr>
          <w:rStyle w:val="52"/>
          <w:color w:val="auto"/>
          <w:highlight w:val="none"/>
        </w:rPr>
        <w:t>第四章  合同条款及格式</w:t>
      </w:r>
      <w:r>
        <w:rPr>
          <w:color w:val="auto"/>
          <w:highlight w:val="none"/>
        </w:rPr>
        <w:tab/>
      </w:r>
      <w:r>
        <w:rPr>
          <w:color w:val="auto"/>
          <w:highlight w:val="none"/>
        </w:rPr>
        <w:fldChar w:fldCharType="end"/>
      </w:r>
      <w:r>
        <w:rPr>
          <w:rFonts w:hint="eastAsia"/>
          <w:color w:val="auto"/>
          <w:highlight w:val="none"/>
          <w:lang w:val="en-US" w:eastAsia="zh-CN"/>
        </w:rPr>
        <w:t>50</w:t>
      </w:r>
    </w:p>
    <w:p>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"_Toc193358020" </w:instrText>
      </w:r>
      <w:r>
        <w:rPr>
          <w:color w:val="auto"/>
          <w:highlight w:val="none"/>
        </w:rPr>
        <w:fldChar w:fldCharType="separate"/>
      </w:r>
      <w:r>
        <w:rPr>
          <w:rStyle w:val="52"/>
          <w:color w:val="auto"/>
          <w:highlight w:val="none"/>
        </w:rPr>
        <w:t>第二卷</w:t>
      </w:r>
      <w:r>
        <w:rPr>
          <w:color w:val="auto"/>
          <w:highlight w:val="none"/>
        </w:rPr>
        <w:tab/>
      </w:r>
      <w:r>
        <w:rPr>
          <w:color w:val="auto"/>
          <w:highlight w:val="none"/>
        </w:rPr>
        <w:fldChar w:fldCharType="end"/>
      </w:r>
      <w:r>
        <w:rPr>
          <w:rFonts w:hint="eastAsia"/>
          <w:color w:val="auto"/>
          <w:highlight w:val="none"/>
          <w:lang w:val="en-US" w:eastAsia="zh-CN"/>
        </w:rPr>
        <w:t>51</w:t>
      </w:r>
    </w:p>
    <w:p>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"_Toc193358021" </w:instrText>
      </w:r>
      <w:r>
        <w:rPr>
          <w:color w:val="auto"/>
          <w:highlight w:val="none"/>
        </w:rPr>
        <w:fldChar w:fldCharType="separate"/>
      </w:r>
      <w:r>
        <w:rPr>
          <w:rStyle w:val="52"/>
          <w:color w:val="auto"/>
          <w:highlight w:val="none"/>
        </w:rPr>
        <w:t>第五章  发包人要求</w:t>
      </w:r>
      <w:r>
        <w:rPr>
          <w:color w:val="auto"/>
          <w:highlight w:val="none"/>
        </w:rPr>
        <w:tab/>
      </w:r>
      <w:r>
        <w:rPr>
          <w:color w:val="auto"/>
          <w:highlight w:val="none"/>
        </w:rPr>
        <w:fldChar w:fldCharType="end"/>
      </w:r>
      <w:r>
        <w:rPr>
          <w:rFonts w:hint="eastAsia"/>
          <w:color w:val="auto"/>
          <w:highlight w:val="none"/>
          <w:lang w:val="en-US" w:eastAsia="zh-CN"/>
        </w:rPr>
        <w:t>51</w:t>
      </w:r>
    </w:p>
    <w:p>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"_Toc193358022" </w:instrText>
      </w:r>
      <w:r>
        <w:rPr>
          <w:color w:val="auto"/>
          <w:highlight w:val="none"/>
        </w:rPr>
        <w:fldChar w:fldCharType="separate"/>
      </w:r>
      <w:r>
        <w:rPr>
          <w:rStyle w:val="52"/>
          <w:color w:val="auto"/>
          <w:highlight w:val="none"/>
        </w:rPr>
        <w:t>第三卷</w:t>
      </w:r>
      <w:r>
        <w:rPr>
          <w:color w:val="auto"/>
          <w:highlight w:val="none"/>
        </w:rPr>
        <w:tab/>
      </w:r>
      <w:r>
        <w:rPr>
          <w:color w:val="auto"/>
          <w:highlight w:val="none"/>
        </w:rPr>
        <w:fldChar w:fldCharType="end"/>
      </w:r>
      <w:r>
        <w:rPr>
          <w:rFonts w:hint="eastAsia"/>
          <w:color w:val="auto"/>
          <w:highlight w:val="none"/>
          <w:lang w:val="en-US" w:eastAsia="zh-CN"/>
        </w:rPr>
        <w:t>53</w:t>
      </w:r>
    </w:p>
    <w:p>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"_Toc193358023" </w:instrText>
      </w:r>
      <w:r>
        <w:rPr>
          <w:color w:val="auto"/>
          <w:highlight w:val="none"/>
        </w:rPr>
        <w:fldChar w:fldCharType="separate"/>
      </w:r>
      <w:r>
        <w:rPr>
          <w:rStyle w:val="52"/>
          <w:color w:val="auto"/>
          <w:highlight w:val="none"/>
        </w:rPr>
        <w:t>第六章  投标文件格式</w:t>
      </w:r>
      <w:r>
        <w:rPr>
          <w:color w:val="auto"/>
          <w:highlight w:val="none"/>
        </w:rPr>
        <w:tab/>
      </w:r>
      <w:r>
        <w:rPr>
          <w:color w:val="auto"/>
          <w:highlight w:val="none"/>
        </w:rPr>
        <w:fldChar w:fldCharType="end"/>
      </w:r>
      <w:r>
        <w:rPr>
          <w:rFonts w:hint="eastAsia"/>
          <w:color w:val="auto"/>
          <w:highlight w:val="none"/>
          <w:lang w:val="en-US" w:eastAsia="zh-CN"/>
        </w:rPr>
        <w:t>53</w:t>
      </w:r>
    </w:p>
    <w:p>
      <w:pPr>
        <w:wordWrap w:val="0"/>
        <w:spacing w:line="360" w:lineRule="auto"/>
        <w:rPr>
          <w:rFonts w:ascii="宋体" w:hAnsi="宋体" w:eastAsia="宋体" w:cs="宋体"/>
          <w:color w:val="auto"/>
          <w:kern w:val="0"/>
          <w:szCs w:val="21"/>
          <w:highlight w:val="none"/>
        </w:rPr>
      </w:pPr>
      <w:r>
        <w:rPr>
          <w:rFonts w:hint="eastAsia" w:ascii="宋体" w:hAnsi="宋体" w:eastAsia="宋体" w:cs="宋体"/>
          <w:bCs/>
          <w:color w:val="auto"/>
          <w:sz w:val="24"/>
          <w:szCs w:val="24"/>
          <w:highlight w:val="none"/>
          <w:lang w:val="zh-CN"/>
        </w:rPr>
        <w:fldChar w:fldCharType="end"/>
      </w:r>
    </w:p>
    <w:p>
      <w:pPr>
        <w:wordWrap w:val="0"/>
        <w:autoSpaceDE w:val="0"/>
        <w:autoSpaceDN w:val="0"/>
        <w:spacing w:line="2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page"/>
      </w:r>
    </w:p>
    <w:p>
      <w:pPr>
        <w:pStyle w:val="3"/>
        <w:rPr>
          <w:color w:val="auto"/>
          <w:highlight w:val="none"/>
        </w:rPr>
      </w:pPr>
      <w:bookmarkStart w:id="0" w:name="_Toc193357935"/>
      <w:bookmarkStart w:id="1" w:name="_Toc111186720"/>
      <w:r>
        <w:rPr>
          <w:rFonts w:hint="eastAsia"/>
          <w:color w:val="auto"/>
          <w:highlight w:val="none"/>
        </w:rPr>
        <w:t>第一卷</w:t>
      </w:r>
      <w:bookmarkEnd w:id="0"/>
      <w:bookmarkEnd w:id="1"/>
    </w:p>
    <w:p>
      <w:pPr>
        <w:widowControl/>
        <w:wordWrap w:val="0"/>
        <w:jc w:val="left"/>
        <w:rPr>
          <w:rFonts w:ascii="宋体" w:hAnsi="宋体" w:eastAsia="宋体" w:cs="宋体"/>
          <w:color w:val="auto"/>
          <w:spacing w:val="2"/>
          <w:kern w:val="0"/>
          <w:sz w:val="44"/>
          <w:szCs w:val="44"/>
          <w:highlight w:val="none"/>
        </w:rPr>
        <w:sectPr>
          <w:footerReference r:id="rId4" w:type="default"/>
          <w:type w:val="continuous"/>
          <w:pgSz w:w="11905" w:h="16838"/>
          <w:pgMar w:top="1440" w:right="1803" w:bottom="1440" w:left="1803" w:header="720" w:footer="720" w:gutter="0"/>
          <w:pgNumType w:start="0"/>
          <w:cols w:space="720" w:num="1"/>
          <w:titlePg/>
          <w:docGrid w:linePitch="286" w:charSpace="0"/>
        </w:sectPr>
      </w:pPr>
    </w:p>
    <w:p>
      <w:pPr>
        <w:pStyle w:val="3"/>
        <w:rPr>
          <w:color w:val="auto"/>
          <w:highlight w:val="none"/>
          <w:lang w:bidi="ar"/>
        </w:rPr>
      </w:pPr>
      <w:bookmarkStart w:id="2" w:name="_Toc193357936"/>
      <w:bookmarkStart w:id="3" w:name="_Toc111186721"/>
      <w:r>
        <w:rPr>
          <w:rFonts w:hint="eastAsia"/>
          <w:color w:val="auto"/>
          <w:highlight w:val="none"/>
          <w:lang w:bidi="ar"/>
        </w:rPr>
        <w:t>第一章  招标公告</w:t>
      </w:r>
      <w:bookmarkEnd w:id="2"/>
      <w:bookmarkEnd w:id="3"/>
    </w:p>
    <w:p>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pPr>
        <w:widowControl/>
        <w:wordWrap w:val="0"/>
        <w:jc w:val="left"/>
        <w:rPr>
          <w:rFonts w:ascii="宋体" w:hAnsi="宋体" w:eastAsia="宋体" w:cs="宋体"/>
          <w:color w:val="auto"/>
          <w:spacing w:val="2"/>
          <w:kern w:val="0"/>
          <w:sz w:val="44"/>
          <w:szCs w:val="44"/>
          <w:highlight w:val="none"/>
        </w:rPr>
      </w:pPr>
      <w:r>
        <w:rPr>
          <w:rFonts w:ascii="宋体" w:hAnsi="宋体" w:eastAsia="宋体" w:cs="宋体"/>
          <w:color w:val="auto"/>
          <w:spacing w:val="2"/>
          <w:kern w:val="0"/>
          <w:sz w:val="44"/>
          <w:szCs w:val="44"/>
          <w:highlight w:val="none"/>
        </w:rPr>
        <w:br w:type="page"/>
      </w:r>
    </w:p>
    <w:p>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pPr>
        <w:pStyle w:val="3"/>
        <w:rPr>
          <w:color w:val="auto"/>
          <w:highlight w:val="none"/>
          <w:lang w:bidi="ar"/>
        </w:rPr>
      </w:pPr>
      <w:bookmarkStart w:id="4" w:name="_Toc111186722"/>
      <w:bookmarkStart w:id="5" w:name="_Toc193357937"/>
      <w:r>
        <w:rPr>
          <w:rFonts w:hint="eastAsia"/>
          <w:color w:val="auto"/>
          <w:highlight w:val="none"/>
          <w:lang w:bidi="ar"/>
        </w:rPr>
        <w:t>第二章  投标人须知</w:t>
      </w:r>
      <w:bookmarkEnd w:id="4"/>
      <w:bookmarkEnd w:id="5"/>
    </w:p>
    <w:p>
      <w:pPr>
        <w:pStyle w:val="4"/>
        <w:wordWrap w:val="0"/>
        <w:rPr>
          <w:color w:val="auto"/>
          <w:highlight w:val="none"/>
          <w:lang w:bidi="ar"/>
        </w:rPr>
      </w:pPr>
      <w:bookmarkStart w:id="6" w:name="_Toc193357938"/>
      <w:bookmarkStart w:id="7" w:name="_Toc111186723"/>
      <w:bookmarkStart w:id="8" w:name="_Toc26350"/>
      <w:r>
        <w:rPr>
          <w:rFonts w:hint="eastAsia"/>
          <w:color w:val="auto"/>
          <w:highlight w:val="none"/>
          <w:lang w:bidi="ar"/>
        </w:rPr>
        <w:t>投标人须知前附表</w:t>
      </w:r>
      <w:bookmarkEnd w:id="6"/>
      <w:bookmarkEnd w:id="7"/>
      <w:bookmarkEnd w:id="8"/>
    </w:p>
    <w:tbl>
      <w:tblPr>
        <w:tblStyle w:val="45"/>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811"/>
        <w:gridCol w:w="5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440" w:type="pct"/>
            <w:vAlign w:val="center"/>
          </w:tcPr>
          <w:p>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065" w:type="pct"/>
            <w:vAlign w:val="center"/>
          </w:tcPr>
          <w:p>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条款名称</w:t>
            </w:r>
          </w:p>
        </w:tc>
        <w:tc>
          <w:tcPr>
            <w:tcW w:w="3493" w:type="pct"/>
            <w:vAlign w:val="center"/>
          </w:tcPr>
          <w:p>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广州市花都区交通运输局</w:t>
            </w:r>
          </w:p>
          <w:p>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广州市花都区紫薇路23号</w:t>
            </w:r>
          </w:p>
          <w:p>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李</w:t>
            </w:r>
            <w:r>
              <w:rPr>
                <w:rFonts w:hint="eastAsia" w:ascii="宋体" w:hAnsi="宋体" w:eastAsia="宋体" w:cs="宋体"/>
                <w:color w:val="auto"/>
                <w:szCs w:val="21"/>
                <w:highlight w:val="none"/>
                <w:u w:val="single"/>
                <w:lang w:eastAsia="zh-CN"/>
              </w:rPr>
              <w:t>工</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020-86970157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3493" w:type="pct"/>
            <w:vAlign w:val="center"/>
          </w:tcPr>
          <w:p>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广州市交正工程咨询有限公司</w:t>
            </w:r>
          </w:p>
          <w:p>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广州市番禺区洛浦街道北环路87号2号楼</w:t>
            </w:r>
          </w:p>
          <w:p>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羊</w:t>
            </w:r>
            <w:r>
              <w:rPr>
                <w:rFonts w:hint="eastAsia" w:ascii="宋体" w:hAnsi="宋体" w:eastAsia="宋体" w:cs="宋体"/>
                <w:color w:val="auto"/>
                <w:szCs w:val="21"/>
                <w:highlight w:val="none"/>
                <w:u w:val="single"/>
                <w:lang w:eastAsia="zh-CN"/>
              </w:rPr>
              <w:t>工</w:t>
            </w:r>
          </w:p>
          <w:p>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020-39185654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人民桥重建工程</w:t>
            </w:r>
            <w:r>
              <w:rPr>
                <w:rFonts w:hint="eastAsia" w:ascii="宋体" w:hAnsi="宋体" w:eastAsia="宋体" w:cs="宋体"/>
                <w:color w:val="auto"/>
                <w:szCs w:val="21"/>
                <w:highlight w:val="none"/>
                <w:u w:val="single"/>
              </w:rPr>
              <w:t>勘察设计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项目投资估算</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勘察设计服务期限</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1、勘察质量标准：符合国家、省、市及行业现行相关规定、规范、标准和本项目勘察设计要求。</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2、设计质量标准：符合国家、省、市及行业现行相关规定、规范、标准和本项目设计任务要求。</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注：具体以合同约定为准。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■不组织，投标人自行考察。</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补充说明如下：</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（3）由招标人提供的资料和数据，只是为了使投标人能够利用招标人现有的资料。招标人对投标人由此而作出的推论、解释和结论概不负责。</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（4）不论投标结果如何，投标人应承担其投标文件编制与递交所涉及的一切费用，发包人对上述费用不负任何责任。</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1.10.2</w:t>
            </w:r>
          </w:p>
        </w:tc>
        <w:tc>
          <w:tcPr>
            <w:tcW w:w="1065" w:type="pct"/>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bidi="ar"/>
              </w:rPr>
              <w:t xml:space="preserve"> / （本项目不召开投标预备会）。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pPr>
              <w:widowControl/>
              <w:wordWrap w:val="0"/>
              <w:spacing w:line="276" w:lineRule="auto"/>
              <w:jc w:val="center"/>
              <w:rPr>
                <w:rFonts w:ascii="宋体" w:hAnsi="宋体" w:eastAsia="宋体" w:cs="宋体"/>
                <w:color w:val="auto"/>
                <w:kern w:val="0"/>
                <w:szCs w:val="21"/>
                <w:highlight w:val="none"/>
              </w:rPr>
            </w:pPr>
          </w:p>
        </w:tc>
        <w:tc>
          <w:tcPr>
            <w:tcW w:w="1065" w:type="pct"/>
            <w:vMerge w:val="continue"/>
            <w:vAlign w:val="center"/>
          </w:tcPr>
          <w:p>
            <w:pPr>
              <w:wordWrap w:val="0"/>
              <w:spacing w:line="276" w:lineRule="auto"/>
              <w:jc w:val="center"/>
              <w:rPr>
                <w:rFonts w:ascii="宋体" w:hAnsi="宋体" w:eastAsia="宋体" w:cs="宋体"/>
                <w:color w:val="auto"/>
                <w:szCs w:val="21"/>
                <w:highlight w:val="none"/>
              </w:rPr>
            </w:pP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lang w:bidi="ar"/>
              </w:rPr>
              <w:t xml:space="preserve"> / （本项目不召开投标预备会）。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  （不召开投标预备会，此为投标预备会的答疑澄清）。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7"/>
                <w:kern w:val="0"/>
                <w:szCs w:val="21"/>
                <w:highlight w:val="none"/>
              </w:rPr>
              <w:t>1</w:t>
            </w:r>
            <w:r>
              <w:rPr>
                <w:rFonts w:hint="eastAsia" w:ascii="宋体" w:hAnsi="宋体" w:eastAsia="宋体" w:cs="宋体"/>
                <w:color w:val="auto"/>
                <w:kern w:val="0"/>
                <w:szCs w:val="21"/>
                <w:highlight w:val="none"/>
              </w:rPr>
              <w:t>1.1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■允许，分包内容要求：</w:t>
            </w:r>
            <w:r>
              <w:rPr>
                <w:rFonts w:hint="eastAsia" w:ascii="宋体" w:hAnsi="宋体" w:eastAsia="宋体" w:cs="宋体"/>
                <w:color w:val="auto"/>
                <w:szCs w:val="21"/>
                <w:highlight w:val="none"/>
                <w:u w:val="single"/>
              </w:rPr>
              <w:t>按有关规定。</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分包金额要求：/</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r>
              <w:rPr>
                <w:rFonts w:hint="eastAsia" w:ascii="宋体" w:hAnsi="宋体" w:eastAsia="宋体" w:cs="宋体"/>
                <w:color w:val="auto"/>
                <w:szCs w:val="21"/>
                <w:highlight w:val="none"/>
                <w:u w:val="single"/>
              </w:rPr>
              <w:t>按国家规定。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hint="eastAsia" w:ascii="宋体" w:hAnsi="宋体" w:eastAsia="宋体" w:cs="宋体"/>
                <w:color w:val="auto"/>
                <w:szCs w:val="21"/>
                <w:highlight w:val="none"/>
                <w:u w:val="single"/>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招标文件的答疑</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  年   月   日   时前</w:t>
            </w:r>
            <w:r>
              <w:rPr>
                <w:rFonts w:hint="eastAsia" w:ascii="Times New Roman" w:hAnsi="Times New Roman"/>
                <w:color w:val="auto"/>
                <w:szCs w:val="21"/>
                <w:highlight w:val="none"/>
                <w:u w:val="single"/>
                <w:lang w:eastAsia="zh-CN"/>
              </w:rPr>
              <w:t>（</w:t>
            </w:r>
            <w:r>
              <w:rPr>
                <w:rFonts w:hint="eastAsia" w:ascii="宋体" w:hAnsi="宋体" w:eastAsia="宋体" w:cs="宋体"/>
                <w:color w:val="auto"/>
                <w:kern w:val="0"/>
                <w:szCs w:val="21"/>
                <w:highlight w:val="none"/>
                <w:shd w:val="clear" w:color="auto" w:fill="FFFFFF"/>
                <w:lang w:val="en-US" w:eastAsia="zh-CN" w:bidi="ar"/>
              </w:rPr>
              <w:t>具体</w:t>
            </w:r>
            <w:r>
              <w:rPr>
                <w:rFonts w:hint="eastAsia" w:ascii="宋体" w:hAnsi="宋体" w:eastAsia="宋体" w:cs="宋体"/>
                <w:color w:val="auto"/>
                <w:kern w:val="0"/>
                <w:szCs w:val="21"/>
                <w:highlight w:val="none"/>
                <w:u w:val="single"/>
                <w:shd w:val="clear" w:color="auto" w:fill="FFFFFF"/>
                <w:lang w:val="en-US" w:eastAsia="zh-CN" w:bidi="ar"/>
              </w:rPr>
              <w:t>时间</w:t>
            </w:r>
            <w:r>
              <w:rPr>
                <w:rFonts w:hint="eastAsia" w:ascii="宋体" w:hAnsi="宋体" w:eastAsia="宋体" w:cs="宋体"/>
                <w:color w:val="auto"/>
                <w:kern w:val="0"/>
                <w:szCs w:val="21"/>
                <w:highlight w:val="none"/>
                <w:u w:val="single"/>
                <w:shd w:val="clear" w:color="auto" w:fill="FFFFFF"/>
                <w:lang w:bidi="ar"/>
              </w:rPr>
              <w:t>安排以广州交易集团有限公司（广州公共资源交易中心）网站中“建设工程”→“项目查询（日程安排、答疑纪要）”公布的为准</w:t>
            </w:r>
            <w:r>
              <w:rPr>
                <w:rFonts w:hint="eastAsia" w:ascii="Times New Roman" w:hAnsi="Times New Roman"/>
                <w:color w:val="auto"/>
                <w:szCs w:val="21"/>
                <w:highlight w:val="none"/>
                <w:u w:val="single"/>
                <w:lang w:eastAsia="zh-CN"/>
              </w:rPr>
              <w:t>）</w:t>
            </w:r>
            <w:r>
              <w:rPr>
                <w:rFonts w:hint="eastAsia" w:ascii="宋体" w:hAnsi="宋体" w:eastAsia="宋体" w:cs="宋体"/>
                <w:color w:val="auto"/>
                <w:szCs w:val="21"/>
                <w:highlight w:val="none"/>
                <w:u w:val="single"/>
              </w:rPr>
              <w:t>。</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投标人的疑问通过广州交易集团有限公司（广州公共资源交易中心）网站提交。</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u w:val="single"/>
              </w:rPr>
              <w:t>按照广州交易集团有限公司（广州公共资源交易中心）网站关于全流程电子化项目的相关指南进行操作，提问一律不得署名。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招标文件的修改期限：</w:t>
            </w:r>
            <w:r>
              <w:rPr>
                <w:rFonts w:hint="eastAsia" w:ascii="宋体" w:hAnsi="宋体" w:eastAsia="宋体" w:cs="宋体"/>
                <w:color w:val="auto"/>
                <w:szCs w:val="21"/>
                <w:highlight w:val="none"/>
                <w:u w:val="single"/>
              </w:rPr>
              <w:t>在投标截止时间 15 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投标人认为有必要提供的其他资料，格式自定。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投标人的报价为含税报价。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1、勘察费报价：投标人自行报价。勘察费报价为投标人完成本工程所需的所有勘察工作，包括但不限于岩土勘察、</w:t>
            </w:r>
            <w:r>
              <w:rPr>
                <w:rFonts w:hint="eastAsia" w:ascii="宋体" w:hAnsi="宋体" w:eastAsia="宋体" w:cs="宋体"/>
                <w:color w:val="auto"/>
                <w:szCs w:val="21"/>
                <w:highlight w:val="none"/>
                <w:lang w:val="en-US" w:eastAsia="zh-CN"/>
              </w:rPr>
              <w:t>工程测量、管线探测</w:t>
            </w:r>
            <w:r>
              <w:rPr>
                <w:rFonts w:hint="eastAsia" w:ascii="宋体" w:hAnsi="宋体" w:eastAsia="宋体" w:cs="宋体"/>
                <w:color w:val="auto"/>
                <w:szCs w:val="21"/>
                <w:highlight w:val="none"/>
              </w:rPr>
              <w:t>等的实物工作收费、进出场费、技术工作收费等全部成本、利润、税金以及风险等。</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2、设计费报价：投标人自行报价。设计费报价为投标人完成本工程所有专业方案设计、初步设计等工作及履行合同的成本、利润、税金及风险等。</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3、勘察设计费的结算方式按合同约定执行。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■有，</w:t>
            </w:r>
            <w:r>
              <w:rPr>
                <w:rFonts w:ascii="宋体" w:hAnsi="宋体" w:eastAsia="宋体" w:cs="宋体"/>
                <w:color w:val="auto"/>
                <w:szCs w:val="21"/>
                <w:highlight w:val="none"/>
              </w:rPr>
              <w:t>最高投标限价：</w:t>
            </w:r>
            <w:bookmarkStart w:id="9" w:name="OLE_LINK1"/>
            <w:r>
              <w:rPr>
                <w:rFonts w:hint="eastAsia" w:ascii="宋体" w:hAnsi="宋体" w:eastAsia="宋体" w:cs="宋体"/>
                <w:b/>
                <w:bCs/>
                <w:color w:val="auto"/>
                <w:szCs w:val="21"/>
                <w:highlight w:val="none"/>
                <w:u w:val="single"/>
                <w:lang w:val="en-US" w:eastAsia="zh-CN"/>
              </w:rPr>
              <w:t>240.13</w:t>
            </w:r>
            <w:r>
              <w:rPr>
                <w:rFonts w:hint="eastAsia" w:ascii="宋体" w:hAnsi="宋体" w:eastAsia="宋体" w:cs="宋体"/>
                <w:b/>
                <w:bCs/>
                <w:color w:val="auto"/>
                <w:szCs w:val="21"/>
                <w:highlight w:val="none"/>
              </w:rPr>
              <w:t>万元</w:t>
            </w:r>
            <w:r>
              <w:rPr>
                <w:rFonts w:hint="eastAsia" w:ascii="宋体" w:hAnsi="宋体" w:eastAsia="宋体" w:cs="宋体"/>
                <w:color w:val="auto"/>
                <w:szCs w:val="21"/>
                <w:highlight w:val="none"/>
              </w:rPr>
              <w:t>，其中：勘察费最高投标限价：</w:t>
            </w:r>
            <w:r>
              <w:rPr>
                <w:rFonts w:hint="eastAsia" w:ascii="宋体" w:hAnsi="宋体" w:eastAsia="宋体" w:cs="宋体"/>
                <w:b/>
                <w:bCs/>
                <w:color w:val="auto"/>
                <w:szCs w:val="21"/>
                <w:highlight w:val="none"/>
                <w:u w:val="single"/>
                <w:lang w:val="en-US" w:eastAsia="zh-CN"/>
              </w:rPr>
              <w:t>39.86</w:t>
            </w:r>
            <w:r>
              <w:rPr>
                <w:rFonts w:hint="eastAsia" w:ascii="宋体" w:hAnsi="宋体" w:eastAsia="宋体" w:cs="宋体"/>
                <w:b/>
                <w:bCs/>
                <w:color w:val="auto"/>
                <w:szCs w:val="21"/>
                <w:highlight w:val="none"/>
              </w:rPr>
              <w:t>万元</w:t>
            </w:r>
            <w:r>
              <w:rPr>
                <w:rFonts w:hint="eastAsia" w:ascii="宋体" w:hAnsi="宋体" w:eastAsia="宋体" w:cs="宋体"/>
                <w:color w:val="auto"/>
                <w:szCs w:val="21"/>
                <w:highlight w:val="none"/>
              </w:rPr>
              <w:t>，设计费最高投标限价：</w:t>
            </w:r>
            <w:r>
              <w:rPr>
                <w:rFonts w:hint="eastAsia" w:ascii="宋体" w:hAnsi="宋体" w:eastAsia="宋体" w:cs="宋体"/>
                <w:b/>
                <w:bCs/>
                <w:color w:val="auto"/>
                <w:szCs w:val="21"/>
                <w:highlight w:val="none"/>
                <w:u w:val="single"/>
              </w:rPr>
              <w:t>2</w:t>
            </w:r>
            <w:r>
              <w:rPr>
                <w:rFonts w:hint="eastAsia" w:ascii="宋体" w:hAnsi="宋体" w:eastAsia="宋体" w:cs="宋体"/>
                <w:b/>
                <w:bCs/>
                <w:color w:val="auto"/>
                <w:szCs w:val="21"/>
                <w:highlight w:val="none"/>
                <w:u w:val="single"/>
                <w:lang w:eastAsia="zh-CN"/>
              </w:rPr>
              <w:t>0</w:t>
            </w:r>
            <w:r>
              <w:rPr>
                <w:rFonts w:hint="eastAsia" w:ascii="宋体" w:hAnsi="宋体" w:eastAsia="宋体" w:cs="宋体"/>
                <w:b/>
                <w:bCs/>
                <w:color w:val="auto"/>
                <w:szCs w:val="21"/>
                <w:highlight w:val="none"/>
                <w:u w:val="single"/>
                <w:lang w:val="en-US" w:eastAsia="zh-CN"/>
              </w:rPr>
              <w:t>0.27</w:t>
            </w:r>
            <w:bookmarkEnd w:id="9"/>
            <w:r>
              <w:rPr>
                <w:rFonts w:hint="eastAsia" w:ascii="宋体" w:hAnsi="宋体" w:eastAsia="宋体" w:cs="宋体"/>
                <w:b/>
                <w:bCs/>
                <w:color w:val="auto"/>
                <w:szCs w:val="21"/>
                <w:highlight w:val="none"/>
              </w:rPr>
              <w:t>万元</w:t>
            </w:r>
            <w:r>
              <w:rPr>
                <w:rFonts w:hint="eastAsia" w:ascii="宋体" w:hAnsi="宋体" w:eastAsia="宋体" w:cs="宋体"/>
                <w:color w:val="auto"/>
                <w:szCs w:val="21"/>
                <w:highlight w:val="none"/>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注：投标报价由投标人根据招标文件要求以及企业自身情况填报。投标人未按要求报价或投标报价（含投标总报价、勘察费报价、设计费报价）超过上述相应最高投标限价的为无效标。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投标人必须详细审阅全部招标文件，充分考虑职责和义务，全面地理解招标文件对投标报价的要求，并按招标人提出的条件及内容进行报价。</w:t>
            </w:r>
            <w:r>
              <w:rPr>
                <w:rFonts w:hint="eastAsia" w:ascii="宋体" w:hAnsi="宋体" w:eastAsia="宋体" w:cs="宋体"/>
                <w:color w:val="auto"/>
                <w:szCs w:val="21"/>
                <w:highlight w:val="none"/>
                <w:lang w:bidi="ar"/>
              </w:rPr>
              <w:t>所有报价均以人民币表示，以元为单位，保留小数点后两位小数，第三位小数四舍五入。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90</w:t>
            </w:r>
            <w:r>
              <w:rPr>
                <w:rFonts w:hint="eastAsia" w:ascii="宋体" w:hAnsi="宋体" w:eastAsia="宋体" w:cs="宋体"/>
                <w:color w:val="auto"/>
                <w:szCs w:val="21"/>
                <w:highlight w:val="none"/>
              </w:rPr>
              <w:t>日历天（从投标截止之日计起）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w:t>
            </w:r>
          </w:p>
          <w:p>
            <w:pPr>
              <w:widowControl/>
              <w:wordWrap w:val="0"/>
              <w:topLinePunct/>
              <w:spacing w:after="120"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缴纳金额：</w:t>
            </w:r>
            <w:r>
              <w:rPr>
                <w:rFonts w:hint="eastAsia" w:ascii="宋体" w:hAnsi="宋体" w:eastAsia="宋体" w:cs="宋体"/>
                <w:color w:val="auto"/>
                <w:kern w:val="0"/>
                <w:szCs w:val="21"/>
                <w:highlight w:val="none"/>
                <w:u w:val="single"/>
                <w:lang w:val="zh-CN"/>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3.4.4</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3493" w:type="pct"/>
            <w:vAlign w:val="center"/>
          </w:tcPr>
          <w:p>
            <w:pPr>
              <w:wordWrap w:val="0"/>
              <w:spacing w:line="276" w:lineRule="auto"/>
              <w:rPr>
                <w:rFonts w:ascii="宋体" w:hAnsi="宋体" w:eastAsia="宋体"/>
                <w:color w:val="auto"/>
                <w:szCs w:val="24"/>
                <w:highlight w:val="none"/>
                <w:u w:val="single"/>
              </w:rPr>
            </w:pPr>
            <w:r>
              <w:rPr>
                <w:rFonts w:ascii="宋体" w:hAnsi="宋体" w:eastAsia="宋体"/>
                <w:color w:val="auto"/>
                <w:szCs w:val="24"/>
                <w:highlight w:val="none"/>
                <w:u w:val="single"/>
              </w:rPr>
              <w:t>投标文件格式规定需个人签字的，应签字或签章后扫描上传</w:t>
            </w:r>
            <w:r>
              <w:rPr>
                <w:rFonts w:hint="eastAsia"/>
                <w:color w:val="auto"/>
                <w:szCs w:val="21"/>
                <w:highlight w:val="none"/>
                <w:u w:val="single"/>
              </w:rPr>
              <w:t>（</w:t>
            </w:r>
            <w:r>
              <w:rPr>
                <w:rFonts w:ascii="Calibri" w:hAnsi="Calibri" w:eastAsia="宋体" w:cs="Times New Roman"/>
                <w:color w:val="auto"/>
                <w:szCs w:val="24"/>
                <w:highlight w:val="none"/>
                <w:u w:val="single"/>
              </w:rPr>
              <w:t>可靠的电子签名与手写签名或者盖章具有同等的法律效力</w:t>
            </w:r>
            <w:r>
              <w:rPr>
                <w:rFonts w:hint="eastAsia"/>
                <w:color w:val="auto"/>
                <w:szCs w:val="21"/>
                <w:highlight w:val="none"/>
                <w:u w:val="single"/>
              </w:rPr>
              <w:t>）</w:t>
            </w:r>
            <w:r>
              <w:rPr>
                <w:rFonts w:ascii="宋体" w:hAnsi="宋体" w:eastAsia="宋体"/>
                <w:color w:val="auto"/>
                <w:szCs w:val="24"/>
                <w:highlight w:val="none"/>
                <w:u w:val="single"/>
              </w:rPr>
              <w:t>。投标文件格式规定盖单位公章的页面必须盖单位公章</w:t>
            </w:r>
            <w:r>
              <w:rPr>
                <w:rFonts w:hint="eastAsia" w:ascii="宋体" w:hAnsi="宋体" w:eastAsia="宋体"/>
                <w:color w:val="auto"/>
                <w:szCs w:val="24"/>
                <w:highlight w:val="none"/>
                <w:u w:val="single"/>
              </w:rPr>
              <w:t>或电子公章</w:t>
            </w:r>
            <w:r>
              <w:rPr>
                <w:rFonts w:ascii="宋体" w:hAnsi="宋体" w:eastAsia="宋体"/>
                <w:color w:val="auto"/>
                <w:szCs w:val="24"/>
                <w:highlight w:val="none"/>
                <w:u w:val="single"/>
              </w:rPr>
              <w:t>（公章与电子公章具有相同法律效力）</w:t>
            </w:r>
            <w:r>
              <w:rPr>
                <w:rFonts w:hint="eastAsia" w:ascii="宋体" w:hAnsi="宋体" w:eastAsia="宋体"/>
                <w:color w:val="auto"/>
                <w:szCs w:val="24"/>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封套上应载明的信息（适用于提交备用光盘或U盘的情况）</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如有提交投标文件光盘备用，封套上应注明如下信息：</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刻录好的投标文件光盘分别密封在不透明的密封袋并作标记，其中：</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1.“商务文件（含资格审查文件）光盘”应在密封袋上写明（1）招标人名称；（2）“[项目名称] 商务文件（含资格审查文件）光盘”字样；（3）投标人名称；并在封口处加盖投标人单位公章；</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2.“技术文件光盘”、“保密文件光盘”应仅在密封袋上写明“[项目名称][技术文件光盘或保密文件光盘]”字样，并不得盖章或加具其它可以识别投标人身份的标记。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493" w:type="pct"/>
            <w:vAlign w:val="center"/>
          </w:tcPr>
          <w:p>
            <w:pPr>
              <w:wordWrap w:val="0"/>
              <w:spacing w:line="276" w:lineRule="auto"/>
              <w:rPr>
                <w:rFonts w:ascii="宋体" w:hAnsi="宋体" w:eastAsia="宋体" w:cs="宋体"/>
                <w:color w:val="auto"/>
                <w:szCs w:val="21"/>
                <w:highlight w:val="none"/>
              </w:rPr>
            </w:pPr>
            <w:r>
              <w:rPr>
                <w:rFonts w:ascii="宋体" w:hAnsi="Times New Roman" w:eastAsia="宋体"/>
                <w:color w:val="auto"/>
                <w:szCs w:val="24"/>
                <w:highlight w:val="none"/>
              </w:rPr>
              <w:t>投标截止时间：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r>
              <w:rPr>
                <w:rFonts w:hint="eastAsia" w:ascii="Times New Roman" w:hAnsi="Times New Roman"/>
                <w:color w:val="auto"/>
                <w:szCs w:val="21"/>
                <w:highlight w:val="none"/>
                <w:u w:val="single"/>
                <w:lang w:eastAsia="zh-CN"/>
              </w:rPr>
              <w:t>（</w:t>
            </w:r>
            <w:r>
              <w:rPr>
                <w:rFonts w:hint="eastAsia" w:ascii="宋体" w:hAnsi="宋体" w:eastAsia="宋体" w:cs="宋体"/>
                <w:color w:val="auto"/>
                <w:kern w:val="0"/>
                <w:szCs w:val="21"/>
                <w:highlight w:val="none"/>
                <w:shd w:val="clear" w:color="auto" w:fill="FFFFFF"/>
                <w:lang w:val="en-US" w:eastAsia="zh-CN" w:bidi="ar"/>
              </w:rPr>
              <w:t>具体</w:t>
            </w:r>
            <w:r>
              <w:rPr>
                <w:rFonts w:hint="eastAsia" w:ascii="宋体" w:hAnsi="宋体" w:eastAsia="宋体" w:cs="宋体"/>
                <w:color w:val="auto"/>
                <w:kern w:val="0"/>
                <w:szCs w:val="21"/>
                <w:highlight w:val="none"/>
                <w:u w:val="single"/>
                <w:shd w:val="clear" w:color="auto" w:fill="FFFFFF"/>
                <w:lang w:val="en-US" w:eastAsia="zh-CN" w:bidi="ar"/>
              </w:rPr>
              <w:t>时间</w:t>
            </w:r>
            <w:r>
              <w:rPr>
                <w:rFonts w:hint="eastAsia" w:ascii="宋体" w:hAnsi="宋体" w:eastAsia="宋体" w:cs="宋体"/>
                <w:color w:val="auto"/>
                <w:kern w:val="0"/>
                <w:szCs w:val="21"/>
                <w:highlight w:val="none"/>
                <w:u w:val="single"/>
                <w:shd w:val="clear" w:color="auto" w:fill="FFFFFF"/>
                <w:lang w:bidi="ar"/>
              </w:rPr>
              <w:t>安排以广州交易集团有限公司（广州公共资源交易中心）网站中“建设工程”→“项目查询（日程安排、答疑纪要）”公布的为准</w:t>
            </w:r>
            <w:r>
              <w:rPr>
                <w:rFonts w:hint="eastAsia" w:ascii="Times New Roman" w:hAnsi="Times New Roman"/>
                <w:color w:val="auto"/>
                <w:szCs w:val="21"/>
                <w:highlight w:val="none"/>
                <w:u w:val="single"/>
                <w:lang w:eastAsia="zh-CN"/>
              </w:rPr>
              <w:t>）</w:t>
            </w:r>
            <w:r>
              <w:rPr>
                <w:rFonts w:hint="eastAsia" w:ascii="宋体" w:hAnsi="宋体" w:eastAsia="宋体" w:cs="宋体"/>
                <w:color w:val="auto"/>
                <w:szCs w:val="21"/>
                <w:highlight w:val="none"/>
              </w:rPr>
              <w:t>，以广州交易集团有限公司（广州公共资源交易中心）网站发布信息为准。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3493" w:type="pct"/>
            <w:vAlign w:val="center"/>
          </w:tcPr>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1.开标时间：</w:t>
            </w:r>
            <w:r>
              <w:rPr>
                <w:rFonts w:hint="eastAsia" w:ascii="宋体" w:hAnsi="宋体" w:eastAsia="宋体" w:cs="宋体"/>
                <w:color w:val="auto"/>
                <w:szCs w:val="21"/>
                <w:highlight w:val="none"/>
                <w:u w:val="single"/>
                <w:lang w:bidi="ar"/>
              </w:rPr>
              <w:t>同投标截止时间</w:t>
            </w:r>
          </w:p>
          <w:p>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2.开标地点：</w:t>
            </w:r>
            <w:r>
              <w:rPr>
                <w:rFonts w:hint="eastAsia" w:ascii="宋体" w:hAnsi="宋体" w:eastAsia="宋体" w:cs="宋体"/>
                <w:color w:val="auto"/>
                <w:szCs w:val="21"/>
                <w:highlight w:val="none"/>
                <w:u w:val="single"/>
                <w:lang w:bidi="ar"/>
              </w:rPr>
              <w:t>广州交易集团有限公司（广州公共资源交易中心）指定开标室。</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3.递交投标文件备用光盘时间：____年____月____日____时____分至____年____月____日____时____分；递交地点：</w:t>
            </w:r>
            <w:r>
              <w:rPr>
                <w:rFonts w:hint="eastAsia" w:ascii="宋体" w:hAnsi="宋体" w:eastAsia="宋体" w:cs="宋体"/>
                <w:color w:val="auto"/>
                <w:szCs w:val="21"/>
                <w:highlight w:val="none"/>
                <w:u w:val="single"/>
                <w:lang w:bidi="ar"/>
              </w:rPr>
              <w:t>广州交易集团有限公司（广州公共资源交易中心）指定开标室</w:t>
            </w:r>
            <w:r>
              <w:rPr>
                <w:rFonts w:hint="eastAsia" w:ascii="宋体" w:hAnsi="宋体" w:eastAsia="宋体" w:cs="宋体"/>
                <w:color w:val="auto"/>
                <w:szCs w:val="21"/>
                <w:highlight w:val="none"/>
                <w:lang w:bidi="ar"/>
              </w:rPr>
              <w:t>(</w:t>
            </w:r>
            <w:r>
              <w:rPr>
                <w:rFonts w:hint="eastAsia" w:ascii="宋体" w:hAnsi="宋体" w:eastAsia="宋体" w:cs="宋体"/>
                <w:color w:val="auto"/>
                <w:kern w:val="0"/>
                <w:szCs w:val="21"/>
                <w:highlight w:val="none"/>
                <w:shd w:val="clear" w:color="auto" w:fill="FFFFFF"/>
                <w:lang w:val="en-US" w:eastAsia="zh-CN" w:bidi="ar"/>
              </w:rPr>
              <w:t>具体</w:t>
            </w:r>
            <w:r>
              <w:rPr>
                <w:rFonts w:hint="eastAsia" w:ascii="宋体" w:hAnsi="宋体" w:eastAsia="宋体" w:cs="宋体"/>
                <w:color w:val="auto"/>
                <w:kern w:val="0"/>
                <w:szCs w:val="21"/>
                <w:highlight w:val="none"/>
                <w:u w:val="single"/>
                <w:shd w:val="clear" w:color="auto" w:fill="FFFFFF"/>
                <w:lang w:val="en-US" w:eastAsia="zh-CN" w:bidi="ar"/>
              </w:rPr>
              <w:t>时间及场地</w:t>
            </w:r>
            <w:r>
              <w:rPr>
                <w:rFonts w:hint="eastAsia" w:ascii="宋体" w:hAnsi="宋体" w:eastAsia="宋体" w:cs="宋体"/>
                <w:color w:val="auto"/>
                <w:kern w:val="0"/>
                <w:szCs w:val="21"/>
                <w:highlight w:val="none"/>
                <w:u w:val="single"/>
                <w:shd w:val="clear" w:color="auto" w:fill="FFFFFF"/>
                <w:lang w:bidi="ar"/>
              </w:rPr>
              <w:t>安排以广州交易集团有限公司（广州公共资源交易中心）网站中“建设工程”→“项目查询（日程安排、答疑纪要）”公布的为准</w:t>
            </w:r>
            <w:r>
              <w:rPr>
                <w:rFonts w:hint="eastAsia" w:ascii="宋体" w:hAnsi="宋体" w:eastAsia="宋体" w:cs="宋体"/>
                <w:color w:val="auto"/>
                <w:szCs w:val="21"/>
                <w:highlight w:val="none"/>
                <w:lang w:bidi="ar"/>
              </w:rPr>
              <w:t>）。</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4.提交投标文件光盘备用</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5.补救方案</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（2）评标时突发情况的补救方案：若遇不可抗力发生（指网络瘫痪、服务器损坏、交易系统故障短期无法恢复等因素），由评标委员会开启投标人递交的全部投标文件光盘，并按光盘内容进行评审。</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（3）除发生上述情况外，开标评标均以投标人通过交易平台网上递交的电子投标文件为准。</w:t>
            </w:r>
          </w:p>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6.开标时，投标人代表有权参加现场开标或在线开标，也可以自主决定不参加开标，投标人选择参加在线开标的，具体按照交易平台相关指南进行操作。</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7.上述时间及地点是否有改变，请密切留意补充公告或招标答疑纪要的相关信息。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3493" w:type="pct"/>
            <w:vAlign w:val="center"/>
          </w:tcPr>
          <w:p>
            <w:pPr>
              <w:wordWrap w:val="0"/>
              <w:spacing w:line="276" w:lineRule="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评标委员会构成：</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single"/>
                <w:lang w:bidi="ar"/>
              </w:rPr>
              <w:t>人</w:t>
            </w:r>
          </w:p>
          <w:p>
            <w:pPr>
              <w:wordWrap w:val="0"/>
              <w:spacing w:line="276" w:lineRule="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其中招标人代表</w:t>
            </w:r>
            <w:r>
              <w:rPr>
                <w:rFonts w:hint="eastAsia" w:ascii="宋体" w:hAnsi="宋体" w:eastAsia="宋体" w:cs="宋体"/>
                <w:color w:val="auto"/>
                <w:szCs w:val="21"/>
                <w:highlight w:val="none"/>
                <w:u w:val="single"/>
                <w:lang w:val="en-US" w:eastAsia="zh-CN" w:bidi="ar"/>
              </w:rPr>
              <w:t>2</w:t>
            </w:r>
            <w:r>
              <w:rPr>
                <w:rFonts w:hint="eastAsia" w:ascii="宋体" w:hAnsi="宋体" w:eastAsia="宋体" w:cs="宋体"/>
                <w:color w:val="auto"/>
                <w:szCs w:val="21"/>
                <w:highlight w:val="none"/>
                <w:u w:val="single"/>
                <w:lang w:bidi="ar"/>
              </w:rPr>
              <w:t>人，专家</w:t>
            </w:r>
            <w:r>
              <w:rPr>
                <w:rFonts w:hint="eastAsia" w:ascii="宋体" w:hAnsi="宋体" w:eastAsia="宋体" w:cs="宋体"/>
                <w:color w:val="auto"/>
                <w:szCs w:val="21"/>
                <w:highlight w:val="none"/>
                <w:u w:val="single"/>
                <w:lang w:val="en-US" w:eastAsia="zh-CN" w:bidi="ar"/>
              </w:rPr>
              <w:t>5</w:t>
            </w:r>
            <w:r>
              <w:rPr>
                <w:rFonts w:hint="eastAsia" w:ascii="宋体" w:hAnsi="宋体" w:eastAsia="宋体" w:cs="宋体"/>
                <w:color w:val="auto"/>
                <w:szCs w:val="21"/>
                <w:highlight w:val="none"/>
                <w:u w:val="single"/>
                <w:lang w:bidi="ar"/>
              </w:rPr>
              <w:t>人；</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评标专家确定方式：由招标人依法抽取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lang w:bidi="ar"/>
              </w:rPr>
              <w:t>广州交易集团有限公司（广州公共资源交易中心）网、广东省招标投标监管网、中国招标投标公共服务平台</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日（不少于3日，最后一天应为工作日）</w:t>
            </w:r>
          </w:p>
          <w:p>
            <w:pPr>
              <w:wordWrap w:val="0"/>
              <w:spacing w:line="276" w:lineRule="auto"/>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p>
            <w:pPr>
              <w:wordWrap w:val="0"/>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技术成果经济补偿</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■不补偿</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□补偿，补偿标准：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hint="eastAsia" w:ascii="宋体" w:hAnsi="宋体" w:eastAsia="宋体" w:cs="Times New Roman"/>
                <w:color w:val="auto"/>
                <w:szCs w:val="21"/>
                <w:highlight w:val="none"/>
                <w:u w:val="single"/>
              </w:rPr>
              <w:t>按合同约定</w:t>
            </w:r>
            <w:r>
              <w:rPr>
                <w:rFonts w:hint="eastAsia" w:ascii="宋体" w:hAnsi="宋体" w:eastAsia="宋体" w:cs="宋体"/>
                <w:color w:val="auto"/>
                <w:szCs w:val="21"/>
                <w:highlight w:val="none"/>
                <w:u w:val="single"/>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w:t>
            </w:r>
            <w:r>
              <w:rPr>
                <w:rFonts w:hint="eastAsia" w:ascii="宋体" w:hAnsi="宋体" w:eastAsia="宋体" w:cs="Times New Roman"/>
                <w:color w:val="auto"/>
                <w:szCs w:val="21"/>
                <w:highlight w:val="none"/>
                <w:u w:val="single"/>
              </w:rPr>
              <w:t>合同暂定总价（含税）的</w:t>
            </w:r>
            <w:r>
              <w:rPr>
                <w:rFonts w:ascii="宋体" w:hAnsi="宋体" w:eastAsia="宋体" w:cs="Times New Roman"/>
                <w:color w:val="auto"/>
                <w:szCs w:val="21"/>
                <w:highlight w:val="none"/>
                <w:u w:val="single"/>
              </w:rPr>
              <w:t>10%</w:t>
            </w:r>
            <w:r>
              <w:rPr>
                <w:rFonts w:hint="eastAsia" w:ascii="宋体" w:hAnsi="宋体" w:eastAsia="宋体" w:cs="宋体"/>
                <w:color w:val="auto"/>
                <w:szCs w:val="21"/>
                <w:highlight w:val="none"/>
                <w:u w:val="single"/>
              </w:rPr>
              <w:t>。</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5"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3493" w:type="pct"/>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4559" w:type="pct"/>
            <w:gridSpan w:val="2"/>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.1</w:t>
            </w:r>
          </w:p>
        </w:tc>
        <w:tc>
          <w:tcPr>
            <w:tcW w:w="1065" w:type="pct"/>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1）将中标工程转包或者违法分包的；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2）在中标工程中不执行质量、安全生产相关规定的，造成质量或安全事故的；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3）出让投标资格的；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4）存在围标或串标情形的；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5）在投标文件中提供虚假材料的；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6）存在少放、不放业绩、奖项等客观评审资料，减少自身竞争力情形的；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7）存在行贿情形的；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8）拖欠农民工工资的；</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9）未按照国家、省、市有关建筑施工实名制管理和工人工资支付分账管理的规定执行，被行政监管部门处罚的。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2</w:t>
            </w:r>
          </w:p>
        </w:tc>
        <w:tc>
          <w:tcPr>
            <w:tcW w:w="1065" w:type="pct"/>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3493" w:type="pct"/>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1、招标公告、招标文件、答疑纪要等招标资料全部发布在广州交易集团有限公司（广州公共资源交易中心）网站，由投标人自行下载查阅。</w:t>
            </w:r>
          </w:p>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2、投标截止时间、开标时间和地点：发布在广州交易集团有限公司（广州公共资源交易中心）网站（具体在网站主页“建设工程”中“项目查询”输入“项目名称”或“项目编号”进行查询）。</w:t>
            </w:r>
          </w:p>
          <w:p>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3、中标后，中标单位须提交与网上上传电子投标文件完全一致的纸质投标文件（一式四份，加盖公章）至招标人。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pPr>
              <w:wordWrap w:val="0"/>
              <w:autoSpaceDE w:val="0"/>
              <w:autoSpaceDN w:val="0"/>
              <w:spacing w:line="276" w:lineRule="auto"/>
              <w:jc w:val="center"/>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3</w:t>
            </w:r>
          </w:p>
        </w:tc>
        <w:tc>
          <w:tcPr>
            <w:tcW w:w="1065" w:type="pct"/>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3493" w:type="pct"/>
            <w:vAlign w:val="center"/>
          </w:tcPr>
          <w:p>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交易服务费：</w:t>
            </w:r>
            <w:r>
              <w:rPr>
                <w:rFonts w:hint="eastAsia" w:ascii="宋体" w:hAnsi="宋体" w:eastAsia="宋体" w:cs="宋体"/>
                <w:color w:val="auto"/>
                <w:kern w:val="0"/>
                <w:szCs w:val="21"/>
                <w:highlight w:val="none"/>
                <w:u w:val="single"/>
              </w:rPr>
              <w:t>由中标单位支付。</w:t>
            </w:r>
          </w:p>
          <w:p>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招标代理费：</w:t>
            </w:r>
            <w:r>
              <w:rPr>
                <w:rFonts w:hint="eastAsia" w:ascii="宋体" w:hAnsi="宋体" w:eastAsia="宋体" w:cs="宋体"/>
                <w:color w:val="auto"/>
                <w:kern w:val="0"/>
                <w:szCs w:val="21"/>
                <w:highlight w:val="none"/>
                <w:u w:val="single"/>
              </w:rPr>
              <w:t>由中标人支付，金额以招标人与招标代理机构签订的招标代理合同为准。</w:t>
            </w:r>
          </w:p>
        </w:tc>
      </w:tr>
    </w:tbl>
    <w:p>
      <w:pPr>
        <w:wordWrap w:val="0"/>
        <w:ind w:left="420" w:leftChars="200"/>
        <w:rPr>
          <w:rFonts w:ascii="宋体" w:hAnsi="宋体" w:eastAsia="宋体" w:cs="宋体"/>
          <w:color w:val="auto"/>
          <w:szCs w:val="24"/>
          <w:highlight w:val="none"/>
        </w:rPr>
      </w:pPr>
    </w:p>
    <w:p>
      <w:pPr>
        <w:widowControl/>
        <w:jc w:val="left"/>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4"/>
        <w:rPr>
          <w:color w:val="auto"/>
          <w:highlight w:val="none"/>
        </w:rPr>
      </w:pPr>
      <w:r>
        <w:rPr>
          <w:color w:val="auto"/>
          <w:highlight w:val="none"/>
        </w:rPr>
        <w:t>投标须知修改表</w:t>
      </w:r>
    </w:p>
    <w:p>
      <w:pPr>
        <w:pStyle w:val="43"/>
        <w:pBdr>
          <w:bottom w:val="single" w:color="auto" w:sz="6" w:space="1"/>
        </w:pBdr>
        <w:spacing w:after="0" w:line="360" w:lineRule="auto"/>
        <w:ind w:firstLine="0" w:firstLineChars="0"/>
        <w:rPr>
          <w:rFonts w:ascii="宋体" w:hAnsi="宋体"/>
          <w:bCs/>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招标文件范本的投标须知通用条款，与该通用条款不同之处，均在本表中列明，并以现文为准，原文不再有效。</w:t>
      </w:r>
      <w:r>
        <w:rPr>
          <w:rFonts w:hint="eastAsia" w:ascii="宋体" w:hAnsi="宋体"/>
          <w:bCs/>
          <w:color w:val="auto"/>
          <w:sz w:val="24"/>
          <w:szCs w:val="24"/>
          <w:highlight w:val="none"/>
        </w:rPr>
        <w:t>（注：招标人按《投标须知修改表》修改的内容对应修改通用条款，属于删除的采用“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pPr>
        <w:spacing w:beforeLines="0" w:afterLines="0" w:line="360" w:lineRule="auto"/>
        <w:ind w:firstLine="482" w:firstLineChars="200"/>
        <w:jc w:val="both"/>
        <w:rPr>
          <w:rFonts w:hint="default" w:ascii="宋体" w:hAnsi="宋体" w:eastAsia="宋体"/>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2.1</w:t>
      </w:r>
      <w:r>
        <w:rPr>
          <w:rFonts w:ascii="宋体" w:hAnsi="宋体" w:eastAsia="宋体"/>
          <w:b/>
          <w:bCs/>
          <w:color w:val="auto"/>
          <w:sz w:val="24"/>
          <w:szCs w:val="24"/>
          <w:highlight w:val="none"/>
        </w:rPr>
        <w:t xml:space="preserve">         修改类型：修改</w:t>
      </w:r>
    </w:p>
    <w:p>
      <w:pPr>
        <w:spacing w:line="360" w:lineRule="auto"/>
        <w:ind w:firstLine="426" w:firstLineChars="177"/>
        <w:rPr>
          <w:rFonts w:hint="eastAsia"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本招标文件包括：</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（1）招标公告；</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（2）投标人须知；</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（3）评标办法；</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（4）合同条款及格式；</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（5）委托人要求；</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（6）投标文件格式；</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（7）投标人须知前附表规定的其他资料。</w:t>
      </w:r>
    </w:p>
    <w:p>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根据本章第 1.10 款、第 2.2 款和第 2.3 款对招标文件所作的澄清、修改，构成招标文件的组成部分。</w:t>
      </w:r>
    </w:p>
    <w:p>
      <w:pPr>
        <w:spacing w:line="360" w:lineRule="auto"/>
        <w:ind w:firstLine="426" w:firstLineChars="177"/>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本招标文件包括：</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（1）招标公告；</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（2）投标人须知；</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（3）评标办法；</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（4）合同条款及格式；</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s="宋体"/>
          <w:strike/>
          <w:color w:val="auto"/>
          <w:spacing w:val="-2"/>
          <w:kern w:val="0"/>
          <w:sz w:val="24"/>
          <w:szCs w:val="24"/>
          <w:highlight w:val="none"/>
        </w:rPr>
        <w:t>委托人</w:t>
      </w:r>
      <w:r>
        <w:rPr>
          <w:rFonts w:hint="eastAsia" w:ascii="宋体" w:hAnsi="宋体" w:eastAsia="宋体"/>
          <w:b/>
          <w:bCs/>
          <w:color w:val="auto"/>
          <w:sz w:val="24"/>
          <w:szCs w:val="24"/>
          <w:highlight w:val="none"/>
          <w:u w:val="single"/>
          <w:lang w:val="en-US" w:eastAsia="zh-CN"/>
        </w:rPr>
        <w:t>发包人</w:t>
      </w:r>
      <w:r>
        <w:rPr>
          <w:rFonts w:hint="eastAsia" w:ascii="宋体" w:hAnsi="宋体" w:eastAsia="宋体"/>
          <w:color w:val="auto"/>
          <w:sz w:val="24"/>
          <w:szCs w:val="24"/>
          <w:highlight w:val="none"/>
        </w:rPr>
        <w:t>要求；</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（6）投标文件格式；</w:t>
      </w:r>
    </w:p>
    <w:p>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（7）投标人须知前附表规定的其他资料。</w:t>
      </w:r>
    </w:p>
    <w:p>
      <w:pPr>
        <w:pBdr>
          <w:bottom w:val="single" w:color="auto" w:sz="6" w:space="1"/>
        </w:pBdr>
        <w:spacing w:beforeLines="0" w:afterLines="0" w:line="360" w:lineRule="auto"/>
        <w:ind w:firstLine="537" w:firstLineChars="224"/>
        <w:jc w:val="both"/>
        <w:rPr>
          <w:rFonts w:hint="default" w:ascii="宋体" w:hAnsi="宋体" w:eastAsia="宋体"/>
          <w:color w:val="auto"/>
          <w:sz w:val="24"/>
          <w:szCs w:val="24"/>
          <w:highlight w:val="none"/>
        </w:rPr>
      </w:pPr>
      <w:r>
        <w:rPr>
          <w:rFonts w:hint="eastAsia" w:ascii="宋体" w:hAnsi="宋体" w:eastAsia="宋体"/>
          <w:color w:val="auto"/>
          <w:sz w:val="24"/>
          <w:szCs w:val="24"/>
          <w:highlight w:val="none"/>
        </w:rPr>
        <w:t>根据本章第 1.10 款、第 2.2 款和第 2.3 款对招标文件所作的澄清、修改，构成招标文件的组成部分。</w:t>
      </w:r>
    </w:p>
    <w:p>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3.5.1至3.5.4</w:t>
      </w:r>
      <w:r>
        <w:rPr>
          <w:rFonts w:ascii="宋体" w:hAnsi="宋体" w:eastAsia="宋体"/>
          <w:b/>
          <w:bCs/>
          <w:color w:val="auto"/>
          <w:sz w:val="24"/>
          <w:szCs w:val="24"/>
          <w:highlight w:val="none"/>
        </w:rPr>
        <w:t xml:space="preserve">         修改类型：修改</w:t>
      </w:r>
    </w:p>
    <w:p>
      <w:pP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3.5.4 投标人须知前附表规定接受联合体投标的，本章第3.5.1项至第3.5.3项规定的表格和资料应包括联合体各方相关情况。</w:t>
      </w:r>
    </w:p>
    <w:p>
      <w:pPr>
        <w:spacing w:line="360" w:lineRule="auto"/>
        <w:ind w:firstLine="426" w:firstLineChars="177"/>
        <w:rPr>
          <w:rFonts w:ascii="宋体" w:hAnsi="宋体" w:eastAsia="宋体"/>
          <w:strike/>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strike/>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pPr>
        <w:spacing w:line="360" w:lineRule="auto"/>
        <w:ind w:firstLine="424" w:firstLineChars="177"/>
        <w:rPr>
          <w:rFonts w:ascii="宋体" w:hAnsi="宋体" w:eastAsia="宋体"/>
          <w:b/>
          <w:bCs/>
          <w:strike/>
          <w:color w:val="auto"/>
          <w:sz w:val="24"/>
          <w:szCs w:val="24"/>
          <w:highlight w:val="none"/>
          <w:u w:val="single"/>
        </w:rPr>
      </w:pPr>
      <w:r>
        <w:rPr>
          <w:rFonts w:hint="eastAsia" w:ascii="宋体" w:hAnsi="宋体" w:eastAsia="宋体"/>
          <w:strike/>
          <w:color w:val="auto"/>
          <w:sz w:val="24"/>
          <w:szCs w:val="24"/>
          <w:highlight w:val="none"/>
        </w:rPr>
        <w:t>3.5.4 投标人须知前附表规定接受联合体投标的，本章第3.5.1项至第3.5.3项规定的表格和资料应包括联合体各方相关情况。</w:t>
      </w:r>
    </w:p>
    <w:p>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3.5.1 资格审查资料详见第六章“投标文件格式”。</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（以下无正文）</w:t>
      </w:r>
    </w:p>
    <w:p>
      <w:pPr>
        <w:keepNext w:val="0"/>
        <w:keepLines w:val="0"/>
        <w:wordWrap/>
        <w:spacing w:line="240" w:lineRule="auto"/>
        <w:outlineLvl w:val="9"/>
        <w:rPr>
          <w:rFonts w:hint="eastAsia" w:ascii="宋体" w:hAnsi="宋体" w:eastAsia="宋体" w:cs="宋体"/>
          <w:b/>
          <w:bCs/>
          <w:color w:val="auto"/>
          <w:kern w:val="0"/>
          <w:sz w:val="30"/>
          <w:szCs w:val="30"/>
          <w:highlight w:val="none"/>
          <w:lang w:val="zh-CN"/>
        </w:rPr>
      </w:pPr>
      <w:bookmarkStart w:id="10" w:name="_Toc193357939"/>
      <w:bookmarkStart w:id="11" w:name="_Toc111186724"/>
      <w:bookmarkStart w:id="12" w:name="_Toc3060"/>
      <w:r>
        <w:rPr>
          <w:rFonts w:hint="eastAsia" w:ascii="宋体" w:hAnsi="宋体" w:eastAsia="宋体" w:cs="宋体"/>
          <w:b/>
          <w:bCs/>
          <w:color w:val="auto"/>
          <w:kern w:val="0"/>
          <w:sz w:val="30"/>
          <w:szCs w:val="30"/>
          <w:highlight w:val="none"/>
          <w:lang w:val="zh-CN"/>
        </w:rPr>
        <w:br w:type="page"/>
      </w:r>
    </w:p>
    <w:p>
      <w:pPr>
        <w:keepNext/>
        <w:keepLines/>
        <w:wordWrap w:val="0"/>
        <w:spacing w:line="360" w:lineRule="auto"/>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1. 总则</w:t>
      </w:r>
      <w:bookmarkEnd w:id="10"/>
      <w:bookmarkEnd w:id="11"/>
      <w:bookmarkEnd w:id="12"/>
    </w:p>
    <w:p>
      <w:pPr>
        <w:keepNext/>
        <w:keepLines/>
        <w:wordWrap w:val="0"/>
        <w:spacing w:before="260" w:line="416" w:lineRule="auto"/>
        <w:outlineLvl w:val="2"/>
        <w:rPr>
          <w:rFonts w:ascii="宋体" w:hAnsi="宋体" w:eastAsia="宋体" w:cs="宋体"/>
          <w:b/>
          <w:bCs/>
          <w:color w:val="auto"/>
          <w:spacing w:val="-2"/>
          <w:kern w:val="0"/>
          <w:sz w:val="24"/>
          <w:szCs w:val="24"/>
          <w:highlight w:val="none"/>
          <w:lang w:val="zh-CN"/>
        </w:rPr>
      </w:pPr>
      <w:bookmarkStart w:id="13" w:name="_Toc7733"/>
      <w:bookmarkStart w:id="14" w:name="_Toc111186725"/>
      <w:bookmarkStart w:id="15" w:name="_Toc193357940"/>
      <w:r>
        <w:rPr>
          <w:rFonts w:hint="eastAsia" w:ascii="宋体" w:hAnsi="宋体" w:eastAsia="宋体" w:cs="宋体"/>
          <w:b/>
          <w:bCs/>
          <w:color w:val="auto"/>
          <w:spacing w:val="1"/>
          <w:sz w:val="28"/>
          <w:szCs w:val="32"/>
          <w:highlight w:val="none"/>
          <w:lang w:val="zh-CN"/>
        </w:rPr>
        <w:t>1.1 招标项目概况</w:t>
      </w:r>
      <w:bookmarkEnd w:id="13"/>
      <w:bookmarkEnd w:id="14"/>
      <w:bookmarkEnd w:id="15"/>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 根据《中华人民共和国招标投标法》、《中华人民共和国招标投标法实施条例》等有关法律、法规和规章的规定，本招标项目已具备招标条件，现对勘察设计进行招标。</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 招标人：见投标人须知前附表。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1.1.3 招标代理机构：见投标人须知前附表。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1.1.4 招标项目名称：见投标人须知前附表。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1.1.5 项目建设地点：见投标人须知前附表。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1.1.6 项目建设规模：见投标人须知前附表。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1.1.7 项目投资估算：见投标人须知前附表。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 w:name="_Toc111186726"/>
      <w:bookmarkStart w:id="17" w:name="_Toc193357941"/>
      <w:bookmarkStart w:id="18" w:name="_Toc14504"/>
      <w:r>
        <w:rPr>
          <w:rFonts w:hint="eastAsia" w:ascii="宋体" w:hAnsi="宋体" w:eastAsia="宋体" w:cs="宋体"/>
          <w:b/>
          <w:bCs/>
          <w:color w:val="auto"/>
          <w:spacing w:val="1"/>
          <w:sz w:val="28"/>
          <w:szCs w:val="32"/>
          <w:highlight w:val="none"/>
          <w:lang w:val="zh-CN"/>
        </w:rPr>
        <w:t>1.2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招标项目</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资</w:t>
      </w:r>
      <w:r>
        <w:rPr>
          <w:rFonts w:hint="eastAsia" w:ascii="宋体" w:hAnsi="宋体" w:eastAsia="宋体" w:cs="宋体"/>
          <w:b/>
          <w:bCs/>
          <w:color w:val="auto"/>
          <w:spacing w:val="-3"/>
          <w:sz w:val="28"/>
          <w:szCs w:val="32"/>
          <w:highlight w:val="none"/>
          <w:lang w:val="zh-CN"/>
        </w:rPr>
        <w:t>金</w:t>
      </w:r>
      <w:r>
        <w:rPr>
          <w:rFonts w:hint="eastAsia" w:ascii="宋体" w:hAnsi="宋体" w:eastAsia="宋体" w:cs="宋体"/>
          <w:b/>
          <w:bCs/>
          <w:color w:val="auto"/>
          <w:spacing w:val="1"/>
          <w:sz w:val="28"/>
          <w:szCs w:val="32"/>
          <w:highlight w:val="none"/>
          <w:lang w:val="zh-CN"/>
        </w:rPr>
        <w:t>来源和</w:t>
      </w:r>
      <w:r>
        <w:rPr>
          <w:rFonts w:hint="eastAsia" w:ascii="宋体" w:hAnsi="宋体" w:eastAsia="宋体" w:cs="宋体"/>
          <w:b/>
          <w:bCs/>
          <w:color w:val="auto"/>
          <w:spacing w:val="-3"/>
          <w:sz w:val="28"/>
          <w:szCs w:val="32"/>
          <w:highlight w:val="none"/>
          <w:lang w:val="zh-CN"/>
        </w:rPr>
        <w:t>落</w:t>
      </w:r>
      <w:r>
        <w:rPr>
          <w:rFonts w:hint="eastAsia" w:ascii="宋体" w:hAnsi="宋体" w:eastAsia="宋体" w:cs="宋体"/>
          <w:b/>
          <w:bCs/>
          <w:color w:val="auto"/>
          <w:spacing w:val="1"/>
          <w:sz w:val="28"/>
          <w:szCs w:val="32"/>
          <w:highlight w:val="none"/>
          <w:lang w:val="zh-CN"/>
        </w:rPr>
        <w:t>实情况</w:t>
      </w:r>
      <w:bookmarkEnd w:id="16"/>
      <w:bookmarkEnd w:id="17"/>
      <w:bookmarkEnd w:id="18"/>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1.2.1 资金来源及比例：见投标人须知前附表。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1.2.2 资金落实情况：见投标人须知前附表。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 w:name="_Toc111186727"/>
      <w:bookmarkStart w:id="20" w:name="_Toc193357942"/>
      <w:bookmarkStart w:id="21" w:name="_Toc13854"/>
      <w:r>
        <w:rPr>
          <w:rFonts w:hint="eastAsia" w:ascii="宋体" w:hAnsi="宋体" w:eastAsia="宋体" w:cs="宋体"/>
          <w:b/>
          <w:bCs/>
          <w:color w:val="auto"/>
          <w:spacing w:val="1"/>
          <w:sz w:val="28"/>
          <w:szCs w:val="32"/>
          <w:highlight w:val="none"/>
          <w:lang w:val="zh-CN"/>
        </w:rPr>
        <w:t>1.3</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招标范</w:t>
      </w:r>
      <w:r>
        <w:rPr>
          <w:rFonts w:hint="eastAsia" w:ascii="宋体" w:hAnsi="宋体" w:eastAsia="宋体" w:cs="宋体"/>
          <w:b/>
          <w:bCs/>
          <w:color w:val="auto"/>
          <w:spacing w:val="-3"/>
          <w:sz w:val="28"/>
          <w:szCs w:val="32"/>
          <w:highlight w:val="none"/>
          <w:lang w:val="zh-CN"/>
        </w:rPr>
        <w:t>围</w:t>
      </w:r>
      <w:r>
        <w:rPr>
          <w:rFonts w:hint="eastAsia" w:ascii="宋体" w:hAnsi="宋体" w:eastAsia="宋体" w:cs="宋体"/>
          <w:b/>
          <w:bCs/>
          <w:color w:val="auto"/>
          <w:spacing w:val="1"/>
          <w:sz w:val="28"/>
          <w:szCs w:val="32"/>
          <w:highlight w:val="none"/>
          <w:lang w:val="zh-CN"/>
        </w:rPr>
        <w:t>、勘察设</w:t>
      </w:r>
      <w:r>
        <w:rPr>
          <w:rFonts w:hint="eastAsia" w:ascii="宋体" w:hAnsi="宋体" w:eastAsia="宋体" w:cs="宋体"/>
          <w:b/>
          <w:bCs/>
          <w:color w:val="auto"/>
          <w:spacing w:val="-2"/>
          <w:sz w:val="28"/>
          <w:szCs w:val="32"/>
          <w:highlight w:val="none"/>
          <w:lang w:val="zh-CN"/>
        </w:rPr>
        <w:t>计</w:t>
      </w:r>
      <w:r>
        <w:rPr>
          <w:rFonts w:hint="eastAsia" w:ascii="宋体" w:hAnsi="宋体" w:eastAsia="宋体" w:cs="宋体"/>
          <w:b/>
          <w:bCs/>
          <w:color w:val="auto"/>
          <w:spacing w:val="1"/>
          <w:sz w:val="28"/>
          <w:szCs w:val="32"/>
          <w:highlight w:val="none"/>
          <w:lang w:val="zh-CN"/>
        </w:rPr>
        <w:t>服务期</w:t>
      </w:r>
      <w:r>
        <w:rPr>
          <w:rFonts w:hint="eastAsia" w:ascii="宋体" w:hAnsi="宋体" w:eastAsia="宋体" w:cs="宋体"/>
          <w:b/>
          <w:bCs/>
          <w:color w:val="auto"/>
          <w:spacing w:val="-3"/>
          <w:sz w:val="28"/>
          <w:szCs w:val="32"/>
          <w:highlight w:val="none"/>
          <w:lang w:val="zh-CN"/>
        </w:rPr>
        <w:t>限</w:t>
      </w:r>
      <w:r>
        <w:rPr>
          <w:rFonts w:hint="eastAsia" w:ascii="宋体" w:hAnsi="宋体" w:eastAsia="宋体" w:cs="宋体"/>
          <w:b/>
          <w:bCs/>
          <w:color w:val="auto"/>
          <w:spacing w:val="1"/>
          <w:sz w:val="28"/>
          <w:szCs w:val="32"/>
          <w:highlight w:val="none"/>
          <w:lang w:val="zh-CN"/>
        </w:rPr>
        <w:t>和质</w:t>
      </w:r>
      <w:r>
        <w:rPr>
          <w:rFonts w:hint="eastAsia" w:ascii="宋体" w:hAnsi="宋体" w:eastAsia="宋体" w:cs="宋体"/>
          <w:b/>
          <w:bCs/>
          <w:color w:val="auto"/>
          <w:spacing w:val="-3"/>
          <w:sz w:val="28"/>
          <w:szCs w:val="32"/>
          <w:highlight w:val="none"/>
          <w:lang w:val="zh-CN"/>
        </w:rPr>
        <w:t>量标</w:t>
      </w:r>
      <w:r>
        <w:rPr>
          <w:rFonts w:hint="eastAsia" w:ascii="宋体" w:hAnsi="宋体" w:eastAsia="宋体" w:cs="宋体"/>
          <w:b/>
          <w:bCs/>
          <w:color w:val="auto"/>
          <w:spacing w:val="1"/>
          <w:sz w:val="28"/>
          <w:szCs w:val="32"/>
          <w:highlight w:val="none"/>
          <w:lang w:val="zh-CN"/>
        </w:rPr>
        <w:t>准</w:t>
      </w:r>
      <w:bookmarkEnd w:id="19"/>
      <w:bookmarkEnd w:id="20"/>
      <w:bookmarkEnd w:id="21"/>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1.3.1 招标范围：见投标人须知前附表。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1.3.2 勘察设计服务期限：见投标人须知前附表。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1.3.3 质量标准：见投标人须知前附表。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2" w:name="_Toc22012"/>
      <w:bookmarkStart w:id="23" w:name="_Toc111186728"/>
      <w:bookmarkStart w:id="24" w:name="_Toc193357943"/>
      <w:r>
        <w:rPr>
          <w:rFonts w:hint="eastAsia" w:ascii="宋体" w:hAnsi="宋体" w:eastAsia="宋体" w:cs="宋体"/>
          <w:b/>
          <w:bCs/>
          <w:color w:val="auto"/>
          <w:spacing w:val="1"/>
          <w:sz w:val="28"/>
          <w:szCs w:val="32"/>
          <w:highlight w:val="none"/>
          <w:lang w:val="zh-CN"/>
        </w:rPr>
        <w:t>1.4</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投标人</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格要求</w:t>
      </w:r>
      <w:bookmarkEnd w:id="22"/>
      <w:bookmarkEnd w:id="23"/>
      <w:bookmarkEnd w:id="24"/>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1.4.1 投标人应具备承担本招标项目资质条件、能力和信誉：</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（1）资质要求：见投标人须知前附表；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（2）业绩要求：见投标人须知前附表；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（3）项目负责人的资格要求：应当具备工程设计类注册执业资格（如有），具体要求见投标人须知前附表；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（4）其他主要人员要求：见投标人须知前附表。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（5）其他要求：见投标人须知前附表。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需要提交的相关证明材料见本章第3.5款的规定。</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1.4.2 投标人须知前附表规定接受联合体投标的，联合体除应符合本章第1.4.1项和投标人须知前附表的要求外，还应遵守以下规定：</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（1）联合体各方应按招标文件提供的格式签订联合体协议书，明确联合体牵头人和各方权利义务，并承诺就中标项目向招标人承担连带责任；</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（2）由同一专业的单位组成的联合体，按照资质等级较低的单位确定资质等级；</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（3）联合体各方不得再以自己名义单独或参加其他联合体在本招标项目中投标，否则各相关投标均无效。</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1.4.3 投标人不得存在下列情形之一：</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（1）为招标人不具有独立法人资格的附属机构（单位）；</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（2）与招标人存在利害关系且可能影响招标公正性；</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（3）与本招标项目的其他投标人为同一个单位负责人；</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（4）与本招标项目的其他投标人存在控股、管理关系；</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（5）为本招标项目的代建人或建设管理单位；</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（6）为本招标项目的招标代理机构；</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（7）与本招标项目的代建人或招标代理机构同为一个法定代表人；</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（8）与本招标项目的代建人或招标代理机构存在控股或参股关系；</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（10）被责令停产停业、暂扣或者吊销许可证、暂扣或者吊销执照（本项事实应当以根据《中华人民共和国行政处罚法》依法作出并已生效的行政处罚决定为认定依据）；</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（11）进入清算程序，或被宣告破产，或其他丧失履约能力的情形；</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u w:val="single"/>
        </w:rPr>
      </w:pPr>
      <w:r>
        <w:rPr>
          <w:rFonts w:hint="eastAsia" w:ascii="宋体" w:hAnsi="宋体" w:eastAsia="宋体" w:cs="宋体"/>
          <w:color w:val="auto"/>
          <w:spacing w:val="-2"/>
          <w:kern w:val="0"/>
          <w:sz w:val="24"/>
          <w:szCs w:val="24"/>
          <w:highlight w:val="none"/>
        </w:rPr>
        <w:t>（13）法律法规或投标人须知前附表规定的其他情形。</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5" w:name="_Toc29074"/>
      <w:bookmarkStart w:id="26" w:name="_Toc193357944"/>
      <w:bookmarkStart w:id="27" w:name="_Toc111186729"/>
      <w:r>
        <w:rPr>
          <w:rFonts w:hint="eastAsia" w:ascii="宋体" w:hAnsi="宋体" w:eastAsia="宋体" w:cs="宋体"/>
          <w:b/>
          <w:bCs/>
          <w:color w:val="auto"/>
          <w:spacing w:val="1"/>
          <w:sz w:val="28"/>
          <w:szCs w:val="32"/>
          <w:highlight w:val="none"/>
          <w:lang w:val="zh-CN"/>
        </w:rPr>
        <w:t>1.5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费用承担</w:t>
      </w:r>
      <w:bookmarkEnd w:id="25"/>
      <w:bookmarkEnd w:id="26"/>
      <w:bookmarkEnd w:id="27"/>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投标人准备和参加投标活动发生的费用自理。</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8" w:name="_Toc111186730"/>
      <w:bookmarkStart w:id="29" w:name="_Toc8560"/>
      <w:bookmarkStart w:id="30" w:name="_Toc193357945"/>
      <w:r>
        <w:rPr>
          <w:rFonts w:hint="eastAsia" w:ascii="宋体" w:hAnsi="宋体" w:eastAsia="宋体" w:cs="宋体"/>
          <w:b/>
          <w:bCs/>
          <w:color w:val="auto"/>
          <w:spacing w:val="1"/>
          <w:sz w:val="28"/>
          <w:szCs w:val="32"/>
          <w:highlight w:val="none"/>
          <w:lang w:val="zh-CN"/>
        </w:rPr>
        <w:t>1.6</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保密</w:t>
      </w:r>
      <w:bookmarkEnd w:id="28"/>
      <w:bookmarkEnd w:id="29"/>
      <w:bookmarkEnd w:id="30"/>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参与招标投标活动的各方应对招标文件和投标文件中的商业和技术等秘密保密，否则应承担相应的法律责任。</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1" w:name="_Toc193357946"/>
      <w:bookmarkStart w:id="32" w:name="_Toc28000"/>
      <w:bookmarkStart w:id="33" w:name="_Toc111186731"/>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语言文字</w:t>
      </w:r>
      <w:bookmarkEnd w:id="31"/>
      <w:bookmarkEnd w:id="32"/>
      <w:bookmarkEnd w:id="33"/>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招标投标文件使用的语言文字为中文。专用术语使用外文的，应附有中文注释。</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4" w:name="_Toc111186732"/>
      <w:bookmarkStart w:id="35" w:name="_Toc193357947"/>
      <w:bookmarkStart w:id="36" w:name="_Toc3237"/>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计量单位</w:t>
      </w:r>
      <w:bookmarkEnd w:id="34"/>
      <w:bookmarkEnd w:id="35"/>
      <w:bookmarkEnd w:id="36"/>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所有计量均采用中华人民共和国法定计量单位。</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7" w:name="_Toc9357"/>
      <w:bookmarkStart w:id="38" w:name="_Toc193357948"/>
      <w:bookmarkStart w:id="39" w:name="_Toc111186733"/>
      <w:r>
        <w:rPr>
          <w:rFonts w:hint="eastAsia" w:ascii="宋体" w:hAnsi="宋体" w:eastAsia="宋体" w:cs="宋体"/>
          <w:b/>
          <w:bCs/>
          <w:color w:val="auto"/>
          <w:spacing w:val="1"/>
          <w:sz w:val="28"/>
          <w:szCs w:val="32"/>
          <w:highlight w:val="none"/>
          <w:lang w:val="zh-CN"/>
        </w:rPr>
        <w:t>1.9</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踏勘现场</w:t>
      </w:r>
      <w:bookmarkEnd w:id="37"/>
      <w:bookmarkEnd w:id="38"/>
      <w:bookmarkEnd w:id="39"/>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1.9.2 投标人踏勘现场发生的费用自理。</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1.9.3 除招标人的原因外，投标人自行负责踏勘现场中所发生的人员伤亡和财产损失。</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1.9.4 由于投标人没有对工程现场及周围环境进行踏勘，造成投标失误的，由投标人自行承担责任和损失。</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0" w:name="_Toc16096"/>
      <w:bookmarkStart w:id="41" w:name="_Toc111186734"/>
      <w:bookmarkStart w:id="42" w:name="_Toc193357949"/>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0</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投标预备会</w:t>
      </w:r>
      <w:bookmarkEnd w:id="40"/>
      <w:bookmarkEnd w:id="41"/>
      <w:bookmarkEnd w:id="42"/>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1.10.1 投标人须知前附表规定召开投标预备会的，招标人按投标人须知前附表规定的时间和地点召开投标预备会，澄清投标人提出的问题。</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1.10.2 投标人应按投标人须知前附表规定的时间和形式将提出的问题送达招标人，以便招标人在会议期间澄清。</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3" w:name="_Toc16438"/>
      <w:bookmarkStart w:id="44" w:name="_Toc193357950"/>
      <w:bookmarkStart w:id="45" w:name="_Toc111186735"/>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2"/>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分包</w:t>
      </w:r>
      <w:bookmarkEnd w:id="43"/>
      <w:bookmarkEnd w:id="44"/>
      <w:bookmarkEnd w:id="45"/>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1.11.2 中标人不得向他人转让中标项目，接受分包的人不得再次分包。中标人应当就分包项目向招标人负责，接受分包的人就分包项目承担连带责任。</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6" w:name="_Toc193357951"/>
      <w:bookmarkStart w:id="47" w:name="_Toc10229"/>
      <w:bookmarkStart w:id="48" w:name="_Toc111186736"/>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2"/>
          <w:sz w:val="28"/>
          <w:szCs w:val="32"/>
          <w:highlight w:val="none"/>
          <w:lang w:val="zh-CN"/>
        </w:rPr>
        <w:t>1</w:t>
      </w:r>
      <w:r>
        <w:rPr>
          <w:rFonts w:hint="eastAsia" w:ascii="宋体" w:hAnsi="宋体" w:eastAsia="宋体" w:cs="宋体"/>
          <w:b/>
          <w:bCs/>
          <w:color w:val="auto"/>
          <w:spacing w:val="1"/>
          <w:sz w:val="28"/>
          <w:szCs w:val="32"/>
          <w:highlight w:val="none"/>
          <w:lang w:val="zh-CN"/>
        </w:rPr>
        <w:t>2</w:t>
      </w:r>
      <w:r>
        <w:rPr>
          <w:rFonts w:hint="eastAsia" w:ascii="宋体" w:hAnsi="宋体" w:eastAsia="宋体" w:cs="宋体"/>
          <w:b/>
          <w:bCs/>
          <w:color w:val="auto"/>
          <w:spacing w:val="-1"/>
          <w:sz w:val="28"/>
          <w:szCs w:val="32"/>
          <w:highlight w:val="none"/>
          <w:lang w:val="zh-CN"/>
        </w:rPr>
        <w:t xml:space="preserve"> </w:t>
      </w:r>
      <w:r>
        <w:rPr>
          <w:rFonts w:hint="eastAsia" w:ascii="宋体" w:hAnsi="宋体" w:eastAsia="宋体" w:cs="宋体"/>
          <w:b/>
          <w:bCs/>
          <w:color w:val="auto"/>
          <w:spacing w:val="1"/>
          <w:sz w:val="28"/>
          <w:szCs w:val="32"/>
          <w:highlight w:val="none"/>
          <w:lang w:val="zh-CN"/>
        </w:rPr>
        <w:t>响应和偏差</w:t>
      </w:r>
      <w:bookmarkEnd w:id="46"/>
      <w:bookmarkEnd w:id="47"/>
      <w:bookmarkEnd w:id="48"/>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1.12.1 投标文件应当对招标文件的实质性要求和条件作出满足性或更有利于招标人的响应，否则，投标人的投标将被否决。实质性要求和条件见投标人须知前附表。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1.12.2 投标人应根据招标文件的要求提供投标设计方案等内容以对招标文件作出响应。</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1.12.3 投标人须知前附表允许投标文件偏离招标文件某些要求的，偏差应当符合招标文件规定的偏差范围和幅度。</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line="360" w:lineRule="auto"/>
        <w:outlineLvl w:val="1"/>
        <w:rPr>
          <w:rFonts w:ascii="宋体" w:hAnsi="宋体" w:eastAsia="宋体" w:cs="宋体"/>
          <w:b/>
          <w:bCs/>
          <w:color w:val="auto"/>
          <w:kern w:val="0"/>
          <w:sz w:val="24"/>
          <w:szCs w:val="30"/>
          <w:highlight w:val="none"/>
          <w:lang w:val="zh-CN"/>
        </w:rPr>
      </w:pPr>
      <w:bookmarkStart w:id="49" w:name="_Toc193357952"/>
      <w:bookmarkStart w:id="50" w:name="_Toc111186737"/>
      <w:bookmarkStart w:id="51" w:name="_Toc22370"/>
      <w:r>
        <w:rPr>
          <w:rFonts w:hint="eastAsia" w:ascii="宋体" w:hAnsi="宋体" w:eastAsia="宋体" w:cs="宋体"/>
          <w:b/>
          <w:bCs/>
          <w:color w:val="auto"/>
          <w:kern w:val="0"/>
          <w:sz w:val="30"/>
          <w:szCs w:val="30"/>
          <w:highlight w:val="none"/>
          <w:lang w:val="zh-CN"/>
        </w:rPr>
        <w:t>2.</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招标文件</w:t>
      </w:r>
      <w:bookmarkEnd w:id="49"/>
      <w:bookmarkEnd w:id="50"/>
      <w:bookmarkEnd w:id="51"/>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2" w:name="_Toc193357953"/>
      <w:bookmarkStart w:id="53" w:name="_Toc22346"/>
      <w:bookmarkStart w:id="54" w:name="_Toc111186738"/>
      <w:r>
        <w:rPr>
          <w:rFonts w:hint="eastAsia" w:ascii="宋体" w:hAnsi="宋体" w:eastAsia="宋体" w:cs="宋体"/>
          <w:b/>
          <w:bCs/>
          <w:color w:val="auto"/>
          <w:spacing w:val="1"/>
          <w:sz w:val="28"/>
          <w:szCs w:val="32"/>
          <w:highlight w:val="none"/>
          <w:lang w:val="zh-CN"/>
        </w:rPr>
        <w:t>2.1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52"/>
      <w:bookmarkEnd w:id="53"/>
      <w:bookmarkEnd w:id="54"/>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本招标文件包括：</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（1）招标公告；</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（2）投标人须知；</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（3）评标办法；</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（4）合同条款及格式；</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w:t>
      </w:r>
      <w:r>
        <w:rPr>
          <w:rFonts w:hint="eastAsia" w:ascii="宋体" w:hAnsi="宋体" w:eastAsia="宋体" w:cs="宋体"/>
          <w:strike/>
          <w:color w:val="auto"/>
          <w:spacing w:val="-2"/>
          <w:kern w:val="0"/>
          <w:sz w:val="24"/>
          <w:szCs w:val="24"/>
          <w:highlight w:val="none"/>
        </w:rPr>
        <w:t>委托人</w:t>
      </w:r>
      <w:r>
        <w:rPr>
          <w:rFonts w:hint="eastAsia" w:ascii="宋体" w:hAnsi="宋体" w:eastAsia="宋体"/>
          <w:b/>
          <w:bCs/>
          <w:color w:val="auto"/>
          <w:sz w:val="24"/>
          <w:szCs w:val="24"/>
          <w:highlight w:val="none"/>
          <w:u w:val="single"/>
          <w:lang w:val="en-US" w:eastAsia="zh-CN"/>
        </w:rPr>
        <w:t>发包人</w:t>
      </w:r>
      <w:r>
        <w:rPr>
          <w:rFonts w:hint="eastAsia" w:ascii="宋体" w:hAnsi="宋体" w:eastAsia="宋体" w:cs="宋体"/>
          <w:color w:val="auto"/>
          <w:spacing w:val="-2"/>
          <w:kern w:val="0"/>
          <w:sz w:val="24"/>
          <w:szCs w:val="24"/>
          <w:highlight w:val="none"/>
        </w:rPr>
        <w:t>要求；</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（6）投标文件格式；</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（7）投标人须知前附表规定的其他资料。</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根据本章第1.10款、第2.2款和第2.3款对招标文件所作的澄清、修改，构成招标文件的组成部分。</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5" w:name="_Toc9843"/>
      <w:bookmarkStart w:id="56" w:name="_Toc111186739"/>
      <w:bookmarkStart w:id="57" w:name="_Toc193357954"/>
      <w:r>
        <w:rPr>
          <w:rFonts w:hint="eastAsia" w:ascii="宋体" w:hAnsi="宋体" w:eastAsia="宋体" w:cs="宋体"/>
          <w:b/>
          <w:bCs/>
          <w:color w:val="auto"/>
          <w:spacing w:val="1"/>
          <w:sz w:val="28"/>
          <w:szCs w:val="32"/>
          <w:highlight w:val="none"/>
          <w:lang w:val="zh-CN"/>
        </w:rPr>
        <w:t>2.2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bookmarkEnd w:id="55"/>
      <w:bookmarkEnd w:id="56"/>
      <w:bookmarkEnd w:id="57"/>
      <w:r>
        <w:rPr>
          <w:rFonts w:hint="eastAsia" w:ascii="宋体" w:hAnsi="宋体" w:eastAsia="宋体" w:cs="宋体"/>
          <w:b/>
          <w:bCs/>
          <w:color w:val="auto"/>
          <w:spacing w:val="1"/>
          <w:sz w:val="28"/>
          <w:szCs w:val="32"/>
          <w:highlight w:val="none"/>
          <w:lang w:val="zh-CN"/>
        </w:rPr>
        <w:t>答疑</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2.2.1 投标人应仔细阅读和检查招标文件的全部内容。如有疑问，应按投标人须知前附表规定的时间和形式将提出的问题送达招标人，要求招标人对招标文件予以澄清。</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2.2.2 招标答疑采用网上答疑方式进行。投标人若对招标文件有疑问的，通过</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网站提交，应按照</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网站关于全流程电子化项目的相关指南进行操作。提问一律不得署名。</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2.2.3 招标答疑会会议纪要将在提交投标文件截止时间15日前在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2.2.4 招标答疑会会议纪要是招标文件的组成部分，对投标人起约束作用。若招标答疑会会议纪要与招标文件有矛盾时，以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2.2.5 除非招标人认为确有必要答复，否则，招标人有权拒绝回复投标人在本章第2.2.1项规定的时间后的任何澄清要求。</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kern w:val="0"/>
          <w:sz w:val="28"/>
          <w:szCs w:val="28"/>
          <w:highlight w:val="none"/>
          <w:lang w:val="zh-CN"/>
        </w:rPr>
      </w:pPr>
      <w:bookmarkStart w:id="58" w:name="_Toc111186740"/>
      <w:bookmarkStart w:id="59" w:name="_Toc8197"/>
      <w:bookmarkStart w:id="60" w:name="_Toc193357955"/>
      <w:r>
        <w:rPr>
          <w:rFonts w:hint="eastAsia" w:ascii="宋体" w:hAnsi="宋体" w:eastAsia="宋体" w:cs="宋体"/>
          <w:b/>
          <w:bCs/>
          <w:color w:val="auto"/>
          <w:spacing w:val="1"/>
          <w:sz w:val="28"/>
          <w:szCs w:val="32"/>
          <w:highlight w:val="none"/>
          <w:lang w:val="zh-CN"/>
        </w:rPr>
        <w:t>2.3 招标文件的澄清与修改</w:t>
      </w:r>
      <w:bookmarkEnd w:id="58"/>
      <w:bookmarkEnd w:id="59"/>
      <w:bookmarkEnd w:id="60"/>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2.3.1 招标文件发出后，在提交投标文件截止时间15日前，招标人可对招标文件进行必要的澄清或修改。</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2.3.2 招标文件的澄清或修改将在广州交易集团有限公司（广州公共资源交易中心）网站“项目答疑纪要”专区公开发布。招标文件的澄清或修改一经在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网站发布时间作为送达时间。</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2.3.3 招标文件的澄清或修改是招标文件的组成部分，对投标人起约束作用。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2.3.4 招标文件的澄清或修改均以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网站发布的内容为准。当招标文件的澄清、修改、补充等在同一内容的表述不一致时，以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网站最后发布的内容为准。</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1" w:name="_Toc111186741"/>
      <w:bookmarkStart w:id="62" w:name="_Toc17179"/>
      <w:bookmarkStart w:id="63" w:name="_Toc193357956"/>
      <w:r>
        <w:rPr>
          <w:rFonts w:hint="eastAsia" w:ascii="宋体" w:hAnsi="宋体" w:eastAsia="宋体" w:cs="宋体"/>
          <w:b/>
          <w:bCs/>
          <w:color w:val="auto"/>
          <w:spacing w:val="1"/>
          <w:sz w:val="28"/>
          <w:szCs w:val="32"/>
          <w:highlight w:val="none"/>
          <w:lang w:val="zh-CN"/>
        </w:rPr>
        <w:t>2.4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异议</w:t>
      </w:r>
      <w:bookmarkEnd w:id="61"/>
      <w:bookmarkEnd w:id="62"/>
      <w:bookmarkEnd w:id="63"/>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64" w:name="_Toc193357957"/>
      <w:bookmarkStart w:id="65" w:name="_Toc7081"/>
      <w:bookmarkStart w:id="66" w:name="_Toc111186742"/>
      <w:r>
        <w:rPr>
          <w:rFonts w:hint="eastAsia" w:ascii="宋体" w:hAnsi="宋体" w:eastAsia="宋体" w:cs="宋体"/>
          <w:b/>
          <w:bCs/>
          <w:color w:val="auto"/>
          <w:kern w:val="0"/>
          <w:sz w:val="30"/>
          <w:szCs w:val="30"/>
          <w:highlight w:val="none"/>
          <w:lang w:val="zh-CN"/>
        </w:rPr>
        <w:t>3.</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投标文件</w:t>
      </w:r>
      <w:bookmarkEnd w:id="64"/>
      <w:bookmarkEnd w:id="65"/>
      <w:bookmarkEnd w:id="66"/>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7" w:name="_Toc14590"/>
      <w:bookmarkStart w:id="68" w:name="_Toc193357958"/>
      <w:bookmarkStart w:id="69" w:name="_Toc111186743"/>
      <w:r>
        <w:rPr>
          <w:rFonts w:hint="eastAsia" w:ascii="宋体" w:hAnsi="宋体" w:eastAsia="宋体" w:cs="宋体"/>
          <w:b/>
          <w:bCs/>
          <w:color w:val="auto"/>
          <w:spacing w:val="1"/>
          <w:sz w:val="28"/>
          <w:szCs w:val="32"/>
          <w:highlight w:val="none"/>
          <w:lang w:val="zh-CN"/>
        </w:rPr>
        <w:t>3.1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67"/>
      <w:bookmarkEnd w:id="68"/>
      <w:bookmarkEnd w:id="69"/>
      <w:r>
        <w:rPr>
          <w:rFonts w:hint="eastAsia" w:ascii="宋体" w:hAnsi="宋体" w:eastAsia="宋体" w:cs="宋体"/>
          <w:b/>
          <w:bCs/>
          <w:color w:val="auto"/>
          <w:spacing w:val="1"/>
          <w:sz w:val="28"/>
          <w:szCs w:val="32"/>
          <w:highlight w:val="none"/>
          <w:lang w:val="zh-CN"/>
        </w:rPr>
        <w:t>（适用于暗标形式）</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0" w:name="_Toc193357959"/>
      <w:bookmarkStart w:id="71" w:name="_Toc111186744"/>
      <w:bookmarkStart w:id="72" w:name="_Toc26290"/>
      <w:r>
        <w:rPr>
          <w:rFonts w:hint="eastAsia" w:ascii="宋体" w:hAnsi="宋体" w:eastAsia="宋体" w:cs="宋体"/>
          <w:b/>
          <w:bCs/>
          <w:color w:val="auto"/>
          <w:spacing w:val="1"/>
          <w:sz w:val="28"/>
          <w:szCs w:val="32"/>
          <w:highlight w:val="none"/>
          <w:lang w:val="zh-CN"/>
        </w:rPr>
        <w:t>3.2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投标报价</w:t>
      </w:r>
      <w:bookmarkEnd w:id="70"/>
      <w:bookmarkEnd w:id="71"/>
      <w:bookmarkEnd w:id="72"/>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3.2.2 投标人应充分了解该项目的总体情况以及影响投标报价的其他要素。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3.2.3 本项目的报价方式见投标人须知前附表。投标人在投标截止时间前修改投标函中的投标报价总额，应同时修改投标文件“勘察设计费报价表”中的相应报价。此修改须符合本章第4.3款的有关要求。</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3.2.4 招标人设有最高投标限价的，投标人的投标报价不得超过最高投标限价，最高投标限价在投标人须知前附表中载明。</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3.2.5 投标报价的其他要求见投标人须知前附表。</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3" w:name="_Toc193357960"/>
      <w:bookmarkStart w:id="74" w:name="_Toc7276"/>
      <w:bookmarkStart w:id="75" w:name="_Toc111186745"/>
      <w:r>
        <w:rPr>
          <w:rFonts w:hint="eastAsia" w:ascii="宋体" w:hAnsi="宋体" w:eastAsia="宋体" w:cs="宋体"/>
          <w:b/>
          <w:bCs/>
          <w:color w:val="auto"/>
          <w:spacing w:val="1"/>
          <w:sz w:val="28"/>
          <w:szCs w:val="32"/>
          <w:highlight w:val="none"/>
          <w:lang w:val="zh-CN"/>
        </w:rPr>
        <w:t>3.3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投标有效期</w:t>
      </w:r>
      <w:bookmarkEnd w:id="73"/>
      <w:bookmarkEnd w:id="74"/>
      <w:bookmarkEnd w:id="75"/>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除投标人须知前附表另有规定外，投标有效期不少于90天。</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在投标有效期内，投标人撤销投标文件的，应承担招标文件和法律规定的责任。</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6" w:name="_Toc111186746"/>
      <w:bookmarkStart w:id="77" w:name="_Toc193357961"/>
      <w:bookmarkStart w:id="78" w:name="_Toc3821"/>
      <w:r>
        <w:rPr>
          <w:rFonts w:hint="eastAsia" w:ascii="宋体" w:hAnsi="宋体" w:eastAsia="宋体" w:cs="宋体"/>
          <w:b/>
          <w:bCs/>
          <w:color w:val="auto"/>
          <w:spacing w:val="1"/>
          <w:sz w:val="28"/>
          <w:szCs w:val="32"/>
          <w:highlight w:val="none"/>
          <w:lang w:val="zh-CN"/>
        </w:rPr>
        <w:t>3.4 投标保证金</w:t>
      </w:r>
      <w:bookmarkEnd w:id="76"/>
      <w:bookmarkEnd w:id="77"/>
      <w:bookmarkEnd w:id="78"/>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在提交投标文件截止时间后到招标文件规定的投标有效期终止之前，投标人不得撤销其投标文件，否则招标人可以不退还投标保证金。</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有下列情形之一的，投标保证金将不予退还：</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（1）投标人在提交投标文件截止时间后到招标文件规定的投标有效期终止之前撤销投标文件；</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（2）中标人在收到中标通知书后，无正当理由不与招标人订立合同，在签订合同时向招标人提出附加条件，或者不按照招标文件要求提交履约保证金；</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（3）发生投标人须知前附表规定的其他可以不予退还投标保证金的情形。</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9" w:name="_Toc19411"/>
      <w:bookmarkStart w:id="80" w:name="_Toc111186747"/>
      <w:bookmarkStart w:id="81" w:name="_Toc193357963"/>
      <w:r>
        <w:rPr>
          <w:rFonts w:hint="eastAsia" w:ascii="宋体" w:hAnsi="宋体" w:eastAsia="宋体" w:cs="宋体"/>
          <w:b/>
          <w:bCs/>
          <w:color w:val="auto"/>
          <w:spacing w:val="1"/>
          <w:sz w:val="28"/>
          <w:szCs w:val="32"/>
          <w:highlight w:val="none"/>
          <w:lang w:val="zh-CN"/>
        </w:rPr>
        <w:t>3.5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资格审查</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料</w:t>
      </w:r>
      <w:r>
        <w:rPr>
          <w:rFonts w:hint="eastAsia" w:ascii="宋体" w:hAnsi="宋体" w:eastAsia="宋体" w:cs="宋体"/>
          <w:b/>
          <w:bCs/>
          <w:color w:val="auto"/>
          <w:spacing w:val="-3"/>
          <w:sz w:val="28"/>
          <w:szCs w:val="32"/>
          <w:highlight w:val="none"/>
          <w:lang w:val="zh-CN"/>
        </w:rPr>
        <w:t>（</w:t>
      </w:r>
      <w:r>
        <w:rPr>
          <w:rFonts w:hint="eastAsia" w:ascii="宋体" w:hAnsi="宋体" w:eastAsia="宋体" w:cs="宋体"/>
          <w:b/>
          <w:bCs/>
          <w:color w:val="auto"/>
          <w:spacing w:val="1"/>
          <w:sz w:val="28"/>
          <w:szCs w:val="32"/>
          <w:highlight w:val="none"/>
          <w:lang w:val="zh-CN"/>
        </w:rPr>
        <w:t>适用于</w:t>
      </w:r>
      <w:r>
        <w:rPr>
          <w:rFonts w:hint="eastAsia" w:ascii="宋体" w:hAnsi="宋体" w:eastAsia="宋体" w:cs="宋体"/>
          <w:b/>
          <w:bCs/>
          <w:color w:val="auto"/>
          <w:spacing w:val="-3"/>
          <w:sz w:val="28"/>
          <w:szCs w:val="32"/>
          <w:highlight w:val="none"/>
          <w:lang w:val="zh-CN"/>
        </w:rPr>
        <w:t>未</w:t>
      </w:r>
      <w:r>
        <w:rPr>
          <w:rFonts w:hint="eastAsia" w:ascii="宋体" w:hAnsi="宋体" w:eastAsia="宋体" w:cs="宋体"/>
          <w:b/>
          <w:bCs/>
          <w:color w:val="auto"/>
          <w:spacing w:val="1"/>
          <w:sz w:val="28"/>
          <w:szCs w:val="32"/>
          <w:highlight w:val="none"/>
          <w:lang w:val="zh-CN"/>
        </w:rPr>
        <w:t>进行</w:t>
      </w:r>
      <w:r>
        <w:rPr>
          <w:rFonts w:hint="eastAsia" w:ascii="宋体" w:hAnsi="宋体" w:eastAsia="宋体" w:cs="宋体"/>
          <w:b/>
          <w:bCs/>
          <w:color w:val="auto"/>
          <w:spacing w:val="-3"/>
          <w:sz w:val="28"/>
          <w:szCs w:val="32"/>
          <w:highlight w:val="none"/>
          <w:lang w:val="zh-CN"/>
        </w:rPr>
        <w:t>资格</w:t>
      </w:r>
      <w:r>
        <w:rPr>
          <w:rFonts w:hint="eastAsia" w:ascii="宋体" w:hAnsi="宋体" w:eastAsia="宋体" w:cs="宋体"/>
          <w:b/>
          <w:bCs/>
          <w:color w:val="auto"/>
          <w:spacing w:val="1"/>
          <w:sz w:val="28"/>
          <w:szCs w:val="32"/>
          <w:highlight w:val="none"/>
          <w:lang w:val="zh-CN"/>
        </w:rPr>
        <w:t>预审的）</w:t>
      </w:r>
      <w:bookmarkEnd w:id="79"/>
      <w:bookmarkEnd w:id="80"/>
      <w:bookmarkEnd w:id="81"/>
    </w:p>
    <w:p>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除投标人须知前附表另有规定外，投标人应按招标公告投标人资格要求及下列规定提供资格审查资料，以证明其满足本章第1.4款规定的资质、业绩等要求。</w:t>
      </w:r>
    </w:p>
    <w:p>
      <w:pPr>
        <w:wordWrap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pPr>
        <w:wordWrap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pPr>
        <w:wordWrap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w:t>
      </w:r>
      <w:r>
        <w:rPr>
          <w:rFonts w:hint="eastAsia" w:ascii="宋体" w:hAnsi="宋体" w:eastAsia="宋体" w:cs="宋体"/>
          <w:strike/>
          <w:color w:val="auto"/>
          <w:kern w:val="0"/>
          <w:sz w:val="24"/>
          <w:szCs w:val="24"/>
          <w:highlight w:val="none"/>
          <w:lang w:eastAsia="zh-CN"/>
        </w:rPr>
        <w:t>（注：以上人员社保要求：具有离投标截止时间最近</w:t>
      </w:r>
      <w:r>
        <w:rPr>
          <w:rFonts w:hint="eastAsia" w:ascii="宋体" w:hAnsi="宋体" w:eastAsia="宋体" w:cs="宋体"/>
          <w:strike/>
          <w:color w:val="auto"/>
          <w:kern w:val="0"/>
          <w:sz w:val="24"/>
          <w:szCs w:val="24"/>
          <w:highlight w:val="none"/>
          <w:lang w:val="en-US" w:eastAsia="zh-CN"/>
        </w:rPr>
        <w:t>的至少1</w:t>
      </w:r>
      <w:r>
        <w:rPr>
          <w:rFonts w:hint="eastAsia" w:ascii="宋体" w:hAnsi="宋体" w:eastAsia="宋体" w:cs="宋体"/>
          <w:strike/>
          <w:color w:val="auto"/>
          <w:kern w:val="0"/>
          <w:sz w:val="24"/>
          <w:szCs w:val="24"/>
          <w:highlight w:val="none"/>
          <w:lang w:eastAsia="zh-CN"/>
        </w:rPr>
        <w:t>个月在本单位缴纳的社保证明文件，由招标人自行确定。）</w:t>
      </w:r>
    </w:p>
    <w:p>
      <w:pPr>
        <w:wordWrap w:val="0"/>
        <w:spacing w:line="360" w:lineRule="auto"/>
        <w:ind w:firstLine="480" w:firstLineChars="200"/>
        <w:rPr>
          <w:rFonts w:hint="eastAsia"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3.5.4 投标人须知前附表规定接受联合体投标的，本章第3.5.1项至第3.5.3项规定的表格和资料应包括联合体各方相关情况。</w:t>
      </w:r>
    </w:p>
    <w:p>
      <w:pPr>
        <w:wordWrap w:val="0"/>
        <w:spacing w:line="360" w:lineRule="auto"/>
        <w:ind w:firstLine="482" w:firstLineChars="200"/>
        <w:rPr>
          <w:rFonts w:ascii="宋体" w:hAnsi="宋体" w:eastAsia="宋体" w:cs="宋体"/>
          <w:color w:val="auto"/>
          <w:kern w:val="0"/>
          <w:sz w:val="24"/>
          <w:szCs w:val="24"/>
          <w:highlight w:val="none"/>
        </w:rPr>
      </w:pPr>
      <w:r>
        <w:rPr>
          <w:rFonts w:hint="eastAsia" w:ascii="宋体" w:hAnsi="宋体" w:eastAsia="宋体"/>
          <w:b/>
          <w:bCs/>
          <w:color w:val="auto"/>
          <w:sz w:val="24"/>
          <w:szCs w:val="24"/>
          <w:highlight w:val="none"/>
          <w:u w:val="single"/>
        </w:rPr>
        <w:t xml:space="preserve">3.5.1 </w:t>
      </w:r>
      <w:r>
        <w:rPr>
          <w:rFonts w:hint="eastAsia" w:ascii="宋体" w:hAnsi="宋体" w:eastAsia="宋体"/>
          <w:b/>
          <w:bCs/>
          <w:color w:val="auto"/>
          <w:sz w:val="24"/>
          <w:szCs w:val="24"/>
          <w:highlight w:val="none"/>
          <w:u w:val="single"/>
        </w:rPr>
        <w:t>资格审查资料详见第六章“投标文件格式”。</w:t>
      </w: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2" w:name="_Toc111186748"/>
      <w:bookmarkStart w:id="83" w:name="_Toc193357964"/>
      <w:bookmarkStart w:id="84" w:name="_Toc10646"/>
      <w:r>
        <w:rPr>
          <w:rFonts w:hint="eastAsia" w:ascii="宋体" w:hAnsi="宋体" w:eastAsia="宋体" w:cs="宋体"/>
          <w:b/>
          <w:bCs/>
          <w:color w:val="auto"/>
          <w:spacing w:val="1"/>
          <w:sz w:val="28"/>
          <w:szCs w:val="32"/>
          <w:highlight w:val="none"/>
          <w:lang w:val="zh-CN"/>
        </w:rPr>
        <w:t>3.6 备选投标方案</w:t>
      </w:r>
      <w:bookmarkEnd w:id="82"/>
      <w:bookmarkEnd w:id="83"/>
      <w:bookmarkEnd w:id="84"/>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除投标人须知前附表规定允许外，投标人不得递交备选投标方案，否则其投标将被否决。</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 投标人提供两个或两个以上投标报价，或者在投标文件中提供一个报价，但同时提供两个或两个以上勘察设计方案的，视为提供备选方案。</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5" w:name="_Toc7643"/>
      <w:bookmarkStart w:id="86" w:name="_Toc111186749"/>
      <w:bookmarkStart w:id="87" w:name="_Toc193357965"/>
      <w:r>
        <w:rPr>
          <w:rFonts w:hint="eastAsia" w:ascii="宋体" w:hAnsi="宋体" w:eastAsia="宋体" w:cs="宋体"/>
          <w:b/>
          <w:bCs/>
          <w:color w:val="auto"/>
          <w:spacing w:val="1"/>
          <w:sz w:val="28"/>
          <w:szCs w:val="32"/>
          <w:highlight w:val="none"/>
          <w:lang w:val="zh-CN"/>
        </w:rPr>
        <w:t>3.7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编制</w:t>
      </w:r>
      <w:bookmarkEnd w:id="85"/>
      <w:bookmarkEnd w:id="86"/>
      <w:bookmarkEnd w:id="87"/>
    </w:p>
    <w:p>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 投标文件应当对招标文件有关勘察设计服务期限、投标有效期、发包人要求、招标范围等实质性内容作出响应。</w:t>
      </w:r>
    </w:p>
    <w:p>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联合体投标时，投标人封面及其他内容落款中的“投标人”应填写联合体各方的单位全称【格式为：（主）XXXX公司（成）XXXX公司】。除</w:t>
      </w:r>
      <w:r>
        <w:rPr>
          <w:rFonts w:hint="eastAsia" w:ascii="宋体" w:hAnsi="宋体" w:eastAsia="宋体" w:cs="宋体"/>
          <w:color w:val="auto"/>
          <w:kern w:val="0"/>
          <w:sz w:val="24"/>
          <w:szCs w:val="24"/>
          <w:highlight w:val="none"/>
          <w:lang w:eastAsia="zh-CN"/>
        </w:rPr>
        <w:t>联合体协议书</w:t>
      </w:r>
      <w:r>
        <w:rPr>
          <w:rFonts w:hint="eastAsia" w:ascii="宋体" w:hAnsi="宋体" w:eastAsia="宋体" w:cs="宋体"/>
          <w:color w:val="auto"/>
          <w:kern w:val="0"/>
          <w:sz w:val="24"/>
          <w:szCs w:val="24"/>
          <w:highlight w:val="none"/>
        </w:rPr>
        <w:t>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pPr>
        <w:wordWrap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3.7.5 投标文件应按照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网站关于全流程电子化项目的相关指南进行编制。如因不按上述编排要求编制而所引起系统无法检索、读取相关信息时，其后果将由投标人自行承担。</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88" w:name="_Toc111186750"/>
      <w:bookmarkStart w:id="89" w:name="_Toc30610"/>
      <w:bookmarkStart w:id="90" w:name="_Toc193357966"/>
      <w:r>
        <w:rPr>
          <w:rFonts w:hint="eastAsia" w:ascii="宋体" w:hAnsi="宋体" w:eastAsia="宋体" w:cs="宋体"/>
          <w:b/>
          <w:bCs/>
          <w:color w:val="auto"/>
          <w:spacing w:val="1"/>
          <w:kern w:val="0"/>
          <w:sz w:val="30"/>
          <w:szCs w:val="30"/>
          <w:highlight w:val="none"/>
          <w:lang w:val="zh-CN"/>
        </w:rPr>
        <w:t>4</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w:t>
      </w:r>
      <w:bookmarkEnd w:id="88"/>
      <w:bookmarkEnd w:id="89"/>
      <w:bookmarkEnd w:id="90"/>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1" w:name="_Toc26954"/>
      <w:bookmarkStart w:id="92" w:name="_Toc193357967"/>
      <w:bookmarkStart w:id="93" w:name="_Toc111186751"/>
      <w:r>
        <w:rPr>
          <w:rFonts w:hint="eastAsia" w:ascii="宋体" w:hAnsi="宋体" w:eastAsia="宋体" w:cs="宋体"/>
          <w:b/>
          <w:bCs/>
          <w:color w:val="auto"/>
          <w:spacing w:val="1"/>
          <w:sz w:val="28"/>
          <w:szCs w:val="32"/>
          <w:highlight w:val="none"/>
          <w:lang w:val="zh-CN"/>
        </w:rPr>
        <w:t>4.1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密</w:t>
      </w:r>
      <w:r>
        <w:rPr>
          <w:rFonts w:hint="eastAsia" w:ascii="宋体" w:hAnsi="宋体" w:eastAsia="宋体" w:cs="宋体"/>
          <w:b/>
          <w:bCs/>
          <w:color w:val="auto"/>
          <w:spacing w:val="-3"/>
          <w:sz w:val="28"/>
          <w:szCs w:val="32"/>
          <w:highlight w:val="none"/>
          <w:lang w:val="zh-CN"/>
        </w:rPr>
        <w:t>封</w:t>
      </w:r>
      <w:r>
        <w:rPr>
          <w:rFonts w:hint="eastAsia" w:ascii="宋体" w:hAnsi="宋体" w:eastAsia="宋体" w:cs="宋体"/>
          <w:b/>
          <w:bCs/>
          <w:color w:val="auto"/>
          <w:spacing w:val="1"/>
          <w:sz w:val="28"/>
          <w:szCs w:val="32"/>
          <w:highlight w:val="none"/>
          <w:lang w:val="zh-CN"/>
        </w:rPr>
        <w:t>和标记</w:t>
      </w:r>
      <w:bookmarkEnd w:id="91"/>
      <w:bookmarkEnd w:id="92"/>
      <w:bookmarkEnd w:id="93"/>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投标人应当按照招标文件和电子招标投标交易平台的要求加密投标文件（不含备用光盘），具体要求见投标人须知前附表。</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（如有）投标文件备用光盘封套上应写明的内容见投标人须知前附表。</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未按本章第4.1.1项要求加密的投标文件，招标人将授权</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网站交易平台予以拒收。</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4" w:name="_Toc28727"/>
      <w:bookmarkStart w:id="95" w:name="_Toc193357968"/>
      <w:bookmarkStart w:id="96" w:name="_Toc111186752"/>
      <w:r>
        <w:rPr>
          <w:rFonts w:hint="eastAsia" w:ascii="宋体" w:hAnsi="宋体" w:eastAsia="宋体" w:cs="宋体"/>
          <w:b/>
          <w:bCs/>
          <w:color w:val="auto"/>
          <w:spacing w:val="1"/>
          <w:sz w:val="28"/>
          <w:szCs w:val="32"/>
          <w:highlight w:val="none"/>
          <w:lang w:val="zh-CN"/>
        </w:rPr>
        <w:t>4.2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递交</w:t>
      </w:r>
      <w:bookmarkEnd w:id="94"/>
      <w:bookmarkEnd w:id="95"/>
      <w:bookmarkEnd w:id="96"/>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 投标人应在投标人须知前附表规定的投标截止时间前</w:t>
      </w:r>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网站交易平台递交电子投标文件</w:t>
      </w:r>
      <w:r>
        <w:rPr>
          <w:rFonts w:ascii="宋体" w:hAnsi="宋体" w:eastAsia="宋体" w:cs="宋体"/>
          <w:color w:val="auto"/>
          <w:kern w:val="0"/>
          <w:sz w:val="24"/>
          <w:szCs w:val="24"/>
          <w:highlight w:val="none"/>
        </w:rPr>
        <w:t>。</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4.2.2</w:t>
      </w:r>
      <w:r>
        <w:rPr>
          <w:rFonts w:hint="eastAsia" w:ascii="宋体" w:hAnsi="宋体" w:eastAsia="宋体" w:cs="宋体"/>
          <w:color w:val="auto"/>
          <w:kern w:val="0"/>
          <w:sz w:val="24"/>
          <w:szCs w:val="24"/>
          <w:highlight w:val="none"/>
        </w:rPr>
        <w:t xml:space="preserve"> 投标人完成电子投标文件上传后，</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网站交易平台即时向投标人发出递交回执通知。递交时间以递交回执通知载明的传输完成时间为准</w:t>
      </w:r>
      <w:r>
        <w:rPr>
          <w:rFonts w:ascii="宋体" w:hAnsi="宋体" w:eastAsia="宋体" w:cs="宋体"/>
          <w:color w:val="auto"/>
          <w:kern w:val="0"/>
          <w:sz w:val="24"/>
          <w:szCs w:val="24"/>
          <w:highlight w:val="none"/>
        </w:rPr>
        <w:t>。</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4.2.3 </w:t>
      </w:r>
      <w:r>
        <w:rPr>
          <w:rFonts w:hint="eastAsia" w:ascii="宋体" w:hAnsi="宋体" w:eastAsia="宋体" w:cs="宋体"/>
          <w:color w:val="auto"/>
          <w:kern w:val="0"/>
          <w:sz w:val="24"/>
          <w:szCs w:val="24"/>
          <w:highlight w:val="none"/>
        </w:rPr>
        <w:t>逾期送达的电子投标文件，</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网站交易平台将予以拒收。</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rPr>
        <w:t>4 投标截止前，招标人拒绝接收符合条件的投标文件，投标人可向招标监督机构投诉</w:t>
      </w:r>
      <w:r>
        <w:rPr>
          <w:rFonts w:ascii="宋体" w:hAnsi="宋体" w:eastAsia="宋体" w:cs="宋体"/>
          <w:color w:val="auto"/>
          <w:kern w:val="0"/>
          <w:sz w:val="24"/>
          <w:szCs w:val="24"/>
          <w:highlight w:val="none"/>
        </w:rPr>
        <w:t>。</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7" w:name="_Toc111186753"/>
      <w:bookmarkStart w:id="98" w:name="_Toc32035"/>
      <w:bookmarkStart w:id="99" w:name="_Toc193357969"/>
      <w:r>
        <w:rPr>
          <w:rFonts w:hint="eastAsia" w:ascii="宋体" w:hAnsi="宋体" w:eastAsia="宋体" w:cs="宋体"/>
          <w:b/>
          <w:bCs/>
          <w:color w:val="auto"/>
          <w:spacing w:val="1"/>
          <w:sz w:val="28"/>
          <w:szCs w:val="32"/>
          <w:highlight w:val="none"/>
          <w:lang w:val="zh-CN"/>
        </w:rPr>
        <w:t>4.3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修</w:t>
      </w:r>
      <w:r>
        <w:rPr>
          <w:rFonts w:hint="eastAsia" w:ascii="宋体" w:hAnsi="宋体" w:eastAsia="宋体" w:cs="宋体"/>
          <w:b/>
          <w:bCs/>
          <w:color w:val="auto"/>
          <w:spacing w:val="-3"/>
          <w:sz w:val="28"/>
          <w:szCs w:val="32"/>
          <w:highlight w:val="none"/>
          <w:lang w:val="zh-CN"/>
        </w:rPr>
        <w:t>改</w:t>
      </w:r>
      <w:r>
        <w:rPr>
          <w:rFonts w:hint="eastAsia" w:ascii="宋体" w:hAnsi="宋体" w:eastAsia="宋体" w:cs="宋体"/>
          <w:b/>
          <w:bCs/>
          <w:color w:val="auto"/>
          <w:spacing w:val="1"/>
          <w:sz w:val="28"/>
          <w:szCs w:val="32"/>
          <w:highlight w:val="none"/>
          <w:lang w:val="zh-CN"/>
        </w:rPr>
        <w:t>与撤回</w:t>
      </w:r>
      <w:bookmarkEnd w:id="97"/>
      <w:bookmarkEnd w:id="98"/>
      <w:bookmarkEnd w:id="99"/>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在规定的投标截止时间前，投标人可以修改或撤回已递交的投标文件，但应以书面形式通知招标人。</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投标人修改或撤回已递交投标文件，需在交易平台发出修改或撤回通知，并按要求加盖电子印章。电子招标投标交易平台收到通知后，即时向投标人发出确认回执通知。</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4.3.3 修改后再次递交的，按第4.2项的规定执行。</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4.3.4 在投标截止时间之后，投标人不得补充、修改和更换投标文件。</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4.3.5 投标人撤回投标文件的，招标人自收到投标人书面撤回通知之日起5日内退还已收取的投标保证金。</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00" w:name="_Toc111186754"/>
      <w:bookmarkStart w:id="101" w:name="_Toc3959"/>
      <w:bookmarkStart w:id="102" w:name="_Toc193357970"/>
      <w:r>
        <w:rPr>
          <w:rFonts w:hint="eastAsia" w:ascii="宋体" w:hAnsi="宋体" w:eastAsia="宋体" w:cs="宋体"/>
          <w:b/>
          <w:bCs/>
          <w:color w:val="auto"/>
          <w:spacing w:val="1"/>
          <w:kern w:val="0"/>
          <w:sz w:val="30"/>
          <w:szCs w:val="30"/>
          <w:highlight w:val="none"/>
          <w:lang w:val="zh-CN"/>
        </w:rPr>
        <w:t>5</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开标</w:t>
      </w:r>
      <w:bookmarkEnd w:id="100"/>
      <w:bookmarkEnd w:id="101"/>
      <w:bookmarkEnd w:id="102"/>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3" w:name="_Toc27261"/>
      <w:bookmarkStart w:id="104" w:name="_Toc193357972"/>
      <w:bookmarkStart w:id="105" w:name="_Toc25072089"/>
      <w:bookmarkStart w:id="106" w:name="_Toc111186756"/>
      <w:r>
        <w:rPr>
          <w:rFonts w:hint="eastAsia" w:ascii="宋体" w:hAnsi="宋体" w:eastAsia="宋体" w:cs="宋体"/>
          <w:b/>
          <w:bCs/>
          <w:color w:val="auto"/>
          <w:spacing w:val="1"/>
          <w:sz w:val="28"/>
          <w:szCs w:val="32"/>
          <w:highlight w:val="none"/>
          <w:lang w:val="zh-CN"/>
        </w:rPr>
        <w:t>5.1 开标时间和地点</w:t>
      </w:r>
      <w:bookmarkEnd w:id="103"/>
      <w:bookmarkEnd w:id="104"/>
      <w:bookmarkEnd w:id="105"/>
      <w:bookmarkEnd w:id="106"/>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招标人按投标须知前附表规定的时间和地点公开开标。截标后，开标开始时间因故推迟的，相关评标信息仍以原定的开标开始时间的信息为准。</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7" w:name="_Toc20443"/>
      <w:bookmarkStart w:id="108" w:name="_Toc111186757"/>
      <w:bookmarkStart w:id="109" w:name="_Toc193357973"/>
      <w:r>
        <w:rPr>
          <w:rFonts w:hint="eastAsia" w:ascii="宋体" w:hAnsi="宋体" w:eastAsia="宋体" w:cs="宋体"/>
          <w:b/>
          <w:bCs/>
          <w:color w:val="auto"/>
          <w:spacing w:val="1"/>
          <w:sz w:val="28"/>
          <w:szCs w:val="32"/>
          <w:highlight w:val="none"/>
          <w:lang w:val="zh-CN"/>
        </w:rPr>
        <w:t>5.2 开标程序</w:t>
      </w:r>
      <w:bookmarkEnd w:id="107"/>
      <w:bookmarkEnd w:id="108"/>
      <w:bookmarkEnd w:id="109"/>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按开标记录表规定的内容进行唱标。</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投标人代表、招标人代表等有关人员在开标记录上签字确认；若有关人员不签字的，不影响开标程序。</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开标结束。</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开标时，两个（含两个）以上的投标人加密打包投标文件的硬件特征码（含MAC地址、硬盘序列号、CPU名称、主板等）一致的，由评标委员会否决其投标。</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0" w:name="_Toc193357974"/>
      <w:bookmarkStart w:id="111" w:name="_Toc111186758"/>
      <w:bookmarkStart w:id="112" w:name="_Toc26094"/>
      <w:r>
        <w:rPr>
          <w:rFonts w:hint="eastAsia" w:ascii="宋体" w:hAnsi="宋体" w:eastAsia="宋体" w:cs="宋体"/>
          <w:b/>
          <w:bCs/>
          <w:color w:val="auto"/>
          <w:spacing w:val="1"/>
          <w:sz w:val="28"/>
          <w:szCs w:val="32"/>
          <w:highlight w:val="none"/>
          <w:lang w:val="zh-CN"/>
        </w:rPr>
        <w:t>5.3 开标异议</w:t>
      </w:r>
      <w:bookmarkEnd w:id="110"/>
      <w:bookmarkEnd w:id="111"/>
      <w:bookmarkEnd w:id="112"/>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1 参加现场开标的投标人对开标结果有异议的，应当在开标现场提出，该投标人代表须同时出示本人身份证原件，招标人应当当场作出答复，并制作记录。未答复的，开标程序不得结束。</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2 参加在线开标的投标人对开标结果有异议的，应当在唱标结束后的规定时间内使用单位数字证书登录</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5.3.3 投标人未参加开标或在规定的时间内未提出异议的，视为对开标无异议。</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3" w:name="_Toc193357975"/>
      <w:bookmarkStart w:id="114" w:name="_Toc27043"/>
      <w:bookmarkStart w:id="115" w:name="_Toc111186759"/>
      <w:r>
        <w:rPr>
          <w:rFonts w:hint="eastAsia" w:ascii="宋体" w:hAnsi="宋体" w:eastAsia="宋体" w:cs="宋体"/>
          <w:b/>
          <w:bCs/>
          <w:color w:val="auto"/>
          <w:spacing w:val="1"/>
          <w:kern w:val="0"/>
          <w:sz w:val="30"/>
          <w:szCs w:val="30"/>
          <w:highlight w:val="none"/>
          <w:lang w:val="zh-CN"/>
        </w:rPr>
        <w:t>6</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评标</w:t>
      </w:r>
      <w:bookmarkEnd w:id="113"/>
      <w:bookmarkEnd w:id="114"/>
      <w:bookmarkEnd w:id="115"/>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6" w:name="_Toc111186760"/>
      <w:bookmarkStart w:id="117" w:name="_Toc193357976"/>
      <w:bookmarkStart w:id="118" w:name="_Toc874"/>
      <w:r>
        <w:rPr>
          <w:rFonts w:hint="eastAsia" w:ascii="宋体" w:hAnsi="宋体" w:eastAsia="宋体" w:cs="宋体"/>
          <w:b/>
          <w:bCs/>
          <w:color w:val="auto"/>
          <w:spacing w:val="1"/>
          <w:sz w:val="28"/>
          <w:szCs w:val="32"/>
          <w:highlight w:val="none"/>
          <w:lang w:val="zh-CN"/>
        </w:rPr>
        <w:t>6.1 评标委员会</w:t>
      </w:r>
      <w:bookmarkEnd w:id="116"/>
      <w:bookmarkEnd w:id="117"/>
      <w:bookmarkEnd w:id="118"/>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6.1.1 评标由招标人依法组建的评标委员会负责。</w:t>
      </w:r>
      <w:r>
        <w:rPr>
          <w:rFonts w:hint="eastAsia" w:ascii="宋体" w:hAnsi="宋体" w:eastAsia="宋体" w:cs="宋体"/>
          <w:color w:val="auto"/>
          <w:kern w:val="0"/>
          <w:sz w:val="24"/>
          <w:szCs w:val="24"/>
          <w:highlight w:val="none"/>
        </w:rPr>
        <w:t>评标委员会由有关技术、经济等方面的专家和招标人代表组成，专家从</w:t>
      </w:r>
      <w:r>
        <w:rPr>
          <w:rFonts w:hint="eastAsia" w:ascii="宋体" w:hAnsi="宋体" w:eastAsia="宋体" w:cs="宋体"/>
          <w:color w:val="auto"/>
          <w:kern w:val="0"/>
          <w:sz w:val="24"/>
          <w:szCs w:val="24"/>
          <w:highlight w:val="none"/>
          <w:u w:val="single"/>
        </w:rPr>
        <w:t>广东省综合评标评审专家库</w:t>
      </w:r>
      <w:r>
        <w:rPr>
          <w:rFonts w:hint="eastAsia" w:ascii="宋体" w:hAnsi="宋体" w:eastAsia="宋体" w:cs="宋体"/>
          <w:color w:val="auto"/>
          <w:kern w:val="0"/>
          <w:sz w:val="24"/>
          <w:szCs w:val="24"/>
          <w:highlight w:val="none"/>
        </w:rPr>
        <w:t>中抽取或按远程异地评标专家抽取相关规定组建</w:t>
      </w:r>
      <w:r>
        <w:rPr>
          <w:rFonts w:ascii="宋体" w:hAnsi="宋体" w:eastAsia="宋体" w:cs="宋体"/>
          <w:color w:val="auto"/>
          <w:kern w:val="0"/>
          <w:sz w:val="24"/>
          <w:szCs w:val="24"/>
          <w:highlight w:val="none"/>
        </w:rPr>
        <w:t>。评标委员会成员人数以及技术、经济等方面专家的确定方式见投标人须知前附表。</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6.1.2 评标委员会成员有下列情形之一的，应当回避：</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(1)投标人或投标人主要负责人的近亲属；</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(2)项目主管部门或者行政监督部门的人员；</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招标人或投标人的工作人员、退休或离职未满3年的人员；</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)与投标人有经济利益关系，可能影响对投标公正评审的；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)曾因在招标、评标以及其他与招标投标有关活动中从事违法行为而受过行政处罚或刑事处罚的；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)与投标人有其他利害关系。</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9" w:name="_Toc193357977"/>
      <w:bookmarkStart w:id="120" w:name="_Toc111186761"/>
      <w:bookmarkStart w:id="121" w:name="_Toc9043"/>
      <w:r>
        <w:rPr>
          <w:rFonts w:hint="eastAsia" w:ascii="宋体" w:hAnsi="宋体" w:eastAsia="宋体" w:cs="宋体"/>
          <w:b/>
          <w:bCs/>
          <w:color w:val="auto"/>
          <w:spacing w:val="1"/>
          <w:sz w:val="28"/>
          <w:szCs w:val="32"/>
          <w:highlight w:val="none"/>
          <w:lang w:val="zh-CN"/>
        </w:rPr>
        <w:t>6.2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评标原则</w:t>
      </w:r>
      <w:bookmarkEnd w:id="119"/>
      <w:bookmarkEnd w:id="120"/>
      <w:bookmarkEnd w:id="121"/>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2" w:name="_Toc111186762"/>
      <w:bookmarkStart w:id="123" w:name="_Toc10255"/>
      <w:bookmarkStart w:id="124" w:name="_Toc193357978"/>
      <w:r>
        <w:rPr>
          <w:rFonts w:hint="eastAsia" w:ascii="宋体" w:hAnsi="宋体" w:eastAsia="宋体" w:cs="宋体"/>
          <w:b/>
          <w:bCs/>
          <w:color w:val="auto"/>
          <w:spacing w:val="1"/>
          <w:sz w:val="28"/>
          <w:szCs w:val="32"/>
          <w:highlight w:val="none"/>
          <w:lang w:val="zh-CN"/>
        </w:rPr>
        <w:t>6.3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w:t>
      </w:r>
      <w:bookmarkEnd w:id="122"/>
      <w:bookmarkEnd w:id="123"/>
      <w:bookmarkEnd w:id="124"/>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6.3.2 评标完成后，评标委员会应当向招标人提交书面评标报告和中标候选人名单。评标委员会推荐中标候选人的人数见投标人须知前附表。</w:t>
      </w:r>
    </w:p>
    <w:p>
      <w:pPr>
        <w:wordWrap w:val="0"/>
        <w:spacing w:line="360" w:lineRule="auto"/>
        <w:ind w:firstLine="480" w:firstLineChars="200"/>
        <w:rPr>
          <w:rFonts w:ascii="宋体" w:hAnsi="宋体" w:eastAsia="宋体" w:cs="宋体"/>
          <w:color w:val="auto"/>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25" w:name="_Toc193357979"/>
      <w:bookmarkStart w:id="126" w:name="_Toc111186763"/>
      <w:bookmarkStart w:id="127" w:name="_Toc10209"/>
      <w:r>
        <w:rPr>
          <w:rFonts w:hint="eastAsia" w:ascii="宋体" w:hAnsi="宋体" w:eastAsia="宋体" w:cs="宋体"/>
          <w:b/>
          <w:bCs/>
          <w:color w:val="auto"/>
          <w:spacing w:val="1"/>
          <w:kern w:val="0"/>
          <w:sz w:val="30"/>
          <w:szCs w:val="30"/>
          <w:highlight w:val="none"/>
          <w:lang w:val="zh-CN"/>
        </w:rPr>
        <w:t>7</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合同授予</w:t>
      </w:r>
      <w:bookmarkEnd w:id="125"/>
      <w:bookmarkEnd w:id="126"/>
      <w:bookmarkEnd w:id="127"/>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8" w:name="_Toc3077"/>
      <w:bookmarkStart w:id="129" w:name="_Toc111186764"/>
      <w:bookmarkStart w:id="130" w:name="_Toc193357980"/>
      <w:r>
        <w:rPr>
          <w:rFonts w:hint="eastAsia" w:ascii="宋体" w:hAnsi="宋体" w:eastAsia="宋体" w:cs="宋体"/>
          <w:b/>
          <w:bCs/>
          <w:color w:val="auto"/>
          <w:spacing w:val="1"/>
          <w:sz w:val="28"/>
          <w:szCs w:val="32"/>
          <w:highlight w:val="none"/>
          <w:lang w:val="zh-CN"/>
        </w:rPr>
        <w:t>7.1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公示</w:t>
      </w:r>
      <w:bookmarkEnd w:id="128"/>
      <w:bookmarkEnd w:id="129"/>
      <w:bookmarkEnd w:id="130"/>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招标人在收到评标报告之日起3日内，按照投标人须知前附表规定的公示媒介和期限公示中标候选人，公示期不得少于3天，最后一天应为工作日。</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1" w:name="_Toc193357981"/>
      <w:bookmarkStart w:id="132" w:name="_Toc111186765"/>
      <w:bookmarkStart w:id="133" w:name="_Toc19391"/>
      <w:r>
        <w:rPr>
          <w:rFonts w:hint="eastAsia" w:ascii="宋体" w:hAnsi="宋体" w:eastAsia="宋体" w:cs="宋体"/>
          <w:b/>
          <w:bCs/>
          <w:color w:val="auto"/>
          <w:spacing w:val="1"/>
          <w:sz w:val="28"/>
          <w:szCs w:val="32"/>
          <w:highlight w:val="none"/>
          <w:lang w:val="zh-CN"/>
        </w:rPr>
        <w:t>7.2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评标结果</w:t>
      </w:r>
      <w:r>
        <w:rPr>
          <w:rFonts w:hint="eastAsia" w:ascii="宋体" w:hAnsi="宋体" w:eastAsia="宋体" w:cs="宋体"/>
          <w:b/>
          <w:bCs/>
          <w:color w:val="auto"/>
          <w:spacing w:val="-3"/>
          <w:sz w:val="28"/>
          <w:szCs w:val="32"/>
          <w:highlight w:val="none"/>
          <w:lang w:val="zh-CN"/>
        </w:rPr>
        <w:t>异</w:t>
      </w:r>
      <w:r>
        <w:rPr>
          <w:rFonts w:hint="eastAsia" w:ascii="宋体" w:hAnsi="宋体" w:eastAsia="宋体" w:cs="宋体"/>
          <w:b/>
          <w:bCs/>
          <w:color w:val="auto"/>
          <w:spacing w:val="1"/>
          <w:sz w:val="28"/>
          <w:szCs w:val="32"/>
          <w:highlight w:val="none"/>
          <w:lang w:val="zh-CN"/>
        </w:rPr>
        <w:t>议</w:t>
      </w:r>
      <w:bookmarkEnd w:id="131"/>
      <w:bookmarkEnd w:id="132"/>
      <w:bookmarkEnd w:id="133"/>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投标人或者其他利害关系人对评标结果有异议的，应当在中标候选人公示期间通过电子交易系统提出。招标人将在收到异议之日起3日内在电子交易系统作出答复；作出答复前，将暂停招标投标活动。</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4" w:name="_Toc193357982"/>
      <w:bookmarkStart w:id="135" w:name="_Toc111186766"/>
      <w:bookmarkStart w:id="136" w:name="_Toc17235"/>
      <w:r>
        <w:rPr>
          <w:rFonts w:hint="eastAsia" w:ascii="宋体" w:hAnsi="宋体" w:eastAsia="宋体" w:cs="宋体"/>
          <w:b/>
          <w:bCs/>
          <w:color w:val="auto"/>
          <w:spacing w:val="1"/>
          <w:sz w:val="28"/>
          <w:szCs w:val="32"/>
          <w:highlight w:val="none"/>
          <w:lang w:val="zh-CN"/>
        </w:rPr>
        <w:t>7.3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履</w:t>
      </w:r>
      <w:r>
        <w:rPr>
          <w:rFonts w:hint="eastAsia" w:ascii="宋体" w:hAnsi="宋体" w:eastAsia="宋体" w:cs="宋体"/>
          <w:b/>
          <w:bCs/>
          <w:color w:val="auto"/>
          <w:spacing w:val="-3"/>
          <w:sz w:val="28"/>
          <w:szCs w:val="32"/>
          <w:highlight w:val="none"/>
          <w:lang w:val="zh-CN"/>
        </w:rPr>
        <w:t>约</w:t>
      </w:r>
      <w:r>
        <w:rPr>
          <w:rFonts w:hint="eastAsia" w:ascii="宋体" w:hAnsi="宋体" w:eastAsia="宋体" w:cs="宋体"/>
          <w:b/>
          <w:bCs/>
          <w:color w:val="auto"/>
          <w:spacing w:val="1"/>
          <w:sz w:val="28"/>
          <w:szCs w:val="32"/>
          <w:highlight w:val="none"/>
          <w:lang w:val="zh-CN"/>
        </w:rPr>
        <w:t>能力审查</w:t>
      </w:r>
      <w:bookmarkEnd w:id="134"/>
      <w:bookmarkEnd w:id="135"/>
      <w:bookmarkEnd w:id="136"/>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7" w:name="_Toc111186767"/>
      <w:bookmarkStart w:id="138" w:name="_Toc1732"/>
      <w:bookmarkStart w:id="139" w:name="_Toc193357983"/>
      <w:r>
        <w:rPr>
          <w:rFonts w:hint="eastAsia" w:ascii="宋体" w:hAnsi="宋体" w:eastAsia="宋体" w:cs="宋体"/>
          <w:b/>
          <w:bCs/>
          <w:color w:val="auto"/>
          <w:spacing w:val="1"/>
          <w:sz w:val="28"/>
          <w:szCs w:val="32"/>
          <w:highlight w:val="none"/>
          <w:lang w:val="zh-CN"/>
        </w:rPr>
        <w:t>7.4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定标</w:t>
      </w:r>
      <w:bookmarkEnd w:id="137"/>
      <w:bookmarkEnd w:id="138"/>
      <w:bookmarkEnd w:id="139"/>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按照投标人须知前附表的规定，招标人或招标人授权的评标委员会依法确定中标人。</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0" w:name="_Toc111186768"/>
      <w:bookmarkStart w:id="141" w:name="_Toc4759"/>
      <w:bookmarkStart w:id="142" w:name="_Toc193357984"/>
      <w:r>
        <w:rPr>
          <w:rFonts w:hint="eastAsia" w:ascii="宋体" w:hAnsi="宋体" w:eastAsia="宋体" w:cs="宋体"/>
          <w:b/>
          <w:bCs/>
          <w:color w:val="auto"/>
          <w:spacing w:val="1"/>
          <w:sz w:val="28"/>
          <w:szCs w:val="32"/>
          <w:highlight w:val="none"/>
          <w:lang w:val="zh-CN"/>
        </w:rPr>
        <w:t>7.5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中标通知</w:t>
      </w:r>
      <w:bookmarkEnd w:id="140"/>
      <w:bookmarkEnd w:id="141"/>
      <w:bookmarkEnd w:id="142"/>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在法规规定的时间内，招标人向中标人发出中标通知书。在广东省招标投标监管网和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政府投资项目，中标通知书发出前，中标人应未被纳入失信惩戒名单，否则招标人将取消其中标资格。失信联合惩戒名单以“信用广州”网站公布的为准。</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3" w:name="_Toc193357985"/>
      <w:bookmarkStart w:id="144" w:name="_Toc11927"/>
      <w:bookmarkStart w:id="145" w:name="_Toc111186769"/>
      <w:r>
        <w:rPr>
          <w:rFonts w:hint="eastAsia" w:ascii="宋体" w:hAnsi="宋体" w:eastAsia="宋体" w:cs="宋体"/>
          <w:b/>
          <w:bCs/>
          <w:color w:val="auto"/>
          <w:spacing w:val="1"/>
          <w:sz w:val="28"/>
          <w:szCs w:val="32"/>
          <w:highlight w:val="none"/>
          <w:lang w:val="zh-CN"/>
        </w:rPr>
        <w:t>7.6</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技术成果</w:t>
      </w:r>
      <w:r>
        <w:rPr>
          <w:rFonts w:hint="eastAsia" w:ascii="宋体" w:hAnsi="宋体" w:eastAsia="宋体" w:cs="宋体"/>
          <w:b/>
          <w:bCs/>
          <w:color w:val="auto"/>
          <w:spacing w:val="-3"/>
          <w:sz w:val="28"/>
          <w:szCs w:val="32"/>
          <w:highlight w:val="none"/>
          <w:lang w:val="zh-CN"/>
        </w:rPr>
        <w:t>经</w:t>
      </w:r>
      <w:r>
        <w:rPr>
          <w:rFonts w:hint="eastAsia" w:ascii="宋体" w:hAnsi="宋体" w:eastAsia="宋体" w:cs="宋体"/>
          <w:b/>
          <w:bCs/>
          <w:color w:val="auto"/>
          <w:spacing w:val="1"/>
          <w:sz w:val="28"/>
          <w:szCs w:val="32"/>
          <w:highlight w:val="none"/>
          <w:lang w:val="zh-CN"/>
        </w:rPr>
        <w:t>济</w:t>
      </w:r>
      <w:r>
        <w:rPr>
          <w:rFonts w:hint="eastAsia" w:ascii="宋体" w:hAnsi="宋体" w:eastAsia="宋体" w:cs="宋体"/>
          <w:b/>
          <w:bCs/>
          <w:color w:val="auto"/>
          <w:spacing w:val="-3"/>
          <w:sz w:val="28"/>
          <w:szCs w:val="32"/>
          <w:highlight w:val="none"/>
          <w:lang w:val="zh-CN"/>
        </w:rPr>
        <w:t>补</w:t>
      </w:r>
      <w:r>
        <w:rPr>
          <w:rFonts w:hint="eastAsia" w:ascii="宋体" w:hAnsi="宋体" w:eastAsia="宋体" w:cs="宋体"/>
          <w:b/>
          <w:bCs/>
          <w:color w:val="auto"/>
          <w:spacing w:val="1"/>
          <w:sz w:val="28"/>
          <w:szCs w:val="32"/>
          <w:highlight w:val="none"/>
          <w:lang w:val="zh-CN"/>
        </w:rPr>
        <w:t>偿</w:t>
      </w:r>
      <w:bookmarkEnd w:id="143"/>
      <w:bookmarkEnd w:id="144"/>
      <w:bookmarkEnd w:id="145"/>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招标人对符合招标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定的未中标人的技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进行补偿的，招标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按</w:t>
      </w:r>
      <w:r>
        <w:rPr>
          <w:rFonts w:hint="eastAsia" w:ascii="宋体" w:hAnsi="宋体" w:eastAsia="宋体" w:cs="宋体"/>
          <w:color w:val="auto"/>
          <w:kern w:val="0"/>
          <w:sz w:val="24"/>
          <w:szCs w:val="24"/>
          <w:highlight w:val="none"/>
        </w:rPr>
        <w:t>投标人须知前附表规定的标准</w:t>
      </w:r>
      <w:r>
        <w:rPr>
          <w:rFonts w:hint="eastAsia" w:ascii="宋体" w:hAnsi="宋体" w:eastAsia="宋体" w:cs="宋体"/>
          <w:color w:val="auto"/>
          <w:spacing w:val="-2"/>
          <w:kern w:val="0"/>
          <w:sz w:val="24"/>
          <w:szCs w:val="24"/>
          <w:highlight w:val="none"/>
        </w:rPr>
        <w:t>给</w:t>
      </w:r>
      <w:r>
        <w:rPr>
          <w:rFonts w:hint="eastAsia" w:ascii="宋体" w:hAnsi="宋体" w:eastAsia="宋体" w:cs="宋体"/>
          <w:color w:val="auto"/>
          <w:kern w:val="0"/>
          <w:sz w:val="24"/>
          <w:szCs w:val="24"/>
          <w:highlight w:val="none"/>
        </w:rPr>
        <w:t>予经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补偿，未中标人</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件中声明放弃技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成果</w:t>
      </w:r>
      <w:r>
        <w:rPr>
          <w:rFonts w:hint="eastAsia" w:ascii="宋体" w:hAnsi="宋体" w:eastAsia="宋体" w:cs="宋体"/>
          <w:color w:val="auto"/>
          <w:spacing w:val="-2"/>
          <w:kern w:val="0"/>
          <w:sz w:val="24"/>
          <w:szCs w:val="24"/>
          <w:highlight w:val="none"/>
        </w:rPr>
        <w:t>经</w:t>
      </w:r>
      <w:r>
        <w:rPr>
          <w:rFonts w:hint="eastAsia" w:ascii="宋体" w:hAnsi="宋体" w:eastAsia="宋体" w:cs="宋体"/>
          <w:color w:val="auto"/>
          <w:kern w:val="0"/>
          <w:sz w:val="24"/>
          <w:szCs w:val="24"/>
          <w:highlight w:val="none"/>
        </w:rPr>
        <w:t>济补偿费</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除</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于</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通</w:t>
      </w:r>
      <w:r>
        <w:rPr>
          <w:rFonts w:hint="eastAsia" w:ascii="宋体" w:hAnsi="宋体" w:eastAsia="宋体" w:cs="宋体"/>
          <w:color w:val="auto"/>
          <w:spacing w:val="-2"/>
          <w:kern w:val="0"/>
          <w:sz w:val="24"/>
          <w:szCs w:val="24"/>
          <w:highlight w:val="none"/>
        </w:rPr>
        <w:t>知</w:t>
      </w:r>
      <w:r>
        <w:rPr>
          <w:rFonts w:hint="eastAsia" w:ascii="宋体" w:hAnsi="宋体" w:eastAsia="宋体" w:cs="宋体"/>
          <w:color w:val="auto"/>
          <w:kern w:val="0"/>
          <w:sz w:val="24"/>
          <w:szCs w:val="24"/>
          <w:highlight w:val="none"/>
        </w:rPr>
        <w:t>书</w:t>
      </w:r>
      <w:r>
        <w:rPr>
          <w:rFonts w:hint="eastAsia" w:ascii="宋体" w:hAnsi="宋体" w:eastAsia="宋体" w:cs="宋体"/>
          <w:color w:val="auto"/>
          <w:spacing w:val="-2"/>
          <w:kern w:val="0"/>
          <w:sz w:val="24"/>
          <w:szCs w:val="24"/>
          <w:highlight w:val="none"/>
        </w:rPr>
        <w:t>发</w:t>
      </w:r>
      <w:r>
        <w:rPr>
          <w:rFonts w:hint="eastAsia" w:ascii="宋体" w:hAnsi="宋体" w:eastAsia="宋体" w:cs="宋体"/>
          <w:color w:val="auto"/>
          <w:kern w:val="0"/>
          <w:sz w:val="24"/>
          <w:szCs w:val="24"/>
          <w:highlight w:val="none"/>
        </w:rPr>
        <w:t>出后</w:t>
      </w: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spacing w:val="-2"/>
          <w:kern w:val="0"/>
          <w:sz w:val="24"/>
          <w:szCs w:val="24"/>
          <w:highlight w:val="none"/>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向</w:t>
      </w:r>
      <w:r>
        <w:rPr>
          <w:rFonts w:hint="eastAsia" w:ascii="宋体" w:hAnsi="宋体" w:eastAsia="宋体" w:cs="宋体"/>
          <w:color w:val="auto"/>
          <w:kern w:val="0"/>
          <w:sz w:val="24"/>
          <w:szCs w:val="24"/>
          <w:highlight w:val="none"/>
        </w:rPr>
        <w:t>未</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人支</w:t>
      </w:r>
      <w:r>
        <w:rPr>
          <w:rFonts w:hint="eastAsia" w:ascii="宋体" w:hAnsi="宋体" w:eastAsia="宋体" w:cs="宋体"/>
          <w:color w:val="auto"/>
          <w:kern w:val="0"/>
          <w:sz w:val="24"/>
          <w:szCs w:val="24"/>
          <w:highlight w:val="none"/>
        </w:rPr>
        <w:t>付技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w:t>
      </w:r>
      <w:r>
        <w:rPr>
          <w:rFonts w:hint="eastAsia" w:ascii="宋体" w:hAnsi="宋体" w:eastAsia="宋体" w:cs="宋体"/>
          <w:color w:val="auto"/>
          <w:spacing w:val="-2"/>
          <w:kern w:val="0"/>
          <w:sz w:val="24"/>
          <w:szCs w:val="24"/>
          <w:highlight w:val="none"/>
        </w:rPr>
        <w:t>偿</w:t>
      </w:r>
      <w:r>
        <w:rPr>
          <w:rFonts w:hint="eastAsia" w:ascii="宋体" w:hAnsi="宋体" w:eastAsia="宋体" w:cs="宋体"/>
          <w:color w:val="auto"/>
          <w:kern w:val="0"/>
          <w:sz w:val="24"/>
          <w:szCs w:val="24"/>
          <w:highlight w:val="none"/>
        </w:rPr>
        <w:t>费。</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6" w:name="_Toc193357986"/>
      <w:bookmarkStart w:id="147" w:name="_Toc5726"/>
      <w:bookmarkStart w:id="148" w:name="_Toc111186770"/>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履约保证金</w:t>
      </w:r>
      <w:bookmarkEnd w:id="146"/>
      <w:bookmarkEnd w:id="147"/>
      <w:bookmarkEnd w:id="148"/>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7.7.2 中标人不能按本章第7.7.1项要求提交履约保证金的，视为放弃中标，其投标保证金不予退还，给招标人造成的损失超过投标保证金数额的，中标人还应当对超过部分予以赔偿。</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9" w:name="_Toc193357987"/>
      <w:bookmarkStart w:id="150" w:name="_Toc32040"/>
      <w:bookmarkStart w:id="151" w:name="_Toc111186771"/>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签订合同</w:t>
      </w:r>
      <w:bookmarkEnd w:id="149"/>
      <w:bookmarkEnd w:id="150"/>
      <w:bookmarkEnd w:id="151"/>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 招标人和中标人应当在中标通知书发出之日起30日内，根据招标文件和中标人的投标文件订立书面合同，并通过电子交易系统与中标人在线签订合同，并在广东省招标投标监管网和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发出中标通知书后，招标人无正当理由拒签合同，或者在签订合同时向中标人提出附加条件的，招标人向中标人退还投标保证金；给中标人造成损失的，还应当赔偿损失。</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联合体中标的，联合体各方应当共同与招标人签订合同，就中标项目向招标人承担连带责任。</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52" w:name="_Toc14874"/>
      <w:bookmarkStart w:id="153" w:name="_Toc193357988"/>
      <w:bookmarkStart w:id="154" w:name="_Toc111186772"/>
      <w:r>
        <w:rPr>
          <w:rFonts w:hint="eastAsia" w:ascii="宋体" w:hAnsi="宋体" w:eastAsia="宋体" w:cs="宋体"/>
          <w:b/>
          <w:bCs/>
          <w:color w:val="auto"/>
          <w:spacing w:val="1"/>
          <w:kern w:val="0"/>
          <w:sz w:val="30"/>
          <w:szCs w:val="30"/>
          <w:highlight w:val="none"/>
          <w:lang w:val="zh-CN"/>
        </w:rPr>
        <w:t>8</w:t>
      </w:r>
      <w:r>
        <w:rPr>
          <w:rFonts w:hint="eastAsia" w:ascii="宋体" w:hAnsi="宋体" w:eastAsia="宋体" w:cs="宋体"/>
          <w:b/>
          <w:bCs/>
          <w:color w:val="auto"/>
          <w:spacing w:val="-1"/>
          <w:kern w:val="0"/>
          <w:sz w:val="30"/>
          <w:szCs w:val="30"/>
          <w:highlight w:val="none"/>
          <w:lang w:val="zh-CN"/>
        </w:rPr>
        <w:t>.</w:t>
      </w:r>
      <w:r>
        <w:rPr>
          <w:rFonts w:hint="eastAsia" w:ascii="宋体" w:hAnsi="宋体" w:eastAsia="宋体" w:cs="宋体"/>
          <w:b/>
          <w:bCs/>
          <w:color w:val="auto"/>
          <w:kern w:val="0"/>
          <w:sz w:val="30"/>
          <w:szCs w:val="30"/>
          <w:highlight w:val="none"/>
          <w:lang w:val="zh-CN"/>
        </w:rPr>
        <w:t>纪律和监督</w:t>
      </w:r>
      <w:bookmarkEnd w:id="152"/>
      <w:bookmarkEnd w:id="153"/>
      <w:bookmarkEnd w:id="154"/>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5" w:name="_Toc111186773"/>
      <w:bookmarkStart w:id="156" w:name="_Toc193357989"/>
      <w:bookmarkStart w:id="157" w:name="_Toc3133"/>
      <w:r>
        <w:rPr>
          <w:rFonts w:hint="eastAsia" w:ascii="宋体" w:hAnsi="宋体" w:eastAsia="宋体" w:cs="宋体"/>
          <w:b/>
          <w:bCs/>
          <w:color w:val="auto"/>
          <w:spacing w:val="1"/>
          <w:sz w:val="28"/>
          <w:szCs w:val="32"/>
          <w:highlight w:val="none"/>
          <w:lang w:val="zh-CN"/>
        </w:rPr>
        <w:t>8.1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对招标人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5"/>
      <w:bookmarkEnd w:id="156"/>
      <w:bookmarkEnd w:id="157"/>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招标人不得泄露招标投标活动中应当保密的情况和资料，不得与招标代理、投标人串通损害国家利益、社会公共利益或者他人合法权益。</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8" w:name="_Toc193357990"/>
      <w:bookmarkStart w:id="159" w:name="_Toc111186774"/>
      <w:bookmarkStart w:id="160" w:name="_Toc9243"/>
      <w:r>
        <w:rPr>
          <w:rFonts w:hint="eastAsia" w:ascii="宋体" w:hAnsi="宋体" w:eastAsia="宋体" w:cs="宋体"/>
          <w:b/>
          <w:bCs/>
          <w:color w:val="auto"/>
          <w:spacing w:val="1"/>
          <w:sz w:val="28"/>
          <w:szCs w:val="32"/>
          <w:highlight w:val="none"/>
          <w:lang w:val="zh-CN"/>
        </w:rPr>
        <w:t>8.2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对投标人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8"/>
      <w:bookmarkEnd w:id="159"/>
      <w:bookmarkEnd w:id="160"/>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招标人（招标代理）串通投标，不得向招标人或者评标委员会成员行贿谋取中标，不得以他人名义投标或者以其他方式弄虚作假骗取中标；投标人不得以任何方式干扰、影响评标工作。</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1" w:name="_Toc193357991"/>
      <w:bookmarkStart w:id="162" w:name="_Toc111186775"/>
      <w:bookmarkStart w:id="163" w:name="_Toc30238"/>
      <w:r>
        <w:rPr>
          <w:rFonts w:hint="eastAsia" w:ascii="宋体" w:hAnsi="宋体" w:eastAsia="宋体" w:cs="宋体"/>
          <w:b/>
          <w:bCs/>
          <w:color w:val="auto"/>
          <w:spacing w:val="1"/>
          <w:sz w:val="28"/>
          <w:szCs w:val="32"/>
          <w:highlight w:val="none"/>
          <w:lang w:val="zh-CN"/>
        </w:rPr>
        <w:t>8.3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对评标委</w:t>
      </w:r>
      <w:r>
        <w:rPr>
          <w:rFonts w:hint="eastAsia" w:ascii="宋体" w:hAnsi="宋体" w:eastAsia="宋体" w:cs="宋体"/>
          <w:b/>
          <w:bCs/>
          <w:color w:val="auto"/>
          <w:spacing w:val="-3"/>
          <w:sz w:val="28"/>
          <w:szCs w:val="32"/>
          <w:highlight w:val="none"/>
          <w:lang w:val="zh-CN"/>
        </w:rPr>
        <w:t>员</w:t>
      </w:r>
      <w:r>
        <w:rPr>
          <w:rFonts w:hint="eastAsia" w:ascii="宋体" w:hAnsi="宋体" w:eastAsia="宋体" w:cs="宋体"/>
          <w:b/>
          <w:bCs/>
          <w:color w:val="auto"/>
          <w:spacing w:val="1"/>
          <w:sz w:val="28"/>
          <w:szCs w:val="32"/>
          <w:highlight w:val="none"/>
          <w:lang w:val="zh-CN"/>
        </w:rPr>
        <w:t>会</w:t>
      </w:r>
      <w:r>
        <w:rPr>
          <w:rFonts w:hint="eastAsia" w:ascii="宋体" w:hAnsi="宋体" w:eastAsia="宋体" w:cs="宋体"/>
          <w:b/>
          <w:bCs/>
          <w:color w:val="auto"/>
          <w:spacing w:val="-3"/>
          <w:sz w:val="28"/>
          <w:szCs w:val="32"/>
          <w:highlight w:val="none"/>
          <w:lang w:val="zh-CN"/>
        </w:rPr>
        <w:t>成</w:t>
      </w:r>
      <w:r>
        <w:rPr>
          <w:rFonts w:hint="eastAsia" w:ascii="宋体" w:hAnsi="宋体" w:eastAsia="宋体" w:cs="宋体"/>
          <w:b/>
          <w:bCs/>
          <w:color w:val="auto"/>
          <w:spacing w:val="1"/>
          <w:sz w:val="28"/>
          <w:szCs w:val="32"/>
          <w:highlight w:val="none"/>
          <w:lang w:val="zh-CN"/>
        </w:rPr>
        <w:t>员的纪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61"/>
      <w:bookmarkEnd w:id="162"/>
      <w:bookmarkEnd w:id="163"/>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4" w:name="_Toc9711"/>
      <w:bookmarkStart w:id="165" w:name="_Toc193357992"/>
      <w:bookmarkStart w:id="166" w:name="_Toc111186776"/>
      <w:r>
        <w:rPr>
          <w:rFonts w:hint="eastAsia" w:ascii="宋体" w:hAnsi="宋体" w:eastAsia="宋体" w:cs="宋体"/>
          <w:b/>
          <w:bCs/>
          <w:color w:val="auto"/>
          <w:spacing w:val="1"/>
          <w:sz w:val="28"/>
          <w:szCs w:val="32"/>
          <w:highlight w:val="none"/>
          <w:lang w:val="zh-CN"/>
        </w:rPr>
        <w:t>8.4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对与评标</w:t>
      </w:r>
      <w:r>
        <w:rPr>
          <w:rFonts w:hint="eastAsia" w:ascii="宋体" w:hAnsi="宋体" w:eastAsia="宋体" w:cs="宋体"/>
          <w:b/>
          <w:bCs/>
          <w:color w:val="auto"/>
          <w:spacing w:val="-3"/>
          <w:sz w:val="28"/>
          <w:szCs w:val="32"/>
          <w:highlight w:val="none"/>
          <w:lang w:val="zh-CN"/>
        </w:rPr>
        <w:t>活</w:t>
      </w:r>
      <w:r>
        <w:rPr>
          <w:rFonts w:hint="eastAsia" w:ascii="宋体" w:hAnsi="宋体" w:eastAsia="宋体" w:cs="宋体"/>
          <w:b/>
          <w:bCs/>
          <w:color w:val="auto"/>
          <w:spacing w:val="1"/>
          <w:sz w:val="28"/>
          <w:szCs w:val="32"/>
          <w:highlight w:val="none"/>
          <w:lang w:val="zh-CN"/>
        </w:rPr>
        <w:t>动</w:t>
      </w:r>
      <w:r>
        <w:rPr>
          <w:rFonts w:hint="eastAsia" w:ascii="宋体" w:hAnsi="宋体" w:eastAsia="宋体" w:cs="宋体"/>
          <w:b/>
          <w:bCs/>
          <w:color w:val="auto"/>
          <w:spacing w:val="-3"/>
          <w:sz w:val="28"/>
          <w:szCs w:val="32"/>
          <w:highlight w:val="none"/>
          <w:lang w:val="zh-CN"/>
        </w:rPr>
        <w:t>有</w:t>
      </w:r>
      <w:r>
        <w:rPr>
          <w:rFonts w:hint="eastAsia" w:ascii="宋体" w:hAnsi="宋体" w:eastAsia="宋体" w:cs="宋体"/>
          <w:b/>
          <w:bCs/>
          <w:color w:val="auto"/>
          <w:spacing w:val="1"/>
          <w:sz w:val="28"/>
          <w:szCs w:val="32"/>
          <w:highlight w:val="none"/>
          <w:lang w:val="zh-CN"/>
        </w:rPr>
        <w:t>关的工</w:t>
      </w:r>
      <w:r>
        <w:rPr>
          <w:rFonts w:hint="eastAsia" w:ascii="宋体" w:hAnsi="宋体" w:eastAsia="宋体" w:cs="宋体"/>
          <w:b/>
          <w:bCs/>
          <w:color w:val="auto"/>
          <w:spacing w:val="-3"/>
          <w:sz w:val="28"/>
          <w:szCs w:val="32"/>
          <w:highlight w:val="none"/>
          <w:lang w:val="zh-CN"/>
        </w:rPr>
        <w:t>作</w:t>
      </w:r>
      <w:r>
        <w:rPr>
          <w:rFonts w:hint="eastAsia" w:ascii="宋体" w:hAnsi="宋体" w:eastAsia="宋体" w:cs="宋体"/>
          <w:b/>
          <w:bCs/>
          <w:color w:val="auto"/>
          <w:spacing w:val="1"/>
          <w:sz w:val="28"/>
          <w:szCs w:val="32"/>
          <w:highlight w:val="none"/>
          <w:lang w:val="zh-CN"/>
        </w:rPr>
        <w:t>人员</w:t>
      </w:r>
      <w:r>
        <w:rPr>
          <w:rFonts w:hint="eastAsia" w:ascii="宋体" w:hAnsi="宋体" w:eastAsia="宋体" w:cs="宋体"/>
          <w:b/>
          <w:bCs/>
          <w:color w:val="auto"/>
          <w:spacing w:val="-3"/>
          <w:sz w:val="28"/>
          <w:szCs w:val="32"/>
          <w:highlight w:val="none"/>
          <w:lang w:val="zh-CN"/>
        </w:rPr>
        <w:t>的纪</w:t>
      </w:r>
      <w:r>
        <w:rPr>
          <w:rFonts w:hint="eastAsia" w:ascii="宋体" w:hAnsi="宋体" w:eastAsia="宋体" w:cs="宋体"/>
          <w:b/>
          <w:bCs/>
          <w:color w:val="auto"/>
          <w:spacing w:val="1"/>
          <w:sz w:val="28"/>
          <w:szCs w:val="32"/>
          <w:highlight w:val="none"/>
          <w:lang w:val="zh-CN"/>
        </w:rPr>
        <w:t>律要求</w:t>
      </w:r>
      <w:bookmarkEnd w:id="164"/>
      <w:bookmarkEnd w:id="165"/>
      <w:bookmarkEnd w:id="166"/>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7" w:name="_Toc111186777"/>
      <w:bookmarkStart w:id="168" w:name="_Toc3297"/>
      <w:bookmarkStart w:id="169" w:name="_Toc193357993"/>
      <w:r>
        <w:rPr>
          <w:rFonts w:hint="eastAsia" w:ascii="宋体" w:hAnsi="宋体" w:eastAsia="宋体" w:cs="宋体"/>
          <w:b/>
          <w:bCs/>
          <w:color w:val="auto"/>
          <w:spacing w:val="1"/>
          <w:sz w:val="28"/>
          <w:szCs w:val="32"/>
          <w:highlight w:val="none"/>
          <w:lang w:val="zh-CN"/>
        </w:rPr>
        <w:t>8.5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投诉</w:t>
      </w:r>
      <w:bookmarkEnd w:id="167"/>
      <w:bookmarkEnd w:id="168"/>
      <w:bookmarkEnd w:id="169"/>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0" w:name="_Toc193357994"/>
      <w:bookmarkStart w:id="171" w:name="_Toc32014"/>
      <w:bookmarkStart w:id="172" w:name="_Toc111186778"/>
      <w:r>
        <w:rPr>
          <w:rFonts w:hint="eastAsia" w:ascii="宋体" w:hAnsi="宋体" w:eastAsia="宋体" w:cs="宋体"/>
          <w:b/>
          <w:bCs/>
          <w:color w:val="auto"/>
          <w:spacing w:val="1"/>
          <w:kern w:val="0"/>
          <w:sz w:val="30"/>
          <w:szCs w:val="30"/>
          <w:highlight w:val="none"/>
          <w:lang w:val="zh-CN"/>
        </w:rPr>
        <w:t>9</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是否采用电子招标投标</w:t>
      </w:r>
      <w:bookmarkEnd w:id="170"/>
      <w:bookmarkEnd w:id="171"/>
      <w:bookmarkEnd w:id="172"/>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本招标项目采用电子招标投标方式，按照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3" w:name="_Toc25836"/>
      <w:bookmarkStart w:id="174" w:name="_Toc193357995"/>
      <w:bookmarkStart w:id="175" w:name="_Toc111186779"/>
      <w:r>
        <w:rPr>
          <w:rFonts w:hint="eastAsia" w:ascii="宋体" w:hAnsi="宋体" w:eastAsia="宋体" w:cs="宋体"/>
          <w:b/>
          <w:bCs/>
          <w:color w:val="auto"/>
          <w:spacing w:val="1"/>
          <w:kern w:val="0"/>
          <w:sz w:val="30"/>
          <w:szCs w:val="30"/>
          <w:highlight w:val="none"/>
          <w:lang w:val="zh-CN"/>
        </w:rPr>
        <w:t>10</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bookmarkEnd w:id="173"/>
      <w:bookmarkEnd w:id="174"/>
      <w:bookmarkEnd w:id="175"/>
      <w:r>
        <w:rPr>
          <w:rFonts w:hint="eastAsia" w:ascii="宋体" w:hAnsi="宋体" w:eastAsia="宋体" w:cs="宋体"/>
          <w:b/>
          <w:bCs/>
          <w:color w:val="auto"/>
          <w:kern w:val="0"/>
          <w:sz w:val="30"/>
          <w:szCs w:val="30"/>
          <w:highlight w:val="none"/>
          <w:lang w:val="zh-CN"/>
        </w:rPr>
        <w:t>重新招标情形</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在下列情况下，依法必须招标项目的招标人在分析招标失败的原因并采取相应措施后，应当依照本办法重新招标：</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（一）资格审查合格的投标人不足三个的；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（二）在投标截止时间前提交投标文件的投标人少于三个的；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（三）所有投标均被否决的；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（四）评标委员会否决不合格投标后，因有效投标不足三个使得投标明显缺乏竞争，评标委员会决定否决全部投标的；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（五）根据《工程建设项目勘察设计招标投标办法》第四十六条规定，同意延长投标有效期的投标人少于三个的；</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（六）符合法律法规需重新招标的其他情形。</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pPr>
        <w:keepNext/>
        <w:keepLines/>
        <w:wordWrap w:val="0"/>
        <w:spacing w:line="360" w:lineRule="auto"/>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11</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需要补充的其他内容</w:t>
      </w:r>
    </w:p>
    <w:p>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需要补充的其他内容：见投标人须知前附表。</w:t>
      </w: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kern w:val="0"/>
          <w:sz w:val="28"/>
          <w:szCs w:val="32"/>
          <w:highlight w:val="none"/>
          <w:lang w:val="zh-CN"/>
        </w:rPr>
        <w:br w:type="page"/>
      </w:r>
      <w:bookmarkStart w:id="176" w:name="_Toc111186781"/>
      <w:bookmarkStart w:id="177" w:name="_Toc5282"/>
      <w:bookmarkStart w:id="178" w:name="_Toc193357997"/>
    </w:p>
    <w:bookmarkEnd w:id="176"/>
    <w:bookmarkEnd w:id="177"/>
    <w:bookmarkEnd w:id="178"/>
    <w:p>
      <w:pPr>
        <w:pStyle w:val="3"/>
        <w:rPr>
          <w:color w:val="auto"/>
          <w:highlight w:val="none"/>
        </w:rPr>
      </w:pPr>
      <w:bookmarkStart w:id="179" w:name="_Toc193358002"/>
      <w:bookmarkStart w:id="180" w:name="_Toc111186786"/>
      <w:r>
        <w:rPr>
          <w:rFonts w:hint="eastAsia"/>
          <w:color w:val="auto"/>
          <w:highlight w:val="none"/>
        </w:rPr>
        <w:t>第三章  评标办法（综合评估法）</w:t>
      </w:r>
      <w:bookmarkEnd w:id="179"/>
      <w:bookmarkEnd w:id="180"/>
    </w:p>
    <w:p>
      <w:pPr>
        <w:pStyle w:val="4"/>
        <w:wordWrap w:val="0"/>
        <w:rPr>
          <w:color w:val="auto"/>
          <w:highlight w:val="none"/>
        </w:rPr>
      </w:pPr>
      <w:bookmarkStart w:id="181" w:name="_Toc193358003"/>
      <w:bookmarkStart w:id="182" w:name="_Toc111186787"/>
      <w:bookmarkStart w:id="183" w:name="_Toc32538"/>
      <w:r>
        <w:rPr>
          <w:rFonts w:hint="eastAsia"/>
          <w:color w:val="auto"/>
          <w:highlight w:val="none"/>
        </w:rPr>
        <w:t>（适用于技术文件为暗标形式）</w:t>
      </w:r>
    </w:p>
    <w:p>
      <w:pPr>
        <w:pStyle w:val="4"/>
        <w:wordWrap w:val="0"/>
        <w:rPr>
          <w:color w:val="auto"/>
          <w:highlight w:val="none"/>
        </w:rPr>
      </w:pPr>
      <w:r>
        <w:rPr>
          <w:rFonts w:hint="eastAsia"/>
          <w:color w:val="auto"/>
          <w:highlight w:val="none"/>
        </w:rPr>
        <w:t>评标办法前附表</w:t>
      </w:r>
      <w:bookmarkEnd w:id="181"/>
      <w:bookmarkEnd w:id="182"/>
      <w:bookmarkEnd w:id="183"/>
    </w:p>
    <w:tbl>
      <w:tblPr>
        <w:tblStyle w:val="45"/>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50"/>
        <w:gridCol w:w="1643"/>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43" w:type="dxa"/>
            <w:vAlign w:val="center"/>
          </w:tcPr>
          <w:p>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5976" w:type="dxa"/>
            <w:vAlign w:val="center"/>
          </w:tcPr>
          <w:p>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0"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综合评分（即总得分）相等时中标候选人顺序：</w:t>
            </w:r>
            <w:r>
              <w:rPr>
                <w:rFonts w:hint="eastAsia" w:ascii="宋体" w:hAnsi="宋体" w:eastAsia="宋体" w:cs="宋体"/>
                <w:color w:val="auto"/>
                <w:szCs w:val="21"/>
                <w:highlight w:val="none"/>
                <w:u w:val="single"/>
              </w:rPr>
              <w:t>以技术文件得分高的排前；技术文件得分也相同的，以商务文件得分高的排前；若商务文件得分仍相同的，以投标报价较低的排前；如仍存在相同情况，则对具有相同情况的投标人，由评标委员会采用记名投票方式，确定投标人最终名次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50" w:type="dxa"/>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商务文件形式评审标准</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与营业执照或事业单位登记机构核发的事业单位法人证书、资质证书一致。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投标人声明、廉洁承诺书、法定代表人身份证明；委托投标的还应提供法人授权委托证明书。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5976" w:type="dxa"/>
            <w:vAlign w:val="center"/>
          </w:tcPr>
          <w:p>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有法定代表人或其委托代理人签字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或盖章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并</w:t>
            </w:r>
            <w:r>
              <w:rPr>
                <w:rFonts w:hint="eastAsia" w:ascii="宋体" w:hAnsi="宋体" w:eastAsia="宋体" w:cs="宋体"/>
                <w:color w:val="auto"/>
                <w:szCs w:val="21"/>
                <w:highlight w:val="none"/>
                <w:lang w:bidi="ar"/>
              </w:rPr>
              <w:t>加盖单位章。由法定代表人签字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或盖章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的，应附法定代表人身份证明；由代理人签字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或盖章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的，应附法定代表人身份证明及授权委托书，身份证明或授权委托书参考第六章“投标文件格式”的规定。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联合体投标人</w:t>
            </w:r>
          </w:p>
        </w:tc>
        <w:tc>
          <w:tcPr>
            <w:tcW w:w="5976" w:type="dxa"/>
            <w:vAlign w:val="center"/>
          </w:tcPr>
          <w:p>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提交符合招标文件要求的联合体协议书，明确各方职责分工、权利义务，并承诺就中标项目向招标人承担连带责任。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备选投标方案</w:t>
            </w:r>
          </w:p>
        </w:tc>
        <w:tc>
          <w:tcPr>
            <w:tcW w:w="5976" w:type="dxa"/>
            <w:vAlign w:val="center"/>
          </w:tcPr>
          <w:p>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投标人硬件特征码</w:t>
            </w:r>
          </w:p>
        </w:tc>
        <w:tc>
          <w:tcPr>
            <w:tcW w:w="5976" w:type="dxa"/>
            <w:vAlign w:val="center"/>
          </w:tcPr>
          <w:p>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投标人与其他投标人加密打包投标文件硬件特征码不一致，以</w:t>
            </w:r>
            <w:r>
              <w:rPr>
                <w:rFonts w:hint="eastAsia" w:ascii="宋体" w:hAnsi="宋体" w:eastAsia="宋体" w:cs="宋体"/>
                <w:color w:val="auto"/>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交易平台开标系统的检索信息为准。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pPr>
              <w:widowControl/>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850" w:type="dxa"/>
            <w:vMerge w:val="restart"/>
            <w:vAlign w:val="center"/>
          </w:tcPr>
          <w:p>
            <w:pPr>
              <w:widowControl/>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营业执照</w:t>
            </w:r>
            <w:r>
              <w:rPr>
                <w:rFonts w:hint="eastAsia" w:ascii="宋体" w:hAnsi="宋体" w:eastAsia="宋体" w:cs="宋体"/>
                <w:color w:val="auto"/>
                <w:spacing w:val="-1"/>
                <w:kern w:val="0"/>
                <w:szCs w:val="21"/>
                <w:highlight w:val="none"/>
                <w:lang w:val="en-US" w:eastAsia="zh-CN"/>
              </w:rPr>
              <w:t>或事业单位法人证书</w:t>
            </w:r>
          </w:p>
        </w:tc>
        <w:tc>
          <w:tcPr>
            <w:tcW w:w="5976" w:type="dxa"/>
            <w:vAlign w:val="center"/>
          </w:tcPr>
          <w:p>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符合第二章“投标人须知”第3.5.1项规定，具备有效的营业执照</w:t>
            </w:r>
            <w:r>
              <w:rPr>
                <w:rFonts w:hint="eastAsia" w:ascii="宋体" w:hAnsi="宋体" w:eastAsia="宋体" w:cs="宋体"/>
                <w:color w:val="auto"/>
                <w:kern w:val="0"/>
                <w:szCs w:val="21"/>
                <w:highlight w:val="none"/>
                <w:lang w:val="en-US" w:eastAsia="zh-CN"/>
              </w:rPr>
              <w:t>或事业单位法人证书</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资质要求</w:t>
            </w:r>
          </w:p>
        </w:tc>
        <w:tc>
          <w:tcPr>
            <w:tcW w:w="5976" w:type="dxa"/>
            <w:vAlign w:val="center"/>
          </w:tcPr>
          <w:p>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业绩要求</w:t>
            </w:r>
          </w:p>
        </w:tc>
        <w:tc>
          <w:tcPr>
            <w:tcW w:w="5976" w:type="dxa"/>
            <w:vAlign w:val="center"/>
          </w:tcPr>
          <w:p>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u w:val="singl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项目负责人</w:t>
            </w:r>
          </w:p>
        </w:tc>
        <w:tc>
          <w:tcPr>
            <w:tcW w:w="5976" w:type="dxa"/>
            <w:vAlign w:val="center"/>
          </w:tcPr>
          <w:p>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其他要求</w:t>
            </w:r>
          </w:p>
        </w:tc>
        <w:tc>
          <w:tcPr>
            <w:tcW w:w="5976" w:type="dxa"/>
            <w:vAlign w:val="center"/>
          </w:tcPr>
          <w:p>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联合体投标人</w:t>
            </w:r>
          </w:p>
        </w:tc>
        <w:tc>
          <w:tcPr>
            <w:tcW w:w="5976" w:type="dxa"/>
            <w:vAlign w:val="center"/>
          </w:tcPr>
          <w:p>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不存在禁止投标的情形</w:t>
            </w:r>
          </w:p>
        </w:tc>
        <w:tc>
          <w:tcPr>
            <w:tcW w:w="5976" w:type="dxa"/>
            <w:vAlign w:val="center"/>
          </w:tcPr>
          <w:p>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不存在第二章“投标人须知”第1.4.3项规定的任何一种情形（按投标人提供的《投标人声明》内容进行评审）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在投标截止时间前，投标人（如为联合体，则联合体各方）未被列入拖欠农民工工资失信联合惩戒对象名单</w:t>
            </w:r>
          </w:p>
        </w:tc>
        <w:tc>
          <w:tcPr>
            <w:tcW w:w="5976" w:type="dxa"/>
            <w:vAlign w:val="center"/>
          </w:tcPr>
          <w:p>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在投标截止时间前，投标人（如为联合体，则联合体各方）未被列入“失信被执行人”名单</w:t>
            </w:r>
          </w:p>
        </w:tc>
        <w:tc>
          <w:tcPr>
            <w:tcW w:w="5976" w:type="dxa"/>
            <w:vAlign w:val="center"/>
          </w:tcPr>
          <w:p>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2.1.3（1）</w:t>
            </w:r>
          </w:p>
        </w:tc>
        <w:tc>
          <w:tcPr>
            <w:tcW w:w="850" w:type="dxa"/>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商务文件响应性评审标准</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w:t>
            </w:r>
          </w:p>
        </w:tc>
      </w:tr>
      <w:tr>
        <w:tblPrEx>
          <w:tblCellMar>
            <w:top w:w="0" w:type="dxa"/>
            <w:left w:w="108" w:type="dxa"/>
            <w:bottom w:w="0" w:type="dxa"/>
            <w:right w:w="108" w:type="dxa"/>
          </w:tblCellMar>
        </w:tblPrEx>
        <w:trPr>
          <w:trHeight w:val="20" w:hRule="atLeast"/>
        </w:trPr>
        <w:tc>
          <w:tcPr>
            <w:tcW w:w="887" w:type="dxa"/>
            <w:vMerge w:val="continue"/>
            <w:vAlign w:val="center"/>
          </w:tcPr>
          <w:p>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pPr>
              <w:wordWrap w:val="0"/>
              <w:spacing w:line="276" w:lineRule="auto"/>
              <w:jc w:val="center"/>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勘察设计服务期限</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5976" w:type="dxa"/>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不存在串通投标情形（串通投标情形以《广东省实施〈中华人民共和国招标投标法〉办法》第十六条规定的为准）。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7619" w:type="dxa"/>
            <w:gridSpan w:val="2"/>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商务文件响应性评审标准中“投标内容”、“勘察设计服务期限”、“质量标准”、“投标有效期”，以投标人在投标</w:t>
            </w:r>
            <w:r>
              <w:rPr>
                <w:rFonts w:hint="eastAsia" w:ascii="宋体" w:hAnsi="宋体" w:eastAsia="宋体" w:cs="宋体"/>
                <w:color w:val="auto"/>
                <w:szCs w:val="21"/>
                <w:highlight w:val="none"/>
                <w:u w:val="single"/>
                <w:lang w:val="en-US" w:eastAsia="zh-CN"/>
              </w:rPr>
              <w:t>函附录</w:t>
            </w:r>
            <w:r>
              <w:rPr>
                <w:rFonts w:hint="eastAsia" w:ascii="宋体" w:hAnsi="宋体" w:eastAsia="宋体" w:cs="宋体"/>
                <w:color w:val="auto"/>
                <w:szCs w:val="21"/>
                <w:highlight w:val="none"/>
                <w:u w:val="single"/>
              </w:rPr>
              <w:t>中的承诺为准。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7" w:type="dxa"/>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2.1.3（2）</w:t>
            </w:r>
          </w:p>
        </w:tc>
        <w:tc>
          <w:tcPr>
            <w:tcW w:w="850" w:type="dxa"/>
            <w:vMerge w:val="restar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技术文件初步评审标准</w:t>
            </w:r>
          </w:p>
        </w:tc>
        <w:tc>
          <w:tcPr>
            <w:tcW w:w="1643" w:type="dxa"/>
            <w:vAlign w:val="center"/>
          </w:tcPr>
          <w:p>
            <w:pPr>
              <w:spacing w:line="276" w:lineRule="auto"/>
              <w:jc w:val="center"/>
              <w:rPr>
                <w:rFonts w:ascii="宋体" w:hAnsi="宋体" w:eastAsia="宋体" w:cs="宋体"/>
                <w:color w:val="auto"/>
                <w:szCs w:val="21"/>
                <w:highlight w:val="none"/>
                <w:u w:val="single"/>
              </w:rPr>
            </w:pPr>
            <w:r>
              <w:rPr>
                <w:rFonts w:hint="eastAsia" w:ascii="宋体" w:hAnsi="宋体" w:eastAsia="宋体" w:cs="Times New Roman"/>
                <w:color w:val="auto"/>
                <w:szCs w:val="20"/>
                <w:highlight w:val="none"/>
              </w:rPr>
              <w:t>编制要求</w:t>
            </w:r>
          </w:p>
        </w:tc>
        <w:tc>
          <w:tcPr>
            <w:tcW w:w="5976" w:type="dxa"/>
            <w:vAlign w:val="center"/>
          </w:tcPr>
          <w:p>
            <w:pPr>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未发现投标人在勘察设计方案内标注名称、印章、商标、图形等记认符号，使人辨认出投标人或其专业技术人员的身份。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未发现互相雷同和串通投标</w:t>
            </w:r>
          </w:p>
        </w:tc>
        <w:tc>
          <w:tcPr>
            <w:tcW w:w="5976" w:type="dxa"/>
            <w:vAlign w:val="center"/>
          </w:tcPr>
          <w:p>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未发现明显抄袭行为</w:t>
            </w:r>
          </w:p>
        </w:tc>
        <w:tc>
          <w:tcPr>
            <w:tcW w:w="5976" w:type="dxa"/>
            <w:vAlign w:val="center"/>
          </w:tcPr>
          <w:p>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87"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pPr>
              <w:widowControl/>
              <w:wordWrap w:val="0"/>
              <w:spacing w:line="276" w:lineRule="auto"/>
              <w:jc w:val="left"/>
              <w:rPr>
                <w:rFonts w:ascii="宋体" w:hAnsi="宋体" w:eastAsia="宋体" w:cs="宋体"/>
                <w:color w:val="auto"/>
                <w:szCs w:val="21"/>
                <w:highlight w:val="none"/>
              </w:rPr>
            </w:pP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未发现侵犯他人著作权和特许权</w:t>
            </w:r>
          </w:p>
        </w:tc>
        <w:tc>
          <w:tcPr>
            <w:tcW w:w="5976" w:type="dxa"/>
            <w:vAlign w:val="center"/>
          </w:tcPr>
          <w:p>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43" w:type="dxa"/>
            <w:vAlign w:val="center"/>
          </w:tcPr>
          <w:p>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5976" w:type="dxa"/>
            <w:vAlign w:val="center"/>
          </w:tcPr>
          <w:p>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商务文件部分A：</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分（权重30%）</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pacing w:val="-2"/>
                <w:szCs w:val="21"/>
                <w:highlight w:val="none"/>
              </w:rPr>
              <w:t>技术文件</w:t>
            </w:r>
            <w:r>
              <w:rPr>
                <w:rFonts w:hint="eastAsia" w:ascii="宋体" w:hAnsi="宋体" w:eastAsia="宋体" w:cs="宋体"/>
                <w:color w:val="auto"/>
                <w:szCs w:val="21"/>
                <w:highlight w:val="none"/>
              </w:rPr>
              <w:t>部分B：</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分（权重60%）</w:t>
            </w:r>
          </w:p>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投标报价C：</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分（权重10%）</w:t>
            </w:r>
          </w:p>
          <w:p>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Cs/>
                <w:color w:val="auto"/>
                <w:szCs w:val="21"/>
                <w:highlight w:val="none"/>
              </w:rPr>
              <w:t>其他评分因素（信用评价得分）D：</w:t>
            </w:r>
            <w:r>
              <w:rPr>
                <w:rFonts w:hint="eastAsia" w:ascii="宋体" w:hAnsi="宋体" w:eastAsia="宋体" w:cs="Times New Roman"/>
                <w:bCs/>
                <w:color w:val="auto"/>
                <w:szCs w:val="21"/>
                <w:highlight w:val="none"/>
                <w:u w:val="single"/>
              </w:rPr>
              <w:t>/</w:t>
            </w:r>
          </w:p>
          <w:p>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投标人总得分</w:t>
            </w:r>
            <w:r>
              <w:rPr>
                <w:rFonts w:ascii="宋体" w:hAnsi="宋体" w:eastAsia="宋体" w:cs="Times New Roman"/>
                <w:b/>
                <w:color w:val="auto"/>
                <w:szCs w:val="21"/>
                <w:highlight w:val="none"/>
                <w:u w:val="single"/>
              </w:rPr>
              <w:t>=A×30%+B×60%+C×10%。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976" w:type="dxa"/>
            <w:vAlign w:val="center"/>
          </w:tcPr>
          <w:p>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当位于最高投标限价的[90%，100%]的有效投标人大于或等于5名时，去掉该区间内一个最高价和一个最低价，取该区间内余下投标价的</w:t>
            </w:r>
            <w:r>
              <w:rPr>
                <w:rFonts w:hint="eastAsia" w:ascii="宋体" w:hAnsi="宋体" w:eastAsia="宋体" w:cs="宋体"/>
                <w:color w:val="auto"/>
                <w:szCs w:val="21"/>
                <w:highlight w:val="none"/>
                <w:u w:val="single"/>
                <w:lang w:val="en-US" w:eastAsia="zh-CN"/>
              </w:rPr>
              <w:t>算术</w:t>
            </w:r>
            <w:r>
              <w:rPr>
                <w:rFonts w:hint="eastAsia" w:ascii="宋体" w:hAnsi="宋体" w:eastAsia="宋体" w:cs="宋体"/>
                <w:color w:val="auto"/>
                <w:szCs w:val="21"/>
                <w:highlight w:val="none"/>
                <w:u w:val="single"/>
              </w:rPr>
              <w:t>平均值作为评标基准价。当位于最高投标限价的[90%，100%]的有效投标人小于5名时，取所有该区间内的有效投标价的算术平均值作为评标基准价；若无报价位于该区间内，则以最高投标限价的90%作为评标基准价。（有效投标人为通过本章第2.1款初步评审的投标人）。评标基准价</w:t>
            </w:r>
            <w:r>
              <w:rPr>
                <w:rFonts w:hint="eastAsia" w:ascii="宋体" w:hAnsi="宋体" w:eastAsia="宋体" w:cs="宋体"/>
                <w:color w:val="auto"/>
                <w:highlight w:val="none"/>
              </w:rPr>
              <w:t>保留小数点后</w:t>
            </w:r>
            <w:r>
              <w:rPr>
                <w:rFonts w:hint="eastAsia" w:ascii="宋体" w:hAnsi="宋体" w:eastAsia="宋体" w:cs="宋体"/>
                <w:color w:val="auto"/>
                <w:highlight w:val="none"/>
                <w:lang w:eastAsia="zh-CN"/>
              </w:rPr>
              <w:t>两位</w:t>
            </w:r>
            <w:r>
              <w:rPr>
                <w:rFonts w:hint="eastAsia" w:ascii="宋体" w:hAnsi="宋体" w:eastAsia="宋体" w:cs="宋体"/>
                <w:color w:val="auto"/>
                <w:highlight w:val="none"/>
              </w:rPr>
              <w:t>小数</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5976" w:type="dxa"/>
            <w:vAlign w:val="center"/>
          </w:tcPr>
          <w:p>
            <w:pPr>
              <w:wordWrap w:val="0"/>
              <w:spacing w:line="276" w:lineRule="auto"/>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投标报价偏差率=（投标报价-评标基准价）/评标基准价×100%。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商务文件评分标准</w:t>
            </w:r>
          </w:p>
        </w:tc>
        <w:tc>
          <w:tcPr>
            <w:tcW w:w="5976" w:type="dxa"/>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1643" w:type="dxa"/>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技术文件评分标准</w:t>
            </w:r>
          </w:p>
        </w:tc>
        <w:tc>
          <w:tcPr>
            <w:tcW w:w="5976" w:type="dxa"/>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1643" w:type="dxa"/>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投标报价评分标准</w:t>
            </w:r>
          </w:p>
        </w:tc>
        <w:tc>
          <w:tcPr>
            <w:tcW w:w="5976" w:type="dxa"/>
            <w:vAlign w:val="center"/>
          </w:tcPr>
          <w:p>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以评标基准价作为计算各有效投标人报价得分的基础，当投标报价等于评标基准价时得100分，投标报价与评标基准价之差，</w:t>
            </w:r>
            <w:r>
              <w:rPr>
                <w:rFonts w:hint="eastAsia" w:ascii="宋体" w:hAnsi="宋体" w:eastAsia="宋体" w:cs="宋体"/>
                <w:color w:val="auto"/>
                <w:szCs w:val="21"/>
                <w:highlight w:val="none"/>
                <w:u w:val="single"/>
              </w:rPr>
              <w:t>每上偏1%扣0.</w:t>
            </w:r>
            <w:r>
              <w:rPr>
                <w:rFonts w:ascii="宋体" w:hAnsi="宋体" w:eastAsia="宋体" w:cs="宋体"/>
                <w:color w:val="auto"/>
                <w:szCs w:val="21"/>
                <w:highlight w:val="none"/>
                <w:u w:val="single"/>
              </w:rPr>
              <w:t>5</w:t>
            </w:r>
            <w:r>
              <w:rPr>
                <w:rFonts w:hint="eastAsia" w:ascii="宋体" w:hAnsi="宋体" w:eastAsia="宋体" w:cs="宋体"/>
                <w:color w:val="auto"/>
                <w:szCs w:val="21"/>
                <w:highlight w:val="none"/>
                <w:u w:val="single"/>
              </w:rPr>
              <w:t>分，下偏1%扣0.</w:t>
            </w:r>
            <w:r>
              <w:rPr>
                <w:rFonts w:ascii="宋体" w:hAnsi="宋体" w:eastAsia="宋体" w:cs="宋体"/>
                <w:color w:val="auto"/>
                <w:szCs w:val="21"/>
                <w:highlight w:val="none"/>
                <w:u w:val="single"/>
              </w:rPr>
              <w:t>3</w:t>
            </w:r>
            <w:r>
              <w:rPr>
                <w:rFonts w:hint="eastAsia" w:ascii="宋体" w:hAnsi="宋体" w:eastAsia="宋体" w:cs="宋体"/>
                <w:color w:val="auto"/>
                <w:szCs w:val="21"/>
                <w:highlight w:val="none"/>
                <w:u w:val="single"/>
              </w:rPr>
              <w:t>分，扣</w:t>
            </w:r>
            <w:r>
              <w:rPr>
                <w:rFonts w:hint="eastAsia" w:ascii="宋体" w:hAnsi="宋体" w:eastAsia="宋体" w:cs="宋体"/>
                <w:color w:val="auto"/>
                <w:szCs w:val="21"/>
                <w:highlight w:val="none"/>
                <w:u w:val="single"/>
              </w:rPr>
              <w:t>至</w:t>
            </w:r>
            <w:r>
              <w:rPr>
                <w:rFonts w:ascii="宋体" w:hAnsi="宋体" w:eastAsia="宋体" w:cs="宋体"/>
                <w:color w:val="auto"/>
                <w:szCs w:val="21"/>
                <w:highlight w:val="none"/>
                <w:u w:val="single"/>
              </w:rPr>
              <w:t>0分为止。</w:t>
            </w:r>
          </w:p>
        </w:tc>
      </w:tr>
    </w:tbl>
    <w:p>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附件一：</w:t>
      </w:r>
    </w:p>
    <w:p>
      <w:pPr>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商务文件综合评分表</w:t>
      </w:r>
    </w:p>
    <w:tbl>
      <w:tblPr>
        <w:tblStyle w:val="45"/>
        <w:tblW w:w="4970" w:type="pct"/>
        <w:tblInd w:w="0" w:type="dxa"/>
        <w:tblLayout w:type="autofit"/>
        <w:tblCellMar>
          <w:top w:w="0" w:type="dxa"/>
          <w:left w:w="108" w:type="dxa"/>
          <w:bottom w:w="0" w:type="dxa"/>
          <w:right w:w="108" w:type="dxa"/>
        </w:tblCellMar>
      </w:tblPr>
      <w:tblGrid>
        <w:gridCol w:w="575"/>
        <w:gridCol w:w="895"/>
        <w:gridCol w:w="1060"/>
        <w:gridCol w:w="11491"/>
      </w:tblGrid>
      <w:tr>
        <w:tblPrEx>
          <w:tblCellMar>
            <w:top w:w="0" w:type="dxa"/>
            <w:left w:w="108" w:type="dxa"/>
            <w:bottom w:w="0" w:type="dxa"/>
            <w:right w:w="108" w:type="dxa"/>
          </w:tblCellMar>
        </w:tblPrEx>
        <w:trPr>
          <w:trHeight w:val="445" w:hRule="atLeast"/>
        </w:trPr>
        <w:tc>
          <w:tcPr>
            <w:tcW w:w="20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31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项目</w:t>
            </w:r>
          </w:p>
        </w:tc>
        <w:tc>
          <w:tcPr>
            <w:tcW w:w="37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分值分配</w:t>
            </w:r>
          </w:p>
        </w:tc>
        <w:tc>
          <w:tcPr>
            <w:tcW w:w="409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内</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容</w:t>
            </w:r>
          </w:p>
        </w:tc>
      </w:tr>
      <w:tr>
        <w:tblPrEx>
          <w:tblCellMar>
            <w:top w:w="0" w:type="dxa"/>
            <w:left w:w="108" w:type="dxa"/>
            <w:bottom w:w="0" w:type="dxa"/>
            <w:right w:w="108" w:type="dxa"/>
          </w:tblCellMar>
        </w:tblPrEx>
        <w:trPr>
          <w:trHeight w:val="1005" w:hRule="atLeast"/>
        </w:trPr>
        <w:tc>
          <w:tcPr>
            <w:tcW w:w="20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一</w:t>
            </w:r>
          </w:p>
        </w:tc>
        <w:tc>
          <w:tcPr>
            <w:tcW w:w="31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企业类似业绩</w:t>
            </w:r>
          </w:p>
        </w:tc>
        <w:tc>
          <w:tcPr>
            <w:tcW w:w="378" w:type="pct"/>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4096" w:type="pct"/>
            <w:tcBorders>
              <w:top w:val="single" w:color="auto" w:sz="6" w:space="0"/>
              <w:left w:val="single" w:color="auto" w:sz="6" w:space="0"/>
              <w:bottom w:val="single" w:color="auto" w:sz="4" w:space="0"/>
              <w:right w:val="single" w:color="auto" w:sz="6" w:space="0"/>
            </w:tcBorders>
            <w:vAlign w:val="center"/>
          </w:tcPr>
          <w:p>
            <w:pPr>
              <w:pStyle w:val="2"/>
              <w:numPr>
                <w:ilvl w:val="0"/>
                <w:numId w:val="1"/>
              </w:numPr>
              <w:spacing w:line="240" w:lineRule="auto"/>
              <w:ind w:firstLine="0" w:firstLineChars="0"/>
              <w:rPr>
                <w:rFonts w:hint="eastAsia" w:ascii="宋体" w:hAnsi="宋体" w:cs="宋体"/>
                <w:color w:val="auto"/>
                <w:szCs w:val="21"/>
                <w:highlight w:val="none"/>
                <w:lang w:val="en-US" w:eastAsia="zh-CN"/>
              </w:rPr>
            </w:pPr>
            <w:bookmarkStart w:id="184" w:name="OLE_LINK16"/>
            <w:r>
              <w:rPr>
                <w:rFonts w:hint="eastAsia" w:ascii="宋体" w:hAnsi="宋体" w:eastAsia="宋体" w:cs="宋体"/>
                <w:color w:val="auto"/>
                <w:szCs w:val="21"/>
                <w:highlight w:val="none"/>
                <w:u w:val="none"/>
              </w:rPr>
              <w:t>自20</w:t>
            </w:r>
            <w:r>
              <w:rPr>
                <w:rFonts w:hint="eastAsia" w:ascii="宋体" w:hAnsi="宋体" w:eastAsia="宋体" w:cs="宋体"/>
                <w:color w:val="auto"/>
                <w:szCs w:val="21"/>
                <w:highlight w:val="none"/>
                <w:u w:val="none"/>
                <w:lang w:val="en-US" w:eastAsia="zh-CN"/>
              </w:rPr>
              <w:t>20</w:t>
            </w:r>
            <w:r>
              <w:rPr>
                <w:rFonts w:hint="eastAsia" w:ascii="宋体" w:hAnsi="宋体" w:eastAsia="宋体" w:cs="宋体"/>
                <w:color w:val="auto"/>
                <w:szCs w:val="21"/>
                <w:highlight w:val="none"/>
                <w:u w:val="none"/>
              </w:rPr>
              <w:t>年1月1日至投标截止时间止，</w:t>
            </w:r>
            <w:bookmarkStart w:id="185" w:name="OLE_LINK13"/>
            <w:r>
              <w:rPr>
                <w:rFonts w:hint="eastAsia" w:ascii="宋体" w:hAnsi="宋体" w:eastAsia="宋体" w:cs="宋体"/>
                <w:color w:val="auto"/>
                <w:szCs w:val="21"/>
                <w:highlight w:val="none"/>
                <w:u w:val="none"/>
                <w:lang w:val="en-US" w:eastAsia="zh-CN"/>
              </w:rPr>
              <w:t>投标人</w:t>
            </w:r>
            <w:bookmarkEnd w:id="185"/>
            <w:bookmarkStart w:id="186" w:name="OLE_LINK11"/>
            <w:r>
              <w:rPr>
                <w:rFonts w:hint="eastAsia" w:ascii="宋体" w:hAnsi="宋体" w:cs="宋体"/>
                <w:color w:val="auto"/>
                <w:szCs w:val="21"/>
                <w:highlight w:val="none"/>
                <w:lang w:val="en-US" w:eastAsia="zh-CN"/>
              </w:rPr>
              <w:t>完成过</w:t>
            </w:r>
            <w:bookmarkEnd w:id="186"/>
            <w:bookmarkStart w:id="187" w:name="OLE_LINK39"/>
            <w:r>
              <w:rPr>
                <w:rFonts w:hint="eastAsia" w:ascii="宋体" w:hAnsi="宋体" w:eastAsia="宋体" w:cs="宋体"/>
                <w:color w:val="auto"/>
                <w:szCs w:val="21"/>
                <w:highlight w:val="none"/>
              </w:rPr>
              <w:t>市政公用工程</w:t>
            </w:r>
            <w:r>
              <w:rPr>
                <w:rFonts w:hint="eastAsia" w:ascii="宋体" w:hAnsi="宋体" w:eastAsia="宋体" w:cs="宋体"/>
                <w:color w:val="auto"/>
                <w:szCs w:val="21"/>
                <w:highlight w:val="none"/>
                <w:lang w:val="zh-CN"/>
              </w:rPr>
              <w:t>项目</w:t>
            </w:r>
            <w:bookmarkEnd w:id="187"/>
            <w:r>
              <w:rPr>
                <w:rFonts w:hint="eastAsia" w:ascii="宋体" w:hAnsi="宋体" w:eastAsia="宋体" w:cs="宋体"/>
                <w:color w:val="auto"/>
                <w:szCs w:val="21"/>
                <w:highlight w:val="none"/>
                <w:lang w:val="en-US" w:eastAsia="zh-CN"/>
              </w:rPr>
              <w:t>勘察业绩的，每项得5分，最多得5分</w:t>
            </w:r>
            <w:r>
              <w:rPr>
                <w:rFonts w:hint="eastAsia" w:ascii="宋体" w:hAnsi="宋体" w:cs="宋体"/>
                <w:color w:val="auto"/>
                <w:szCs w:val="21"/>
                <w:highlight w:val="none"/>
                <w:lang w:val="en-US" w:eastAsia="zh-CN"/>
              </w:rPr>
              <w:t>；</w:t>
            </w:r>
          </w:p>
          <w:p>
            <w:pPr>
              <w:pStyle w:val="2"/>
              <w:spacing w:line="24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bookmarkStart w:id="188" w:name="OLE_LINK12"/>
            <w:r>
              <w:rPr>
                <w:rFonts w:hint="eastAsia" w:ascii="宋体" w:hAnsi="宋体" w:eastAsia="宋体" w:cs="宋体"/>
                <w:color w:val="auto"/>
                <w:szCs w:val="21"/>
                <w:highlight w:val="none"/>
                <w:u w:val="none"/>
              </w:rPr>
              <w:t>自20</w:t>
            </w:r>
            <w:r>
              <w:rPr>
                <w:rFonts w:hint="eastAsia" w:ascii="宋体" w:hAnsi="宋体" w:eastAsia="宋体" w:cs="宋体"/>
                <w:color w:val="auto"/>
                <w:szCs w:val="21"/>
                <w:highlight w:val="none"/>
                <w:u w:val="none"/>
                <w:lang w:val="en-US" w:eastAsia="zh-CN"/>
              </w:rPr>
              <w:t>20</w:t>
            </w:r>
            <w:r>
              <w:rPr>
                <w:rFonts w:hint="eastAsia" w:ascii="宋体" w:hAnsi="宋体" w:eastAsia="宋体" w:cs="宋体"/>
                <w:color w:val="auto"/>
                <w:szCs w:val="21"/>
                <w:highlight w:val="none"/>
                <w:u w:val="none"/>
              </w:rPr>
              <w:t>年1月1日至投标截止时间止，</w:t>
            </w:r>
            <w:bookmarkEnd w:id="188"/>
            <w:r>
              <w:rPr>
                <w:rFonts w:hint="eastAsia" w:ascii="宋体" w:hAnsi="宋体" w:eastAsia="宋体" w:cs="宋体"/>
                <w:color w:val="auto"/>
                <w:szCs w:val="21"/>
                <w:highlight w:val="none"/>
                <w:u w:val="none"/>
                <w:lang w:val="en-US" w:eastAsia="zh-CN"/>
              </w:rPr>
              <w:t>投标人</w:t>
            </w:r>
            <w:r>
              <w:rPr>
                <w:rFonts w:hint="eastAsia" w:ascii="宋体" w:hAnsi="宋体" w:cs="宋体"/>
                <w:color w:val="auto"/>
                <w:szCs w:val="21"/>
                <w:highlight w:val="none"/>
                <w:lang w:val="en-US" w:eastAsia="zh-CN"/>
              </w:rPr>
              <w:t>完成过</w:t>
            </w:r>
            <w:r>
              <w:rPr>
                <w:rFonts w:hint="eastAsia" w:ascii="宋体" w:hAnsi="宋体" w:eastAsia="宋体" w:cs="宋体"/>
                <w:color w:val="auto"/>
                <w:szCs w:val="21"/>
                <w:highlight w:val="none"/>
              </w:rPr>
              <w:t>市政公用工程</w:t>
            </w:r>
            <w:r>
              <w:rPr>
                <w:rFonts w:hint="eastAsia" w:ascii="宋体" w:hAnsi="宋体" w:eastAsia="宋体" w:cs="宋体"/>
                <w:color w:val="auto"/>
                <w:szCs w:val="21"/>
                <w:highlight w:val="none"/>
                <w:lang w:val="zh-CN"/>
              </w:rPr>
              <w:t>项目</w:t>
            </w:r>
            <w:r>
              <w:rPr>
                <w:rFonts w:hint="eastAsia" w:ascii="宋体" w:hAnsi="宋体" w:eastAsia="宋体" w:cs="宋体"/>
                <w:color w:val="auto"/>
                <w:szCs w:val="21"/>
                <w:highlight w:val="none"/>
                <w:lang w:val="en-US" w:eastAsia="zh-CN"/>
              </w:rPr>
              <w:t>设计业绩的，每项得5分，最多得25分</w:t>
            </w:r>
            <w:r>
              <w:rPr>
                <w:rFonts w:hint="eastAsia" w:ascii="宋体" w:hAnsi="宋体" w:cs="宋体"/>
                <w:color w:val="auto"/>
                <w:szCs w:val="21"/>
                <w:highlight w:val="none"/>
                <w:lang w:val="en-US" w:eastAsia="zh-CN"/>
              </w:rPr>
              <w:t>。</w:t>
            </w:r>
          </w:p>
          <w:p>
            <w:pPr>
              <w:pStyle w:val="2"/>
              <w:spacing w:line="24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w:t>
            </w:r>
            <w:r>
              <w:rPr>
                <w:rFonts w:hint="eastAsia" w:ascii="宋体" w:hAnsi="宋体" w:eastAsia="宋体" w:cs="宋体"/>
                <w:color w:val="auto"/>
                <w:szCs w:val="21"/>
                <w:highlight w:val="none"/>
                <w:lang w:val="en-US" w:eastAsia="zh-CN"/>
              </w:rPr>
              <w:t>最多得30分。</w:t>
            </w:r>
          </w:p>
          <w:bookmarkEnd w:id="184"/>
          <w:p>
            <w:pPr>
              <w:pStyle w:val="2"/>
              <w:spacing w:line="240" w:lineRule="auto"/>
              <w:ind w:firstLine="0" w:firstLineChars="0"/>
              <w:rPr>
                <w:rFonts w:hint="eastAsia" w:ascii="宋体" w:hAnsi="宋体" w:cs="宋体"/>
                <w:color w:val="auto"/>
                <w:szCs w:val="21"/>
                <w:highlight w:val="none"/>
                <w:lang w:val="en-US" w:eastAsia="zh-CN"/>
              </w:rPr>
            </w:pPr>
            <w:bookmarkStart w:id="189" w:name="OLE_LINK17"/>
            <w:r>
              <w:rPr>
                <w:rFonts w:hint="eastAsia" w:ascii="宋体" w:hAnsi="宋体" w:eastAsia="宋体" w:cs="宋体"/>
                <w:color w:val="auto"/>
                <w:szCs w:val="21"/>
                <w:highlight w:val="none"/>
                <w:lang w:val="en-US" w:eastAsia="zh-CN"/>
              </w:rPr>
              <w:t>注：</w:t>
            </w:r>
            <w:r>
              <w:rPr>
                <w:rFonts w:hint="eastAsia" w:ascii="宋体" w:hAnsi="宋体" w:cs="宋体"/>
                <w:color w:val="auto"/>
                <w:szCs w:val="21"/>
                <w:highlight w:val="none"/>
                <w:lang w:val="en-US" w:eastAsia="zh-CN"/>
              </w:rPr>
              <w:t>1.</w:t>
            </w:r>
            <w:r>
              <w:rPr>
                <w:rFonts w:hint="eastAsia" w:ascii="宋体" w:hAnsi="宋体" w:eastAsia="宋体" w:cs="宋体"/>
                <w:b/>
                <w:bCs/>
                <w:color w:val="auto"/>
                <w:szCs w:val="21"/>
                <w:highlight w:val="none"/>
                <w:lang w:val="en-US" w:eastAsia="zh-CN"/>
              </w:rPr>
              <w:t>勘察业绩</w:t>
            </w:r>
            <w:r>
              <w:rPr>
                <w:rFonts w:hint="eastAsia" w:ascii="宋体" w:hAnsi="宋体" w:eastAsia="宋体" w:cs="宋体"/>
                <w:color w:val="auto"/>
                <w:szCs w:val="21"/>
                <w:highlight w:val="none"/>
                <w:lang w:val="en-US" w:eastAsia="zh-CN"/>
              </w:rPr>
              <w:t>需同时提供合同文本关键页、中标通知书（或免招标证明文件）、勘察成果审查合格证明文件扫描件。时间以勘察成果审查合格证明文件为准。如以上资料不能证明业绩规模或技术指标的，须另提供业主盖章的业绩证明或可证明业绩规模或技术指标的其他资料扫描件。</w:t>
            </w:r>
          </w:p>
          <w:p>
            <w:pPr>
              <w:pStyle w:val="2"/>
              <w:spacing w:line="24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b/>
                <w:bCs w:val="0"/>
                <w:color w:val="auto"/>
                <w:szCs w:val="21"/>
                <w:highlight w:val="none"/>
              </w:rPr>
              <w:t>设计</w:t>
            </w:r>
            <w:r>
              <w:rPr>
                <w:rFonts w:hint="eastAsia" w:ascii="宋体" w:hAnsi="宋体" w:eastAsia="宋体" w:cs="宋体"/>
                <w:b/>
                <w:color w:val="auto"/>
                <w:szCs w:val="21"/>
                <w:highlight w:val="none"/>
                <w:lang w:val="zh-CN"/>
              </w:rPr>
              <w:t>业绩</w:t>
            </w:r>
            <w:r>
              <w:rPr>
                <w:rFonts w:hint="eastAsia" w:ascii="宋体" w:hAnsi="宋体" w:eastAsia="宋体" w:cs="宋体"/>
                <w:color w:val="auto"/>
                <w:szCs w:val="21"/>
                <w:highlight w:val="none"/>
              </w:rPr>
              <w:t>需</w:t>
            </w:r>
            <w:r>
              <w:rPr>
                <w:rFonts w:hint="eastAsia" w:ascii="宋体" w:hAnsi="宋体" w:eastAsia="宋体" w:cs="宋体"/>
                <w:color w:val="auto"/>
                <w:szCs w:val="21"/>
                <w:highlight w:val="none"/>
                <w:lang w:val="zh-CN"/>
              </w:rPr>
              <w:t>同时提供合同文本关键页、中标通知书（或免招标证明文件）、</w:t>
            </w:r>
            <w:r>
              <w:rPr>
                <w:rFonts w:hint="eastAsia" w:ascii="宋体" w:hAnsi="宋体" w:eastAsia="宋体" w:cs="宋体"/>
                <w:color w:val="auto"/>
                <w:szCs w:val="21"/>
                <w:highlight w:val="none"/>
                <w:lang w:val="zh-CN" w:eastAsia="zh-CN"/>
              </w:rPr>
              <w:t>初步设计批复（或审查证明）或施工图审查合格书（或备案证明）</w:t>
            </w:r>
            <w:r>
              <w:rPr>
                <w:rFonts w:hint="eastAsia" w:ascii="宋体" w:hAnsi="宋体" w:eastAsia="宋体" w:cs="宋体"/>
                <w:color w:val="auto"/>
                <w:szCs w:val="21"/>
                <w:highlight w:val="none"/>
                <w:lang w:val="zh-CN"/>
              </w:rPr>
              <w:t>扫描件。时间以</w:t>
            </w:r>
            <w:r>
              <w:rPr>
                <w:rFonts w:hint="eastAsia" w:ascii="宋体" w:hAnsi="宋体" w:eastAsia="宋体" w:cs="宋体"/>
                <w:color w:val="auto"/>
                <w:szCs w:val="21"/>
                <w:highlight w:val="none"/>
                <w:lang w:val="zh-CN" w:eastAsia="zh-CN"/>
              </w:rPr>
              <w:t>初步设计批复（或审查证明）或施工图审查合格书（或备案证明）</w:t>
            </w:r>
            <w:r>
              <w:rPr>
                <w:rFonts w:hint="eastAsia" w:ascii="宋体" w:hAnsi="宋体" w:eastAsia="宋体" w:cs="宋体"/>
                <w:color w:val="auto"/>
                <w:szCs w:val="21"/>
                <w:highlight w:val="none"/>
                <w:lang w:val="zh-CN"/>
              </w:rPr>
              <w:t>为准。如以上资料不能证明业绩规模或技术指标的，须另提供业主盖章的业绩证明或可证明业绩规模或技术指标的其他资料扫描件。</w:t>
            </w:r>
          </w:p>
          <w:p>
            <w:pPr>
              <w:pStyle w:val="2"/>
              <w:spacing w:line="24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同一项目含设计和勘察的按分别满足上述要求各计算一次设计业绩和勘察业绩。</w:t>
            </w:r>
            <w:bookmarkEnd w:id="189"/>
          </w:p>
        </w:tc>
      </w:tr>
      <w:tr>
        <w:tblPrEx>
          <w:tblCellMar>
            <w:top w:w="0" w:type="dxa"/>
            <w:left w:w="108" w:type="dxa"/>
            <w:bottom w:w="0" w:type="dxa"/>
            <w:right w:w="108" w:type="dxa"/>
          </w:tblCellMar>
        </w:tblPrEx>
        <w:trPr>
          <w:trHeight w:val="870" w:hRule="atLeast"/>
        </w:trPr>
        <w:tc>
          <w:tcPr>
            <w:tcW w:w="20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w:t>
            </w:r>
          </w:p>
        </w:tc>
        <w:tc>
          <w:tcPr>
            <w:tcW w:w="319"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企业业绩获奖</w:t>
            </w:r>
          </w:p>
        </w:tc>
        <w:tc>
          <w:tcPr>
            <w:tcW w:w="378" w:type="pct"/>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4096" w:type="pct"/>
            <w:tcBorders>
              <w:top w:val="single" w:color="auto" w:sz="4" w:space="0"/>
              <w:left w:val="single" w:color="auto" w:sz="6" w:space="0"/>
              <w:bottom w:val="single" w:color="auto" w:sz="4" w:space="0"/>
              <w:right w:val="single" w:color="auto" w:sz="4" w:space="0"/>
            </w:tcBorders>
            <w:vAlign w:val="center"/>
          </w:tcPr>
          <w:p>
            <w:pPr>
              <w:autoSpaceDE/>
              <w:autoSpaceDN/>
              <w:adjustRightInd/>
              <w:spacing w:line="320" w:lineRule="exact"/>
              <w:ind w:right="31" w:rightChars="15" w:firstLine="0" w:firstLineChars="0"/>
              <w:rPr>
                <w:rFonts w:hint="default" w:ascii="宋体" w:hAnsi="宋体" w:eastAsia="宋体" w:cs="宋体"/>
                <w:color w:val="auto"/>
                <w:szCs w:val="21"/>
                <w:highlight w:val="none"/>
                <w:lang w:val="en-US" w:eastAsia="zh-CN"/>
              </w:rPr>
            </w:pPr>
            <w:bookmarkStart w:id="190" w:name="OLE_LINK18"/>
            <w:r>
              <w:rPr>
                <w:rFonts w:hint="eastAsia" w:ascii="宋体" w:hAnsi="宋体" w:eastAsia="宋体" w:cs="宋体"/>
                <w:color w:val="auto"/>
                <w:szCs w:val="21"/>
                <w:highlight w:val="none"/>
                <w:u w:val="none"/>
              </w:rPr>
              <w:t>自20</w:t>
            </w:r>
            <w:r>
              <w:rPr>
                <w:rFonts w:hint="eastAsia" w:ascii="宋体" w:hAnsi="宋体" w:eastAsia="宋体" w:cs="宋体"/>
                <w:color w:val="auto"/>
                <w:szCs w:val="21"/>
                <w:highlight w:val="none"/>
                <w:u w:val="none"/>
                <w:lang w:val="en-US" w:eastAsia="zh-CN"/>
              </w:rPr>
              <w:t>20</w:t>
            </w:r>
            <w:r>
              <w:rPr>
                <w:rFonts w:hint="eastAsia" w:ascii="宋体" w:hAnsi="宋体" w:eastAsia="宋体" w:cs="宋体"/>
                <w:color w:val="auto"/>
                <w:szCs w:val="21"/>
                <w:highlight w:val="none"/>
                <w:u w:val="none"/>
              </w:rPr>
              <w:t>年1月1日至投标截止时间止，</w:t>
            </w:r>
            <w:bookmarkEnd w:id="190"/>
            <w:r>
              <w:rPr>
                <w:rFonts w:hint="eastAsia" w:ascii="宋体" w:hAnsi="宋体" w:eastAsia="宋体" w:cs="宋体"/>
                <w:color w:val="auto"/>
                <w:szCs w:val="21"/>
                <w:highlight w:val="none"/>
                <w:u w:val="none"/>
                <w:lang w:val="en-US" w:eastAsia="zh-CN"/>
              </w:rPr>
              <w:t>投标人承接的</w:t>
            </w:r>
            <w:bookmarkStart w:id="191" w:name="OLE_LINK14"/>
            <w:bookmarkStart w:id="192" w:name="OLE_LINK15"/>
            <w:r>
              <w:rPr>
                <w:rFonts w:hint="eastAsia" w:ascii="宋体" w:hAnsi="宋体" w:eastAsia="宋体" w:cs="宋体"/>
                <w:color w:val="auto"/>
                <w:kern w:val="1"/>
                <w:szCs w:val="21"/>
                <w:highlight w:val="none"/>
              </w:rPr>
              <w:t>市政公用工程</w:t>
            </w:r>
            <w:bookmarkEnd w:id="191"/>
            <w:r>
              <w:rPr>
                <w:rFonts w:hint="eastAsia" w:ascii="宋体" w:hAnsi="宋体" w:eastAsia="宋体" w:cs="宋体"/>
                <w:color w:val="auto"/>
                <w:szCs w:val="21"/>
                <w:highlight w:val="none"/>
                <w:lang w:val="zh-CN"/>
              </w:rPr>
              <w:t>勘察或设计</w:t>
            </w:r>
            <w:bookmarkEnd w:id="192"/>
            <w:r>
              <w:rPr>
                <w:rFonts w:hint="eastAsia" w:ascii="宋体" w:hAnsi="宋体" w:eastAsia="宋体" w:cs="宋体"/>
                <w:color w:val="auto"/>
                <w:szCs w:val="21"/>
                <w:highlight w:val="none"/>
                <w:lang w:val="zh-CN"/>
              </w:rPr>
              <w:t>项目获国家级奖项，每项得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分；获省级</w:t>
            </w:r>
            <w:r>
              <w:rPr>
                <w:rFonts w:hint="eastAsia" w:ascii="宋体" w:hAnsi="宋体" w:eastAsia="宋体" w:cs="宋体"/>
                <w:color w:val="auto"/>
                <w:szCs w:val="21"/>
                <w:highlight w:val="none"/>
                <w:u w:val="none"/>
              </w:rPr>
              <w:t>（含直辖市、自治区）</w:t>
            </w:r>
            <w:r>
              <w:rPr>
                <w:rFonts w:hint="eastAsia" w:ascii="宋体" w:hAnsi="宋体" w:eastAsia="宋体" w:cs="宋体"/>
                <w:color w:val="auto"/>
                <w:szCs w:val="21"/>
                <w:highlight w:val="none"/>
                <w:lang w:val="zh-CN"/>
              </w:rPr>
              <w:t>奖项，每项得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分；获市（</w:t>
            </w:r>
            <w:r>
              <w:rPr>
                <w:rFonts w:hint="eastAsia" w:ascii="宋体" w:hAnsi="宋体" w:eastAsia="宋体" w:cs="宋体"/>
                <w:color w:val="auto"/>
                <w:szCs w:val="21"/>
                <w:highlight w:val="none"/>
                <w:lang w:val="en-US" w:eastAsia="zh-CN"/>
              </w:rPr>
              <w:t>含副省级</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级</w:t>
            </w:r>
            <w:r>
              <w:rPr>
                <w:rFonts w:hint="eastAsia" w:ascii="宋体" w:hAnsi="宋体" w:eastAsia="宋体" w:cs="宋体"/>
                <w:color w:val="auto"/>
                <w:szCs w:val="21"/>
                <w:highlight w:val="none"/>
                <w:lang w:val="zh-CN"/>
              </w:rPr>
              <w:t>奖项，每项得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en-US" w:eastAsia="zh-CN"/>
              </w:rPr>
              <w:t>本项最多得20分。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bookmarkStart w:id="193" w:name="OLE_LINK22"/>
            <w:bookmarkStart w:id="194" w:name="OLE_LINK43"/>
            <w:bookmarkStart w:id="195" w:name="OLE_LINK24"/>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获奖奖项是由住建部颁发的全国优秀工程勘察设计奖、中国勘察设计协会颁发的全国优秀工程勘察设计行业奖、省级建设行政主管部门或省级工程勘察设计行业协会颁发的省级优秀勘察或设计奖、市级建设行政主管部门或市级工程勘察设计行业协会颁发的市级优秀勘察或设计奖；由国务院颁发的国家科学技术奖、住建部的华夏建设科学技术奖励委员会颁发的华夏建设科学技术奖、省级人民政府颁发的省级科学技术奖、</w:t>
            </w:r>
            <w:bookmarkEnd w:id="193"/>
            <w:r>
              <w:rPr>
                <w:rFonts w:hint="eastAsia" w:ascii="宋体" w:hAnsi="宋体" w:eastAsia="宋体" w:cs="宋体"/>
                <w:color w:val="auto"/>
                <w:szCs w:val="21"/>
                <w:highlight w:val="none"/>
                <w:lang w:eastAsia="zh-CN"/>
              </w:rPr>
              <w:t>市级人民政府颁发的市级科学技术奖</w:t>
            </w:r>
            <w:r>
              <w:rPr>
                <w:rFonts w:hint="eastAsia" w:ascii="宋体" w:hAnsi="宋体" w:eastAsia="宋体" w:cs="宋体"/>
                <w:bCs/>
                <w:color w:val="auto"/>
                <w:szCs w:val="21"/>
                <w:highlight w:val="none"/>
                <w:lang w:eastAsia="zh-CN"/>
              </w:rPr>
              <w:t>。</w:t>
            </w:r>
            <w:r>
              <w:rPr>
                <w:rFonts w:hint="eastAsia" w:ascii="宋体" w:hAnsi="宋体" w:eastAsia="宋体" w:cs="宋体"/>
                <w:color w:val="auto"/>
                <w:kern w:val="1"/>
                <w:szCs w:val="21"/>
                <w:highlight w:val="none"/>
                <w:u w:val="none"/>
              </w:rPr>
              <w:t>投标人</w:t>
            </w:r>
            <w:r>
              <w:rPr>
                <w:rFonts w:hint="eastAsia" w:ascii="宋体" w:hAnsi="宋体" w:eastAsia="宋体" w:cs="宋体"/>
                <w:color w:val="auto"/>
                <w:kern w:val="1"/>
                <w:szCs w:val="21"/>
                <w:highlight w:val="none"/>
                <w:u w:val="none"/>
                <w:lang w:val="en-US" w:eastAsia="zh-CN"/>
              </w:rPr>
              <w:t>应</w:t>
            </w:r>
            <w:r>
              <w:rPr>
                <w:rFonts w:hint="eastAsia" w:ascii="宋体" w:hAnsi="宋体" w:eastAsia="宋体" w:cs="宋体"/>
                <w:color w:val="auto"/>
                <w:szCs w:val="21"/>
                <w:highlight w:val="none"/>
                <w:lang w:val="en-US" w:eastAsia="zh-CN"/>
              </w:rPr>
              <w:t>提供获奖证书或获奖证明文件扫描件，获奖认定</w:t>
            </w:r>
            <w:r>
              <w:rPr>
                <w:rFonts w:hint="eastAsia" w:ascii="宋体" w:hAnsi="宋体" w:eastAsia="宋体" w:cs="宋体"/>
                <w:color w:val="auto"/>
                <w:szCs w:val="21"/>
                <w:highlight w:val="none"/>
              </w:rPr>
              <w:t>时间以获奖证书或获奖证明文件载明的时间为准。</w:t>
            </w:r>
            <w:bookmarkEnd w:id="194"/>
          </w:p>
          <w:p>
            <w:pPr>
              <w:jc w:val="left"/>
              <w:rPr>
                <w:rFonts w:hint="eastAsia" w:ascii="宋体" w:hAnsi="宋体" w:eastAsia="宋体" w:cs="宋体"/>
                <w:b w:val="0"/>
                <w:bCs/>
                <w:color w:val="auto"/>
                <w:szCs w:val="21"/>
                <w:highlight w:val="none"/>
                <w:u w:val="none"/>
              </w:rPr>
            </w:pPr>
            <w:r>
              <w:rPr>
                <w:rFonts w:hint="eastAsia" w:ascii="宋体" w:hAnsi="宋体" w:eastAsia="宋体" w:cs="宋体"/>
                <w:color w:val="auto"/>
                <w:szCs w:val="21"/>
                <w:highlight w:val="none"/>
                <w:lang w:val="en-US" w:eastAsia="zh-CN"/>
              </w:rPr>
              <w:t>②</w:t>
            </w:r>
            <w:bookmarkStart w:id="196" w:name="OLE_LINK44"/>
            <w:r>
              <w:rPr>
                <w:rFonts w:hint="eastAsia" w:ascii="宋体" w:hAnsi="宋体" w:eastAsia="宋体" w:cs="宋体"/>
                <w:bCs/>
                <w:color w:val="auto"/>
                <w:szCs w:val="21"/>
                <w:highlight w:val="none"/>
              </w:rPr>
              <w:t>如颁发单位为行业协会或</w:t>
            </w:r>
            <w:r>
              <w:rPr>
                <w:rFonts w:hint="eastAsia" w:ascii="宋体" w:hAnsi="宋体" w:eastAsia="宋体" w:cs="宋体"/>
                <w:color w:val="auto"/>
                <w:szCs w:val="21"/>
                <w:highlight w:val="none"/>
              </w:rPr>
              <w:t>经民政部批准成立的相关协会颁发的奖项</w:t>
            </w:r>
            <w:r>
              <w:rPr>
                <w:rFonts w:hint="eastAsia" w:ascii="宋体" w:hAnsi="宋体" w:eastAsia="宋体" w:cs="宋体"/>
                <w:bCs/>
                <w:color w:val="auto"/>
                <w:szCs w:val="21"/>
                <w:highlight w:val="none"/>
              </w:rPr>
              <w:t>，还须提供该</w:t>
            </w:r>
            <w:r>
              <w:rPr>
                <w:rFonts w:hint="eastAsia" w:ascii="宋体" w:hAnsi="宋体" w:eastAsia="宋体" w:cs="宋体"/>
                <w:b w:val="0"/>
                <w:bCs/>
                <w:color w:val="auto"/>
                <w:szCs w:val="21"/>
                <w:highlight w:val="none"/>
                <w:u w:val="none"/>
              </w:rPr>
              <w:t>协会在中国社会组织政务服务平台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全国社会组织信用信息公示平台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(网址:</w:t>
            </w:r>
            <w:r>
              <w:rPr>
                <w:rFonts w:hint="eastAsia" w:ascii="宋体" w:hAnsi="宋体" w:eastAsia="宋体" w:cs="宋体"/>
                <w:color w:val="auto"/>
                <w:szCs w:val="21"/>
                <w:highlight w:val="none"/>
              </w:rPr>
              <w:t>https://xxgs.chinanpo.mca.gov.cn/gsxt/newList</w:t>
            </w:r>
            <w:r>
              <w:rPr>
                <w:rFonts w:hint="eastAsia" w:ascii="宋体" w:hAnsi="宋体" w:eastAsia="宋体" w:cs="宋体"/>
                <w:b w:val="0"/>
                <w:bCs/>
                <w:color w:val="auto"/>
                <w:szCs w:val="21"/>
                <w:highlight w:val="none"/>
                <w:u w:val="none"/>
              </w:rPr>
              <w:t>)查询结果截图，查询结果“状态”栏必须为“正常”。</w:t>
            </w:r>
            <w:bookmarkEnd w:id="195"/>
            <w:bookmarkEnd w:id="196"/>
          </w:p>
          <w:p>
            <w:pPr>
              <w:autoSpaceDE/>
              <w:autoSpaceDN/>
              <w:adjustRightInd/>
              <w:spacing w:line="320" w:lineRule="exact"/>
              <w:ind w:right="31" w:rightChars="15"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kern w:val="1"/>
                <w:szCs w:val="21"/>
                <w:highlight w:val="none"/>
                <w:u w:val="none"/>
              </w:rPr>
              <w:t>同一项目获奖按项目最高获奖只计算一次得分</w:t>
            </w:r>
            <w:r>
              <w:rPr>
                <w:rFonts w:hint="eastAsia" w:ascii="宋体" w:hAnsi="宋体" w:eastAsia="宋体" w:cs="宋体"/>
                <w:color w:val="auto"/>
                <w:kern w:val="1"/>
                <w:szCs w:val="21"/>
                <w:highlight w:val="none"/>
                <w:u w:val="none"/>
                <w:lang w:eastAsia="zh-CN"/>
              </w:rPr>
              <w:t>，</w:t>
            </w:r>
            <w:r>
              <w:rPr>
                <w:rFonts w:hint="eastAsia" w:hAnsi="宋体" w:eastAsia="宋体" w:cs="宋体"/>
                <w:color w:val="auto"/>
                <w:szCs w:val="21"/>
                <w:highlight w:val="none"/>
                <w:lang w:bidi="ar"/>
              </w:rPr>
              <w:t>同一</w:t>
            </w:r>
            <w:r>
              <w:rPr>
                <w:rFonts w:hint="eastAsia" w:hAnsi="宋体" w:eastAsia="宋体" w:cs="宋体"/>
                <w:color w:val="auto"/>
                <w:szCs w:val="21"/>
                <w:highlight w:val="none"/>
                <w:lang w:val="en-US" w:eastAsia="zh-CN" w:bidi="ar"/>
              </w:rPr>
              <w:t>奖项</w:t>
            </w:r>
            <w:r>
              <w:rPr>
                <w:rFonts w:hint="eastAsia" w:hAnsi="宋体" w:eastAsia="宋体" w:cs="宋体"/>
                <w:color w:val="auto"/>
                <w:szCs w:val="21"/>
                <w:highlight w:val="none"/>
                <w:lang w:bidi="ar"/>
              </w:rPr>
              <w:t>含设计和勘察</w:t>
            </w:r>
            <w:r>
              <w:rPr>
                <w:rFonts w:hint="eastAsia" w:ascii="宋体" w:hAnsi="宋体" w:eastAsia="宋体" w:cs="宋体"/>
                <w:color w:val="auto"/>
                <w:szCs w:val="21"/>
                <w:highlight w:val="none"/>
                <w:lang w:val="zh-CN" w:bidi="ar"/>
              </w:rPr>
              <w:t>的</w:t>
            </w:r>
            <w:r>
              <w:rPr>
                <w:rFonts w:hint="eastAsia" w:hAnsi="宋体" w:eastAsia="宋体" w:cs="宋体"/>
                <w:color w:val="auto"/>
                <w:szCs w:val="21"/>
                <w:highlight w:val="none"/>
                <w:lang w:bidi="ar"/>
              </w:rPr>
              <w:t>，只能按上述要求计算一次设计</w:t>
            </w:r>
            <w:r>
              <w:rPr>
                <w:rFonts w:hint="eastAsia" w:ascii="宋体" w:hAnsi="宋体" w:eastAsia="宋体" w:cs="宋体"/>
                <w:color w:val="auto"/>
                <w:szCs w:val="21"/>
                <w:highlight w:val="none"/>
                <w:lang w:val="zh-CN" w:bidi="ar"/>
              </w:rPr>
              <w:t>奖项</w:t>
            </w:r>
            <w:r>
              <w:rPr>
                <w:rFonts w:hint="eastAsia" w:hAnsi="宋体" w:eastAsia="宋体" w:cs="宋体"/>
                <w:color w:val="auto"/>
                <w:szCs w:val="21"/>
                <w:highlight w:val="none"/>
                <w:lang w:bidi="ar"/>
              </w:rPr>
              <w:t>或勘察</w:t>
            </w:r>
            <w:r>
              <w:rPr>
                <w:rFonts w:hint="eastAsia" w:ascii="宋体" w:hAnsi="宋体" w:eastAsia="宋体" w:cs="宋体"/>
                <w:color w:val="auto"/>
                <w:szCs w:val="21"/>
                <w:highlight w:val="none"/>
                <w:lang w:val="zh-CN" w:bidi="ar"/>
              </w:rPr>
              <w:t>奖项</w:t>
            </w:r>
            <w:r>
              <w:rPr>
                <w:rFonts w:hint="eastAsia" w:hAnsi="宋体" w:eastAsia="宋体" w:cs="宋体"/>
                <w:color w:val="auto"/>
                <w:szCs w:val="21"/>
                <w:highlight w:val="none"/>
                <w:lang w:bidi="ar"/>
              </w:rPr>
              <w:t>）</w:t>
            </w:r>
            <w:r>
              <w:rPr>
                <w:rFonts w:hint="eastAsia" w:ascii="宋体" w:hAnsi="宋体" w:eastAsia="宋体" w:cs="宋体"/>
                <w:color w:val="auto"/>
                <w:kern w:val="1"/>
                <w:szCs w:val="21"/>
                <w:highlight w:val="none"/>
                <w:u w:val="none"/>
              </w:rPr>
              <w:t>。</w:t>
            </w:r>
          </w:p>
        </w:tc>
      </w:tr>
      <w:tr>
        <w:tblPrEx>
          <w:tblCellMar>
            <w:top w:w="0" w:type="dxa"/>
            <w:left w:w="108" w:type="dxa"/>
            <w:bottom w:w="0" w:type="dxa"/>
            <w:right w:w="108" w:type="dxa"/>
          </w:tblCellMar>
        </w:tblPrEx>
        <w:trPr>
          <w:trHeight w:val="2884" w:hRule="atLeast"/>
        </w:trPr>
        <w:tc>
          <w:tcPr>
            <w:tcW w:w="205" w:type="pct"/>
            <w:tcBorders>
              <w:top w:val="single" w:color="auto" w:sz="6" w:space="0"/>
              <w:left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w:t>
            </w:r>
          </w:p>
        </w:tc>
        <w:tc>
          <w:tcPr>
            <w:tcW w:w="319" w:type="pct"/>
            <w:tcBorders>
              <w:top w:val="single" w:color="auto" w:sz="6" w:space="0"/>
              <w:left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人员配备及技术水平</w:t>
            </w:r>
          </w:p>
        </w:tc>
        <w:tc>
          <w:tcPr>
            <w:tcW w:w="378" w:type="pct"/>
            <w:tcBorders>
              <w:top w:val="single" w:color="auto" w:sz="4" w:space="0"/>
              <w:left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4096" w:type="pct"/>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1、项目负责人设计经历及业务能力：</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bookmarkStart w:id="197" w:name="OLE_LINK28"/>
            <w:r>
              <w:rPr>
                <w:rFonts w:hint="eastAsia" w:ascii="宋体" w:hAnsi="宋体" w:eastAsia="宋体" w:cs="宋体"/>
                <w:color w:val="auto"/>
                <w:szCs w:val="21"/>
                <w:highlight w:val="none"/>
                <w:lang w:val="zh-CN"/>
              </w:rPr>
              <w:t>设计经历（以大专</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以上学历证书颁发时间起计）在20年（含20年）以上的，得2分；设计经历在15（含）-20（不含）年的，得1分；设计经历在15（不含）年以下的，得0.5分。其它不得分。本小项最多得2分。</w:t>
            </w:r>
            <w:bookmarkEnd w:id="197"/>
          </w:p>
          <w:p>
            <w:pPr>
              <w:autoSpaceDE w:val="0"/>
              <w:autoSpaceDN w:val="0"/>
              <w:adjustRightIn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2）具有注册土木工程师（道路工程），得2分，</w:t>
            </w:r>
            <w:r>
              <w:rPr>
                <w:rFonts w:hint="eastAsia" w:ascii="宋体" w:hAnsi="宋体" w:eastAsia="宋体" w:cs="宋体"/>
                <w:color w:val="auto"/>
                <w:szCs w:val="21"/>
                <w:highlight w:val="none"/>
                <w:lang w:val="zh-CN"/>
              </w:rPr>
              <w:t>本</w:t>
            </w:r>
            <w:r>
              <w:rPr>
                <w:rFonts w:hint="eastAsia" w:ascii="宋体" w:hAnsi="宋体" w:eastAsia="宋体" w:cs="宋体"/>
                <w:color w:val="auto"/>
                <w:szCs w:val="21"/>
                <w:highlight w:val="none"/>
                <w:lang w:val="en-US" w:eastAsia="zh-CN"/>
              </w:rPr>
              <w:t>小</w:t>
            </w:r>
            <w:r>
              <w:rPr>
                <w:rFonts w:hint="eastAsia" w:ascii="宋体" w:hAnsi="宋体" w:eastAsia="宋体" w:cs="宋体"/>
                <w:color w:val="auto"/>
                <w:szCs w:val="21"/>
                <w:highlight w:val="none"/>
                <w:lang w:val="zh-CN"/>
              </w:rPr>
              <w:t>项最高得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none"/>
              </w:rPr>
              <w:t>自20</w:t>
            </w:r>
            <w:r>
              <w:rPr>
                <w:rFonts w:hint="eastAsia" w:ascii="宋体" w:hAnsi="宋体" w:eastAsia="宋体" w:cs="宋体"/>
                <w:color w:val="auto"/>
                <w:szCs w:val="21"/>
                <w:highlight w:val="none"/>
                <w:u w:val="none"/>
                <w:lang w:val="en-US" w:eastAsia="zh-CN"/>
              </w:rPr>
              <w:t>20</w:t>
            </w:r>
            <w:r>
              <w:rPr>
                <w:rFonts w:hint="eastAsia" w:ascii="宋体" w:hAnsi="宋体" w:eastAsia="宋体" w:cs="宋体"/>
                <w:color w:val="auto"/>
                <w:szCs w:val="21"/>
                <w:highlight w:val="none"/>
                <w:u w:val="none"/>
              </w:rPr>
              <w:t>年1月1日</w:t>
            </w:r>
            <w:bookmarkStart w:id="198" w:name="OLE_LINK32"/>
            <w:r>
              <w:rPr>
                <w:rFonts w:hint="eastAsia" w:ascii="宋体" w:hAnsi="宋体" w:eastAsia="宋体" w:cs="宋体"/>
                <w:color w:val="auto"/>
                <w:szCs w:val="21"/>
                <w:highlight w:val="none"/>
                <w:u w:val="none"/>
              </w:rPr>
              <w:t>至投标截止时间止</w:t>
            </w:r>
            <w:bookmarkEnd w:id="198"/>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参与</w:t>
            </w:r>
            <w:r>
              <w:rPr>
                <w:rFonts w:hint="eastAsia" w:ascii="宋体" w:hAnsi="宋体" w:eastAsia="宋体" w:cs="宋体"/>
                <w:color w:val="auto"/>
                <w:szCs w:val="21"/>
                <w:highlight w:val="none"/>
                <w:lang w:val="zh-CN"/>
              </w:rPr>
              <w:t>设计的</w:t>
            </w:r>
            <w:r>
              <w:rPr>
                <w:rFonts w:hint="eastAsia" w:ascii="宋体" w:hAnsi="宋体" w:eastAsia="宋体" w:cs="宋体"/>
                <w:color w:val="auto"/>
                <w:szCs w:val="21"/>
                <w:highlight w:val="none"/>
              </w:rPr>
              <w:t>市政公用工程</w:t>
            </w:r>
            <w:r>
              <w:rPr>
                <w:rFonts w:hint="eastAsia" w:ascii="宋体" w:hAnsi="宋体" w:eastAsia="宋体" w:cs="宋体"/>
                <w:color w:val="auto"/>
                <w:szCs w:val="21"/>
                <w:highlight w:val="none"/>
                <w:lang w:val="zh-CN"/>
              </w:rPr>
              <w:t>获国家级奖项每项得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分；获省级</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含直辖市、自治区</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val="zh-CN"/>
              </w:rPr>
              <w:t>奖项的，每项得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分；获市（含副省级）级奖项，每项得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分，本</w:t>
            </w:r>
            <w:r>
              <w:rPr>
                <w:rFonts w:hint="eastAsia" w:ascii="宋体" w:hAnsi="宋体" w:eastAsia="宋体" w:cs="宋体"/>
                <w:color w:val="auto"/>
                <w:szCs w:val="21"/>
                <w:highlight w:val="none"/>
                <w:lang w:val="en-US" w:eastAsia="zh-CN"/>
              </w:rPr>
              <w:t>小</w:t>
            </w:r>
            <w:r>
              <w:rPr>
                <w:rFonts w:hint="eastAsia" w:ascii="宋体" w:hAnsi="宋体" w:eastAsia="宋体" w:cs="宋体"/>
                <w:color w:val="auto"/>
                <w:szCs w:val="21"/>
                <w:highlight w:val="none"/>
                <w:lang w:val="zh-CN"/>
              </w:rPr>
              <w:t>项最高得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以上合计最多得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2、各专业负责人设计经历及业务能力：</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（1）道路专业负责人具备注册土木工程师（道路工程）资格，得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分；具有</w:t>
            </w:r>
            <w:r>
              <w:rPr>
                <w:rFonts w:hint="eastAsia" w:ascii="宋体" w:hAnsi="宋体" w:eastAsia="宋体" w:cs="宋体"/>
                <w:color w:val="auto"/>
                <w:szCs w:val="21"/>
                <w:highlight w:val="none"/>
                <w:lang w:val="en-US" w:eastAsia="zh-CN"/>
              </w:rPr>
              <w:t>路桥类高级工程师（或以上）职称</w:t>
            </w:r>
            <w:r>
              <w:rPr>
                <w:rFonts w:hint="eastAsia" w:ascii="宋体" w:hAnsi="宋体" w:eastAsia="宋体" w:cs="宋体"/>
                <w:color w:val="auto"/>
                <w:szCs w:val="21"/>
                <w:highlight w:val="none"/>
                <w:lang w:val="zh-CN"/>
              </w:rPr>
              <w:t>加</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（2）给排水专业负责人具备注册公用设备工程师（给水排水）资格，得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分；具有给排水类高级工程师（或以上）职称加</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（3）电气专业负责人具备注册电气工程师（</w:t>
            </w:r>
            <w:r>
              <w:rPr>
                <w:rFonts w:hint="eastAsia" w:ascii="宋体" w:hAnsi="宋体" w:eastAsia="宋体" w:cs="宋体"/>
                <w:color w:val="auto"/>
                <w:szCs w:val="21"/>
                <w:highlight w:val="none"/>
                <w:lang w:val="en-US" w:eastAsia="zh-CN"/>
              </w:rPr>
              <w:t>供配电）</w:t>
            </w:r>
            <w:r>
              <w:rPr>
                <w:rFonts w:hint="eastAsia" w:ascii="宋体" w:hAnsi="宋体" w:eastAsia="宋体" w:cs="宋体"/>
                <w:color w:val="auto"/>
                <w:szCs w:val="21"/>
                <w:highlight w:val="none"/>
                <w:lang w:val="zh-CN"/>
              </w:rPr>
              <w:t>资格，得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分；具有电气类</w:t>
            </w:r>
            <w:r>
              <w:rPr>
                <w:rFonts w:hint="eastAsia" w:ascii="宋体" w:hAnsi="宋体" w:eastAsia="宋体" w:cs="宋体"/>
                <w:color w:val="auto"/>
                <w:szCs w:val="21"/>
                <w:highlight w:val="none"/>
                <w:lang w:val="en-US" w:eastAsia="zh-CN"/>
              </w:rPr>
              <w:t>相关专业</w:t>
            </w:r>
            <w:r>
              <w:rPr>
                <w:rFonts w:hint="eastAsia" w:ascii="宋体" w:hAnsi="宋体" w:eastAsia="宋体" w:cs="宋体"/>
                <w:color w:val="auto"/>
                <w:szCs w:val="21"/>
                <w:highlight w:val="none"/>
                <w:lang w:val="zh-CN"/>
              </w:rPr>
              <w:t>高级工程师（或以上）职称加</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en-US" w:eastAsia="zh-CN"/>
              </w:rPr>
              <w:t>桥梁</w:t>
            </w:r>
            <w:r>
              <w:rPr>
                <w:rFonts w:hint="eastAsia" w:ascii="宋体" w:hAnsi="宋体" w:eastAsia="宋体" w:cs="宋体"/>
                <w:color w:val="auto"/>
                <w:szCs w:val="21"/>
                <w:highlight w:val="none"/>
                <w:lang w:val="zh-CN"/>
              </w:rPr>
              <w:t>专业负责人具备一级注册结构工程师资格，得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分；具有</w:t>
            </w:r>
            <w:r>
              <w:rPr>
                <w:rFonts w:hint="eastAsia" w:ascii="宋体" w:hAnsi="宋体" w:eastAsia="宋体" w:cs="宋体"/>
                <w:color w:val="auto"/>
                <w:szCs w:val="21"/>
                <w:highlight w:val="none"/>
                <w:lang w:val="en-US" w:eastAsia="zh-CN"/>
              </w:rPr>
              <w:t>路桥类</w:t>
            </w:r>
            <w:r>
              <w:rPr>
                <w:rFonts w:hint="eastAsia" w:ascii="宋体" w:hAnsi="宋体" w:eastAsia="宋体" w:cs="宋体"/>
                <w:color w:val="auto"/>
                <w:szCs w:val="21"/>
                <w:highlight w:val="none"/>
                <w:lang w:val="zh-CN"/>
              </w:rPr>
              <w:t>高级工程师（或以上）职称加</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autoSpaceDE w:val="0"/>
              <w:autoSpaceDN w:val="0"/>
              <w:adjustRightIn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结构</w:t>
            </w:r>
            <w:r>
              <w:rPr>
                <w:rFonts w:hint="eastAsia" w:ascii="宋体" w:hAnsi="宋体" w:eastAsia="宋体" w:cs="宋体"/>
                <w:color w:val="auto"/>
                <w:szCs w:val="21"/>
                <w:highlight w:val="none"/>
                <w:lang w:val="zh-CN"/>
              </w:rPr>
              <w:t>专业负责人具备一级注册结构工程师资格，得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分；具有</w:t>
            </w:r>
            <w:r>
              <w:rPr>
                <w:rFonts w:hint="eastAsia" w:ascii="宋体" w:hAnsi="宋体" w:eastAsia="宋体" w:cs="宋体"/>
                <w:color w:val="auto"/>
                <w:szCs w:val="21"/>
                <w:highlight w:val="none"/>
                <w:lang w:val="en-US" w:eastAsia="zh-CN"/>
              </w:rPr>
              <w:t>结构类</w:t>
            </w:r>
            <w:r>
              <w:rPr>
                <w:rFonts w:hint="eastAsia" w:ascii="宋体" w:hAnsi="宋体" w:eastAsia="宋体" w:cs="宋体"/>
                <w:color w:val="auto"/>
                <w:szCs w:val="21"/>
                <w:highlight w:val="none"/>
                <w:lang w:val="zh-CN"/>
              </w:rPr>
              <w:t>高级工程师（或以上）职称加</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）造价专业负责人具备一级造价工程师资格，得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分；具有工程造价类高级工程师（或以上）职称，加</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）勘察专业负责人具有</w:t>
            </w:r>
            <w:r>
              <w:rPr>
                <w:rFonts w:hint="eastAsia" w:ascii="宋体" w:hAnsi="宋体" w:eastAsia="宋体" w:cs="宋体"/>
                <w:color w:val="auto"/>
                <w:szCs w:val="21"/>
                <w:highlight w:val="none"/>
                <w:lang w:val="en-US" w:eastAsia="zh-CN"/>
              </w:rPr>
              <w:t>注册土木工程师（岩土）资格，得2.5分；具有</w:t>
            </w:r>
            <w:r>
              <w:rPr>
                <w:rFonts w:hint="eastAsia" w:ascii="宋体" w:hAnsi="宋体" w:eastAsia="宋体" w:cs="宋体"/>
                <w:color w:val="auto"/>
                <w:szCs w:val="21"/>
                <w:highlight w:val="none"/>
                <w:lang w:val="zh-CN"/>
              </w:rPr>
              <w:t>岩土工程类高级工程师（或以上）职称加</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val="zh-CN"/>
              </w:rPr>
              <w:t>分。</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以上各项合计最多得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pPr>
              <w:keepNext w:val="0"/>
              <w:keepLines w:val="0"/>
              <w:pageBreakBefore w:val="0"/>
              <w:widowControl w:val="0"/>
              <w:kinsoku/>
              <w:wordWrap/>
              <w:overflowPunct/>
              <w:topLinePunct w:val="0"/>
              <w:autoSpaceDE/>
              <w:autoSpaceDN/>
              <w:bidi w:val="0"/>
              <w:snapToGrid/>
              <w:spacing w:beforeAutospacing="0" w:afterAutospacing="0" w:line="320" w:lineRule="exact"/>
              <w:ind w:right="31" w:rightChars="15"/>
              <w:textAlignment w:val="auto"/>
              <w:rPr>
                <w:rFonts w:hint="eastAsia" w:ascii="宋体" w:hAnsi="宋体" w:eastAsia="宋体" w:cs="宋体"/>
                <w:color w:val="auto"/>
                <w:kern w:val="1"/>
                <w:szCs w:val="21"/>
                <w:highlight w:val="none"/>
                <w:u w:val="none"/>
              </w:rPr>
            </w:pPr>
            <w:r>
              <w:rPr>
                <w:rFonts w:hint="eastAsia" w:ascii="宋体" w:hAnsi="宋体" w:eastAsia="宋体" w:cs="宋体"/>
                <w:color w:val="auto"/>
                <w:szCs w:val="21"/>
                <w:highlight w:val="none"/>
                <w:lang w:val="en-US" w:eastAsia="zh-CN"/>
              </w:rPr>
              <w:t>注：①</w:t>
            </w:r>
            <w:r>
              <w:rPr>
                <w:rFonts w:hint="eastAsia" w:ascii="宋体" w:hAnsi="宋体" w:eastAsia="宋体" w:cs="宋体"/>
                <w:color w:val="auto"/>
                <w:kern w:val="1"/>
                <w:szCs w:val="21"/>
                <w:highlight w:val="none"/>
                <w:u w:val="none"/>
              </w:rPr>
              <w:t>获奖</w:t>
            </w:r>
            <w:r>
              <w:rPr>
                <w:rFonts w:hint="eastAsia" w:ascii="宋体" w:hAnsi="宋体" w:eastAsia="宋体" w:cs="宋体"/>
                <w:color w:val="auto"/>
                <w:kern w:val="1"/>
                <w:szCs w:val="21"/>
                <w:highlight w:val="none"/>
                <w:u w:val="none"/>
                <w:lang w:val="en-US" w:eastAsia="zh-CN"/>
              </w:rPr>
              <w:t>奖项</w:t>
            </w:r>
            <w:r>
              <w:rPr>
                <w:rFonts w:hint="eastAsia" w:ascii="宋体" w:hAnsi="宋体" w:eastAsia="宋体" w:cs="宋体"/>
                <w:color w:val="auto"/>
                <w:kern w:val="1"/>
                <w:szCs w:val="21"/>
                <w:highlight w:val="none"/>
                <w:u w:val="none"/>
              </w:rPr>
              <w:t>是指由住建部颁发的全国优秀工程勘察设计奖、中国勘察设计协会颁发的全国优秀工程勘察设计行业奖、省级（含直辖市、自治区）工程勘察设计行业协会颁发的省级（含直辖市、自治区）优秀勘察设计奖，市级（含副省级）行业协会颁发的市级</w:t>
            </w:r>
            <w:r>
              <w:rPr>
                <w:rFonts w:hint="eastAsia" w:ascii="宋体" w:hAnsi="宋体" w:eastAsia="宋体" w:cs="宋体"/>
                <w:color w:val="auto"/>
                <w:kern w:val="1"/>
                <w:szCs w:val="21"/>
                <w:highlight w:val="none"/>
                <w:u w:val="none"/>
                <w:lang w:eastAsia="zh-CN"/>
              </w:rPr>
              <w:t>（</w:t>
            </w:r>
            <w:r>
              <w:rPr>
                <w:rFonts w:hint="eastAsia" w:ascii="宋体" w:hAnsi="宋体" w:eastAsia="宋体" w:cs="宋体"/>
                <w:color w:val="auto"/>
                <w:kern w:val="1"/>
                <w:szCs w:val="21"/>
                <w:highlight w:val="none"/>
                <w:u w:val="none"/>
                <w:lang w:val="en-US" w:eastAsia="zh-CN"/>
              </w:rPr>
              <w:t>含副省级</w:t>
            </w:r>
            <w:r>
              <w:rPr>
                <w:rFonts w:hint="eastAsia" w:ascii="宋体" w:hAnsi="宋体" w:eastAsia="宋体" w:cs="宋体"/>
                <w:color w:val="auto"/>
                <w:kern w:val="1"/>
                <w:szCs w:val="21"/>
                <w:highlight w:val="none"/>
                <w:u w:val="none"/>
                <w:lang w:eastAsia="zh-CN"/>
              </w:rPr>
              <w:t>）</w:t>
            </w:r>
            <w:r>
              <w:rPr>
                <w:rFonts w:hint="eastAsia" w:ascii="宋体" w:hAnsi="宋体" w:eastAsia="宋体" w:cs="宋体"/>
                <w:color w:val="auto"/>
                <w:kern w:val="1"/>
                <w:szCs w:val="21"/>
                <w:highlight w:val="none"/>
                <w:u w:val="none"/>
              </w:rPr>
              <w:t>优秀勘察设计奖；由国务院颁发的国家科学技术奖、住建部的华夏建设科学技术奖励委员会颁发的华夏建设科学技术奖、省级（含直辖市、自治区）人民政府颁发的省科学技术奖，投标人</w:t>
            </w:r>
            <w:r>
              <w:rPr>
                <w:rFonts w:hint="eastAsia" w:ascii="宋体" w:hAnsi="宋体" w:eastAsia="宋体" w:cs="宋体"/>
                <w:color w:val="auto"/>
                <w:kern w:val="1"/>
                <w:szCs w:val="21"/>
                <w:highlight w:val="none"/>
                <w:u w:val="none"/>
                <w:lang w:val="en-US" w:eastAsia="zh-CN"/>
              </w:rPr>
              <w:t>应</w:t>
            </w:r>
            <w:r>
              <w:rPr>
                <w:rFonts w:hint="eastAsia" w:ascii="宋体" w:hAnsi="宋体" w:eastAsia="宋体" w:cs="宋体"/>
                <w:color w:val="auto"/>
                <w:szCs w:val="21"/>
                <w:highlight w:val="none"/>
                <w:lang w:val="en-US" w:eastAsia="zh-CN"/>
              </w:rPr>
              <w:t>提供获奖证书或获奖证明文件扫描件，获奖认定</w:t>
            </w:r>
            <w:r>
              <w:rPr>
                <w:rFonts w:hint="eastAsia" w:ascii="宋体" w:hAnsi="宋体" w:eastAsia="宋体" w:cs="宋体"/>
                <w:color w:val="auto"/>
                <w:szCs w:val="21"/>
                <w:highlight w:val="none"/>
              </w:rPr>
              <w:t>时间以获奖证书或获奖证明文件载明的时间为准。</w:t>
            </w:r>
          </w:p>
          <w:p>
            <w:pPr>
              <w:keepNext w:val="0"/>
              <w:keepLines w:val="0"/>
              <w:pageBreakBefore w:val="0"/>
              <w:widowControl w:val="0"/>
              <w:kinsoku/>
              <w:wordWrap/>
              <w:overflowPunct/>
              <w:topLinePunct w:val="0"/>
              <w:autoSpaceDE/>
              <w:autoSpaceDN/>
              <w:bidi w:val="0"/>
              <w:snapToGrid/>
              <w:spacing w:beforeAutospacing="0" w:afterAutospacing="0" w:line="320" w:lineRule="exact"/>
              <w:ind w:right="31" w:rightChars="15"/>
              <w:textAlignment w:val="auto"/>
              <w:rPr>
                <w:rFonts w:hint="eastAsia" w:ascii="宋体" w:hAnsi="宋体" w:eastAsia="宋体" w:cs="宋体"/>
                <w:color w:val="auto"/>
                <w:kern w:val="1"/>
                <w:szCs w:val="21"/>
                <w:highlight w:val="none"/>
                <w:u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kern w:val="1"/>
                <w:szCs w:val="21"/>
                <w:highlight w:val="none"/>
                <w:u w:val="none"/>
              </w:rPr>
              <w:t>如颁发单位为行业协会的，还须提供该协会在</w:t>
            </w:r>
            <w:r>
              <w:rPr>
                <w:rFonts w:hint="eastAsia" w:ascii="宋体" w:hAnsi="宋体" w:eastAsia="宋体" w:cs="宋体"/>
                <w:b w:val="0"/>
                <w:bCs/>
                <w:color w:val="auto"/>
                <w:szCs w:val="21"/>
                <w:highlight w:val="none"/>
                <w:u w:val="none"/>
              </w:rPr>
              <w:t>中国社会组织政务服务平台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全国社会组织信用信息公示平台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(网址:</w:t>
            </w:r>
            <w:r>
              <w:rPr>
                <w:rFonts w:hint="eastAsia" w:ascii="宋体" w:hAnsi="宋体" w:eastAsia="宋体" w:cs="宋体"/>
                <w:color w:val="auto"/>
                <w:szCs w:val="21"/>
                <w:highlight w:val="none"/>
              </w:rPr>
              <w:t>https://xxgs.chinanpo.mca.gov.cn/gsxt/newList</w:t>
            </w:r>
            <w:r>
              <w:rPr>
                <w:rFonts w:hint="eastAsia" w:ascii="宋体" w:hAnsi="宋体" w:eastAsia="宋体" w:cs="宋体"/>
                <w:b w:val="0"/>
                <w:bCs/>
                <w:color w:val="auto"/>
                <w:szCs w:val="21"/>
                <w:highlight w:val="none"/>
                <w:u w:val="none"/>
              </w:rPr>
              <w:t>)</w:t>
            </w:r>
            <w:r>
              <w:rPr>
                <w:rFonts w:hint="eastAsia" w:ascii="宋体" w:hAnsi="宋体" w:eastAsia="宋体" w:cs="宋体"/>
                <w:color w:val="auto"/>
                <w:kern w:val="1"/>
                <w:szCs w:val="21"/>
                <w:highlight w:val="none"/>
                <w:u w:val="none"/>
              </w:rPr>
              <w:t>己登记备案的查询信息</w:t>
            </w:r>
            <w:r>
              <w:rPr>
                <w:rFonts w:hint="eastAsia" w:ascii="宋体" w:hAnsi="宋体" w:eastAsia="宋体" w:cs="宋体"/>
                <w:b w:val="0"/>
                <w:bCs/>
                <w:color w:val="auto"/>
                <w:szCs w:val="21"/>
                <w:highlight w:val="none"/>
                <w:u w:val="none"/>
              </w:rPr>
              <w:t>截图</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查询结果“状态”栏必须为“正常”</w:t>
            </w:r>
            <w:r>
              <w:rPr>
                <w:rFonts w:hint="eastAsia" w:ascii="宋体" w:hAnsi="宋体" w:eastAsia="宋体" w:cs="宋体"/>
                <w:b w:val="0"/>
                <w:bCs/>
                <w:color w:val="auto"/>
                <w:szCs w:val="21"/>
                <w:highlight w:val="none"/>
                <w:u w:val="none"/>
                <w:lang w:eastAsia="zh-CN"/>
              </w:rPr>
              <w:t>。</w:t>
            </w:r>
          </w:p>
          <w:p>
            <w:pPr>
              <w:keepNext w:val="0"/>
              <w:keepLines w:val="0"/>
              <w:pageBreakBefore w:val="0"/>
              <w:widowControl w:val="0"/>
              <w:kinsoku/>
              <w:wordWrap/>
              <w:overflowPunct/>
              <w:topLinePunct w:val="0"/>
              <w:autoSpaceDE/>
              <w:autoSpaceDN/>
              <w:bidi w:val="0"/>
              <w:snapToGrid/>
              <w:spacing w:beforeAutospacing="0" w:afterAutospacing="0" w:line="320" w:lineRule="exact"/>
              <w:ind w:right="31" w:rightChars="15"/>
              <w:textAlignment w:val="auto"/>
              <w:rPr>
                <w:rFonts w:hint="eastAsia" w:ascii="宋体" w:hAnsi="宋体" w:eastAsia="宋体" w:cs="宋体"/>
                <w:color w:val="auto"/>
                <w:kern w:val="1"/>
                <w:szCs w:val="21"/>
                <w:highlight w:val="none"/>
                <w:u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kern w:val="1"/>
                <w:szCs w:val="21"/>
                <w:highlight w:val="none"/>
                <w:u w:val="none"/>
              </w:rPr>
              <w:t>同一项目获奖按项目最高获奖只计算一次得分。</w:t>
            </w:r>
          </w:p>
          <w:p>
            <w:pPr>
              <w:keepNext w:val="0"/>
              <w:keepLines w:val="0"/>
              <w:pageBreakBefore w:val="0"/>
              <w:widowControl w:val="0"/>
              <w:kinsoku/>
              <w:wordWrap/>
              <w:overflowPunct/>
              <w:topLinePunct w:val="0"/>
              <w:autoSpaceDE/>
              <w:autoSpaceDN/>
              <w:bidi w:val="0"/>
              <w:snapToGrid/>
              <w:spacing w:beforeAutospacing="0" w:afterAutospacing="0" w:line="320" w:lineRule="exact"/>
              <w:ind w:right="31" w:rightChars="15"/>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lang w:val="zh-CN" w:eastAsia="zh-CN"/>
              </w:rPr>
              <w:t>提供</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auto"/>
                <w:szCs w:val="21"/>
                <w:highlight w:val="none"/>
                <w:lang w:val="zh-CN" w:eastAsia="zh-CN"/>
              </w:rPr>
              <w:t>各专业负责人</w:t>
            </w:r>
            <w:r>
              <w:rPr>
                <w:rFonts w:hint="eastAsia" w:ascii="宋体" w:hAnsi="宋体" w:eastAsia="宋体" w:cs="宋体"/>
                <w:color w:val="auto"/>
                <w:szCs w:val="21"/>
                <w:highlight w:val="none"/>
                <w:lang w:val="en-US" w:eastAsia="zh-CN"/>
              </w:rPr>
              <w:t>相关证书</w:t>
            </w:r>
            <w:r>
              <w:rPr>
                <w:rFonts w:hint="eastAsia" w:ascii="宋体" w:hAnsi="宋体" w:eastAsia="宋体" w:cs="宋体"/>
                <w:color w:val="auto"/>
                <w:szCs w:val="21"/>
                <w:highlight w:val="none"/>
                <w:lang w:val="zh-CN" w:eastAsia="zh-CN"/>
              </w:rPr>
              <w:t>等证明材料</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val="zh-CN" w:eastAsia="zh-CN"/>
              </w:rPr>
              <w:t>，及</w:t>
            </w:r>
            <w:r>
              <w:rPr>
                <w:rFonts w:hint="eastAsia" w:ascii="宋体" w:hAnsi="宋体" w:eastAsia="宋体" w:cs="宋体"/>
                <w:color w:val="auto"/>
                <w:sz w:val="21"/>
                <w:szCs w:val="21"/>
                <w:highlight w:val="none"/>
                <w:u w:val="none"/>
              </w:rPr>
              <w:t>本项目投标截止日前三个月内任意一个月在本单位缴纳的社保证明文件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含非独立法人的分公司或分支机构社保缴纳记录</w:t>
            </w:r>
            <w:r>
              <w:rPr>
                <w:rFonts w:hint="eastAsia" w:ascii="宋体" w:hAnsi="宋体" w:eastAsia="宋体" w:cs="宋体"/>
                <w:color w:val="auto"/>
                <w:szCs w:val="21"/>
                <w:highlight w:val="none"/>
                <w:lang w:eastAsia="zh-CN"/>
              </w:rPr>
              <w:t>）</w:t>
            </w:r>
            <w:bookmarkStart w:id="199" w:name="OLE_LINK34"/>
            <w:r>
              <w:rPr>
                <w:rFonts w:hint="eastAsia" w:ascii="宋体" w:hAnsi="宋体" w:eastAsia="宋体" w:cs="宋体"/>
                <w:color w:val="auto"/>
                <w:szCs w:val="21"/>
                <w:highlight w:val="none"/>
                <w:lang w:val="en-US" w:eastAsia="zh-CN"/>
              </w:rPr>
              <w:t>扫描件</w:t>
            </w:r>
            <w:bookmarkStart w:id="200" w:name="OLE_LINK33"/>
            <w:r>
              <w:rPr>
                <w:rFonts w:hint="eastAsia" w:ascii="宋体" w:hAnsi="宋体" w:eastAsia="宋体" w:cs="宋体"/>
                <w:color w:val="auto"/>
                <w:szCs w:val="21"/>
                <w:highlight w:val="none"/>
                <w:lang w:val="zh-CN" w:eastAsia="zh-CN"/>
              </w:rPr>
              <w:t>，不提供不得分</w:t>
            </w:r>
            <w:bookmarkEnd w:id="200"/>
            <w:r>
              <w:rPr>
                <w:rFonts w:hint="eastAsia" w:ascii="宋体" w:hAnsi="宋体" w:eastAsia="宋体" w:cs="宋体"/>
                <w:color w:val="auto"/>
                <w:szCs w:val="21"/>
                <w:highlight w:val="none"/>
                <w:lang w:val="zh-CN" w:eastAsia="zh-CN"/>
              </w:rPr>
              <w:t>。</w:t>
            </w:r>
            <w:bookmarkEnd w:id="199"/>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⑤所有人员必须为投标单位人员。</w:t>
            </w:r>
          </w:p>
          <w:p>
            <w:pPr>
              <w:autoSpaceDE w:val="0"/>
              <w:autoSpaceDN w:val="0"/>
              <w:adjustRightInd w:val="0"/>
              <w:spacing w:line="240" w:lineRule="auto"/>
              <w:rPr>
                <w:rFonts w:hint="eastAsia" w:ascii="宋体" w:hAnsi="宋体" w:eastAsia="宋体" w:cs="宋体"/>
                <w:color w:val="auto"/>
                <w:szCs w:val="21"/>
                <w:highlight w:val="none"/>
                <w:lang w:val="en-US" w:eastAsia="zh-CN"/>
              </w:rPr>
            </w:pPr>
            <w:bookmarkStart w:id="201" w:name="OLE_LINK35"/>
            <w:r>
              <w:rPr>
                <w:rFonts w:hint="eastAsia" w:ascii="宋体" w:hAnsi="宋体" w:eastAsia="宋体" w:cs="宋体"/>
                <w:color w:val="auto"/>
                <w:szCs w:val="21"/>
                <w:highlight w:val="none"/>
              </w:rPr>
              <w:t>⑥上述各专业人员不可兼任，每专业仅计算一人得分，一个专业配置多人仅计算第一人得分。</w:t>
            </w:r>
            <w:bookmarkEnd w:id="201"/>
          </w:p>
        </w:tc>
      </w:tr>
      <w:tr>
        <w:tblPrEx>
          <w:tblCellMar>
            <w:top w:w="0" w:type="dxa"/>
            <w:left w:w="108" w:type="dxa"/>
            <w:bottom w:w="0" w:type="dxa"/>
            <w:right w:w="108" w:type="dxa"/>
          </w:tblCellMar>
        </w:tblPrEx>
        <w:trPr>
          <w:trHeight w:val="615" w:hRule="atLeast"/>
        </w:trPr>
        <w:tc>
          <w:tcPr>
            <w:tcW w:w="205" w:type="pct"/>
            <w:tcBorders>
              <w:top w:val="single" w:color="auto" w:sz="6" w:space="0"/>
              <w:left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四</w:t>
            </w:r>
          </w:p>
        </w:tc>
        <w:tc>
          <w:tcPr>
            <w:tcW w:w="319" w:type="pct"/>
            <w:tcBorders>
              <w:top w:val="single" w:color="auto" w:sz="6" w:space="0"/>
              <w:left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eastAsia="zh-CN"/>
              </w:rPr>
              <w:t>第三方</w:t>
            </w:r>
            <w:r>
              <w:rPr>
                <w:rFonts w:hint="eastAsia" w:ascii="宋体" w:hAnsi="宋体" w:eastAsia="宋体" w:cs="宋体"/>
                <w:color w:val="auto"/>
                <w:sz w:val="21"/>
                <w:szCs w:val="21"/>
                <w:highlight w:val="none"/>
                <w:lang w:val="en-US" w:eastAsia="zh-CN"/>
              </w:rPr>
              <w:t>信用</w:t>
            </w:r>
            <w:r>
              <w:rPr>
                <w:rFonts w:hint="eastAsia" w:ascii="宋体" w:hAnsi="宋体" w:eastAsia="宋体" w:cs="宋体"/>
                <w:color w:val="auto"/>
                <w:sz w:val="21"/>
                <w:szCs w:val="21"/>
                <w:highlight w:val="none"/>
                <w:lang w:val="zh-CN" w:eastAsia="zh-CN"/>
              </w:rPr>
              <w:t>评价</w:t>
            </w:r>
          </w:p>
        </w:tc>
        <w:tc>
          <w:tcPr>
            <w:tcW w:w="378" w:type="pct"/>
            <w:tcBorders>
              <w:top w:val="single" w:color="auto" w:sz="6" w:space="0"/>
              <w:left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4096" w:type="pct"/>
            <w:tcBorders>
              <w:top w:val="single" w:color="auto" w:sz="6" w:space="0"/>
              <w:left w:val="single" w:color="auto" w:sz="6" w:space="0"/>
              <w:bottom w:val="single" w:color="auto" w:sz="6" w:space="0"/>
              <w:right w:val="single" w:color="auto" w:sz="6" w:space="0"/>
            </w:tcBorders>
            <w:vAlign w:val="center"/>
          </w:tcPr>
          <w:p>
            <w:pPr>
              <w:pStyle w:val="2"/>
              <w:ind w:firstLine="0" w:firstLineChars="0"/>
              <w:rPr>
                <w:rFonts w:hint="eastAsia" w:ascii="宋体" w:hAnsi="宋体" w:eastAsia="宋体" w:cs="宋体"/>
                <w:b w:val="0"/>
                <w:bCs/>
                <w:color w:val="auto"/>
                <w:szCs w:val="21"/>
                <w:highlight w:val="none"/>
                <w:u w:val="none"/>
              </w:rPr>
            </w:pPr>
            <w:r>
              <w:rPr>
                <w:rFonts w:hint="eastAsia" w:ascii="宋体" w:hAnsi="宋体" w:eastAsia="宋体" w:cs="宋体"/>
                <w:color w:val="auto"/>
                <w:szCs w:val="21"/>
                <w:highlight w:val="none"/>
                <w:lang w:val="zh-CN"/>
              </w:rPr>
              <w:t>1、投标人（若为联合体，指</w:t>
            </w:r>
            <w:r>
              <w:rPr>
                <w:rFonts w:hint="eastAsia" w:ascii="宋体" w:hAnsi="宋体" w:eastAsia="宋体" w:cs="宋体"/>
                <w:color w:val="auto"/>
                <w:szCs w:val="21"/>
                <w:highlight w:val="none"/>
                <w:lang w:val="zh-CN" w:eastAsia="zh-CN"/>
              </w:rPr>
              <w:t>联合体主办方</w:t>
            </w:r>
            <w:r>
              <w:rPr>
                <w:rFonts w:hint="eastAsia" w:ascii="宋体" w:hAnsi="宋体" w:eastAsia="宋体" w:cs="宋体"/>
                <w:color w:val="auto"/>
                <w:szCs w:val="21"/>
                <w:highlight w:val="none"/>
                <w:lang w:val="zh-CN"/>
              </w:rPr>
              <w:t>）</w:t>
            </w:r>
            <w:r>
              <w:rPr>
                <w:rFonts w:hint="eastAsia" w:ascii="宋体" w:hAnsi="宋体" w:eastAsia="宋体" w:cs="宋体"/>
                <w:b w:val="0"/>
                <w:bCs/>
                <w:color w:val="auto"/>
                <w:szCs w:val="21"/>
                <w:highlight w:val="none"/>
                <w:u w:val="none"/>
              </w:rPr>
              <w:t>获得市级（或以上）建设行政主管部门或行业协会颁发的企业信用等级证书且在有效期内，AAA级或以上的得</w:t>
            </w:r>
            <w:r>
              <w:rPr>
                <w:rFonts w:hint="eastAsia" w:ascii="宋体" w:hAnsi="宋体" w:cs="宋体"/>
                <w:b w:val="0"/>
                <w:bCs/>
                <w:color w:val="auto"/>
                <w:szCs w:val="21"/>
                <w:highlight w:val="none"/>
                <w:u w:val="none"/>
                <w:lang w:val="en-US" w:eastAsia="zh-CN"/>
              </w:rPr>
              <w:t>14</w:t>
            </w:r>
            <w:r>
              <w:rPr>
                <w:rFonts w:hint="eastAsia" w:ascii="宋体" w:hAnsi="宋体" w:eastAsia="宋体" w:cs="宋体"/>
                <w:b w:val="0"/>
                <w:bCs/>
                <w:color w:val="auto"/>
                <w:szCs w:val="21"/>
                <w:highlight w:val="none"/>
                <w:u w:val="none"/>
              </w:rPr>
              <w:t>分；AA级得</w:t>
            </w:r>
            <w:r>
              <w:rPr>
                <w:rFonts w:hint="eastAsia" w:ascii="宋体" w:hAnsi="宋体" w:cs="宋体"/>
                <w:b w:val="0"/>
                <w:bCs/>
                <w:color w:val="auto"/>
                <w:szCs w:val="21"/>
                <w:highlight w:val="none"/>
                <w:u w:val="none"/>
                <w:lang w:val="en-US" w:eastAsia="zh-CN"/>
              </w:rPr>
              <w:t>9</w:t>
            </w:r>
            <w:r>
              <w:rPr>
                <w:rFonts w:hint="eastAsia" w:ascii="宋体" w:hAnsi="宋体" w:eastAsia="宋体" w:cs="宋体"/>
                <w:b w:val="0"/>
                <w:bCs/>
                <w:color w:val="auto"/>
                <w:szCs w:val="21"/>
                <w:highlight w:val="none"/>
                <w:u w:val="none"/>
              </w:rPr>
              <w:t>分；A级得</w:t>
            </w:r>
            <w:r>
              <w:rPr>
                <w:rFonts w:hint="eastAsia" w:ascii="宋体" w:hAnsi="宋体" w:cs="宋体"/>
                <w:b w:val="0"/>
                <w:bCs/>
                <w:color w:val="auto"/>
                <w:szCs w:val="21"/>
                <w:highlight w:val="none"/>
                <w:u w:val="none"/>
                <w:lang w:val="en-US" w:eastAsia="zh-CN"/>
              </w:rPr>
              <w:t>4</w:t>
            </w:r>
            <w:r>
              <w:rPr>
                <w:rFonts w:hint="eastAsia" w:ascii="宋体" w:hAnsi="宋体" w:eastAsia="宋体" w:cs="宋体"/>
                <w:b w:val="0"/>
                <w:bCs/>
                <w:color w:val="auto"/>
                <w:szCs w:val="21"/>
                <w:highlight w:val="none"/>
                <w:u w:val="none"/>
              </w:rPr>
              <w:t>分；本小项最高得</w:t>
            </w:r>
            <w:r>
              <w:rPr>
                <w:rFonts w:hint="eastAsia" w:ascii="宋体" w:hAnsi="宋体" w:cs="宋体"/>
                <w:b w:val="0"/>
                <w:bCs/>
                <w:color w:val="auto"/>
                <w:szCs w:val="21"/>
                <w:highlight w:val="none"/>
                <w:u w:val="none"/>
                <w:lang w:val="en-US" w:eastAsia="zh-CN"/>
              </w:rPr>
              <w:t>14</w:t>
            </w:r>
            <w:r>
              <w:rPr>
                <w:rFonts w:hint="eastAsia" w:ascii="宋体" w:hAnsi="宋体" w:eastAsia="宋体" w:cs="宋体"/>
                <w:b w:val="0"/>
                <w:bCs/>
                <w:color w:val="auto"/>
                <w:szCs w:val="21"/>
                <w:highlight w:val="none"/>
                <w:u w:val="none"/>
              </w:rPr>
              <w:t>分。</w:t>
            </w:r>
          </w:p>
          <w:p>
            <w:pPr>
              <w:autoSpaceDE w:val="0"/>
              <w:autoSpaceDN w:val="0"/>
              <w:adjustRightInd w:val="0"/>
              <w:spacing w:line="240" w:lineRule="auto"/>
              <w:rPr>
                <w:rFonts w:hint="eastAsia" w:ascii="宋体" w:hAnsi="宋体" w:eastAsia="宋体" w:cs="宋体"/>
                <w:color w:val="auto"/>
                <w:szCs w:val="21"/>
                <w:highlight w:val="none"/>
                <w:lang w:val="zh-CN"/>
              </w:rPr>
            </w:pPr>
            <w:bookmarkStart w:id="202" w:name="OLE_LINK30"/>
            <w:r>
              <w:rPr>
                <w:rFonts w:hint="eastAsia" w:ascii="宋体" w:hAnsi="宋体" w:eastAsia="宋体" w:cs="宋体"/>
                <w:b w:val="0"/>
                <w:bCs/>
                <w:color w:val="auto"/>
                <w:szCs w:val="21"/>
                <w:highlight w:val="none"/>
                <w:u w:val="none"/>
              </w:rPr>
              <w:t>注：提供有效期内的相关证书扫描件。</w:t>
            </w:r>
            <w:bookmarkEnd w:id="202"/>
          </w:p>
          <w:p>
            <w:pPr>
              <w:shd w:val="clear"/>
              <w:autoSpaceDE w:val="0"/>
              <w:autoSpaceDN w:val="0"/>
              <w:adjustRightInd w:val="0"/>
              <w:spacing w:line="240" w:lineRule="auto"/>
              <w:rPr>
                <w:rFonts w:hint="eastAsia" w:ascii="宋体" w:hAnsi="宋体" w:eastAsia="宋体" w:cs="宋体"/>
                <w:color w:val="auto"/>
                <w:szCs w:val="21"/>
                <w:highlight w:val="none"/>
                <w:lang w:val="zh-CN"/>
              </w:rPr>
            </w:pPr>
          </w:p>
          <w:p>
            <w:pPr>
              <w:shd w:val="clear"/>
              <w:autoSpaceDE w:val="0"/>
              <w:autoSpaceDN w:val="0"/>
              <w:adjustRightInd w:val="0"/>
              <w:spacing w:line="240" w:lineRule="auto"/>
              <w:rPr>
                <w:color w:val="auto"/>
                <w:highlight w:val="none"/>
              </w:rPr>
            </w:pPr>
            <w:r>
              <w:rPr>
                <w:rFonts w:hint="eastAsia" w:ascii="宋体" w:hAnsi="宋体" w:eastAsia="宋体" w:cs="宋体"/>
                <w:color w:val="auto"/>
                <w:szCs w:val="21"/>
                <w:highlight w:val="none"/>
                <w:lang w:val="zh-CN"/>
              </w:rPr>
              <w:t>2、投标人（若为联合体，指</w:t>
            </w:r>
            <w:r>
              <w:rPr>
                <w:rFonts w:hint="eastAsia" w:ascii="宋体" w:hAnsi="宋体" w:eastAsia="宋体" w:cs="宋体"/>
                <w:color w:val="auto"/>
                <w:szCs w:val="21"/>
                <w:highlight w:val="none"/>
                <w:lang w:val="en-US" w:eastAsia="zh-CN"/>
              </w:rPr>
              <w:t>联合体主办方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具备质量管理体系认证、职业健康安全管理体系认证、环境管理体系认证且在有效期内的，</w:t>
            </w:r>
            <w:r>
              <w:rPr>
                <w:rFonts w:hint="eastAsia" w:ascii="宋体" w:hAnsi="宋体" w:eastAsia="宋体" w:cs="宋体"/>
                <w:color w:val="auto"/>
                <w:szCs w:val="21"/>
                <w:highlight w:val="none"/>
                <w:lang w:val="en-US" w:eastAsia="zh-CN"/>
              </w:rPr>
              <w:t>每项得2分，本项最多</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注：</w:t>
            </w:r>
            <w:bookmarkStart w:id="203" w:name="OLE_LINK21"/>
            <w:r>
              <w:rPr>
                <w:rFonts w:hint="eastAsia" w:ascii="宋体" w:hAnsi="宋体" w:eastAsia="宋体" w:cs="宋体"/>
                <w:color w:val="auto"/>
                <w:szCs w:val="21"/>
                <w:highlight w:val="none"/>
              </w:rPr>
              <w:t>需提供</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rPr>
              <w:t>扫描件及全国认证认可信息公共服务平台（http://cx.cnca.cn/）查询结果截图。</w:t>
            </w:r>
            <w:bookmarkEnd w:id="203"/>
          </w:p>
          <w:p>
            <w:pPr>
              <w:autoSpaceDE w:val="0"/>
              <w:autoSpaceDN w:val="0"/>
              <w:adjustRightInd w:val="0"/>
              <w:spacing w:line="24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以上合计最多得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分。</w:t>
            </w:r>
          </w:p>
        </w:tc>
      </w:tr>
      <w:tr>
        <w:tblPrEx>
          <w:tblCellMar>
            <w:top w:w="0" w:type="dxa"/>
            <w:left w:w="108" w:type="dxa"/>
            <w:bottom w:w="0" w:type="dxa"/>
            <w:right w:w="108" w:type="dxa"/>
          </w:tblCellMar>
        </w:tblPrEx>
        <w:trPr>
          <w:trHeight w:val="615" w:hRule="atLeast"/>
        </w:trPr>
        <w:tc>
          <w:tcPr>
            <w:tcW w:w="52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总计</w:t>
            </w:r>
          </w:p>
        </w:tc>
        <w:tc>
          <w:tcPr>
            <w:tcW w:w="37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409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rPr>
                <w:rFonts w:hint="eastAsia" w:ascii="宋体" w:hAnsi="宋体" w:eastAsia="宋体" w:cs="宋体"/>
                <w:color w:val="auto"/>
                <w:szCs w:val="21"/>
                <w:highlight w:val="none"/>
              </w:rPr>
            </w:pPr>
          </w:p>
        </w:tc>
      </w:tr>
    </w:tbl>
    <w:p>
      <w:pPr>
        <w:spacing w:line="276" w:lineRule="auto"/>
        <w:ind w:firstLine="329" w:firstLineChars="1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如联合体投标的，勘察业绩、勘察项目获奖及勘察专业负责人以</w:t>
      </w:r>
      <w:r>
        <w:rPr>
          <w:rFonts w:hint="eastAsia" w:ascii="宋体" w:hAnsi="宋体" w:eastAsia="宋体" w:cs="宋体"/>
          <w:color w:val="auto"/>
          <w:szCs w:val="21"/>
          <w:highlight w:val="none"/>
          <w:lang w:eastAsia="zh-CN"/>
        </w:rPr>
        <w:t>联合体协议书</w:t>
      </w:r>
      <w:r>
        <w:rPr>
          <w:rFonts w:hint="eastAsia" w:ascii="宋体" w:hAnsi="宋体" w:eastAsia="宋体" w:cs="宋体"/>
          <w:color w:val="auto"/>
          <w:szCs w:val="21"/>
          <w:highlight w:val="none"/>
        </w:rPr>
        <w:t>中承担勘察工作的联合体成员的资料为准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如有两家或以上单位负责勘察工作，以提供勘察专业负责人的一方的评分资料为准；</w:t>
      </w:r>
      <w:r>
        <w:rPr>
          <w:rFonts w:hint="eastAsia" w:ascii="宋体" w:hAnsi="宋体" w:eastAsia="宋体" w:cs="宋体"/>
          <w:color w:val="auto"/>
          <w:szCs w:val="21"/>
          <w:highlight w:val="none"/>
          <w:lang w:val="en-US" w:eastAsia="zh-CN"/>
        </w:rPr>
        <w:t>设计业绩、设计项目获奖、项目负责人设计经历及业务能力</w:t>
      </w:r>
      <w:r>
        <w:rPr>
          <w:rFonts w:hint="eastAsia" w:ascii="宋体" w:hAnsi="宋体" w:eastAsia="宋体" w:cs="宋体"/>
          <w:color w:val="auto"/>
          <w:szCs w:val="21"/>
          <w:highlight w:val="none"/>
        </w:rPr>
        <w:t>均以联合体主办方（或</w:t>
      </w:r>
      <w:r>
        <w:rPr>
          <w:rFonts w:hint="eastAsia" w:ascii="宋体" w:hAnsi="宋体" w:eastAsia="宋体" w:cs="宋体"/>
          <w:color w:val="auto"/>
          <w:szCs w:val="21"/>
          <w:highlight w:val="none"/>
          <w:lang w:val="en-US" w:eastAsia="zh-CN"/>
        </w:rPr>
        <w:t>牵头方</w:t>
      </w:r>
      <w:r>
        <w:rPr>
          <w:rFonts w:hint="eastAsia" w:ascii="宋体" w:hAnsi="宋体" w:eastAsia="宋体" w:cs="宋体"/>
          <w:color w:val="auto"/>
          <w:szCs w:val="21"/>
          <w:highlight w:val="none"/>
        </w:rPr>
        <w:t>）的资料为准。</w:t>
      </w:r>
    </w:p>
    <w:p>
      <w:pPr>
        <w:spacing w:line="276" w:lineRule="auto"/>
        <w:ind w:firstLine="329" w:firstLineChars="157"/>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bookmarkStart w:id="204" w:name="OLE_LINK31"/>
      <w:r>
        <w:rPr>
          <w:rFonts w:hint="eastAsia" w:ascii="宋体" w:hAnsi="宋体" w:eastAsia="宋体" w:cs="宋体"/>
          <w:color w:val="auto"/>
          <w:highlight w:val="none"/>
        </w:rPr>
        <w:t>本表按百分制评分，所有评委分数汇总后的算术平均值为投标人的得分。分数出现小数点，保留小数点后</w:t>
      </w:r>
      <w:r>
        <w:rPr>
          <w:rFonts w:hint="eastAsia" w:ascii="宋体" w:hAnsi="宋体" w:eastAsia="宋体" w:cs="宋体"/>
          <w:color w:val="auto"/>
          <w:highlight w:val="none"/>
          <w:lang w:eastAsia="zh-CN"/>
        </w:rPr>
        <w:t>两位</w:t>
      </w:r>
      <w:r>
        <w:rPr>
          <w:rFonts w:hint="eastAsia" w:ascii="宋体" w:hAnsi="宋体" w:eastAsia="宋体" w:cs="宋体"/>
          <w:color w:val="auto"/>
          <w:highlight w:val="none"/>
        </w:rPr>
        <w:t>小数，第三位小数四舍五入</w:t>
      </w:r>
      <w:r>
        <w:rPr>
          <w:rFonts w:hint="eastAsia" w:ascii="宋体" w:hAnsi="宋体" w:eastAsia="宋体" w:cs="宋体"/>
          <w:color w:val="auto"/>
          <w:szCs w:val="21"/>
          <w:highlight w:val="none"/>
        </w:rPr>
        <w:t>。</w:t>
      </w:r>
    </w:p>
    <w:bookmarkEnd w:id="204"/>
    <w:p>
      <w:pPr>
        <w:wordWrap w:val="0"/>
        <w:ind w:firstLine="420" w:firstLineChars="200"/>
        <w:rPr>
          <w:rFonts w:ascii="宋体" w:hAnsi="宋体" w:eastAsia="宋体" w:cs="宋体"/>
          <w:color w:val="auto"/>
          <w:szCs w:val="21"/>
          <w:highlight w:val="none"/>
        </w:rPr>
        <w:sectPr>
          <w:pgSz w:w="16838" w:h="11905" w:orient="landscape"/>
          <w:pgMar w:top="1701" w:right="1474" w:bottom="1701" w:left="1474" w:header="720" w:footer="720" w:gutter="0"/>
          <w:cols w:space="720" w:num="1"/>
        </w:sectPr>
      </w:pPr>
    </w:p>
    <w:p>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附件二：</w:t>
      </w:r>
    </w:p>
    <w:p>
      <w:pPr>
        <w:spacing w:line="360" w:lineRule="auto"/>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技术文件（勘察设计方案）综合评分表</w:t>
      </w:r>
    </w:p>
    <w:tbl>
      <w:tblPr>
        <w:tblStyle w:val="45"/>
        <w:tblpPr w:leftFromText="180" w:rightFromText="180" w:vertAnchor="text" w:horzAnchor="page" w:tblpX="1438" w:tblpY="395"/>
        <w:tblOverlap w:val="never"/>
        <w:tblW w:w="46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2"/>
        <w:gridCol w:w="941"/>
        <w:gridCol w:w="1020"/>
        <w:gridCol w:w="105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84" w:type="pct"/>
            <w:tcBorders>
              <w:top w:val="single" w:color="auto" w:sz="6" w:space="0"/>
              <w:left w:val="single" w:color="auto" w:sz="6" w:space="0"/>
              <w:bottom w:val="single" w:color="auto" w:sz="6" w:space="0"/>
              <w:right w:val="single" w:color="auto" w:sz="6" w:space="0"/>
            </w:tcBorders>
            <w:textDirection w:val="tbRlV"/>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35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项目</w:t>
            </w:r>
          </w:p>
        </w:tc>
        <w:tc>
          <w:tcPr>
            <w:tcW w:w="38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分值分配</w:t>
            </w: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内</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84"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bookmarkStart w:id="205" w:name="OLE_LINK2" w:colFirst="0" w:colLast="3"/>
            <w:r>
              <w:rPr>
                <w:rFonts w:hint="eastAsia" w:ascii="宋体" w:hAnsi="宋体" w:eastAsia="宋体" w:cs="宋体"/>
                <w:color w:val="auto"/>
                <w:szCs w:val="21"/>
                <w:highlight w:val="none"/>
                <w:lang w:val="zh-CN"/>
              </w:rPr>
              <w:t>一</w:t>
            </w:r>
          </w:p>
        </w:tc>
        <w:tc>
          <w:tcPr>
            <w:tcW w:w="35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投标文件的符合性</w:t>
            </w:r>
          </w:p>
        </w:tc>
        <w:tc>
          <w:tcPr>
            <w:tcW w:w="3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lang w:val="zh-CN"/>
              </w:rPr>
              <w:t>10</w:t>
            </w: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设计内容符合招标文件要求，内容全面，设计说明书文字表达清楚、思路清晰、重点和难点突出、图纸及文卷质量高。</w:t>
            </w:r>
          </w:p>
          <w:p>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bookmarkStart w:id="206" w:name="OLE_LINK5"/>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bookmarkEnd w:id="20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284" w:type="pct"/>
            <w:vMerge w:val="restar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w:t>
            </w:r>
          </w:p>
        </w:tc>
        <w:tc>
          <w:tcPr>
            <w:tcW w:w="355" w:type="pct"/>
            <w:vMerge w:val="restar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设计方案及勘察</w:t>
            </w:r>
          </w:p>
          <w:p>
            <w:pPr>
              <w:wordWrap w:val="0"/>
              <w:topLinePunct/>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大纲</w:t>
            </w:r>
          </w:p>
        </w:tc>
        <w:tc>
          <w:tcPr>
            <w:tcW w:w="385" w:type="pct"/>
            <w:vMerge w:val="restar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85</w:t>
            </w:r>
          </w:p>
        </w:tc>
        <w:tc>
          <w:tcPr>
            <w:tcW w:w="3975" w:type="pct"/>
            <w:tcBorders>
              <w:top w:val="single" w:color="auto" w:sz="6" w:space="0"/>
              <w:left w:val="single" w:color="auto" w:sz="6" w:space="0"/>
              <w:bottom w:val="single" w:color="auto" w:sz="6" w:space="0"/>
              <w:right w:val="single" w:color="auto" w:sz="6" w:space="0"/>
            </w:tcBorders>
            <w:vAlign w:val="center"/>
          </w:tcPr>
          <w:p>
            <w:pPr>
              <w:tabs>
                <w:tab w:val="left" w:pos="315"/>
              </w:tabs>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1、对区域内路网的交通组织完善合理，总体思路清晰；路线平、纵、横等设计科学合理。道路、涵</w:t>
            </w:r>
            <w:r>
              <w:rPr>
                <w:rFonts w:hint="eastAsia" w:ascii="宋体" w:hAnsi="宋体" w:eastAsia="宋体" w:cs="宋体"/>
                <w:color w:val="auto"/>
                <w:szCs w:val="21"/>
                <w:highlight w:val="none"/>
                <w:lang w:val="en-US" w:eastAsia="zh-CN"/>
              </w:rPr>
              <w:t>洞</w:t>
            </w:r>
            <w:r>
              <w:rPr>
                <w:rFonts w:hint="eastAsia" w:ascii="宋体" w:hAnsi="宋体" w:eastAsia="宋体" w:cs="宋体"/>
                <w:color w:val="auto"/>
                <w:szCs w:val="21"/>
                <w:highlight w:val="none"/>
                <w:lang w:val="zh-CN"/>
              </w:rPr>
              <w:t>、排水之间的关系处理得当。</w:t>
            </w:r>
          </w:p>
          <w:p>
            <w:pPr>
              <w:wordWrap w:val="0"/>
              <w:topLinePunct/>
              <w:spacing w:line="360" w:lineRule="auto"/>
              <w:rPr>
                <w:rFonts w:hint="eastAsia" w:ascii="宋体" w:hAnsi="宋体" w:eastAsia="宋体" w:cs="宋体"/>
                <w:bCs/>
                <w:color w:val="auto"/>
                <w:szCs w:val="21"/>
                <w:highlight w:val="none"/>
                <w:lang w:val="zh-CN"/>
              </w:rPr>
            </w:pPr>
            <w:bookmarkStart w:id="207" w:name="OLE_LINK3"/>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bookmarkEnd w:id="20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tabs>
                <w:tab w:val="left" w:pos="315"/>
              </w:tabs>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2、设计方案思路清晰，</w:t>
            </w:r>
            <w:r>
              <w:rPr>
                <w:rFonts w:hint="eastAsia" w:ascii="宋体" w:hAnsi="宋体" w:eastAsia="宋体" w:cs="宋体"/>
                <w:color w:val="auto"/>
                <w:szCs w:val="21"/>
                <w:highlight w:val="none"/>
                <w:lang w:val="en-US" w:eastAsia="zh-CN"/>
              </w:rPr>
              <w:t>桥梁</w:t>
            </w:r>
            <w:r>
              <w:rPr>
                <w:rFonts w:hint="eastAsia" w:ascii="宋体" w:hAnsi="宋体" w:eastAsia="宋体" w:cs="宋体"/>
                <w:color w:val="auto"/>
                <w:szCs w:val="21"/>
                <w:highlight w:val="none"/>
              </w:rPr>
              <w:t>方案比选充分。平、纵、横等设计指标符合规范且标准较高，技术措施优良。</w:t>
            </w:r>
          </w:p>
          <w:p>
            <w:pPr>
              <w:wordWrap w:val="0"/>
              <w:topLinePunct/>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tabs>
                <w:tab w:val="left" w:pos="315"/>
              </w:tabs>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桥梁与周边环境协调性设计，周边桥梁调查分析，环境协调性设计，景观融合度</w:t>
            </w:r>
            <w:r>
              <w:rPr>
                <w:rFonts w:hint="eastAsia" w:ascii="宋体" w:hAnsi="宋体" w:eastAsia="宋体" w:cs="宋体"/>
                <w:color w:val="auto"/>
                <w:szCs w:val="21"/>
                <w:highlight w:val="none"/>
                <w:lang w:val="zh-CN"/>
              </w:rPr>
              <w:t>。</w:t>
            </w:r>
          </w:p>
          <w:p>
            <w:pPr>
              <w:wordWrap w:val="0"/>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桥梁工程</w:t>
            </w:r>
            <w:r>
              <w:rPr>
                <w:rFonts w:hint="eastAsia" w:ascii="宋体" w:hAnsi="宋体" w:eastAsia="宋体" w:cs="宋体"/>
                <w:color w:val="auto"/>
                <w:szCs w:val="21"/>
                <w:highlight w:val="none"/>
                <w:lang w:val="zh-CN"/>
              </w:rPr>
              <w:t>等基础工程的设计安全、合理、经济且能满足工期的要求。</w:t>
            </w:r>
          </w:p>
          <w:p>
            <w:pPr>
              <w:wordWrap w:val="0"/>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桥梁</w:t>
            </w:r>
            <w:r>
              <w:rPr>
                <w:rFonts w:hint="eastAsia" w:ascii="宋体" w:hAnsi="宋体" w:eastAsia="宋体" w:cs="宋体"/>
                <w:color w:val="auto"/>
                <w:szCs w:val="21"/>
                <w:highlight w:val="none"/>
                <w:lang w:val="zh-CN"/>
              </w:rPr>
              <w:t>公用设施（绿化、照明等）设计科学合理、处理得当、特点鲜明。</w:t>
            </w:r>
          </w:p>
          <w:p>
            <w:pPr>
              <w:wordWrap w:val="0"/>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综合管线的布置形式系统、合理、经济、实用；管理模式先进合理；能充分考虑与</w:t>
            </w:r>
            <w:r>
              <w:rPr>
                <w:rFonts w:hint="eastAsia" w:ascii="宋体" w:hAnsi="宋体" w:eastAsia="宋体" w:cs="宋体"/>
                <w:color w:val="auto"/>
                <w:szCs w:val="21"/>
                <w:highlight w:val="none"/>
                <w:lang w:val="en-US" w:eastAsia="zh-CN"/>
              </w:rPr>
              <w:t>周边</w:t>
            </w:r>
            <w:r>
              <w:rPr>
                <w:rFonts w:hint="eastAsia" w:ascii="宋体" w:hAnsi="宋体" w:eastAsia="宋体" w:cs="宋体"/>
                <w:color w:val="auto"/>
                <w:szCs w:val="21"/>
                <w:highlight w:val="none"/>
                <w:lang w:val="zh-CN"/>
              </w:rPr>
              <w:t>市政道路、</w:t>
            </w:r>
            <w:r>
              <w:rPr>
                <w:rFonts w:hint="eastAsia" w:ascii="宋体" w:hAnsi="宋体" w:eastAsia="宋体" w:cs="宋体"/>
                <w:color w:val="auto"/>
                <w:szCs w:val="21"/>
                <w:highlight w:val="none"/>
                <w:lang w:val="en-US" w:eastAsia="zh-CN"/>
              </w:rPr>
              <w:t>片区管网</w:t>
            </w:r>
            <w:r>
              <w:rPr>
                <w:rFonts w:hint="eastAsia" w:ascii="宋体" w:hAnsi="宋体" w:eastAsia="宋体" w:cs="宋体"/>
                <w:color w:val="auto"/>
                <w:szCs w:val="21"/>
                <w:highlight w:val="none"/>
                <w:lang w:val="zh-CN"/>
              </w:rPr>
              <w:t>的衔接与协调。</w:t>
            </w:r>
          </w:p>
          <w:p>
            <w:pPr>
              <w:wordWrap w:val="0"/>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ind w:hanging="1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综合</w:t>
            </w:r>
            <w:r>
              <w:rPr>
                <w:rFonts w:hint="eastAsia" w:ascii="宋体" w:hAnsi="宋体" w:eastAsia="宋体" w:cs="宋体"/>
                <w:color w:val="auto"/>
                <w:szCs w:val="21"/>
                <w:highlight w:val="none"/>
              </w:rPr>
              <w:t>考虑</w:t>
            </w:r>
            <w:r>
              <w:rPr>
                <w:rFonts w:hint="eastAsia" w:ascii="宋体" w:hAnsi="宋体" w:eastAsia="宋体" w:cs="宋体"/>
                <w:color w:val="auto"/>
                <w:szCs w:val="21"/>
                <w:highlight w:val="none"/>
                <w:lang w:val="en-US" w:eastAsia="zh-CN"/>
              </w:rPr>
              <w:t>项目及周边排水需求</w:t>
            </w:r>
            <w:r>
              <w:rPr>
                <w:rFonts w:hint="eastAsia" w:ascii="宋体" w:hAnsi="宋体" w:eastAsia="宋体" w:cs="宋体"/>
                <w:color w:val="auto"/>
                <w:szCs w:val="21"/>
                <w:highlight w:val="none"/>
              </w:rPr>
              <w:t>；排水管道系统总体布局充分利用地形，尽量采用自流，缩短管线长度，减小主干管管径，充分考虑其可实施性和可操作性。</w:t>
            </w:r>
          </w:p>
          <w:p>
            <w:pPr>
              <w:wordWrap w:val="0"/>
              <w:topLinePunct/>
              <w:spacing w:line="360" w:lineRule="auto"/>
              <w:rPr>
                <w:rFonts w:hint="eastAsia" w:ascii="宋体" w:hAnsi="宋体" w:eastAsia="宋体" w:cs="宋体"/>
                <w:color w:val="auto"/>
                <w:szCs w:val="21"/>
                <w:highlight w:val="none"/>
              </w:rPr>
            </w:pPr>
            <w:bookmarkStart w:id="208" w:name="OLE_LINK6"/>
            <w:r>
              <w:rPr>
                <w:rFonts w:hint="eastAsia" w:ascii="宋体" w:hAnsi="宋体" w:eastAsia="宋体" w:cs="宋体"/>
                <w:color w:val="auto"/>
                <w:szCs w:val="21"/>
                <w:highlight w:val="none"/>
              </w:rPr>
              <w:t>优得10分，良得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中得8分，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bookmarkEnd w:id="20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、施工期间交通组织、施工实施方案切合实际。</w:t>
            </w:r>
          </w:p>
          <w:p>
            <w:pPr>
              <w:wordWrap w:val="0"/>
              <w:topLinePunct/>
              <w:spacing w:line="360" w:lineRule="auto"/>
              <w:rPr>
                <w:rFonts w:hint="eastAsia" w:ascii="宋体" w:hAnsi="宋体" w:eastAsia="宋体" w:cs="宋体"/>
                <w:color w:val="auto"/>
                <w:szCs w:val="21"/>
                <w:highlight w:val="none"/>
              </w:rPr>
            </w:pPr>
            <w:bookmarkStart w:id="209" w:name="OLE_LINK4"/>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bookmarkEnd w:id="209"/>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、工程建设和使用的重点、难点分析透彻，解决措施合理。</w:t>
            </w:r>
          </w:p>
          <w:p>
            <w:pPr>
              <w:wordWrap w:val="0"/>
              <w:topLinePunct/>
              <w:spacing w:line="360" w:lineRule="auto"/>
              <w:rPr>
                <w:rFonts w:hint="eastAsia" w:ascii="宋体" w:hAnsi="宋体" w:eastAsia="宋体" w:cs="宋体"/>
                <w:color w:val="auto"/>
                <w:szCs w:val="21"/>
                <w:highlight w:val="none"/>
              </w:rPr>
            </w:pPr>
            <w:bookmarkStart w:id="210" w:name="OLE_LINK7"/>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bookmarkEnd w:id="21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284"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5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lang w:val="zh-CN"/>
              </w:rPr>
            </w:pPr>
          </w:p>
        </w:tc>
        <w:tc>
          <w:tcPr>
            <w:tcW w:w="38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hint="eastAsia" w:ascii="宋体" w:hAnsi="宋体" w:eastAsia="宋体" w:cs="宋体"/>
                <w:color w:val="auto"/>
                <w:szCs w:val="21"/>
                <w:highlight w:val="none"/>
              </w:rPr>
            </w:pP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10、勘察方案合理可行，勘察的重点、难点理解准确，建议合理可行；勘察工作流程规范，工期进度计划合理可行。</w:t>
            </w:r>
          </w:p>
          <w:p>
            <w:pPr>
              <w:wordWrap w:val="0"/>
              <w:topLinePunct/>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284"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w:t>
            </w:r>
          </w:p>
        </w:tc>
        <w:tc>
          <w:tcPr>
            <w:tcW w:w="35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投资控制</w:t>
            </w:r>
          </w:p>
        </w:tc>
        <w:tc>
          <w:tcPr>
            <w:tcW w:w="38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3975" w:type="pct"/>
            <w:tcBorders>
              <w:top w:val="single" w:color="auto" w:sz="6" w:space="0"/>
              <w:left w:val="single" w:color="auto" w:sz="6" w:space="0"/>
              <w:bottom w:val="single" w:color="auto" w:sz="6" w:space="0"/>
              <w:right w:val="single" w:color="auto" w:sz="6" w:space="0"/>
            </w:tcBorders>
            <w:vAlign w:val="center"/>
          </w:tcPr>
          <w:p>
            <w:pPr>
              <w:numPr>
                <w:ilvl w:val="-1"/>
                <w:numId w:val="0"/>
              </w:numPr>
              <w:wordWrap/>
              <w:topLinePunct w:val="0"/>
              <w:spacing w:line="360" w:lineRule="auto"/>
              <w:ind w:right="0" w:right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工程投资估算合理，节约工程投资的措施及理由合理、科学、可行；投资估算编制依据正确，达到相应的深度要求，内容齐全编制质量高。（注：投资估算中不能体现相应的投标报价）</w:t>
            </w:r>
          </w:p>
          <w:p>
            <w:pPr>
              <w:numPr>
                <w:ilvl w:val="-1"/>
                <w:numId w:val="0"/>
              </w:numPr>
              <w:wordWrap/>
              <w:topLinePunct w:val="0"/>
              <w:spacing w:line="360" w:lineRule="auto"/>
              <w:ind w:left="0" w:leftChars="0" w:firstLine="0" w:firstLineChars="0"/>
              <w:rPr>
                <w:rFonts w:hint="eastAsia" w:ascii="宋体" w:hAnsi="宋体" w:eastAsia="宋体" w:cs="宋体"/>
                <w:bCs/>
                <w:color w:val="auto"/>
                <w:szCs w:val="21"/>
                <w:highlight w:val="none"/>
                <w:shd w:val="clear" w:color="auto" w:fill="auto"/>
                <w:lang w:val="zh-CN"/>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bookmarkEnd w:id="205"/>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639" w:type="pct"/>
            <w:gridSpan w:val="2"/>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总计</w:t>
            </w:r>
          </w:p>
        </w:tc>
        <w:tc>
          <w:tcPr>
            <w:tcW w:w="38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3975" w:type="pct"/>
            <w:tcBorders>
              <w:top w:val="single" w:color="auto" w:sz="6" w:space="0"/>
              <w:left w:val="single" w:color="auto" w:sz="6" w:space="0"/>
              <w:bottom w:val="single" w:color="auto" w:sz="6" w:space="0"/>
              <w:right w:val="single" w:color="auto" w:sz="6" w:space="0"/>
            </w:tcBorders>
            <w:vAlign w:val="center"/>
          </w:tcPr>
          <w:p>
            <w:pPr>
              <w:wordWrap w:val="0"/>
              <w:topLinePunct/>
              <w:spacing w:line="360" w:lineRule="auto"/>
              <w:jc w:val="center"/>
              <w:rPr>
                <w:rFonts w:hint="eastAsia" w:ascii="宋体" w:hAnsi="宋体" w:eastAsia="宋体" w:cs="宋体"/>
                <w:color w:val="auto"/>
                <w:szCs w:val="21"/>
                <w:highlight w:val="none"/>
              </w:rPr>
            </w:pPr>
          </w:p>
        </w:tc>
      </w:tr>
    </w:tbl>
    <w:p>
      <w:pPr>
        <w:rPr>
          <w:rFonts w:hint="eastAsia" w:asciiTheme="majorEastAsia" w:hAnsiTheme="majorEastAsia" w:eastAsiaTheme="majorEastAsia" w:cstheme="majorEastAsia"/>
          <w:color w:val="auto"/>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注：本表按百分制评分，所有评委分数汇总后的算术平均值为投标人的得分。分数出现小数点，保留小数点后</w:t>
      </w:r>
      <w:r>
        <w:rPr>
          <w:rFonts w:hint="eastAsia" w:ascii="宋体" w:hAnsi="宋体" w:eastAsia="宋体" w:cs="宋体"/>
          <w:color w:val="auto"/>
          <w:szCs w:val="21"/>
          <w:highlight w:val="none"/>
          <w:lang w:eastAsia="zh-CN"/>
        </w:rPr>
        <w:t>两位</w:t>
      </w:r>
      <w:r>
        <w:rPr>
          <w:rFonts w:hint="eastAsia" w:ascii="宋体" w:hAnsi="宋体" w:eastAsia="宋体" w:cs="宋体"/>
          <w:color w:val="auto"/>
          <w:szCs w:val="21"/>
          <w:highlight w:val="none"/>
        </w:rPr>
        <w:t>小数，第三位小数四舍五入</w:t>
      </w:r>
      <w:r>
        <w:rPr>
          <w:rFonts w:hint="eastAsia" w:ascii="宋体" w:hAnsi="宋体" w:eastAsia="宋体" w:cs="宋体"/>
          <w:color w:val="auto"/>
          <w:szCs w:val="21"/>
          <w:highlight w:val="none"/>
          <w:lang w:eastAsia="zh-CN"/>
        </w:rPr>
        <w:t>。</w:t>
      </w:r>
    </w:p>
    <w:p>
      <w:pPr>
        <w:rPr>
          <w:rFonts w:hint="eastAsia" w:asciiTheme="majorEastAsia" w:hAnsiTheme="majorEastAsia" w:eastAsiaTheme="majorEastAsia" w:cstheme="majorEastAsia"/>
          <w:color w:val="auto"/>
          <w:highlight w:val="none"/>
        </w:rPr>
      </w:pPr>
    </w:p>
    <w:p>
      <w:pPr>
        <w:widowControl/>
        <w:wordWrap w:val="0"/>
        <w:spacing w:line="360" w:lineRule="auto"/>
        <w:ind w:firstLine="420" w:firstLineChars="200"/>
        <w:jc w:val="left"/>
        <w:rPr>
          <w:rFonts w:ascii="宋体" w:hAnsi="宋体" w:eastAsia="宋体" w:cs="宋体"/>
          <w:color w:val="auto"/>
          <w:szCs w:val="24"/>
          <w:highlight w:val="none"/>
        </w:rPr>
      </w:pPr>
    </w:p>
    <w:p>
      <w:pPr>
        <w:widowControl/>
        <w:jc w:val="left"/>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4"/>
        <w:rPr>
          <w:rFonts w:hint="eastAsia"/>
          <w:color w:val="auto"/>
          <w:highlight w:val="none"/>
        </w:rPr>
        <w:sectPr>
          <w:pgSz w:w="16838" w:h="11905" w:orient="landscape"/>
          <w:pgMar w:top="1701" w:right="1474" w:bottom="1701" w:left="1474" w:header="720" w:footer="720" w:gutter="0"/>
          <w:cols w:space="720" w:num="1"/>
        </w:sectPr>
      </w:pPr>
      <w:bookmarkStart w:id="211" w:name="_Toc26447"/>
    </w:p>
    <w:p>
      <w:pPr>
        <w:pStyle w:val="4"/>
        <w:rPr>
          <w:color w:val="auto"/>
          <w:sz w:val="32"/>
          <w:szCs w:val="24"/>
          <w:highlight w:val="none"/>
        </w:rPr>
      </w:pPr>
      <w:r>
        <w:rPr>
          <w:rFonts w:hint="eastAsia"/>
          <w:color w:val="auto"/>
          <w:highlight w:val="none"/>
        </w:rPr>
        <w:t>评标办法</w:t>
      </w:r>
      <w:r>
        <w:rPr>
          <w:color w:val="auto"/>
          <w:highlight w:val="none"/>
        </w:rPr>
        <w:t>修改表</w:t>
      </w:r>
      <w:bookmarkEnd w:id="211"/>
    </w:p>
    <w:p>
      <w:pPr>
        <w:pStyle w:val="43"/>
        <w:pBdr>
          <w:bottom w:val="single" w:color="auto" w:sz="6" w:space="1"/>
        </w:pBdr>
        <w:wordWrap w:val="0"/>
        <w:spacing w:after="0" w:line="360" w:lineRule="auto"/>
        <w:ind w:firstLine="0" w:firstLineChars="0"/>
        <w:rPr>
          <w:rFonts w:ascii="宋体" w:hAnsi="宋体"/>
          <w:b/>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w:t>
      </w:r>
      <w:r>
        <w:rPr>
          <w:rFonts w:hint="eastAsia" w:ascii="宋体" w:hAnsi="宋体"/>
          <w:b/>
          <w:color w:val="auto"/>
          <w:sz w:val="24"/>
          <w:szCs w:val="24"/>
          <w:highlight w:val="none"/>
        </w:rPr>
        <w:t>评标办法</w:t>
      </w:r>
      <w:r>
        <w:rPr>
          <w:rFonts w:ascii="宋体" w:hAnsi="宋体"/>
          <w:b/>
          <w:color w:val="auto"/>
          <w:sz w:val="24"/>
          <w:szCs w:val="24"/>
          <w:highlight w:val="none"/>
        </w:rPr>
        <w:t>条款，与该条款不同之处，均在本表中列明，并以现文为准，原文不再有效。</w:t>
      </w:r>
      <w:r>
        <w:rPr>
          <w:rFonts w:hint="eastAsia" w:ascii="宋体" w:hAnsi="宋体"/>
          <w:bCs/>
          <w:color w:val="auto"/>
          <w:sz w:val="24"/>
          <w:szCs w:val="24"/>
          <w:highlight w:val="none"/>
        </w:rPr>
        <w:t>（注：招标人按《评标办法修改表》修改的内容对应修改通用条款，属于删除的采用“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”；属于新增、修改的内容，用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w:t>
      </w:r>
      <w:r>
        <w:rPr>
          <w:rFonts w:ascii="宋体" w:hAnsi="宋体" w:eastAsia="宋体"/>
          <w:b/>
          <w:bCs/>
          <w:color w:val="auto"/>
          <w:sz w:val="24"/>
          <w:szCs w:val="24"/>
          <w:highlight w:val="none"/>
        </w:rPr>
        <w:t xml:space="preserve">           修改类型：修改</w:t>
      </w:r>
    </w:p>
    <w:p>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 评标程序</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评标活动按以下六个步骤进行：</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（1）商务文件初步评审（含商务文件形式评审、商务文件响应性评审）及资格评审；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（6）汇总投标人总得分；</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（7）推荐中标候选人，提交评标报告。</w:t>
      </w:r>
    </w:p>
    <w:p>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3. 评标程序</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w:t>
      </w:r>
      <w:r>
        <w:rPr>
          <w:rFonts w:hint="eastAsia" w:ascii="宋体" w:hAnsi="宋体" w:eastAsia="宋体"/>
          <w:strike/>
          <w:color w:val="auto"/>
          <w:sz w:val="24"/>
          <w:szCs w:val="24"/>
          <w:highlight w:val="none"/>
        </w:rPr>
        <w:t>六个</w:t>
      </w:r>
      <w:r>
        <w:rPr>
          <w:rFonts w:hint="eastAsia" w:ascii="宋体" w:hAnsi="宋体" w:eastAsia="宋体"/>
          <w:color w:val="auto"/>
          <w:sz w:val="24"/>
          <w:szCs w:val="24"/>
          <w:highlight w:val="none"/>
        </w:rPr>
        <w:t>步骤进行：</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s="宋体"/>
          <w:strike/>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pPr>
        <w:wordWrap w:val="0"/>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（6）报价评审；</w:t>
      </w:r>
    </w:p>
    <w:p>
      <w:pP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pPr>
        <w:pBdr>
          <w:bottom w:val="single" w:color="auto" w:sz="6" w:space="1"/>
        </w:pBd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ascii="宋体" w:hAnsi="宋体" w:eastAsia="宋体"/>
          <w:b/>
          <w:bCs/>
          <w:color w:val="auto"/>
          <w:sz w:val="24"/>
          <w:szCs w:val="24"/>
          <w:highlight w:val="none"/>
        </w:rPr>
        <w:t xml:space="preserve">          修改类型：修改</w:t>
      </w: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3.1 商务文件初步评审及资格评审</w:t>
      </w:r>
    </w:p>
    <w:p>
      <w:pPr>
        <w:pBdr>
          <w:bottom w:val="single" w:color="auto" w:sz="6" w:space="1"/>
        </w:pBd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3.1 </w:t>
      </w:r>
      <w:r>
        <w:rPr>
          <w:rFonts w:hint="eastAsia" w:ascii="宋体" w:hAnsi="宋体" w:eastAsia="宋体" w:cs="宋体"/>
          <w:b/>
          <w:bCs/>
          <w:strike/>
          <w:color w:val="auto"/>
          <w:spacing w:val="1"/>
          <w:sz w:val="24"/>
          <w:szCs w:val="24"/>
          <w:highlight w:val="none"/>
          <w:lang w:val="zh-CN"/>
        </w:rPr>
        <w:t>商务文件初步评审及资格评审</w:t>
      </w:r>
      <w:r>
        <w:rPr>
          <w:rFonts w:hint="eastAsia" w:ascii="宋体" w:hAnsi="宋体" w:eastAsia="宋体" w:cs="宋体"/>
          <w:b/>
          <w:bCs/>
          <w:color w:val="auto"/>
          <w:spacing w:val="1"/>
          <w:sz w:val="24"/>
          <w:szCs w:val="24"/>
          <w:highlight w:val="none"/>
          <w:u w:val="single"/>
          <w:lang w:val="zh-CN"/>
        </w:rPr>
        <w:t>商务文件形式评审、资格评审、商务文件响应性评审</w:t>
      </w: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3.1.1</w:t>
      </w:r>
      <w:r>
        <w:rPr>
          <w:rFonts w:ascii="宋体" w:hAnsi="宋体" w:eastAsia="宋体"/>
          <w:b/>
          <w:bCs/>
          <w:color w:val="auto"/>
          <w:sz w:val="24"/>
          <w:szCs w:val="24"/>
          <w:highlight w:val="none"/>
        </w:rPr>
        <w:t xml:space="preserve">        修改类型：修改</w:t>
      </w:r>
    </w:p>
    <w:p>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pPr>
        <w:wordWrap w:val="0"/>
        <w:spacing w:line="360" w:lineRule="auto"/>
        <w:ind w:firstLine="426" w:firstLineChars="177"/>
        <w:rPr>
          <w:rFonts w:ascii="宋体" w:hAnsi="宋体" w:eastAsia="宋体"/>
          <w:b/>
          <w:bCs/>
          <w:color w:val="auto"/>
          <w:sz w:val="24"/>
          <w:szCs w:val="24"/>
          <w:highlight w:val="none"/>
        </w:rPr>
      </w:pPr>
      <w:bookmarkStart w:id="212" w:name="OLE_LINK51"/>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hint="eastAsia" w:ascii="宋体" w:hAnsi="宋体" w:eastAsia="宋体"/>
          <w:b/>
          <w:bCs/>
          <w:color w:val="auto"/>
          <w:sz w:val="24"/>
          <w:szCs w:val="24"/>
          <w:highlight w:val="none"/>
          <w:lang w:val="en-US" w:eastAsia="zh-CN"/>
        </w:rPr>
        <w:t>3</w:t>
      </w:r>
      <w:r>
        <w:rPr>
          <w:rFonts w:ascii="宋体" w:hAnsi="宋体" w:eastAsia="宋体"/>
          <w:b/>
          <w:bCs/>
          <w:color w:val="auto"/>
          <w:sz w:val="24"/>
          <w:szCs w:val="24"/>
          <w:highlight w:val="none"/>
        </w:rPr>
        <w:t xml:space="preserve">        修改类型：修改</w:t>
      </w:r>
    </w:p>
    <w:p>
      <w:pP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pP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s="宋体"/>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Bdr>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pPr>
        <w:numPr>
          <w:ilvl w:val="0"/>
          <w:numId w:val="0"/>
        </w:numPr>
        <w:pBdr>
          <w:bottom w:val="single" w:color="auto" w:sz="6" w:space="1"/>
        </w:pBdr>
        <w:wordWrap w:val="0"/>
        <w:spacing w:line="360" w:lineRule="auto"/>
        <w:ind w:firstLine="424" w:firstLineChars="177"/>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w:t>
      </w:r>
      <w:r>
        <w:rPr>
          <w:rFonts w:hint="eastAsia" w:ascii="宋体" w:hAnsi="宋体" w:eastAsia="宋体" w:cs="宋体"/>
          <w:strike/>
          <w:color w:val="auto"/>
          <w:sz w:val="24"/>
          <w:szCs w:val="24"/>
          <w:highlight w:val="none"/>
          <w:lang w:val="en-US" w:eastAsia="zh-CN"/>
        </w:rPr>
        <w:t>1</w:t>
      </w:r>
      <w:r>
        <w:rPr>
          <w:rFonts w:hint="eastAsia" w:ascii="宋体" w:hAnsi="宋体" w:eastAsia="宋体" w:cs="宋体"/>
          <w:strike/>
          <w:color w:val="auto"/>
          <w:sz w:val="24"/>
          <w:szCs w:val="24"/>
          <w:highlight w:val="none"/>
        </w:rPr>
        <w:t>）</w:t>
      </w:r>
      <w:r>
        <w:rPr>
          <w:rFonts w:hint="eastAsia" w:ascii="宋体" w:hAnsi="宋体" w:eastAsia="宋体" w:cs="宋体"/>
          <w:b w:val="0"/>
          <w:bCs w:val="0"/>
          <w:strike/>
          <w:color w:val="auto"/>
          <w:sz w:val="24"/>
          <w:szCs w:val="24"/>
          <w:highlight w:val="none"/>
          <w:u w:val="none"/>
        </w:rPr>
        <w:t>投标报价与投标下浮率不符时，以投标下浮率为准修正投标报价</w:t>
      </w:r>
      <w:r>
        <w:rPr>
          <w:rFonts w:hint="eastAsia" w:ascii="宋体" w:hAnsi="宋体" w:eastAsia="宋体" w:cs="宋体"/>
          <w:strike/>
          <w:color w:val="auto"/>
          <w:sz w:val="24"/>
          <w:szCs w:val="24"/>
          <w:highlight w:val="none"/>
        </w:rPr>
        <w:t>；</w:t>
      </w:r>
    </w:p>
    <w:p>
      <w:pPr>
        <w:numPr>
          <w:ilvl w:val="-1"/>
          <w:numId w:val="0"/>
        </w:numPr>
        <w:pBdr>
          <w:bottom w:val="single" w:color="auto" w:sz="6" w:space="1"/>
        </w:pBd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Bdr>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p>
    <w:p>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）投标总报价与勘察费、设计费投标报价相加不符时，以勘察费、设计费投标报价相加为准修正投标总报价，除非评标委员会认为勘察费、设计费投标报价有明显的小数点错误。</w:t>
      </w:r>
    </w:p>
    <w:bookmarkEnd w:id="212"/>
    <w:p>
      <w:pPr>
        <w:pStyle w:val="25"/>
        <w:rPr>
          <w:color w:val="auto"/>
          <w:highlight w:val="none"/>
        </w:rPr>
      </w:pP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3.2.2</w:t>
      </w:r>
      <w:r>
        <w:rPr>
          <w:rFonts w:ascii="宋体" w:hAnsi="宋体" w:eastAsia="宋体"/>
          <w:b/>
          <w:bCs/>
          <w:color w:val="auto"/>
          <w:sz w:val="24"/>
          <w:szCs w:val="24"/>
          <w:highlight w:val="none"/>
        </w:rPr>
        <w:t xml:space="preserve">        修改类型：修改</w:t>
      </w:r>
    </w:p>
    <w:p>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pP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val="0"/>
          <w:bCs w:val="0"/>
          <w:color w:val="auto"/>
          <w:sz w:val="24"/>
          <w:szCs w:val="24"/>
          <w:highlight w:val="none"/>
          <w:u w:val="none"/>
        </w:rPr>
        <w:t>算术平均值</w:t>
      </w:r>
      <w:r>
        <w:rPr>
          <w:rFonts w:hint="eastAsia" w:ascii="宋体" w:hAnsi="宋体" w:eastAsia="宋体" w:cs="宋体"/>
          <w:strike/>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条款号：3.4.2        修改类型：修改</w:t>
      </w:r>
    </w:p>
    <w:p>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3.6</w:t>
      </w:r>
      <w:r>
        <w:rPr>
          <w:rFonts w:ascii="宋体" w:hAnsi="宋体" w:eastAsia="宋体"/>
          <w:b/>
          <w:bCs/>
          <w:color w:val="auto"/>
          <w:sz w:val="24"/>
          <w:szCs w:val="24"/>
          <w:highlight w:val="none"/>
        </w:rPr>
        <w:t xml:space="preserve">        修改类型：修改</w:t>
      </w:r>
    </w:p>
    <w:p>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3.6 汇总投标人总得分</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3.6.1 评标委员会按本章第2.2款规定的量化因素和分值进行打分，并计算出综合得分。</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（1）按本章第2.2.4（1）目规定的评审因素和分值对商务文件部分计算出得分A；</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（2）按本章第2.2.4（2）目规定的评审因素和分值对技术文件部分计算出得分B；</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（3）按本章第2.2.4（3）目规定的评审因素和分值对投标报价计算出得分C；</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（4）按本章第2.2.4（4）目规定的评审因素和分值对其他部分计算出得分D。</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3.6.2 评分分值计算保留小数点后两位，小数点后第三位“四舍五入”。</w:t>
      </w:r>
    </w:p>
    <w:p>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3.6.3 投标人得分=A+B+C+D。</w:t>
      </w:r>
    </w:p>
    <w:p>
      <w:pPr>
        <w:pBdr>
          <w:bottom w:val="single" w:color="auto" w:sz="6" w:space="1"/>
        </w:pBd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3.6 </w:t>
      </w:r>
      <w:r>
        <w:rPr>
          <w:rFonts w:hint="eastAsia" w:ascii="宋体" w:hAnsi="宋体" w:eastAsia="宋体" w:cs="宋体"/>
          <w:b/>
          <w:bCs/>
          <w:strike/>
          <w:color w:val="auto"/>
          <w:spacing w:val="1"/>
          <w:sz w:val="24"/>
          <w:szCs w:val="24"/>
          <w:highlight w:val="none"/>
        </w:rPr>
        <w:t>汇总投标人总得分</w:t>
      </w:r>
      <w:r>
        <w:rPr>
          <w:rFonts w:hint="eastAsia" w:ascii="宋体" w:hAnsi="宋体" w:eastAsia="宋体" w:cs="宋体"/>
          <w:b/>
          <w:bCs/>
          <w:strike w:val="0"/>
          <w:color w:val="auto"/>
          <w:spacing w:val="1"/>
          <w:sz w:val="24"/>
          <w:szCs w:val="24"/>
          <w:highlight w:val="none"/>
          <w:u w:val="single"/>
        </w:rPr>
        <w:t>报价评审及</w:t>
      </w:r>
      <w:r>
        <w:rPr>
          <w:rFonts w:hint="eastAsia" w:ascii="宋体" w:hAnsi="宋体" w:eastAsia="宋体" w:cs="宋体"/>
          <w:b/>
          <w:bCs/>
          <w:strike w:val="0"/>
          <w:color w:val="auto"/>
          <w:spacing w:val="1"/>
          <w:sz w:val="24"/>
          <w:szCs w:val="24"/>
          <w:highlight w:val="none"/>
        </w:rPr>
        <w:t>汇总投标人总得分</w:t>
      </w:r>
    </w:p>
    <w:p>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rPr>
        <w:t>3.6.1</w:t>
      </w:r>
      <w:r>
        <w:rPr>
          <w:rFonts w:hint="eastAsia" w:ascii="宋体" w:hAnsi="宋体" w:eastAsia="宋体"/>
          <w:strike/>
          <w:color w:val="auto"/>
          <w:sz w:val="24"/>
          <w:szCs w:val="24"/>
          <w:highlight w:val="none"/>
        </w:rPr>
        <w:t>评标委员会按本章第2.2款规定的量化因素和分值进行打分，并计算出综合得分。</w:t>
      </w:r>
    </w:p>
    <w:p>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（1）按本章第2.2.4（1）目规定的评审因素和分值对商务文件部分计算出得分A；</w:t>
      </w:r>
    </w:p>
    <w:p>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（2）按本章第2.2.4（2）目规定的评审因素和分值对技术文件部分计算出得分B；</w:t>
      </w:r>
    </w:p>
    <w:p>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（3）按本章第2.2.4（3）目规定的评审因素和分值对投标报价计算出得分C；</w:t>
      </w:r>
    </w:p>
    <w:p>
      <w:pPr>
        <w:pBdr>
          <w:bottom w:val="single" w:color="auto" w:sz="6" w:space="1"/>
        </w:pBd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strike/>
          <w:color w:val="auto"/>
          <w:sz w:val="24"/>
          <w:szCs w:val="24"/>
          <w:highlight w:val="none"/>
        </w:rPr>
        <w:t>（4）按本章第2.2.4（4）目规定的评审因素和分值对其他部分计算出得分D。</w:t>
      </w:r>
      <w:r>
        <w:rPr>
          <w:rFonts w:hint="eastAsia" w:ascii="宋体" w:hAnsi="宋体" w:eastAsia="宋体"/>
          <w:color w:val="auto"/>
          <w:sz w:val="24"/>
          <w:szCs w:val="24"/>
          <w:highlight w:val="none"/>
          <w:lang w:val="en-US" w:eastAsia="zh-CN"/>
        </w:rPr>
        <w:t xml:space="preserve">    </w:t>
      </w:r>
      <w:r>
        <w:rPr>
          <w:rFonts w:hint="eastAsia" w:ascii="宋体" w:hAnsi="宋体" w:eastAsia="宋体"/>
          <w:b/>
          <w:bCs/>
          <w:color w:val="auto"/>
          <w:sz w:val="24"/>
          <w:szCs w:val="24"/>
          <w:highlight w:val="none"/>
          <w:u w:val="single"/>
        </w:rPr>
        <w:t>报价评审，评标委员会按本章第2.2款规定的评审因素计算各投标人投标报价的得分C，分数出现小数点，保留小数点后二位，第三位小数四舍五入。</w:t>
      </w:r>
    </w:p>
    <w:p>
      <w:pPr>
        <w:pBdr>
          <w:bottom w:val="single" w:color="auto" w:sz="6" w:space="1"/>
        </w:pBd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3.6.2 </w:t>
      </w:r>
      <w:r>
        <w:rPr>
          <w:rFonts w:hint="eastAsia" w:ascii="宋体" w:hAnsi="宋体" w:eastAsia="宋体"/>
          <w:strike/>
          <w:color w:val="auto"/>
          <w:sz w:val="24"/>
          <w:szCs w:val="24"/>
          <w:highlight w:val="none"/>
        </w:rPr>
        <w:t>评分分值计算保留小数点后两位，小数点后第三位“四舍五入”。</w:t>
      </w:r>
      <w:r>
        <w:rPr>
          <w:rFonts w:hint="eastAsia" w:ascii="宋体" w:hAnsi="宋体" w:eastAsia="宋体"/>
          <w:b/>
          <w:bCs/>
          <w:color w:val="auto"/>
          <w:sz w:val="24"/>
          <w:szCs w:val="24"/>
          <w:highlight w:val="none"/>
          <w:u w:val="single"/>
        </w:rPr>
        <w:t>评标委员会按本章第2.2.1款的规定汇总各投标人的总得分。</w:t>
      </w:r>
    </w:p>
    <w:p>
      <w:pPr>
        <w:pBdr>
          <w:bottom w:val="single" w:color="auto" w:sz="6" w:space="1"/>
        </w:pBd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strike/>
          <w:color w:val="auto"/>
          <w:sz w:val="24"/>
          <w:szCs w:val="24"/>
          <w:highlight w:val="none"/>
        </w:rPr>
        <w:t xml:space="preserve">3.6.3 投标人得分=A+B+C+D。 </w:t>
      </w:r>
    </w:p>
    <w:p>
      <w:pPr>
        <w:wordWrap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pPr>
        <w:widowControl/>
        <w:wordWrap w:val="0"/>
        <w:spacing w:line="360" w:lineRule="auto"/>
        <w:jc w:val="left"/>
        <w:rPr>
          <w:rFonts w:ascii="宋体" w:hAnsi="宋体" w:eastAsia="宋体" w:cs="宋体"/>
          <w:color w:val="auto"/>
          <w:szCs w:val="24"/>
          <w:highlight w:val="none"/>
        </w:rPr>
      </w:pPr>
      <w:r>
        <w:rPr>
          <w:rFonts w:ascii="宋体" w:hAnsi="宋体" w:eastAsia="宋体"/>
          <w:color w:val="auto"/>
          <w:sz w:val="24"/>
          <w:szCs w:val="24"/>
          <w:highlight w:val="none"/>
        </w:rPr>
        <w:t>（以下无正文）</w:t>
      </w:r>
      <w:r>
        <w:rPr>
          <w:rFonts w:ascii="宋体" w:hAnsi="宋体" w:eastAsia="宋体" w:cs="宋体"/>
          <w:color w:val="auto"/>
          <w:szCs w:val="24"/>
          <w:highlight w:val="none"/>
        </w:rPr>
        <w:br w:type="page"/>
      </w: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pPr>
        <w:keepNext/>
        <w:keepLines/>
        <w:wordWrap w:val="0"/>
        <w:spacing w:line="360" w:lineRule="auto"/>
        <w:jc w:val="left"/>
        <w:outlineLvl w:val="1"/>
        <w:rPr>
          <w:rFonts w:ascii="宋体" w:hAnsi="宋体" w:eastAsia="宋体" w:cs="宋体"/>
          <w:b/>
          <w:bCs/>
          <w:color w:val="auto"/>
          <w:kern w:val="0"/>
          <w:sz w:val="30"/>
          <w:szCs w:val="30"/>
          <w:highlight w:val="none"/>
          <w:lang w:val="zh-CN"/>
        </w:rPr>
      </w:pPr>
      <w:bookmarkStart w:id="213" w:name="_Toc2009"/>
      <w:bookmarkStart w:id="214" w:name="_Toc193358004"/>
      <w:bookmarkStart w:id="215" w:name="_Toc111186788"/>
      <w:r>
        <w:rPr>
          <w:rFonts w:hint="eastAsia" w:ascii="宋体" w:hAnsi="宋体" w:eastAsia="宋体" w:cs="宋体"/>
          <w:b/>
          <w:bCs/>
          <w:color w:val="auto"/>
          <w:kern w:val="0"/>
          <w:sz w:val="30"/>
          <w:szCs w:val="30"/>
          <w:highlight w:val="none"/>
          <w:lang w:val="zh-CN"/>
        </w:rPr>
        <w:t>1. 评标方法</w:t>
      </w:r>
      <w:bookmarkEnd w:id="213"/>
      <w:bookmarkEnd w:id="214"/>
      <w:bookmarkEnd w:id="215"/>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p>
    <w:p>
      <w:pPr>
        <w:wordWrap w:val="0"/>
        <w:spacing w:line="360" w:lineRule="auto"/>
        <w:ind w:firstLine="480" w:firstLineChars="200"/>
        <w:rPr>
          <w:rFonts w:ascii="宋体" w:hAnsi="宋体" w:eastAsia="宋体" w:cs="宋体"/>
          <w:color w:val="auto"/>
          <w:sz w:val="24"/>
          <w:szCs w:val="24"/>
          <w:highlight w:val="none"/>
        </w:rPr>
      </w:pPr>
    </w:p>
    <w:p>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216" w:name="_Toc16715"/>
      <w:bookmarkStart w:id="217" w:name="_Toc193358005"/>
      <w:bookmarkStart w:id="218" w:name="_Toc111186789"/>
      <w:r>
        <w:rPr>
          <w:rFonts w:hint="eastAsia" w:ascii="宋体" w:hAnsi="宋体" w:eastAsia="宋体" w:cs="宋体"/>
          <w:b/>
          <w:bCs/>
          <w:color w:val="auto"/>
          <w:spacing w:val="1"/>
          <w:kern w:val="0"/>
          <w:sz w:val="30"/>
          <w:szCs w:val="30"/>
          <w:highlight w:val="none"/>
          <w:lang w:val="zh-CN"/>
        </w:rPr>
        <w:t>2. 评审标准</w:t>
      </w:r>
      <w:bookmarkEnd w:id="216"/>
      <w:bookmarkEnd w:id="217"/>
      <w:bookmarkEnd w:id="218"/>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19" w:name="_Toc193358006"/>
      <w:r>
        <w:rPr>
          <w:rFonts w:hint="eastAsia" w:ascii="宋体" w:hAnsi="宋体" w:eastAsia="宋体" w:cs="宋体"/>
          <w:b/>
          <w:bCs/>
          <w:color w:val="auto"/>
          <w:spacing w:val="1"/>
          <w:sz w:val="28"/>
          <w:szCs w:val="32"/>
          <w:highlight w:val="none"/>
          <w:lang w:val="zh-CN"/>
        </w:rPr>
        <w:t>2.1 初步评审标准</w:t>
      </w:r>
      <w:bookmarkEnd w:id="219"/>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商务文件形式评审标准：见评标办法前附表。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2.1.3（1）商务文件响应性评审标准：见评标办法前附表。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2.1.3（2）技术文件初步评审标准：见评标办法前附表。</w:t>
      </w:r>
    </w:p>
    <w:p>
      <w:pPr>
        <w:wordWrap w:val="0"/>
        <w:spacing w:line="360" w:lineRule="auto"/>
        <w:ind w:firstLine="480" w:firstLineChars="200"/>
        <w:rPr>
          <w:rFonts w:ascii="宋体" w:hAnsi="宋体" w:eastAsia="宋体" w:cs="宋体"/>
          <w:color w:val="auto"/>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20" w:name="_Toc193358007"/>
      <w:r>
        <w:rPr>
          <w:rFonts w:hint="eastAsia" w:ascii="宋体" w:hAnsi="宋体" w:eastAsia="宋体" w:cs="宋体"/>
          <w:b/>
          <w:bCs/>
          <w:color w:val="auto"/>
          <w:spacing w:val="1"/>
          <w:sz w:val="28"/>
          <w:szCs w:val="32"/>
          <w:highlight w:val="none"/>
          <w:lang w:val="zh-CN"/>
        </w:rPr>
        <w:t>2.2 分值构成与评分标准</w:t>
      </w:r>
      <w:bookmarkEnd w:id="220"/>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（1）商务文件部分：见评标办法前附表；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（2）技术文件部分：见评标办法前附表；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（4）其他评分因素：见评标办法前附表。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（1）商务文件评分标准：见评标办法前附表；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（2）技术文件评分标准：见评标办法前附表；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（4）其他因素评分标准：见评标办法前附表。</w:t>
      </w:r>
    </w:p>
    <w:p>
      <w:pPr>
        <w:wordWrap w:val="0"/>
        <w:spacing w:line="360" w:lineRule="auto"/>
        <w:ind w:firstLine="480" w:firstLineChars="200"/>
        <w:rPr>
          <w:rFonts w:ascii="宋体" w:hAnsi="宋体" w:eastAsia="宋体" w:cs="宋体"/>
          <w:strike/>
          <w:color w:val="auto"/>
          <w:sz w:val="24"/>
          <w:szCs w:val="24"/>
          <w:highlight w:val="none"/>
        </w:rPr>
      </w:pPr>
    </w:p>
    <w:p>
      <w:pPr>
        <w:keepNext/>
        <w:keepLines/>
        <w:pBdr>
          <w:top w:val="none" w:color="auto" w:sz="0" w:space="0"/>
          <w:left w:val="none" w:color="auto" w:sz="0" w:space="0"/>
          <w:bottom w:val="none" w:color="auto" w:sz="0" w:space="0"/>
          <w:right w:val="none" w:color="auto" w:sz="0" w:space="0"/>
          <w:between w:val="none" w:color="auto" w:sz="0" w:space="0"/>
        </w:pBdr>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221" w:name="_Toc111186790"/>
      <w:bookmarkStart w:id="222" w:name="_Toc24342"/>
      <w:bookmarkStart w:id="223" w:name="_Toc193358008"/>
      <w:r>
        <w:rPr>
          <w:rFonts w:hint="eastAsia" w:ascii="宋体" w:hAnsi="宋体" w:eastAsia="宋体" w:cs="宋体"/>
          <w:b/>
          <w:bCs/>
          <w:color w:val="auto"/>
          <w:spacing w:val="1"/>
          <w:kern w:val="0"/>
          <w:sz w:val="30"/>
          <w:szCs w:val="30"/>
          <w:highlight w:val="none"/>
          <w:lang w:val="zh-CN"/>
        </w:rPr>
        <w:t>3. 评标程序</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评标活动按以下</w:t>
      </w:r>
      <w:r>
        <w:rPr>
          <w:rFonts w:hint="eastAsia" w:ascii="宋体" w:hAnsi="宋体" w:eastAsia="宋体" w:cs="宋体"/>
          <w:strike/>
          <w:color w:val="auto"/>
          <w:sz w:val="24"/>
          <w:szCs w:val="24"/>
          <w:highlight w:val="none"/>
        </w:rPr>
        <w:t>六个</w:t>
      </w:r>
      <w:r>
        <w:rPr>
          <w:rFonts w:hint="eastAsia" w:ascii="宋体" w:hAnsi="宋体" w:eastAsia="宋体" w:cs="宋体"/>
          <w:color w:val="auto"/>
          <w:sz w:val="24"/>
          <w:szCs w:val="24"/>
          <w:highlight w:val="none"/>
        </w:rPr>
        <w:t>步骤进行：</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24" w:name="OLE_LINK52"/>
      <w:r>
        <w:rPr>
          <w:rFonts w:hint="eastAsia" w:ascii="宋体" w:hAnsi="宋体" w:eastAsia="宋体" w:cs="宋体"/>
          <w:strike/>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bookmarkEnd w:id="224"/>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（2）商务文件详细评审；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（3）技术文件初步评审；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（4）技术文件详细评审；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（5）揭晓技术文件评审结果；</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b/>
          <w:bCs/>
          <w:color w:val="auto"/>
          <w:sz w:val="24"/>
          <w:szCs w:val="24"/>
          <w:highlight w:val="none"/>
          <w:u w:val="single"/>
        </w:rPr>
      </w:pPr>
      <w:bookmarkStart w:id="225" w:name="OLE_LINK53"/>
      <w:r>
        <w:rPr>
          <w:rFonts w:hint="eastAsia" w:ascii="宋体" w:hAnsi="宋体" w:eastAsia="宋体"/>
          <w:b/>
          <w:bCs/>
          <w:color w:val="auto"/>
          <w:sz w:val="24"/>
          <w:szCs w:val="24"/>
          <w:highlight w:val="none"/>
          <w:u w:val="single"/>
        </w:rPr>
        <w:t>（6）报价评审；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p>
    <w:bookmarkEnd w:id="225"/>
    <w:p>
      <w:pPr>
        <w:keepNext/>
        <w:keepLines/>
        <w:pBdr>
          <w:top w:val="none" w:color="auto" w:sz="0" w:space="0"/>
          <w:left w:val="none" w:color="auto" w:sz="0" w:space="0"/>
          <w:bottom w:val="none" w:color="auto" w:sz="0" w:space="0"/>
          <w:right w:val="none" w:color="auto" w:sz="0" w:space="0"/>
          <w:between w:val="none" w:color="auto" w:sz="0" w:space="0"/>
        </w:pBdr>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 xml:space="preserve">3.1 </w:t>
      </w:r>
      <w:bookmarkStart w:id="226" w:name="OLE_LINK54"/>
      <w:r>
        <w:rPr>
          <w:rFonts w:hint="eastAsia" w:ascii="宋体" w:hAnsi="宋体" w:eastAsia="宋体" w:cs="宋体"/>
          <w:b/>
          <w:bCs/>
          <w:strike/>
          <w:color w:val="auto"/>
          <w:spacing w:val="1"/>
          <w:sz w:val="28"/>
          <w:szCs w:val="32"/>
          <w:highlight w:val="none"/>
          <w:lang w:val="zh-CN"/>
        </w:rPr>
        <w:t>商务文件初步评审及资格评审</w:t>
      </w:r>
      <w:r>
        <w:rPr>
          <w:rFonts w:hint="eastAsia" w:ascii="宋体" w:hAnsi="宋体" w:eastAsia="宋体" w:cs="宋体"/>
          <w:b/>
          <w:bCs/>
          <w:color w:val="auto"/>
          <w:spacing w:val="1"/>
          <w:sz w:val="28"/>
          <w:szCs w:val="32"/>
          <w:highlight w:val="none"/>
          <w:u w:val="single"/>
          <w:lang w:val="zh-CN"/>
        </w:rPr>
        <w:t>商务文件形式评审、资格评审、商务文件响应性评审</w:t>
      </w:r>
      <w:bookmarkEnd w:id="226"/>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 </w:t>
      </w:r>
      <w:bookmarkStart w:id="227" w:name="OLE_LINK55"/>
      <w:r>
        <w:rPr>
          <w:rFonts w:hint="eastAsia" w:ascii="宋体" w:hAnsi="宋体" w:eastAsia="宋体" w:cs="宋体"/>
          <w:color w:val="auto"/>
          <w:sz w:val="24"/>
          <w:szCs w:val="24"/>
          <w:highlight w:val="none"/>
        </w:rPr>
        <w:t>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bookmarkEnd w:id="227"/>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3.1.1.1 商务文件形式评审：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评标委员会根据评标办法前附表中规定的评审因素和评审标准，对投标人的商务文件进行形式评审。通过商务文件形式评审的投标文件方可参加下一阶段评审程序。</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3.1.1.2 资格评审：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3.1.1.3 商务文件响应性评审：</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（4）评标办法规定的其他应当否决其投标的情形。</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strike/>
          <w:color w:val="auto"/>
          <w:sz w:val="24"/>
          <w:szCs w:val="24"/>
          <w:highlight w:val="none"/>
        </w:rPr>
      </w:pPr>
      <w:bookmarkStart w:id="228" w:name="OLE_LINK56"/>
      <w:r>
        <w:rPr>
          <w:rFonts w:hint="eastAsia" w:ascii="宋体" w:hAnsi="宋体" w:eastAsia="宋体" w:cs="宋体"/>
          <w:strike/>
          <w:color w:val="auto"/>
          <w:sz w:val="24"/>
          <w:szCs w:val="24"/>
          <w:highlight w:val="none"/>
        </w:rPr>
        <w:t>（1）投标文件中的大写金额与小写金额不一致的，以大写金额为准；</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设计费投标报价</w:t>
      </w:r>
      <w:r>
        <w:rPr>
          <w:rFonts w:hint="eastAsia" w:ascii="宋体" w:hAnsi="宋体" w:eastAsia="宋体" w:cs="宋体"/>
          <w:b/>
          <w:bCs/>
          <w:color w:val="auto"/>
          <w:sz w:val="24"/>
          <w:szCs w:val="24"/>
          <w:highlight w:val="none"/>
          <w:u w:val="single"/>
          <w:lang w:val="en-US" w:eastAsia="zh-CN"/>
        </w:rPr>
        <w:t>相加</w:t>
      </w:r>
      <w:r>
        <w:rPr>
          <w:rFonts w:hint="eastAsia" w:ascii="宋体" w:hAnsi="宋体" w:eastAsia="宋体" w:cs="宋体"/>
          <w:b/>
          <w:bCs/>
          <w:color w:val="auto"/>
          <w:sz w:val="24"/>
          <w:szCs w:val="24"/>
          <w:highlight w:val="none"/>
          <w:u w:val="single"/>
        </w:rPr>
        <w:t>不符时，以勘察费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设计费投标报价</w:t>
      </w:r>
      <w:r>
        <w:rPr>
          <w:rFonts w:hint="eastAsia" w:ascii="宋体" w:hAnsi="宋体" w:eastAsia="宋体" w:cs="宋体"/>
          <w:b/>
          <w:bCs/>
          <w:color w:val="auto"/>
          <w:sz w:val="24"/>
          <w:szCs w:val="24"/>
          <w:highlight w:val="none"/>
          <w:u w:val="single"/>
          <w:lang w:val="en-US" w:eastAsia="zh-CN"/>
        </w:rPr>
        <w:t>相加</w:t>
      </w:r>
      <w:r>
        <w:rPr>
          <w:rFonts w:hint="eastAsia" w:ascii="宋体" w:hAnsi="宋体" w:eastAsia="宋体" w:cs="宋体"/>
          <w:b/>
          <w:bCs/>
          <w:color w:val="auto"/>
          <w:sz w:val="24"/>
          <w:szCs w:val="24"/>
          <w:highlight w:val="none"/>
          <w:u w:val="single"/>
        </w:rPr>
        <w:t>为准修正投标总报价</w:t>
      </w:r>
      <w:r>
        <w:rPr>
          <w:rFonts w:hint="eastAsia" w:ascii="宋体" w:hAnsi="宋体" w:eastAsia="宋体" w:cs="宋体"/>
          <w:b/>
          <w:bCs/>
          <w:color w:val="auto"/>
          <w:sz w:val="24"/>
          <w:szCs w:val="24"/>
          <w:highlight w:val="none"/>
          <w:u w:val="single"/>
          <w:lang w:eastAsia="zh-CN"/>
        </w:rPr>
        <w:t>，除非评标委员会认为</w:t>
      </w:r>
      <w:r>
        <w:rPr>
          <w:rFonts w:hint="eastAsia" w:ascii="宋体" w:hAnsi="宋体" w:eastAsia="宋体" w:cs="宋体"/>
          <w:b/>
          <w:bCs/>
          <w:color w:val="auto"/>
          <w:sz w:val="24"/>
          <w:szCs w:val="24"/>
          <w:highlight w:val="none"/>
          <w:u w:val="single"/>
        </w:rPr>
        <w:t>勘察费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设计费投标报价</w:t>
      </w:r>
      <w:r>
        <w:rPr>
          <w:rFonts w:hint="eastAsia" w:ascii="宋体" w:hAnsi="宋体" w:eastAsia="宋体" w:cs="宋体"/>
          <w:b/>
          <w:bCs/>
          <w:color w:val="auto"/>
          <w:sz w:val="24"/>
          <w:szCs w:val="24"/>
          <w:highlight w:val="none"/>
          <w:u w:val="single"/>
          <w:lang w:eastAsia="zh-CN"/>
        </w:rPr>
        <w:t>有明显的小数点错误</w:t>
      </w:r>
      <w:r>
        <w:rPr>
          <w:rFonts w:hint="eastAsia" w:ascii="宋体" w:hAnsi="宋体" w:eastAsia="宋体" w:cs="宋体"/>
          <w:b/>
          <w:bCs/>
          <w:color w:val="auto"/>
          <w:sz w:val="24"/>
          <w:szCs w:val="24"/>
          <w:highlight w:val="none"/>
          <w:u w:val="single"/>
        </w:rPr>
        <w:t>。</w:t>
      </w:r>
    </w:p>
    <w:bookmarkEnd w:id="228"/>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有效投标不足三个的，评标委员会应当对投标是否明显缺乏竞争和是否需要否决全部投标进行充分论证，并在评标报告中记载论证过程和结果。</w:t>
      </w:r>
    </w:p>
    <w:p>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3.1.6 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pPr>
        <w:wordWrap w:val="0"/>
        <w:spacing w:line="360" w:lineRule="auto"/>
        <w:ind w:firstLine="480" w:firstLineChars="200"/>
        <w:rPr>
          <w:rFonts w:ascii="宋体" w:hAnsi="宋体" w:eastAsia="宋体" w:cs="宋体"/>
          <w:color w:val="auto"/>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3.2 商务文件详细评审</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评标委员会按本章第2.2款规定的量化因素和分值进行打分，并计算出综合得分。</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w:t>
      </w:r>
      <w:r>
        <w:rPr>
          <w:rFonts w:hint="eastAsia" w:ascii="宋体" w:hAnsi="宋体" w:eastAsia="宋体" w:cs="宋体"/>
          <w:strike/>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pPr>
        <w:wordWrap w:val="0"/>
        <w:spacing w:line="360" w:lineRule="auto"/>
        <w:ind w:firstLine="480" w:firstLineChars="200"/>
        <w:rPr>
          <w:rFonts w:ascii="宋体" w:hAnsi="宋体" w:eastAsia="宋体" w:cs="宋体"/>
          <w:color w:val="auto"/>
          <w:sz w:val="24"/>
          <w:szCs w:val="24"/>
          <w:highlight w:val="none"/>
          <w:u w:val="singl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rPr>
        <w:t>3.3</w:t>
      </w:r>
      <w:r>
        <w:rPr>
          <w:rFonts w:ascii="宋体" w:hAnsi="宋体" w:eastAsia="宋体" w:cs="宋体"/>
          <w:b/>
          <w:bCs/>
          <w:color w:val="auto"/>
          <w:spacing w:val="1"/>
          <w:sz w:val="28"/>
          <w:szCs w:val="32"/>
          <w:highlight w:val="none"/>
        </w:rPr>
        <w:t xml:space="preserve"> </w:t>
      </w:r>
      <w:r>
        <w:rPr>
          <w:rFonts w:hint="eastAsia" w:ascii="宋体" w:hAnsi="宋体" w:eastAsia="宋体" w:cs="宋体"/>
          <w:b/>
          <w:bCs/>
          <w:color w:val="auto"/>
          <w:spacing w:val="1"/>
          <w:sz w:val="28"/>
          <w:szCs w:val="32"/>
          <w:highlight w:val="none"/>
          <w:lang w:val="zh-CN"/>
        </w:rPr>
        <w:t>技术文件初步评审</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评标委员会依据本章第2.1.3（2）款规定的标准对投标文件进行技术文件初步评审。有一项不符合评审标准的，评标委员会应当否决其投标，未能通过技术文件初步评审的投标文件不能参加下一阶段评审程序。</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评标时若遇不可抗力发生（如：网络瘫痪、服务器损坏、交易系统故障短期无法恢复等因素），由评标委员会开启现场递交的全部备用投标文件光盘，并按备用光盘内容进行评审。</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 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p>
      <w:pPr>
        <w:wordWrap w:val="0"/>
        <w:spacing w:line="360" w:lineRule="auto"/>
        <w:ind w:firstLine="480" w:firstLineChars="200"/>
        <w:rPr>
          <w:rFonts w:ascii="宋体" w:hAnsi="宋体" w:eastAsia="宋体" w:cs="宋体"/>
          <w:color w:val="auto"/>
          <w:sz w:val="24"/>
          <w:szCs w:val="24"/>
          <w:highlight w:val="none"/>
          <w:u w:val="single"/>
        </w:rPr>
      </w:pPr>
    </w:p>
    <w:p>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3.4 技术文件详细评审</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 评标委员会按本章第2.2款规定的量化因素和分值进行打分，并计算出综合得分。</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pPr>
        <w:wordWrap w:val="0"/>
        <w:spacing w:line="360" w:lineRule="auto"/>
        <w:ind w:firstLine="480" w:firstLineChars="200"/>
        <w:rPr>
          <w:rFonts w:ascii="宋体" w:hAnsi="宋体" w:eastAsia="宋体" w:cs="宋体"/>
          <w:color w:val="auto"/>
          <w:sz w:val="24"/>
          <w:szCs w:val="24"/>
          <w:highlight w:val="none"/>
          <w:u w:val="single"/>
        </w:rPr>
      </w:pPr>
    </w:p>
    <w:p>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3.5 揭晓技术文件评审结果</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由评标委员会在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电子交易系统揭晓，系统自动形成暗标编码表显示各投标单位对应的编码，并由评标委员会确认投标人技术文件的评审得分。</w:t>
      </w:r>
    </w:p>
    <w:p>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6</w:t>
      </w:r>
      <w:r>
        <w:rPr>
          <w:rFonts w:hint="eastAsia" w:ascii="宋体" w:hAnsi="宋体" w:eastAsia="宋体" w:cs="宋体"/>
          <w:b/>
          <w:bCs/>
          <w:color w:val="auto"/>
          <w:spacing w:val="1"/>
          <w:sz w:val="28"/>
          <w:szCs w:val="32"/>
          <w:highlight w:val="none"/>
        </w:rPr>
        <w:t xml:space="preserve"> </w:t>
      </w:r>
      <w:r>
        <w:rPr>
          <w:rFonts w:hint="eastAsia" w:ascii="宋体" w:hAnsi="宋体" w:eastAsia="宋体" w:cs="宋体"/>
          <w:b/>
          <w:bCs/>
          <w:strike/>
          <w:color w:val="auto"/>
          <w:spacing w:val="1"/>
          <w:sz w:val="28"/>
          <w:szCs w:val="32"/>
          <w:highlight w:val="none"/>
        </w:rPr>
        <w:t>汇总投标人总得分</w:t>
      </w:r>
      <w:r>
        <w:rPr>
          <w:rFonts w:hint="eastAsia" w:ascii="宋体" w:hAnsi="宋体" w:eastAsia="宋体" w:cs="宋体"/>
          <w:b/>
          <w:bCs/>
          <w:strike w:val="0"/>
          <w:color w:val="auto"/>
          <w:spacing w:val="1"/>
          <w:sz w:val="28"/>
          <w:szCs w:val="32"/>
          <w:highlight w:val="none"/>
          <w:u w:val="single"/>
        </w:rPr>
        <w:t>报价评审及</w:t>
      </w:r>
      <w:r>
        <w:rPr>
          <w:rFonts w:hint="eastAsia" w:ascii="宋体" w:hAnsi="宋体" w:eastAsia="宋体" w:cs="宋体"/>
          <w:b/>
          <w:bCs/>
          <w:strike w:val="0"/>
          <w:color w:val="auto"/>
          <w:spacing w:val="1"/>
          <w:sz w:val="28"/>
          <w:szCs w:val="32"/>
          <w:highlight w:val="none"/>
        </w:rPr>
        <w:t>汇总投标人总得分</w:t>
      </w:r>
    </w:p>
    <w:p>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strike/>
          <w:color w:val="auto"/>
          <w:sz w:val="24"/>
          <w:szCs w:val="24"/>
          <w:highlight w:val="none"/>
        </w:rPr>
        <w:t>评标委员会按本章第2.2款规定的量化因素和分值进行打分，并计算出综合得分。</w:t>
      </w:r>
    </w:p>
    <w:p>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（1）按本章第2.2.4（1）目规定的评审因素和分值对商务文件部分计算出得分A；</w:t>
      </w:r>
    </w:p>
    <w:p>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（2）按本章第2.2.4（2）目规定的评审因素和分值对技术文件部分计算出得分B；</w:t>
      </w:r>
    </w:p>
    <w:p>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（3）按本章第2.2.4（3）目规定的评审因素和分值对投标报价计算出得分C；</w:t>
      </w:r>
    </w:p>
    <w:p>
      <w:pPr>
        <w:wordWrap w:val="0"/>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（4）按本章第2.2.4（4）目规定的评审因素和分值对其他部分计算出得分D。</w:t>
      </w:r>
    </w:p>
    <w:p>
      <w:pPr>
        <w:wordWrap w:val="0"/>
        <w:spacing w:line="360" w:lineRule="auto"/>
        <w:ind w:firstLine="482" w:firstLineChars="200"/>
        <w:rPr>
          <w:rFonts w:hint="eastAsia" w:ascii="宋体" w:hAnsi="宋体" w:eastAsia="宋体" w:cs="宋体"/>
          <w:strike/>
          <w:color w:val="auto"/>
          <w:sz w:val="24"/>
          <w:szCs w:val="24"/>
          <w:highlight w:val="none"/>
        </w:rPr>
      </w:pPr>
      <w:r>
        <w:rPr>
          <w:rFonts w:hint="eastAsia" w:ascii="宋体" w:hAnsi="宋体" w:eastAsia="宋体"/>
          <w:b/>
          <w:bCs/>
          <w:color w:val="auto"/>
          <w:sz w:val="24"/>
          <w:szCs w:val="24"/>
          <w:highlight w:val="none"/>
          <w:u w:val="single"/>
        </w:rPr>
        <w:t>报价评审，评标委员会按本章第2.2款规定的评审因素计算各投标人</w:t>
      </w:r>
      <w:r>
        <w:rPr>
          <w:rFonts w:hint="eastAsia" w:ascii="宋体" w:hAnsi="宋体" w:eastAsia="宋体"/>
          <w:b/>
          <w:bCs/>
          <w:color w:val="auto"/>
          <w:sz w:val="24"/>
          <w:szCs w:val="24"/>
          <w:highlight w:val="none"/>
          <w:u w:val="single"/>
          <w:lang w:val="en-US" w:eastAsia="zh-CN"/>
        </w:rPr>
        <w:t>投标报价</w:t>
      </w:r>
      <w:r>
        <w:rPr>
          <w:rFonts w:hint="eastAsia" w:ascii="宋体" w:hAnsi="宋体" w:eastAsia="宋体"/>
          <w:b/>
          <w:bCs/>
          <w:color w:val="auto"/>
          <w:sz w:val="24"/>
          <w:szCs w:val="24"/>
          <w:highlight w:val="none"/>
          <w:u w:val="single"/>
        </w:rPr>
        <w:t>的得分C，分数出现小数点，保留小数点后二位，第三位小数四舍五入。</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strike/>
          <w:color w:val="auto"/>
          <w:sz w:val="24"/>
          <w:szCs w:val="24"/>
          <w:highlight w:val="none"/>
        </w:rPr>
        <w:t>评分分值计算保留小数点后两位，小数点后第三位“四舍五入”。</w:t>
      </w:r>
      <w:r>
        <w:rPr>
          <w:rFonts w:hint="eastAsia" w:ascii="宋体" w:hAnsi="宋体" w:eastAsia="宋体" w:cs="宋体"/>
          <w:b/>
          <w:bCs/>
          <w:color w:val="auto"/>
          <w:sz w:val="24"/>
          <w:szCs w:val="24"/>
          <w:highlight w:val="none"/>
          <w:u w:val="single"/>
        </w:rPr>
        <w:t>评标委员会按本章第</w:t>
      </w:r>
      <w:r>
        <w:rPr>
          <w:rFonts w:ascii="宋体" w:hAnsi="宋体" w:eastAsia="宋体" w:cs="宋体"/>
          <w:b/>
          <w:bCs/>
          <w:color w:val="auto"/>
          <w:sz w:val="24"/>
          <w:szCs w:val="24"/>
          <w:highlight w:val="none"/>
          <w:u w:val="single"/>
        </w:rPr>
        <w:t>2.2.1款的规定汇总各</w:t>
      </w:r>
      <w:r>
        <w:rPr>
          <w:rFonts w:hint="eastAsia" w:ascii="宋体" w:hAnsi="宋体" w:eastAsia="宋体" w:cs="宋体"/>
          <w:b/>
          <w:bCs/>
          <w:color w:val="auto"/>
          <w:sz w:val="24"/>
          <w:szCs w:val="24"/>
          <w:highlight w:val="none"/>
          <w:u w:val="single"/>
        </w:rPr>
        <w:t>投标人</w:t>
      </w:r>
      <w:r>
        <w:rPr>
          <w:rFonts w:ascii="宋体" w:hAnsi="宋体" w:eastAsia="宋体" w:cs="宋体"/>
          <w:b/>
          <w:bCs/>
          <w:color w:val="auto"/>
          <w:sz w:val="24"/>
          <w:szCs w:val="24"/>
          <w:highlight w:val="none"/>
          <w:u w:val="single"/>
        </w:rPr>
        <w:t>的总得分。</w:t>
      </w:r>
    </w:p>
    <w:p>
      <w:pPr>
        <w:wordWrap w:val="0"/>
        <w:spacing w:line="360" w:lineRule="auto"/>
        <w:ind w:firstLine="480" w:firstLineChars="200"/>
        <w:rPr>
          <w:rFonts w:ascii="宋体" w:hAnsi="宋体" w:eastAsia="宋体" w:cs="宋体"/>
          <w:strike/>
          <w:color w:val="auto"/>
          <w:sz w:val="24"/>
          <w:szCs w:val="24"/>
          <w:highlight w:val="none"/>
          <w:u w:val="single"/>
        </w:rPr>
      </w:pPr>
      <w:r>
        <w:rPr>
          <w:rFonts w:hint="eastAsia" w:ascii="宋体" w:hAnsi="宋体" w:eastAsia="宋体" w:cs="宋体"/>
          <w:strike/>
          <w:color w:val="auto"/>
          <w:sz w:val="24"/>
          <w:szCs w:val="24"/>
          <w:highlight w:val="none"/>
        </w:rPr>
        <w:t>3.6.3 投标人得分=A+B+C+D。</w:t>
      </w:r>
    </w:p>
    <w:p>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7</w:t>
      </w:r>
      <w:r>
        <w:rPr>
          <w:rFonts w:hint="eastAsia" w:ascii="宋体" w:hAnsi="宋体" w:eastAsia="宋体" w:cs="宋体"/>
          <w:b/>
          <w:bCs/>
          <w:color w:val="auto"/>
          <w:spacing w:val="1"/>
          <w:sz w:val="28"/>
          <w:szCs w:val="32"/>
          <w:highlight w:val="none"/>
        </w:rPr>
        <w:t xml:space="preserve"> 投标文件的澄清</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 澄清、说明或补正不得超出投标文件的范围且不得改变投标文件实质性内容，并构成投标文件的组成部分。</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 评标委员会对投标人提交的澄清、说明或补正有疑问的，可以要求投标人进一步澄清、说明或补正，直到满足评标委员会的要求。</w:t>
      </w:r>
    </w:p>
    <w:p>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3.7.4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wordWrap w:val="0"/>
        <w:spacing w:line="360" w:lineRule="auto"/>
        <w:ind w:firstLine="480" w:firstLineChars="200"/>
        <w:rPr>
          <w:rFonts w:ascii="宋体" w:hAnsi="宋体" w:eastAsia="宋体" w:cs="宋体"/>
          <w:color w:val="auto"/>
          <w:sz w:val="24"/>
          <w:szCs w:val="24"/>
          <w:highlight w:val="none"/>
        </w:rPr>
      </w:pPr>
    </w:p>
    <w:p>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3.</w:t>
      </w:r>
      <w:r>
        <w:rPr>
          <w:rFonts w:hint="eastAsia" w:ascii="宋体" w:hAnsi="宋体" w:eastAsia="宋体" w:cs="宋体"/>
          <w:b/>
          <w:bCs/>
          <w:color w:val="auto"/>
          <w:spacing w:val="1"/>
          <w:sz w:val="28"/>
          <w:szCs w:val="32"/>
          <w:highlight w:val="none"/>
        </w:rPr>
        <w:t>8</w:t>
      </w:r>
      <w:r>
        <w:rPr>
          <w:rFonts w:hint="eastAsia" w:ascii="宋体" w:hAnsi="宋体" w:eastAsia="宋体" w:cs="宋体"/>
          <w:b/>
          <w:bCs/>
          <w:color w:val="auto"/>
          <w:spacing w:val="1"/>
          <w:sz w:val="28"/>
          <w:szCs w:val="32"/>
          <w:highlight w:val="none"/>
          <w:lang w:val="zh-CN"/>
        </w:rPr>
        <w:t xml:space="preserve"> 评标结果</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3.8.1 除第二章“投标人须知”前附表授权直接确定中标人外，评标委员会按照得分由高到低的顺序推荐中标候选人，并标明排序。</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评标委员会完成评标后，应当向招标人提交书面评标报告和中标候选人名单。</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3.8.3 如采用评标定标分离方法的，按相关规定执行。</w:t>
      </w:r>
      <w:bookmarkEnd w:id="221"/>
      <w:bookmarkEnd w:id="222"/>
      <w:bookmarkEnd w:id="223"/>
      <w:bookmarkStart w:id="229" w:name="_Toc111186791"/>
      <w:bookmarkStart w:id="230" w:name="_Toc6080"/>
    </w:p>
    <w:bookmarkEnd w:id="229"/>
    <w:bookmarkEnd w:id="230"/>
    <w:p>
      <w:pPr>
        <w:widowControl/>
        <w:wordWrap w:val="0"/>
        <w:jc w:val="left"/>
        <w:rPr>
          <w:rFonts w:ascii="宋体" w:hAnsi="宋体" w:eastAsia="宋体" w:cs="宋体"/>
          <w:b/>
          <w:bCs/>
          <w:color w:val="auto"/>
          <w:kern w:val="0"/>
          <w:sz w:val="24"/>
          <w:szCs w:val="24"/>
          <w:highlight w:val="none"/>
          <w:lang w:val="zh-CN"/>
        </w:rPr>
      </w:pPr>
      <w:r>
        <w:rPr>
          <w:rFonts w:ascii="宋体" w:hAnsi="宋体" w:eastAsia="宋体" w:cs="宋体"/>
          <w:b/>
          <w:bCs/>
          <w:color w:val="auto"/>
          <w:kern w:val="0"/>
          <w:sz w:val="24"/>
          <w:szCs w:val="24"/>
          <w:highlight w:val="none"/>
          <w:lang w:val="zh-CN"/>
        </w:rPr>
        <w:br w:type="page"/>
      </w:r>
    </w:p>
    <w:p>
      <w:pPr>
        <w:keepNext/>
        <w:keepLines/>
        <w:wordWrap w:val="0"/>
        <w:spacing w:line="360" w:lineRule="auto"/>
        <w:ind w:firstLine="482" w:firstLineChars="200"/>
        <w:jc w:val="center"/>
        <w:outlineLvl w:val="1"/>
        <w:rPr>
          <w:rFonts w:ascii="宋体" w:hAnsi="宋体" w:eastAsia="宋体" w:cs="宋体"/>
          <w:b/>
          <w:bCs/>
          <w:color w:val="auto"/>
          <w:kern w:val="0"/>
          <w:sz w:val="24"/>
          <w:szCs w:val="24"/>
          <w:highlight w:val="none"/>
          <w:lang w:val="zh-CN"/>
        </w:rPr>
        <w:sectPr>
          <w:type w:val="continuous"/>
          <w:pgSz w:w="11905" w:h="16838"/>
          <w:pgMar w:top="1474" w:right="1701" w:bottom="1474" w:left="1701" w:header="720" w:footer="720" w:gutter="0"/>
          <w:cols w:space="720" w:num="1"/>
        </w:sectPr>
      </w:pPr>
    </w:p>
    <w:p>
      <w:pPr>
        <w:pStyle w:val="3"/>
        <w:rPr>
          <w:color w:val="auto"/>
          <w:highlight w:val="none"/>
        </w:rPr>
      </w:pPr>
      <w:bookmarkStart w:id="231" w:name="_Toc111186799"/>
      <w:bookmarkStart w:id="232" w:name="_Toc193358019"/>
      <w:r>
        <w:rPr>
          <w:rFonts w:hint="eastAsia"/>
          <w:color w:val="auto"/>
          <w:highlight w:val="none"/>
        </w:rPr>
        <w:t>第四章  合同条款及格式</w:t>
      </w:r>
      <w:bookmarkEnd w:id="231"/>
      <w:bookmarkEnd w:id="232"/>
    </w:p>
    <w:p>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pPr>
        <w:widowControl/>
        <w:wordWrap w:val="0"/>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pPr>
        <w:wordWrap w:val="0"/>
        <w:autoSpaceDE w:val="0"/>
        <w:autoSpaceDN w:val="0"/>
        <w:spacing w:line="200" w:lineRule="exact"/>
        <w:jc w:val="left"/>
        <w:rPr>
          <w:rFonts w:ascii="宋体" w:hAnsi="宋体" w:eastAsia="宋体" w:cs="宋体"/>
          <w:color w:val="auto"/>
          <w:kern w:val="0"/>
          <w:sz w:val="20"/>
          <w:szCs w:val="20"/>
          <w:highlight w:val="none"/>
        </w:rPr>
        <w:sectPr>
          <w:type w:val="continuous"/>
          <w:pgSz w:w="11905" w:h="16838"/>
          <w:pgMar w:top="1474" w:right="1701" w:bottom="1474" w:left="1701" w:header="720" w:footer="720" w:gutter="0"/>
          <w:cols w:space="720" w:num="1"/>
          <w:docGrid w:linePitch="286" w:charSpace="0"/>
        </w:sectPr>
      </w:pPr>
    </w:p>
    <w:p>
      <w:pPr>
        <w:pStyle w:val="3"/>
        <w:rPr>
          <w:color w:val="auto"/>
          <w:highlight w:val="none"/>
        </w:rPr>
      </w:pPr>
      <w:bookmarkStart w:id="233" w:name="_Toc111186800"/>
      <w:bookmarkStart w:id="234" w:name="_Toc82786981"/>
      <w:bookmarkStart w:id="235" w:name="_Toc193358020"/>
      <w:r>
        <w:rPr>
          <w:rFonts w:hint="eastAsia"/>
          <w:color w:val="auto"/>
          <w:highlight w:val="none"/>
        </w:rPr>
        <w:t>第二卷</w:t>
      </w:r>
      <w:bookmarkEnd w:id="233"/>
      <w:bookmarkEnd w:id="234"/>
      <w:bookmarkEnd w:id="235"/>
    </w:p>
    <w:p>
      <w:pPr>
        <w:widowControl/>
        <w:wordWrap w:val="0"/>
        <w:jc w:val="left"/>
        <w:rPr>
          <w:rFonts w:ascii="宋体" w:hAnsi="宋体" w:eastAsia="宋体" w:cs="宋体"/>
          <w:color w:val="auto"/>
          <w:kern w:val="0"/>
          <w:sz w:val="14"/>
          <w:szCs w:val="14"/>
          <w:highlight w:val="none"/>
        </w:rPr>
        <w:sectPr>
          <w:type w:val="continuous"/>
          <w:pgSz w:w="11905" w:h="16838"/>
          <w:pgMar w:top="1474" w:right="1701" w:bottom="1474" w:left="1701" w:header="720" w:footer="720" w:gutter="0"/>
          <w:cols w:space="720" w:num="1"/>
        </w:sectPr>
      </w:pPr>
    </w:p>
    <w:p>
      <w:pPr>
        <w:pStyle w:val="3"/>
        <w:rPr>
          <w:color w:val="auto"/>
          <w:highlight w:val="none"/>
        </w:rPr>
      </w:pPr>
      <w:bookmarkStart w:id="236" w:name="_Toc193358021"/>
      <w:r>
        <w:rPr>
          <w:rFonts w:hint="eastAsia"/>
          <w:color w:val="auto"/>
          <w:highlight w:val="none"/>
        </w:rPr>
        <w:t xml:space="preserve">第五章 </w:t>
      </w:r>
      <w:r>
        <w:rPr>
          <w:color w:val="auto"/>
          <w:highlight w:val="none"/>
        </w:rPr>
        <w:t xml:space="preserve"> </w:t>
      </w:r>
      <w:r>
        <w:rPr>
          <w:rFonts w:hint="eastAsia"/>
          <w:color w:val="auto"/>
          <w:highlight w:val="none"/>
        </w:rPr>
        <w:t>发包人要求</w:t>
      </w:r>
      <w:bookmarkEnd w:id="236"/>
    </w:p>
    <w:p>
      <w:pPr>
        <w:jc w:val="center"/>
        <w:rPr>
          <w:rFonts w:ascii="宋体" w:hAnsi="宋体" w:cs="宋体"/>
          <w:b/>
          <w:color w:val="auto"/>
          <w:sz w:val="32"/>
          <w:highlight w:val="none"/>
        </w:rPr>
      </w:pPr>
      <w:r>
        <w:rPr>
          <w:rFonts w:hint="eastAsia" w:ascii="宋体" w:hAnsi="宋体" w:eastAsia="宋体" w:cs="宋体"/>
          <w:b/>
          <w:color w:val="auto"/>
          <w:sz w:val="32"/>
          <w:highlight w:val="none"/>
          <w:lang w:eastAsia="zh-CN"/>
        </w:rPr>
        <w:t>勘察</w:t>
      </w:r>
      <w:r>
        <w:rPr>
          <w:rFonts w:hint="eastAsia" w:ascii="宋体" w:hAnsi="宋体" w:eastAsia="宋体" w:cs="宋体"/>
          <w:b/>
          <w:color w:val="auto"/>
          <w:sz w:val="32"/>
          <w:highlight w:val="none"/>
        </w:rPr>
        <w:t>设计任务书</w:t>
      </w:r>
    </w:p>
    <w:p>
      <w:pPr>
        <w:spacing w:beforeLines="0" w:afterLines="0" w:line="336" w:lineRule="auto"/>
        <w:outlineLvl w:val="0"/>
        <w:rPr>
          <w:rFonts w:hint="eastAsia" w:ascii="宋体" w:hAnsi="宋体" w:cs="宋体"/>
          <w:b/>
          <w:color w:val="auto"/>
          <w:sz w:val="24"/>
          <w:highlight w:val="none"/>
        </w:rPr>
      </w:pPr>
      <w:r>
        <w:rPr>
          <w:rFonts w:hint="eastAsia" w:ascii="宋体" w:hAnsi="宋体" w:cs="宋体"/>
          <w:b/>
          <w:color w:val="auto"/>
          <w:sz w:val="24"/>
          <w:highlight w:val="none"/>
        </w:rPr>
        <w:t>一、工程背景</w:t>
      </w:r>
    </w:p>
    <w:p>
      <w:pPr>
        <w:spacing w:before="0" w:beforeLines="0" w:after="0" w:afterLines="0" w:line="336" w:lineRule="auto"/>
        <w:ind w:firstLine="420" w:firstLineChars="200"/>
        <w:jc w:val="left"/>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现有人民桥建成年代久远，结构老化严重，存在较大安全隐患，已无法满足通行需求及规划通航标准。重建工程将从根本上消除桥梁安全隐患，保障人民群众生命财产安全，有效解决了周边居民过河需求，切实履行政府公共服务职能。</w:t>
      </w:r>
    </w:p>
    <w:p>
      <w:pPr>
        <w:spacing w:beforeLines="0" w:afterLines="0" w:line="336"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二、工程范围</w:t>
      </w:r>
    </w:p>
    <w:p>
      <w:pPr>
        <w:spacing w:before="0" w:beforeLines="0" w:after="0" w:afterLines="0" w:line="336" w:lineRule="auto"/>
        <w:ind w:firstLine="420" w:firstLineChars="200"/>
        <w:jc w:val="left"/>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改造道路长约0.72公里（包含重建桥梁长度），为城市支路，炭步人民桥拆重建桥梁总长328.24m，最大跨度120m，中心学校桥梁重建总长44.12m，桥梁标准宽度8.6m。建设内容包括：建设内容包括桥梁工程(不含拆桥工程)、道路工程、交通工程、给排水工程（排水管DN600，给水管DN300）、照明工程、海绵城市工程、其他附属工程等。</w:t>
      </w:r>
    </w:p>
    <w:p>
      <w:pPr>
        <w:spacing w:before="0" w:beforeLines="0" w:after="0" w:afterLines="0" w:line="336" w:lineRule="auto"/>
        <w:jc w:val="left"/>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设计要求</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（1）设计方案必须满足国家、省和市有关建设方针、政策、规范、规程同时满足技术标准、通行能力的要求，并考虑工程造价、经济效益和社会效益等综合因素。</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（2）设计方案能正确理解并执行建设意图，与周边路网、管网规划协调一致，交通组织完善合理，总体思路清晰，路线平、纵、横等设计科学合理；道路、</w:t>
      </w:r>
      <w:r>
        <w:rPr>
          <w:rFonts w:hint="eastAsia" w:ascii="宋体" w:hAnsi="宋体" w:cs="宋体"/>
          <w:color w:val="auto"/>
          <w:szCs w:val="21"/>
          <w:highlight w:val="none"/>
          <w:lang w:val="en-US" w:eastAsia="zh-CN"/>
        </w:rPr>
        <w:t>桥梁</w:t>
      </w:r>
      <w:r>
        <w:rPr>
          <w:rFonts w:hint="eastAsia" w:ascii="宋体" w:hAnsi="宋体" w:eastAsia="宋体" w:cs="宋体"/>
          <w:color w:val="auto"/>
          <w:szCs w:val="21"/>
          <w:highlight w:val="none"/>
          <w:lang w:val="en-US" w:eastAsia="zh-CN"/>
        </w:rPr>
        <w:t xml:space="preserve">、排水及管线之间的关系处理得当。 </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（3）设计方案可以充分结合周边现状，尽量减少重复开挖、边坡处理生态自然。</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桥梁</w:t>
      </w:r>
      <w:r>
        <w:rPr>
          <w:rFonts w:hint="eastAsia" w:ascii="宋体" w:hAnsi="宋体" w:eastAsia="宋体" w:cs="宋体"/>
          <w:color w:val="auto"/>
          <w:szCs w:val="21"/>
          <w:highlight w:val="none"/>
          <w:lang w:val="en-US" w:eastAsia="zh-CN"/>
        </w:rPr>
        <w:t>公用设施（绿化照明、行人设施等）设计科学合理、处理得当、特点鲜明。</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（5）运用低冲击开发模式的理念及相关新技术，在雨水的综合利用，控制径流系数及面源污染，绿色道路照明方面有创新亮点，体现未来城市样板区基础设施的特点。</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（6）施工期间交通组织，施工实施方案切合实际，与周边在建道路、河涌、湖体的施工衔接措施及建议得当。</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（7）勘察方案合理可行，勘察的重点、难点理解准确，建议合理可行；勘察工作流程规范，工期进度计划合理可行。</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（8）工程总投资合理，节约工程总投资的措施及理由合理、可信、可行，投资估算编制依据正确，达到相应的深度要求，编制质量高。</w:t>
      </w:r>
    </w:p>
    <w:p>
      <w:pPr>
        <w:spacing w:before="0" w:beforeLines="0" w:after="0" w:afterLines="0" w:line="336" w:lineRule="auto"/>
        <w:jc w:val="left"/>
        <w:outlineLvl w:val="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四、技术难点</w:t>
      </w:r>
    </w:p>
    <w:p>
      <w:pPr>
        <w:spacing w:beforeLines="0" w:afterLines="0" w:line="336"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（1）项目周边</w:t>
      </w:r>
      <w:r>
        <w:rPr>
          <w:rFonts w:hint="eastAsia" w:ascii="宋体" w:hAnsi="宋体" w:cs="宋体"/>
          <w:color w:val="auto"/>
          <w:szCs w:val="21"/>
          <w:highlight w:val="none"/>
          <w:lang w:val="en-US" w:eastAsia="zh-CN"/>
        </w:rPr>
        <w:t>有学校、居民</w:t>
      </w:r>
      <w:r>
        <w:rPr>
          <w:rFonts w:hint="eastAsia" w:ascii="宋体" w:hAnsi="宋体" w:eastAsia="宋体" w:cs="宋体"/>
          <w:color w:val="auto"/>
          <w:szCs w:val="21"/>
          <w:highlight w:val="none"/>
          <w:lang w:val="en-US" w:eastAsia="zh-CN"/>
        </w:rPr>
        <w:t>，施工期间需注意降噪防扰民措施；</w:t>
      </w:r>
    </w:p>
    <w:p>
      <w:pPr>
        <w:spacing w:before="0" w:beforeLines="0" w:after="0" w:afterLines="0" w:line="336" w:lineRule="auto"/>
        <w:jc w:val="left"/>
        <w:outlineLvl w:val="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编制依据</w:t>
      </w:r>
    </w:p>
    <w:p>
      <w:pPr>
        <w:spacing w:beforeLines="0" w:afterLines="0" w:line="336"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《城市道路路线设计规范》CJJ193-2012</w:t>
      </w:r>
    </w:p>
    <w:p>
      <w:pPr>
        <w:spacing w:beforeLines="0" w:afterLines="0" w:line="336"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《城市道路工程设计规范》CJJ37-2012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2016版</w:t>
      </w:r>
      <w:r>
        <w:rPr>
          <w:rFonts w:hint="eastAsia" w:ascii="宋体" w:hAnsi="宋体" w:eastAsia="宋体" w:cs="宋体"/>
          <w:color w:val="auto"/>
          <w:szCs w:val="21"/>
          <w:highlight w:val="none"/>
          <w:lang w:eastAsia="zh-CN"/>
        </w:rPr>
        <w:t>）</w:t>
      </w:r>
    </w:p>
    <w:p>
      <w:pPr>
        <w:spacing w:beforeLines="0" w:afterLines="0" w:line="336"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《城市道路路面设计规范》CJJ169-2012</w:t>
      </w:r>
    </w:p>
    <w:p>
      <w:pPr>
        <w:spacing w:beforeLines="0" w:afterLines="0" w:line="336"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《城镇道路养护技术规范》CJJ 36-20</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w:t>
      </w:r>
    </w:p>
    <w:p>
      <w:pPr>
        <w:spacing w:beforeLines="0" w:afterLines="0" w:line="336"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《城市道路交叉口规划规范》GB50647-2011</w:t>
      </w:r>
    </w:p>
    <w:p>
      <w:pPr>
        <w:spacing w:beforeLines="0" w:afterLines="0" w:line="336" w:lineRule="auto"/>
        <w:ind w:firstLine="42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《无障碍设计规范》GB50763-20</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2</w:t>
      </w:r>
    </w:p>
    <w:p>
      <w:pPr>
        <w:spacing w:beforeLines="0" w:afterLines="0" w:line="336"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《道路交通标志和标线》GB5768-2009</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《道路交通信号灯设置与安装规范》GB 14886-20</w:t>
      </w:r>
      <w:r>
        <w:rPr>
          <w:rFonts w:hint="eastAsia" w:ascii="宋体" w:hAnsi="宋体" w:eastAsia="宋体" w:cs="宋体"/>
          <w:color w:val="auto"/>
          <w:szCs w:val="21"/>
          <w:highlight w:val="none"/>
          <w:lang w:val="en-US" w:eastAsia="zh-CN"/>
        </w:rPr>
        <w:t>16</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《公路工程技术标准》（JTG B01-2014）</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《公路桥梁抗震设计细则》（JTG/T B02-01-2008）</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《公路桥涵设计通用规范》（JTG D60-2015）</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《公路钢筋混凝土及预应力混凝土桥涵设计规范》（JTG D62-2004）</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《公路桥涵地基与基础设计规范》（JTG D63-2007）</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《公路工程混凝土结构防腐蚀技术规程》（JTG/T B07-01-2006）</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《混凝土耐久性设计规范》（GBT 50746-2008）</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《公路桥涵施工技术规范》（JTG/TF50-2011）</w:t>
      </w:r>
    </w:p>
    <w:p>
      <w:pPr>
        <w:spacing w:beforeLines="0" w:afterLines="0" w:line="336" w:lineRule="auto"/>
        <w:ind w:firstLine="42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《城市桥梁设计规范》（CJJ 11-2011）</w:t>
      </w:r>
    </w:p>
    <w:p>
      <w:pPr>
        <w:spacing w:before="0" w:beforeLines="0" w:after="0" w:afterLines="0" w:line="336" w:lineRule="auto"/>
        <w:jc w:val="left"/>
        <w:outlineLvl w:val="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eastAsia="宋体" w:cs="宋体"/>
          <w:b/>
          <w:color w:val="auto"/>
          <w:sz w:val="24"/>
          <w:highlight w:val="none"/>
          <w:lang w:val="en-US" w:eastAsia="zh-CN"/>
        </w:rPr>
        <w:t>、道路</w:t>
      </w:r>
      <w:r>
        <w:rPr>
          <w:rFonts w:hint="eastAsia" w:ascii="宋体" w:hAnsi="宋体" w:eastAsia="宋体" w:cs="宋体"/>
          <w:b/>
          <w:color w:val="auto"/>
          <w:sz w:val="24"/>
          <w:highlight w:val="none"/>
        </w:rPr>
        <w:t>技术标准</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桥梁技术指标：</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（1）设计安全等级：I级；</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（2）结构重要系数：1.1；</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（3）环境类别：I类；</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（4）设计基准期：100年；</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（5）设计使用年限：100年；</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（6）荷载标准：考虑应急情况走车，暂按人群与城-B荷载包络考虑；</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（7）标准桥面宽度： 0.3(栏杆)+8（人行道）+0.3m（栏杆）=8.6m</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（8）纵坡：3.97%接-5.5296%，中间采用R=500m半径竖曲线。</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（9）平曲线：主梁位于直线段。</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（11）Ⅲ级通航，通航净空尺寸为110m×10m，最高通航水位7.986m。</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（11）项目采用广州城建坐标系，广州城建高程系统。</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道路技术指标：</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（1）道路等级：支路</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（2）路拱横坡：2%</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（3）标准轴载：100KN</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（4）设计年限累计标准轴次：1500万次/车道</w:t>
      </w:r>
    </w:p>
    <w:p>
      <w:pPr>
        <w:spacing w:beforeLines="0" w:afterLines="0" w:line="336" w:lineRule="auto"/>
        <w:ind w:firstLine="42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（5）路面类型：沥青罩面</w:t>
      </w:r>
    </w:p>
    <w:p>
      <w:pPr>
        <w:rPr>
          <w:rFonts w:hint="eastAsia"/>
          <w:color w:val="auto"/>
          <w:highlight w:val="none"/>
        </w:rPr>
      </w:pPr>
      <w:bookmarkStart w:id="237" w:name="_Toc82786986"/>
      <w:bookmarkStart w:id="238" w:name="_Toc193358022"/>
      <w:bookmarkStart w:id="239" w:name="_Toc111186802"/>
      <w:r>
        <w:rPr>
          <w:rFonts w:hint="eastAsia"/>
          <w:color w:val="auto"/>
          <w:highlight w:val="none"/>
        </w:rPr>
        <w:br w:type="page"/>
      </w:r>
    </w:p>
    <w:p>
      <w:pPr>
        <w:pStyle w:val="3"/>
        <w:rPr>
          <w:color w:val="auto"/>
          <w:highlight w:val="none"/>
        </w:rPr>
      </w:pPr>
      <w:r>
        <w:rPr>
          <w:rFonts w:hint="eastAsia"/>
          <w:color w:val="auto"/>
          <w:highlight w:val="none"/>
        </w:rPr>
        <w:t>第三卷</w:t>
      </w:r>
      <w:bookmarkEnd w:id="237"/>
      <w:bookmarkEnd w:id="238"/>
      <w:bookmarkEnd w:id="239"/>
    </w:p>
    <w:p>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pPr>
        <w:pStyle w:val="3"/>
        <w:rPr>
          <w:color w:val="auto"/>
          <w:highlight w:val="none"/>
        </w:rPr>
        <w:sectPr>
          <w:type w:val="continuous"/>
          <w:pgSz w:w="11905" w:h="16838"/>
          <w:pgMar w:top="1474" w:right="1701" w:bottom="1474" w:left="1701" w:header="720" w:footer="720" w:gutter="0"/>
          <w:cols w:space="720" w:num="1"/>
        </w:sectPr>
      </w:pPr>
      <w:bookmarkStart w:id="240" w:name="_Toc193358023"/>
      <w:bookmarkStart w:id="241" w:name="_Toc111186803"/>
      <w:r>
        <w:rPr>
          <w:rFonts w:hint="eastAsia"/>
          <w:color w:val="auto"/>
          <w:highlight w:val="none"/>
        </w:rPr>
        <w:t>第六章  投标文件格式</w:t>
      </w:r>
      <w:bookmarkEnd w:id="240"/>
      <w:bookmarkEnd w:id="241"/>
    </w:p>
    <w:p>
      <w:pPr>
        <w:pStyle w:val="5"/>
        <w:wordWrap w:val="0"/>
        <w:rPr>
          <w:color w:val="auto"/>
          <w:highlight w:val="none"/>
        </w:rPr>
      </w:pPr>
      <w:bookmarkStart w:id="242" w:name="_Toc111186804"/>
      <w:bookmarkStart w:id="243" w:name="_Toc18166"/>
      <w:bookmarkStart w:id="244" w:name="_Toc193358024"/>
      <w:r>
        <w:rPr>
          <w:rFonts w:hint="eastAsia"/>
          <w:color w:val="auto"/>
          <w:highlight w:val="none"/>
        </w:rPr>
        <w:t>1.</w:t>
      </w:r>
      <w:bookmarkEnd w:id="242"/>
      <w:bookmarkEnd w:id="243"/>
      <w:bookmarkEnd w:id="244"/>
      <w:r>
        <w:rPr>
          <w:rFonts w:hint="eastAsia"/>
          <w:color w:val="auto"/>
          <w:highlight w:val="none"/>
        </w:rPr>
        <w:t xml:space="preserve"> 商务文件（含资格审查文件）包括以下资料：</w:t>
      </w:r>
    </w:p>
    <w:p>
      <w:pPr>
        <w:wordWrap w:val="0"/>
        <w:rPr>
          <w:rFonts w:ascii="宋体" w:hAnsi="宋体" w:eastAsia="宋体" w:cs="宋体"/>
          <w:color w:val="auto"/>
          <w:szCs w:val="24"/>
          <w:highlight w:val="none"/>
        </w:rPr>
        <w:sectPr>
          <w:type w:val="continuous"/>
          <w:pgSz w:w="11905" w:h="16838"/>
          <w:pgMar w:top="1474" w:right="1701" w:bottom="1474" w:left="1701" w:header="720" w:footer="720" w:gutter="0"/>
          <w:cols w:space="720" w:num="1"/>
        </w:sectPr>
      </w:pP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pPr>
        <w:widowControl/>
        <w:wordWrap w:val="0"/>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wordWrap w:val="0"/>
        <w:rPr>
          <w:rFonts w:ascii="宋体" w:hAnsi="宋体" w:eastAsia="宋体" w:cs="宋体"/>
          <w:b/>
          <w:bCs/>
          <w:color w:val="auto"/>
          <w:szCs w:val="21"/>
          <w:highlight w:val="none"/>
        </w:rPr>
        <w:sectPr>
          <w:type w:val="continuous"/>
          <w:pgSz w:w="11905" w:h="16838"/>
          <w:pgMar w:top="1474" w:right="1701" w:bottom="1474" w:left="1701" w:header="720" w:footer="720" w:gutter="0"/>
          <w:cols w:space="720" w:num="1"/>
        </w:sectPr>
      </w:pPr>
    </w:p>
    <w:p>
      <w:pPr>
        <w:pStyle w:val="6"/>
        <w:wordWrap w:val="0"/>
        <w:rPr>
          <w:color w:val="auto"/>
          <w:highlight w:val="none"/>
        </w:rPr>
      </w:pPr>
      <w:bookmarkStart w:id="245" w:name="_Toc20296"/>
      <w:bookmarkStart w:id="246" w:name="_Toc111186813"/>
      <w:bookmarkStart w:id="247" w:name="_Toc16936"/>
      <w:bookmarkStart w:id="248" w:name="_Toc111186812"/>
      <w:r>
        <w:rPr>
          <w:rFonts w:hint="eastAsia"/>
          <w:color w:val="auto"/>
          <w:highlight w:val="none"/>
        </w:rPr>
        <w:t>一</w:t>
      </w:r>
      <w:bookmarkEnd w:id="245"/>
      <w:bookmarkEnd w:id="246"/>
      <w:r>
        <w:rPr>
          <w:rFonts w:hint="eastAsia"/>
          <w:color w:val="auto"/>
          <w:highlight w:val="none"/>
        </w:rPr>
        <w:t>、投标函及投标函附录</w:t>
      </w:r>
    </w:p>
    <w:p>
      <w:pPr>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投标函</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招标项目招标文件全部内容及其补充文件和技术规范等文件，愿意以人民币</w:t>
      </w:r>
      <w:r>
        <w:rPr>
          <w:rFonts w:hint="default" w:ascii="宋体" w:hAnsi="宋体" w:eastAsia="宋体" w:cs="宋体"/>
          <w:color w:val="auto"/>
          <w:sz w:val="24"/>
          <w:szCs w:val="24"/>
          <w:highlight w:val="none"/>
          <w:lang w:val="en-US"/>
        </w:rPr>
        <w:t>（¥</w:t>
      </w:r>
      <w:r>
        <w:rPr>
          <w:rFonts w:hint="default" w:ascii="宋体" w:hAnsi="宋体" w:eastAsia="宋体" w:cs="宋体"/>
          <w:color w:val="auto"/>
          <w:sz w:val="24"/>
          <w:szCs w:val="24"/>
          <w:highlight w:val="none"/>
          <w:u w:val="single"/>
          <w:lang w:val="en-US"/>
        </w:rPr>
        <w:tab/>
      </w:r>
      <w:r>
        <w:rPr>
          <w:rFonts w:hint="default" w:ascii="宋体" w:hAnsi="宋体" w:eastAsia="宋体" w:cs="宋体"/>
          <w:color w:val="auto"/>
          <w:sz w:val="24"/>
          <w:szCs w:val="24"/>
          <w:highlight w:val="none"/>
          <w:u w:val="single"/>
          <w:lang w:val="en-US"/>
        </w:rPr>
        <w:tab/>
      </w:r>
      <w:r>
        <w:rPr>
          <w:rFonts w:hint="default"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元</w:t>
      </w:r>
      <w:r>
        <w:rPr>
          <w:rFonts w:hint="default"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的投标总报价，按合同约定完成勘察设计工作。我方项目负责人是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2.我方的投标文件包括下列内容：</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（3）联合体协议书(如有)；</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（4）投标人声明</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（5）投标保证金(如有)；</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（6）勘察设计费报价表；</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（8）商务文件；</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（9）技术文件（勘察设计方案）；</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（10）投标文件光盘（备用）。注：投标人也可不提交投标文件光盘（备用）</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4.如我方中标，我方承诺：</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（1）在收到中标通知书后，在法律法规规定的期限内与你方签订合同；</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（3）按照招标文件要求提交履约保证金；</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（5）承诺本项目拟投入的人员为本单位人员，并已按规定购买社保。</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5.如我方成为本项目的中标候选人，我方同意并授权招标人将我司投标文件商务部分的人员、业绩、奖项等资料进行公示。</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7.我方认同招标文件规定的评审规则，遵守评标委员会的裁决结果，并且不会采取妨碍项目进展的行为。我方理解你方没有必须接受你方可能收到的最低标或任何投标的义务。</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8.如果我方中标，我方将提供规定的履约担保，将在合同规定的日期开工，并在竣工时间内，按照上述文件完成项目。</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9.除非制定正式合同协议书并生效，本投标书以及你方中标通知书，应构成你我双方间具有约束力的合同。</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11.（其他补充说明）。</w:t>
      </w:r>
    </w:p>
    <w:p>
      <w:pPr>
        <w:wordWrap w:val="0"/>
        <w:spacing w:line="360" w:lineRule="auto"/>
        <w:rPr>
          <w:rFonts w:ascii="宋体" w:hAnsi="宋体" w:eastAsia="宋体" w:cs="宋体"/>
          <w:color w:val="auto"/>
          <w:sz w:val="24"/>
          <w:szCs w:val="24"/>
          <w:highlight w:val="none"/>
        </w:rPr>
      </w:pPr>
    </w:p>
    <w:p>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 xml:space="preserve">                          </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wordWrap w:val="0"/>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ordWrap w:val="0"/>
        <w:spacing w:line="360" w:lineRule="auto"/>
        <w:ind w:right="1200"/>
        <w:jc w:val="center"/>
        <w:rPr>
          <w:rFonts w:hint="eastAsia" w:ascii="宋体" w:hAnsi="宋体" w:eastAsia="宋体" w:cs="宋体"/>
          <w:b/>
          <w:bCs/>
          <w:color w:val="auto"/>
          <w:sz w:val="24"/>
          <w:szCs w:val="24"/>
          <w:highlight w:val="none"/>
          <w:u w:val="single"/>
        </w:rPr>
      </w:pPr>
    </w:p>
    <w:p>
      <w:pPr>
        <w:wordWrap w:val="0"/>
        <w:spacing w:line="360" w:lineRule="auto"/>
        <w:ind w:right="1200"/>
        <w:jc w:val="center"/>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u w:val="single"/>
        </w:rPr>
        <w:t>（注：如联合体投标人，由投标主办方盖章即可。）</w:t>
      </w:r>
    </w:p>
    <w:p>
      <w:pPr>
        <w:wordWrap w:val="0"/>
        <w:jc w:val="center"/>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szCs w:val="28"/>
          <w:highlight w:val="none"/>
        </w:rPr>
        <w:t>投标函附录</w:t>
      </w:r>
    </w:p>
    <w:p>
      <w:pPr>
        <w:wordWrap w:val="0"/>
        <w:jc w:val="center"/>
        <w:rPr>
          <w:rFonts w:ascii="宋体" w:hAnsi="宋体" w:eastAsia="宋体" w:cs="宋体"/>
          <w:b/>
          <w:bCs/>
          <w:color w:val="auto"/>
          <w:sz w:val="32"/>
          <w:szCs w:val="32"/>
          <w:highlight w:val="none"/>
        </w:rPr>
      </w:pPr>
    </w:p>
    <w:tbl>
      <w:tblPr>
        <w:tblStyle w:val="4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0"/>
        <w:gridCol w:w="2785"/>
        <w:gridCol w:w="2698"/>
        <w:gridCol w:w="1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3" w:type="pct"/>
            <w:tcBorders>
              <w:top w:val="single" w:color="auto" w:sz="4" w:space="0"/>
              <w:left w:val="single" w:color="auto" w:sz="4" w:space="0"/>
            </w:tcBorders>
            <w:vAlign w:val="center"/>
          </w:tcPr>
          <w:p>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36" w:type="pct"/>
            <w:tcBorders>
              <w:top w:val="single" w:color="auto" w:sz="4" w:space="0"/>
            </w:tcBorders>
            <w:vAlign w:val="center"/>
          </w:tcPr>
          <w:p>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585" w:type="pct"/>
            <w:tcBorders>
              <w:top w:val="single" w:color="auto" w:sz="4" w:space="0"/>
            </w:tcBorders>
            <w:vAlign w:val="center"/>
          </w:tcPr>
          <w:p>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约定内容</w:t>
            </w:r>
          </w:p>
        </w:tc>
        <w:tc>
          <w:tcPr>
            <w:tcW w:w="1056" w:type="pct"/>
            <w:tcBorders>
              <w:top w:val="single" w:color="auto" w:sz="4" w:space="0"/>
              <w:right w:val="single" w:color="auto" w:sz="4" w:space="0"/>
            </w:tcBorders>
            <w:vAlign w:val="center"/>
          </w:tcPr>
          <w:p>
            <w:pPr>
              <w:wordWrap w:val="0"/>
              <w:autoSpaceDE w:val="0"/>
              <w:autoSpaceDN w:val="0"/>
              <w:spacing w:line="276" w:lineRule="auto"/>
              <w:ind w:right="3"/>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tcBorders>
              <w:left w:val="single" w:color="auto" w:sz="4" w:space="0"/>
            </w:tcBorders>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36" w:type="pct"/>
            <w:vAlign w:val="center"/>
          </w:tcPr>
          <w:p>
            <w:pPr>
              <w:wordWrap w:val="0"/>
              <w:autoSpaceDE w:val="0"/>
              <w:autoSpaceDN w:val="0"/>
              <w:spacing w:line="276" w:lineRule="auto"/>
              <w:ind w:left="-4" w:leftChars="-2"/>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项目负责人</w:t>
            </w:r>
          </w:p>
        </w:tc>
        <w:tc>
          <w:tcPr>
            <w:tcW w:w="1585" w:type="pct"/>
            <w:vAlign w:val="center"/>
          </w:tcPr>
          <w:p>
            <w:pPr>
              <w:wordWrap w:val="0"/>
              <w:autoSpaceDE w:val="0"/>
              <w:autoSpaceDN w:val="0"/>
              <w:spacing w:line="276" w:lineRule="auto"/>
              <w:ind w:left="102"/>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p>
        </w:tc>
        <w:tc>
          <w:tcPr>
            <w:tcW w:w="1056" w:type="pct"/>
            <w:tcBorders>
              <w:right w:val="single" w:color="auto" w:sz="4" w:space="0"/>
            </w:tcBorders>
            <w:vAlign w:val="center"/>
          </w:tcPr>
          <w:p>
            <w:pPr>
              <w:wordWrap w:val="0"/>
              <w:spacing w:line="276" w:lineRule="auto"/>
              <w:jc w:val="center"/>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tcBorders>
              <w:left w:val="single" w:color="auto" w:sz="4" w:space="0"/>
            </w:tcBorders>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636" w:type="pct"/>
            <w:vAlign w:val="center"/>
          </w:tcPr>
          <w:p>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勘察设计服务期限</w:t>
            </w:r>
          </w:p>
        </w:tc>
        <w:tc>
          <w:tcPr>
            <w:tcW w:w="1585" w:type="pct"/>
            <w:vAlign w:val="center"/>
          </w:tcPr>
          <w:p>
            <w:pPr>
              <w:wordWrap w:val="0"/>
              <w:autoSpaceDE w:val="0"/>
              <w:autoSpaceDN w:val="0"/>
              <w:spacing w:line="276" w:lineRule="auto"/>
              <w:ind w:left="102"/>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tcBorders>
              <w:right w:val="single" w:color="auto" w:sz="4" w:space="0"/>
            </w:tcBorders>
            <w:vAlign w:val="center"/>
          </w:tcPr>
          <w:p>
            <w:pPr>
              <w:wordWrap w:val="0"/>
              <w:spacing w:line="276" w:lineRule="auto"/>
              <w:jc w:val="center"/>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tcBorders>
              <w:left w:val="single" w:color="auto" w:sz="4" w:space="0"/>
            </w:tcBorders>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36" w:type="pct"/>
            <w:vAlign w:val="center"/>
          </w:tcPr>
          <w:p>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3"/>
                <w:szCs w:val="21"/>
                <w:highlight w:val="none"/>
              </w:rPr>
              <w:t>价</w:t>
            </w:r>
            <w:r>
              <w:rPr>
                <w:rFonts w:hint="eastAsia" w:ascii="宋体" w:hAnsi="宋体" w:eastAsia="宋体" w:cs="宋体"/>
                <w:color w:val="auto"/>
                <w:szCs w:val="21"/>
                <w:highlight w:val="none"/>
              </w:rPr>
              <w:t>款</w:t>
            </w:r>
            <w:r>
              <w:rPr>
                <w:rFonts w:hint="eastAsia" w:ascii="宋体" w:hAnsi="宋体" w:eastAsia="宋体" w:cs="宋体"/>
                <w:color w:val="auto"/>
                <w:spacing w:val="-3"/>
                <w:szCs w:val="21"/>
                <w:highlight w:val="none"/>
              </w:rPr>
              <w:t>确</w:t>
            </w:r>
            <w:r>
              <w:rPr>
                <w:rFonts w:hint="eastAsia" w:ascii="宋体" w:hAnsi="宋体" w:eastAsia="宋体" w:cs="宋体"/>
                <w:color w:val="auto"/>
                <w:szCs w:val="21"/>
                <w:highlight w:val="none"/>
              </w:rPr>
              <w:t>定</w:t>
            </w:r>
            <w:r>
              <w:rPr>
                <w:rFonts w:hint="eastAsia" w:ascii="宋体" w:hAnsi="宋体" w:eastAsia="宋体" w:cs="宋体"/>
                <w:color w:val="auto"/>
                <w:spacing w:val="-3"/>
                <w:szCs w:val="21"/>
                <w:highlight w:val="none"/>
              </w:rPr>
              <w:t>方式</w:t>
            </w:r>
          </w:p>
        </w:tc>
        <w:tc>
          <w:tcPr>
            <w:tcW w:w="1585" w:type="pct"/>
            <w:vAlign w:val="center"/>
          </w:tcPr>
          <w:p>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tcBorders>
              <w:right w:val="single" w:color="auto" w:sz="4" w:space="0"/>
            </w:tcBorders>
            <w:vAlign w:val="center"/>
          </w:tcPr>
          <w:p>
            <w:pPr>
              <w:wordWrap w:val="0"/>
              <w:spacing w:line="276" w:lineRule="auto"/>
              <w:jc w:val="center"/>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tcBorders>
              <w:left w:val="single" w:color="auto" w:sz="4" w:space="0"/>
            </w:tcBorders>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36" w:type="pct"/>
            <w:vAlign w:val="center"/>
          </w:tcPr>
          <w:p>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投标内容</w:t>
            </w:r>
          </w:p>
        </w:tc>
        <w:tc>
          <w:tcPr>
            <w:tcW w:w="1585" w:type="pct"/>
            <w:vAlign w:val="center"/>
          </w:tcPr>
          <w:p>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tcBorders>
              <w:right w:val="single" w:color="auto" w:sz="4" w:space="0"/>
            </w:tcBorders>
            <w:vAlign w:val="center"/>
          </w:tcPr>
          <w:p>
            <w:pPr>
              <w:wordWrap w:val="0"/>
              <w:spacing w:line="276" w:lineRule="auto"/>
              <w:jc w:val="center"/>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tcBorders>
              <w:left w:val="single" w:color="auto" w:sz="4" w:space="0"/>
            </w:tcBorders>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36" w:type="pct"/>
            <w:vAlign w:val="center"/>
          </w:tcPr>
          <w:p>
            <w:pPr>
              <w:wordWrap w:val="0"/>
              <w:autoSpaceDE w:val="0"/>
              <w:autoSpaceDN w:val="0"/>
              <w:spacing w:line="276" w:lineRule="auto"/>
              <w:ind w:left="-4" w:leftChars="-3" w:hanging="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质量标准</w:t>
            </w:r>
          </w:p>
        </w:tc>
        <w:tc>
          <w:tcPr>
            <w:tcW w:w="1585" w:type="pct"/>
            <w:vAlign w:val="center"/>
          </w:tcPr>
          <w:p>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tcBorders>
              <w:right w:val="single" w:color="auto" w:sz="4" w:space="0"/>
            </w:tcBorders>
            <w:vAlign w:val="center"/>
          </w:tcPr>
          <w:p>
            <w:pPr>
              <w:wordWrap w:val="0"/>
              <w:spacing w:line="276" w:lineRule="auto"/>
              <w:jc w:val="center"/>
              <w:rPr>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36" w:type="pct"/>
            <w:tcBorders>
              <w:bottom w:val="single" w:color="auto" w:sz="4" w:space="0"/>
            </w:tcBorders>
            <w:vAlign w:val="center"/>
          </w:tcPr>
          <w:p>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投标有效期</w:t>
            </w:r>
          </w:p>
        </w:tc>
        <w:tc>
          <w:tcPr>
            <w:tcW w:w="1585" w:type="pct"/>
            <w:tcBorders>
              <w:bottom w:val="single" w:color="auto" w:sz="4" w:space="0"/>
            </w:tcBorders>
            <w:vAlign w:val="center"/>
          </w:tcPr>
          <w:p>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tcBorders>
              <w:bottom w:val="single" w:color="auto" w:sz="4" w:space="0"/>
              <w:right w:val="single" w:color="auto" w:sz="4" w:space="0"/>
            </w:tcBorders>
            <w:vAlign w:val="center"/>
          </w:tcPr>
          <w:p>
            <w:pPr>
              <w:wordWrap w:val="0"/>
              <w:spacing w:line="276" w:lineRule="auto"/>
              <w:jc w:val="center"/>
              <w:rPr>
                <w:rFonts w:ascii="宋体" w:hAnsi="宋体" w:eastAsia="宋体" w:cs="宋体"/>
                <w:color w:val="auto"/>
                <w:szCs w:val="21"/>
                <w:highlight w:val="none"/>
              </w:rPr>
            </w:pPr>
          </w:p>
        </w:tc>
      </w:tr>
    </w:tbl>
    <w:p>
      <w:pPr>
        <w:pStyle w:val="19"/>
        <w:tabs>
          <w:tab w:val="left" w:pos="6481"/>
        </w:tabs>
        <w:kinsoku w:val="0"/>
        <w:overflowPunct w:val="0"/>
        <w:spacing w:before="1"/>
        <w:ind w:left="0"/>
        <w:jc w:val="both"/>
        <w:rPr>
          <w:rFonts w:hint="eastAsia" w:ascii="宋体" w:hAnsi="宋体" w:cs="宋体"/>
          <w:b w:val="0"/>
          <w:color w:val="auto"/>
          <w:sz w:val="24"/>
          <w:highlight w:val="none"/>
        </w:rPr>
      </w:pPr>
    </w:p>
    <w:p>
      <w:pPr>
        <w:pStyle w:val="19"/>
        <w:tabs>
          <w:tab w:val="left" w:pos="6481"/>
        </w:tabs>
        <w:kinsoku w:val="0"/>
        <w:overflowPunct w:val="0"/>
        <w:spacing w:before="1"/>
        <w:ind w:left="0" w:firstLine="960" w:firstLineChars="400"/>
        <w:jc w:val="both"/>
        <w:rPr>
          <w:rFonts w:hint="eastAsia" w:ascii="宋体" w:hAnsi="宋体" w:cs="宋体"/>
          <w:b w:val="0"/>
          <w:color w:val="auto"/>
          <w:sz w:val="24"/>
          <w:highlight w:val="none"/>
        </w:rPr>
      </w:pPr>
      <w:r>
        <w:rPr>
          <w:rFonts w:hint="eastAsia" w:ascii="宋体" w:hAnsi="宋体" w:cs="宋体"/>
          <w:b w:val="0"/>
          <w:color w:val="auto"/>
          <w:sz w:val="24"/>
          <w:highlight w:val="none"/>
        </w:rPr>
        <w:t>投 标 人：</w:t>
      </w:r>
      <w:r>
        <w:rPr>
          <w:rFonts w:hint="eastAsia" w:ascii="宋体" w:hAnsi="宋体" w:cs="宋体"/>
          <w:b w:val="0"/>
          <w:color w:val="auto"/>
          <w:sz w:val="24"/>
          <w:highlight w:val="none"/>
          <w:u w:val="single"/>
          <w:lang w:val="en-US" w:eastAsia="zh-CN"/>
        </w:rPr>
        <w:t xml:space="preserve">                       </w:t>
      </w:r>
      <w:r>
        <w:rPr>
          <w:rFonts w:hint="eastAsia" w:ascii="宋体" w:hAnsi="宋体" w:cs="宋体"/>
          <w:b w:val="0"/>
          <w:color w:val="auto"/>
          <w:sz w:val="24"/>
          <w:highlight w:val="none"/>
        </w:rPr>
        <w:t>（盖单位章）</w:t>
      </w:r>
    </w:p>
    <w:p>
      <w:pPr>
        <w:pStyle w:val="2"/>
        <w:wordWrap/>
        <w:ind w:firstLine="0" w:firstLineChars="0"/>
        <w:jc w:val="center"/>
        <w:rPr>
          <w:color w:val="auto"/>
          <w:highlight w:val="none"/>
        </w:rPr>
      </w:pPr>
      <w:r>
        <w:rPr>
          <w:rFonts w:hint="eastAsia" w:ascii="宋体" w:hAnsi="宋体" w:cs="宋体"/>
          <w:b w:val="0"/>
          <w:color w:val="auto"/>
          <w:sz w:val="24"/>
          <w:highlight w:val="none"/>
        </w:rPr>
        <w:t>法定代表人或其委托代理人：</w:t>
      </w:r>
      <w:r>
        <w:rPr>
          <w:rFonts w:hint="eastAsia" w:ascii="宋体" w:hAnsi="宋体" w:cs="宋体"/>
          <w:b w:val="0"/>
          <w:color w:val="auto"/>
          <w:sz w:val="24"/>
          <w:highlight w:val="none"/>
          <w:u w:val="single"/>
        </w:rPr>
        <w:tab/>
      </w:r>
      <w:r>
        <w:rPr>
          <w:rFonts w:hint="eastAsia" w:ascii="宋体" w:hAnsi="宋体" w:cs="宋体"/>
          <w:b w:val="0"/>
          <w:color w:val="auto"/>
          <w:sz w:val="24"/>
          <w:highlight w:val="none"/>
          <w:u w:val="single"/>
          <w:lang w:val="en-US" w:eastAsia="zh-CN"/>
        </w:rPr>
        <w:t xml:space="preserve">            </w:t>
      </w:r>
      <w:r>
        <w:rPr>
          <w:rFonts w:hint="eastAsia" w:ascii="宋体" w:hAnsi="宋体" w:cs="宋体"/>
          <w:b w:val="0"/>
          <w:color w:val="auto"/>
          <w:sz w:val="24"/>
          <w:highlight w:val="none"/>
        </w:rPr>
        <w:t>（签字或盖章）</w:t>
      </w:r>
    </w:p>
    <w:p>
      <w:pPr>
        <w:wordWrap w:val="0"/>
        <w:spacing w:line="360" w:lineRule="auto"/>
        <w:jc w:val="center"/>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pPr>
        <w:wordWrap w:val="0"/>
        <w:spacing w:line="360" w:lineRule="auto"/>
        <w:ind w:firstLine="240" w:firstLineChars="100"/>
        <w:rPr>
          <w:rFonts w:ascii="宋体" w:hAnsi="宋体" w:eastAsia="宋体" w:cs="宋体"/>
          <w:color w:val="auto"/>
          <w:sz w:val="24"/>
          <w:szCs w:val="24"/>
          <w:highlight w:val="none"/>
        </w:rPr>
      </w:pPr>
    </w:p>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pPr>
        <w:pStyle w:val="6"/>
        <w:wordWrap w:val="0"/>
        <w:rPr>
          <w:color w:val="auto"/>
          <w:highlight w:val="none"/>
        </w:rPr>
      </w:pPr>
      <w:r>
        <w:rPr>
          <w:rFonts w:hint="eastAsia"/>
          <w:color w:val="auto"/>
          <w:highlight w:val="none"/>
        </w:rPr>
        <w:br w:type="page"/>
      </w:r>
      <w:r>
        <w:rPr>
          <w:rFonts w:hint="eastAsia"/>
          <w:color w:val="auto"/>
          <w:highlight w:val="none"/>
        </w:rPr>
        <w:t>二、法定代表人身份证明及授权委托书</w:t>
      </w:r>
      <w:bookmarkEnd w:id="247"/>
      <w:bookmarkEnd w:id="248"/>
    </w:p>
    <w:p>
      <w:pPr>
        <w:wordWrap w:val="0"/>
        <w:jc w:val="center"/>
        <w:rPr>
          <w:rFonts w:hint="eastAsia" w:ascii="宋体" w:hAnsi="宋体" w:eastAsia="宋体" w:cs="宋体"/>
          <w:b/>
          <w:color w:val="auto"/>
          <w:sz w:val="28"/>
          <w:szCs w:val="28"/>
          <w:highlight w:val="none"/>
        </w:rPr>
      </w:pPr>
      <w:bookmarkStart w:id="249" w:name="_Toc82786997"/>
      <w:bookmarkStart w:id="250" w:name="_Toc35513540"/>
    </w:p>
    <w:p>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w:t>
      </w:r>
      <w:bookmarkEnd w:id="249"/>
      <w:bookmarkEnd w:id="250"/>
    </w:p>
    <w:p>
      <w:pPr>
        <w:wordWrap w:val="0"/>
        <w:spacing w:line="360" w:lineRule="auto"/>
        <w:ind w:firstLine="480"/>
        <w:rPr>
          <w:rFonts w:ascii="宋体" w:hAnsi="宋体" w:eastAsia="宋体" w:cs="宋体"/>
          <w:color w:val="auto"/>
          <w:sz w:val="24"/>
          <w:szCs w:val="24"/>
          <w:highlight w:val="none"/>
        </w:rPr>
      </w:pP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wordWrap w:val="0"/>
        <w:spacing w:line="360" w:lineRule="auto"/>
        <w:ind w:firstLine="480"/>
        <w:rPr>
          <w:rFonts w:ascii="宋体" w:hAnsi="宋体" w:eastAsia="宋体" w:cs="宋体"/>
          <w:color w:val="auto"/>
          <w:sz w:val="24"/>
          <w:szCs w:val="24"/>
          <w:highlight w:val="none"/>
        </w:rPr>
      </w:pP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w:t>
      </w: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bookmarkStart w:id="251" w:name="page82"/>
      <w:bookmarkEnd w:id="251"/>
      <w:r>
        <w:rPr>
          <w:rFonts w:hint="eastAsia" w:ascii="宋体" w:hAnsi="宋体" w:eastAsia="宋体" w:cs="宋体"/>
          <w:color w:val="auto"/>
          <w:sz w:val="24"/>
          <w:szCs w:val="24"/>
          <w:highlight w:val="none"/>
        </w:rPr>
        <w:t>（</w:t>
      </w:r>
      <w:bookmarkStart w:id="252" w:name="_Toc14709396"/>
      <w:r>
        <w:rPr>
          <w:rFonts w:hint="eastAsia" w:ascii="宋体" w:hAnsi="宋体" w:eastAsia="宋体" w:cs="宋体"/>
          <w:color w:val="auto"/>
          <w:sz w:val="24"/>
          <w:szCs w:val="24"/>
          <w:highlight w:val="none"/>
        </w:rPr>
        <w:t>盖单位章）</w:t>
      </w:r>
    </w:p>
    <w:bookmarkEnd w:id="252"/>
    <w:p>
      <w:pPr>
        <w:wordWrap w:val="0"/>
        <w:spacing w:line="360" w:lineRule="auto"/>
        <w:ind w:firstLine="5280" w:firstLineChars="2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联合体投标的，仅须提供联合体主办方出具的法定代表人身份证明</w:t>
      </w:r>
      <w:r>
        <w:rPr>
          <w:rFonts w:hint="eastAsia" w:ascii="宋体" w:hAnsi="宋体" w:eastAsia="宋体" w:cs="宋体"/>
          <w:color w:val="auto"/>
          <w:sz w:val="24"/>
          <w:szCs w:val="24"/>
          <w:highlight w:val="none"/>
        </w:rPr>
        <w:t>。</w:t>
      </w:r>
      <w:bookmarkStart w:id="253" w:name="_Toc35513541"/>
    </w:p>
    <w:p>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32"/>
          <w:szCs w:val="24"/>
          <w:highlight w:val="none"/>
        </w:rPr>
        <w:br w:type="page"/>
      </w:r>
      <w:bookmarkStart w:id="254" w:name="_Toc82786998"/>
      <w:r>
        <w:rPr>
          <w:rFonts w:hint="eastAsia" w:ascii="宋体" w:hAnsi="宋体" w:eastAsia="宋体" w:cs="宋体"/>
          <w:b/>
          <w:color w:val="auto"/>
          <w:sz w:val="28"/>
          <w:szCs w:val="28"/>
          <w:highlight w:val="none"/>
        </w:rPr>
        <w:t>授权委托书</w:t>
      </w:r>
      <w:bookmarkEnd w:id="253"/>
      <w:bookmarkEnd w:id="254"/>
    </w:p>
    <w:p>
      <w:pPr>
        <w:wordWrap w:val="0"/>
        <w:spacing w:line="360" w:lineRule="auto"/>
        <w:ind w:firstLine="480"/>
        <w:rPr>
          <w:rFonts w:ascii="宋体" w:hAnsi="宋体" w:eastAsia="宋体" w:cs="宋体"/>
          <w:color w:val="auto"/>
          <w:sz w:val="24"/>
          <w:szCs w:val="24"/>
          <w:highlight w:val="none"/>
        </w:rPr>
      </w:pPr>
    </w:p>
    <w:p>
      <w:pPr>
        <w:wordWrap w:val="0"/>
        <w:topLinePunct/>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勘察设计</w:t>
      </w:r>
      <w:r>
        <w:rPr>
          <w:rFonts w:hint="eastAsia" w:ascii="宋体" w:hAnsi="宋体" w:eastAsia="宋体" w:cs="宋体"/>
          <w:color w:val="auto"/>
          <w:sz w:val="24"/>
          <w:szCs w:val="24"/>
          <w:highlight w:val="none"/>
        </w:rPr>
        <w:t>招标项目投标文件、签订合同和处理有关事宜，其法律后果由我方承担。</w:t>
      </w:r>
    </w:p>
    <w:p>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wordWrap w:val="0"/>
        <w:spacing w:line="360" w:lineRule="auto"/>
        <w:ind w:firstLine="480"/>
        <w:rPr>
          <w:rFonts w:ascii="宋体" w:hAnsi="宋体" w:eastAsia="宋体" w:cs="宋体"/>
          <w:color w:val="auto"/>
          <w:sz w:val="24"/>
          <w:szCs w:val="24"/>
          <w:highlight w:val="none"/>
        </w:rPr>
      </w:pPr>
    </w:p>
    <w:p>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附：法定代表人身份证及委托代理人身份证</w:t>
      </w:r>
      <w:r>
        <w:rPr>
          <w:rFonts w:hint="eastAsia" w:ascii="宋体" w:hAnsi="宋体" w:eastAsia="宋体" w:cs="宋体"/>
          <w:color w:val="auto"/>
          <w:sz w:val="24"/>
          <w:szCs w:val="24"/>
          <w:highlight w:val="none"/>
          <w:lang w:val="en-US" w:eastAsia="zh-CN"/>
        </w:rPr>
        <w:t>扫描件</w:t>
      </w:r>
    </w:p>
    <w:p>
      <w:pPr>
        <w:wordWrap w:val="0"/>
        <w:spacing w:line="360" w:lineRule="auto"/>
        <w:ind w:firstLine="480"/>
        <w:rPr>
          <w:rFonts w:ascii="宋体" w:hAnsi="宋体" w:eastAsia="宋体" w:cs="宋体"/>
          <w:color w:val="auto"/>
          <w:sz w:val="24"/>
          <w:szCs w:val="24"/>
          <w:highlight w:val="none"/>
        </w:rPr>
      </w:pP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注：本授权委托书需由投标人加盖单位公章并由其法定代表人和委托代理人签字。</w:t>
      </w: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wordWrap w:val="0"/>
        <w:spacing w:line="360" w:lineRule="auto"/>
        <w:ind w:firstLine="480"/>
        <w:rPr>
          <w:rFonts w:ascii="宋体" w:hAnsi="宋体" w:eastAsia="宋体" w:cs="宋体"/>
          <w:color w:val="auto"/>
          <w:sz w:val="24"/>
          <w:szCs w:val="24"/>
          <w:highlight w:val="none"/>
        </w:rPr>
      </w:pPr>
    </w:p>
    <w:p>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联合体投标的，仅须提供联合体主办方出具的授权委托书</w:t>
      </w:r>
      <w:r>
        <w:rPr>
          <w:rFonts w:hint="eastAsia" w:ascii="宋体" w:hAnsi="宋体" w:eastAsia="宋体" w:cs="宋体"/>
          <w:color w:val="auto"/>
          <w:sz w:val="24"/>
          <w:szCs w:val="24"/>
          <w:highlight w:val="none"/>
        </w:rPr>
        <w:t>。</w:t>
      </w:r>
    </w:p>
    <w:p>
      <w:pPr>
        <w:pStyle w:val="6"/>
        <w:wordWrap w:val="0"/>
        <w:rPr>
          <w:color w:val="auto"/>
          <w:highlight w:val="none"/>
        </w:rPr>
      </w:pPr>
      <w:r>
        <w:rPr>
          <w:rFonts w:hint="eastAsia"/>
          <w:color w:val="auto"/>
          <w:highlight w:val="none"/>
        </w:rPr>
        <w:br w:type="page"/>
      </w:r>
      <w:bookmarkStart w:id="255" w:name="_Toc111186814"/>
      <w:bookmarkStart w:id="256" w:name="_Toc17883"/>
    </w:p>
    <w:p>
      <w:pPr>
        <w:pStyle w:val="6"/>
        <w:wordWrap w:val="0"/>
        <w:rPr>
          <w:color w:val="auto"/>
          <w:highlight w:val="none"/>
        </w:rPr>
      </w:pPr>
      <w:r>
        <w:rPr>
          <w:rFonts w:hint="eastAsia"/>
          <w:color w:val="auto"/>
          <w:highlight w:val="none"/>
        </w:rPr>
        <w:t>三</w:t>
      </w:r>
      <w:bookmarkEnd w:id="255"/>
      <w:bookmarkEnd w:id="256"/>
      <w:r>
        <w:rPr>
          <w:rFonts w:hint="eastAsia"/>
          <w:color w:val="auto"/>
          <w:highlight w:val="none"/>
        </w:rPr>
        <w:t>、联合体协议书</w:t>
      </w:r>
    </w:p>
    <w:p>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联合体协议书</w:t>
      </w:r>
    </w:p>
    <w:p>
      <w:pPr>
        <w:wordWrap w:val="0"/>
        <w:spacing w:line="24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（参考格式）</w:t>
      </w:r>
    </w:p>
    <w:p>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（招标人）</w:t>
      </w:r>
    </w:p>
    <w:p>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投标主办方：（盖章）</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ascii="宋体" w:hAnsi="宋体" w:eastAsia="宋体" w:cs="宋体"/>
          <w:color w:val="auto"/>
          <w:sz w:val="24"/>
          <w:szCs w:val="24"/>
          <w:highlight w:val="none"/>
          <w:lang w:val="zh-CN"/>
        </w:rPr>
      </w:pP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联合体成员：（盖章）</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pPr>
        <w:wordWrap w:val="0"/>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pPr>
        <w:pStyle w:val="25"/>
        <w:rPr>
          <w:rFonts w:hint="eastAsia" w:ascii="宋体" w:hAnsi="宋体" w:eastAsia="宋体" w:cs="宋体"/>
          <w:color w:val="auto"/>
          <w:sz w:val="24"/>
          <w:szCs w:val="24"/>
          <w:highlight w:val="none"/>
          <w:u w:val="single"/>
          <w:lang w:val="zh-CN"/>
        </w:rPr>
      </w:pPr>
    </w:p>
    <w:p>
      <w:pPr>
        <w:pStyle w:val="25"/>
        <w:rPr>
          <w:rFonts w:hint="eastAsia" w:ascii="宋体" w:hAnsi="宋体" w:eastAsia="宋体" w:cs="宋体"/>
          <w:color w:val="auto"/>
          <w:sz w:val="24"/>
          <w:szCs w:val="24"/>
          <w:highlight w:val="none"/>
          <w:u w:val="single"/>
          <w:lang w:val="zh-CN"/>
        </w:rPr>
      </w:pPr>
    </w:p>
    <w:p>
      <w:pPr>
        <w:pStyle w:val="25"/>
        <w:rPr>
          <w:color w:val="auto"/>
          <w:highlight w:val="none"/>
          <w:lang w:val="zh-CN"/>
        </w:rPr>
      </w:pPr>
    </w:p>
    <w:p>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p>
    <w:p>
      <w:pPr>
        <w:widowControl/>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注：非联合体投标的，无需提交本协议书。本联合体协议书可根据联合体成员数量自行调整相关内容。</w:t>
      </w:r>
    </w:p>
    <w:p>
      <w:pPr>
        <w:pStyle w:val="6"/>
        <w:wordWrap w:val="0"/>
        <w:rPr>
          <w:color w:val="auto"/>
          <w:highlight w:val="none"/>
          <w:u w:val="single"/>
        </w:rPr>
      </w:pPr>
      <w:r>
        <w:rPr>
          <w:rFonts w:hint="eastAsia"/>
          <w:color w:val="auto"/>
          <w:highlight w:val="none"/>
        </w:rPr>
        <w:br w:type="page"/>
      </w:r>
      <w:bookmarkStart w:id="257" w:name="_Toc111186815"/>
      <w:bookmarkStart w:id="258" w:name="_Toc23229"/>
    </w:p>
    <w:p>
      <w:pPr>
        <w:pStyle w:val="6"/>
        <w:wordWrap w:val="0"/>
        <w:rPr>
          <w:color w:val="auto"/>
          <w:highlight w:val="none"/>
        </w:rPr>
      </w:pPr>
      <w:r>
        <w:rPr>
          <w:rFonts w:hint="eastAsia"/>
          <w:color w:val="auto"/>
          <w:highlight w:val="none"/>
        </w:rPr>
        <w:t>四、投标保证金</w:t>
      </w:r>
    </w:p>
    <w:p>
      <w:pPr>
        <w:rPr>
          <w:rFonts w:ascii="宋体" w:hAnsi="宋体" w:eastAsia="宋体"/>
          <w:color w:val="auto"/>
          <w:sz w:val="24"/>
          <w:szCs w:val="24"/>
          <w:highlight w:val="none"/>
          <w:u w:val="single"/>
          <w:lang w:val="zh-CN"/>
        </w:rPr>
      </w:pPr>
      <w:r>
        <w:rPr>
          <w:rFonts w:hint="eastAsia" w:ascii="宋体" w:hAnsi="宋体" w:eastAsia="宋体"/>
          <w:color w:val="auto"/>
          <w:sz w:val="24"/>
          <w:szCs w:val="24"/>
          <w:highlight w:val="none"/>
          <w:u w:val="single"/>
          <w:lang w:val="zh-CN"/>
        </w:rPr>
        <w:t>本项目不要求。</w:t>
      </w:r>
    </w:p>
    <w:p>
      <w:pPr>
        <w:widowControl/>
        <w:jc w:val="left"/>
        <w:rPr>
          <w:rFonts w:ascii="宋体" w:hAnsi="宋体" w:eastAsia="宋体" w:cs="Times New Roman"/>
          <w:b/>
          <w:color w:val="auto"/>
          <w:kern w:val="0"/>
          <w:sz w:val="24"/>
          <w:szCs w:val="24"/>
          <w:highlight w:val="none"/>
          <w:lang w:val="zh-CN"/>
        </w:rPr>
      </w:pPr>
      <w:r>
        <w:rPr>
          <w:rFonts w:hint="eastAsia"/>
          <w:color w:val="auto"/>
          <w:highlight w:val="none"/>
        </w:rPr>
        <w:br w:type="page"/>
      </w:r>
    </w:p>
    <w:p>
      <w:pPr>
        <w:pStyle w:val="6"/>
        <w:wordWrap w:val="0"/>
        <w:rPr>
          <w:color w:val="auto"/>
          <w:highlight w:val="none"/>
        </w:rPr>
      </w:pPr>
      <w:r>
        <w:rPr>
          <w:rFonts w:hint="eastAsia"/>
          <w:color w:val="auto"/>
          <w:highlight w:val="none"/>
        </w:rPr>
        <w:t>五、勘察设计费报价表</w:t>
      </w:r>
    </w:p>
    <w:p>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勘察设计费报价表</w:t>
      </w:r>
    </w:p>
    <w:p>
      <w:pPr>
        <w:wordWrap w:val="0"/>
        <w:jc w:val="center"/>
        <w:rPr>
          <w:rFonts w:ascii="宋体" w:hAnsi="宋体" w:eastAsia="宋体" w:cs="宋体"/>
          <w:b/>
          <w:color w:val="auto"/>
          <w:sz w:val="32"/>
          <w:szCs w:val="24"/>
          <w:highlight w:val="none"/>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96"/>
        <w:gridCol w:w="1031"/>
        <w:gridCol w:w="2107"/>
        <w:gridCol w:w="4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0" w:type="pct"/>
            <w:vAlign w:val="center"/>
          </w:tcPr>
          <w:p>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14" w:type="pct"/>
            <w:vAlign w:val="center"/>
          </w:tcPr>
          <w:p>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591" w:type="pct"/>
            <w:vAlign w:val="center"/>
          </w:tcPr>
          <w:p>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下浮率</w:t>
            </w:r>
          </w:p>
        </w:tc>
        <w:tc>
          <w:tcPr>
            <w:tcW w:w="1208" w:type="pct"/>
            <w:vAlign w:val="center"/>
          </w:tcPr>
          <w:p>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c>
          <w:tcPr>
            <w:tcW w:w="2307" w:type="pct"/>
            <w:vAlign w:val="center"/>
          </w:tcPr>
          <w:p>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80"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514"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勘察费</w:t>
            </w:r>
          </w:p>
        </w:tc>
        <w:tc>
          <w:tcPr>
            <w:tcW w:w="591" w:type="pct"/>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=【1-（勘察费投标报价/勘察费最高投标限价）】*100%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0"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514"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设计费</w:t>
            </w:r>
          </w:p>
        </w:tc>
        <w:tc>
          <w:tcPr>
            <w:tcW w:w="591" w:type="pct"/>
            <w:vAlign w:val="center"/>
          </w:tcPr>
          <w:p>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=【1-（设计费投标报价/设计费最高投标限价）】*100%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4" w:type="pct"/>
            <w:gridSpan w:val="2"/>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591"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08" w:type="pct"/>
            <w:vAlign w:val="center"/>
          </w:tcPr>
          <w:p>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投标总报价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pPr>
              <w:wordWrap w:val="0"/>
              <w:spacing w:line="276"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投标总报价=勘察费投标报价+设计费投标报价</w:t>
            </w:r>
          </w:p>
        </w:tc>
      </w:tr>
    </w:tbl>
    <w:p>
      <w:pPr>
        <w:wordWrap w:val="0"/>
        <w:spacing w:line="360" w:lineRule="auto"/>
        <w:rPr>
          <w:rFonts w:ascii="宋体" w:hAnsi="宋体" w:eastAsia="宋体"/>
          <w:color w:val="auto"/>
          <w:sz w:val="24"/>
          <w:szCs w:val="24"/>
          <w:highlight w:val="none"/>
        </w:rPr>
      </w:pPr>
    </w:p>
    <w:p>
      <w:pPr>
        <w:wordWrap w:val="0"/>
        <w:spacing w:line="360" w:lineRule="auto"/>
        <w:jc w:val="right"/>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 xml:space="preserve">    </w:t>
      </w:r>
      <w:r>
        <w:rPr>
          <w:rFonts w:hint="eastAsia" w:ascii="宋体" w:hAnsi="宋体" w:eastAsia="宋体"/>
          <w:color w:val="auto"/>
          <w:spacing w:val="-1"/>
          <w:sz w:val="24"/>
          <w:szCs w:val="24"/>
          <w:highlight w:val="none"/>
        </w:rPr>
        <w:t>（盖章）</w:t>
      </w:r>
    </w:p>
    <w:p>
      <w:pPr>
        <w:wordWrap w:val="0"/>
        <w:spacing w:line="360" w:lineRule="auto"/>
        <w:jc w:val="right"/>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pPr>
        <w:wordWrap w:val="0"/>
        <w:spacing w:line="360" w:lineRule="auto"/>
        <w:rPr>
          <w:rFonts w:ascii="宋体" w:hAnsi="宋体" w:eastAsia="宋体" w:cs="宋体"/>
          <w:b/>
          <w:bCs/>
          <w:color w:val="auto"/>
          <w:sz w:val="24"/>
          <w:szCs w:val="24"/>
          <w:highlight w:val="none"/>
          <w:u w:val="single"/>
        </w:rPr>
      </w:pPr>
    </w:p>
    <w:p>
      <w:pPr>
        <w:wordWrap w:val="0"/>
        <w:spacing w:line="360" w:lineRule="auto"/>
        <w:jc w:val="both"/>
        <w:rPr>
          <w:rFonts w:hint="eastAsia" w:ascii="宋体" w:hAnsi="宋体" w:eastAsia="宋体" w:cs="宋体"/>
          <w:b/>
          <w:bCs/>
          <w:color w:val="auto"/>
          <w:sz w:val="24"/>
          <w:szCs w:val="24"/>
          <w:highlight w:val="none"/>
          <w:u w:val="single"/>
        </w:rPr>
      </w:pPr>
      <w:bookmarkStart w:id="259" w:name="OLE_LINK58"/>
      <w:r>
        <w:rPr>
          <w:rFonts w:hint="eastAsia" w:ascii="宋体" w:hAnsi="宋体" w:eastAsia="宋体" w:cs="宋体"/>
          <w:b/>
          <w:bCs/>
          <w:color w:val="auto"/>
          <w:sz w:val="24"/>
          <w:szCs w:val="24"/>
          <w:highlight w:val="none"/>
          <w:u w:val="single"/>
        </w:rPr>
        <w:t>注：</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如联合体投标人，由投标主办方盖章即可。</w:t>
      </w:r>
    </w:p>
    <w:p>
      <w:pPr>
        <w:wordWrap w:val="0"/>
        <w:spacing w:line="360" w:lineRule="auto"/>
        <w:jc w:val="both"/>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、投标报价填报保留到小数点后</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位。</w:t>
      </w:r>
    </w:p>
    <w:p>
      <w:pPr>
        <w:wordWrap w:val="0"/>
        <w:rPr>
          <w:rFonts w:ascii="宋体" w:hAnsi="宋体" w:eastAsia="宋体" w:cs="宋体"/>
          <w:color w:val="auto"/>
          <w:szCs w:val="24"/>
          <w:highlight w:val="none"/>
        </w:rPr>
      </w:pP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、投标下浮率以百分比为单位，保留到小数点后</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位。</w:t>
      </w:r>
      <w:bookmarkEnd w:id="259"/>
      <w:r>
        <w:rPr>
          <w:rFonts w:hint="eastAsia" w:ascii="宋体" w:hAnsi="宋体" w:eastAsia="宋体" w:cs="宋体"/>
          <w:color w:val="auto"/>
          <w:szCs w:val="24"/>
          <w:highlight w:val="none"/>
        </w:rPr>
        <w:br w:type="page"/>
      </w:r>
    </w:p>
    <w:bookmarkEnd w:id="257"/>
    <w:bookmarkEnd w:id="258"/>
    <w:p>
      <w:pPr>
        <w:pStyle w:val="6"/>
        <w:wordWrap w:val="0"/>
        <w:rPr>
          <w:color w:val="auto"/>
          <w:highlight w:val="none"/>
        </w:rPr>
      </w:pPr>
      <w:r>
        <w:rPr>
          <w:rFonts w:hint="eastAsia"/>
          <w:color w:val="auto"/>
          <w:highlight w:val="none"/>
        </w:rPr>
        <w:t>六、</w:t>
      </w:r>
      <w:r>
        <w:rPr>
          <w:rFonts w:hint="eastAsia" w:cs="宋体"/>
          <w:color w:val="auto"/>
          <w:highlight w:val="none"/>
        </w:rPr>
        <w:t>资格审查资料</w:t>
      </w:r>
    </w:p>
    <w:p>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（1）营业执照或事业单位登记机构核发的事业单位法人证书、资质证书；</w:t>
      </w:r>
    </w:p>
    <w:p>
      <w:pPr>
        <w:widowControl/>
        <w:spacing w:line="360" w:lineRule="auto"/>
        <w:jc w:val="left"/>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olor w:val="auto"/>
          <w:sz w:val="24"/>
          <w:szCs w:val="24"/>
          <w:highlight w:val="none"/>
        </w:rPr>
        <w:t>项目负责人资格证明资料；</w:t>
      </w:r>
    </w:p>
    <w:p>
      <w:pPr>
        <w:widowControl/>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s="宋体"/>
          <w:bCs/>
          <w:color w:val="auto"/>
          <w:sz w:val="24"/>
          <w:szCs w:val="24"/>
          <w:highlight w:val="none"/>
        </w:rPr>
        <w:t>投标人声明、廉洁承诺书。</w:t>
      </w:r>
    </w:p>
    <w:p>
      <w:pPr>
        <w:widowControl/>
        <w:spacing w:line="360" w:lineRule="auto"/>
        <w:jc w:val="left"/>
        <w:rPr>
          <w:rFonts w:ascii="宋体" w:hAnsi="宋体" w:eastAsia="宋体" w:cs="宋体"/>
          <w:bCs/>
          <w:color w:val="auto"/>
          <w:sz w:val="24"/>
          <w:szCs w:val="24"/>
          <w:highlight w:val="none"/>
        </w:rPr>
      </w:pPr>
    </w:p>
    <w:p>
      <w:pPr>
        <w:widowControl/>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投标人声明</w:t>
      </w:r>
    </w:p>
    <w:p>
      <w:pPr>
        <w:wordWrap w:val="0"/>
        <w:spacing w:line="360" w:lineRule="auto"/>
        <w:ind w:firstLine="629"/>
        <w:rPr>
          <w:rFonts w:ascii="宋体" w:hAnsi="宋体" w:eastAsia="宋体" w:cs="宋体"/>
          <w:color w:val="auto"/>
          <w:kern w:val="0"/>
          <w:sz w:val="24"/>
          <w:szCs w:val="24"/>
          <w:highlight w:val="none"/>
        </w:rPr>
      </w:pPr>
    </w:p>
    <w:p>
      <w:pPr>
        <w:wordWrap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广州市花都区住房和城乡建设局</w:t>
      </w:r>
      <w:r>
        <w:rPr>
          <w:rFonts w:hint="eastAsia" w:ascii="宋体" w:hAnsi="宋体" w:eastAsia="宋体" w:cs="宋体"/>
          <w:color w:val="auto"/>
          <w:kern w:val="0"/>
          <w:sz w:val="24"/>
          <w:szCs w:val="24"/>
          <w:highlight w:val="none"/>
        </w:rPr>
        <w:t>、本招标项目招标人及招标监管机构：</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项目投标工作，作出郑重声明：</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一、本公司保证投标登记材料及其后提供的一切材料都是真实的。如我司成为本项目中标候选人，我司同意并授权招标人将我司投标文件的人员、业绩、奖项等资料进行公开。</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让勘察设计业务。</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三、本公司不存在招标文件第二章投标人须知第1.4.3项所规定的任何一种情形。具体如下：</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（一）为招标人不具有独立法人资格的附属机构（单位）；</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（二）与招标人存在利害关系且可能影响招标公正性；</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（三）与本招标项目的其他投标人为同一个单位负责人；</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（四）与本招标项目的其他投标人存在控股、管理关系；</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（五）为本招标项目的代建人或建设管理单位；</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（六）为本招标项目的招标代理机构；</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（七）与本招标项目的代建人或招标代理机构同为一个法定代表人；</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（八）与本招标项目的代建人或招标代理机构存在控股或参股关系；</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（十）被责令停产停业、暂扣或者吊销许可证、暂扣或者吊销执照（本项事实应当以根据《中华人民共和国行政处罚法》依法作出并已生效的行政处罚决定为认定依据。）；</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（十一）进入清算程序，或被宣告破产，或其他丧失履约能力的情形；</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（十三）法律法规或投标人须知前附表规定的其他情形。</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 。</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五、本公司承诺，愿以承诺的投标报价方式承包本次招标所包含的工作，并承担勘察设计质量缺陷责任，中标后严格执行相关法律法规、设计规范等。</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六、与本公司单位负责人为同一人或者与本公司存在控股、管理关系的其他单位包括：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kern w:val="0"/>
          <w:sz w:val="24"/>
          <w:szCs w:val="24"/>
          <w:highlight w:val="none"/>
          <w:u w:val="single"/>
        </w:rPr>
        <w:t>；如联合体投标，联合体各成员需单独列明</w:t>
      </w:r>
      <w:r>
        <w:rPr>
          <w:rFonts w:hint="eastAsia" w:ascii="宋体" w:hAnsi="宋体" w:eastAsia="宋体" w:cs="宋体"/>
          <w:color w:val="auto"/>
          <w:kern w:val="0"/>
          <w:sz w:val="24"/>
          <w:szCs w:val="24"/>
          <w:highlight w:val="none"/>
        </w:rPr>
        <w:t>。）</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七、本公司承诺所提供的银行保函、保证保险、专业工程担保公司担保（如有）真实、有效。</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八、本公司积极响应广州市关于投身“百千万工程”的号召，主动参与政府投资类建设工程施工项目的建筑业结对帮扶等活动（市属国有企业投资项目参照执行）。</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九、本公司违反上述承诺，或本声明陈述与事实不符，经查实，本公司愿意接受公开通报，愿意按照广州市交通运输局有关信用评价管理有关规定，被记录为“不良交易行为信息”，承担由此带来的法律后果。</w:t>
      </w:r>
    </w:p>
    <w:p>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廉洁承诺书</w:t>
      </w:r>
    </w:p>
    <w:p>
      <w:pPr>
        <w:wordWrap w:val="0"/>
        <w:spacing w:line="360" w:lineRule="auto"/>
        <w:ind w:firstLine="629"/>
        <w:rPr>
          <w:rFonts w:ascii="宋体" w:hAnsi="宋体" w:eastAsia="宋体" w:cs="宋体"/>
          <w:color w:val="auto"/>
          <w:kern w:val="0"/>
          <w:sz w:val="24"/>
          <w:szCs w:val="24"/>
          <w:highlight w:val="none"/>
        </w:rPr>
      </w:pPr>
    </w:p>
    <w:p>
      <w:pPr>
        <w:wordWrap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本公司参加了</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一、自觉遵守国家有关法律法规及廉洁规定。</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二、不与招标单位工作人员串通投标，损害国家利益、企业利益以及他人的合法利益；</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三、不与其他单位围标、串标，不出让投标资格，不向招标人或评标委员会成员行贿。</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四、不以任何名义向参与招标、评标工作的有关人员提供高消费宴请及娱乐活动和赠送回扣、红包、礼金、购物卡、有价证券、贵重物品和好处费、感谢费等； </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五、不以任何名义为参与招标、评标工作的有关人员装修住房、婚丧嫁娶、配偶子女的工作安排以及境内外旅游等提供方便；</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六、不以谋取非正当利益为目的，擅自与参与招标、评标工作的有关人员就业务问题进行私下商谈或者达成利益默契。</w:t>
      </w:r>
    </w:p>
    <w:p>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本公司违反上述承诺，或本承诺陈述与事实不符，经查实，本公司愿意接受公开通报，被招标监管部门信用评价记录不良行为并扣分，并承担由此带来的法律后果。</w:t>
      </w:r>
    </w:p>
    <w:p>
      <w:pPr>
        <w:wordWrap w:val="0"/>
        <w:spacing w:line="360" w:lineRule="auto"/>
        <w:jc w:val="left"/>
        <w:rPr>
          <w:rFonts w:ascii="宋体" w:hAnsi="宋体" w:eastAsia="宋体" w:cs="宋体"/>
          <w:color w:val="auto"/>
          <w:kern w:val="0"/>
          <w:sz w:val="24"/>
          <w:szCs w:val="24"/>
          <w:highlight w:val="none"/>
        </w:rPr>
      </w:pPr>
    </w:p>
    <w:p>
      <w:pPr>
        <w:wordWrap w:val="0"/>
        <w:spacing w:line="360" w:lineRule="auto"/>
        <w:jc w:val="left"/>
        <w:rPr>
          <w:rFonts w:ascii="宋体" w:hAnsi="宋体" w:eastAsia="宋体" w:cs="宋体"/>
          <w:color w:val="auto"/>
          <w:kern w:val="0"/>
          <w:sz w:val="24"/>
          <w:szCs w:val="24"/>
          <w:highlight w:val="none"/>
        </w:rPr>
      </w:pPr>
    </w:p>
    <w:p>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6"/>
        <w:wordWrap w:val="0"/>
        <w:rPr>
          <w:rFonts w:cs="宋体"/>
          <w:color w:val="auto"/>
          <w:highlight w:val="none"/>
        </w:rPr>
      </w:pPr>
      <w:r>
        <w:rPr>
          <w:rFonts w:hint="eastAsia"/>
          <w:color w:val="auto"/>
          <w:highlight w:val="none"/>
        </w:rPr>
        <w:t>七、投标人须知前附表规定的其他资料</w:t>
      </w:r>
    </w:p>
    <w:p>
      <w:pPr>
        <w:wordWrap w:val="0"/>
        <w:spacing w:line="360" w:lineRule="auto"/>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投标人认为有必要提供的其他资料，格式自定。</w:t>
      </w:r>
    </w:p>
    <w:p>
      <w:pPr>
        <w:pStyle w:val="6"/>
        <w:wordWrap w:val="0"/>
        <w:rPr>
          <w:rFonts w:cs="宋体"/>
          <w:color w:val="auto"/>
          <w:highlight w:val="none"/>
        </w:rPr>
      </w:pPr>
      <w:r>
        <w:rPr>
          <w:rFonts w:hint="eastAsia"/>
          <w:color w:val="auto"/>
          <w:highlight w:val="none"/>
        </w:rPr>
        <w:br w:type="page"/>
      </w:r>
    </w:p>
    <w:p>
      <w:pPr>
        <w:pStyle w:val="5"/>
        <w:wordWrap w:val="0"/>
        <w:rPr>
          <w:color w:val="auto"/>
          <w:highlight w:val="none"/>
        </w:rPr>
      </w:pPr>
      <w:r>
        <w:rPr>
          <w:rFonts w:hint="eastAsia"/>
          <w:color w:val="auto"/>
          <w:highlight w:val="none"/>
        </w:rPr>
        <w:t>2. 技术文件（勘察设计方案）编制</w:t>
      </w:r>
    </w:p>
    <w:p>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2.1技术文件（勘察设计方案）暗标，由下列资料组成（总页码不超过300页）：</w:t>
      </w:r>
    </w:p>
    <w:p>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（1）设计方案文本文件：</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 首页：写明项目名称、设计作品主题（不宜超过20个字）、编制年月； </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目录。</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设计说明书（含本项目的难点、建议和工程创新）。</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设计文本。</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《工期计划表》（方案修改、初步设计、施工图设计的总工时和工期）。</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投标人认为有必要提供的其他资料。</w:t>
      </w:r>
    </w:p>
    <w:p>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勘察方案文本文件</w:t>
      </w:r>
      <w:r>
        <w:rPr>
          <w:rFonts w:hint="eastAsia" w:ascii="宋体" w:hAnsi="宋体" w:eastAsia="宋体" w:cs="宋体"/>
          <w:b/>
          <w:color w:val="auto"/>
          <w:sz w:val="24"/>
          <w:szCs w:val="24"/>
          <w:highlight w:val="none"/>
        </w:rPr>
        <w:t>：</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(a) 针对项目场地及工程性质采用的勘察方案及建议，本次勘察的重点、难点及建议。</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勘察工作流程和相应的工期进度计划。</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勘察报告综合评价深度，勘察成果文件内容目录。</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投标人掌握的勘察工作有关的法律法规、标准、规范一览表。</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需要建设单位配合的事项。</w:t>
      </w:r>
    </w:p>
    <w:p>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投标人参与施工验槽，解决工程设计和施工中与勘察工作有关问题的服务承诺、响应时间。</w:t>
      </w:r>
    </w:p>
    <w:p>
      <w:pPr>
        <w:wordWrap w:val="0"/>
        <w:spacing w:line="360" w:lineRule="auto"/>
        <w:ind w:firstLine="480" w:firstLineChars="200"/>
        <w:rPr>
          <w:rFonts w:hint="eastAsia" w:ascii="宋体" w:hAnsi="宋体" w:eastAsia="宋体" w:cs="宋体"/>
          <w:color w:val="auto"/>
          <w:sz w:val="24"/>
          <w:szCs w:val="24"/>
          <w:highlight w:val="none"/>
        </w:rPr>
      </w:pPr>
      <w:bookmarkStart w:id="260" w:name="OLE_LINK57"/>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 投标人认为有必要提供的其他资料。</w:t>
      </w:r>
    </w:p>
    <w:bookmarkEnd w:id="260"/>
    <w:p>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保密要求</w:t>
      </w:r>
    </w:p>
    <w:p>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pPr>
        <w:wordWrap w:val="0"/>
        <w:rPr>
          <w:color w:val="auto"/>
          <w:highlight w:val="none"/>
        </w:rPr>
      </w:pPr>
    </w:p>
    <w:sectPr>
      <w:footerReference r:id="rId5" w:type="default"/>
      <w:footerReference r:id="rId6" w:type="even"/>
      <w:pgSz w:w="11905" w:h="16838"/>
      <w:pgMar w:top="1474" w:right="1701" w:bottom="147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210166"/>
      <w:docPartObj>
        <w:docPartGallery w:val="autotext"/>
      </w:docPartObj>
    </w:sdtPr>
    <w:sdtContent>
      <w:p>
        <w:pPr>
          <w:pStyle w:val="30"/>
          <w:jc w:val="center"/>
        </w:pPr>
        <w:r>
          <w:fldChar w:fldCharType="begin"/>
        </w:r>
        <w:r>
          <w:instrText xml:space="preserve">PAGE   \* MERGEFORMAT</w:instrText>
        </w:r>
        <w:r>
          <w:fldChar w:fldCharType="separate"/>
        </w:r>
        <w:r>
          <w:rPr>
            <w:lang w:val="zh-CN"/>
          </w:rPr>
          <w:t>1</w:t>
        </w:r>
        <w:r>
          <w:fldChar w:fldCharType="end"/>
        </w:r>
      </w:p>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44</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745838"/>
      <w:docPartObj>
        <w:docPartGallery w:val="autotext"/>
      </w:docPartObj>
    </w:sdtPr>
    <w:sdtContent>
      <w:p>
        <w:pPr>
          <w:pStyle w:val="30"/>
          <w:jc w:val="center"/>
        </w:pPr>
        <w:r>
          <w:fldChar w:fldCharType="begin"/>
        </w:r>
        <w:r>
          <w:instrText xml:space="preserve">PAGE   \* MERGEFORMAT</w:instrText>
        </w:r>
        <w:r>
          <w:fldChar w:fldCharType="separate"/>
        </w:r>
        <w:r>
          <w:rPr>
            <w:lang w:val="zh-CN"/>
          </w:rPr>
          <w:t>45</w:t>
        </w:r>
        <w: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EAEE1"/>
    <w:multiLevelType w:val="singleLevel"/>
    <w:tmpl w:val="8D8EAE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ZGMyYzFmOWRlOWUyNTMyYzYwZjM4YzJlNDQ4NTMifQ=="/>
  </w:docVars>
  <w:rsids>
    <w:rsidRoot w:val="00237017"/>
    <w:rsid w:val="000179C6"/>
    <w:rsid w:val="00033F07"/>
    <w:rsid w:val="0003797C"/>
    <w:rsid w:val="00065327"/>
    <w:rsid w:val="000723FD"/>
    <w:rsid w:val="0009472D"/>
    <w:rsid w:val="000B3F7A"/>
    <w:rsid w:val="000D3491"/>
    <w:rsid w:val="000E3E93"/>
    <w:rsid w:val="000E3F61"/>
    <w:rsid w:val="000E4830"/>
    <w:rsid w:val="000F777B"/>
    <w:rsid w:val="00111695"/>
    <w:rsid w:val="001133F7"/>
    <w:rsid w:val="00117D81"/>
    <w:rsid w:val="00125CC6"/>
    <w:rsid w:val="00136C66"/>
    <w:rsid w:val="00144AF1"/>
    <w:rsid w:val="00150776"/>
    <w:rsid w:val="0015125E"/>
    <w:rsid w:val="00151A27"/>
    <w:rsid w:val="00165682"/>
    <w:rsid w:val="00173865"/>
    <w:rsid w:val="00173CF7"/>
    <w:rsid w:val="00181DEC"/>
    <w:rsid w:val="00192AF9"/>
    <w:rsid w:val="00194AD4"/>
    <w:rsid w:val="001950BF"/>
    <w:rsid w:val="0019544D"/>
    <w:rsid w:val="001A0D43"/>
    <w:rsid w:val="001B068D"/>
    <w:rsid w:val="001B6471"/>
    <w:rsid w:val="001C245A"/>
    <w:rsid w:val="001C2CA6"/>
    <w:rsid w:val="001E5C63"/>
    <w:rsid w:val="001E5FCA"/>
    <w:rsid w:val="001F6132"/>
    <w:rsid w:val="00202FBA"/>
    <w:rsid w:val="002155F9"/>
    <w:rsid w:val="00220ED3"/>
    <w:rsid w:val="00222217"/>
    <w:rsid w:val="00224046"/>
    <w:rsid w:val="00232C1B"/>
    <w:rsid w:val="00237017"/>
    <w:rsid w:val="00240083"/>
    <w:rsid w:val="00244564"/>
    <w:rsid w:val="002507A7"/>
    <w:rsid w:val="002605C9"/>
    <w:rsid w:val="002610AA"/>
    <w:rsid w:val="00263AEA"/>
    <w:rsid w:val="0028421B"/>
    <w:rsid w:val="002B2FBE"/>
    <w:rsid w:val="002C555B"/>
    <w:rsid w:val="002F1C20"/>
    <w:rsid w:val="002F34C1"/>
    <w:rsid w:val="00306782"/>
    <w:rsid w:val="003141EC"/>
    <w:rsid w:val="00317808"/>
    <w:rsid w:val="003217D3"/>
    <w:rsid w:val="00322D37"/>
    <w:rsid w:val="0032790E"/>
    <w:rsid w:val="00331AE1"/>
    <w:rsid w:val="003476D9"/>
    <w:rsid w:val="003578AF"/>
    <w:rsid w:val="00357EEF"/>
    <w:rsid w:val="00362F4F"/>
    <w:rsid w:val="00363A04"/>
    <w:rsid w:val="00372A70"/>
    <w:rsid w:val="0037316F"/>
    <w:rsid w:val="003739FC"/>
    <w:rsid w:val="00375D70"/>
    <w:rsid w:val="00377872"/>
    <w:rsid w:val="00380B83"/>
    <w:rsid w:val="003906DC"/>
    <w:rsid w:val="00393CDC"/>
    <w:rsid w:val="003A03A3"/>
    <w:rsid w:val="003B0260"/>
    <w:rsid w:val="003B6D0C"/>
    <w:rsid w:val="003C543B"/>
    <w:rsid w:val="003D1752"/>
    <w:rsid w:val="003D33BC"/>
    <w:rsid w:val="003F3DDC"/>
    <w:rsid w:val="003F702A"/>
    <w:rsid w:val="004026ED"/>
    <w:rsid w:val="00416A5A"/>
    <w:rsid w:val="00420F62"/>
    <w:rsid w:val="00421F68"/>
    <w:rsid w:val="0042261D"/>
    <w:rsid w:val="00430F9E"/>
    <w:rsid w:val="004339A3"/>
    <w:rsid w:val="004549E3"/>
    <w:rsid w:val="00455814"/>
    <w:rsid w:val="004741C6"/>
    <w:rsid w:val="004765E6"/>
    <w:rsid w:val="00491344"/>
    <w:rsid w:val="004A2D6A"/>
    <w:rsid w:val="004A40C2"/>
    <w:rsid w:val="004A428F"/>
    <w:rsid w:val="004A45B4"/>
    <w:rsid w:val="004B3655"/>
    <w:rsid w:val="004B4FAE"/>
    <w:rsid w:val="004C3DF6"/>
    <w:rsid w:val="004D3BC4"/>
    <w:rsid w:val="004E167F"/>
    <w:rsid w:val="004E3382"/>
    <w:rsid w:val="004E4967"/>
    <w:rsid w:val="004F5E90"/>
    <w:rsid w:val="004F6AB2"/>
    <w:rsid w:val="00510996"/>
    <w:rsid w:val="005137AC"/>
    <w:rsid w:val="005310CF"/>
    <w:rsid w:val="00544656"/>
    <w:rsid w:val="00547C26"/>
    <w:rsid w:val="00547D15"/>
    <w:rsid w:val="00557AD7"/>
    <w:rsid w:val="005600C0"/>
    <w:rsid w:val="005817EE"/>
    <w:rsid w:val="00587C9A"/>
    <w:rsid w:val="00590D2E"/>
    <w:rsid w:val="005969A5"/>
    <w:rsid w:val="00597D19"/>
    <w:rsid w:val="005A1186"/>
    <w:rsid w:val="005A3666"/>
    <w:rsid w:val="005B48EF"/>
    <w:rsid w:val="005D3FA6"/>
    <w:rsid w:val="005D5FB7"/>
    <w:rsid w:val="005E0B4F"/>
    <w:rsid w:val="005E50CE"/>
    <w:rsid w:val="005E58CF"/>
    <w:rsid w:val="005F247C"/>
    <w:rsid w:val="005F4280"/>
    <w:rsid w:val="00601528"/>
    <w:rsid w:val="006071A5"/>
    <w:rsid w:val="0061085A"/>
    <w:rsid w:val="00617F31"/>
    <w:rsid w:val="0062205C"/>
    <w:rsid w:val="006255D7"/>
    <w:rsid w:val="00634E70"/>
    <w:rsid w:val="00644CDC"/>
    <w:rsid w:val="006626A3"/>
    <w:rsid w:val="00663D15"/>
    <w:rsid w:val="00673877"/>
    <w:rsid w:val="00682A9F"/>
    <w:rsid w:val="00684BA3"/>
    <w:rsid w:val="006864E5"/>
    <w:rsid w:val="006870A2"/>
    <w:rsid w:val="0068713D"/>
    <w:rsid w:val="00694C28"/>
    <w:rsid w:val="006A0291"/>
    <w:rsid w:val="006A0935"/>
    <w:rsid w:val="006C5CF8"/>
    <w:rsid w:val="006C5D28"/>
    <w:rsid w:val="006C6AF0"/>
    <w:rsid w:val="006D0A15"/>
    <w:rsid w:val="006D27BE"/>
    <w:rsid w:val="006E749F"/>
    <w:rsid w:val="007065FB"/>
    <w:rsid w:val="00716D38"/>
    <w:rsid w:val="0072138A"/>
    <w:rsid w:val="00746064"/>
    <w:rsid w:val="0076314A"/>
    <w:rsid w:val="007669D8"/>
    <w:rsid w:val="00770D94"/>
    <w:rsid w:val="0078062C"/>
    <w:rsid w:val="00787542"/>
    <w:rsid w:val="007911A5"/>
    <w:rsid w:val="0079675A"/>
    <w:rsid w:val="007A562A"/>
    <w:rsid w:val="007A72B1"/>
    <w:rsid w:val="007B22AF"/>
    <w:rsid w:val="007B32F7"/>
    <w:rsid w:val="007B77EB"/>
    <w:rsid w:val="007C2EFE"/>
    <w:rsid w:val="007C3A39"/>
    <w:rsid w:val="007C7DF1"/>
    <w:rsid w:val="007D399A"/>
    <w:rsid w:val="007E308A"/>
    <w:rsid w:val="007E7B1B"/>
    <w:rsid w:val="007F2D90"/>
    <w:rsid w:val="00805D7F"/>
    <w:rsid w:val="008102E0"/>
    <w:rsid w:val="00810609"/>
    <w:rsid w:val="00811613"/>
    <w:rsid w:val="008219DE"/>
    <w:rsid w:val="008248F5"/>
    <w:rsid w:val="00831A33"/>
    <w:rsid w:val="00831B1A"/>
    <w:rsid w:val="0083550A"/>
    <w:rsid w:val="00837D56"/>
    <w:rsid w:val="00852281"/>
    <w:rsid w:val="0088305A"/>
    <w:rsid w:val="008B340E"/>
    <w:rsid w:val="008B4A25"/>
    <w:rsid w:val="008B4C9B"/>
    <w:rsid w:val="008C7BCD"/>
    <w:rsid w:val="008D3190"/>
    <w:rsid w:val="008F40AC"/>
    <w:rsid w:val="008F5BC7"/>
    <w:rsid w:val="009018AB"/>
    <w:rsid w:val="00902A11"/>
    <w:rsid w:val="00905DBE"/>
    <w:rsid w:val="009139E3"/>
    <w:rsid w:val="00922DD8"/>
    <w:rsid w:val="0093248A"/>
    <w:rsid w:val="0094680B"/>
    <w:rsid w:val="00947739"/>
    <w:rsid w:val="00951015"/>
    <w:rsid w:val="00957F45"/>
    <w:rsid w:val="00961919"/>
    <w:rsid w:val="00973485"/>
    <w:rsid w:val="00973C00"/>
    <w:rsid w:val="00977B04"/>
    <w:rsid w:val="00983169"/>
    <w:rsid w:val="00985B09"/>
    <w:rsid w:val="009979FD"/>
    <w:rsid w:val="009B5946"/>
    <w:rsid w:val="009B64F5"/>
    <w:rsid w:val="009C30E8"/>
    <w:rsid w:val="009C5AC5"/>
    <w:rsid w:val="009D2D2F"/>
    <w:rsid w:val="00A105A5"/>
    <w:rsid w:val="00A13532"/>
    <w:rsid w:val="00A26EBD"/>
    <w:rsid w:val="00A3621E"/>
    <w:rsid w:val="00A45D31"/>
    <w:rsid w:val="00A461F0"/>
    <w:rsid w:val="00A63E1B"/>
    <w:rsid w:val="00A66FDB"/>
    <w:rsid w:val="00A73C47"/>
    <w:rsid w:val="00A752F6"/>
    <w:rsid w:val="00A81AC4"/>
    <w:rsid w:val="00A947D3"/>
    <w:rsid w:val="00A956B2"/>
    <w:rsid w:val="00A964FE"/>
    <w:rsid w:val="00A97CF9"/>
    <w:rsid w:val="00AA1E93"/>
    <w:rsid w:val="00AA72C4"/>
    <w:rsid w:val="00AB4E0C"/>
    <w:rsid w:val="00AD67A9"/>
    <w:rsid w:val="00AE57CA"/>
    <w:rsid w:val="00B141EE"/>
    <w:rsid w:val="00B2042F"/>
    <w:rsid w:val="00B41C87"/>
    <w:rsid w:val="00B46DA9"/>
    <w:rsid w:val="00B63632"/>
    <w:rsid w:val="00B72A5C"/>
    <w:rsid w:val="00B82D9C"/>
    <w:rsid w:val="00B8387F"/>
    <w:rsid w:val="00B86BEF"/>
    <w:rsid w:val="00B95C84"/>
    <w:rsid w:val="00BA21DC"/>
    <w:rsid w:val="00BA2A31"/>
    <w:rsid w:val="00BA2BBE"/>
    <w:rsid w:val="00BA35C2"/>
    <w:rsid w:val="00BE1068"/>
    <w:rsid w:val="00BF477D"/>
    <w:rsid w:val="00BF62B1"/>
    <w:rsid w:val="00C078A6"/>
    <w:rsid w:val="00C15C17"/>
    <w:rsid w:val="00C1700E"/>
    <w:rsid w:val="00C53534"/>
    <w:rsid w:val="00C623A3"/>
    <w:rsid w:val="00C7352B"/>
    <w:rsid w:val="00C73B12"/>
    <w:rsid w:val="00C82445"/>
    <w:rsid w:val="00C84F8B"/>
    <w:rsid w:val="00CA5AC4"/>
    <w:rsid w:val="00CB1724"/>
    <w:rsid w:val="00CB1B6A"/>
    <w:rsid w:val="00CB3E72"/>
    <w:rsid w:val="00CB7485"/>
    <w:rsid w:val="00CC1634"/>
    <w:rsid w:val="00CF76B9"/>
    <w:rsid w:val="00D07AF2"/>
    <w:rsid w:val="00D111FE"/>
    <w:rsid w:val="00D13D82"/>
    <w:rsid w:val="00D27AED"/>
    <w:rsid w:val="00D731B9"/>
    <w:rsid w:val="00D77D70"/>
    <w:rsid w:val="00D82277"/>
    <w:rsid w:val="00D8355E"/>
    <w:rsid w:val="00DA0AC1"/>
    <w:rsid w:val="00DB118E"/>
    <w:rsid w:val="00DB4051"/>
    <w:rsid w:val="00DB49A9"/>
    <w:rsid w:val="00DC15E9"/>
    <w:rsid w:val="00DC52D0"/>
    <w:rsid w:val="00DC6556"/>
    <w:rsid w:val="00DD0F1E"/>
    <w:rsid w:val="00DE0151"/>
    <w:rsid w:val="00DE4712"/>
    <w:rsid w:val="00DE6C93"/>
    <w:rsid w:val="00DF249B"/>
    <w:rsid w:val="00E02C60"/>
    <w:rsid w:val="00E16421"/>
    <w:rsid w:val="00E41BA1"/>
    <w:rsid w:val="00E56EEB"/>
    <w:rsid w:val="00E64D9C"/>
    <w:rsid w:val="00E94537"/>
    <w:rsid w:val="00EA2124"/>
    <w:rsid w:val="00EA5A13"/>
    <w:rsid w:val="00EA6AE2"/>
    <w:rsid w:val="00EB7358"/>
    <w:rsid w:val="00ED28E5"/>
    <w:rsid w:val="00ED7EEA"/>
    <w:rsid w:val="00EE22C4"/>
    <w:rsid w:val="00EF4C70"/>
    <w:rsid w:val="00F067AF"/>
    <w:rsid w:val="00F16E75"/>
    <w:rsid w:val="00F27633"/>
    <w:rsid w:val="00F5006D"/>
    <w:rsid w:val="00F52892"/>
    <w:rsid w:val="00F6097F"/>
    <w:rsid w:val="00F6138F"/>
    <w:rsid w:val="00F616E7"/>
    <w:rsid w:val="00F630D0"/>
    <w:rsid w:val="00F65C01"/>
    <w:rsid w:val="00F72222"/>
    <w:rsid w:val="00F7313A"/>
    <w:rsid w:val="00F750FF"/>
    <w:rsid w:val="00F76B60"/>
    <w:rsid w:val="00F8369D"/>
    <w:rsid w:val="00FB1615"/>
    <w:rsid w:val="00FB78FA"/>
    <w:rsid w:val="00FC546C"/>
    <w:rsid w:val="00FD72CC"/>
    <w:rsid w:val="00FE0890"/>
    <w:rsid w:val="00FE4FAE"/>
    <w:rsid w:val="00FF54C4"/>
    <w:rsid w:val="00FF7286"/>
    <w:rsid w:val="02A40196"/>
    <w:rsid w:val="042B0A1A"/>
    <w:rsid w:val="053C7612"/>
    <w:rsid w:val="08BD47AF"/>
    <w:rsid w:val="0B7F03C7"/>
    <w:rsid w:val="0D1B1ACD"/>
    <w:rsid w:val="0F2E7C65"/>
    <w:rsid w:val="0F3B0B9F"/>
    <w:rsid w:val="111D5E14"/>
    <w:rsid w:val="11AE1162"/>
    <w:rsid w:val="132F28D0"/>
    <w:rsid w:val="13A02D2C"/>
    <w:rsid w:val="14AB4DA7"/>
    <w:rsid w:val="14FE5F5C"/>
    <w:rsid w:val="17423139"/>
    <w:rsid w:val="17BB1C5B"/>
    <w:rsid w:val="182A7012"/>
    <w:rsid w:val="18C96881"/>
    <w:rsid w:val="18E65685"/>
    <w:rsid w:val="1D7B2840"/>
    <w:rsid w:val="1EF12C36"/>
    <w:rsid w:val="1FD52B4E"/>
    <w:rsid w:val="29F658BF"/>
    <w:rsid w:val="2ADE7F6A"/>
    <w:rsid w:val="2CDD4B15"/>
    <w:rsid w:val="2E271C28"/>
    <w:rsid w:val="2F027181"/>
    <w:rsid w:val="309C0569"/>
    <w:rsid w:val="314C4F43"/>
    <w:rsid w:val="319A122D"/>
    <w:rsid w:val="31DF1251"/>
    <w:rsid w:val="33F474CA"/>
    <w:rsid w:val="37971BCD"/>
    <w:rsid w:val="394E6A33"/>
    <w:rsid w:val="3AC27689"/>
    <w:rsid w:val="3AE2621F"/>
    <w:rsid w:val="3C2974B3"/>
    <w:rsid w:val="3C54700A"/>
    <w:rsid w:val="3CCF3BB7"/>
    <w:rsid w:val="3D6D517E"/>
    <w:rsid w:val="411D1605"/>
    <w:rsid w:val="42C8103A"/>
    <w:rsid w:val="48036E0A"/>
    <w:rsid w:val="4E3602DF"/>
    <w:rsid w:val="50E32EAD"/>
    <w:rsid w:val="53C027CE"/>
    <w:rsid w:val="54240969"/>
    <w:rsid w:val="5462752A"/>
    <w:rsid w:val="56B45E9F"/>
    <w:rsid w:val="57216E31"/>
    <w:rsid w:val="5A3B4C19"/>
    <w:rsid w:val="5EBB7FE7"/>
    <w:rsid w:val="60C6278F"/>
    <w:rsid w:val="69C266CE"/>
    <w:rsid w:val="6AE50129"/>
    <w:rsid w:val="6BFB1A23"/>
    <w:rsid w:val="6F5A32DC"/>
    <w:rsid w:val="73052C2D"/>
    <w:rsid w:val="74F75E16"/>
    <w:rsid w:val="776A0320"/>
    <w:rsid w:val="7793056D"/>
    <w:rsid w:val="79CC67BB"/>
    <w:rsid w:val="7B340AAD"/>
    <w:rsid w:val="7BFF25E3"/>
    <w:rsid w:val="7D2B7FF9"/>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autoRedefine/>
    <w:qFormat/>
    <w:uiPriority w:val="0"/>
    <w:pPr>
      <w:keepNext/>
      <w:keepLines/>
      <w:wordWrap w:val="0"/>
      <w:spacing w:line="360" w:lineRule="auto"/>
      <w:jc w:val="center"/>
      <w:outlineLvl w:val="0"/>
    </w:pPr>
    <w:rPr>
      <w:rFonts w:ascii="Times New Roman" w:hAnsi="Times New Roman" w:eastAsia="宋体" w:cs="Times New Roman"/>
      <w:b/>
      <w:bCs/>
      <w:kern w:val="44"/>
      <w:sz w:val="32"/>
      <w:szCs w:val="32"/>
      <w:lang w:val="zh-CN"/>
    </w:rPr>
  </w:style>
  <w:style w:type="paragraph" w:styleId="4">
    <w:name w:val="heading 2"/>
    <w:basedOn w:val="1"/>
    <w:next w:val="1"/>
    <w:link w:val="60"/>
    <w:qFormat/>
    <w:uiPriority w:val="0"/>
    <w:pPr>
      <w:keepNext/>
      <w:keepLines/>
      <w:spacing w:line="360" w:lineRule="auto"/>
      <w:jc w:val="center"/>
      <w:outlineLvl w:val="1"/>
    </w:pPr>
    <w:rPr>
      <w:rFonts w:ascii="Cambria" w:hAnsi="Cambria" w:eastAsia="宋体" w:cs="Times New Roman"/>
      <w:b/>
      <w:bCs/>
      <w:kern w:val="0"/>
      <w:sz w:val="30"/>
      <w:szCs w:val="30"/>
      <w:lang w:val="zh-CN"/>
    </w:rPr>
  </w:style>
  <w:style w:type="paragraph" w:styleId="5">
    <w:name w:val="heading 3"/>
    <w:basedOn w:val="1"/>
    <w:next w:val="2"/>
    <w:link w:val="68"/>
    <w:unhideWhenUsed/>
    <w:qFormat/>
    <w:uiPriority w:val="0"/>
    <w:pPr>
      <w:keepNext/>
      <w:keepLines/>
      <w:spacing w:line="360" w:lineRule="auto"/>
      <w:outlineLvl w:val="2"/>
    </w:pPr>
    <w:rPr>
      <w:rFonts w:ascii="宋体" w:hAnsi="宋体" w:eastAsia="宋体"/>
      <w:b/>
      <w:bCs/>
      <w:spacing w:val="1"/>
      <w:sz w:val="28"/>
      <w:szCs w:val="32"/>
      <w:lang w:val="zh-CN"/>
    </w:rPr>
  </w:style>
  <w:style w:type="paragraph" w:styleId="6">
    <w:name w:val="heading 4"/>
    <w:basedOn w:val="1"/>
    <w:next w:val="1"/>
    <w:link w:val="62"/>
    <w:qFormat/>
    <w:uiPriority w:val="0"/>
    <w:pPr>
      <w:autoSpaceDE w:val="0"/>
      <w:autoSpaceDN w:val="0"/>
      <w:adjustRightInd w:val="0"/>
      <w:spacing w:line="360" w:lineRule="auto"/>
      <w:jc w:val="left"/>
      <w:outlineLvl w:val="3"/>
    </w:pPr>
    <w:rPr>
      <w:rFonts w:ascii="宋体" w:hAnsi="宋体" w:eastAsia="宋体" w:cs="Times New Roman"/>
      <w:b/>
      <w:kern w:val="0"/>
      <w:sz w:val="24"/>
      <w:szCs w:val="24"/>
      <w:lang w:val="zh-CN"/>
    </w:rPr>
  </w:style>
  <w:style w:type="paragraph" w:styleId="7">
    <w:name w:val="heading 5"/>
    <w:basedOn w:val="6"/>
    <w:next w:val="2"/>
    <w:link w:val="63"/>
    <w:autoRedefine/>
    <w:qFormat/>
    <w:uiPriority w:val="0"/>
    <w:pPr>
      <w:spacing w:line="240" w:lineRule="exact"/>
      <w:ind w:left="284" w:hanging="284"/>
      <w:outlineLvl w:val="4"/>
    </w:pPr>
    <w:rPr>
      <w:rFonts w:ascii="Arial" w:hAnsi="Arial"/>
      <w:kern w:val="2"/>
      <w:lang w:val="en-US"/>
    </w:rPr>
  </w:style>
  <w:style w:type="paragraph" w:styleId="8">
    <w:name w:val="heading 6"/>
    <w:basedOn w:val="1"/>
    <w:next w:val="1"/>
    <w:link w:val="64"/>
    <w:autoRedefine/>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2"/>
    <w:link w:val="65"/>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2"/>
    <w:link w:val="66"/>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2"/>
    <w:link w:val="67"/>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87"/>
    <w:autoRedefine/>
    <w:unhideWhenUsed/>
    <w:qFormat/>
    <w:uiPriority w:val="0"/>
    <w:pPr>
      <w:ind w:firstLine="420" w:firstLineChars="200"/>
    </w:pPr>
    <w:rPr>
      <w:rFonts w:ascii="Times New Roman" w:hAnsi="Times New Roman" w:eastAsia="宋体" w:cs="Times New Roman"/>
      <w:szCs w:val="24"/>
    </w:rPr>
  </w:style>
  <w:style w:type="paragraph" w:styleId="12">
    <w:name w:val="List 3"/>
    <w:basedOn w:val="1"/>
    <w:autoRedefine/>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autoRedefine/>
    <w:qFormat/>
    <w:uiPriority w:val="39"/>
    <w:pPr>
      <w:ind w:left="1260"/>
      <w:jc w:val="left"/>
    </w:pPr>
    <w:rPr>
      <w:rFonts w:ascii="Calibri" w:hAnsi="Calibri" w:eastAsia="宋体" w:cs="Calibri"/>
      <w:sz w:val="18"/>
      <w:szCs w:val="18"/>
    </w:rPr>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69"/>
    <w:autoRedefine/>
    <w:qFormat/>
    <w:uiPriority w:val="0"/>
    <w:rPr>
      <w:rFonts w:ascii="宋体" w:hAnsi="Times New Roman" w:eastAsia="宋体" w:cs="Times New Roman"/>
      <w:kern w:val="0"/>
      <w:sz w:val="18"/>
      <w:szCs w:val="18"/>
      <w:lang w:val="zh-CN"/>
    </w:rPr>
  </w:style>
  <w:style w:type="paragraph" w:styleId="16">
    <w:name w:val="annotation text"/>
    <w:basedOn w:val="1"/>
    <w:link w:val="70"/>
    <w:autoRedefine/>
    <w:qFormat/>
    <w:uiPriority w:val="0"/>
    <w:pPr>
      <w:jc w:val="left"/>
    </w:pPr>
    <w:rPr>
      <w:rFonts w:ascii="Times New Roman" w:hAnsi="Times New Roman" w:eastAsia="宋体" w:cs="Times New Roman"/>
      <w:szCs w:val="24"/>
      <w:lang w:val="zh-CN"/>
    </w:rPr>
  </w:style>
  <w:style w:type="paragraph" w:styleId="17">
    <w:name w:val="Salutation"/>
    <w:basedOn w:val="1"/>
    <w:next w:val="1"/>
    <w:link w:val="71"/>
    <w:autoRedefine/>
    <w:qFormat/>
    <w:uiPriority w:val="0"/>
    <w:rPr>
      <w:rFonts w:ascii="Calibri" w:hAnsi="Calibri" w:eastAsia="宋体" w:cs="Times New Roman"/>
      <w:kern w:val="0"/>
      <w:sz w:val="32"/>
      <w:szCs w:val="24"/>
    </w:rPr>
  </w:style>
  <w:style w:type="paragraph" w:styleId="18">
    <w:name w:val="Body Text 3"/>
    <w:basedOn w:val="1"/>
    <w:link w:val="72"/>
    <w:autoRedefine/>
    <w:qFormat/>
    <w:uiPriority w:val="0"/>
    <w:pPr>
      <w:spacing w:after="120"/>
    </w:pPr>
    <w:rPr>
      <w:rFonts w:ascii="Times New Roman" w:hAnsi="Times New Roman" w:eastAsia="宋体" w:cs="Times New Roman"/>
      <w:kern w:val="0"/>
      <w:sz w:val="16"/>
      <w:szCs w:val="16"/>
      <w:lang w:val="zh-CN"/>
    </w:rPr>
  </w:style>
  <w:style w:type="paragraph" w:styleId="19">
    <w:name w:val="Body Text"/>
    <w:basedOn w:val="1"/>
    <w:link w:val="73"/>
    <w:autoRedefine/>
    <w:qFormat/>
    <w:uiPriority w:val="99"/>
    <w:pPr>
      <w:pBdr>
        <w:top w:val="single" w:color="auto" w:sz="4" w:space="1"/>
      </w:pBdr>
    </w:pPr>
    <w:rPr>
      <w:rFonts w:ascii="Times New Roman" w:hAnsi="Times New Roman" w:eastAsia="宋体" w:cs="Times New Roman"/>
      <w:b/>
      <w:bCs/>
      <w:szCs w:val="24"/>
    </w:rPr>
  </w:style>
  <w:style w:type="paragraph" w:styleId="20">
    <w:name w:val="Body Text Indent"/>
    <w:basedOn w:val="1"/>
    <w:next w:val="21"/>
    <w:link w:val="74"/>
    <w:autoRedefine/>
    <w:qFormat/>
    <w:uiPriority w:val="0"/>
    <w:pPr>
      <w:ind w:firstLine="600" w:firstLineChars="200"/>
    </w:pPr>
    <w:rPr>
      <w:rFonts w:ascii="宋体" w:hAnsi="Times New Roman" w:eastAsia="宋体" w:cs="Times New Roman"/>
      <w:sz w:val="30"/>
      <w:szCs w:val="20"/>
      <w:lang w:val="zh-CN"/>
    </w:rPr>
  </w:style>
  <w:style w:type="paragraph" w:styleId="21">
    <w:name w:val="envelope return"/>
    <w:basedOn w:val="1"/>
    <w:autoRedefine/>
    <w:qFormat/>
    <w:uiPriority w:val="0"/>
    <w:pPr>
      <w:snapToGrid w:val="0"/>
    </w:pPr>
    <w:rPr>
      <w:rFonts w:ascii="Arial" w:hAnsi="Arial" w:eastAsia="宋体" w:cs="Times New Roman"/>
      <w:szCs w:val="24"/>
    </w:rPr>
  </w:style>
  <w:style w:type="paragraph" w:styleId="22">
    <w:name w:val="index 4"/>
    <w:basedOn w:val="1"/>
    <w:next w:val="1"/>
    <w:autoRedefine/>
    <w:unhideWhenUsed/>
    <w:qFormat/>
    <w:uiPriority w:val="99"/>
    <w:pPr>
      <w:ind w:left="600" w:leftChars="600"/>
    </w:pPr>
    <w:rPr>
      <w:rFonts w:ascii="Times New Roman" w:hAnsi="Times New Roman" w:eastAsia="宋体" w:cs="Times New Roman"/>
      <w:szCs w:val="24"/>
    </w:rPr>
  </w:style>
  <w:style w:type="paragraph" w:styleId="23">
    <w:name w:val="toc 5"/>
    <w:basedOn w:val="1"/>
    <w:next w:val="1"/>
    <w:autoRedefine/>
    <w:qFormat/>
    <w:uiPriority w:val="39"/>
    <w:pPr>
      <w:ind w:left="840"/>
      <w:jc w:val="left"/>
    </w:pPr>
    <w:rPr>
      <w:rFonts w:ascii="Calibri" w:hAnsi="Calibri" w:eastAsia="宋体" w:cs="Calibri"/>
      <w:sz w:val="18"/>
      <w:szCs w:val="18"/>
    </w:rPr>
  </w:style>
  <w:style w:type="paragraph" w:styleId="24">
    <w:name w:val="toc 3"/>
    <w:basedOn w:val="1"/>
    <w:next w:val="1"/>
    <w:autoRedefine/>
    <w:qFormat/>
    <w:uiPriority w:val="39"/>
    <w:pPr>
      <w:ind w:left="840" w:leftChars="400"/>
    </w:pPr>
    <w:rPr>
      <w:rFonts w:ascii="Times New Roman" w:hAnsi="Times New Roman" w:eastAsia="宋体" w:cs="Times New Roman"/>
      <w:szCs w:val="24"/>
    </w:rPr>
  </w:style>
  <w:style w:type="paragraph" w:styleId="25">
    <w:name w:val="Plain Text"/>
    <w:basedOn w:val="1"/>
    <w:link w:val="75"/>
    <w:autoRedefine/>
    <w:qFormat/>
    <w:uiPriority w:val="0"/>
    <w:rPr>
      <w:rFonts w:ascii="宋体" w:hAnsi="Courier New" w:eastAsia="宋体" w:cs="Times New Roman"/>
      <w:szCs w:val="20"/>
      <w:lang w:val="zh-CN"/>
    </w:rPr>
  </w:style>
  <w:style w:type="paragraph" w:styleId="26">
    <w:name w:val="toc 8"/>
    <w:basedOn w:val="1"/>
    <w:next w:val="1"/>
    <w:autoRedefine/>
    <w:qFormat/>
    <w:uiPriority w:val="39"/>
    <w:pPr>
      <w:ind w:left="1470"/>
      <w:jc w:val="left"/>
    </w:pPr>
    <w:rPr>
      <w:rFonts w:ascii="Calibri" w:hAnsi="Calibri" w:eastAsia="宋体" w:cs="Calibri"/>
      <w:sz w:val="18"/>
      <w:szCs w:val="18"/>
    </w:rPr>
  </w:style>
  <w:style w:type="paragraph" w:styleId="27">
    <w:name w:val="Date"/>
    <w:basedOn w:val="1"/>
    <w:next w:val="1"/>
    <w:link w:val="76"/>
    <w:autoRedefine/>
    <w:qFormat/>
    <w:uiPriority w:val="0"/>
    <w:pPr>
      <w:ind w:left="100" w:leftChars="2500"/>
    </w:pPr>
    <w:rPr>
      <w:rFonts w:ascii="Calibri" w:hAnsi="Calibri" w:eastAsia="宋体" w:cs="Times New Roman"/>
      <w:kern w:val="0"/>
      <w:sz w:val="20"/>
      <w:szCs w:val="24"/>
    </w:rPr>
  </w:style>
  <w:style w:type="paragraph" w:styleId="28">
    <w:name w:val="Body Text Indent 2"/>
    <w:basedOn w:val="1"/>
    <w:link w:val="77"/>
    <w:autoRedefine/>
    <w:qFormat/>
    <w:uiPriority w:val="0"/>
    <w:pPr>
      <w:spacing w:after="120" w:line="480" w:lineRule="auto"/>
      <w:ind w:left="420" w:leftChars="200"/>
    </w:pPr>
    <w:rPr>
      <w:rFonts w:ascii="Times New Roman" w:hAnsi="Times New Roman" w:eastAsia="Courier New" w:cs="Times New Roman"/>
      <w:kern w:val="0"/>
      <w:sz w:val="20"/>
      <w:szCs w:val="20"/>
      <w:lang w:val="zh-CN"/>
    </w:rPr>
  </w:style>
  <w:style w:type="paragraph" w:styleId="29">
    <w:name w:val="Balloon Text"/>
    <w:basedOn w:val="1"/>
    <w:link w:val="78"/>
    <w:autoRedefine/>
    <w:qFormat/>
    <w:uiPriority w:val="0"/>
    <w:rPr>
      <w:rFonts w:ascii="Times New Roman" w:hAnsi="Times New Roman" w:eastAsia="宋体" w:cs="Times New Roman"/>
      <w:sz w:val="18"/>
      <w:szCs w:val="18"/>
      <w:lang w:val="zh-CN"/>
    </w:rPr>
  </w:style>
  <w:style w:type="paragraph" w:styleId="30">
    <w:name w:val="footer"/>
    <w:basedOn w:val="1"/>
    <w:link w:val="58"/>
    <w:autoRedefine/>
    <w:unhideWhenUsed/>
    <w:qFormat/>
    <w:uiPriority w:val="99"/>
    <w:pPr>
      <w:tabs>
        <w:tab w:val="center" w:pos="4153"/>
        <w:tab w:val="right" w:pos="8306"/>
      </w:tabs>
      <w:snapToGrid w:val="0"/>
      <w:jc w:val="left"/>
    </w:pPr>
    <w:rPr>
      <w:sz w:val="18"/>
      <w:szCs w:val="18"/>
    </w:rPr>
  </w:style>
  <w:style w:type="paragraph" w:styleId="31">
    <w:name w:val="header"/>
    <w:basedOn w:val="1"/>
    <w:link w:val="5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jc w:val="left"/>
    </w:pPr>
    <w:rPr>
      <w:rFonts w:ascii="Calibri" w:hAnsi="Calibri" w:eastAsia="宋体" w:cs="Calibri"/>
      <w:b/>
      <w:bCs/>
      <w:caps/>
      <w:sz w:val="20"/>
      <w:szCs w:val="20"/>
    </w:rPr>
  </w:style>
  <w:style w:type="paragraph" w:styleId="33">
    <w:name w:val="toc 4"/>
    <w:basedOn w:val="1"/>
    <w:next w:val="1"/>
    <w:autoRedefine/>
    <w:qFormat/>
    <w:uiPriority w:val="39"/>
    <w:pPr>
      <w:ind w:left="630"/>
      <w:jc w:val="left"/>
    </w:pPr>
    <w:rPr>
      <w:rFonts w:ascii="Calibri" w:hAnsi="Calibri" w:eastAsia="宋体" w:cs="Calibri"/>
      <w:sz w:val="18"/>
      <w:szCs w:val="18"/>
    </w:rPr>
  </w:style>
  <w:style w:type="paragraph" w:styleId="34">
    <w:name w:val="toc 6"/>
    <w:basedOn w:val="1"/>
    <w:next w:val="1"/>
    <w:autoRedefine/>
    <w:qFormat/>
    <w:uiPriority w:val="39"/>
    <w:pPr>
      <w:ind w:left="1050"/>
      <w:jc w:val="left"/>
    </w:pPr>
    <w:rPr>
      <w:rFonts w:ascii="Calibri" w:hAnsi="Calibri" w:eastAsia="宋体" w:cs="Calibri"/>
      <w:sz w:val="18"/>
      <w:szCs w:val="18"/>
    </w:rPr>
  </w:style>
  <w:style w:type="paragraph" w:styleId="35">
    <w:name w:val="Body Text Indent 3"/>
    <w:basedOn w:val="1"/>
    <w:link w:val="79"/>
    <w:autoRedefine/>
    <w:qFormat/>
    <w:uiPriority w:val="0"/>
    <w:pPr>
      <w:spacing w:after="120"/>
      <w:ind w:left="420" w:leftChars="200"/>
    </w:pPr>
    <w:rPr>
      <w:rFonts w:ascii="Calibri" w:hAnsi="Calibri" w:eastAsia="宋体" w:cs="Times New Roman"/>
      <w:kern w:val="0"/>
      <w:sz w:val="16"/>
      <w:szCs w:val="20"/>
    </w:rPr>
  </w:style>
  <w:style w:type="paragraph" w:styleId="36">
    <w:name w:val="toc 2"/>
    <w:basedOn w:val="1"/>
    <w:next w:val="1"/>
    <w:autoRedefine/>
    <w:unhideWhenUsed/>
    <w:qFormat/>
    <w:uiPriority w:val="39"/>
    <w:pPr>
      <w:ind w:left="420" w:leftChars="200"/>
    </w:pPr>
    <w:rPr>
      <w:rFonts w:ascii="Times New Roman" w:hAnsi="Times New Roman" w:eastAsia="宋体" w:cs="Times New Roman"/>
      <w:szCs w:val="24"/>
    </w:rPr>
  </w:style>
  <w:style w:type="paragraph" w:styleId="37">
    <w:name w:val="toc 9"/>
    <w:basedOn w:val="1"/>
    <w:next w:val="1"/>
    <w:autoRedefine/>
    <w:qFormat/>
    <w:uiPriority w:val="39"/>
    <w:pPr>
      <w:ind w:left="1680"/>
      <w:jc w:val="left"/>
    </w:pPr>
    <w:rPr>
      <w:rFonts w:ascii="Calibri" w:hAnsi="Calibri" w:eastAsia="宋体" w:cs="Calibri"/>
      <w:sz w:val="18"/>
      <w:szCs w:val="18"/>
    </w:rPr>
  </w:style>
  <w:style w:type="paragraph" w:styleId="38">
    <w:name w:val="Body Text 2"/>
    <w:basedOn w:val="1"/>
    <w:link w:val="80"/>
    <w:autoRedefine/>
    <w:qFormat/>
    <w:uiPriority w:val="0"/>
    <w:pPr>
      <w:spacing w:after="120" w:line="480" w:lineRule="auto"/>
    </w:pPr>
    <w:rPr>
      <w:rFonts w:ascii="Times New Roman" w:hAnsi="Times New Roman" w:eastAsia="宋体" w:cs="Times New Roman"/>
      <w:kern w:val="0"/>
      <w:sz w:val="20"/>
      <w:szCs w:val="24"/>
      <w:lang w:val="zh-CN"/>
    </w:rPr>
  </w:style>
  <w:style w:type="paragraph" w:styleId="39">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kern w:val="0"/>
      <w:sz w:val="20"/>
      <w:szCs w:val="21"/>
    </w:rPr>
  </w:style>
  <w:style w:type="paragraph" w:styleId="40">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1">
    <w:name w:val="Title"/>
    <w:basedOn w:val="1"/>
    <w:link w:val="82"/>
    <w:autoRedefine/>
    <w:qFormat/>
    <w:uiPriority w:val="0"/>
    <w:pPr>
      <w:spacing w:before="240" w:after="60"/>
      <w:jc w:val="center"/>
      <w:outlineLvl w:val="0"/>
    </w:pPr>
    <w:rPr>
      <w:rFonts w:ascii="Arial" w:hAnsi="Arial" w:eastAsia="宋体" w:cs="Times New Roman"/>
      <w:b/>
      <w:bCs/>
      <w:kern w:val="0"/>
      <w:sz w:val="32"/>
      <w:szCs w:val="32"/>
      <w:lang w:val="zh-CN"/>
    </w:rPr>
  </w:style>
  <w:style w:type="paragraph" w:styleId="42">
    <w:name w:val="annotation subject"/>
    <w:basedOn w:val="16"/>
    <w:next w:val="16"/>
    <w:link w:val="83"/>
    <w:autoRedefine/>
    <w:qFormat/>
    <w:uiPriority w:val="0"/>
    <w:rPr>
      <w:b/>
      <w:bCs/>
    </w:rPr>
  </w:style>
  <w:style w:type="paragraph" w:styleId="43">
    <w:name w:val="Body Text First Indent"/>
    <w:basedOn w:val="19"/>
    <w:link w:val="84"/>
    <w:autoRedefine/>
    <w:qFormat/>
    <w:uiPriority w:val="0"/>
    <w:pPr>
      <w:pBdr>
        <w:top w:val="none" w:color="auto" w:sz="0" w:space="0"/>
      </w:pBdr>
      <w:spacing w:after="120"/>
      <w:ind w:firstLine="420" w:firstLineChars="100"/>
    </w:pPr>
    <w:rPr>
      <w:b w:val="0"/>
      <w:bCs w:val="0"/>
      <w:kern w:val="0"/>
      <w:sz w:val="20"/>
      <w:szCs w:val="20"/>
    </w:rPr>
  </w:style>
  <w:style w:type="paragraph" w:styleId="44">
    <w:name w:val="Body Text First Indent 2"/>
    <w:basedOn w:val="20"/>
    <w:link w:val="85"/>
    <w:autoRedefine/>
    <w:qFormat/>
    <w:uiPriority w:val="0"/>
    <w:pPr>
      <w:spacing w:after="120"/>
      <w:ind w:left="420" w:leftChars="200" w:firstLine="420"/>
    </w:pPr>
    <w:rPr>
      <w:rFonts w:ascii="Times New Roman"/>
      <w:kern w:val="0"/>
      <w:sz w:val="20"/>
      <w:szCs w:val="24"/>
    </w:rPr>
  </w:style>
  <w:style w:type="table" w:styleId="46">
    <w:name w:val="Table Grid"/>
    <w:basedOn w:val="4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22"/>
    <w:rPr>
      <w:b/>
      <w:bCs/>
    </w:rPr>
  </w:style>
  <w:style w:type="character" w:styleId="49">
    <w:name w:val="page number"/>
    <w:autoRedefine/>
    <w:qFormat/>
    <w:uiPriority w:val="0"/>
  </w:style>
  <w:style w:type="character" w:styleId="50">
    <w:name w:val="FollowedHyperlink"/>
    <w:basedOn w:val="47"/>
    <w:autoRedefine/>
    <w:semiHidden/>
    <w:unhideWhenUsed/>
    <w:qFormat/>
    <w:uiPriority w:val="99"/>
    <w:rPr>
      <w:color w:val="954F72" w:themeColor="followedHyperlink"/>
      <w:u w:val="single"/>
      <w14:textFill>
        <w14:solidFill>
          <w14:schemeClr w14:val="folHlink"/>
        </w14:solidFill>
      </w14:textFill>
    </w:rPr>
  </w:style>
  <w:style w:type="character" w:styleId="51">
    <w:name w:val="HTML Definition"/>
    <w:basedOn w:val="47"/>
    <w:autoRedefine/>
    <w:semiHidden/>
    <w:unhideWhenUsed/>
    <w:qFormat/>
    <w:uiPriority w:val="99"/>
    <w:rPr>
      <w:i/>
      <w:iCs/>
    </w:rPr>
  </w:style>
  <w:style w:type="character" w:styleId="52">
    <w:name w:val="Hyperlink"/>
    <w:autoRedefine/>
    <w:qFormat/>
    <w:uiPriority w:val="99"/>
    <w:rPr>
      <w:color w:val="0000FF"/>
      <w:u w:val="single"/>
    </w:rPr>
  </w:style>
  <w:style w:type="character" w:styleId="53">
    <w:name w:val="HTML Code"/>
    <w:basedOn w:val="47"/>
    <w:autoRedefine/>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54">
    <w:name w:val="annotation reference"/>
    <w:autoRedefine/>
    <w:qFormat/>
    <w:uiPriority w:val="0"/>
    <w:rPr>
      <w:sz w:val="21"/>
      <w:szCs w:val="21"/>
    </w:rPr>
  </w:style>
  <w:style w:type="character" w:styleId="55">
    <w:name w:val="HTML Keyboard"/>
    <w:basedOn w:val="47"/>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7"/>
    <w:autoRedefine/>
    <w:semiHidden/>
    <w:unhideWhenUsed/>
    <w:qFormat/>
    <w:uiPriority w:val="99"/>
    <w:rPr>
      <w:rFonts w:hint="default" w:ascii="Consolas" w:hAnsi="Consolas" w:eastAsia="Consolas" w:cs="Consolas"/>
      <w:sz w:val="21"/>
      <w:szCs w:val="21"/>
    </w:rPr>
  </w:style>
  <w:style w:type="character" w:customStyle="1" w:styleId="57">
    <w:name w:val="页眉 字符"/>
    <w:basedOn w:val="47"/>
    <w:link w:val="31"/>
    <w:autoRedefine/>
    <w:qFormat/>
    <w:uiPriority w:val="0"/>
    <w:rPr>
      <w:sz w:val="18"/>
      <w:szCs w:val="18"/>
    </w:rPr>
  </w:style>
  <w:style w:type="character" w:customStyle="1" w:styleId="58">
    <w:name w:val="页脚 字符"/>
    <w:basedOn w:val="47"/>
    <w:link w:val="30"/>
    <w:autoRedefine/>
    <w:qFormat/>
    <w:uiPriority w:val="99"/>
    <w:rPr>
      <w:sz w:val="18"/>
      <w:szCs w:val="18"/>
    </w:rPr>
  </w:style>
  <w:style w:type="character" w:customStyle="1" w:styleId="59">
    <w:name w:val="标题 1 字符"/>
    <w:basedOn w:val="47"/>
    <w:link w:val="3"/>
    <w:autoRedefine/>
    <w:qFormat/>
    <w:uiPriority w:val="0"/>
    <w:rPr>
      <w:rFonts w:ascii="Times New Roman" w:hAnsi="Times New Roman" w:eastAsia="宋体" w:cs="Times New Roman"/>
      <w:b/>
      <w:bCs/>
      <w:kern w:val="44"/>
      <w:sz w:val="32"/>
      <w:szCs w:val="32"/>
      <w:lang w:val="zh-CN"/>
    </w:rPr>
  </w:style>
  <w:style w:type="character" w:customStyle="1" w:styleId="60">
    <w:name w:val="标题 2 字符"/>
    <w:basedOn w:val="47"/>
    <w:link w:val="4"/>
    <w:autoRedefine/>
    <w:qFormat/>
    <w:uiPriority w:val="0"/>
    <w:rPr>
      <w:rFonts w:ascii="Cambria" w:hAnsi="Cambria" w:eastAsia="宋体" w:cs="Times New Roman"/>
      <w:b/>
      <w:bCs/>
      <w:kern w:val="0"/>
      <w:sz w:val="30"/>
      <w:szCs w:val="30"/>
      <w:lang w:val="zh-CN"/>
    </w:rPr>
  </w:style>
  <w:style w:type="paragraph" w:customStyle="1" w:styleId="61">
    <w:name w:val="标题 31"/>
    <w:basedOn w:val="1"/>
    <w:next w:val="2"/>
    <w:autoRedefine/>
    <w:qFormat/>
    <w:uiPriority w:val="0"/>
    <w:pPr>
      <w:keepNext/>
      <w:keepLines/>
      <w:spacing w:before="260" w:line="416" w:lineRule="auto"/>
      <w:outlineLvl w:val="2"/>
    </w:pPr>
    <w:rPr>
      <w:rFonts w:ascii="宋体" w:hAnsi="宋体" w:cs="Times New Roman"/>
      <w:b/>
      <w:bCs/>
      <w:spacing w:val="1"/>
      <w:sz w:val="28"/>
      <w:szCs w:val="32"/>
      <w:lang w:val="zh-CN"/>
    </w:rPr>
  </w:style>
  <w:style w:type="character" w:customStyle="1" w:styleId="62">
    <w:name w:val="标题 4 字符"/>
    <w:basedOn w:val="47"/>
    <w:link w:val="6"/>
    <w:autoRedefine/>
    <w:qFormat/>
    <w:uiPriority w:val="0"/>
    <w:rPr>
      <w:rFonts w:ascii="宋体" w:hAnsi="宋体" w:eastAsia="宋体" w:cs="Times New Roman"/>
      <w:b/>
      <w:kern w:val="0"/>
      <w:sz w:val="24"/>
      <w:szCs w:val="24"/>
      <w:lang w:val="zh-CN"/>
    </w:rPr>
  </w:style>
  <w:style w:type="character" w:customStyle="1" w:styleId="63">
    <w:name w:val="标题 5 字符"/>
    <w:basedOn w:val="47"/>
    <w:link w:val="7"/>
    <w:autoRedefine/>
    <w:qFormat/>
    <w:uiPriority w:val="0"/>
    <w:rPr>
      <w:rFonts w:ascii="Arial" w:hAnsi="Arial" w:eastAsia="宋体" w:cs="Times New Roman"/>
      <w:sz w:val="24"/>
      <w:szCs w:val="24"/>
    </w:rPr>
  </w:style>
  <w:style w:type="character" w:customStyle="1" w:styleId="64">
    <w:name w:val="标题 6 字符"/>
    <w:basedOn w:val="47"/>
    <w:link w:val="8"/>
    <w:autoRedefine/>
    <w:qFormat/>
    <w:uiPriority w:val="0"/>
    <w:rPr>
      <w:rFonts w:ascii="Arial" w:hAnsi="Arial" w:eastAsia="黑体" w:cs="Times New Roman"/>
      <w:b/>
      <w:bCs/>
      <w:sz w:val="24"/>
      <w:szCs w:val="24"/>
    </w:rPr>
  </w:style>
  <w:style w:type="character" w:customStyle="1" w:styleId="65">
    <w:name w:val="标题 7 字符"/>
    <w:basedOn w:val="47"/>
    <w:link w:val="9"/>
    <w:autoRedefine/>
    <w:qFormat/>
    <w:uiPriority w:val="0"/>
    <w:rPr>
      <w:rFonts w:ascii="Times New Roman" w:hAnsi="Times New Roman" w:eastAsia="宋体" w:cs="Times New Roman"/>
      <w:b/>
      <w:sz w:val="24"/>
      <w:szCs w:val="20"/>
    </w:rPr>
  </w:style>
  <w:style w:type="character" w:customStyle="1" w:styleId="66">
    <w:name w:val="标题 8 字符"/>
    <w:basedOn w:val="47"/>
    <w:link w:val="10"/>
    <w:autoRedefine/>
    <w:qFormat/>
    <w:uiPriority w:val="0"/>
    <w:rPr>
      <w:rFonts w:ascii="Arial" w:hAnsi="Arial" w:eastAsia="黑体" w:cs="Times New Roman"/>
      <w:sz w:val="24"/>
      <w:szCs w:val="20"/>
    </w:rPr>
  </w:style>
  <w:style w:type="character" w:customStyle="1" w:styleId="67">
    <w:name w:val="标题 9 字符"/>
    <w:basedOn w:val="47"/>
    <w:link w:val="11"/>
    <w:autoRedefine/>
    <w:qFormat/>
    <w:uiPriority w:val="0"/>
    <w:rPr>
      <w:rFonts w:ascii="Arial" w:hAnsi="Arial" w:eastAsia="黑体" w:cs="Times New Roman"/>
      <w:szCs w:val="20"/>
    </w:rPr>
  </w:style>
  <w:style w:type="character" w:customStyle="1" w:styleId="68">
    <w:name w:val="标题 3 字符"/>
    <w:basedOn w:val="47"/>
    <w:link w:val="5"/>
    <w:autoRedefine/>
    <w:qFormat/>
    <w:uiPriority w:val="0"/>
    <w:rPr>
      <w:rFonts w:ascii="宋体" w:hAnsi="宋体" w:eastAsia="宋体"/>
      <w:b/>
      <w:bCs/>
      <w:spacing w:val="1"/>
      <w:sz w:val="28"/>
      <w:szCs w:val="32"/>
      <w:lang w:val="zh-CN"/>
    </w:rPr>
  </w:style>
  <w:style w:type="character" w:customStyle="1" w:styleId="69">
    <w:name w:val="文档结构图 字符"/>
    <w:basedOn w:val="47"/>
    <w:link w:val="15"/>
    <w:autoRedefine/>
    <w:qFormat/>
    <w:uiPriority w:val="0"/>
    <w:rPr>
      <w:rFonts w:ascii="宋体" w:hAnsi="Times New Roman" w:eastAsia="宋体" w:cs="Times New Roman"/>
      <w:kern w:val="0"/>
      <w:sz w:val="18"/>
      <w:szCs w:val="18"/>
      <w:lang w:val="zh-CN"/>
    </w:rPr>
  </w:style>
  <w:style w:type="character" w:customStyle="1" w:styleId="70">
    <w:name w:val="批注文字 字符"/>
    <w:basedOn w:val="47"/>
    <w:link w:val="16"/>
    <w:autoRedefine/>
    <w:qFormat/>
    <w:uiPriority w:val="0"/>
    <w:rPr>
      <w:rFonts w:ascii="Times New Roman" w:hAnsi="Times New Roman" w:eastAsia="宋体" w:cs="Times New Roman"/>
      <w:szCs w:val="24"/>
      <w:lang w:val="zh-CN"/>
    </w:rPr>
  </w:style>
  <w:style w:type="character" w:customStyle="1" w:styleId="71">
    <w:name w:val="称呼 字符"/>
    <w:basedOn w:val="47"/>
    <w:link w:val="17"/>
    <w:autoRedefine/>
    <w:qFormat/>
    <w:uiPriority w:val="0"/>
    <w:rPr>
      <w:rFonts w:ascii="Calibri" w:hAnsi="Calibri" w:eastAsia="宋体" w:cs="Times New Roman"/>
      <w:kern w:val="0"/>
      <w:sz w:val="32"/>
      <w:szCs w:val="24"/>
    </w:rPr>
  </w:style>
  <w:style w:type="character" w:customStyle="1" w:styleId="72">
    <w:name w:val="正文文本 3 字符"/>
    <w:basedOn w:val="47"/>
    <w:link w:val="18"/>
    <w:autoRedefine/>
    <w:qFormat/>
    <w:uiPriority w:val="0"/>
    <w:rPr>
      <w:rFonts w:ascii="Times New Roman" w:hAnsi="Times New Roman" w:eastAsia="宋体" w:cs="Times New Roman"/>
      <w:kern w:val="0"/>
      <w:sz w:val="16"/>
      <w:szCs w:val="16"/>
      <w:lang w:val="zh-CN"/>
    </w:rPr>
  </w:style>
  <w:style w:type="character" w:customStyle="1" w:styleId="73">
    <w:name w:val="正文文本 字符"/>
    <w:basedOn w:val="47"/>
    <w:link w:val="19"/>
    <w:autoRedefine/>
    <w:qFormat/>
    <w:uiPriority w:val="99"/>
    <w:rPr>
      <w:rFonts w:ascii="Times New Roman" w:hAnsi="Times New Roman" w:eastAsia="宋体" w:cs="Times New Roman"/>
      <w:b/>
      <w:bCs/>
      <w:szCs w:val="24"/>
    </w:rPr>
  </w:style>
  <w:style w:type="character" w:customStyle="1" w:styleId="74">
    <w:name w:val="正文文本缩进 字符"/>
    <w:basedOn w:val="47"/>
    <w:link w:val="20"/>
    <w:autoRedefine/>
    <w:qFormat/>
    <w:uiPriority w:val="0"/>
    <w:rPr>
      <w:rFonts w:ascii="宋体" w:hAnsi="Times New Roman" w:eastAsia="宋体" w:cs="Times New Roman"/>
      <w:sz w:val="30"/>
      <w:szCs w:val="20"/>
      <w:lang w:val="zh-CN"/>
    </w:rPr>
  </w:style>
  <w:style w:type="character" w:customStyle="1" w:styleId="75">
    <w:name w:val="纯文本 字符"/>
    <w:basedOn w:val="47"/>
    <w:link w:val="25"/>
    <w:autoRedefine/>
    <w:qFormat/>
    <w:uiPriority w:val="0"/>
    <w:rPr>
      <w:rFonts w:ascii="宋体" w:hAnsi="Courier New" w:eastAsia="宋体" w:cs="Times New Roman"/>
      <w:szCs w:val="20"/>
      <w:lang w:val="zh-CN"/>
    </w:rPr>
  </w:style>
  <w:style w:type="character" w:customStyle="1" w:styleId="76">
    <w:name w:val="日期 字符"/>
    <w:basedOn w:val="47"/>
    <w:link w:val="27"/>
    <w:autoRedefine/>
    <w:qFormat/>
    <w:uiPriority w:val="0"/>
    <w:rPr>
      <w:rFonts w:ascii="Calibri" w:hAnsi="Calibri" w:eastAsia="宋体" w:cs="Times New Roman"/>
      <w:kern w:val="0"/>
      <w:sz w:val="20"/>
      <w:szCs w:val="24"/>
    </w:rPr>
  </w:style>
  <w:style w:type="character" w:customStyle="1" w:styleId="77">
    <w:name w:val="正文文本缩进 2 字符"/>
    <w:basedOn w:val="47"/>
    <w:link w:val="28"/>
    <w:autoRedefine/>
    <w:qFormat/>
    <w:uiPriority w:val="0"/>
    <w:rPr>
      <w:rFonts w:ascii="Times New Roman" w:hAnsi="Times New Roman" w:eastAsia="Courier New" w:cs="Times New Roman"/>
      <w:kern w:val="0"/>
      <w:sz w:val="20"/>
      <w:szCs w:val="20"/>
      <w:lang w:val="zh-CN"/>
    </w:rPr>
  </w:style>
  <w:style w:type="character" w:customStyle="1" w:styleId="78">
    <w:name w:val="批注框文本 字符"/>
    <w:basedOn w:val="47"/>
    <w:link w:val="29"/>
    <w:autoRedefine/>
    <w:qFormat/>
    <w:uiPriority w:val="0"/>
    <w:rPr>
      <w:rFonts w:ascii="Times New Roman" w:hAnsi="Times New Roman" w:eastAsia="宋体" w:cs="Times New Roman"/>
      <w:sz w:val="18"/>
      <w:szCs w:val="18"/>
      <w:lang w:val="zh-CN"/>
    </w:rPr>
  </w:style>
  <w:style w:type="character" w:customStyle="1" w:styleId="79">
    <w:name w:val="正文文本缩进 3 字符"/>
    <w:basedOn w:val="47"/>
    <w:link w:val="35"/>
    <w:autoRedefine/>
    <w:qFormat/>
    <w:uiPriority w:val="0"/>
    <w:rPr>
      <w:rFonts w:ascii="Calibri" w:hAnsi="Calibri" w:eastAsia="宋体" w:cs="Times New Roman"/>
      <w:kern w:val="0"/>
      <w:sz w:val="16"/>
      <w:szCs w:val="20"/>
    </w:rPr>
  </w:style>
  <w:style w:type="character" w:customStyle="1" w:styleId="80">
    <w:name w:val="正文文本 2 字符"/>
    <w:basedOn w:val="47"/>
    <w:link w:val="38"/>
    <w:autoRedefine/>
    <w:qFormat/>
    <w:uiPriority w:val="0"/>
    <w:rPr>
      <w:rFonts w:ascii="Times New Roman" w:hAnsi="Times New Roman" w:eastAsia="宋体" w:cs="Times New Roman"/>
      <w:kern w:val="0"/>
      <w:sz w:val="20"/>
      <w:szCs w:val="24"/>
      <w:lang w:val="zh-CN"/>
    </w:rPr>
  </w:style>
  <w:style w:type="character" w:customStyle="1" w:styleId="81">
    <w:name w:val="HTML 预设格式 字符"/>
    <w:basedOn w:val="47"/>
    <w:link w:val="39"/>
    <w:autoRedefine/>
    <w:qFormat/>
    <w:uiPriority w:val="0"/>
    <w:rPr>
      <w:rFonts w:ascii="Calibri" w:hAnsi="Calibri" w:eastAsia="宋体" w:cs="Times New Roman"/>
      <w:kern w:val="0"/>
      <w:sz w:val="20"/>
      <w:szCs w:val="21"/>
    </w:rPr>
  </w:style>
  <w:style w:type="character" w:customStyle="1" w:styleId="82">
    <w:name w:val="标题 字符"/>
    <w:basedOn w:val="47"/>
    <w:link w:val="41"/>
    <w:autoRedefine/>
    <w:qFormat/>
    <w:uiPriority w:val="0"/>
    <w:rPr>
      <w:rFonts w:ascii="Arial" w:hAnsi="Arial" w:eastAsia="宋体" w:cs="Times New Roman"/>
      <w:b/>
      <w:bCs/>
      <w:kern w:val="0"/>
      <w:sz w:val="32"/>
      <w:szCs w:val="32"/>
      <w:lang w:val="zh-CN"/>
    </w:rPr>
  </w:style>
  <w:style w:type="character" w:customStyle="1" w:styleId="83">
    <w:name w:val="批注主题 字符"/>
    <w:basedOn w:val="70"/>
    <w:link w:val="42"/>
    <w:autoRedefine/>
    <w:qFormat/>
    <w:uiPriority w:val="0"/>
    <w:rPr>
      <w:rFonts w:ascii="Times New Roman" w:hAnsi="Times New Roman" w:eastAsia="宋体" w:cs="Times New Roman"/>
      <w:b/>
      <w:bCs/>
      <w:szCs w:val="24"/>
      <w:lang w:val="zh-CN"/>
    </w:rPr>
  </w:style>
  <w:style w:type="character" w:customStyle="1" w:styleId="84">
    <w:name w:val="正文首行缩进 字符"/>
    <w:basedOn w:val="73"/>
    <w:link w:val="43"/>
    <w:autoRedefine/>
    <w:qFormat/>
    <w:uiPriority w:val="0"/>
    <w:rPr>
      <w:rFonts w:ascii="Times New Roman" w:hAnsi="Times New Roman" w:eastAsia="宋体" w:cs="Times New Roman"/>
      <w:b w:val="0"/>
      <w:bCs w:val="0"/>
      <w:kern w:val="0"/>
      <w:sz w:val="20"/>
      <w:szCs w:val="20"/>
    </w:rPr>
  </w:style>
  <w:style w:type="character" w:customStyle="1" w:styleId="85">
    <w:name w:val="正文首行缩进 2 字符"/>
    <w:basedOn w:val="74"/>
    <w:link w:val="44"/>
    <w:autoRedefine/>
    <w:qFormat/>
    <w:uiPriority w:val="0"/>
    <w:rPr>
      <w:rFonts w:ascii="Times New Roman" w:hAnsi="Times New Roman" w:eastAsia="宋体" w:cs="Times New Roman"/>
      <w:kern w:val="0"/>
      <w:sz w:val="20"/>
      <w:szCs w:val="24"/>
      <w:lang w:val="zh-CN"/>
    </w:rPr>
  </w:style>
  <w:style w:type="character" w:customStyle="1" w:styleId="86">
    <w:name w:val="访问过的超链接1"/>
    <w:basedOn w:val="47"/>
    <w:autoRedefine/>
    <w:semiHidden/>
    <w:unhideWhenUsed/>
    <w:qFormat/>
    <w:uiPriority w:val="99"/>
    <w:rPr>
      <w:color w:val="800080"/>
      <w:u w:val="single"/>
    </w:rPr>
  </w:style>
  <w:style w:type="character" w:customStyle="1" w:styleId="87">
    <w:name w:val="正文缩进 字符"/>
    <w:link w:val="2"/>
    <w:autoRedefine/>
    <w:qFormat/>
    <w:uiPriority w:val="0"/>
    <w:rPr>
      <w:rFonts w:ascii="Times New Roman" w:hAnsi="Times New Roman" w:eastAsia="宋体" w:cs="Times New Roman"/>
      <w:szCs w:val="24"/>
    </w:rPr>
  </w:style>
  <w:style w:type="paragraph" w:customStyle="1" w:styleId="88">
    <w:name w:val="_Style 7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插图名称 Char Char"/>
    <w:link w:val="90"/>
    <w:autoRedefine/>
    <w:qFormat/>
    <w:uiPriority w:val="0"/>
    <w:rPr>
      <w:rFonts w:eastAsia="Times New Roman"/>
      <w:szCs w:val="24"/>
    </w:rPr>
  </w:style>
  <w:style w:type="paragraph" w:customStyle="1" w:styleId="90">
    <w:name w:val="插图名称"/>
    <w:link w:val="89"/>
    <w:autoRedefine/>
    <w:qFormat/>
    <w:uiPriority w:val="0"/>
    <w:pPr>
      <w:jc w:val="center"/>
      <w:outlineLvl w:val="8"/>
    </w:pPr>
    <w:rPr>
      <w:rFonts w:eastAsia="Times New Roman" w:asciiTheme="minorHAnsi" w:hAnsiTheme="minorHAnsi" w:cstheme="minorBidi"/>
      <w:kern w:val="2"/>
      <w:sz w:val="21"/>
      <w:szCs w:val="24"/>
      <w:lang w:val="en-US" w:eastAsia="zh-CN" w:bidi="ar-SA"/>
    </w:rPr>
  </w:style>
  <w:style w:type="character" w:customStyle="1" w:styleId="91">
    <w:name w:val="表格文字 Char"/>
    <w:autoRedefine/>
    <w:qFormat/>
    <w:uiPriority w:val="0"/>
    <w:rPr>
      <w:rFonts w:ascii="宋体" w:hAnsi="Courier New"/>
    </w:rPr>
  </w:style>
  <w:style w:type="character" w:customStyle="1" w:styleId="92">
    <w:name w:val="19"/>
    <w:autoRedefine/>
    <w:qFormat/>
    <w:uiPriority w:val="0"/>
    <w:rPr>
      <w:rFonts w:hint="default" w:ascii="Calibri" w:hAnsi="Calibri" w:cs="Calibri"/>
      <w:b/>
      <w:bCs/>
      <w:kern w:val="44"/>
      <w:sz w:val="44"/>
      <w:szCs w:val="44"/>
    </w:rPr>
  </w:style>
  <w:style w:type="character" w:customStyle="1" w:styleId="93">
    <w:name w:val="17"/>
    <w:autoRedefine/>
    <w:qFormat/>
    <w:uiPriority w:val="0"/>
    <w:rPr>
      <w:rFonts w:hint="default" w:ascii="Calibri" w:hAnsi="Calibri" w:cs="Calibri"/>
    </w:rPr>
  </w:style>
  <w:style w:type="character" w:customStyle="1" w:styleId="94">
    <w:name w:val="Char Char10"/>
    <w:autoRedefine/>
    <w:qFormat/>
    <w:uiPriority w:val="0"/>
    <w:rPr>
      <w:rFonts w:ascii="宋体" w:hAnsi="Courier New" w:eastAsia="宋体" w:cs="Times New Roman"/>
      <w:szCs w:val="20"/>
    </w:rPr>
  </w:style>
  <w:style w:type="character" w:customStyle="1" w:styleId="95">
    <w:name w:val="3eee Char Char"/>
    <w:link w:val="96"/>
    <w:autoRedefine/>
    <w:qFormat/>
    <w:uiPriority w:val="0"/>
    <w:rPr>
      <w:rFonts w:ascii="Courier New" w:hAnsi="Courier New" w:eastAsia="Courier New"/>
      <w:sz w:val="24"/>
      <w:szCs w:val="24"/>
    </w:rPr>
  </w:style>
  <w:style w:type="paragraph" w:customStyle="1" w:styleId="96">
    <w:name w:val="3eee"/>
    <w:basedOn w:val="1"/>
    <w:link w:val="95"/>
    <w:autoRedefine/>
    <w:qFormat/>
    <w:uiPriority w:val="0"/>
    <w:pPr>
      <w:spacing w:line="440" w:lineRule="exact"/>
      <w:ind w:firstLine="480" w:firstLineChars="200"/>
    </w:pPr>
    <w:rPr>
      <w:rFonts w:ascii="Courier New" w:hAnsi="Courier New" w:eastAsia="Courier New"/>
      <w:sz w:val="24"/>
      <w:szCs w:val="24"/>
    </w:rPr>
  </w:style>
  <w:style w:type="character" w:customStyle="1" w:styleId="97">
    <w:name w:val="样式 宋体 小四 Char Char"/>
    <w:link w:val="98"/>
    <w:autoRedefine/>
    <w:qFormat/>
    <w:uiPriority w:val="0"/>
    <w:rPr>
      <w:rFonts w:ascii="Courier New" w:hAnsi="Courier New" w:eastAsia="Courier New"/>
      <w:sz w:val="24"/>
    </w:rPr>
  </w:style>
  <w:style w:type="paragraph" w:customStyle="1" w:styleId="98">
    <w:name w:val="样式 宋体 小四"/>
    <w:basedOn w:val="1"/>
    <w:link w:val="97"/>
    <w:autoRedefine/>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99">
    <w:name w:val="Default Paragraph Font New"/>
    <w:autoRedefine/>
    <w:qFormat/>
    <w:uiPriority w:val="0"/>
    <w:rPr>
      <w:rFonts w:hint="default"/>
    </w:rPr>
  </w:style>
  <w:style w:type="character" w:customStyle="1" w:styleId="100">
    <w:name w:val="文一 Char Char"/>
    <w:link w:val="101"/>
    <w:autoRedefine/>
    <w:qFormat/>
    <w:uiPriority w:val="0"/>
    <w:rPr>
      <w:spacing w:val="4"/>
      <w:sz w:val="24"/>
      <w:szCs w:val="24"/>
    </w:rPr>
  </w:style>
  <w:style w:type="paragraph" w:customStyle="1" w:styleId="101">
    <w:name w:val="文一"/>
    <w:basedOn w:val="1"/>
    <w:link w:val="100"/>
    <w:autoRedefine/>
    <w:qFormat/>
    <w:uiPriority w:val="0"/>
    <w:pPr>
      <w:topLinePunct/>
      <w:adjustRightInd w:val="0"/>
      <w:snapToGrid w:val="0"/>
      <w:spacing w:line="360" w:lineRule="auto"/>
      <w:ind w:firstLine="200" w:firstLineChars="200"/>
    </w:pPr>
    <w:rPr>
      <w:spacing w:val="4"/>
      <w:sz w:val="24"/>
      <w:szCs w:val="24"/>
    </w:rPr>
  </w:style>
  <w:style w:type="character" w:customStyle="1" w:styleId="102">
    <w:name w:val="无间隔 Char Char"/>
    <w:link w:val="103"/>
    <w:autoRedefine/>
    <w:qFormat/>
    <w:uiPriority w:val="0"/>
    <w:rPr>
      <w:szCs w:val="24"/>
    </w:rPr>
  </w:style>
  <w:style w:type="paragraph" w:customStyle="1" w:styleId="103">
    <w:name w:val="无间隔1"/>
    <w:link w:val="10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4">
    <w:name w:val="18"/>
    <w:autoRedefine/>
    <w:qFormat/>
    <w:uiPriority w:val="0"/>
    <w:rPr>
      <w:rFonts w:hint="default" w:ascii="Calibri" w:hAnsi="Calibri" w:cs="Calibri"/>
      <w:b/>
      <w:bCs/>
      <w:sz w:val="30"/>
      <w:szCs w:val="30"/>
    </w:rPr>
  </w:style>
  <w:style w:type="character" w:customStyle="1" w:styleId="105">
    <w:name w:val="16"/>
    <w:autoRedefine/>
    <w:qFormat/>
    <w:uiPriority w:val="0"/>
    <w:rPr>
      <w:rFonts w:hint="default" w:ascii="Calibri" w:hAnsi="Calibri" w:cs="Calibri"/>
      <w:color w:val="0000FF"/>
      <w:u w:val="single"/>
    </w:rPr>
  </w:style>
  <w:style w:type="character" w:customStyle="1" w:styleId="106">
    <w:name w:val="样式3 Char Char"/>
    <w:link w:val="107"/>
    <w:autoRedefine/>
    <w:qFormat/>
    <w:uiPriority w:val="0"/>
    <w:rPr>
      <w:rFonts w:eastAsia="Times New Roman"/>
      <w:b/>
      <w:sz w:val="24"/>
    </w:rPr>
  </w:style>
  <w:style w:type="paragraph" w:customStyle="1" w:styleId="107">
    <w:name w:val="样式3"/>
    <w:link w:val="106"/>
    <w:autoRedefine/>
    <w:qFormat/>
    <w:uiPriority w:val="0"/>
    <w:pPr>
      <w:tabs>
        <w:tab w:val="left" w:pos="1140"/>
      </w:tabs>
      <w:spacing w:line="480" w:lineRule="exact"/>
      <w:ind w:left="1140" w:hanging="720"/>
    </w:pPr>
    <w:rPr>
      <w:rFonts w:eastAsia="Times New Roman" w:asciiTheme="minorHAnsi" w:hAnsiTheme="minorHAnsi" w:cstheme="minorBidi"/>
      <w:b/>
      <w:kern w:val="2"/>
      <w:sz w:val="24"/>
      <w:szCs w:val="22"/>
      <w:lang w:val="en-US" w:eastAsia="zh-CN" w:bidi="ar-SA"/>
    </w:rPr>
  </w:style>
  <w:style w:type="character" w:customStyle="1" w:styleId="108">
    <w:name w:val="一级标题 Char Char"/>
    <w:link w:val="109"/>
    <w:autoRedefine/>
    <w:qFormat/>
    <w:uiPriority w:val="0"/>
    <w:rPr>
      <w:b/>
      <w:sz w:val="30"/>
      <w:szCs w:val="30"/>
    </w:rPr>
  </w:style>
  <w:style w:type="paragraph" w:customStyle="1" w:styleId="109">
    <w:name w:val="一级标题"/>
    <w:basedOn w:val="1"/>
    <w:link w:val="108"/>
    <w:autoRedefine/>
    <w:qFormat/>
    <w:uiPriority w:val="0"/>
    <w:pPr>
      <w:spacing w:line="360" w:lineRule="auto"/>
      <w:outlineLvl w:val="0"/>
    </w:pPr>
    <w:rPr>
      <w:b/>
      <w:sz w:val="30"/>
      <w:szCs w:val="30"/>
    </w:rPr>
  </w:style>
  <w:style w:type="character" w:customStyle="1" w:styleId="110">
    <w:name w:val="Default Paragraph Font New New New"/>
    <w:autoRedefine/>
    <w:qFormat/>
    <w:uiPriority w:val="0"/>
    <w:rPr>
      <w:rFonts w:hint="default"/>
    </w:rPr>
  </w:style>
  <w:style w:type="character" w:customStyle="1" w:styleId="111">
    <w:name w:val="默认段落字体1"/>
    <w:autoRedefine/>
    <w:qFormat/>
    <w:uiPriority w:val="0"/>
    <w:rPr>
      <w:rFonts w:hint="default"/>
    </w:rPr>
  </w:style>
  <w:style w:type="character" w:customStyle="1" w:styleId="112">
    <w:name w:val="正文(仿)首缩 Char"/>
    <w:link w:val="113"/>
    <w:autoRedefine/>
    <w:qFormat/>
    <w:uiPriority w:val="0"/>
    <w:rPr>
      <w:rFonts w:ascii="仿宋_GB2312" w:eastAsia="仿宋_GB2312"/>
      <w:sz w:val="28"/>
    </w:rPr>
  </w:style>
  <w:style w:type="paragraph" w:customStyle="1" w:styleId="113">
    <w:name w:val="正文(仿)首缩"/>
    <w:basedOn w:val="1"/>
    <w:link w:val="112"/>
    <w:autoRedefine/>
    <w:qFormat/>
    <w:uiPriority w:val="0"/>
    <w:pPr>
      <w:ind w:firstLine="554" w:firstLineChars="200"/>
    </w:pPr>
    <w:rPr>
      <w:rFonts w:ascii="仿宋_GB2312" w:eastAsia="仿宋_GB2312"/>
      <w:sz w:val="28"/>
    </w:rPr>
  </w:style>
  <w:style w:type="character" w:customStyle="1" w:styleId="114">
    <w:name w:val="表格00 Char1"/>
    <w:link w:val="115"/>
    <w:autoRedefine/>
    <w:qFormat/>
    <w:uiPriority w:val="0"/>
    <w:rPr>
      <w:rFonts w:eastAsia="Times New Roman"/>
      <w:szCs w:val="21"/>
    </w:rPr>
  </w:style>
  <w:style w:type="paragraph" w:customStyle="1" w:styleId="115">
    <w:name w:val="表格00"/>
    <w:link w:val="114"/>
    <w:autoRedefine/>
    <w:qFormat/>
    <w:uiPriority w:val="0"/>
    <w:pPr>
      <w:widowControl w:val="0"/>
      <w:adjustRightInd w:val="0"/>
      <w:spacing w:line="140" w:lineRule="atLeast"/>
      <w:jc w:val="center"/>
      <w:outlineLvl w:val="8"/>
    </w:pPr>
    <w:rPr>
      <w:rFonts w:eastAsia="Times New Roman" w:asciiTheme="minorHAnsi" w:hAnsiTheme="minorHAnsi" w:cstheme="minorBidi"/>
      <w:kern w:val="2"/>
      <w:sz w:val="21"/>
      <w:szCs w:val="21"/>
      <w:lang w:val="en-US" w:eastAsia="zh-CN" w:bidi="ar-SA"/>
    </w:rPr>
  </w:style>
  <w:style w:type="character" w:customStyle="1" w:styleId="116">
    <w:name w:val="样式 小四 首行缩进:  0.85 厘米 行距: 1.5 倍行距 Char1"/>
    <w:link w:val="117"/>
    <w:autoRedefine/>
    <w:qFormat/>
    <w:uiPriority w:val="0"/>
    <w:rPr>
      <w:rFonts w:ascii="Courier New" w:hAnsi="Courier New" w:eastAsia="Courier New"/>
      <w:bCs/>
      <w:sz w:val="24"/>
      <w:szCs w:val="28"/>
    </w:rPr>
  </w:style>
  <w:style w:type="paragraph" w:customStyle="1" w:styleId="117">
    <w:name w:val="样式 小四 首行缩进:  0.85 厘米 行距: 1.5 倍行距"/>
    <w:basedOn w:val="1"/>
    <w:next w:val="1"/>
    <w:link w:val="116"/>
    <w:autoRedefine/>
    <w:qFormat/>
    <w:uiPriority w:val="0"/>
    <w:pPr>
      <w:spacing w:line="360" w:lineRule="auto"/>
      <w:ind w:firstLine="480"/>
    </w:pPr>
    <w:rPr>
      <w:rFonts w:ascii="Courier New" w:hAnsi="Courier New" w:eastAsia="Courier New"/>
      <w:bCs/>
      <w:sz w:val="24"/>
      <w:szCs w:val="28"/>
    </w:rPr>
  </w:style>
  <w:style w:type="character" w:customStyle="1" w:styleId="118">
    <w:name w:val="Default Paragraph Font New New"/>
    <w:autoRedefine/>
    <w:qFormat/>
    <w:uiPriority w:val="0"/>
    <w:rPr>
      <w:rFonts w:hint="default"/>
    </w:rPr>
  </w:style>
  <w:style w:type="character" w:customStyle="1" w:styleId="119">
    <w:name w:val="泉州师院正文 Char Char"/>
    <w:link w:val="120"/>
    <w:autoRedefine/>
    <w:qFormat/>
    <w:uiPriority w:val="0"/>
    <w:rPr>
      <w:sz w:val="24"/>
      <w:szCs w:val="24"/>
    </w:rPr>
  </w:style>
  <w:style w:type="paragraph" w:customStyle="1" w:styleId="120">
    <w:name w:val="泉州师院正文"/>
    <w:basedOn w:val="1"/>
    <w:link w:val="119"/>
    <w:autoRedefine/>
    <w:qFormat/>
    <w:uiPriority w:val="0"/>
    <w:pPr>
      <w:spacing w:line="360" w:lineRule="auto"/>
      <w:ind w:firstLine="480" w:firstLineChars="200"/>
    </w:pPr>
    <w:rPr>
      <w:sz w:val="24"/>
      <w:szCs w:val="24"/>
    </w:rPr>
  </w:style>
  <w:style w:type="character" w:customStyle="1" w:styleId="121">
    <w:name w:val="10"/>
    <w:autoRedefine/>
    <w:qFormat/>
    <w:uiPriority w:val="0"/>
    <w:rPr>
      <w:rFonts w:hint="default" w:ascii="Calibri" w:hAnsi="Calibri" w:cs="Calibri"/>
    </w:rPr>
  </w:style>
  <w:style w:type="character" w:customStyle="1" w:styleId="122">
    <w:name w:val="15"/>
    <w:autoRedefine/>
    <w:qFormat/>
    <w:uiPriority w:val="0"/>
    <w:rPr>
      <w:rFonts w:hint="default" w:ascii="Calibri" w:hAnsi="Calibri" w:cs="Calibri"/>
      <w:color w:val="0000FF"/>
      <w:u w:val="single"/>
    </w:rPr>
  </w:style>
  <w:style w:type="paragraph" w:customStyle="1" w:styleId="123">
    <w:name w:val="Normal New New"/>
    <w:autoRedefine/>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24">
    <w:name w:val="正题"/>
    <w:basedOn w:val="101"/>
    <w:next w:val="101"/>
    <w:autoRedefine/>
    <w:qFormat/>
    <w:uiPriority w:val="0"/>
    <w:pPr>
      <w:ind w:firstLine="0" w:firstLineChars="0"/>
      <w:jc w:val="center"/>
    </w:pPr>
    <w:rPr>
      <w:rFonts w:ascii="等线" w:hAnsi="等线" w:eastAsia="黑体"/>
      <w:b/>
      <w:snapToGrid w:val="0"/>
      <w:sz w:val="36"/>
      <w:szCs w:val="36"/>
    </w:rPr>
  </w:style>
  <w:style w:type="paragraph" w:customStyle="1" w:styleId="125">
    <w:name w:val="列出段落1"/>
    <w:basedOn w:val="1"/>
    <w:autoRedefine/>
    <w:qFormat/>
    <w:uiPriority w:val="0"/>
    <w:pPr>
      <w:ind w:firstLine="420" w:firstLineChars="200"/>
    </w:pPr>
    <w:rPr>
      <w:rFonts w:ascii="Calibri" w:hAnsi="Calibri" w:eastAsia="宋体" w:cs="Times New Roman"/>
    </w:rPr>
  </w:style>
  <w:style w:type="paragraph" w:customStyle="1" w:styleId="126">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7">
    <w:name w:val="Char Char Char Char Char Char Char"/>
    <w:basedOn w:val="1"/>
    <w:autoRedefine/>
    <w:qFormat/>
    <w:uiPriority w:val="0"/>
    <w:pPr>
      <w:tabs>
        <w:tab w:val="left" w:pos="425"/>
      </w:tabs>
      <w:ind w:left="425" w:hanging="425"/>
    </w:pPr>
    <w:rPr>
      <w:rFonts w:ascii="Times New Roman" w:hAnsi="Times New Roman" w:eastAsia="仿宋_GB2312" w:cs="Times New Roman"/>
      <w:kern w:val="24"/>
      <w:sz w:val="24"/>
      <w:szCs w:val="24"/>
    </w:rPr>
  </w:style>
  <w:style w:type="paragraph" w:styleId="128">
    <w:name w:val="List Paragraph"/>
    <w:basedOn w:val="1"/>
    <w:autoRedefine/>
    <w:qFormat/>
    <w:uiPriority w:val="0"/>
    <w:pPr>
      <w:ind w:firstLine="420" w:firstLineChars="200"/>
    </w:pPr>
    <w:rPr>
      <w:rFonts w:ascii="Times New Roman" w:hAnsi="Times New Roman" w:eastAsia="宋体" w:cs="Times New Roman"/>
      <w:szCs w:val="24"/>
    </w:rPr>
  </w:style>
  <w:style w:type="paragraph" w:customStyle="1" w:styleId="129">
    <w:name w:val="1eee"/>
    <w:basedOn w:val="3"/>
    <w:autoRedefine/>
    <w:qFormat/>
    <w:uiPriority w:val="0"/>
    <w:rPr>
      <w:rFonts w:eastAsia="黑体" w:cs="宋体"/>
      <w:b w:val="0"/>
      <w:sz w:val="30"/>
    </w:rPr>
  </w:style>
  <w:style w:type="paragraph" w:customStyle="1" w:styleId="130">
    <w:name w:val="正文图标题"/>
    <w:next w:val="1"/>
    <w:autoRedefine/>
    <w:qFormat/>
    <w:uiPriority w:val="0"/>
    <w:pPr>
      <w:tabs>
        <w:tab w:val="left" w:pos="420"/>
      </w:tabs>
      <w:ind w:left="567" w:hanging="279"/>
      <w:jc w:val="center"/>
    </w:pPr>
    <w:rPr>
      <w:rFonts w:ascii="黑体" w:hAnsi="Times New Roman" w:eastAsia="黑体" w:cs="Times New Roman"/>
      <w:kern w:val="0"/>
      <w:sz w:val="21"/>
      <w:szCs w:val="20"/>
      <w:lang w:val="en-US" w:eastAsia="zh-CN" w:bidi="ar-SA"/>
    </w:rPr>
  </w:style>
  <w:style w:type="paragraph" w:customStyle="1" w:styleId="131">
    <w:name w:val="文二"/>
    <w:basedOn w:val="1"/>
    <w:autoRedefine/>
    <w:qFormat/>
    <w:uiPriority w:val="0"/>
    <w:pPr>
      <w:jc w:val="left"/>
    </w:pPr>
    <w:rPr>
      <w:rFonts w:ascii="宋体" w:hAnsi="宋体" w:eastAsia="宋体" w:cs="Times New Roman"/>
      <w:szCs w:val="21"/>
    </w:rPr>
  </w:style>
  <w:style w:type="paragraph" w:customStyle="1" w:styleId="132">
    <w:name w:val="公文正文"/>
    <w:autoRedefine/>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33">
    <w:name w:val="Normal New New New"/>
    <w:autoRedefine/>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4">
    <w:name w:val="发文落款"/>
    <w:basedOn w:val="132"/>
    <w:autoRedefine/>
    <w:qFormat/>
    <w:uiPriority w:val="0"/>
    <w:pPr>
      <w:ind w:left="4094" w:right="607" w:firstLine="0"/>
      <w:jc w:val="center"/>
    </w:pPr>
  </w:style>
  <w:style w:type="paragraph" w:customStyle="1" w:styleId="135">
    <w:name w:val="封一"/>
    <w:basedOn w:val="101"/>
    <w:next w:val="101"/>
    <w:autoRedefine/>
    <w:qFormat/>
    <w:uiPriority w:val="0"/>
    <w:pPr>
      <w:ind w:firstLine="0" w:firstLineChars="0"/>
      <w:jc w:val="center"/>
    </w:pPr>
    <w:rPr>
      <w:rFonts w:ascii="等线" w:hAnsi="等线" w:eastAsia="黑体"/>
      <w:b/>
      <w:snapToGrid w:val="0"/>
      <w:sz w:val="84"/>
      <w:szCs w:val="84"/>
    </w:rPr>
  </w:style>
  <w:style w:type="paragraph" w:customStyle="1" w:styleId="136">
    <w:name w:val="_Style 59"/>
    <w:autoRedefine/>
    <w:qFormat/>
    <w:uiPriority w:val="0"/>
    <w:pPr>
      <w:spacing w:after="160" w:line="240" w:lineRule="exact"/>
    </w:pPr>
    <w:rPr>
      <w:rFonts w:ascii="Times New Roman" w:hAnsi="Times New Roman" w:eastAsia="宋体" w:cs="Times New Roman"/>
      <w:kern w:val="0"/>
      <w:sz w:val="20"/>
      <w:szCs w:val="20"/>
      <w:lang w:val="en-US" w:eastAsia="zh-CN" w:bidi="ar-SA"/>
    </w:rPr>
  </w:style>
  <w:style w:type="paragraph" w:customStyle="1" w:styleId="137">
    <w:name w:val="封四"/>
    <w:basedOn w:val="101"/>
    <w:next w:val="101"/>
    <w:autoRedefine/>
    <w:qFormat/>
    <w:uiPriority w:val="0"/>
    <w:pPr>
      <w:jc w:val="left"/>
    </w:pPr>
    <w:rPr>
      <w:rFonts w:ascii="等线" w:hAnsi="等线" w:eastAsia="等线"/>
      <w:snapToGrid w:val="0"/>
      <w:sz w:val="30"/>
      <w:szCs w:val="30"/>
    </w:rPr>
  </w:style>
  <w:style w:type="paragraph" w:customStyle="1" w:styleId="138">
    <w:name w:val="正文1"/>
    <w:autoRedefine/>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9">
    <w:name w:val="Default"/>
    <w:autoRedefine/>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40">
    <w:name w:val="Normal New"/>
    <w:autoRedefine/>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41">
    <w:name w:val="Char Char Char Char Char Char Char1"/>
    <w:basedOn w:val="1"/>
    <w:autoRedefine/>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封二"/>
    <w:basedOn w:val="101"/>
    <w:next w:val="101"/>
    <w:qFormat/>
    <w:uiPriority w:val="0"/>
    <w:pPr>
      <w:ind w:firstLine="0" w:firstLineChars="0"/>
      <w:jc w:val="center"/>
    </w:pPr>
    <w:rPr>
      <w:rFonts w:ascii="等线" w:hAnsi="等线" w:eastAsia="黑体"/>
      <w:b/>
      <w:snapToGrid w:val="0"/>
      <w:sz w:val="36"/>
      <w:szCs w:val="36"/>
    </w:rPr>
  </w:style>
  <w:style w:type="paragraph" w:customStyle="1" w:styleId="144">
    <w:name w:val="样式 标题 3 + 首行缩进:  1.06 厘米"/>
    <w:basedOn w:val="5"/>
    <w:qFormat/>
    <w:uiPriority w:val="0"/>
  </w:style>
  <w:style w:type="paragraph" w:styleId="145">
    <w:name w:val="No Spacing"/>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customStyle="1" w:styleId="14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szCs w:val="24"/>
    </w:rPr>
  </w:style>
  <w:style w:type="paragraph" w:customStyle="1" w:styleId="148">
    <w:name w:val="TOC 标题1"/>
    <w:basedOn w:val="3"/>
    <w:next w:val="1"/>
    <w:qFormat/>
    <w:uiPriority w:val="0"/>
    <w:pPr>
      <w:widowControl/>
      <w:spacing w:before="480" w:line="276" w:lineRule="auto"/>
      <w:jc w:val="left"/>
      <w:outlineLvl w:val="9"/>
    </w:pPr>
    <w:rPr>
      <w:rFonts w:ascii="Cambria" w:hAnsi="Cambria"/>
      <w:color w:val="365F91"/>
      <w:kern w:val="0"/>
      <w:sz w:val="28"/>
      <w:szCs w:val="28"/>
      <w:lang w:val="en-US"/>
    </w:rPr>
  </w:style>
  <w:style w:type="paragraph" w:customStyle="1" w:styleId="149">
    <w:name w:val="表格内容"/>
    <w:basedOn w:val="1"/>
    <w:qFormat/>
    <w:uiPriority w:val="0"/>
    <w:pPr>
      <w:adjustRightInd w:val="0"/>
      <w:snapToGrid w:val="0"/>
      <w:spacing w:line="288" w:lineRule="auto"/>
      <w:jc w:val="center"/>
    </w:pPr>
    <w:rPr>
      <w:rFonts w:ascii="Times New Roman" w:hAnsi="Times New Roman" w:eastAsia="宋体" w:cs="Times New Roman"/>
      <w:szCs w:val="24"/>
    </w:rPr>
  </w:style>
  <w:style w:type="paragraph" w:customStyle="1" w:styleId="150">
    <w:name w:val="Plain Text1"/>
    <w:basedOn w:val="1"/>
    <w:qFormat/>
    <w:uiPriority w:val="99"/>
    <w:rPr>
      <w:rFonts w:ascii="宋体" w:hAnsi="Courier New" w:eastAsia="宋体" w:cs="Times New Roman"/>
      <w:kern w:val="0"/>
      <w:sz w:val="20"/>
      <w:szCs w:val="20"/>
    </w:rPr>
  </w:style>
  <w:style w:type="character" w:styleId="151">
    <w:name w:val="Placeholder Text"/>
    <w:basedOn w:val="47"/>
    <w:semiHidden/>
    <w:qFormat/>
    <w:uiPriority w:val="99"/>
    <w:rPr>
      <w:color w:val="808080"/>
    </w:rPr>
  </w:style>
  <w:style w:type="paragraph" w:customStyle="1" w:styleId="152">
    <w:name w:val="p16"/>
    <w:basedOn w:val="1"/>
    <w:qFormat/>
    <w:uiPriority w:val="0"/>
    <w:pPr>
      <w:widowControl/>
    </w:pPr>
    <w:rPr>
      <w:rFonts w:ascii="Times New Roman" w:hAnsi="Times New Roman" w:eastAsia="宋体" w:cs="Times New Roman"/>
      <w:kern w:val="0"/>
      <w:sz w:val="32"/>
      <w:szCs w:val="32"/>
    </w:rPr>
  </w:style>
  <w:style w:type="character" w:customStyle="1" w:styleId="153">
    <w:name w:val="username"/>
    <w:basedOn w:val="47"/>
    <w:autoRedefine/>
    <w:qFormat/>
    <w:uiPriority w:val="0"/>
  </w:style>
  <w:style w:type="character" w:customStyle="1" w:styleId="154">
    <w:name w:val="title26"/>
    <w:basedOn w:val="47"/>
    <w:qFormat/>
    <w:uiPriority w:val="0"/>
  </w:style>
  <w:style w:type="character" w:customStyle="1" w:styleId="155">
    <w:name w:val="font01"/>
    <w:qFormat/>
    <w:uiPriority w:val="0"/>
    <w:rPr>
      <w:rFonts w:hint="eastAsia" w:ascii="宋体" w:hAnsi="宋体" w:eastAsia="宋体" w:cs="宋体"/>
      <w:color w:val="000000"/>
      <w:sz w:val="21"/>
      <w:szCs w:val="21"/>
      <w:u w:val="none"/>
    </w:rPr>
  </w:style>
  <w:style w:type="paragraph" w:customStyle="1" w:styleId="156">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title24"/>
    <w:basedOn w:val="47"/>
    <w:qFormat/>
    <w:uiPriority w:val="0"/>
  </w:style>
  <w:style w:type="paragraph" w:customStyle="1" w:styleId="158">
    <w:name w:val="正文 New New"/>
    <w:qFormat/>
    <w:uiPriority w:val="0"/>
    <w:pPr>
      <w:widowControl w:val="0"/>
      <w:jc w:val="both"/>
    </w:pPr>
    <w:rPr>
      <w:rFonts w:ascii="Times New Roman" w:hAnsi="Times New Roman" w:eastAsia="楷体_GB2312" w:cs="Times New Roman"/>
      <w:kern w:val="2"/>
      <w:sz w:val="21"/>
      <w:szCs w:val="20"/>
      <w:lang w:val="en-US" w:eastAsia="zh-CN" w:bidi="ar-SA"/>
    </w:rPr>
  </w:style>
  <w:style w:type="character" w:customStyle="1" w:styleId="159">
    <w:name w:val="标题 3 字符1"/>
    <w:basedOn w:val="47"/>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7874</Words>
  <Characters>8406</Characters>
  <Lines>232</Lines>
  <Paragraphs>65</Paragraphs>
  <TotalTime>6</TotalTime>
  <ScaleCrop>false</ScaleCrop>
  <LinksUpToDate>false</LinksUpToDate>
  <CharactersWithSpaces>8593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2025-03-19T04:34:00Z</dcterms:created>
  <dc:creator>Admin</dc:creator>
  <cp:lastModifiedBy>Administrator</cp:lastModifiedBy>
  <cp:lastPrinted>2025-05-22T09:46:00Z</cp:lastPrinted>
  <dcterms:modified xsi:type="dcterms:W3CDTF">2025-07-31T08:24:40Z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123D0F3835424237A8036B3F4C0E52AA_13</vt:lpwstr>
  </property>
  <property fmtid="{D5CDD505-2E9C-101B-9397-08002B2CF9AE}" pid="4" name="KSOTemplateDocerSaveRecord">
    <vt:lpwstr>eyJoZGlkIjoiYTJmMTg3MDYwZDExNzFlOThhMjM5M2VkMzI2ZmYzOTkiLCJ1c2VySWQiOiI0MzIzNzA3OTgifQ==</vt:lpwstr>
  </property>
</Properties>
</file>