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F4729">
      <w:pPr>
        <w:spacing w:line="360" w:lineRule="auto"/>
        <w:ind w:firstLine="0" w:firstLineChars="0"/>
        <w:jc w:val="center"/>
        <w:rPr>
          <w:rFonts w:hint="eastAsia" w:ascii="宋体" w:hAnsi="宋体" w:eastAsia="宋体" w:cs="宋体"/>
          <w:b/>
          <w:bCs/>
          <w:color w:val="auto"/>
          <w:spacing w:val="26"/>
          <w:sz w:val="40"/>
          <w:szCs w:val="40"/>
          <w:highlight w:val="none"/>
        </w:rPr>
      </w:pPr>
    </w:p>
    <w:p w14:paraId="45644009">
      <w:pPr>
        <w:pStyle w:val="5"/>
        <w:spacing w:after="0" w:line="360" w:lineRule="auto"/>
        <w:ind w:firstLine="987" w:firstLineChars="200"/>
        <w:jc w:val="center"/>
        <w:rPr>
          <w:rFonts w:hint="eastAsia" w:ascii="宋体" w:hAnsi="宋体" w:eastAsia="宋体" w:cs="宋体"/>
          <w:color w:val="auto"/>
          <w:highlight w:val="none"/>
        </w:rPr>
      </w:pPr>
      <w:r>
        <w:rPr>
          <w:rFonts w:hint="eastAsia" w:ascii="宋体" w:hAnsi="宋体" w:cs="宋体"/>
          <w:b/>
          <w:bCs/>
          <w:color w:val="auto"/>
          <w:spacing w:val="26"/>
          <w:sz w:val="44"/>
          <w:szCs w:val="44"/>
          <w:highlight w:val="none"/>
          <w:lang w:eastAsia="zh-CN"/>
        </w:rPr>
        <w:t>（2025年-2028年）BRT快速公交项目—基础服务设施维护项目</w:t>
      </w:r>
    </w:p>
    <w:p w14:paraId="25A5CF2E">
      <w:pPr>
        <w:pStyle w:val="5"/>
        <w:tabs>
          <w:tab w:val="left" w:pos="5808"/>
        </w:tabs>
        <w:spacing w:after="0" w:line="360" w:lineRule="auto"/>
        <w:ind w:firstLine="420" w:firstLineChars="200"/>
        <w:rPr>
          <w:rFonts w:hint="eastAsia" w:ascii="宋体" w:hAnsi="宋体" w:eastAsia="宋体" w:cs="宋体"/>
          <w:color w:val="auto"/>
          <w:highlight w:val="none"/>
          <w:lang w:eastAsia="zh-CN"/>
        </w:rPr>
      </w:pPr>
    </w:p>
    <w:p w14:paraId="1E2A14CE">
      <w:pPr>
        <w:pStyle w:val="5"/>
        <w:spacing w:after="0" w:line="360" w:lineRule="auto"/>
        <w:ind w:firstLine="420" w:firstLineChars="200"/>
        <w:rPr>
          <w:rFonts w:hint="eastAsia" w:ascii="宋体" w:hAnsi="宋体" w:eastAsia="宋体" w:cs="宋体"/>
          <w:color w:val="auto"/>
          <w:highlight w:val="none"/>
        </w:rPr>
      </w:pPr>
    </w:p>
    <w:p w14:paraId="1B1FDF45">
      <w:pPr>
        <w:pStyle w:val="5"/>
        <w:spacing w:after="0" w:line="360" w:lineRule="auto"/>
        <w:ind w:firstLine="420" w:firstLineChars="200"/>
        <w:rPr>
          <w:rFonts w:hint="eastAsia" w:ascii="宋体" w:hAnsi="宋体" w:eastAsia="宋体" w:cs="宋体"/>
          <w:color w:val="auto"/>
          <w:highlight w:val="none"/>
        </w:rPr>
      </w:pPr>
    </w:p>
    <w:p w14:paraId="1CE3C449">
      <w:pPr>
        <w:pStyle w:val="5"/>
        <w:spacing w:after="0" w:line="360" w:lineRule="auto"/>
        <w:ind w:firstLine="420" w:firstLineChars="200"/>
        <w:rPr>
          <w:rFonts w:hint="eastAsia" w:ascii="宋体" w:hAnsi="宋体" w:eastAsia="宋体" w:cs="宋体"/>
          <w:color w:val="auto"/>
          <w:highlight w:val="none"/>
        </w:rPr>
      </w:pPr>
    </w:p>
    <w:p w14:paraId="6348C937">
      <w:pPr>
        <w:pStyle w:val="5"/>
        <w:spacing w:after="0" w:line="360" w:lineRule="auto"/>
        <w:ind w:firstLine="420" w:firstLineChars="200"/>
        <w:rPr>
          <w:rFonts w:hint="eastAsia" w:ascii="宋体" w:hAnsi="宋体" w:eastAsia="宋体" w:cs="宋体"/>
          <w:color w:val="auto"/>
          <w:highlight w:val="none"/>
        </w:rPr>
      </w:pPr>
    </w:p>
    <w:p w14:paraId="1750A5BA">
      <w:pPr>
        <w:pStyle w:val="5"/>
        <w:spacing w:after="0" w:line="360" w:lineRule="auto"/>
        <w:ind w:firstLine="420" w:firstLineChars="200"/>
        <w:rPr>
          <w:rFonts w:hint="eastAsia" w:ascii="宋体" w:hAnsi="宋体" w:eastAsia="宋体" w:cs="宋体"/>
          <w:color w:val="auto"/>
          <w:highlight w:val="none"/>
        </w:rPr>
      </w:pPr>
    </w:p>
    <w:p w14:paraId="2DB515A2">
      <w:pPr>
        <w:spacing w:line="360" w:lineRule="auto"/>
        <w:jc w:val="center"/>
        <w:rPr>
          <w:rFonts w:hint="eastAsia" w:ascii="宋体" w:hAnsi="宋体" w:eastAsia="宋体" w:cs="宋体"/>
          <w:b/>
          <w:bCs/>
          <w:color w:val="auto"/>
          <w:spacing w:val="26"/>
          <w:sz w:val="96"/>
          <w:szCs w:val="52"/>
          <w:highlight w:val="none"/>
        </w:rPr>
      </w:pPr>
      <w:r>
        <w:rPr>
          <w:rFonts w:hint="eastAsia" w:ascii="宋体" w:hAnsi="宋体" w:eastAsia="宋体" w:cs="宋体"/>
          <w:b/>
          <w:bCs/>
          <w:color w:val="auto"/>
          <w:spacing w:val="26"/>
          <w:sz w:val="96"/>
          <w:szCs w:val="52"/>
          <w:highlight w:val="none"/>
        </w:rPr>
        <w:t>招标公告</w:t>
      </w:r>
    </w:p>
    <w:p w14:paraId="7FF3AB2C">
      <w:pPr>
        <w:spacing w:line="360" w:lineRule="auto"/>
        <w:ind w:firstLine="2032" w:firstLineChars="200"/>
        <w:jc w:val="center"/>
        <w:rPr>
          <w:rFonts w:hint="eastAsia" w:ascii="宋体" w:hAnsi="宋体" w:eastAsia="宋体" w:cs="宋体"/>
          <w:b/>
          <w:bCs/>
          <w:color w:val="auto"/>
          <w:spacing w:val="26"/>
          <w:sz w:val="96"/>
          <w:szCs w:val="52"/>
          <w:highlight w:val="none"/>
        </w:rPr>
      </w:pPr>
    </w:p>
    <w:p w14:paraId="09A8AA91">
      <w:pPr>
        <w:spacing w:line="360" w:lineRule="auto"/>
        <w:ind w:firstLine="2032" w:firstLineChars="200"/>
        <w:jc w:val="center"/>
        <w:rPr>
          <w:rFonts w:hint="eastAsia" w:ascii="宋体" w:hAnsi="宋体" w:eastAsia="宋体" w:cs="宋体"/>
          <w:b/>
          <w:bCs/>
          <w:color w:val="auto"/>
          <w:spacing w:val="26"/>
          <w:sz w:val="96"/>
          <w:szCs w:val="52"/>
          <w:highlight w:val="none"/>
        </w:rPr>
      </w:pPr>
    </w:p>
    <w:p w14:paraId="039D68BB">
      <w:pPr>
        <w:spacing w:line="360" w:lineRule="auto"/>
        <w:ind w:firstLine="2032" w:firstLineChars="200"/>
        <w:jc w:val="center"/>
        <w:rPr>
          <w:rFonts w:hint="eastAsia" w:ascii="宋体" w:hAnsi="宋体" w:eastAsia="宋体" w:cs="宋体"/>
          <w:b/>
          <w:bCs/>
          <w:color w:val="auto"/>
          <w:spacing w:val="26"/>
          <w:sz w:val="96"/>
          <w:szCs w:val="52"/>
          <w:highlight w:val="none"/>
        </w:rPr>
      </w:pPr>
    </w:p>
    <w:p w14:paraId="26BF15D6">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招  标 单 位：</w:t>
      </w:r>
      <w:r>
        <w:rPr>
          <w:rFonts w:hint="eastAsia" w:ascii="宋体" w:hAnsi="宋体" w:eastAsia="宋体" w:cs="宋体"/>
          <w:bCs/>
          <w:color w:val="auto"/>
          <w:sz w:val="30"/>
          <w:szCs w:val="30"/>
          <w:highlight w:val="none"/>
          <w:u w:val="single"/>
        </w:rPr>
        <w:t>广州新中轴建设有限公司</w:t>
      </w:r>
    </w:p>
    <w:p w14:paraId="2A6BFD4D">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招标代理单位：</w:t>
      </w:r>
      <w:r>
        <w:rPr>
          <w:rFonts w:hint="eastAsia" w:ascii="宋体" w:hAnsi="宋体" w:eastAsia="宋体" w:cs="宋体"/>
          <w:bCs/>
          <w:color w:val="auto"/>
          <w:sz w:val="30"/>
          <w:szCs w:val="30"/>
          <w:highlight w:val="none"/>
          <w:u w:val="single"/>
          <w:lang w:eastAsia="zh-CN"/>
        </w:rPr>
        <w:t>北京中交建设工程咨询有限公司</w:t>
      </w:r>
    </w:p>
    <w:p w14:paraId="4D6FB929">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日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期：</w:t>
      </w:r>
      <w:r>
        <w:rPr>
          <w:rFonts w:hint="eastAsia" w:ascii="宋体" w:hAnsi="宋体" w:eastAsia="宋体" w:cs="宋体"/>
          <w:color w:val="auto"/>
          <w:sz w:val="30"/>
          <w:szCs w:val="30"/>
          <w:highlight w:val="none"/>
          <w:u w:val="single"/>
        </w:rPr>
        <w:t>202</w:t>
      </w:r>
      <w:r>
        <w:rPr>
          <w:rFonts w:hint="eastAsia" w:ascii="宋体" w:hAnsi="宋体" w:eastAsia="宋体" w:cs="宋体"/>
          <w:color w:val="auto"/>
          <w:sz w:val="30"/>
          <w:szCs w:val="30"/>
          <w:highlight w:val="none"/>
          <w:u w:val="single"/>
          <w:lang w:val="en-US" w:eastAsia="zh-CN"/>
        </w:rPr>
        <w:t>5</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u w:val="single"/>
          <w:lang w:val="en-US" w:eastAsia="zh-CN"/>
        </w:rPr>
        <w:t>7</w:t>
      </w:r>
      <w:r>
        <w:rPr>
          <w:rFonts w:hint="eastAsia" w:ascii="宋体" w:hAnsi="宋体" w:eastAsia="宋体" w:cs="宋体"/>
          <w:color w:val="auto"/>
          <w:sz w:val="30"/>
          <w:szCs w:val="30"/>
          <w:highlight w:val="none"/>
        </w:rPr>
        <w:t>月</w:t>
      </w:r>
    </w:p>
    <w:p w14:paraId="0E11AA9C">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43"/>
          <w:rFonts w:hint="eastAsia" w:ascii="宋体" w:hAnsi="宋体" w:eastAsia="宋体" w:cs="宋体"/>
          <w:b/>
          <w:bCs/>
          <w:color w:val="auto"/>
          <w:sz w:val="21"/>
          <w:szCs w:val="21"/>
          <w:highlight w:val="none"/>
        </w:rPr>
      </w:pPr>
    </w:p>
    <w:p w14:paraId="15E5C4C2">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43"/>
          <w:rFonts w:hint="eastAsia" w:ascii="宋体" w:hAnsi="宋体" w:eastAsia="宋体" w:cs="宋体"/>
          <w:b/>
          <w:bCs/>
          <w:color w:val="auto"/>
          <w:sz w:val="21"/>
          <w:szCs w:val="21"/>
          <w:highlight w:val="none"/>
        </w:rPr>
      </w:pPr>
    </w:p>
    <w:p w14:paraId="04C0546C">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u w:val="single"/>
          <w:lang w:val="en-US" w:eastAsia="zh-CN" w:bidi="ar-SA"/>
        </w:rPr>
        <w:sectPr>
          <w:endnotePr>
            <w:numFmt w:val="decimal"/>
          </w:endnotePr>
          <w:pgSz w:w="11906" w:h="16838"/>
          <w:pgMar w:top="1440" w:right="1417" w:bottom="1440" w:left="1417" w:header="851" w:footer="992" w:gutter="0"/>
          <w:pgNumType w:fmt="decimal"/>
          <w:cols w:space="425" w:num="1"/>
          <w:docGrid w:type="lines" w:linePitch="312" w:charSpace="0"/>
        </w:sectPr>
      </w:pPr>
    </w:p>
    <w:p w14:paraId="426EA50D">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u w:val="single"/>
          <w:lang w:val="en-US" w:eastAsia="zh-CN" w:bidi="ar-SA"/>
        </w:rPr>
      </w:pPr>
    </w:p>
    <w:p w14:paraId="53393525">
      <w:pPr>
        <w:pStyle w:val="3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2"/>
          <w:sz w:val="32"/>
          <w:szCs w:val="32"/>
          <w:highlight w:val="none"/>
          <w:u w:val="none"/>
          <w:lang w:val="en-US" w:eastAsia="zh-CN" w:bidi="ar-SA"/>
        </w:rPr>
      </w:pPr>
      <w:r>
        <w:rPr>
          <w:rFonts w:hint="eastAsia" w:ascii="宋体" w:hAnsi="宋体" w:eastAsia="宋体" w:cs="宋体"/>
          <w:b/>
          <w:bCs/>
          <w:color w:val="auto"/>
          <w:kern w:val="2"/>
          <w:sz w:val="32"/>
          <w:szCs w:val="32"/>
          <w:highlight w:val="none"/>
          <w:u w:val="none"/>
          <w:lang w:val="en-US" w:eastAsia="zh-CN" w:bidi="ar-SA"/>
        </w:rPr>
        <w:t>（2025年-2028年）BRT快速公交项目—基础服务设施维护项目</w:t>
      </w:r>
    </w:p>
    <w:p w14:paraId="3A632472">
      <w:pPr>
        <w:pStyle w:val="3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2"/>
          <w:szCs w:val="32"/>
          <w:highlight w:val="none"/>
          <w:u w:val="none"/>
        </w:rPr>
      </w:pPr>
      <w:r>
        <w:rPr>
          <w:rFonts w:hint="eastAsia" w:ascii="宋体" w:hAnsi="宋体" w:eastAsia="宋体" w:cs="宋体"/>
          <w:b/>
          <w:bCs/>
          <w:color w:val="auto"/>
          <w:kern w:val="2"/>
          <w:sz w:val="32"/>
          <w:szCs w:val="32"/>
          <w:highlight w:val="none"/>
          <w:u w:val="none"/>
          <w:lang w:val="en-US" w:eastAsia="zh-CN" w:bidi="ar-SA"/>
        </w:rPr>
        <w:t>招标公告</w:t>
      </w:r>
    </w:p>
    <w:p w14:paraId="1CD5AB7E">
      <w:pPr>
        <w:keepNext w:val="0"/>
        <w:keepLines w:val="0"/>
        <w:pageBreakBefore w:val="0"/>
        <w:kinsoku/>
        <w:wordWrap/>
        <w:overflowPunct/>
        <w:topLinePunct w:val="0"/>
        <w:autoSpaceDE/>
        <w:autoSpaceDN/>
        <w:bidi w:val="0"/>
        <w:adjustRightInd/>
        <w:spacing w:line="360" w:lineRule="auto"/>
        <w:ind w:firstLine="537" w:firstLineChars="224"/>
        <w:jc w:val="center"/>
        <w:textAlignment w:val="auto"/>
        <w:rPr>
          <w:rFonts w:hint="eastAsia" w:ascii="宋体" w:hAnsi="宋体" w:eastAsia="宋体" w:cs="宋体"/>
          <w:color w:val="auto"/>
          <w:sz w:val="24"/>
          <w:highlight w:val="none"/>
        </w:rPr>
      </w:pPr>
    </w:p>
    <w:p w14:paraId="7D34C5E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相关文件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批准，并且技术资料满足</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需要，</w:t>
      </w:r>
      <w:r>
        <w:rPr>
          <w:rFonts w:hint="eastAsia" w:ascii="宋体" w:hAnsi="宋体" w:eastAsia="宋体" w:cs="宋体"/>
          <w:color w:val="auto"/>
          <w:sz w:val="24"/>
          <w:highlight w:val="none"/>
          <w:u w:val="single"/>
        </w:rPr>
        <w:t xml:space="preserve">广州新中轴建设有限公司 </w:t>
      </w:r>
      <w:r>
        <w:rPr>
          <w:rFonts w:hint="eastAsia" w:ascii="宋体" w:hAnsi="宋体" w:eastAsia="宋体" w:cs="宋体"/>
          <w:color w:val="auto"/>
          <w:sz w:val="24"/>
          <w:highlight w:val="none"/>
        </w:rPr>
        <w:t>现对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（2025年-2028年）BRT快速公交项目—基础服务设施维护项目</w:t>
      </w:r>
      <w:r>
        <w:rPr>
          <w:rFonts w:hint="eastAsia" w:ascii="宋体" w:hAnsi="宋体" w:eastAsia="宋体" w:cs="宋体"/>
          <w:color w:val="auto"/>
          <w:sz w:val="24"/>
          <w:highlight w:val="none"/>
        </w:rPr>
        <w:t>进行公开招标，选定承包人。</w:t>
      </w:r>
    </w:p>
    <w:p w14:paraId="4EAFE04F">
      <w:pPr>
        <w:keepNext w:val="0"/>
        <w:keepLines w:val="0"/>
        <w:pageBreakBefore w:val="0"/>
        <w:widowControl w:val="0"/>
        <w:tabs>
          <w:tab w:val="center" w:pos="44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u w:val="single"/>
          <w:lang w:eastAsia="zh-CN"/>
        </w:rPr>
      </w:pPr>
      <w:bookmarkStart w:id="0" w:name="_Toc4156"/>
      <w:r>
        <w:rPr>
          <w:rStyle w:val="61"/>
          <w:rFonts w:hint="eastAsia" w:ascii="宋体" w:hAnsi="宋体" w:eastAsia="宋体" w:cs="宋体"/>
          <w:color w:val="auto"/>
          <w:highlight w:val="none"/>
        </w:rPr>
        <w:t>一、</w:t>
      </w:r>
      <w:r>
        <w:rPr>
          <w:rStyle w:val="61"/>
          <w:rFonts w:hint="eastAsia" w:ascii="宋体" w:hAnsi="宋体" w:eastAsia="宋体" w:cs="宋体"/>
          <w:color w:val="auto"/>
          <w:highlight w:val="none"/>
          <w:lang w:eastAsia="zh-CN"/>
        </w:rPr>
        <w:t>招标项目</w:t>
      </w:r>
      <w:r>
        <w:rPr>
          <w:rStyle w:val="61"/>
          <w:rFonts w:hint="eastAsia" w:ascii="宋体" w:hAnsi="宋体" w:eastAsia="宋体" w:cs="宋体"/>
          <w:color w:val="auto"/>
          <w:highlight w:val="none"/>
        </w:rPr>
        <w:t>名称：</w:t>
      </w:r>
      <w:bookmarkEnd w:id="0"/>
      <w:r>
        <w:rPr>
          <w:rFonts w:hint="eastAsia" w:ascii="宋体" w:hAnsi="宋体" w:cs="宋体"/>
          <w:color w:val="auto"/>
          <w:sz w:val="24"/>
          <w:highlight w:val="none"/>
          <w:u w:val="single"/>
          <w:lang w:eastAsia="zh-CN"/>
        </w:rPr>
        <w:t>（2025年-2028年）BRT快速公交项目—基础服务设施维护项目</w:t>
      </w:r>
    </w:p>
    <w:p w14:paraId="7DC6D66D">
      <w:pPr>
        <w:keepNext w:val="0"/>
        <w:keepLines w:val="0"/>
        <w:pageBreakBefore w:val="0"/>
        <w:widowControl w:val="0"/>
        <w:tabs>
          <w:tab w:val="center" w:pos="4415"/>
        </w:tabs>
        <w:kinsoku/>
        <w:wordWrap w:val="0"/>
        <w:overflowPunct/>
        <w:topLinePunct/>
        <w:autoSpaceDE/>
        <w:autoSpaceDN/>
        <w:bidi w:val="0"/>
        <w:adjustRightInd/>
        <w:snapToGrid/>
        <w:spacing w:line="360" w:lineRule="auto"/>
        <w:ind w:firstLine="960" w:firstLineChars="4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eastAsia="zh-CN"/>
        </w:rPr>
        <w:t>招标项目固定资产投资项目</w:t>
      </w:r>
      <w:r>
        <w:rPr>
          <w:rFonts w:hint="eastAsia" w:ascii="宋体" w:hAnsi="宋体" w:eastAsia="宋体" w:cs="宋体"/>
          <w:color w:val="auto"/>
          <w:sz w:val="24"/>
          <w:highlight w:val="none"/>
        </w:rPr>
        <w:t>代码：</w:t>
      </w:r>
      <w:r>
        <w:rPr>
          <w:rFonts w:hint="eastAsia" w:ascii="宋体" w:hAnsi="宋体" w:eastAsia="宋体" w:cs="宋体"/>
          <w:color w:val="auto"/>
          <w:sz w:val="24"/>
          <w:highlight w:val="none"/>
          <w:u w:val="single"/>
        </w:rPr>
        <w:t>2507-440100-04-01-532963</w:t>
      </w:r>
    </w:p>
    <w:p w14:paraId="30838EB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highlight w:val="none"/>
          <w:u w:val="single"/>
        </w:rPr>
      </w:pPr>
      <w:bookmarkStart w:id="1" w:name="_Toc31984"/>
      <w:r>
        <w:rPr>
          <w:rStyle w:val="61"/>
          <w:rFonts w:hint="eastAsia" w:ascii="宋体" w:hAnsi="宋体" w:eastAsia="宋体" w:cs="宋体"/>
          <w:color w:val="auto"/>
          <w:highlight w:val="none"/>
        </w:rPr>
        <w:t>二、招标单位：</w:t>
      </w:r>
      <w:bookmarkEnd w:id="1"/>
      <w:r>
        <w:rPr>
          <w:rFonts w:hint="eastAsia" w:ascii="宋体" w:hAnsi="宋体" w:eastAsia="宋体" w:cs="宋体"/>
          <w:color w:val="auto"/>
          <w:sz w:val="24"/>
          <w:highlight w:val="none"/>
          <w:u w:val="single"/>
        </w:rPr>
        <w:t>广州新中轴建设有限公司</w:t>
      </w:r>
    </w:p>
    <w:p w14:paraId="2A5A94C2">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甘工</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szCs w:val="24"/>
          <w:highlight w:val="none"/>
          <w:u w:val="single"/>
        </w:rPr>
        <w:t>020-31154054</w:t>
      </w:r>
    </w:p>
    <w:p w14:paraId="4E5F5291">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联系地址：</w:t>
      </w:r>
      <w:r>
        <w:rPr>
          <w:rFonts w:hint="eastAsia" w:ascii="宋体" w:hAnsi="宋体" w:eastAsia="宋体" w:cs="宋体"/>
          <w:color w:val="auto"/>
          <w:sz w:val="24"/>
          <w:szCs w:val="24"/>
          <w:highlight w:val="none"/>
          <w:u w:val="single"/>
        </w:rPr>
        <w:t>广州市越秀区流花路117号流花展馆15号馆6楼</w:t>
      </w:r>
    </w:p>
    <w:p w14:paraId="1F173CFD">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szCs w:val="24"/>
          <w:highlight w:val="none"/>
          <w:u w:val="single"/>
          <w:lang w:val="en-US" w:eastAsia="zh-CN"/>
        </w:rPr>
        <w:t>北京中交建设工程咨询有限公司</w:t>
      </w:r>
    </w:p>
    <w:p w14:paraId="038C57D6">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联系人：</w:t>
      </w:r>
      <w:r>
        <w:rPr>
          <w:rFonts w:hint="eastAsia" w:ascii="宋体" w:hAnsi="宋体" w:cs="宋体"/>
          <w:color w:val="auto"/>
          <w:sz w:val="24"/>
          <w:highlight w:val="none"/>
          <w:u w:val="single"/>
          <w:lang w:val="en-US" w:eastAsia="zh-CN"/>
        </w:rPr>
        <w:t>胡</w:t>
      </w:r>
      <w:r>
        <w:rPr>
          <w:rFonts w:hint="eastAsia" w:ascii="宋体" w:hAnsi="宋体" w:eastAsia="宋体" w:cs="宋体"/>
          <w:color w:val="auto"/>
          <w:sz w:val="24"/>
          <w:szCs w:val="24"/>
          <w:highlight w:val="none"/>
          <w:u w:val="single"/>
        </w:rPr>
        <w:t>工</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szCs w:val="24"/>
          <w:highlight w:val="none"/>
          <w:u w:val="single"/>
          <w:lang w:val="en-US" w:eastAsia="zh-CN"/>
        </w:rPr>
        <w:t>020-87575800-8</w:t>
      </w:r>
      <w:r>
        <w:rPr>
          <w:rFonts w:hint="eastAsia" w:ascii="宋体" w:hAnsi="宋体" w:cs="宋体"/>
          <w:color w:val="auto"/>
          <w:sz w:val="24"/>
          <w:szCs w:val="24"/>
          <w:highlight w:val="none"/>
          <w:u w:val="single"/>
          <w:lang w:val="en-US" w:eastAsia="zh-CN"/>
        </w:rPr>
        <w:t>30</w:t>
      </w:r>
    </w:p>
    <w:p w14:paraId="376EA5ED">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default" w:ascii="宋体" w:hAnsi="宋体" w:eastAsia="宋体" w:cs="宋体"/>
          <w:color w:val="auto"/>
          <w:highlight w:val="none"/>
          <w:lang w:val="en-US"/>
        </w:rPr>
      </w:pPr>
      <w:r>
        <w:rPr>
          <w:rFonts w:hint="eastAsia" w:ascii="宋体" w:hAnsi="宋体" w:eastAsia="宋体" w:cs="宋体"/>
          <w:color w:val="auto"/>
          <w:sz w:val="24"/>
          <w:highlight w:val="none"/>
        </w:rPr>
        <w:t>联系地址：</w:t>
      </w:r>
      <w:r>
        <w:rPr>
          <w:rFonts w:hint="eastAsia" w:ascii="宋体" w:hAnsi="宋体" w:eastAsia="宋体" w:cs="宋体"/>
          <w:color w:val="auto"/>
          <w:sz w:val="24"/>
          <w:szCs w:val="24"/>
          <w:highlight w:val="none"/>
          <w:u w:val="single"/>
          <w:lang w:val="en-US" w:eastAsia="zh-CN"/>
        </w:rPr>
        <w:t>广州市天河区黄埔大道西159号富星商贸大厦西塔7楼</w:t>
      </w:r>
    </w:p>
    <w:p w14:paraId="72E7FA9B">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招标监督机构：</w:t>
      </w:r>
      <w:bookmarkStart w:id="2" w:name="OLE_LINK3"/>
      <w:r>
        <w:rPr>
          <w:rFonts w:hint="eastAsia" w:ascii="宋体" w:hAnsi="宋体" w:eastAsia="宋体" w:cs="宋体"/>
          <w:color w:val="auto"/>
          <w:sz w:val="24"/>
          <w:highlight w:val="none"/>
          <w:u w:val="single"/>
        </w:rPr>
        <w:t>广州市城市建设投资集团有限公司招标监督管理办公室</w:t>
      </w:r>
      <w:bookmarkEnd w:id="2"/>
    </w:p>
    <w:p w14:paraId="729086AD">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监督电话：</w:t>
      </w:r>
      <w:r>
        <w:rPr>
          <w:rFonts w:hint="eastAsia" w:ascii="宋体" w:hAnsi="宋体" w:eastAsia="宋体" w:cs="宋体"/>
          <w:color w:val="auto"/>
          <w:sz w:val="24"/>
          <w:highlight w:val="none"/>
          <w:u w:val="single"/>
        </w:rPr>
        <w:t>020-83526021</w:t>
      </w:r>
    </w:p>
    <w:p w14:paraId="00E85F6A">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rPr>
        <w:t>广州市越秀区中山四路228号</w:t>
      </w:r>
    </w:p>
    <w:p w14:paraId="19B650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u w:val="single"/>
        </w:rPr>
      </w:pPr>
      <w:bookmarkStart w:id="3" w:name="_Toc8954"/>
      <w:r>
        <w:rPr>
          <w:rStyle w:val="61"/>
          <w:rFonts w:hint="eastAsia" w:ascii="宋体" w:hAnsi="宋体" w:eastAsia="宋体" w:cs="宋体"/>
          <w:color w:val="auto"/>
          <w:highlight w:val="none"/>
        </w:rPr>
        <w:t>三、建设地点：</w:t>
      </w:r>
      <w:bookmarkEnd w:id="3"/>
      <w:r>
        <w:rPr>
          <w:rStyle w:val="118"/>
          <w:rFonts w:hint="eastAsia" w:ascii="宋体" w:hAnsi="宋体" w:cs="宋体"/>
          <w:color w:val="auto"/>
          <w:sz w:val="24"/>
          <w:highlight w:val="none"/>
          <w:u w:val="single"/>
        </w:rPr>
        <w:t>广州中山大道快速公交试验线26对站台</w:t>
      </w:r>
      <w:r>
        <w:rPr>
          <w:rStyle w:val="118"/>
          <w:rFonts w:hint="eastAsia" w:ascii="宋体" w:hAnsi="宋体" w:cs="宋体"/>
          <w:color w:val="auto"/>
          <w:sz w:val="24"/>
          <w:highlight w:val="none"/>
          <w:u w:val="single"/>
          <w:lang w:val="en-US" w:eastAsia="zh-CN"/>
        </w:rPr>
        <w:t>及BRT调度中心</w:t>
      </w:r>
    </w:p>
    <w:p w14:paraId="0843FF39">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61"/>
          <w:rFonts w:hint="eastAsia" w:ascii="宋体" w:hAnsi="宋体" w:eastAsia="宋体" w:cs="宋体"/>
          <w:bCs/>
          <w:color w:val="auto"/>
          <w:sz w:val="24"/>
          <w:szCs w:val="24"/>
          <w:highlight w:val="none"/>
          <w:u w:val="single"/>
        </w:rPr>
      </w:pPr>
      <w:bookmarkStart w:id="4" w:name="_Toc5544"/>
      <w:bookmarkStart w:id="5" w:name="OLE_LINK2"/>
      <w:r>
        <w:rPr>
          <w:rStyle w:val="61"/>
          <w:rFonts w:hint="eastAsia" w:ascii="宋体" w:hAnsi="宋体" w:eastAsia="宋体" w:cs="宋体"/>
          <w:color w:val="auto"/>
          <w:highlight w:val="none"/>
        </w:rPr>
        <w:t>四、项目概况：</w:t>
      </w:r>
      <w:bookmarkEnd w:id="4"/>
      <w:r>
        <w:rPr>
          <w:rFonts w:hint="eastAsia" w:ascii="宋体" w:hAnsi="宋体" w:cs="宋体"/>
          <w:b w:val="0"/>
          <w:bCs w:val="0"/>
          <w:color w:val="auto"/>
          <w:sz w:val="24"/>
          <w:highlight w:val="none"/>
          <w:u w:val="single"/>
          <w:lang w:eastAsia="zh-CN"/>
        </w:rPr>
        <w:t>广州中山大道快速公交（BRT）试验线是由广州市城市建设投资集团有限公司投资建设的城市主要交通枢纽线路，该项目线路全长22.9公里（天河体育中心一夏园），全线设站台26对，其中对开式15对，错位式11对，站台规格由50米至220米不等，通过人行天桥、过街人行道连接，站台共有83个出入闸口，共设置83个监票岗，以供乘客进出。</w:t>
      </w:r>
    </w:p>
    <w:p w14:paraId="219D38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6" w:name="_Toc1453"/>
      <w:r>
        <w:rPr>
          <w:rStyle w:val="61"/>
          <w:rFonts w:hint="eastAsia" w:ascii="宋体" w:hAnsi="宋体" w:eastAsia="宋体" w:cs="宋体"/>
          <w:color w:val="auto"/>
          <w:highlight w:val="none"/>
        </w:rPr>
        <w:t>五、标段划分及各标段招标内容、规模和最高投标限价：</w:t>
      </w:r>
      <w:bookmarkEnd w:id="6"/>
    </w:p>
    <w:p w14:paraId="4B5B46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本招标项目分为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个标段。</w:t>
      </w:r>
    </w:p>
    <w:p w14:paraId="033B0E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1"/>
          <w:rFonts w:hint="eastAsia" w:ascii="宋体" w:hAnsi="宋体" w:eastAsia="宋体" w:cs="Times New Roman"/>
          <w:b w:val="0"/>
          <w:bCs w:val="0"/>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2"/>
          <w:highlight w:val="none"/>
        </w:rPr>
        <w:t>招标</w:t>
      </w:r>
      <w:r>
        <w:rPr>
          <w:rFonts w:hint="eastAsia" w:ascii="宋体" w:hAnsi="宋体" w:eastAsia="宋体" w:cs="宋体"/>
          <w:color w:val="auto"/>
          <w:sz w:val="24"/>
          <w:highlight w:val="none"/>
        </w:rPr>
        <w:t>内容</w:t>
      </w:r>
      <w:r>
        <w:rPr>
          <w:rFonts w:hint="eastAsia" w:ascii="宋体" w:hAnsi="宋体" w:eastAsia="宋体" w:cs="宋体"/>
          <w:color w:val="auto"/>
          <w:sz w:val="24"/>
          <w:highlight w:val="none"/>
          <w:lang w:eastAsia="zh-CN"/>
        </w:rPr>
        <w:t>：</w:t>
      </w:r>
      <w:r>
        <w:rPr>
          <w:rStyle w:val="61"/>
          <w:rFonts w:hint="eastAsia" w:ascii="宋体" w:hAnsi="宋体" w:eastAsia="宋体" w:cs="Times New Roman"/>
          <w:b w:val="0"/>
          <w:bCs w:val="0"/>
          <w:color w:val="auto"/>
          <w:sz w:val="24"/>
          <w:highlight w:val="none"/>
          <w:u w:val="single"/>
          <w:lang w:val="en-US" w:eastAsia="zh-CN"/>
        </w:rPr>
        <w:t>广州快速公交（BRT）</w:t>
      </w:r>
      <w:r>
        <w:rPr>
          <w:rStyle w:val="61"/>
          <w:rFonts w:hint="eastAsia" w:ascii="宋体" w:hAnsi="宋体" w:eastAsia="宋体" w:cs="Times New Roman"/>
          <w:b w:val="0"/>
          <w:bCs w:val="0"/>
          <w:color w:val="auto"/>
          <w:sz w:val="24"/>
          <w:highlight w:val="none"/>
          <w:u w:val="single"/>
          <w:lang w:eastAsia="zh-CN"/>
        </w:rPr>
        <w:t>基础服务设施维护</w:t>
      </w:r>
      <w:r>
        <w:rPr>
          <w:rStyle w:val="61"/>
          <w:rFonts w:hint="eastAsia" w:ascii="宋体" w:hAnsi="宋体" w:eastAsia="宋体" w:cs="Times New Roman"/>
          <w:b w:val="0"/>
          <w:bCs w:val="0"/>
          <w:color w:val="auto"/>
          <w:sz w:val="24"/>
          <w:highlight w:val="none"/>
          <w:u w:val="single"/>
          <w:lang w:val="en-US" w:eastAsia="zh-CN"/>
        </w:rPr>
        <w:t>主要包括BRT快速公交全线站台范围内的基础服务设施提供日常巡检养护，主要内容包括：站台网状护栏维护、站台不锈钢设施维护、站台钢结构维护、站台防撞墙维护、站台顶棚维护、站台灯箱维护、站外立式公交指示牌（二米立架灯箱）维护、站台外观维护、残疾人过街设施维护、站务房基础设施维护、静电地板及站台地砖维护、站台黄色安全线维护、标识指引类设施维护、应急材料采购、空调设备维护、站台喷雾系统维护</w:t>
      </w:r>
      <w:r>
        <w:rPr>
          <w:rStyle w:val="61"/>
          <w:rFonts w:hint="eastAsia" w:ascii="宋体" w:hAnsi="宋体" w:eastAsia="宋体" w:cs="Times New Roman"/>
          <w:b w:val="0"/>
          <w:bCs w:val="0"/>
          <w:color w:val="auto"/>
          <w:sz w:val="24"/>
          <w:highlight w:val="none"/>
          <w:u w:val="single"/>
          <w:lang w:eastAsia="zh-CN"/>
        </w:rPr>
        <w:t>。</w:t>
      </w:r>
      <w:r>
        <w:rPr>
          <w:rStyle w:val="61"/>
          <w:rFonts w:hint="eastAsia" w:ascii="宋体" w:hAnsi="宋体" w:eastAsia="宋体" w:cs="Times New Roman"/>
          <w:b w:val="0"/>
          <w:bCs w:val="0"/>
          <w:color w:val="auto"/>
          <w:sz w:val="24"/>
          <w:highlight w:val="none"/>
          <w:u w:val="single"/>
          <w:lang w:val="en-US" w:eastAsia="zh-CN"/>
        </w:rPr>
        <w:t>具体详见《用户需求书》及清单</w:t>
      </w:r>
      <w:r>
        <w:rPr>
          <w:rStyle w:val="61"/>
          <w:rFonts w:hint="eastAsia" w:ascii="宋体" w:hAnsi="宋体" w:eastAsia="宋体" w:cs="Times New Roman"/>
          <w:b w:val="0"/>
          <w:bCs w:val="0"/>
          <w:color w:val="auto"/>
          <w:sz w:val="24"/>
          <w:highlight w:val="none"/>
          <w:u w:val="single"/>
          <w:lang w:eastAsia="zh-CN"/>
        </w:rPr>
        <w:t>。</w:t>
      </w:r>
      <w:bookmarkEnd w:id="5"/>
    </w:p>
    <w:p w14:paraId="5D274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最高投标限价</w:t>
      </w:r>
      <w:r>
        <w:rPr>
          <w:rFonts w:hint="eastAsia" w:ascii="宋体" w:hAnsi="宋体" w:eastAsia="宋体" w:cs="宋体"/>
          <w:color w:val="auto"/>
          <w:sz w:val="24"/>
          <w:highlight w:val="none"/>
          <w:u w:val="single"/>
        </w:rPr>
        <w:t>：</w:t>
      </w:r>
      <w:r>
        <w:rPr>
          <w:rFonts w:hint="eastAsia" w:ascii="宋体" w:hAnsi="宋体" w:eastAsia="宋体" w:cs="宋体"/>
          <w:b/>
          <w:bCs/>
          <w:color w:val="auto"/>
          <w:sz w:val="24"/>
          <w:highlight w:val="none"/>
          <w:u w:val="single"/>
        </w:rPr>
        <w:t>14</w:t>
      </w:r>
      <w:r>
        <w:rPr>
          <w:rFonts w:hint="eastAsia" w:ascii="宋体" w:hAnsi="宋体" w:cs="宋体"/>
          <w:b/>
          <w:bCs/>
          <w:color w:val="auto"/>
          <w:sz w:val="24"/>
          <w:highlight w:val="none"/>
          <w:u w:val="single"/>
          <w:lang w:val="en-US" w:eastAsia="zh-CN"/>
        </w:rPr>
        <w:t>,</w:t>
      </w:r>
      <w:r>
        <w:rPr>
          <w:rFonts w:hint="eastAsia" w:ascii="宋体" w:hAnsi="宋体" w:eastAsia="宋体" w:cs="宋体"/>
          <w:b/>
          <w:bCs/>
          <w:color w:val="auto"/>
          <w:sz w:val="24"/>
          <w:highlight w:val="none"/>
          <w:u w:val="single"/>
        </w:rPr>
        <w:t>617</w:t>
      </w:r>
      <w:r>
        <w:rPr>
          <w:rFonts w:hint="eastAsia" w:ascii="宋体" w:hAnsi="宋体" w:cs="宋体"/>
          <w:b/>
          <w:bCs/>
          <w:color w:val="auto"/>
          <w:sz w:val="24"/>
          <w:highlight w:val="none"/>
          <w:u w:val="single"/>
          <w:lang w:val="en-US" w:eastAsia="zh-CN"/>
        </w:rPr>
        <w:t>,</w:t>
      </w:r>
      <w:r>
        <w:rPr>
          <w:rFonts w:hint="eastAsia" w:ascii="宋体" w:hAnsi="宋体" w:eastAsia="宋体" w:cs="宋体"/>
          <w:b/>
          <w:bCs/>
          <w:color w:val="auto"/>
          <w:sz w:val="24"/>
          <w:highlight w:val="none"/>
          <w:u w:val="single"/>
        </w:rPr>
        <w:t>051.26</w:t>
      </w:r>
      <w:r>
        <w:rPr>
          <w:rFonts w:hint="eastAsia" w:ascii="宋体" w:hAnsi="宋体" w:cs="宋体"/>
          <w:b/>
          <w:bCs/>
          <w:color w:val="auto"/>
          <w:sz w:val="24"/>
          <w:highlight w:val="none"/>
          <w:u w:val="single"/>
        </w:rPr>
        <w:t>元</w:t>
      </w:r>
      <w:r>
        <w:rPr>
          <w:rFonts w:hint="eastAsia" w:ascii="宋体" w:hAnsi="宋体" w:cs="宋体"/>
          <w:color w:val="auto"/>
          <w:sz w:val="24"/>
          <w:highlight w:val="none"/>
          <w:u w:val="single"/>
        </w:rPr>
        <w:t>。本项目实行双限价，即：投标人的投标总报价及综合单价都不能超过招标人公布的最高投标限价或综合单价最高投标限价，具体详见附件《工程量清单-（2025年-2028年）BRT快速公交项目—基础服务设施维护项目》，投标总报价或综合单价超过所公布的最高投标限价或综合单价最高投标限价的投标文件将被拒绝。</w:t>
      </w:r>
      <w:r>
        <w:rPr>
          <w:rFonts w:hint="eastAsia" w:ascii="宋体" w:hAnsi="宋体" w:cs="宋体"/>
          <w:color w:val="auto"/>
          <w:sz w:val="24"/>
          <w:highlight w:val="none"/>
          <w:u w:val="single"/>
          <w:lang w:val="en-US" w:eastAsia="zh-CN"/>
        </w:rPr>
        <w:t xml:space="preserve"> </w:t>
      </w:r>
    </w:p>
    <w:p w14:paraId="569D2118">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color w:val="auto"/>
          <w:sz w:val="24"/>
          <w:highlight w:val="none"/>
          <w:u w:val="single"/>
        </w:rPr>
      </w:pPr>
      <w:bookmarkStart w:id="7" w:name="_Toc14879"/>
      <w:r>
        <w:rPr>
          <w:rStyle w:val="61"/>
          <w:rFonts w:hint="eastAsia" w:ascii="宋体" w:hAnsi="宋体" w:eastAsia="宋体" w:cs="宋体"/>
          <w:color w:val="auto"/>
          <w:highlight w:val="none"/>
        </w:rPr>
        <w:t>六、资金来源：</w:t>
      </w:r>
      <w:bookmarkEnd w:id="7"/>
      <w:r>
        <w:rPr>
          <w:rFonts w:hint="eastAsia" w:ascii="宋体" w:hAnsi="宋体" w:cs="宋体"/>
          <w:color w:val="auto"/>
          <w:kern w:val="2"/>
          <w:sz w:val="24"/>
          <w:szCs w:val="22"/>
          <w:highlight w:val="none"/>
          <w:u w:val="single"/>
          <w:lang w:val="en-US" w:eastAsia="zh-CN" w:bidi="ar"/>
        </w:rPr>
        <w:t>财政资金。</w:t>
      </w:r>
    </w:p>
    <w:p w14:paraId="295B67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8" w:name="_Toc14645"/>
      <w:r>
        <w:rPr>
          <w:rStyle w:val="61"/>
          <w:rFonts w:hint="eastAsia" w:ascii="宋体" w:hAnsi="宋体" w:eastAsia="宋体" w:cs="宋体"/>
          <w:color w:val="auto"/>
          <w:highlight w:val="none"/>
        </w:rPr>
        <w:t>七、公告发布日期、递交投标文件时间与开标时间</w:t>
      </w:r>
      <w:bookmarkEnd w:id="8"/>
      <w:r>
        <w:rPr>
          <w:rStyle w:val="61"/>
          <w:rFonts w:hint="eastAsia" w:ascii="宋体" w:hAnsi="宋体" w:eastAsia="宋体" w:cs="宋体"/>
          <w:color w:val="auto"/>
          <w:highlight w:val="none"/>
        </w:rPr>
        <w:t>：</w:t>
      </w:r>
    </w:p>
    <w:p w14:paraId="732FF4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1</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公告发布日期（含本日）：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p>
    <w:p w14:paraId="48B0E2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凡有意参加投标者，请登录</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交易平台网站下载电子招标文件。</w:t>
      </w:r>
    </w:p>
    <w:p w14:paraId="5B0E201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注：发布招标公告的时间为招标公告发出之日起至投标截止时间止</w:t>
      </w:r>
      <w:r>
        <w:rPr>
          <w:rFonts w:hint="eastAsia" w:ascii="宋体" w:hAnsi="宋体" w:eastAsia="宋体" w:cs="宋体"/>
          <w:color w:val="auto"/>
          <w:sz w:val="24"/>
          <w:highlight w:val="none"/>
          <w:u w:val="none"/>
          <w:lang w:eastAsia="zh-CN"/>
        </w:rPr>
        <w:t>。</w:t>
      </w:r>
    </w:p>
    <w:p w14:paraId="0CBDA6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递交投标文件起始时间：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分</w:t>
      </w:r>
      <w:r>
        <w:rPr>
          <w:rFonts w:hint="eastAsia" w:ascii="宋体" w:hAnsi="宋体" w:eastAsia="宋体" w:cs="宋体"/>
          <w:color w:val="auto"/>
          <w:sz w:val="24"/>
          <w:highlight w:val="none"/>
          <w:u w:val="none"/>
          <w:lang w:eastAsia="zh-CN"/>
        </w:rPr>
        <w:t>；</w:t>
      </w:r>
    </w:p>
    <w:p w14:paraId="644587E6">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分</w:t>
      </w:r>
      <w:r>
        <w:rPr>
          <w:rFonts w:hint="eastAsia" w:ascii="宋体" w:hAnsi="宋体" w:eastAsia="宋体" w:cs="宋体"/>
          <w:color w:val="auto"/>
          <w:sz w:val="24"/>
          <w:highlight w:val="none"/>
          <w:u w:val="none"/>
          <w:lang w:eastAsia="zh-CN"/>
        </w:rPr>
        <w:t>。</w:t>
      </w:r>
    </w:p>
    <w:p w14:paraId="28A15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val="en-US" w:eastAsia="zh-CN"/>
        </w:rPr>
        <w:t>3.</w:t>
      </w:r>
      <w:r>
        <w:rPr>
          <w:rFonts w:hint="eastAsia" w:ascii="宋体" w:hAnsi="宋体" w:eastAsia="宋体" w:cs="宋体"/>
          <w:color w:val="auto"/>
          <w:sz w:val="24"/>
          <w:highlight w:val="none"/>
          <w:u w:val="none"/>
        </w:rPr>
        <w:t>开标开始时间：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分</w:t>
      </w:r>
      <w:r>
        <w:rPr>
          <w:rFonts w:hint="eastAsia" w:ascii="宋体" w:hAnsi="宋体" w:eastAsia="宋体" w:cs="宋体"/>
          <w:color w:val="auto"/>
          <w:sz w:val="24"/>
          <w:highlight w:val="none"/>
          <w:u w:val="none"/>
          <w:lang w:eastAsia="zh-CN"/>
        </w:rPr>
        <w:t>。</w:t>
      </w:r>
    </w:p>
    <w:p w14:paraId="71E716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4</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递交投标文件截止时间与开标时间是否有变化，请密切留意</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交易平台</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中的相关信息。递交投标文件截止时间后，开标时间因故推迟的，相关评标信息仍以原递交投标文件截止时间的信息为准</w:t>
      </w:r>
      <w:r>
        <w:rPr>
          <w:rFonts w:hint="eastAsia" w:ascii="宋体" w:hAnsi="宋体" w:eastAsia="宋体" w:cs="宋体"/>
          <w:color w:val="auto"/>
          <w:sz w:val="24"/>
          <w:highlight w:val="none"/>
          <w:u w:val="none"/>
          <w:lang w:eastAsia="zh-CN"/>
        </w:rPr>
        <w:t>。</w:t>
      </w:r>
    </w:p>
    <w:p w14:paraId="55E112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5</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single"/>
          <w:lang w:val="en-US" w:eastAsia="zh-CN"/>
        </w:rPr>
        <w:t>投标人必须在办理投标登记手续前在广州交易集团有限公司（广州公共资源交易中心）办理信息登记（具体请登陆广州交易集团有限公司（广州公共资源交易中心）网站→服务指南→办事指引→企业信息登记），否则将无法办理投标登记</w:t>
      </w:r>
      <w:r>
        <w:rPr>
          <w:rFonts w:hint="eastAsia" w:ascii="宋体" w:hAnsi="宋体" w:eastAsia="宋体" w:cs="宋体"/>
          <w:color w:val="auto"/>
          <w:sz w:val="24"/>
          <w:highlight w:val="none"/>
          <w:u w:val="none"/>
          <w:lang w:val="en-US" w:eastAsia="zh-CN"/>
        </w:rPr>
        <w:t>。</w:t>
      </w:r>
    </w:p>
    <w:p w14:paraId="22D2A3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6.</w:t>
      </w:r>
      <w:r>
        <w:rPr>
          <w:rFonts w:hint="eastAsia" w:ascii="宋体" w:hAnsi="宋体" w:eastAsia="宋体" w:cs="宋体"/>
          <w:color w:val="auto"/>
          <w:sz w:val="24"/>
          <w:highlight w:val="none"/>
          <w:u w:val="none"/>
        </w:rPr>
        <w:t>投标人通过</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交易平台递交电子投标文件。投标人应在递交投标文件截止时间前，登录</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交易平台网站办理网上投标登记手续。按照</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交易平台关于全流程电子化项目的相关指南进行操作。详见：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w:t>
      </w:r>
      <w:r>
        <w:rPr>
          <w:rFonts w:hint="eastAsia" w:ascii="宋体" w:hAnsi="宋体" w:eastAsia="宋体" w:cs="宋体"/>
          <w:color w:val="auto"/>
          <w:sz w:val="24"/>
          <w:highlight w:val="none"/>
          <w:u w:val="none"/>
        </w:rPr>
        <w:t>。</w:t>
      </w:r>
    </w:p>
    <w:p w14:paraId="31AAA9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lang w:eastAsia="zh-CN"/>
        </w:rPr>
      </w:pPr>
      <w:bookmarkStart w:id="9" w:name="_Toc10467"/>
      <w:r>
        <w:rPr>
          <w:rStyle w:val="61"/>
          <w:rFonts w:hint="eastAsia" w:ascii="宋体" w:hAnsi="宋体" w:eastAsia="宋体" w:cs="宋体"/>
          <w:color w:val="auto"/>
          <w:highlight w:val="none"/>
        </w:rPr>
        <w:t>八、招标文件获取方式</w:t>
      </w:r>
      <w:r>
        <w:rPr>
          <w:rStyle w:val="61"/>
          <w:rFonts w:hint="eastAsia" w:ascii="宋体" w:hAnsi="宋体" w:eastAsia="宋体" w:cs="宋体"/>
          <w:color w:val="auto"/>
          <w:highlight w:val="none"/>
          <w:lang w:eastAsia="zh-CN"/>
        </w:rPr>
        <w:t>：</w:t>
      </w:r>
      <w:bookmarkEnd w:id="9"/>
    </w:p>
    <w:p w14:paraId="17C7B6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r>
        <w:rPr>
          <w:rFonts w:hint="eastAsia" w:ascii="宋体" w:hAnsi="宋体" w:eastAsia="宋体" w:cs="宋体"/>
          <w:color w:val="auto"/>
          <w:kern w:val="0"/>
          <w:sz w:val="24"/>
          <w:szCs w:val="24"/>
          <w:highlight w:val="none"/>
          <w:lang w:eastAsia="zh-CN"/>
        </w:rPr>
        <w:t>。</w:t>
      </w:r>
    </w:p>
    <w:p w14:paraId="634529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10" w:name="_Toc3194"/>
      <w:r>
        <w:rPr>
          <w:rStyle w:val="61"/>
          <w:rFonts w:hint="eastAsia" w:ascii="宋体" w:hAnsi="宋体" w:eastAsia="宋体" w:cs="宋体"/>
          <w:color w:val="auto"/>
          <w:highlight w:val="none"/>
        </w:rPr>
        <w:t>九、</w:t>
      </w:r>
      <w:bookmarkStart w:id="11" w:name="OLE_LINK1"/>
      <w:r>
        <w:rPr>
          <w:rStyle w:val="61"/>
          <w:rFonts w:hint="eastAsia" w:ascii="宋体" w:hAnsi="宋体" w:eastAsia="宋体" w:cs="宋体"/>
          <w:color w:val="auto"/>
          <w:highlight w:val="none"/>
        </w:rPr>
        <w:t>投标人</w:t>
      </w:r>
      <w:r>
        <w:rPr>
          <w:rStyle w:val="61"/>
          <w:rFonts w:hint="eastAsia" w:ascii="宋体" w:hAnsi="宋体" w:eastAsia="宋体" w:cs="宋体"/>
          <w:color w:val="auto"/>
          <w:highlight w:val="none"/>
          <w:lang w:eastAsia="zh-CN"/>
        </w:rPr>
        <w:t>资格要求</w:t>
      </w:r>
      <w:bookmarkEnd w:id="10"/>
      <w:bookmarkEnd w:id="11"/>
      <w:r>
        <w:rPr>
          <w:rStyle w:val="61"/>
          <w:rFonts w:hint="eastAsia" w:ascii="宋体" w:hAnsi="宋体" w:eastAsia="宋体" w:cs="宋体"/>
          <w:color w:val="auto"/>
          <w:highlight w:val="none"/>
        </w:rPr>
        <w:t>：</w:t>
      </w:r>
    </w:p>
    <w:p w14:paraId="5A8DE3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none"/>
        </w:rPr>
        <w:t>参加投标的意思表达清楚，投标人代表被授权有效</w:t>
      </w:r>
      <w:r>
        <w:rPr>
          <w:rFonts w:hint="eastAsia" w:ascii="宋体" w:hAnsi="宋体" w:eastAsia="宋体" w:cs="宋体"/>
          <w:color w:val="auto"/>
          <w:sz w:val="24"/>
          <w:highlight w:val="none"/>
        </w:rPr>
        <w:t>。</w:t>
      </w:r>
    </w:p>
    <w:p w14:paraId="05C9A8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szCs w:val="22"/>
          <w:highlight w:val="none"/>
          <w:u w:val="none"/>
        </w:rPr>
        <w:t>是法人或其他组织</w:t>
      </w:r>
      <w:r>
        <w:rPr>
          <w:rFonts w:hint="eastAsia" w:ascii="宋体" w:hAnsi="宋体" w:eastAsia="宋体" w:cs="宋体"/>
          <w:color w:val="auto"/>
          <w:sz w:val="24"/>
          <w:highlight w:val="none"/>
          <w:u w:val="none"/>
        </w:rPr>
        <w:t>，按国家法律经营</w:t>
      </w:r>
      <w:r>
        <w:rPr>
          <w:rFonts w:hint="eastAsia" w:ascii="宋体" w:hAnsi="宋体" w:eastAsia="宋体" w:cs="宋体"/>
          <w:color w:val="auto"/>
          <w:sz w:val="24"/>
          <w:highlight w:val="none"/>
        </w:rPr>
        <w:t>。</w:t>
      </w:r>
    </w:p>
    <w:p w14:paraId="4DBBD5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投标人均持有</w:t>
      </w:r>
      <w:r>
        <w:rPr>
          <w:rFonts w:hint="eastAsia" w:ascii="宋体" w:hAnsi="宋体" w:eastAsia="宋体" w:cs="宋体"/>
          <w:color w:val="auto"/>
          <w:sz w:val="24"/>
          <w:highlight w:val="none"/>
          <w:u w:val="none"/>
        </w:rPr>
        <w:t>建设行政主管部门颁发的有效期内的企业资质证书及安全生产许可证</w:t>
      </w:r>
      <w:r>
        <w:rPr>
          <w:rFonts w:hint="eastAsia" w:ascii="宋体" w:hAnsi="宋体" w:eastAsia="宋体" w:cs="宋体"/>
          <w:color w:val="auto"/>
          <w:sz w:val="24"/>
          <w:highlight w:val="none"/>
          <w:lang w:eastAsia="zh-CN"/>
        </w:rPr>
        <w:t>。</w:t>
      </w:r>
    </w:p>
    <w:p w14:paraId="2D850324">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投标人应具备以下资质：</w:t>
      </w:r>
    </w:p>
    <w:p w14:paraId="5531D6A8">
      <w:pPr>
        <w:pStyle w:val="97"/>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投标人具有承接本工程</w:t>
      </w:r>
      <w:r>
        <w:rPr>
          <w:rFonts w:hint="eastAsia" w:ascii="宋体" w:hAnsi="宋体" w:eastAsia="宋体" w:cs="宋体"/>
          <w:color w:val="auto"/>
          <w:sz w:val="24"/>
          <w:szCs w:val="24"/>
          <w:highlight w:val="none"/>
          <w:lang w:eastAsia="zh-CN"/>
        </w:rPr>
        <w:t>所需</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市政公用工程施工总承包</w:t>
      </w:r>
      <w:r>
        <w:rPr>
          <w:rFonts w:hint="eastAsia" w:ascii="宋体" w:hAnsi="宋体" w:eastAsia="宋体" w:cs="宋体"/>
          <w:color w:val="auto"/>
          <w:sz w:val="24"/>
          <w:szCs w:val="24"/>
          <w:highlight w:val="none"/>
          <w:u w:val="single"/>
          <w:lang w:val="en-US" w:eastAsia="zh-CN"/>
        </w:rPr>
        <w:t>三</w:t>
      </w:r>
      <w:bookmarkStart w:id="13" w:name="_GoBack"/>
      <w:r>
        <w:rPr>
          <w:rFonts w:hint="eastAsia" w:ascii="宋体" w:hAnsi="宋体" w:eastAsia="宋体" w:cs="宋体"/>
          <w:color w:val="auto"/>
          <w:sz w:val="24"/>
          <w:szCs w:val="24"/>
          <w:highlight w:val="none"/>
          <w:u w:val="single"/>
        </w:rPr>
        <w:t>级或以上</w:t>
      </w:r>
      <w:bookmarkEnd w:id="13"/>
      <w:r>
        <w:rPr>
          <w:rFonts w:hint="eastAsia" w:ascii="宋体" w:hAnsi="宋体" w:eastAsia="宋体" w:cs="宋体"/>
          <w:color w:val="auto"/>
          <w:sz w:val="24"/>
          <w:szCs w:val="24"/>
          <w:highlight w:val="none"/>
        </w:rPr>
        <w:t>级别施工总承包资质；</w:t>
      </w:r>
    </w:p>
    <w:p w14:paraId="6CFA79B4">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《住房和城乡建设部关于印发建设工程企业资质管理制度改革方案的通知》（建市〔2020〕94号）</w:t>
      </w:r>
      <w:r>
        <w:rPr>
          <w:rFonts w:hint="eastAsia" w:ascii="宋体" w:hAnsi="宋体" w:eastAsia="宋体" w:cs="宋体"/>
          <w:color w:val="auto"/>
          <w:sz w:val="24"/>
          <w:szCs w:val="24"/>
          <w:highlight w:val="none"/>
        </w:rPr>
        <w:t>)的要求设置。招标内容含有设计要求，且设计要求仅为深化设计的，在投标人的资质设置要求中，不允许设置设计资质。</w:t>
      </w:r>
    </w:p>
    <w:p w14:paraId="034072FF">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还应当符合《住房和城乡建设部办公厅关于做好建筑业“证照分离”改革衔接有关工作的通知》（建办市〔2021〕30号）、《住房和城乡建设部办公厅关于建设工程企业资质统一延续有关事项的通知》（建办市函〔2021〕510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《广东省住房和城乡建设厅关于建设工程企业资质有效期延期的通知》（粤建许函〔2021〕849号）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sz w:val="24"/>
          <w:szCs w:val="24"/>
          <w:highlight w:val="none"/>
          <w:lang w:eastAsia="zh-CN"/>
        </w:rPr>
        <w:t>《住房和城乡建设部关于进一步加强建设工程企业资质审批管理工作的通知》（建市规</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3号）、</w:t>
      </w:r>
      <w:r>
        <w:rPr>
          <w:rFonts w:hint="eastAsia" w:ascii="宋体" w:hAnsi="宋体" w:eastAsia="宋体" w:cs="宋体"/>
          <w:color w:val="auto"/>
          <w:sz w:val="24"/>
          <w:szCs w:val="24"/>
          <w:highlight w:val="none"/>
        </w:rPr>
        <w:t>《住房城乡建设部办公厅关于做好有关建设工程企业资质证书换领和延续工作的通知》（建办市〔2023〕47号）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eastAsia="宋体" w:cs="宋体"/>
          <w:color w:val="auto"/>
          <w:sz w:val="24"/>
          <w:szCs w:val="24"/>
          <w:highlight w:val="none"/>
          <w:lang w:eastAsia="zh-CN"/>
        </w:rPr>
        <w:t>、</w:t>
      </w:r>
      <w:r>
        <w:rPr>
          <w:rFonts w:hint="eastAsia" w:ascii="宋体" w:hAnsi="宋体" w:eastAsia="宋体" w:cs="宋体"/>
          <w:b w:val="0"/>
          <w:color w:val="auto"/>
          <w:kern w:val="2"/>
          <w:sz w:val="24"/>
          <w:szCs w:val="24"/>
          <w:highlight w:val="none"/>
          <w:lang w:eastAsia="zh-CN"/>
        </w:rPr>
        <w:t>广东省住房和城乡建设厅关于做好有关建设工程企业资质证书换领工作的通知（粤建许函〔2024〕124号）</w:t>
      </w:r>
      <w:r>
        <w:rPr>
          <w:rFonts w:hint="eastAsia" w:ascii="宋体" w:hAnsi="宋体" w:eastAsia="宋体" w:cs="宋体"/>
          <w:color w:val="auto"/>
          <w:sz w:val="24"/>
          <w:szCs w:val="24"/>
          <w:highlight w:val="none"/>
        </w:rPr>
        <w:t>等相关规定。根据上述文件的要求，投标人需办理企业资质有效期延续的，应当按照相关规定及时办理。</w:t>
      </w:r>
    </w:p>
    <w:p w14:paraId="6777A204">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②根据《住房和城乡建设部办公厅关于全面实行一级建造师电子注册证书的通知》（建办市〔2021〕40号），自2022年1月1日起，一级建造师统一使用电子证书，纸质证书作废。</w:t>
      </w:r>
    </w:p>
    <w:p w14:paraId="588C4BB1">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AFDDB40">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③项目负责人在任职期间不得担任专职安全员，项目专职安全员在任职期间也不得担任项目负责人，项目负责人和专职安全员不为同一人。</w:t>
      </w:r>
    </w:p>
    <w:p w14:paraId="7B0A338F">
      <w:pPr>
        <w:pStyle w:val="97"/>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u w:val="single"/>
        </w:rPr>
        <w:t>相关注意事项如下</w:t>
      </w:r>
      <w:r>
        <w:rPr>
          <w:rFonts w:hint="eastAsia" w:ascii="宋体" w:hAnsi="宋体" w:eastAsia="宋体" w:cs="宋体"/>
          <w:b w:val="0"/>
          <w:bCs/>
          <w:color w:val="auto"/>
          <w:sz w:val="24"/>
          <w:szCs w:val="24"/>
          <w:highlight w:val="none"/>
          <w:u w:val="single"/>
        </w:rPr>
        <w:t>：①投标人按照上述规定办理了资质延期或换领新证，在投标截止前已取得新证的，投标人须在投标文件中提供经核准延期后的新资质证书。②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③投标人未提供有效期内的资质证书或未按第②点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④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431FDDF6">
      <w:pPr>
        <w:pStyle w:val="97"/>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rPr>
        <w:t>市政公用工程专业</w:t>
      </w:r>
      <w:r>
        <w:rPr>
          <w:rFonts w:hint="default"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注册建造师</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必须为企业在岗人员，注册执业单位须与投标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登记时一致；项目负责人</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持有安全生产考核合格证（B类）或建筑施工企业项目负责人安全生产考核合格证书；</w:t>
      </w:r>
    </w:p>
    <w:p w14:paraId="121A80F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拟配备的专职安全员不少于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1 </w:t>
      </w:r>
      <w:r>
        <w:rPr>
          <w:rFonts w:hint="eastAsia" w:ascii="宋体" w:hAnsi="宋体" w:eastAsia="宋体" w:cs="宋体"/>
          <w:color w:val="auto"/>
          <w:sz w:val="24"/>
          <w:highlight w:val="none"/>
          <w:u w:val="single"/>
        </w:rPr>
        <w:t>人</w:t>
      </w:r>
      <w:r>
        <w:rPr>
          <w:rFonts w:hint="eastAsia" w:ascii="宋体" w:hAnsi="宋体" w:eastAsia="宋体" w:cs="宋体"/>
          <w:color w:val="auto"/>
          <w:sz w:val="24"/>
          <w:highlight w:val="none"/>
          <w:u w:val="none"/>
        </w:rPr>
        <w:t>，</w:t>
      </w:r>
      <w:r>
        <w:rPr>
          <w:rFonts w:hint="eastAsia" w:ascii="宋体" w:hAnsi="宋体" w:eastAsia="宋体" w:cs="宋体"/>
          <w:color w:val="auto"/>
          <w:sz w:val="24"/>
          <w:szCs w:val="24"/>
          <w:highlight w:val="none"/>
        </w:rPr>
        <w:t>专职安全员须具有安全生产考核合格证（C类）</w:t>
      </w:r>
      <w:r>
        <w:rPr>
          <w:rFonts w:hint="eastAsia" w:ascii="宋体" w:hAnsi="宋体" w:eastAsia="宋体" w:cs="宋体"/>
          <w:color w:val="auto"/>
          <w:kern w:val="0"/>
          <w:sz w:val="24"/>
          <w:highlight w:val="none"/>
        </w:rPr>
        <w:t>或建筑施工企业专职安全生产管理人员安全生产考核合格证书（C3）。</w:t>
      </w:r>
    </w:p>
    <w:p w14:paraId="4FE0DF8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投标人已按照附件一的内容签署盖章的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32AC5F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.关于联合体投标：</w:t>
      </w:r>
      <w:r>
        <w:rPr>
          <w:rFonts w:hint="eastAsia" w:ascii="宋体" w:hAnsi="宋体" w:eastAsia="宋体" w:cs="宋体"/>
          <w:color w:val="auto"/>
          <w:sz w:val="24"/>
          <w:highlight w:val="none"/>
          <w:u w:val="single"/>
          <w:lang w:val="en-US" w:eastAsia="zh-CN"/>
        </w:rPr>
        <w:t>本次招标不接受联合体投标</w:t>
      </w:r>
      <w:r>
        <w:rPr>
          <w:rFonts w:hint="eastAsia" w:ascii="宋体" w:hAnsi="宋体" w:eastAsia="宋体" w:cs="宋体"/>
          <w:color w:val="auto"/>
          <w:sz w:val="24"/>
          <w:highlight w:val="none"/>
          <w:lang w:val="en-US" w:eastAsia="zh-CN"/>
        </w:rPr>
        <w:t>。</w:t>
      </w:r>
    </w:p>
    <w:p w14:paraId="42E11B7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rPr>
        <w:t>均按不符合投标人合格条件处理</w:t>
      </w:r>
      <w:r>
        <w:rPr>
          <w:rFonts w:hint="eastAsia" w:ascii="宋体" w:hAnsi="宋体" w:eastAsia="宋体" w:cs="宋体"/>
          <w:color w:val="auto"/>
          <w:sz w:val="24"/>
          <w:highlight w:val="none"/>
        </w:rPr>
        <w:t>。</w:t>
      </w:r>
    </w:p>
    <w:p w14:paraId="4AFE9297">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在投标截止时间前</w:t>
      </w:r>
      <w:r>
        <w:rPr>
          <w:rFonts w:hint="eastAsia" w:ascii="宋体" w:hAnsi="宋体" w:eastAsia="宋体" w:cs="宋体"/>
          <w:color w:val="auto"/>
          <w:sz w:val="24"/>
          <w:highlight w:val="none"/>
        </w:rPr>
        <w:t>，未被列入拖欠农民工工资失信联合惩戒对象名单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注：投标人无需提供资料，按投标截止时间广州交易集团有限公司（广州公共资源交易中心）交易系统比对的结果进行评审。</w:t>
      </w:r>
    </w:p>
    <w:p w14:paraId="7061A9D8">
      <w:pPr>
        <w:pStyle w:val="4"/>
        <w:keepNext w:val="0"/>
        <w:keepLines w:val="0"/>
        <w:pageBreakBefore w:val="0"/>
        <w:widowControl w:val="0"/>
        <w:tabs>
          <w:tab w:val="left" w:pos="7380"/>
        </w:tabs>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注：未在招标公告第九条单列的资审合格条件</w:t>
      </w:r>
      <w:r>
        <w:rPr>
          <w:rFonts w:hint="eastAsia" w:ascii="宋体" w:hAnsi="宋体" w:eastAsia="宋体" w:cs="宋体"/>
          <w:color w:val="auto"/>
          <w:sz w:val="24"/>
          <w:highlight w:val="none"/>
          <w:u w:val="single"/>
          <w:lang w:eastAsia="zh-CN"/>
        </w:rPr>
        <w:t>（投标人资格要求）</w:t>
      </w:r>
      <w:r>
        <w:rPr>
          <w:rFonts w:hint="eastAsia" w:ascii="宋体" w:hAnsi="宋体" w:eastAsia="宋体" w:cs="宋体"/>
          <w:color w:val="auto"/>
          <w:sz w:val="24"/>
          <w:highlight w:val="none"/>
        </w:rPr>
        <w:t>，不作为资审不合格的依据。</w:t>
      </w:r>
      <w:r>
        <w:rPr>
          <w:rFonts w:hint="eastAsia" w:ascii="宋体" w:hAnsi="宋体" w:eastAsia="宋体" w:cs="宋体"/>
          <w:color w:val="auto"/>
          <w:sz w:val="24"/>
          <w:highlight w:val="none"/>
          <w:u w:val="single"/>
        </w:rPr>
        <w:t>本项目属于养护维修服务项目，项目负责人不予锁定。</w:t>
      </w:r>
    </w:p>
    <w:p w14:paraId="627B7F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12" w:name="_Toc7553"/>
      <w:r>
        <w:rPr>
          <w:rStyle w:val="61"/>
          <w:rFonts w:hint="eastAsia" w:ascii="宋体" w:hAnsi="宋体" w:eastAsia="宋体" w:cs="宋体"/>
          <w:color w:val="auto"/>
          <w:highlight w:val="none"/>
        </w:rPr>
        <w:t>十、资格审查方式</w:t>
      </w:r>
      <w:bookmarkEnd w:id="12"/>
      <w:r>
        <w:rPr>
          <w:rStyle w:val="61"/>
          <w:rFonts w:hint="eastAsia" w:ascii="宋体" w:hAnsi="宋体" w:eastAsia="宋体" w:cs="宋体"/>
          <w:color w:val="auto"/>
          <w:highlight w:val="none"/>
        </w:rPr>
        <w:t>：</w:t>
      </w:r>
    </w:p>
    <w:p w14:paraId="1B28BE27">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本工程采用资格后审方式，由评标委员会负责资格审查。</w:t>
      </w:r>
      <w:r>
        <w:rPr>
          <w:rFonts w:hint="eastAsia" w:ascii="宋体" w:hAnsi="宋体" w:eastAsia="宋体" w:cs="宋体"/>
          <w:b w:val="0"/>
          <w:bCs w:val="0"/>
          <w:color w:val="auto"/>
          <w:sz w:val="24"/>
          <w:szCs w:val="24"/>
          <w:highlight w:val="none"/>
          <w:u w:val="single"/>
          <w:lang w:val="en-US" w:eastAsia="zh-CN"/>
        </w:rPr>
        <w:t>本工程采用评定分离方式确定中标人。</w:t>
      </w:r>
    </w:p>
    <w:p w14:paraId="6F58AF4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十一、资格审查结果将在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highlight w:val="none"/>
        </w:rPr>
        <w:t>交易平台和广东省招标投标监管网公示，公示时间不得少于3日。</w:t>
      </w:r>
    </w:p>
    <w:p w14:paraId="4530FC00">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十二、递交投标文件的投标人</w:t>
      </w:r>
      <w:r>
        <w:rPr>
          <w:rFonts w:hint="eastAsia" w:ascii="宋体" w:hAnsi="宋体" w:eastAsia="宋体" w:cs="宋体"/>
          <w:color w:val="auto"/>
          <w:sz w:val="24"/>
          <w:highlight w:val="none"/>
          <w:lang w:eastAsia="zh-CN"/>
        </w:rPr>
        <w:t>不足</w:t>
      </w:r>
      <w:r>
        <w:rPr>
          <w:rFonts w:hint="eastAsia" w:ascii="宋体" w:hAnsi="宋体" w:eastAsia="宋体" w:cs="宋体"/>
          <w:color w:val="auto"/>
          <w:sz w:val="24"/>
          <w:highlight w:val="none"/>
          <w:lang w:val="en-US" w:eastAsia="zh-CN"/>
        </w:rPr>
        <w:t>3名，或</w:t>
      </w:r>
      <w:r>
        <w:rPr>
          <w:rFonts w:hint="eastAsia" w:ascii="宋体" w:hAnsi="宋体" w:eastAsia="宋体" w:cs="宋体"/>
          <w:color w:val="auto"/>
          <w:sz w:val="24"/>
          <w:highlight w:val="none"/>
        </w:rPr>
        <w:t>满足资格审查合格条件的投标人不足3名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或通过有效性审查的投标人不足3名时为招标失败。</w:t>
      </w:r>
      <w:r>
        <w:rPr>
          <w:rFonts w:hint="eastAsia" w:ascii="宋体" w:hAnsi="宋体" w:eastAsia="宋体" w:cs="宋体"/>
          <w:color w:val="auto"/>
          <w:sz w:val="24"/>
          <w:highlight w:val="none"/>
          <w:u w:val="single"/>
        </w:rPr>
        <w:t>招标人分析招标失败原因，修正招标方案，重新组织招标。</w:t>
      </w:r>
    </w:p>
    <w:p w14:paraId="1644211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F0B02D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十四、投标文件全部采用电子文档，投标人按招标文件要求提交投标文件。</w:t>
      </w:r>
    </w:p>
    <w:p w14:paraId="6F008CC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十五、潜在投标人或利害关系人对本招标公告及招标文件有异议的，应当在投标截止时间10日前向招标人书面提出。</w:t>
      </w:r>
    </w:p>
    <w:p w14:paraId="5EFF50D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异议受理部门：</w:t>
      </w:r>
      <w:r>
        <w:rPr>
          <w:rFonts w:hint="eastAsia" w:ascii="宋体" w:hAnsi="宋体" w:eastAsia="宋体" w:cs="宋体"/>
          <w:color w:val="auto"/>
          <w:sz w:val="24"/>
          <w:szCs w:val="24"/>
          <w:highlight w:val="none"/>
          <w:u w:val="single"/>
        </w:rPr>
        <w:t>广州新中轴建设有限公司</w:t>
      </w:r>
    </w:p>
    <w:p w14:paraId="676340D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异议受理电话：</w:t>
      </w:r>
      <w:r>
        <w:rPr>
          <w:rFonts w:hint="eastAsia" w:ascii="宋体" w:hAnsi="宋体" w:eastAsia="宋体" w:cs="宋体"/>
          <w:color w:val="auto"/>
          <w:sz w:val="24"/>
          <w:szCs w:val="24"/>
          <w:highlight w:val="none"/>
          <w:u w:val="single"/>
        </w:rPr>
        <w:t>020-31154054</w:t>
      </w:r>
    </w:p>
    <w:p w14:paraId="2168735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szCs w:val="24"/>
          <w:highlight w:val="none"/>
          <w:u w:val="single"/>
        </w:rPr>
        <w:t>广州市越秀区流花路117号流花展馆15号馆6楼</w:t>
      </w:r>
    </w:p>
    <w:p w14:paraId="03E91967">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注：潜在投标人或利害关系人</w:t>
      </w:r>
      <w:r>
        <w:rPr>
          <w:rFonts w:hint="eastAsia" w:ascii="宋体" w:hAnsi="宋体" w:eastAsia="宋体" w:cs="宋体"/>
          <w:color w:val="auto"/>
          <w:sz w:val="24"/>
          <w:highlight w:val="none"/>
          <w:lang w:eastAsia="zh-CN"/>
        </w:rPr>
        <w:t>对本招标公告及招标文件有异议的，应当在招标投标相关法律法规规定的时间内（投标截止时间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日前）</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eastAsia="zh-CN"/>
        </w:rPr>
        <w:t>电子交易系统向招标人</w:t>
      </w:r>
      <w:r>
        <w:rPr>
          <w:rFonts w:hint="eastAsia" w:ascii="宋体" w:hAnsi="宋体" w:eastAsia="宋体" w:cs="宋体"/>
          <w:color w:val="auto"/>
          <w:sz w:val="24"/>
          <w:highlight w:val="none"/>
        </w:rPr>
        <w:t>提出异议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具体按照</w:t>
      </w:r>
      <w:r>
        <w:rPr>
          <w:rFonts w:hint="eastAsia" w:ascii="宋体" w:hAnsi="宋体" w:eastAsia="宋体" w:cs="宋体"/>
          <w:color w:val="auto"/>
          <w:sz w:val="24"/>
          <w:highlight w:val="none"/>
          <w:lang w:eastAsia="zh-CN"/>
        </w:rPr>
        <w:t>电子招标投标</w:t>
      </w:r>
      <w:r>
        <w:rPr>
          <w:rFonts w:hint="eastAsia" w:ascii="宋体" w:hAnsi="宋体" w:eastAsia="宋体" w:cs="宋体"/>
          <w:color w:val="auto"/>
          <w:sz w:val="24"/>
          <w:highlight w:val="none"/>
        </w:rPr>
        <w:t>交易平台相关指南进行操作。</w:t>
      </w:r>
      <w:r>
        <w:rPr>
          <w:rFonts w:hint="eastAsia" w:ascii="宋体" w:hAnsi="宋体" w:eastAsia="宋体" w:cs="宋体"/>
          <w:color w:val="auto"/>
          <w:sz w:val="24"/>
          <w:highlight w:val="none"/>
          <w:lang w:eastAsia="zh-CN"/>
        </w:rPr>
        <w:t>尚未登记注册的，</w:t>
      </w:r>
      <w:r>
        <w:rPr>
          <w:rFonts w:hint="eastAsia" w:ascii="宋体" w:hAnsi="宋体" w:eastAsia="宋体" w:cs="宋体"/>
          <w:color w:val="auto"/>
          <w:sz w:val="24"/>
          <w:highlight w:val="none"/>
          <w:u w:val="single"/>
          <w:lang w:eastAsia="zh-CN"/>
        </w:rPr>
        <w:t>可向招标人书面提出（线下书面纸质原件递交；递交时间：投标截止时间10日前，北京时间8时30分-17时30分；递交地点：广州市越秀区流花路117号流花展馆15号馆6楼；联系人：甘工；联系电话：020-</w:t>
      </w:r>
      <w:r>
        <w:rPr>
          <w:rFonts w:hint="eastAsia" w:ascii="宋体" w:hAnsi="宋体" w:eastAsia="宋体" w:cs="宋体"/>
          <w:color w:val="auto"/>
          <w:sz w:val="24"/>
          <w:szCs w:val="24"/>
          <w:highlight w:val="none"/>
          <w:u w:val="single"/>
        </w:rPr>
        <w:t>31154054</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应当在规定的异议答复期限内作出答复；</w:t>
      </w:r>
      <w:r>
        <w:rPr>
          <w:rFonts w:hint="eastAsia" w:ascii="宋体" w:hAnsi="宋体" w:eastAsia="宋体" w:cs="宋体"/>
          <w:color w:val="auto"/>
          <w:sz w:val="24"/>
          <w:highlight w:val="none"/>
        </w:rPr>
        <w:t>作出答复前，应当暂停招标投标活动。</w:t>
      </w:r>
      <w:r>
        <w:rPr>
          <w:rFonts w:hint="eastAsia" w:ascii="宋体" w:hAnsi="宋体" w:eastAsia="宋体" w:cs="宋体"/>
          <w:color w:val="auto"/>
          <w:sz w:val="24"/>
          <w:highlight w:val="none"/>
          <w:lang w:eastAsia="zh-CN"/>
        </w:rPr>
        <w:t>招标人依法作出答复、发布招标文件澄清或者修改文件的，应当通过电子交易系统进行。</w:t>
      </w:r>
      <w:r>
        <w:rPr>
          <w:rFonts w:hint="eastAsia" w:ascii="宋体" w:hAnsi="宋体" w:eastAsia="宋体" w:cs="宋体"/>
          <w:color w:val="auto"/>
          <w:sz w:val="24"/>
          <w:highlight w:val="none"/>
        </w:rPr>
        <w:t>作出答复前，应当暂停招标投标活动。</w:t>
      </w:r>
    </w:p>
    <w:p w14:paraId="78F8B70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十六、本公告在</w:t>
      </w:r>
      <w:r>
        <w:rPr>
          <w:rFonts w:hint="eastAsia" w:ascii="宋体" w:hAnsi="宋体" w:eastAsia="宋体" w:cs="宋体"/>
          <w:color w:val="auto"/>
          <w:sz w:val="24"/>
          <w:highlight w:val="none"/>
          <w:u w:val="single"/>
        </w:rPr>
        <w:t xml:space="preserve"> 广州交易集团有限公司（广州公共资源交易中心）网站</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u w:val="single"/>
        </w:rPr>
        <w:t>http://www.gzggzy.cn</w:t>
      </w:r>
      <w:r>
        <w:rPr>
          <w:rFonts w:hint="eastAsia" w:ascii="宋体" w:hAnsi="宋体" w:eastAsia="宋体" w:cs="宋体"/>
          <w:color w:val="auto"/>
          <w:sz w:val="24"/>
          <w:highlight w:val="none"/>
        </w:rPr>
        <w:t>）、广东省招标投标监管网（网址：https://zbtb.gd.gov.cn/）和中国招标投标公共服务平台（网址：http://www.cebpubservice.com/）和</w:t>
      </w:r>
      <w:r>
        <w:rPr>
          <w:rFonts w:hint="eastAsia" w:ascii="宋体" w:hAnsi="宋体" w:eastAsia="宋体" w:cs="宋体"/>
          <w:color w:val="auto"/>
          <w:sz w:val="24"/>
          <w:highlight w:val="none"/>
          <w:u w:val="single"/>
        </w:rPr>
        <w:t>广州国企阳光采购信息发布平台（http://ygcg.gzggzy.cn）</w:t>
      </w:r>
      <w:r>
        <w:rPr>
          <w:rFonts w:hint="eastAsia" w:ascii="宋体" w:hAnsi="宋体" w:eastAsia="宋体" w:cs="宋体"/>
          <w:color w:val="auto"/>
          <w:sz w:val="24"/>
          <w:highlight w:val="none"/>
        </w:rPr>
        <w:t>发布。招标公告、公示信息的发布时间和内容，以在广东省招标投标监管网发布的为准。</w:t>
      </w:r>
      <w:r>
        <w:rPr>
          <w:rFonts w:hint="eastAsia" w:ascii="宋体" w:hAnsi="宋体" w:eastAsia="宋体" w:cs="宋体"/>
          <w:color w:val="auto"/>
          <w:sz w:val="24"/>
          <w:szCs w:val="22"/>
          <w:highlight w:val="none"/>
          <w:u w:val="single"/>
        </w:rPr>
        <w:t>本项目相关附件具体详见广州交易集团有限公司（广州公共资源交易中心）网站（网址：http://www.gzggzy.cn）</w:t>
      </w:r>
      <w:r>
        <w:rPr>
          <w:rFonts w:hint="eastAsia" w:ascii="宋体" w:hAnsi="宋体" w:eastAsia="宋体" w:cs="宋体"/>
          <w:color w:val="auto"/>
          <w:sz w:val="24"/>
          <w:szCs w:val="22"/>
          <w:highlight w:val="none"/>
          <w:u w:val="single"/>
          <w:lang w:eastAsia="zh-CN"/>
        </w:rPr>
        <w:t>。本公告的修改、补充，在广州交易集团有限公司（广州公共资源交易中心）网站发布。</w:t>
      </w:r>
    </w:p>
    <w:p w14:paraId="5DC7307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七、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color w:val="auto"/>
          <w:sz w:val="24"/>
          <w:highlight w:val="none"/>
          <w:lang w:eastAsia="zh-CN"/>
        </w:rPr>
        <w:t>招标人如需发布补充公告的，以最后发布的补充公告时间起计算编制投标文件时间。</w:t>
      </w:r>
      <w:r>
        <w:rPr>
          <w:rFonts w:hint="eastAsia" w:ascii="宋体" w:hAnsi="宋体" w:eastAsia="宋体" w:cs="宋体"/>
          <w:color w:val="auto"/>
          <w:sz w:val="24"/>
          <w:highlight w:val="none"/>
        </w:rPr>
        <w:t>招标人应综合考虑节假日因素，合理确定投标人编制投标文件所需要的时间，如遇春节、五一、十一等长假，建议招标人结合项目特点和实际需要适当延长备标期。</w:t>
      </w:r>
    </w:p>
    <w:p w14:paraId="71E6C45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、《投诉处理决定书》和《行政处理决定书》在</w:t>
      </w:r>
      <w:r>
        <w:rPr>
          <w:rFonts w:hint="eastAsia" w:ascii="宋体" w:hAnsi="宋体" w:eastAsia="宋体" w:cs="宋体"/>
          <w:color w:val="auto"/>
          <w:sz w:val="24"/>
          <w:highlight w:val="none"/>
          <w:u w:val="single"/>
          <w:lang w:val="en-US" w:eastAsia="zh-CN"/>
        </w:rPr>
        <w:t>主管部门</w:t>
      </w:r>
      <w:r>
        <w:rPr>
          <w:rFonts w:hint="eastAsia" w:ascii="宋体" w:hAnsi="宋体" w:eastAsia="宋体" w:cs="宋体"/>
          <w:color w:val="auto"/>
          <w:sz w:val="24"/>
          <w:highlight w:val="none"/>
        </w:rPr>
        <w:t>网站上公布的，视为送达其他与决定书有关的当事人。</w:t>
      </w:r>
    </w:p>
    <w:p w14:paraId="732B686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、投标人在本项目招标人的工程项目中存在下列行为的，将被拒绝</w:t>
      </w:r>
      <w:r>
        <w:rPr>
          <w:rFonts w:hint="eastAsia" w:ascii="宋体" w:hAnsi="宋体" w:eastAsia="宋体" w:cs="宋体"/>
          <w:color w:val="auto"/>
          <w:sz w:val="24"/>
          <w:szCs w:val="24"/>
          <w:highlight w:val="none"/>
          <w:u w:val="single"/>
        </w:rPr>
        <w:t>1年内</w:t>
      </w:r>
      <w:r>
        <w:rPr>
          <w:rFonts w:hint="eastAsia" w:ascii="宋体" w:hAnsi="宋体" w:eastAsia="宋体" w:cs="宋体"/>
          <w:color w:val="auto"/>
          <w:sz w:val="24"/>
          <w:highlight w:val="none"/>
        </w:rPr>
        <w:t>参与招标人后续工程投标。（注：</w:t>
      </w:r>
      <w:r>
        <w:rPr>
          <w:rFonts w:hint="eastAsia" w:ascii="宋体" w:hAnsi="宋体" w:eastAsia="宋体" w:cs="宋体"/>
          <w:color w:val="auto"/>
          <w:sz w:val="24"/>
          <w:szCs w:val="24"/>
          <w:highlight w:val="none"/>
          <w:u w:val="single"/>
        </w:rPr>
        <w:t>拒绝投标时限自招标人发出通知之日起计</w:t>
      </w:r>
      <w:r>
        <w:rPr>
          <w:rFonts w:hint="eastAsia" w:ascii="宋体" w:hAnsi="宋体" w:eastAsia="宋体" w:cs="宋体"/>
          <w:color w:val="auto"/>
          <w:sz w:val="24"/>
          <w:highlight w:val="none"/>
        </w:rPr>
        <w:t>）</w:t>
      </w:r>
    </w:p>
    <w:p w14:paraId="7D7757B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1.将中标工程转包或者违法分包的</w:t>
      </w:r>
      <w:r>
        <w:rPr>
          <w:rFonts w:hint="eastAsia" w:ascii="宋体" w:hAnsi="宋体" w:eastAsia="宋体" w:cs="宋体"/>
          <w:color w:val="auto"/>
          <w:sz w:val="24"/>
          <w:highlight w:val="none"/>
          <w:lang w:eastAsia="zh-CN"/>
        </w:rPr>
        <w:t>；</w:t>
      </w:r>
    </w:p>
    <w:p w14:paraId="07D4369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2.在中标工程中不执行质量、安全生产相关规定的，造成质量或安全事故的；</w:t>
      </w:r>
    </w:p>
    <w:p w14:paraId="7B958F3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3.出让投标资格的；</w:t>
      </w:r>
    </w:p>
    <w:p w14:paraId="3EF92B3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none"/>
        </w:rPr>
        <w:t>存在围标</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串标情形的</w:t>
      </w:r>
      <w:r>
        <w:rPr>
          <w:rFonts w:hint="eastAsia" w:ascii="宋体" w:hAnsi="宋体" w:eastAsia="宋体" w:cs="宋体"/>
          <w:color w:val="auto"/>
          <w:sz w:val="24"/>
          <w:highlight w:val="none"/>
          <w:u w:val="none"/>
          <w:lang w:eastAsia="zh-CN"/>
        </w:rPr>
        <w:t>；</w:t>
      </w:r>
    </w:p>
    <w:p w14:paraId="1E5D5FF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5.在投标文件中提供虚假材料的；</w:t>
      </w:r>
    </w:p>
    <w:p w14:paraId="085F291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6.存在少放、不放业绩、奖项等客观评审资料，减少自身竞争力情形的；</w:t>
      </w:r>
    </w:p>
    <w:p w14:paraId="5A2FAEF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7.存在行贿情形的</w:t>
      </w:r>
      <w:r>
        <w:rPr>
          <w:rFonts w:hint="eastAsia" w:ascii="宋体" w:hAnsi="宋体" w:eastAsia="宋体" w:cs="宋体"/>
          <w:color w:val="auto"/>
          <w:sz w:val="24"/>
          <w:highlight w:val="none"/>
          <w:lang w:eastAsia="zh-CN"/>
        </w:rPr>
        <w:t>；</w:t>
      </w:r>
    </w:p>
    <w:p w14:paraId="4E7F417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8.拖欠农民工工资的；</w:t>
      </w:r>
    </w:p>
    <w:p w14:paraId="77E86CB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9.未按照国家、省、市有关建筑施工实名制管理和工人工资支付分账管理的规定执行，被行政监管部门处罚的；</w:t>
      </w:r>
    </w:p>
    <w:p w14:paraId="539BAD1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10.中标人在项目实施过程中选取的专业分包单位或劳务企业或劳务班组长与投标时不一致的（如有）。</w:t>
      </w:r>
    </w:p>
    <w:p w14:paraId="3D5A461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highlight w:val="none"/>
        </w:rPr>
      </w:pPr>
    </w:p>
    <w:p w14:paraId="3E85999E">
      <w:pPr>
        <w:keepNext w:val="0"/>
        <w:keepLines w:val="0"/>
        <w:pageBreakBefore w:val="0"/>
        <w:kinsoku/>
        <w:wordWrap/>
        <w:overflowPunct/>
        <w:topLinePunct w:val="0"/>
        <w:autoSpaceDE/>
        <w:autoSpaceDN/>
        <w:bidi w:val="0"/>
        <w:adjustRightInd/>
        <w:spacing w:line="360" w:lineRule="auto"/>
        <w:ind w:right="1348" w:rightChars="642" w:firstLine="5760" w:firstLineChars="2400"/>
        <w:textAlignment w:val="auto"/>
        <w:rPr>
          <w:rFonts w:hint="eastAsia" w:ascii="宋体" w:hAnsi="宋体" w:eastAsia="宋体" w:cs="宋体"/>
          <w:color w:val="auto"/>
          <w:sz w:val="24"/>
          <w:highlight w:val="none"/>
        </w:rPr>
      </w:pPr>
    </w:p>
    <w:p w14:paraId="5C384326">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 标 单 位：广州新中轴建设有限公司</w:t>
      </w:r>
    </w:p>
    <w:p w14:paraId="3C84495D">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招标代理单位：</w:t>
      </w:r>
      <w:r>
        <w:rPr>
          <w:rFonts w:hint="eastAsia" w:ascii="宋体" w:hAnsi="宋体" w:eastAsia="宋体" w:cs="宋体"/>
          <w:color w:val="auto"/>
          <w:sz w:val="24"/>
          <w:szCs w:val="24"/>
          <w:highlight w:val="none"/>
          <w:lang w:eastAsia="zh-CN"/>
        </w:rPr>
        <w:t>北京中交建设工程咨询有限公司</w:t>
      </w:r>
    </w:p>
    <w:p w14:paraId="726F1230">
      <w:pPr>
        <w:keepNext w:val="0"/>
        <w:keepLines w:val="0"/>
        <w:pageBreakBefore w:val="0"/>
        <w:kinsoku/>
        <w:wordWrap/>
        <w:overflowPunct/>
        <w:topLinePunct w:val="0"/>
        <w:autoSpaceDE/>
        <w:autoSpaceDN/>
        <w:bidi w:val="0"/>
        <w:adjustRightInd/>
        <w:spacing w:line="360" w:lineRule="auto"/>
        <w:ind w:right="1348" w:rightChars="642" w:firstLine="4860" w:firstLineChars="202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E09FE85">
      <w:pPr>
        <w:pStyle w:val="9"/>
        <w:ind w:left="0" w:leftChars="0" w:firstLine="0" w:firstLineChars="0"/>
        <w:rPr>
          <w:rFonts w:hint="eastAsia" w:ascii="宋体" w:hAnsi="宋体" w:eastAsia="宋体" w:cs="宋体"/>
          <w:color w:val="auto"/>
          <w:highlight w:val="none"/>
        </w:rPr>
      </w:pPr>
    </w:p>
    <w:p w14:paraId="364D8DBF">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highlight w:val="none"/>
        </w:rPr>
        <w:sectPr>
          <w:footerReference r:id="rId3" w:type="default"/>
          <w:endnotePr>
            <w:numFmt w:val="decimal"/>
          </w:endnotePr>
          <w:pgSz w:w="11906" w:h="16838"/>
          <w:pgMar w:top="1417" w:right="1417" w:bottom="1417" w:left="1417" w:header="851" w:footer="992" w:gutter="0"/>
          <w:pgNumType w:fmt="decimal" w:start="1"/>
          <w:cols w:space="425" w:num="1"/>
          <w:docGrid w:type="lines" w:linePitch="312" w:charSpace="0"/>
        </w:sectPr>
      </w:pPr>
    </w:p>
    <w:p w14:paraId="3313963C">
      <w:pPr>
        <w:spacing w:line="360" w:lineRule="auto"/>
        <w:rPr>
          <w:rFonts w:hint="eastAsia" w:ascii="宋体" w:hAnsi="宋体" w:eastAsia="宋体" w:cs="宋体"/>
          <w:b/>
          <w:color w:val="auto"/>
          <w:sz w:val="44"/>
          <w:highlight w:val="none"/>
        </w:rPr>
      </w:pPr>
      <w:r>
        <w:rPr>
          <w:rFonts w:hint="eastAsia" w:ascii="宋体" w:hAnsi="宋体" w:eastAsia="宋体" w:cs="宋体"/>
          <w:color w:val="auto"/>
          <w:sz w:val="24"/>
          <w:highlight w:val="none"/>
        </w:rPr>
        <w:t>附件一：</w:t>
      </w:r>
    </w:p>
    <w:p w14:paraId="58FA3C5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投标人</w:t>
      </w:r>
      <w:r>
        <w:rPr>
          <w:rFonts w:hint="eastAsia" w:ascii="宋体" w:hAnsi="宋体" w:eastAsia="宋体" w:cs="宋体"/>
          <w:b/>
          <w:color w:val="auto"/>
          <w:sz w:val="32"/>
          <w:szCs w:val="32"/>
          <w:highlight w:val="none"/>
        </w:rPr>
        <w:t>声明</w:t>
      </w:r>
    </w:p>
    <w:p w14:paraId="52D983D7">
      <w:pPr>
        <w:pStyle w:val="97"/>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hAnsi="宋体" w:eastAsia="宋体" w:cs="宋体"/>
          <w:color w:val="auto"/>
          <w:sz w:val="24"/>
          <w:szCs w:val="24"/>
          <w:highlight w:val="none"/>
        </w:rPr>
      </w:pPr>
    </w:p>
    <w:p w14:paraId="4C627F6C">
      <w:pPr>
        <w:pStyle w:val="97"/>
        <w:keepNext w:val="0"/>
        <w:keepLines w:val="0"/>
        <w:pageBreakBefore w:val="0"/>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64ECC9A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投标工作，作出郑重声明：</w:t>
      </w:r>
    </w:p>
    <w:p w14:paraId="273883D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一、本公司保证投标文件及其后提供的一切材料都是真实</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、完整的</w:t>
      </w:r>
      <w:r>
        <w:rPr>
          <w:rFonts w:hint="eastAsia" w:ascii="宋体" w:hAnsi="宋体" w:eastAsia="宋体" w:cs="宋体"/>
          <w:color w:val="auto"/>
          <w:sz w:val="24"/>
          <w:szCs w:val="24"/>
          <w:highlight w:val="none"/>
          <w:lang w:eastAsia="zh-CN"/>
        </w:rPr>
        <w:t>、合法的。</w:t>
      </w:r>
      <w:r>
        <w:rPr>
          <w:rFonts w:hint="eastAsia" w:ascii="宋体" w:hAnsi="宋体" w:eastAsia="宋体" w:cs="宋体"/>
          <w:color w:val="auto"/>
          <w:sz w:val="24"/>
          <w:szCs w:val="24"/>
          <w:highlight w:val="none"/>
        </w:rPr>
        <w:t>如我司成为本项目中标候选人，我司同意并授权招标人将我司投标文件商务部分的</w:t>
      </w:r>
      <w:r>
        <w:rPr>
          <w:rFonts w:hint="eastAsia" w:ascii="宋体" w:hAnsi="宋体" w:eastAsia="宋体" w:cs="宋体"/>
          <w:color w:val="auto"/>
          <w:sz w:val="24"/>
          <w:szCs w:val="24"/>
          <w:highlight w:val="none"/>
          <w:u w:val="single"/>
        </w:rPr>
        <w:t>总报价（不含报价明细）</w:t>
      </w:r>
      <w:r>
        <w:rPr>
          <w:rFonts w:hint="eastAsia" w:ascii="宋体" w:hAnsi="宋体" w:eastAsia="宋体" w:cs="宋体"/>
          <w:color w:val="auto"/>
          <w:sz w:val="24"/>
          <w:szCs w:val="24"/>
          <w:highlight w:val="none"/>
        </w:rPr>
        <w:t>、人员、业绩、奖项等资料进行公开。</w:t>
      </w:r>
    </w:p>
    <w:p w14:paraId="23358D2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F4ECFF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455D9DA1">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（一）为招标人不具有独立法人资格的附属机构（单位）；</w:t>
      </w:r>
    </w:p>
    <w:p w14:paraId="6325FD0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（二）为本标段前期准备提供设计或咨询服务或者与本项目设计人或提供咨询服务的机构存在附属关系的；</w:t>
      </w:r>
    </w:p>
    <w:p w14:paraId="54341508">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（三）为本标段监理人或者与本标段监理人存在隶属关系或者其他利害关系；</w:t>
      </w:r>
    </w:p>
    <w:p w14:paraId="351DE53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（四）为本标段的代建人；</w:t>
      </w:r>
    </w:p>
    <w:p w14:paraId="65E940E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（五）为本标段提供招标代理服务的；</w:t>
      </w:r>
    </w:p>
    <w:p w14:paraId="62C4344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（六）与本标段的监理人或代建人或招标代理机构同为一个法定代表人的；</w:t>
      </w:r>
    </w:p>
    <w:p w14:paraId="4013E15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（七）与本标段的监理人或代建人或招标代理机构互相控股或参股的；</w:t>
      </w:r>
    </w:p>
    <w:p w14:paraId="3243FFCD">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（八）与本标段的监理人或代建人或招标代理机构相互任职或工作的；</w:t>
      </w:r>
    </w:p>
    <w:p w14:paraId="7E41B26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（九）与本标段的检测机构有隶属关系或者其他利害关系；</w:t>
      </w:r>
    </w:p>
    <w:p w14:paraId="41B28653">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（十）与招标人存在利害关系且可能影响招标公正性；</w:t>
      </w:r>
    </w:p>
    <w:p w14:paraId="5AD29350">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（十一）被依法暂停或取消投标资格的；（</w:t>
      </w:r>
      <w:r>
        <w:rPr>
          <w:rFonts w:hint="eastAsia" w:ascii="宋体" w:hAnsi="宋体" w:eastAsia="宋体" w:cs="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44"/>
          <w:rFonts w:hint="eastAsia" w:ascii="宋体" w:hAnsi="宋体" w:eastAsia="宋体" w:cs="宋体"/>
          <w:color w:val="auto"/>
          <w:kern w:val="2"/>
          <w:sz w:val="24"/>
          <w:szCs w:val="24"/>
          <w:highlight w:val="none"/>
        </w:rPr>
        <w:t>或者已过处罚期限的，</w:t>
      </w:r>
      <w:r>
        <w:rPr>
          <w:rFonts w:hint="eastAsia" w:ascii="宋体" w:hAnsi="宋体" w:eastAsia="宋体" w:cs="宋体"/>
          <w:color w:val="auto"/>
          <w:sz w:val="24"/>
          <w:szCs w:val="24"/>
          <w:highlight w:val="none"/>
          <w:lang w:val="zh-CN"/>
        </w:rPr>
        <w:t>不受该项规定限制</w:t>
      </w:r>
      <w:r>
        <w:rPr>
          <w:rFonts w:hint="eastAsia" w:ascii="宋体" w:hAnsi="宋体" w:eastAsia="宋体" w:cs="宋体"/>
          <w:color w:val="auto"/>
          <w:sz w:val="24"/>
          <w:szCs w:val="24"/>
          <w:highlight w:val="none"/>
        </w:rPr>
        <w:t>）</w:t>
      </w:r>
    </w:p>
    <w:p w14:paraId="33D837B3">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（十二）被责令停产停业、暂扣或者吊销许可证、暂扣或者吊销执照的（</w:t>
      </w:r>
      <w:r>
        <w:rPr>
          <w:rFonts w:hint="eastAsia" w:ascii="宋体" w:hAnsi="宋体" w:eastAsia="宋体" w:cs="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s="宋体"/>
          <w:color w:val="auto"/>
          <w:sz w:val="24"/>
          <w:szCs w:val="24"/>
          <w:highlight w:val="none"/>
        </w:rPr>
        <w:t>）；</w:t>
      </w:r>
    </w:p>
    <w:p w14:paraId="0196B11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（十三）进入清算程序，或被宣布破产，或其他丧失履约能力的情形；</w:t>
      </w:r>
    </w:p>
    <w:p w14:paraId="5D263F1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（十四）在最近三年内有严重违约或重大工程质量问题的；（</w:t>
      </w:r>
      <w:r>
        <w:rPr>
          <w:rFonts w:hint="eastAsia" w:ascii="宋体" w:hAnsi="宋体" w:eastAsia="宋体" w:cs="宋体"/>
          <w:color w:val="auto"/>
          <w:sz w:val="24"/>
          <w:szCs w:val="24"/>
          <w:highlight w:val="none"/>
          <w:lang w:val="zh-CN"/>
        </w:rPr>
        <w:t>“严重违约”事实应当以</w:t>
      </w:r>
      <w:r>
        <w:rPr>
          <w:rFonts w:hint="eastAsia" w:ascii="宋体" w:hAnsi="宋体" w:eastAsia="宋体" w:cs="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12457D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（十五）法律法规规定的其他情形。</w:t>
      </w:r>
    </w:p>
    <w:p w14:paraId="601C854A">
      <w:pPr>
        <w:pStyle w:val="97"/>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8F99C38">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8F29503">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本公司接受招标人及建设行政主管部门的监督、检查。</w:t>
      </w:r>
    </w:p>
    <w:p w14:paraId="20C16146">
      <w:pPr>
        <w:pStyle w:val="97"/>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、与本公司单位负责人为同一人或者与本公司存在控股、管理关系的其他单位包括：</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sz w:val="24"/>
          <w:szCs w:val="24"/>
          <w:highlight w:val="none"/>
          <w:u w:val="single"/>
        </w:rPr>
        <w:t>若投标人未列全符合相关条件的单位，但同时未列全的相关单位未参与本项目投标的，不视为该投标人违反了招标公告第九条第11点的规定，不作为对其投标文件进行无效标处理的依据。</w:t>
      </w:r>
      <w:r>
        <w:rPr>
          <w:rFonts w:hint="eastAsia" w:ascii="宋体" w:hAnsi="宋体" w:eastAsia="宋体" w:cs="宋体"/>
          <w:color w:val="auto"/>
          <w:sz w:val="24"/>
          <w:szCs w:val="24"/>
          <w:highlight w:val="none"/>
        </w:rPr>
        <w:t>）</w:t>
      </w:r>
    </w:p>
    <w:p w14:paraId="3D1EF05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58076CE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026B9D6">
      <w:pPr>
        <w:pStyle w:val="97"/>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十、本公司承诺，中标后</w:t>
      </w:r>
      <w:r>
        <w:rPr>
          <w:rFonts w:hint="eastAsia" w:ascii="宋体" w:hAnsi="宋体" w:eastAsia="宋体" w:cs="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s="宋体"/>
          <w:color w:val="auto"/>
          <w:sz w:val="24"/>
          <w:szCs w:val="24"/>
          <w:highlight w:val="none"/>
          <w:lang w:eastAsia="zh-CN"/>
        </w:rPr>
        <w:t>。</w:t>
      </w:r>
    </w:p>
    <w:p w14:paraId="6A5D6EF8">
      <w:pPr>
        <w:pStyle w:val="9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、本公司违反上述承诺，或本声明陈述与事实不符，经查实，本公司愿意接受公开</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通报，</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承担由此带来的法律后果。</w:t>
      </w:r>
    </w:p>
    <w:p w14:paraId="32F67286">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14:paraId="3BFF78F4">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1D01F0EF">
      <w:pPr>
        <w:pStyle w:val="99"/>
        <w:keepNext w:val="0"/>
        <w:keepLines w:val="0"/>
        <w:pageBreakBefore w:val="0"/>
        <w:kinsoku/>
        <w:wordWrap/>
        <w:overflowPunct/>
        <w:topLinePunct w:val="0"/>
        <w:autoSpaceDE/>
        <w:autoSpaceDN/>
        <w:bidi w:val="0"/>
        <w:adjustRightInd/>
        <w:spacing w:line="360" w:lineRule="auto"/>
        <w:ind w:left="629" w:right="144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5569FE8F">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法定代表人或授权代理人签字：</w:t>
      </w:r>
    </w:p>
    <w:p w14:paraId="6624D3A4">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项目负责人签字</w:t>
      </w:r>
      <w:r>
        <w:rPr>
          <w:rFonts w:hint="eastAsia" w:ascii="宋体" w:hAnsi="宋体" w:eastAsia="宋体" w:cs="宋体"/>
          <w:color w:val="auto"/>
          <w:sz w:val="24"/>
          <w:szCs w:val="24"/>
          <w:highlight w:val="none"/>
          <w:lang w:eastAsia="zh-CN"/>
        </w:rPr>
        <w:t>：</w:t>
      </w:r>
    </w:p>
    <w:p w14:paraId="59D250FA">
      <w:pPr>
        <w:pStyle w:val="97"/>
        <w:keepNext w:val="0"/>
        <w:keepLines w:val="0"/>
        <w:pageBreakBefore w:val="0"/>
        <w:kinsoku/>
        <w:wordWrap/>
        <w:overflowPunct/>
        <w:topLinePunct w:val="0"/>
        <w:autoSpaceDE/>
        <w:autoSpaceDN/>
        <w:bidi w:val="0"/>
        <w:adjustRightInd/>
        <w:spacing w:line="360" w:lineRule="auto"/>
        <w:ind w:right="879" w:firstLine="2160" w:firstLineChars="9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D879C4">
      <w:pPr>
        <w:pStyle w:val="97"/>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495D1D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14:paraId="5CA52324">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hint="eastAsia" w:ascii="宋体" w:hAnsi="宋体" w:eastAsia="宋体" w:cs="宋体"/>
          <w:color w:val="auto"/>
          <w:sz w:val="24"/>
          <w:szCs w:val="24"/>
          <w:highlight w:val="none"/>
        </w:rPr>
      </w:pPr>
    </w:p>
    <w:p w14:paraId="51C3D584">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u w:val="single"/>
        </w:rPr>
        <w:t>投标人的法定代表人或授权代理人、项目负责人须在本投标人声明中签字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page"/>
      </w:r>
    </w:p>
    <w:p w14:paraId="5471A161">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二</w:t>
      </w:r>
    </w:p>
    <w:p w14:paraId="01FC92B2">
      <w:pPr>
        <w:pStyle w:val="97"/>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eastAsia="zh-CN"/>
        </w:rPr>
      </w:pPr>
    </w:p>
    <w:p w14:paraId="0FDEB8F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评标委员会成员声明</w:t>
      </w:r>
    </w:p>
    <w:p w14:paraId="40719B9B">
      <w:pPr>
        <w:pStyle w:val="97"/>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本项目招标人：</w:t>
      </w:r>
    </w:p>
    <w:p w14:paraId="03FEA11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项目的评标工作，作出郑重声明：</w:t>
      </w:r>
    </w:p>
    <w:p w14:paraId="125BC46E">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7F3C3C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9D0E9F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BD45DB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46C403E">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DFD1AC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0B2561A3">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130A7E2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36"/>
          <w:highlight w:val="none"/>
          <w:u w:val="single"/>
        </w:rPr>
      </w:pPr>
      <w:r>
        <w:rPr>
          <w:rFonts w:hint="eastAsia" w:ascii="宋体" w:hAnsi="宋体" w:eastAsia="宋体" w:cs="宋体"/>
          <w:color w:val="auto"/>
          <w:sz w:val="24"/>
          <w:szCs w:val="24"/>
          <w:highlight w:val="none"/>
        </w:rPr>
        <w:t xml:space="preserve">                             声明人：</w:t>
      </w:r>
      <w:r>
        <w:rPr>
          <w:rFonts w:hint="eastAsia" w:ascii="宋体" w:hAnsi="宋体" w:eastAsia="宋体" w:cs="宋体"/>
          <w:color w:val="auto"/>
          <w:sz w:val="24"/>
          <w:szCs w:val="24"/>
          <w:highlight w:val="none"/>
          <w:u w:val="single"/>
        </w:rPr>
        <w:t xml:space="preserve">（签名）  </w:t>
      </w:r>
    </w:p>
    <w:sectPr>
      <w:headerReference r:id="rId4" w:type="default"/>
      <w:footerReference r:id="rId5" w:type="default"/>
      <w:pgSz w:w="11906" w:h="16838"/>
      <w:pgMar w:top="1134" w:right="1417" w:bottom="124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6C60">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5C7C6">
                          <w:pPr>
                            <w:pStyle w:val="25"/>
                          </w:pPr>
                          <w:r>
                            <w:rPr>
                              <w:rStyle w:val="41"/>
                            </w:rPr>
                            <w:fldChar w:fldCharType="begin"/>
                          </w:r>
                          <w:r>
                            <w:rPr>
                              <w:rStyle w:val="41"/>
                            </w:rPr>
                            <w:instrText xml:space="preserve">PAGE  </w:instrText>
                          </w:r>
                          <w:r>
                            <w:rPr>
                              <w:rStyle w:val="41"/>
                            </w:rPr>
                            <w:fldChar w:fldCharType="separate"/>
                          </w:r>
                          <w:r>
                            <w:rPr>
                              <w:rStyle w:val="41"/>
                            </w:rPr>
                            <w:t>12</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D5C7C6">
                    <w:pPr>
                      <w:pStyle w:val="25"/>
                    </w:pPr>
                    <w:r>
                      <w:rPr>
                        <w:rStyle w:val="41"/>
                      </w:rPr>
                      <w:fldChar w:fldCharType="begin"/>
                    </w:r>
                    <w:r>
                      <w:rPr>
                        <w:rStyle w:val="41"/>
                      </w:rPr>
                      <w:instrText xml:space="preserve">PAGE  </w:instrText>
                    </w:r>
                    <w:r>
                      <w:rPr>
                        <w:rStyle w:val="41"/>
                      </w:rPr>
                      <w:fldChar w:fldCharType="separate"/>
                    </w:r>
                    <w:r>
                      <w:rPr>
                        <w:rStyle w:val="41"/>
                      </w:rPr>
                      <w:t>12</w:t>
                    </w:r>
                    <w:r>
                      <w:rPr>
                        <w:rStyle w:val="4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CB462">
    <w:pPr>
      <w:pStyle w:val="25"/>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E4D41">
                          <w:pPr>
                            <w:pStyle w:val="25"/>
                            <w:jc w:val="cente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BE4D41">
                    <w:pPr>
                      <w:pStyle w:val="25"/>
                      <w:jc w:val="cente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E00D">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5ODdhM2Y5MmI1OGVmODhjYTJlNzA5OTE4ZDMxYWUifQ=="/>
  </w:docVars>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9541F"/>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A24503"/>
    <w:rsid w:val="02690261"/>
    <w:rsid w:val="02C05BB1"/>
    <w:rsid w:val="02FD74EC"/>
    <w:rsid w:val="030977B8"/>
    <w:rsid w:val="03B73450"/>
    <w:rsid w:val="03F53B6F"/>
    <w:rsid w:val="04016C0A"/>
    <w:rsid w:val="042965C4"/>
    <w:rsid w:val="04570E50"/>
    <w:rsid w:val="04A75B49"/>
    <w:rsid w:val="04D65EB8"/>
    <w:rsid w:val="05935ABA"/>
    <w:rsid w:val="05C141CF"/>
    <w:rsid w:val="05EA2C50"/>
    <w:rsid w:val="061A393B"/>
    <w:rsid w:val="061C7FBD"/>
    <w:rsid w:val="065B06D1"/>
    <w:rsid w:val="06CF5060"/>
    <w:rsid w:val="06D038B7"/>
    <w:rsid w:val="071250C8"/>
    <w:rsid w:val="072F44E3"/>
    <w:rsid w:val="07312890"/>
    <w:rsid w:val="073C3C45"/>
    <w:rsid w:val="07A13F45"/>
    <w:rsid w:val="07EF4429"/>
    <w:rsid w:val="07FE462A"/>
    <w:rsid w:val="08061A64"/>
    <w:rsid w:val="08517165"/>
    <w:rsid w:val="08A51580"/>
    <w:rsid w:val="08C11542"/>
    <w:rsid w:val="090C13B6"/>
    <w:rsid w:val="090F4EF1"/>
    <w:rsid w:val="094E1D6F"/>
    <w:rsid w:val="09EB6AE1"/>
    <w:rsid w:val="09F33618"/>
    <w:rsid w:val="0A0F62EE"/>
    <w:rsid w:val="0A5C680F"/>
    <w:rsid w:val="0AF62F6A"/>
    <w:rsid w:val="0B3C3565"/>
    <w:rsid w:val="0B4354CB"/>
    <w:rsid w:val="0B6E4437"/>
    <w:rsid w:val="0B9109AA"/>
    <w:rsid w:val="0BC3240C"/>
    <w:rsid w:val="0BC83F60"/>
    <w:rsid w:val="0C521233"/>
    <w:rsid w:val="0C730B66"/>
    <w:rsid w:val="0D020937"/>
    <w:rsid w:val="0D4A0241"/>
    <w:rsid w:val="0DA717DD"/>
    <w:rsid w:val="0E1D06E9"/>
    <w:rsid w:val="0E4C4CAD"/>
    <w:rsid w:val="0E6C4374"/>
    <w:rsid w:val="0F6A1B72"/>
    <w:rsid w:val="0F7E4AB5"/>
    <w:rsid w:val="0FDF5C57"/>
    <w:rsid w:val="0FEF45D8"/>
    <w:rsid w:val="106B07D0"/>
    <w:rsid w:val="10B57C21"/>
    <w:rsid w:val="11052D75"/>
    <w:rsid w:val="11121F8F"/>
    <w:rsid w:val="11CA3566"/>
    <w:rsid w:val="11E8746F"/>
    <w:rsid w:val="129B2E90"/>
    <w:rsid w:val="12C51E21"/>
    <w:rsid w:val="137A5404"/>
    <w:rsid w:val="13EF0EA4"/>
    <w:rsid w:val="14D34591"/>
    <w:rsid w:val="14D74F4B"/>
    <w:rsid w:val="14D9719C"/>
    <w:rsid w:val="14F35BB7"/>
    <w:rsid w:val="15DD252D"/>
    <w:rsid w:val="162C4539"/>
    <w:rsid w:val="16F22458"/>
    <w:rsid w:val="17077E1E"/>
    <w:rsid w:val="173741A6"/>
    <w:rsid w:val="17497256"/>
    <w:rsid w:val="174B1C4B"/>
    <w:rsid w:val="17684412"/>
    <w:rsid w:val="17822770"/>
    <w:rsid w:val="17AE485B"/>
    <w:rsid w:val="17B0263E"/>
    <w:rsid w:val="17B8199D"/>
    <w:rsid w:val="17EC2627"/>
    <w:rsid w:val="18151F96"/>
    <w:rsid w:val="181C07FE"/>
    <w:rsid w:val="18474916"/>
    <w:rsid w:val="18891660"/>
    <w:rsid w:val="19AE6A7C"/>
    <w:rsid w:val="19D2412A"/>
    <w:rsid w:val="1A205D77"/>
    <w:rsid w:val="1A2F4635"/>
    <w:rsid w:val="1A6500CD"/>
    <w:rsid w:val="1A6E3101"/>
    <w:rsid w:val="1AA40A79"/>
    <w:rsid w:val="1AAA7997"/>
    <w:rsid w:val="1AB67180"/>
    <w:rsid w:val="1AD03189"/>
    <w:rsid w:val="1AD432CC"/>
    <w:rsid w:val="1AEA5623"/>
    <w:rsid w:val="1B927ADD"/>
    <w:rsid w:val="1B9E2075"/>
    <w:rsid w:val="1BAE4885"/>
    <w:rsid w:val="1BDF0B10"/>
    <w:rsid w:val="1BED33B9"/>
    <w:rsid w:val="1C0A2568"/>
    <w:rsid w:val="1C471BAE"/>
    <w:rsid w:val="1C553645"/>
    <w:rsid w:val="1C5C0C26"/>
    <w:rsid w:val="1CD4051D"/>
    <w:rsid w:val="1CDD2E94"/>
    <w:rsid w:val="1D027F1C"/>
    <w:rsid w:val="1D0A3E09"/>
    <w:rsid w:val="1D320404"/>
    <w:rsid w:val="1D3624E6"/>
    <w:rsid w:val="1E165AAB"/>
    <w:rsid w:val="1E1D26F4"/>
    <w:rsid w:val="1E486D96"/>
    <w:rsid w:val="1E513B7B"/>
    <w:rsid w:val="1E66059A"/>
    <w:rsid w:val="1EBA5A37"/>
    <w:rsid w:val="1F47327D"/>
    <w:rsid w:val="1F816AF6"/>
    <w:rsid w:val="1F8E47EB"/>
    <w:rsid w:val="1FCD6E14"/>
    <w:rsid w:val="20E36C50"/>
    <w:rsid w:val="21250A1F"/>
    <w:rsid w:val="219F1FA0"/>
    <w:rsid w:val="21E76FBA"/>
    <w:rsid w:val="22016D7A"/>
    <w:rsid w:val="225049E6"/>
    <w:rsid w:val="226B42AC"/>
    <w:rsid w:val="226D0818"/>
    <w:rsid w:val="226F3203"/>
    <w:rsid w:val="22AC5776"/>
    <w:rsid w:val="22AD29BB"/>
    <w:rsid w:val="232F5F2B"/>
    <w:rsid w:val="232F6B26"/>
    <w:rsid w:val="23355E47"/>
    <w:rsid w:val="233A2E13"/>
    <w:rsid w:val="23AD17DA"/>
    <w:rsid w:val="23D902C0"/>
    <w:rsid w:val="24116252"/>
    <w:rsid w:val="244D1F35"/>
    <w:rsid w:val="24615AF1"/>
    <w:rsid w:val="24A47FAB"/>
    <w:rsid w:val="24A972CC"/>
    <w:rsid w:val="24B2644C"/>
    <w:rsid w:val="24BD7292"/>
    <w:rsid w:val="259D757A"/>
    <w:rsid w:val="25C90160"/>
    <w:rsid w:val="25EB1CBA"/>
    <w:rsid w:val="26CA70AB"/>
    <w:rsid w:val="27206676"/>
    <w:rsid w:val="27323AFD"/>
    <w:rsid w:val="273625F3"/>
    <w:rsid w:val="27640D6C"/>
    <w:rsid w:val="27F114CA"/>
    <w:rsid w:val="281929B4"/>
    <w:rsid w:val="284631BC"/>
    <w:rsid w:val="28790229"/>
    <w:rsid w:val="28955221"/>
    <w:rsid w:val="28C55E93"/>
    <w:rsid w:val="29463324"/>
    <w:rsid w:val="29483044"/>
    <w:rsid w:val="29DB5E89"/>
    <w:rsid w:val="2A062C07"/>
    <w:rsid w:val="2A880A7B"/>
    <w:rsid w:val="2AB9216C"/>
    <w:rsid w:val="2AE47E9C"/>
    <w:rsid w:val="2AE5327C"/>
    <w:rsid w:val="2AEC5CA9"/>
    <w:rsid w:val="2B044026"/>
    <w:rsid w:val="2B585185"/>
    <w:rsid w:val="2B987E93"/>
    <w:rsid w:val="2BA900DA"/>
    <w:rsid w:val="2BF14491"/>
    <w:rsid w:val="2BFF6D43"/>
    <w:rsid w:val="2C5E4903"/>
    <w:rsid w:val="2C6121C9"/>
    <w:rsid w:val="2CDE257A"/>
    <w:rsid w:val="2CEE627B"/>
    <w:rsid w:val="2D1D0F10"/>
    <w:rsid w:val="2D254805"/>
    <w:rsid w:val="2D3E6293"/>
    <w:rsid w:val="2D64137F"/>
    <w:rsid w:val="2D716FB7"/>
    <w:rsid w:val="2D7D1990"/>
    <w:rsid w:val="2DB66D80"/>
    <w:rsid w:val="2DC144F7"/>
    <w:rsid w:val="2DC4660F"/>
    <w:rsid w:val="2ED85E73"/>
    <w:rsid w:val="2EDA6F06"/>
    <w:rsid w:val="2F384988"/>
    <w:rsid w:val="2F3E13BB"/>
    <w:rsid w:val="2F60641D"/>
    <w:rsid w:val="2F6239B5"/>
    <w:rsid w:val="2FC04BEF"/>
    <w:rsid w:val="30057BEC"/>
    <w:rsid w:val="300C07F9"/>
    <w:rsid w:val="301A4A2F"/>
    <w:rsid w:val="30287B62"/>
    <w:rsid w:val="30442541"/>
    <w:rsid w:val="305C69DC"/>
    <w:rsid w:val="30997F39"/>
    <w:rsid w:val="30B03D7B"/>
    <w:rsid w:val="31047F0E"/>
    <w:rsid w:val="315C46BD"/>
    <w:rsid w:val="31F46DAA"/>
    <w:rsid w:val="329135B7"/>
    <w:rsid w:val="32BF3509"/>
    <w:rsid w:val="32E35695"/>
    <w:rsid w:val="33110959"/>
    <w:rsid w:val="334409AC"/>
    <w:rsid w:val="33B916E0"/>
    <w:rsid w:val="33D321A9"/>
    <w:rsid w:val="33E31656"/>
    <w:rsid w:val="33FC15EB"/>
    <w:rsid w:val="3404474E"/>
    <w:rsid w:val="34661D88"/>
    <w:rsid w:val="349E2586"/>
    <w:rsid w:val="34AC0990"/>
    <w:rsid w:val="35150EE6"/>
    <w:rsid w:val="36107F4A"/>
    <w:rsid w:val="36174299"/>
    <w:rsid w:val="36504865"/>
    <w:rsid w:val="366D489F"/>
    <w:rsid w:val="367C1664"/>
    <w:rsid w:val="36807F5F"/>
    <w:rsid w:val="368F09FA"/>
    <w:rsid w:val="36E76FE1"/>
    <w:rsid w:val="375D203C"/>
    <w:rsid w:val="38026A6F"/>
    <w:rsid w:val="38244844"/>
    <w:rsid w:val="383C5696"/>
    <w:rsid w:val="387B18EF"/>
    <w:rsid w:val="387E303B"/>
    <w:rsid w:val="38FD1C54"/>
    <w:rsid w:val="392D582E"/>
    <w:rsid w:val="39C15447"/>
    <w:rsid w:val="39D1220C"/>
    <w:rsid w:val="3A1E3BCE"/>
    <w:rsid w:val="3A3C34B9"/>
    <w:rsid w:val="3A613357"/>
    <w:rsid w:val="3A9827B6"/>
    <w:rsid w:val="3AB578C7"/>
    <w:rsid w:val="3AD14697"/>
    <w:rsid w:val="3B636EAD"/>
    <w:rsid w:val="3B9908BD"/>
    <w:rsid w:val="3BC63B24"/>
    <w:rsid w:val="3BC8543C"/>
    <w:rsid w:val="3BCD3EBF"/>
    <w:rsid w:val="3C512B73"/>
    <w:rsid w:val="3CAB19CD"/>
    <w:rsid w:val="3CAC7EDE"/>
    <w:rsid w:val="3CD97263"/>
    <w:rsid w:val="3CDB3BDA"/>
    <w:rsid w:val="3CFB3391"/>
    <w:rsid w:val="3D287A48"/>
    <w:rsid w:val="3D562934"/>
    <w:rsid w:val="3D60411F"/>
    <w:rsid w:val="3D8A02CD"/>
    <w:rsid w:val="3DA93298"/>
    <w:rsid w:val="3DDF4B2C"/>
    <w:rsid w:val="3DF45F1A"/>
    <w:rsid w:val="3DF94976"/>
    <w:rsid w:val="3E004CF1"/>
    <w:rsid w:val="3E547E99"/>
    <w:rsid w:val="3EC82150"/>
    <w:rsid w:val="3EFA5782"/>
    <w:rsid w:val="3F0D44AE"/>
    <w:rsid w:val="3F1D6618"/>
    <w:rsid w:val="3F36468C"/>
    <w:rsid w:val="3FB75AA7"/>
    <w:rsid w:val="3FBA1F41"/>
    <w:rsid w:val="3FFC782B"/>
    <w:rsid w:val="401B3CF2"/>
    <w:rsid w:val="40327DB0"/>
    <w:rsid w:val="40AB1D23"/>
    <w:rsid w:val="40F53849"/>
    <w:rsid w:val="41E657FF"/>
    <w:rsid w:val="41E70D48"/>
    <w:rsid w:val="42917FBA"/>
    <w:rsid w:val="436C0A8D"/>
    <w:rsid w:val="43DC2B82"/>
    <w:rsid w:val="43E22ABA"/>
    <w:rsid w:val="43F80DCD"/>
    <w:rsid w:val="43FB75A4"/>
    <w:rsid w:val="445D41D8"/>
    <w:rsid w:val="44751F2B"/>
    <w:rsid w:val="44884C83"/>
    <w:rsid w:val="449622B7"/>
    <w:rsid w:val="453074E6"/>
    <w:rsid w:val="46067809"/>
    <w:rsid w:val="46500EC4"/>
    <w:rsid w:val="467E1C70"/>
    <w:rsid w:val="468A4245"/>
    <w:rsid w:val="4748596C"/>
    <w:rsid w:val="47500045"/>
    <w:rsid w:val="476B40D2"/>
    <w:rsid w:val="478B7839"/>
    <w:rsid w:val="48040645"/>
    <w:rsid w:val="48523C0A"/>
    <w:rsid w:val="48763CF2"/>
    <w:rsid w:val="487C78C9"/>
    <w:rsid w:val="489E3890"/>
    <w:rsid w:val="494975E8"/>
    <w:rsid w:val="497A2C70"/>
    <w:rsid w:val="49E47F6E"/>
    <w:rsid w:val="4A4F766A"/>
    <w:rsid w:val="4A51245D"/>
    <w:rsid w:val="4B3A06D7"/>
    <w:rsid w:val="4B3F6B82"/>
    <w:rsid w:val="4B447127"/>
    <w:rsid w:val="4B6B7860"/>
    <w:rsid w:val="4B822253"/>
    <w:rsid w:val="4B8746BC"/>
    <w:rsid w:val="4BC56187"/>
    <w:rsid w:val="4BD34E49"/>
    <w:rsid w:val="4C0C01C1"/>
    <w:rsid w:val="4CBC28D9"/>
    <w:rsid w:val="4D3021F3"/>
    <w:rsid w:val="4D3F455B"/>
    <w:rsid w:val="4D6E3BBD"/>
    <w:rsid w:val="4DBC088F"/>
    <w:rsid w:val="4DCF2F60"/>
    <w:rsid w:val="4E2174AB"/>
    <w:rsid w:val="4E2C1433"/>
    <w:rsid w:val="4E300D69"/>
    <w:rsid w:val="4E4E5A90"/>
    <w:rsid w:val="4E6C325B"/>
    <w:rsid w:val="4E7A1066"/>
    <w:rsid w:val="4EC54C1D"/>
    <w:rsid w:val="4ED35B75"/>
    <w:rsid w:val="4EE00DE1"/>
    <w:rsid w:val="4F1354EA"/>
    <w:rsid w:val="4F155DA1"/>
    <w:rsid w:val="4F4955DD"/>
    <w:rsid w:val="4F7072B9"/>
    <w:rsid w:val="4F7E2EF6"/>
    <w:rsid w:val="4F8464B4"/>
    <w:rsid w:val="4F9A1B35"/>
    <w:rsid w:val="4F9E0F74"/>
    <w:rsid w:val="4FD70343"/>
    <w:rsid w:val="50391FDB"/>
    <w:rsid w:val="504E4830"/>
    <w:rsid w:val="50530F7D"/>
    <w:rsid w:val="50806617"/>
    <w:rsid w:val="50D76907"/>
    <w:rsid w:val="50E71153"/>
    <w:rsid w:val="513F1823"/>
    <w:rsid w:val="51505C00"/>
    <w:rsid w:val="516F27CB"/>
    <w:rsid w:val="5196143C"/>
    <w:rsid w:val="51E63FE0"/>
    <w:rsid w:val="52043826"/>
    <w:rsid w:val="52125025"/>
    <w:rsid w:val="524266BE"/>
    <w:rsid w:val="52F13971"/>
    <w:rsid w:val="531151F6"/>
    <w:rsid w:val="53193AC3"/>
    <w:rsid w:val="53356AB0"/>
    <w:rsid w:val="53597175"/>
    <w:rsid w:val="53687418"/>
    <w:rsid w:val="53720DE2"/>
    <w:rsid w:val="53CD4272"/>
    <w:rsid w:val="53F92C98"/>
    <w:rsid w:val="53FF3330"/>
    <w:rsid w:val="54067AFD"/>
    <w:rsid w:val="549F21E3"/>
    <w:rsid w:val="54C044FD"/>
    <w:rsid w:val="555D67A4"/>
    <w:rsid w:val="55B60238"/>
    <w:rsid w:val="55EA5219"/>
    <w:rsid w:val="561505D4"/>
    <w:rsid w:val="563102A4"/>
    <w:rsid w:val="56973E1F"/>
    <w:rsid w:val="56C97471"/>
    <w:rsid w:val="576772B5"/>
    <w:rsid w:val="57CD71C9"/>
    <w:rsid w:val="57E34306"/>
    <w:rsid w:val="57E57589"/>
    <w:rsid w:val="57ED2754"/>
    <w:rsid w:val="58AC71CF"/>
    <w:rsid w:val="591254B9"/>
    <w:rsid w:val="59481887"/>
    <w:rsid w:val="59A92A61"/>
    <w:rsid w:val="59C9560C"/>
    <w:rsid w:val="5AC930E3"/>
    <w:rsid w:val="5ADE1F73"/>
    <w:rsid w:val="5B680A28"/>
    <w:rsid w:val="5BF8382F"/>
    <w:rsid w:val="5C22684F"/>
    <w:rsid w:val="5CB52BD2"/>
    <w:rsid w:val="5CDF456F"/>
    <w:rsid w:val="5CE3322E"/>
    <w:rsid w:val="5D572C78"/>
    <w:rsid w:val="5D5C6BA7"/>
    <w:rsid w:val="5DCB33F6"/>
    <w:rsid w:val="5DD153DA"/>
    <w:rsid w:val="5DFF429F"/>
    <w:rsid w:val="5E3556CC"/>
    <w:rsid w:val="5E6A2CC5"/>
    <w:rsid w:val="5E803118"/>
    <w:rsid w:val="5E990EF9"/>
    <w:rsid w:val="5E99583F"/>
    <w:rsid w:val="5EBF74D1"/>
    <w:rsid w:val="5F2465E8"/>
    <w:rsid w:val="5F306102"/>
    <w:rsid w:val="5F4B72E8"/>
    <w:rsid w:val="5F783DAA"/>
    <w:rsid w:val="5F853AE8"/>
    <w:rsid w:val="601A24B3"/>
    <w:rsid w:val="603B11D0"/>
    <w:rsid w:val="60E15CF6"/>
    <w:rsid w:val="60FE4D9D"/>
    <w:rsid w:val="61067EA9"/>
    <w:rsid w:val="612C47B1"/>
    <w:rsid w:val="61AA49D7"/>
    <w:rsid w:val="61DB480A"/>
    <w:rsid w:val="621D4D7D"/>
    <w:rsid w:val="626A12F1"/>
    <w:rsid w:val="62A93F74"/>
    <w:rsid w:val="62F241E8"/>
    <w:rsid w:val="632B71C6"/>
    <w:rsid w:val="634C153F"/>
    <w:rsid w:val="636F7002"/>
    <w:rsid w:val="6438051B"/>
    <w:rsid w:val="645940DA"/>
    <w:rsid w:val="64834DD8"/>
    <w:rsid w:val="648C318D"/>
    <w:rsid w:val="64BC7BFD"/>
    <w:rsid w:val="64D30970"/>
    <w:rsid w:val="653505E7"/>
    <w:rsid w:val="658F218E"/>
    <w:rsid w:val="661B154B"/>
    <w:rsid w:val="662114A5"/>
    <w:rsid w:val="662E766F"/>
    <w:rsid w:val="664C2EB7"/>
    <w:rsid w:val="66AC2722"/>
    <w:rsid w:val="67305B69"/>
    <w:rsid w:val="676A38DC"/>
    <w:rsid w:val="677D7F9F"/>
    <w:rsid w:val="678F1196"/>
    <w:rsid w:val="67A05B7E"/>
    <w:rsid w:val="67ED5EED"/>
    <w:rsid w:val="68101CC4"/>
    <w:rsid w:val="687424E1"/>
    <w:rsid w:val="68D433DA"/>
    <w:rsid w:val="68D81006"/>
    <w:rsid w:val="69146FEF"/>
    <w:rsid w:val="69D34CDF"/>
    <w:rsid w:val="6A5F4FA1"/>
    <w:rsid w:val="6A7A4E34"/>
    <w:rsid w:val="6ADA6866"/>
    <w:rsid w:val="6B61332D"/>
    <w:rsid w:val="6C4516BE"/>
    <w:rsid w:val="6C4F5101"/>
    <w:rsid w:val="6C7621DF"/>
    <w:rsid w:val="6C787452"/>
    <w:rsid w:val="6C853C97"/>
    <w:rsid w:val="6CAE4A64"/>
    <w:rsid w:val="6CE1254E"/>
    <w:rsid w:val="6CEF4F0F"/>
    <w:rsid w:val="6D155306"/>
    <w:rsid w:val="6D397846"/>
    <w:rsid w:val="6DAA12B9"/>
    <w:rsid w:val="6DAB59DE"/>
    <w:rsid w:val="6DAC0CA7"/>
    <w:rsid w:val="6E434EF0"/>
    <w:rsid w:val="6E6E4E06"/>
    <w:rsid w:val="6E7A016D"/>
    <w:rsid w:val="6EC47A23"/>
    <w:rsid w:val="6EF47564"/>
    <w:rsid w:val="6FAD74D8"/>
    <w:rsid w:val="701B0E3A"/>
    <w:rsid w:val="70235C5C"/>
    <w:rsid w:val="702C1048"/>
    <w:rsid w:val="70455FF7"/>
    <w:rsid w:val="705B4869"/>
    <w:rsid w:val="707215D5"/>
    <w:rsid w:val="708B7B34"/>
    <w:rsid w:val="71493855"/>
    <w:rsid w:val="71525973"/>
    <w:rsid w:val="71B53A87"/>
    <w:rsid w:val="71D55BDA"/>
    <w:rsid w:val="71DA2ABA"/>
    <w:rsid w:val="71F76241"/>
    <w:rsid w:val="725C5B44"/>
    <w:rsid w:val="725C79BA"/>
    <w:rsid w:val="726971FF"/>
    <w:rsid w:val="72F42593"/>
    <w:rsid w:val="730043D2"/>
    <w:rsid w:val="73724465"/>
    <w:rsid w:val="73B47445"/>
    <w:rsid w:val="73CC483B"/>
    <w:rsid w:val="74125A53"/>
    <w:rsid w:val="741D2362"/>
    <w:rsid w:val="745A59A2"/>
    <w:rsid w:val="74933D70"/>
    <w:rsid w:val="749C2B7B"/>
    <w:rsid w:val="749D1342"/>
    <w:rsid w:val="74B62C98"/>
    <w:rsid w:val="75566EE4"/>
    <w:rsid w:val="7583200C"/>
    <w:rsid w:val="76492DC9"/>
    <w:rsid w:val="7660428B"/>
    <w:rsid w:val="76C56DC4"/>
    <w:rsid w:val="76F2653C"/>
    <w:rsid w:val="77190898"/>
    <w:rsid w:val="77B4314C"/>
    <w:rsid w:val="77CD13AB"/>
    <w:rsid w:val="77D84AFD"/>
    <w:rsid w:val="782F723D"/>
    <w:rsid w:val="789E6215"/>
    <w:rsid w:val="78BB101F"/>
    <w:rsid w:val="78C647AD"/>
    <w:rsid w:val="79900684"/>
    <w:rsid w:val="79963F39"/>
    <w:rsid w:val="79A65463"/>
    <w:rsid w:val="79F31D17"/>
    <w:rsid w:val="7A286456"/>
    <w:rsid w:val="7ACF0E2A"/>
    <w:rsid w:val="7ADC31A8"/>
    <w:rsid w:val="7AE11CFE"/>
    <w:rsid w:val="7B275319"/>
    <w:rsid w:val="7B4324F0"/>
    <w:rsid w:val="7B453B00"/>
    <w:rsid w:val="7B8F0214"/>
    <w:rsid w:val="7BF111A2"/>
    <w:rsid w:val="7C280C89"/>
    <w:rsid w:val="7C2B791B"/>
    <w:rsid w:val="7CAE4569"/>
    <w:rsid w:val="7CB121DB"/>
    <w:rsid w:val="7CB55428"/>
    <w:rsid w:val="7CBE43EB"/>
    <w:rsid w:val="7D040A54"/>
    <w:rsid w:val="7D2B5029"/>
    <w:rsid w:val="7DBB4185"/>
    <w:rsid w:val="7DC934DB"/>
    <w:rsid w:val="7E5739DC"/>
    <w:rsid w:val="7E9E3841"/>
    <w:rsid w:val="7ECB1A77"/>
    <w:rsid w:val="7ECC1B65"/>
    <w:rsid w:val="7ED60533"/>
    <w:rsid w:val="7EE23AE4"/>
    <w:rsid w:val="7EE52B34"/>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60"/>
    <w:qFormat/>
    <w:uiPriority w:val="0"/>
    <w:pPr>
      <w:keepNext/>
      <w:keepLines/>
      <w:spacing w:after="120" w:line="360" w:lineRule="auto"/>
      <w:outlineLvl w:val="0"/>
    </w:pPr>
    <w:rPr>
      <w:kern w:val="44"/>
      <w:sz w:val="28"/>
      <w:szCs w:val="28"/>
    </w:rPr>
  </w:style>
  <w:style w:type="paragraph" w:styleId="6">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46"/>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8">
    <w:name w:val="heading 4"/>
    <w:basedOn w:val="7"/>
    <w:next w:val="9"/>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63"/>
    <w:qFormat/>
    <w:uiPriority w:val="0"/>
    <w:pPr>
      <w:numPr>
        <w:ilvl w:val="4"/>
      </w:numPr>
      <w:spacing w:line="240" w:lineRule="exact"/>
      <w:outlineLvl w:val="4"/>
    </w:pPr>
  </w:style>
  <w:style w:type="paragraph" w:styleId="11">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69"/>
    <w:qFormat/>
    <w:uiPriority w:val="0"/>
    <w:pPr>
      <w:spacing w:before="120" w:after="60"/>
      <w:jc w:val="center"/>
    </w:pPr>
    <w:rPr>
      <w:rFonts w:ascii="Arial" w:hAnsi="Arial"/>
      <w:b/>
      <w:sz w:val="44"/>
      <w:szCs w:val="20"/>
    </w:rPr>
  </w:style>
  <w:style w:type="paragraph" w:styleId="4">
    <w:name w:val="Body Text First Indent"/>
    <w:basedOn w:val="5"/>
    <w:link w:val="73"/>
    <w:qFormat/>
    <w:uiPriority w:val="0"/>
    <w:pPr>
      <w:ind w:firstLine="420"/>
    </w:pPr>
  </w:style>
  <w:style w:type="paragraph" w:styleId="5">
    <w:name w:val="Body Text"/>
    <w:basedOn w:val="1"/>
    <w:next w:val="1"/>
    <w:link w:val="71"/>
    <w:qFormat/>
    <w:uiPriority w:val="0"/>
    <w:pPr>
      <w:spacing w:after="120"/>
    </w:pPr>
    <w:rPr>
      <w:rFonts w:ascii="Times New Roman" w:hAnsi="Times New Roman"/>
      <w:szCs w:val="20"/>
    </w:rPr>
  </w:style>
  <w:style w:type="paragraph" w:styleId="9">
    <w:name w:val="Normal Indent"/>
    <w:basedOn w:val="1"/>
    <w:next w:val="1"/>
    <w:qFormat/>
    <w:uiPriority w:val="0"/>
    <w:pPr>
      <w:ind w:firstLine="420"/>
    </w:pPr>
    <w:rPr>
      <w:rFonts w:ascii="Times New Roman" w:hAnsi="Times New Roman"/>
      <w:szCs w:val="20"/>
    </w:rPr>
  </w:style>
  <w:style w:type="paragraph" w:styleId="15">
    <w:name w:val="Document Map"/>
    <w:basedOn w:val="1"/>
    <w:link w:val="79"/>
    <w:qFormat/>
    <w:uiPriority w:val="0"/>
    <w:pPr>
      <w:shd w:val="clear" w:color="auto" w:fill="000080"/>
    </w:pPr>
    <w:rPr>
      <w:rFonts w:ascii="Times New Roman" w:hAnsi="Times New Roman"/>
      <w:szCs w:val="20"/>
    </w:rPr>
  </w:style>
  <w:style w:type="paragraph" w:styleId="16">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7"/>
    <w:qFormat/>
    <w:uiPriority w:val="0"/>
    <w:pPr>
      <w:ind w:firstLine="570"/>
    </w:pPr>
    <w:rPr>
      <w:rFonts w:ascii="Times New Roman" w:hAnsi="Times New Roman"/>
      <w:sz w:val="28"/>
      <w:szCs w:val="20"/>
    </w:rPr>
  </w:style>
  <w:style w:type="paragraph" w:styleId="18">
    <w:name w:val="index 4"/>
    <w:basedOn w:val="1"/>
    <w:next w:val="1"/>
    <w:unhideWhenUsed/>
    <w:qFormat/>
    <w:uiPriority w:val="99"/>
    <w:pPr>
      <w:ind w:left="600" w:leftChars="600"/>
    </w:p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9"/>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6"/>
    <w:next w:val="16"/>
    <w:link w:val="109"/>
    <w:qFormat/>
    <w:uiPriority w:val="0"/>
    <w:rPr>
      <w:b/>
      <w:bCs/>
    </w:rPr>
  </w:style>
  <w:style w:type="table" w:styleId="37">
    <w:name w:val="Table Grid"/>
    <w:basedOn w:val="3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3 Char"/>
    <w:link w:val="7"/>
    <w:qFormat/>
    <w:uiPriority w:val="0"/>
    <w:rPr>
      <w:rFonts w:ascii="宋体" w:hAnsi="宋体" w:eastAsia="宋体" w:cs="宋体"/>
      <w:kern w:val="0"/>
      <w:sz w:val="24"/>
      <w:szCs w:val="27"/>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Char3"/>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Char"/>
    <w:link w:val="25"/>
    <w:qFormat/>
    <w:uiPriority w:val="0"/>
    <w:rPr>
      <w:rFonts w:ascii="Calibri" w:hAnsi="Calibri" w:eastAsia="宋体" w:cs="Times New Roman"/>
      <w:sz w:val="18"/>
      <w:szCs w:val="18"/>
    </w:rPr>
  </w:style>
  <w:style w:type="character" w:customStyle="1" w:styleId="60">
    <w:name w:val="标题 1 Char"/>
    <w:link w:val="2"/>
    <w:qFormat/>
    <w:uiPriority w:val="0"/>
    <w:rPr>
      <w:rFonts w:ascii="Arial" w:hAnsi="Arial" w:eastAsia="宋体"/>
      <w:b/>
      <w:kern w:val="44"/>
      <w:sz w:val="28"/>
      <w:szCs w:val="28"/>
    </w:rPr>
  </w:style>
  <w:style w:type="character" w:customStyle="1" w:styleId="61">
    <w:name w:val="标题 2 Char"/>
    <w:link w:val="6"/>
    <w:qFormat/>
    <w:uiPriority w:val="0"/>
    <w:rPr>
      <w:rFonts w:ascii="Arial" w:hAnsi="Arial" w:eastAsia="宋体" w:cs="Times New Roman"/>
      <w:b/>
      <w:color w:val="000000"/>
      <w:sz w:val="24"/>
      <w:szCs w:val="24"/>
    </w:rPr>
  </w:style>
  <w:style w:type="character" w:customStyle="1" w:styleId="62">
    <w:name w:val="标题 4 Char"/>
    <w:link w:val="8"/>
    <w:qFormat/>
    <w:uiPriority w:val="0"/>
    <w:rPr>
      <w:rFonts w:ascii="Arial" w:hAnsi="Arial" w:eastAsia="宋体" w:cs="Times New Roman"/>
      <w:color w:val="000000"/>
      <w:szCs w:val="21"/>
    </w:rPr>
  </w:style>
  <w:style w:type="character" w:customStyle="1" w:styleId="63">
    <w:name w:val="标题 5 Char"/>
    <w:link w:val="10"/>
    <w:qFormat/>
    <w:uiPriority w:val="0"/>
    <w:rPr>
      <w:rFonts w:ascii="Arial" w:hAnsi="Arial" w:eastAsia="宋体" w:cs="Times New Roman"/>
      <w:color w:val="000000"/>
      <w:szCs w:val="21"/>
    </w:rPr>
  </w:style>
  <w:style w:type="character" w:customStyle="1" w:styleId="64">
    <w:name w:val="标题 6 Char"/>
    <w:link w:val="11"/>
    <w:qFormat/>
    <w:uiPriority w:val="0"/>
    <w:rPr>
      <w:rFonts w:ascii="Arial" w:hAnsi="Arial" w:eastAsia="黑体" w:cs="Times New Roman"/>
      <w:b/>
      <w:bCs/>
      <w:sz w:val="24"/>
      <w:szCs w:val="24"/>
    </w:rPr>
  </w:style>
  <w:style w:type="character" w:customStyle="1" w:styleId="65">
    <w:name w:val="标题 7 Char"/>
    <w:link w:val="12"/>
    <w:qFormat/>
    <w:uiPriority w:val="0"/>
    <w:rPr>
      <w:rFonts w:ascii="Times New Roman" w:hAnsi="Times New Roman" w:eastAsia="宋体" w:cs="Times New Roman"/>
      <w:b/>
      <w:sz w:val="24"/>
      <w:szCs w:val="20"/>
    </w:rPr>
  </w:style>
  <w:style w:type="character" w:customStyle="1" w:styleId="66">
    <w:name w:val="标题 8 Char"/>
    <w:link w:val="13"/>
    <w:qFormat/>
    <w:uiPriority w:val="0"/>
    <w:rPr>
      <w:rFonts w:ascii="Arial" w:hAnsi="Arial" w:eastAsia="黑体" w:cs="Times New Roman"/>
      <w:sz w:val="24"/>
      <w:szCs w:val="20"/>
    </w:rPr>
  </w:style>
  <w:style w:type="character" w:customStyle="1" w:styleId="67">
    <w:name w:val="标题 9 Char"/>
    <w:link w:val="14"/>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Char"/>
    <w:link w:val="3"/>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Char"/>
    <w:link w:val="5"/>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Char"/>
    <w:link w:val="4"/>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Char"/>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Char"/>
    <w:link w:val="17"/>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Char"/>
    <w:link w:val="15"/>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Char"/>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Char"/>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Char"/>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Char"/>
    <w:link w:val="31"/>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Char"/>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9"/>
    <w:qFormat/>
    <w:uiPriority w:val="0"/>
    <w:pPr>
      <w:ind w:firstLine="0"/>
    </w:pPr>
    <w:rPr>
      <w:rFonts w:ascii="仿宋_GB2312" w:eastAsia="仿宋_GB2312"/>
      <w:sz w:val="30"/>
      <w:szCs w:val="24"/>
    </w:rPr>
  </w:style>
  <w:style w:type="paragraph" w:customStyle="1" w:styleId="96">
    <w:name w:val="Char Char Char1 Char"/>
    <w:basedOn w:val="15"/>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Char"/>
    <w:link w:val="24"/>
    <w:qFormat/>
    <w:uiPriority w:val="0"/>
    <w:rPr>
      <w:rFonts w:ascii="Times New Roman" w:hAnsi="Times New Roman" w:eastAsia="宋体" w:cs="Times New Roman"/>
      <w:sz w:val="18"/>
      <w:szCs w:val="18"/>
    </w:rPr>
  </w:style>
  <w:style w:type="paragraph" w:customStyle="1" w:styleId="103">
    <w:name w:val="TOC 标题1"/>
    <w:basedOn w:val="2"/>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Char"/>
    <w:link w:val="16"/>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Char"/>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Char"/>
    <w:link w:val="35"/>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4">
    <w:name w:val="页眉 Char"/>
    <w:qFormat/>
    <w:uiPriority w:val="99"/>
    <w:rPr>
      <w:kern w:val="2"/>
      <w:sz w:val="18"/>
      <w:szCs w:val="18"/>
      <w:lang w:val="zh-CN" w:eastAsia="zh-CN"/>
    </w:rPr>
  </w:style>
  <w:style w:type="character" w:customStyle="1" w:styleId="115">
    <w:name w:val="标准正文 Char"/>
    <w:link w:val="116"/>
    <w:qFormat/>
    <w:uiPriority w:val="0"/>
    <w:rPr>
      <w:szCs w:val="24"/>
    </w:rPr>
  </w:style>
  <w:style w:type="paragraph" w:customStyle="1" w:styleId="116">
    <w:name w:val="标准正文"/>
    <w:basedOn w:val="1"/>
    <w:link w:val="115"/>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7">
    <w:name w:val="PlainText"/>
    <w:basedOn w:val="1"/>
    <w:qFormat/>
    <w:uiPriority w:val="0"/>
    <w:pPr>
      <w:textAlignment w:val="baseline"/>
    </w:pPr>
    <w:rPr>
      <w:rFonts w:ascii="宋体" w:hAnsi="Courier New" w:cs="Calibri"/>
      <w:color w:val="000000"/>
      <w:kern w:val="0"/>
      <w:sz w:val="20"/>
      <w:szCs w:val="20"/>
    </w:rPr>
  </w:style>
  <w:style w:type="character" w:customStyle="1" w:styleId="118">
    <w:name w:val="weby1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8570</Words>
  <Characters>9004</Characters>
  <DocSecurity>0</DocSecurity>
  <Lines>582</Lines>
  <Paragraphs>164</Paragraphs>
  <ScaleCrop>false</ScaleCrop>
  <LinksUpToDate>false</LinksUpToDate>
  <CharactersWithSpaces>9394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2025-07-24T09:35:00Z</cp:lastPrinted>
  <dcterms:created xsi:type="dcterms:W3CDTF">2019-10-12T15:40:00Z</dcterms:created>
  <dcterms:modified xsi:type="dcterms:W3CDTF">2025-07-31T07:24:41Z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9219FE49319841FF8FA907B6A846BFF9_13</vt:lpwstr>
  </property>
  <property fmtid="{D5CDD505-2E9C-101B-9397-08002B2CF9AE}" pid="4" name="KSOTemplateDocerSaveRecord">
    <vt:lpwstr>eyJoZGlkIjoiOTM4Mzc5NjE1NWI2M2E4ODc4Mjk5MDcxYjVmYTM5MzYiLCJ1c2VySWQiOiIxNjAxMzk4MzU5In0=</vt:lpwstr>
  </property>
</Properties>
</file>