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E3CC5">
      <w:pPr>
        <w:pStyle w:val="4"/>
        <w:spacing w:before="0" w:line="276" w:lineRule="auto"/>
        <w:rPr>
          <w:rFonts w:hint="eastAsia" w:ascii="宋体" w:hAnsi="宋体" w:eastAsia="宋体" w:cs="宋体"/>
          <w:b/>
          <w:bCs/>
          <w:color w:val="auto"/>
          <w:szCs w:val="21"/>
          <w:highlight w:val="none"/>
        </w:rPr>
      </w:pPr>
      <w:bookmarkStart w:id="0" w:name="_Toc2124"/>
      <w:bookmarkStart w:id="1" w:name="_Toc30228"/>
      <w:r>
        <w:rPr>
          <w:rFonts w:hint="eastAsia" w:ascii="宋体" w:hAnsi="宋体" w:eastAsia="宋体" w:cs="宋体"/>
          <w:b/>
          <w:bCs/>
          <w:color w:val="auto"/>
          <w:szCs w:val="32"/>
          <w:highlight w:val="none"/>
        </w:rPr>
        <w:t>第</w:t>
      </w:r>
      <w:r>
        <w:rPr>
          <w:rFonts w:hint="eastAsia" w:ascii="宋体" w:hAnsi="宋体" w:eastAsia="宋体" w:cs="宋体"/>
          <w:b/>
          <w:bCs/>
          <w:color w:val="auto"/>
          <w:szCs w:val="32"/>
          <w:highlight w:val="none"/>
          <w:lang w:val="en-US" w:eastAsia="zh-CN"/>
        </w:rPr>
        <w:t>三</w:t>
      </w:r>
      <w:r>
        <w:rPr>
          <w:rFonts w:hint="eastAsia" w:ascii="宋体" w:hAnsi="宋体" w:eastAsia="宋体" w:cs="宋体"/>
          <w:b/>
          <w:bCs/>
          <w:color w:val="auto"/>
          <w:szCs w:val="32"/>
          <w:highlight w:val="none"/>
        </w:rPr>
        <w:t>章</w:t>
      </w:r>
      <w:r>
        <w:rPr>
          <w:rFonts w:hint="eastAsia" w:ascii="宋体" w:hAnsi="宋体" w:eastAsia="宋体" w:cs="宋体"/>
          <w:b/>
          <w:bCs/>
          <w:color w:val="auto"/>
          <w:szCs w:val="32"/>
          <w:highlight w:val="none"/>
          <w:lang w:val="en-US" w:eastAsia="zh-CN"/>
        </w:rPr>
        <w:t xml:space="preserve"> </w:t>
      </w:r>
      <w:r>
        <w:rPr>
          <w:rFonts w:hint="eastAsia" w:ascii="宋体" w:hAnsi="宋体" w:eastAsia="宋体" w:cs="宋体"/>
          <w:bCs/>
          <w:color w:val="auto"/>
          <w:szCs w:val="32"/>
          <w:highlight w:val="none"/>
        </w:rPr>
        <w:t>评标办法</w:t>
      </w:r>
      <w:bookmarkEnd w:id="0"/>
      <w:bookmarkEnd w:id="1"/>
      <w:bookmarkStart w:id="2" w:name="_Toc15519"/>
      <w:bookmarkStart w:id="3" w:name="_Toc10469"/>
      <w:r>
        <w:rPr>
          <w:rStyle w:val="7"/>
          <w:rFonts w:hint="eastAsia" w:ascii="宋体" w:hAnsi="宋体" w:eastAsia="宋体" w:cs="宋体"/>
          <w:b/>
          <w:bCs/>
          <w:color w:val="auto"/>
          <w:sz w:val="30"/>
          <w:szCs w:val="30"/>
          <w:highlight w:val="none"/>
        </w:rPr>
        <w:t>（双信封的综合评分法）</w:t>
      </w:r>
      <w:bookmarkEnd w:id="2"/>
      <w:bookmarkEnd w:id="3"/>
    </w:p>
    <w:p w14:paraId="51108C8D">
      <w:pPr>
        <w:spacing w:line="380" w:lineRule="exact"/>
        <w:jc w:val="left"/>
        <w:rPr>
          <w:rFonts w:hint="eastAsia" w:ascii="宋体" w:hAnsi="宋体" w:eastAsia="宋体" w:cs="宋体"/>
          <w:color w:val="auto"/>
          <w:kern w:val="0"/>
          <w:sz w:val="24"/>
          <w:highlight w:val="none"/>
        </w:rPr>
      </w:pPr>
      <w:r>
        <w:rPr>
          <w:rFonts w:hint="eastAsia" w:ascii="宋体" w:hAnsi="宋体" w:eastAsia="宋体" w:cs="宋体"/>
          <w:b/>
          <w:color w:val="auto"/>
          <w:szCs w:val="21"/>
          <w:highlight w:val="none"/>
        </w:rPr>
        <w:t>评标办法前附表</w:t>
      </w:r>
    </w:p>
    <w:tbl>
      <w:tblPr>
        <w:tblStyle w:val="5"/>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50"/>
        <w:gridCol w:w="7200"/>
      </w:tblGrid>
      <w:tr w14:paraId="70E5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25" w:type="dxa"/>
            <w:gridSpan w:val="2"/>
            <w:shd w:val="clear" w:color="auto" w:fill="FFFFFF"/>
            <w:noWrap w:val="0"/>
            <w:vAlign w:val="center"/>
          </w:tcPr>
          <w:p w14:paraId="267C7FA6">
            <w:pPr>
              <w:pStyle w:val="9"/>
              <w:shd w:val="clear" w:color="auto" w:fill="auto"/>
              <w:adjustRightInd w:val="0"/>
              <w:snapToGrid w:val="0"/>
              <w:spacing w:before="0" w:line="240" w:lineRule="auto"/>
              <w:jc w:val="center"/>
              <w:rPr>
                <w:rFonts w:hint="eastAsia" w:ascii="宋体" w:hAnsi="宋体" w:eastAsia="宋体" w:cs="宋体"/>
                <w:b/>
                <w:color w:val="auto"/>
                <w:sz w:val="21"/>
                <w:szCs w:val="21"/>
                <w:highlight w:val="none"/>
              </w:rPr>
            </w:pPr>
            <w:r>
              <w:rPr>
                <w:rStyle w:val="10"/>
                <w:rFonts w:hint="eastAsia" w:ascii="宋体" w:hAnsi="宋体" w:eastAsia="宋体" w:cs="宋体"/>
                <w:bCs w:val="0"/>
                <w:color w:val="auto"/>
                <w:sz w:val="21"/>
                <w:szCs w:val="21"/>
                <w:highlight w:val="none"/>
                <w:lang w:val="zh-CN"/>
              </w:rPr>
              <w:t>条款号</w:t>
            </w:r>
          </w:p>
        </w:tc>
        <w:tc>
          <w:tcPr>
            <w:tcW w:w="7200" w:type="dxa"/>
            <w:shd w:val="clear" w:color="auto" w:fill="FFFFFF"/>
            <w:noWrap w:val="0"/>
            <w:vAlign w:val="center"/>
          </w:tcPr>
          <w:p w14:paraId="49B0CBF7">
            <w:pPr>
              <w:pStyle w:val="9"/>
              <w:shd w:val="clear" w:color="auto" w:fill="auto"/>
              <w:adjustRightInd w:val="0"/>
              <w:snapToGrid w:val="0"/>
              <w:spacing w:before="0" w:line="240" w:lineRule="auto"/>
              <w:jc w:val="center"/>
              <w:rPr>
                <w:rFonts w:hint="eastAsia" w:ascii="宋体" w:hAnsi="宋体" w:eastAsia="宋体" w:cs="宋体"/>
                <w:b/>
                <w:color w:val="auto"/>
                <w:sz w:val="21"/>
                <w:szCs w:val="21"/>
                <w:highlight w:val="none"/>
              </w:rPr>
            </w:pPr>
            <w:r>
              <w:rPr>
                <w:rStyle w:val="10"/>
                <w:rFonts w:hint="eastAsia" w:ascii="宋体" w:hAnsi="宋体" w:eastAsia="宋体" w:cs="宋体"/>
                <w:bCs w:val="0"/>
                <w:color w:val="auto"/>
                <w:sz w:val="21"/>
                <w:szCs w:val="21"/>
                <w:highlight w:val="none"/>
                <w:lang w:val="zh-CN"/>
              </w:rPr>
              <w:t>评审因素与评审标准</w:t>
            </w:r>
          </w:p>
        </w:tc>
      </w:tr>
      <w:tr w14:paraId="7EA1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1" w:hRule="atLeast"/>
        </w:trPr>
        <w:tc>
          <w:tcPr>
            <w:tcW w:w="675" w:type="dxa"/>
            <w:shd w:val="clear" w:color="auto" w:fill="FFFFFF"/>
            <w:noWrap w:val="0"/>
            <w:vAlign w:val="center"/>
          </w:tcPr>
          <w:p w14:paraId="0E0222BB">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w:t>
            </w:r>
          </w:p>
        </w:tc>
        <w:tc>
          <w:tcPr>
            <w:tcW w:w="1250" w:type="dxa"/>
            <w:shd w:val="clear" w:color="auto" w:fill="FFFFFF"/>
            <w:noWrap w:val="0"/>
            <w:vAlign w:val="center"/>
          </w:tcPr>
          <w:p w14:paraId="32FEFB67">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评标方法</w:t>
            </w:r>
          </w:p>
        </w:tc>
        <w:tc>
          <w:tcPr>
            <w:tcW w:w="7200" w:type="dxa"/>
            <w:shd w:val="clear" w:color="auto" w:fill="FFFFFF"/>
            <w:noWrap w:val="0"/>
            <w:vAlign w:val="center"/>
          </w:tcPr>
          <w:p w14:paraId="1A43FEE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line="240" w:lineRule="auto"/>
              <w:ind w:left="0" w:leftChars="0" w:right="151" w:rightChars="72" w:firstLine="420" w:firstLineChars="200"/>
              <w:jc w:val="both"/>
              <w:textAlignment w:val="auto"/>
              <w:rPr>
                <w:rStyle w:val="11"/>
                <w:rFonts w:hint="eastAsia" w:ascii="宋体" w:hAnsi="宋体" w:eastAsia="宋体" w:cs="宋体"/>
                <w:color w:val="auto"/>
                <w:sz w:val="21"/>
                <w:szCs w:val="21"/>
                <w:highlight w:val="none"/>
                <w:lang w:val="zh-CN" w:eastAsia="zh-CN"/>
              </w:rPr>
            </w:pPr>
            <w:r>
              <w:rPr>
                <w:rStyle w:val="11"/>
                <w:rFonts w:hint="eastAsia" w:ascii="宋体" w:hAnsi="宋体" w:eastAsia="宋体" w:cs="宋体"/>
                <w:color w:val="auto"/>
                <w:sz w:val="21"/>
                <w:szCs w:val="21"/>
                <w:highlight w:val="none"/>
                <w:lang w:val="zh-CN" w:eastAsia="zh-CN"/>
              </w:rPr>
              <w:t>综合评分相等时，评标委员会依次按照以下优先顺序推荐中标候选人或确定中标人：</w:t>
            </w:r>
          </w:p>
          <w:p w14:paraId="639A2AE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line="240" w:lineRule="auto"/>
              <w:ind w:left="0" w:leftChars="0" w:right="151" w:rightChars="72" w:firstLine="0" w:firstLineChars="0"/>
              <w:jc w:val="both"/>
              <w:textAlignment w:val="auto"/>
              <w:rPr>
                <w:rStyle w:val="11"/>
                <w:rFonts w:hint="eastAsia" w:ascii="宋体" w:hAnsi="宋体" w:eastAsia="宋体" w:cs="宋体"/>
                <w:color w:val="auto"/>
                <w:sz w:val="21"/>
                <w:szCs w:val="21"/>
                <w:highlight w:val="none"/>
                <w:lang w:val="zh-CN" w:eastAsia="zh-CN"/>
              </w:rPr>
            </w:pPr>
            <w:r>
              <w:rPr>
                <w:rStyle w:val="11"/>
                <w:rFonts w:hint="eastAsia" w:ascii="宋体" w:hAnsi="宋体" w:eastAsia="宋体" w:cs="宋体"/>
                <w:color w:val="auto"/>
                <w:sz w:val="21"/>
                <w:szCs w:val="21"/>
                <w:highlight w:val="none"/>
                <w:lang w:val="zh-CN" w:eastAsia="zh-CN"/>
              </w:rPr>
              <w:t>（1）评标价低的优先；</w:t>
            </w:r>
          </w:p>
          <w:p w14:paraId="4104A0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line="240" w:lineRule="auto"/>
              <w:ind w:left="0" w:leftChars="0" w:right="151" w:rightChars="72" w:firstLine="0" w:firstLineChars="0"/>
              <w:jc w:val="both"/>
              <w:textAlignment w:val="auto"/>
              <w:rPr>
                <w:rStyle w:val="11"/>
                <w:rFonts w:hint="eastAsia" w:ascii="宋体" w:hAnsi="宋体" w:eastAsia="宋体" w:cs="宋体"/>
                <w:color w:val="auto"/>
                <w:sz w:val="21"/>
                <w:szCs w:val="21"/>
                <w:highlight w:val="none"/>
                <w:lang w:val="zh-CN" w:eastAsia="zh-CN"/>
              </w:rPr>
            </w:pPr>
            <w:r>
              <w:rPr>
                <w:rStyle w:val="11"/>
                <w:rFonts w:hint="eastAsia" w:ascii="宋体" w:hAnsi="宋体" w:eastAsia="宋体" w:cs="宋体"/>
                <w:color w:val="auto"/>
                <w:sz w:val="21"/>
                <w:szCs w:val="21"/>
                <w:highlight w:val="none"/>
                <w:lang w:val="zh-CN" w:eastAsia="zh-CN"/>
              </w:rPr>
              <w:t>（2）按招标文件规定被认定为最新年度广东省水运工程从业单位信用评价等级较高的投标人优先；【采用如下的优先顺序：承诺使用的AA级投标人、不承诺使用的AA级投标人、承诺使用的A级投标人、不承诺使用的A级投标人、B级投标人、未参评且被确定为B级投标人】</w:t>
            </w:r>
          </w:p>
          <w:p w14:paraId="61B335A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line="240" w:lineRule="auto"/>
              <w:ind w:left="0" w:leftChars="0" w:right="151" w:rightChars="72" w:firstLine="0" w:firstLineChars="0"/>
              <w:jc w:val="both"/>
              <w:textAlignment w:val="auto"/>
              <w:rPr>
                <w:rStyle w:val="11"/>
                <w:rFonts w:hint="eastAsia" w:ascii="宋体" w:hAnsi="宋体" w:eastAsia="宋体" w:cs="宋体"/>
                <w:color w:val="auto"/>
                <w:sz w:val="21"/>
                <w:szCs w:val="21"/>
                <w:highlight w:val="none"/>
                <w:lang w:val="zh-CN" w:eastAsia="zh-CN"/>
              </w:rPr>
            </w:pPr>
            <w:r>
              <w:rPr>
                <w:rStyle w:val="11"/>
                <w:rFonts w:hint="eastAsia" w:ascii="宋体" w:hAnsi="宋体" w:eastAsia="宋体" w:cs="宋体"/>
                <w:color w:val="auto"/>
                <w:sz w:val="21"/>
                <w:szCs w:val="21"/>
                <w:highlight w:val="none"/>
                <w:lang w:val="zh-CN" w:eastAsia="zh-CN"/>
              </w:rPr>
              <w:t>（3）以投标人企业最新年度净资产较高的优先；</w:t>
            </w:r>
          </w:p>
          <w:p w14:paraId="048C89E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line="240" w:lineRule="auto"/>
              <w:ind w:left="0" w:leftChars="0" w:right="151" w:rightChars="72" w:firstLine="0" w:firstLineChars="0"/>
              <w:jc w:val="both"/>
              <w:textAlignment w:val="auto"/>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eastAsia="zh-CN"/>
              </w:rPr>
              <w:t>（4）评标委员会视投标人情况综合比较，投票确定其名次。</w:t>
            </w:r>
          </w:p>
        </w:tc>
      </w:tr>
      <w:tr w14:paraId="0E65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8" w:hRule="atLeast"/>
        </w:trPr>
        <w:tc>
          <w:tcPr>
            <w:tcW w:w="675" w:type="dxa"/>
            <w:shd w:val="clear" w:color="auto" w:fill="FFFFFF"/>
            <w:noWrap w:val="0"/>
            <w:vAlign w:val="center"/>
          </w:tcPr>
          <w:p w14:paraId="7580EAF2">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23F7A6DF">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250" w:type="dxa"/>
            <w:shd w:val="clear" w:color="auto" w:fill="FFFFFF"/>
            <w:noWrap w:val="0"/>
            <w:vAlign w:val="center"/>
          </w:tcPr>
          <w:p w14:paraId="7D86EED9">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形式评审与响应性评审标准</w:t>
            </w:r>
          </w:p>
        </w:tc>
        <w:tc>
          <w:tcPr>
            <w:tcW w:w="7200" w:type="dxa"/>
            <w:shd w:val="clear" w:color="auto" w:fill="FFFFFF"/>
            <w:noWrap w:val="0"/>
            <w:vAlign w:val="top"/>
          </w:tcPr>
          <w:p w14:paraId="6F3F01B1">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b/>
                <w:bCs w:val="0"/>
                <w:color w:val="auto"/>
                <w:sz w:val="21"/>
                <w:szCs w:val="21"/>
                <w:highlight w:val="none"/>
                <w:lang w:val="en-US" w:eastAsia="zh-CN"/>
              </w:rPr>
            </w:pPr>
            <w:r>
              <w:rPr>
                <w:rStyle w:val="10"/>
                <w:rFonts w:hint="eastAsia" w:ascii="宋体" w:hAnsi="宋体" w:eastAsia="宋体"/>
                <w:b/>
                <w:bCs w:val="0"/>
                <w:color w:val="auto"/>
                <w:sz w:val="21"/>
                <w:szCs w:val="21"/>
                <w:highlight w:val="none"/>
                <w:lang w:val="zh-CN" w:eastAsia="zh-CN"/>
              </w:rPr>
              <w:t>第一个信封（商务及技术文件）评审标准：</w:t>
            </w:r>
          </w:p>
          <w:p w14:paraId="0EF0F8C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（1）投标文件按照招标文件规定的格式、内容填写，字迹清晰可辨：</w:t>
            </w:r>
          </w:p>
          <w:p w14:paraId="7816B3A9">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a.投标函按招标文件规定填报了项目名称、标段号、工期、工程质量要求及安全目标；</w:t>
            </w:r>
          </w:p>
          <w:p w14:paraId="2370FF7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b.投标函附录的所有数据均符合招标文件规定；</w:t>
            </w:r>
          </w:p>
          <w:p w14:paraId="0BA4333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c.投标文件组成齐全完整，内容均按规定填写。</w:t>
            </w:r>
          </w:p>
          <w:p w14:paraId="07842B3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（2）投标文件上法定代表人或其委托代理人的签字、投标人的单位章盖章齐全，符合招标文件规定。</w:t>
            </w:r>
          </w:p>
          <w:p w14:paraId="1117C19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（3）投标人按照招标文件的规定提供了投标保证金：</w:t>
            </w:r>
          </w:p>
          <w:p w14:paraId="168D5AE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a.投标保证金金额符合招标文件规定的金额，且投标保证金有效期不少于投标有效期；</w:t>
            </w:r>
          </w:p>
          <w:p w14:paraId="1FB0802B">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b.若投标保证金采用现金或支票形式提交，投标人应在投标人须知3.4.1款规定的时间，将投标保证金由投标人的基本账户转入招标人指定账户；</w:t>
            </w:r>
          </w:p>
          <w:p w14:paraId="6528838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c.若投标保证金采用银行保函形式提交，银行保函的格式、开具保函的银行均满足招标文件要求，银行保函原件在递交投标文件时单独密封递交，其复印件装订在投标文件中。</w:t>
            </w:r>
          </w:p>
          <w:p w14:paraId="0B6E38C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d.若投标保证金采用其他形式提交，应满足须知前附表3.4.1项的规定。</w:t>
            </w:r>
          </w:p>
          <w:p w14:paraId="25B6449B">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（4）投标人法定代表人授权委托代理人签署投标文件的，需提交授权委托书，且授权人和被授权人均在授权委托书上签名，未使用印章、签名章或其他电子制版签名代替。</w:t>
            </w:r>
          </w:p>
          <w:p w14:paraId="009E09F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（5）投标人法定代表人亲自签署投标文件的，提供了法定代表人身份证明，且法定代表人在法定代表人身份证明上签名，未使用印章、签名章或其他电子制版签名代替。</w:t>
            </w:r>
          </w:p>
          <w:p w14:paraId="66FF879B">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（6）投标人以联合体形式投标时，联合体满足招标文件的要求：投标人按照招标文件提供的格式签订了联合体协议书，明确各方承担连带责任，并明确了联合体牵头人；</w:t>
            </w:r>
          </w:p>
          <w:p w14:paraId="2E536E3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（7）如投标人不具备拟分包工程所需的某专项工程相应资质或投标人如有分包计划，符合招标文件第二章“投标人须知” 第1.11款规定，且按招标文件第八章“投标文件格式”的要求填写了“拟分包项目情况表”。</w:t>
            </w:r>
          </w:p>
          <w:p w14:paraId="0FF254D4">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（8）同一投标人未提交两个以上不同的投标文件，但招标文件要求提交备选投标的除外。</w:t>
            </w:r>
          </w:p>
          <w:p w14:paraId="1262BFA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（9）投标文件中未出现有关投标报价的内容。</w:t>
            </w:r>
          </w:p>
          <w:p w14:paraId="77CF20C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（10）投标文件载明的招标项目完成期限未超过招标文件规定的时限。</w:t>
            </w:r>
          </w:p>
          <w:p w14:paraId="3CC4E96B">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（11）投标文件对招标文件的实质性要求和条件作出响应。</w:t>
            </w:r>
          </w:p>
          <w:p w14:paraId="30144D8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（12）权利义务符合招标文件规定：</w:t>
            </w:r>
          </w:p>
          <w:p w14:paraId="7BD4878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a.投标人应接受招标文件规定的风险划分原则，未提出新的风险划分办法；</w:t>
            </w:r>
          </w:p>
          <w:p w14:paraId="5331A94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b.投标人未增加发包人的责任范围，或减少投标人义务；</w:t>
            </w:r>
          </w:p>
          <w:p w14:paraId="75523568">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c.投标人未提出不同的工程验收、计量、支付办法；</w:t>
            </w:r>
          </w:p>
          <w:p w14:paraId="7579A79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d.投标人对合同纠纷、事故处理办法未提出异议；</w:t>
            </w:r>
          </w:p>
          <w:p w14:paraId="4A0A424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e.投标人在投标活动中无欺诈行为；</w:t>
            </w:r>
          </w:p>
          <w:p w14:paraId="0EAF62D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f.投标人未对合同条款有重要保留。</w:t>
            </w:r>
          </w:p>
          <w:p w14:paraId="77A0F73B">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（13）投标文件正、副本份数符合招标文件第二章“投标人须知 第3.7.4项规定。</w:t>
            </w:r>
          </w:p>
          <w:p w14:paraId="596C499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（14）投标文件未附有招标人不能接受的条件</w:t>
            </w:r>
            <w:r>
              <w:rPr>
                <w:rFonts w:ascii="宋体" w:hAnsi="宋体" w:eastAsia="宋体"/>
                <w:color w:val="auto"/>
                <w:kern w:val="2"/>
                <w:sz w:val="21"/>
                <w:szCs w:val="21"/>
                <w:highlight w:val="none"/>
                <w:lang w:val="en-US" w:eastAsia="zh-CN"/>
              </w:rPr>
              <w:t>。</w:t>
            </w:r>
          </w:p>
          <w:p w14:paraId="2C633A8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u w:val="single"/>
                <w:lang w:val="en-US" w:eastAsia="zh-CN"/>
              </w:rPr>
              <w:t>（15）投标人法定代表人授权委托代理人签署投标文件的，不存在不同投标人委托同一个人或同一单位的不同个人作为委托代理人的情况。</w:t>
            </w:r>
          </w:p>
        </w:tc>
      </w:tr>
      <w:tr w14:paraId="1568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25" w:type="dxa"/>
            <w:gridSpan w:val="2"/>
            <w:shd w:val="clear" w:color="auto" w:fill="FFFFFF"/>
            <w:noWrap w:val="0"/>
            <w:vAlign w:val="center"/>
          </w:tcPr>
          <w:p w14:paraId="7470B539">
            <w:pPr>
              <w:pStyle w:val="9"/>
              <w:shd w:val="clear" w:color="auto" w:fill="auto"/>
              <w:adjustRightInd w:val="0"/>
              <w:snapToGrid w:val="0"/>
              <w:spacing w:before="0" w:line="240" w:lineRule="auto"/>
              <w:jc w:val="center"/>
              <w:rPr>
                <w:rStyle w:val="11"/>
                <w:rFonts w:hint="eastAsia" w:ascii="宋体" w:hAnsi="宋体" w:eastAsia="宋体" w:cs="宋体"/>
                <w:b/>
                <w:color w:val="auto"/>
                <w:sz w:val="21"/>
                <w:szCs w:val="21"/>
                <w:highlight w:val="none"/>
                <w:lang w:val="zh-CN"/>
              </w:rPr>
            </w:pPr>
            <w:r>
              <w:rPr>
                <w:rStyle w:val="10"/>
                <w:rFonts w:hint="eastAsia" w:ascii="宋体" w:hAnsi="宋体" w:eastAsia="宋体" w:cs="宋体"/>
                <w:b/>
                <w:bCs w:val="0"/>
                <w:color w:val="auto"/>
                <w:sz w:val="21"/>
                <w:szCs w:val="21"/>
                <w:highlight w:val="none"/>
                <w:lang w:val="zh-CN"/>
              </w:rPr>
              <w:t>条款号</w:t>
            </w:r>
          </w:p>
        </w:tc>
        <w:tc>
          <w:tcPr>
            <w:tcW w:w="7200" w:type="dxa"/>
            <w:shd w:val="clear" w:color="auto" w:fill="FFFFFF"/>
            <w:noWrap w:val="0"/>
            <w:vAlign w:val="center"/>
          </w:tcPr>
          <w:p w14:paraId="03AAA5F0">
            <w:pPr>
              <w:pStyle w:val="9"/>
              <w:shd w:val="clear" w:color="auto" w:fill="auto"/>
              <w:adjustRightInd w:val="0"/>
              <w:snapToGrid w:val="0"/>
              <w:spacing w:before="0" w:line="240" w:lineRule="auto"/>
              <w:jc w:val="center"/>
              <w:rPr>
                <w:rStyle w:val="11"/>
                <w:rFonts w:hint="eastAsia" w:ascii="宋体" w:hAnsi="宋体" w:eastAsia="宋体" w:cs="宋体"/>
                <w:b/>
                <w:color w:val="auto"/>
                <w:sz w:val="21"/>
                <w:szCs w:val="21"/>
                <w:highlight w:val="none"/>
                <w:lang w:val="zh-CN"/>
              </w:rPr>
            </w:pPr>
            <w:r>
              <w:rPr>
                <w:rStyle w:val="10"/>
                <w:rFonts w:hint="eastAsia" w:ascii="宋体" w:hAnsi="宋体" w:eastAsia="宋体" w:cs="宋体"/>
                <w:b/>
                <w:bCs w:val="0"/>
                <w:color w:val="auto"/>
                <w:sz w:val="21"/>
                <w:szCs w:val="21"/>
                <w:highlight w:val="none"/>
                <w:lang w:val="zh-CN"/>
              </w:rPr>
              <w:t>评审因素与评审标准</w:t>
            </w:r>
          </w:p>
        </w:tc>
      </w:tr>
      <w:tr w14:paraId="0911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1" w:hRule="atLeast"/>
        </w:trPr>
        <w:tc>
          <w:tcPr>
            <w:tcW w:w="675" w:type="dxa"/>
            <w:shd w:val="clear" w:color="auto" w:fill="FFFFFF"/>
            <w:noWrap w:val="0"/>
            <w:vAlign w:val="center"/>
          </w:tcPr>
          <w:p w14:paraId="15BBA076">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w:t>
            </w:r>
          </w:p>
          <w:p w14:paraId="01794316">
            <w:pPr>
              <w:pStyle w:val="9"/>
              <w:shd w:val="clear" w:color="auto" w:fill="auto"/>
              <w:adjustRightInd w:val="0"/>
              <w:snapToGrid w:val="0"/>
              <w:spacing w:before="0" w:line="240" w:lineRule="auto"/>
              <w:jc w:val="center"/>
              <w:rPr>
                <w:rStyle w:val="1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2.1.3</w:t>
            </w:r>
          </w:p>
        </w:tc>
        <w:tc>
          <w:tcPr>
            <w:tcW w:w="1250" w:type="dxa"/>
            <w:shd w:val="clear" w:color="auto" w:fill="FFFFFF"/>
            <w:noWrap w:val="0"/>
            <w:vAlign w:val="center"/>
          </w:tcPr>
          <w:p w14:paraId="38C7527D">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形式评审与响应性评审标准</w:t>
            </w:r>
          </w:p>
        </w:tc>
        <w:tc>
          <w:tcPr>
            <w:tcW w:w="7200" w:type="dxa"/>
            <w:shd w:val="clear" w:color="auto" w:fill="FFFFFF"/>
            <w:noWrap w:val="0"/>
            <w:vAlign w:val="top"/>
          </w:tcPr>
          <w:p w14:paraId="1F6E5306">
            <w:pPr>
              <w:pStyle w:val="14"/>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42" w:leftChars="20" w:right="42" w:rightChars="20"/>
              <w:jc w:val="both"/>
              <w:textAlignment w:val="auto"/>
              <w:rPr>
                <w:rStyle w:val="10"/>
                <w:rFonts w:hint="eastAsia" w:ascii="宋体" w:hAnsi="宋体" w:eastAsia="宋体"/>
                <w:color w:val="auto"/>
                <w:sz w:val="21"/>
                <w:szCs w:val="21"/>
                <w:highlight w:val="none"/>
                <w:lang w:val="en-US" w:eastAsia="zh-CN" w:bidi="ar-SA"/>
              </w:rPr>
            </w:pPr>
            <w:r>
              <w:rPr>
                <w:rStyle w:val="10"/>
                <w:rFonts w:hint="eastAsia" w:ascii="宋体" w:hAnsi="宋体" w:eastAsia="宋体"/>
                <w:color w:val="auto"/>
                <w:sz w:val="21"/>
                <w:szCs w:val="21"/>
                <w:highlight w:val="none"/>
                <w:lang w:val="zh-CN" w:eastAsia="zh-CN" w:bidi="ar-SA"/>
              </w:rPr>
              <w:t>第二个信封（报价文件）评审标准：</w:t>
            </w:r>
          </w:p>
          <w:p w14:paraId="154D2E0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w:t>
            </w:r>
            <w:r>
              <w:rPr>
                <w:rFonts w:hint="eastAsia" w:ascii="宋体" w:hAnsi="宋体" w:eastAsia="宋体" w:cs="Times New Roman"/>
                <w:color w:val="auto"/>
                <w:kern w:val="2"/>
                <w:sz w:val="21"/>
                <w:szCs w:val="21"/>
                <w:highlight w:val="none"/>
                <w:lang w:val="zh-CN" w:eastAsia="zh-CN"/>
              </w:rPr>
              <w:t>投标文件按照招标文件规定的格式、内容填写，字迹清晰可辨：</w:t>
            </w:r>
          </w:p>
          <w:p w14:paraId="097C36C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zh-CN" w:eastAsia="zh-CN"/>
              </w:rPr>
              <w:t>a.投标函按招标文件规定填报了项目名称、标段号、投标总报价（包括大写金额和小写金额</w:t>
            </w:r>
            <w:r>
              <w:rPr>
                <w:rFonts w:hint="eastAsia" w:ascii="宋体" w:hAnsi="宋体" w:eastAsia="宋体" w:cs="Times New Roman"/>
                <w:color w:val="auto"/>
                <w:kern w:val="2"/>
                <w:sz w:val="21"/>
                <w:szCs w:val="21"/>
                <w:highlight w:val="none"/>
                <w:lang w:val="en-US" w:eastAsia="zh-CN"/>
              </w:rPr>
              <w:t>)；</w:t>
            </w:r>
          </w:p>
          <w:p w14:paraId="4701BC2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zh-CN" w:eastAsia="zh-CN"/>
              </w:rPr>
              <w:t>b.已标价工程量清单说明文字与招标文件规定一致，未进行实质性修改和删减；</w:t>
            </w:r>
          </w:p>
          <w:p w14:paraId="4C305268">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zh-CN" w:eastAsia="zh-CN"/>
              </w:rPr>
              <w:t>c.投标文件组成齐全完整，内容均按规定填写。</w:t>
            </w:r>
          </w:p>
          <w:p w14:paraId="388086D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zh-CN" w:eastAsia="zh-CN"/>
              </w:rPr>
              <w:t>（2）投标文件上法定代表人或其委托代理人的签字、投标人的单位章盖章齐全，符合招标文件规定。</w:t>
            </w:r>
          </w:p>
          <w:p w14:paraId="336C4D1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zh-CN" w:eastAsia="zh-CN"/>
              </w:rPr>
              <w:t>投标报价或调价函中的报价未超过招标文件设定的最高投标限价（如有)。</w:t>
            </w:r>
          </w:p>
          <w:p w14:paraId="5432C2A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zh-CN" w:eastAsia="zh-CN"/>
              </w:rPr>
              <w:t>投标报价或调价函中报价的大写金额能够确定具体数值。</w:t>
            </w:r>
          </w:p>
          <w:p w14:paraId="4BC8F51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（5）</w:t>
            </w:r>
            <w:r>
              <w:rPr>
                <w:rFonts w:hint="eastAsia" w:ascii="宋体" w:hAnsi="宋体" w:eastAsia="宋体" w:cs="Times New Roman"/>
                <w:color w:val="auto"/>
                <w:kern w:val="2"/>
                <w:sz w:val="21"/>
                <w:szCs w:val="21"/>
                <w:highlight w:val="none"/>
                <w:lang w:val="zh-CN" w:eastAsia="zh-CN"/>
              </w:rPr>
              <w:t>同一投标人未提交两个以上不同的投标</w:t>
            </w:r>
            <w:r>
              <w:rPr>
                <w:rFonts w:hint="eastAsia" w:ascii="宋体" w:hAnsi="宋体" w:eastAsia="宋体" w:cs="Times New Roman"/>
                <w:color w:val="auto"/>
                <w:kern w:val="2"/>
                <w:sz w:val="21"/>
                <w:szCs w:val="21"/>
                <w:highlight w:val="none"/>
                <w:lang w:val="en-US" w:eastAsia="zh-CN"/>
              </w:rPr>
              <w:t>总</w:t>
            </w:r>
            <w:r>
              <w:rPr>
                <w:rFonts w:hint="eastAsia" w:ascii="宋体" w:hAnsi="宋体" w:eastAsia="宋体" w:cs="Times New Roman"/>
                <w:color w:val="auto"/>
                <w:kern w:val="2"/>
                <w:sz w:val="21"/>
                <w:szCs w:val="21"/>
                <w:highlight w:val="none"/>
                <w:lang w:val="zh-CN" w:eastAsia="zh-CN"/>
              </w:rPr>
              <w:t>报价，但招标文件要求提交备选投标的除外。</w:t>
            </w:r>
          </w:p>
          <w:p w14:paraId="2895613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（6）</w:t>
            </w:r>
            <w:r>
              <w:rPr>
                <w:rFonts w:hint="eastAsia" w:ascii="宋体" w:hAnsi="宋体" w:eastAsia="宋体" w:cs="Times New Roman"/>
                <w:color w:val="auto"/>
                <w:kern w:val="2"/>
                <w:sz w:val="21"/>
                <w:szCs w:val="21"/>
                <w:highlight w:val="none"/>
                <w:lang w:val="zh-CN" w:eastAsia="zh-CN"/>
              </w:rPr>
              <w:t>投标人若提交调价函，调价函符合招标文件第二章“投标人须知”第</w:t>
            </w:r>
            <w:r>
              <w:rPr>
                <w:rFonts w:hint="eastAsia" w:ascii="宋体" w:hAnsi="宋体" w:eastAsia="宋体" w:cs="Times New Roman"/>
                <w:color w:val="auto"/>
                <w:kern w:val="2"/>
                <w:sz w:val="21"/>
                <w:szCs w:val="21"/>
                <w:highlight w:val="none"/>
                <w:lang w:val="en-US" w:eastAsia="zh-CN"/>
              </w:rPr>
              <w:t>3.2.6</w:t>
            </w:r>
            <w:r>
              <w:rPr>
                <w:rFonts w:hint="eastAsia" w:ascii="宋体" w:hAnsi="宋体" w:eastAsia="宋体" w:cs="Times New Roman"/>
                <w:color w:val="auto"/>
                <w:kern w:val="2"/>
                <w:sz w:val="21"/>
                <w:szCs w:val="21"/>
                <w:highlight w:val="none"/>
                <w:lang w:val="zh-CN" w:eastAsia="zh-CN"/>
              </w:rPr>
              <w:t>项要求。</w:t>
            </w:r>
          </w:p>
          <w:p w14:paraId="5F2FE0E8">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（7）</w:t>
            </w:r>
            <w:r>
              <w:rPr>
                <w:rFonts w:hint="eastAsia" w:ascii="宋体" w:hAnsi="宋体" w:eastAsia="宋体" w:cs="Times New Roman"/>
                <w:color w:val="auto"/>
                <w:kern w:val="2"/>
                <w:sz w:val="21"/>
                <w:szCs w:val="21"/>
                <w:highlight w:val="none"/>
                <w:lang w:val="zh-CN" w:eastAsia="zh-CN"/>
              </w:rPr>
              <w:t>投标人若填写工程量固化清单，填写完毕的工程量固化清单未对工程量固化清单电子文件中的数据、格式和运算定义进行修改；工程量固化清单中的投标</w:t>
            </w:r>
            <w:r>
              <w:rPr>
                <w:rFonts w:hint="eastAsia" w:ascii="宋体" w:hAnsi="宋体" w:eastAsia="宋体" w:cs="Times New Roman"/>
                <w:color w:val="auto"/>
                <w:kern w:val="2"/>
                <w:sz w:val="21"/>
                <w:szCs w:val="21"/>
                <w:highlight w:val="none"/>
                <w:lang w:val="en-US" w:eastAsia="zh-CN"/>
              </w:rPr>
              <w:t>总</w:t>
            </w:r>
            <w:r>
              <w:rPr>
                <w:rFonts w:hint="eastAsia" w:ascii="宋体" w:hAnsi="宋体" w:eastAsia="宋体" w:cs="Times New Roman"/>
                <w:color w:val="auto"/>
                <w:kern w:val="2"/>
                <w:sz w:val="21"/>
                <w:szCs w:val="21"/>
                <w:highlight w:val="none"/>
                <w:lang w:val="zh-CN" w:eastAsia="zh-CN"/>
              </w:rPr>
              <w:t>报价和投标函大写金额报价一致。</w:t>
            </w:r>
          </w:p>
          <w:p w14:paraId="1E5E66D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Style w:val="11"/>
                <w:rFonts w:hint="eastAsia" w:ascii="宋体" w:hAnsi="宋体" w:eastAsia="宋体" w:cs="宋体"/>
                <w:color w:val="auto"/>
                <w:sz w:val="21"/>
                <w:szCs w:val="21"/>
                <w:highlight w:val="none"/>
                <w:lang w:val="zh-CN"/>
              </w:rPr>
            </w:pPr>
            <w:r>
              <w:rPr>
                <w:rFonts w:hint="eastAsia" w:ascii="宋体" w:hAnsi="宋体" w:eastAsia="宋体" w:cs="Times New Roman"/>
                <w:color w:val="auto"/>
                <w:kern w:val="2"/>
                <w:sz w:val="21"/>
                <w:szCs w:val="21"/>
                <w:highlight w:val="none"/>
                <w:lang w:val="en-US" w:eastAsia="zh-CN"/>
              </w:rPr>
              <w:t>（8）</w:t>
            </w:r>
            <w:r>
              <w:rPr>
                <w:rFonts w:hint="eastAsia" w:ascii="宋体" w:hAnsi="宋体" w:eastAsia="宋体" w:cs="Times New Roman"/>
                <w:color w:val="auto"/>
                <w:kern w:val="2"/>
                <w:sz w:val="21"/>
                <w:szCs w:val="21"/>
                <w:highlight w:val="none"/>
                <w:lang w:val="zh-CN" w:eastAsia="zh-CN"/>
              </w:rPr>
              <w:t>投标文件正、副本份数符合招标文件第二章“投标人须知”第</w:t>
            </w:r>
            <w:r>
              <w:rPr>
                <w:rFonts w:hint="eastAsia" w:ascii="宋体" w:hAnsi="宋体" w:eastAsia="宋体" w:cs="Times New Roman"/>
                <w:color w:val="auto"/>
                <w:kern w:val="2"/>
                <w:sz w:val="21"/>
                <w:szCs w:val="21"/>
                <w:highlight w:val="none"/>
                <w:lang w:val="en-US" w:eastAsia="zh-CN"/>
              </w:rPr>
              <w:t>3.7.4项规定</w:t>
            </w:r>
            <w:r>
              <w:rPr>
                <w:rStyle w:val="15"/>
                <w:rFonts w:hint="eastAsia" w:ascii="宋体" w:hAnsi="宋体" w:eastAsia="宋体"/>
                <w:color w:val="auto"/>
                <w:sz w:val="21"/>
                <w:szCs w:val="21"/>
                <w:highlight w:val="none"/>
                <w:lang w:eastAsia="zh-CN"/>
              </w:rPr>
              <w:t>。</w:t>
            </w:r>
          </w:p>
        </w:tc>
      </w:tr>
      <w:tr w14:paraId="6B4B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3" w:hRule="atLeast"/>
        </w:trPr>
        <w:tc>
          <w:tcPr>
            <w:tcW w:w="675" w:type="dxa"/>
            <w:shd w:val="clear" w:color="auto" w:fill="FFFFFF"/>
            <w:noWrap w:val="0"/>
            <w:vAlign w:val="center"/>
          </w:tcPr>
          <w:p w14:paraId="4AC05EE9">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p>
        </w:tc>
        <w:tc>
          <w:tcPr>
            <w:tcW w:w="1250" w:type="dxa"/>
            <w:shd w:val="clear" w:color="auto" w:fill="FFFFFF"/>
            <w:noWrap w:val="0"/>
            <w:vAlign w:val="center"/>
          </w:tcPr>
          <w:p w14:paraId="4CBF39B2">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资格评审</w:t>
            </w:r>
          </w:p>
          <w:p w14:paraId="1B6D1575">
            <w:pPr>
              <w:pStyle w:val="9"/>
              <w:shd w:val="clear" w:color="auto" w:fill="auto"/>
              <w:adjustRightInd w:val="0"/>
              <w:snapToGrid w:val="0"/>
              <w:spacing w:before="0" w:line="240" w:lineRule="auto"/>
              <w:jc w:val="center"/>
              <w:rPr>
                <w:rStyle w:val="11"/>
                <w:rFonts w:hint="eastAsia" w:ascii="宋体" w:hAnsi="宋体" w:eastAsia="宋体" w:cs="宋体"/>
                <w:color w:val="auto"/>
                <w:sz w:val="21"/>
                <w:szCs w:val="21"/>
                <w:highlight w:val="none"/>
                <w:lang w:val="zh-CN"/>
              </w:rPr>
            </w:pPr>
            <w:r>
              <w:rPr>
                <w:rStyle w:val="11"/>
                <w:rFonts w:hint="eastAsia" w:ascii="宋体" w:hAnsi="宋体" w:eastAsia="宋体" w:cs="宋体"/>
                <w:color w:val="auto"/>
                <w:sz w:val="21"/>
                <w:szCs w:val="21"/>
                <w:highlight w:val="none"/>
                <w:lang w:val="zh-CN"/>
              </w:rPr>
              <w:t>标准</w:t>
            </w:r>
          </w:p>
        </w:tc>
        <w:tc>
          <w:tcPr>
            <w:tcW w:w="7200" w:type="dxa"/>
            <w:shd w:val="clear" w:color="auto" w:fill="FFFFFF"/>
            <w:noWrap w:val="0"/>
            <w:vAlign w:val="top"/>
          </w:tcPr>
          <w:p w14:paraId="2774433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27E95F8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（2）投标人的资质等级符合招标文件规定；</w:t>
            </w:r>
          </w:p>
          <w:p w14:paraId="3DE6400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（3）投标人的财务状况符合招标文件规定；</w:t>
            </w:r>
          </w:p>
          <w:p w14:paraId="39AF30C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（4）投标人的类似项目业绩符合招标文件规定；</w:t>
            </w:r>
          </w:p>
          <w:p w14:paraId="545F799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（5）投标人的信誉符合招标文件规定；</w:t>
            </w:r>
          </w:p>
          <w:p w14:paraId="0772300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（6）投标人的项目负责人和项目技术负责人资格、在岗情况符合招标文件规定，并按规定在投标文件中签字确认；</w:t>
            </w:r>
          </w:p>
          <w:p w14:paraId="4F93333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（7）投标人的其他要求符合招标文件规定；</w:t>
            </w:r>
          </w:p>
          <w:p w14:paraId="6A814E8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Times New Roman"/>
                <w:color w:val="auto"/>
                <w:kern w:val="2"/>
                <w:sz w:val="21"/>
                <w:szCs w:val="21"/>
                <w:highlight w:val="none"/>
                <w:lang w:val="zh-CN" w:eastAsia="zh-CN"/>
              </w:rPr>
            </w:pPr>
            <w:r>
              <w:rPr>
                <w:rFonts w:hint="eastAsia" w:ascii="宋体" w:hAnsi="宋体" w:eastAsia="宋体" w:cs="Times New Roman"/>
                <w:color w:val="auto"/>
                <w:kern w:val="2"/>
                <w:sz w:val="21"/>
                <w:szCs w:val="21"/>
                <w:highlight w:val="none"/>
                <w:lang w:val="zh-CN" w:eastAsia="zh-CN"/>
              </w:rPr>
              <w:t>（8）投标人不存在第二章“投标人须知”第1.4.3项或第1.4.4项规定的任何一种情形；</w:t>
            </w:r>
          </w:p>
          <w:p w14:paraId="09CC990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Style w:val="11"/>
                <w:rFonts w:hint="eastAsia" w:ascii="宋体" w:hAnsi="宋体" w:eastAsia="宋体" w:cs="宋体"/>
                <w:color w:val="auto"/>
                <w:sz w:val="21"/>
                <w:szCs w:val="21"/>
                <w:highlight w:val="none"/>
                <w:lang w:val="zh-CN"/>
              </w:rPr>
            </w:pPr>
            <w:r>
              <w:rPr>
                <w:rFonts w:hint="eastAsia" w:ascii="宋体" w:hAnsi="宋体" w:eastAsia="宋体" w:cs="Times New Roman"/>
                <w:color w:val="auto"/>
                <w:kern w:val="2"/>
                <w:sz w:val="21"/>
                <w:szCs w:val="21"/>
                <w:highlight w:val="none"/>
                <w:lang w:val="zh-CN" w:eastAsia="zh-CN"/>
              </w:rPr>
              <w:t>（9）以联合体形式参与投标的，联合体各方均未再以自己名义单独或参加其他联合体在同一标段中投标；独立参与投标的，投标人未同时参加联合体在同一标段中投标</w:t>
            </w:r>
            <w:r>
              <w:rPr>
                <w:rStyle w:val="16"/>
                <w:rFonts w:hint="eastAsia" w:ascii="宋体" w:hAnsi="宋体" w:eastAsia="宋体"/>
                <w:color w:val="auto"/>
                <w:sz w:val="21"/>
                <w:szCs w:val="21"/>
                <w:highlight w:val="none"/>
                <w:lang w:val="zh-CN" w:eastAsia="zh-CN"/>
              </w:rPr>
              <w:t>。</w:t>
            </w:r>
          </w:p>
        </w:tc>
      </w:tr>
      <w:tr w14:paraId="47FF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bottom"/>
          </w:tcPr>
          <w:p w14:paraId="0F0D4C85">
            <w:pPr>
              <w:pStyle w:val="9"/>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17"/>
                <w:rFonts w:hint="eastAsia" w:ascii="宋体" w:hAnsi="宋体" w:eastAsia="宋体" w:cs="宋体"/>
                <w:b/>
                <w:bCs/>
                <w:color w:val="auto"/>
                <w:sz w:val="21"/>
                <w:szCs w:val="21"/>
                <w:highlight w:val="none"/>
                <w:lang w:val="zh-CN"/>
              </w:rPr>
              <w:t>条款号</w:t>
            </w:r>
          </w:p>
        </w:tc>
        <w:tc>
          <w:tcPr>
            <w:tcW w:w="1250" w:type="dxa"/>
            <w:shd w:val="clear" w:color="auto" w:fill="FFFFFF"/>
            <w:noWrap w:val="0"/>
            <w:vAlign w:val="bottom"/>
          </w:tcPr>
          <w:p w14:paraId="099CFF16">
            <w:pPr>
              <w:pStyle w:val="9"/>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17"/>
                <w:rFonts w:hint="eastAsia" w:ascii="宋体" w:hAnsi="宋体" w:eastAsia="宋体" w:cs="宋体"/>
                <w:b/>
                <w:bCs/>
                <w:color w:val="auto"/>
                <w:sz w:val="21"/>
                <w:szCs w:val="21"/>
                <w:highlight w:val="none"/>
                <w:lang w:val="zh-CN"/>
              </w:rPr>
              <w:t>条款内容</w:t>
            </w:r>
          </w:p>
        </w:tc>
        <w:tc>
          <w:tcPr>
            <w:tcW w:w="7200" w:type="dxa"/>
            <w:shd w:val="clear" w:color="auto" w:fill="FFFFFF"/>
            <w:noWrap w:val="0"/>
            <w:vAlign w:val="bottom"/>
          </w:tcPr>
          <w:p w14:paraId="5F27522E">
            <w:pPr>
              <w:pStyle w:val="9"/>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17"/>
                <w:rFonts w:hint="eastAsia" w:ascii="宋体" w:hAnsi="宋体" w:eastAsia="宋体" w:cs="宋体"/>
                <w:b/>
                <w:bCs/>
                <w:color w:val="auto"/>
                <w:sz w:val="21"/>
                <w:szCs w:val="21"/>
                <w:highlight w:val="none"/>
                <w:lang w:val="zh-CN"/>
              </w:rPr>
              <w:t>编列内容</w:t>
            </w:r>
          </w:p>
        </w:tc>
      </w:tr>
      <w:tr w14:paraId="4046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trPr>
        <w:tc>
          <w:tcPr>
            <w:tcW w:w="675" w:type="dxa"/>
            <w:shd w:val="clear" w:color="auto" w:fill="FFFFFF"/>
            <w:noWrap w:val="0"/>
            <w:vAlign w:val="center"/>
          </w:tcPr>
          <w:p w14:paraId="2E3B4613">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2.2.1</w:t>
            </w:r>
          </w:p>
        </w:tc>
        <w:tc>
          <w:tcPr>
            <w:tcW w:w="1250" w:type="dxa"/>
            <w:shd w:val="clear" w:color="auto" w:fill="FFFFFF"/>
            <w:noWrap w:val="0"/>
            <w:vAlign w:val="center"/>
          </w:tcPr>
          <w:p w14:paraId="69D7DB41">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分值构成</w:t>
            </w:r>
          </w:p>
          <w:p w14:paraId="1A67F5F4">
            <w:pPr>
              <w:pStyle w:val="9"/>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(总分100分）</w:t>
            </w:r>
          </w:p>
        </w:tc>
        <w:tc>
          <w:tcPr>
            <w:tcW w:w="7200" w:type="dxa"/>
            <w:shd w:val="clear" w:color="auto" w:fill="FFFFFF"/>
            <w:noWrap w:val="0"/>
            <w:vAlign w:val="center"/>
          </w:tcPr>
          <w:p w14:paraId="2EFDD6E0">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jc w:val="both"/>
              <w:textAlignment w:val="auto"/>
              <w:rPr>
                <w:rStyle w:val="18"/>
                <w:rFonts w:hint="eastAsia" w:ascii="宋体" w:hAnsi="宋体" w:eastAsia="宋体" w:cs="宋体"/>
                <w:b w:val="0"/>
                <w:color w:val="auto"/>
                <w:sz w:val="21"/>
                <w:szCs w:val="21"/>
                <w:highlight w:val="none"/>
                <w:lang w:val="zh-CN" w:eastAsia="zh-CN"/>
              </w:rPr>
            </w:pPr>
            <w:r>
              <w:rPr>
                <w:rStyle w:val="18"/>
                <w:rFonts w:hint="eastAsia" w:ascii="宋体" w:hAnsi="宋体" w:eastAsia="宋体" w:cs="宋体"/>
                <w:b/>
                <w:bCs w:val="0"/>
                <w:color w:val="auto"/>
                <w:kern w:val="2"/>
                <w:sz w:val="21"/>
                <w:szCs w:val="21"/>
                <w:highlight w:val="none"/>
                <w:lang w:val="en-US" w:eastAsia="zh-CN"/>
              </w:rPr>
              <w:t xml:space="preserve">第一个信封（商务及技术文件）评分分值构成： </w:t>
            </w:r>
            <w:r>
              <w:rPr>
                <w:rStyle w:val="18"/>
                <w:rFonts w:hint="eastAsia" w:ascii="宋体" w:hAnsi="宋体" w:eastAsia="宋体" w:cs="宋体"/>
                <w:color w:val="auto"/>
                <w:sz w:val="21"/>
                <w:szCs w:val="21"/>
                <w:highlight w:val="none"/>
                <w:lang w:val="zh-CN" w:eastAsia="zh-CN"/>
              </w:rPr>
              <w:t xml:space="preserve">                 </w:t>
            </w:r>
          </w:p>
          <w:p w14:paraId="48D4BC21">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施工组织设计</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pacing w:val="0"/>
                <w:kern w:val="2"/>
                <w:sz w:val="21"/>
                <w:szCs w:val="21"/>
                <w:highlight w:val="none"/>
                <w:u w:val="single"/>
                <w:lang w:val="en-US" w:eastAsia="zh-CN"/>
              </w:rPr>
              <w:t>（6）</w:t>
            </w:r>
            <w:r>
              <w:rPr>
                <w:rFonts w:hint="eastAsia" w:ascii="宋体" w:hAnsi="宋体" w:eastAsia="宋体" w:cs="宋体"/>
                <w:color w:val="auto"/>
                <w:spacing w:val="0"/>
                <w:kern w:val="2"/>
                <w:sz w:val="21"/>
                <w:szCs w:val="21"/>
                <w:highlight w:val="none"/>
                <w:lang w:val="en-US" w:eastAsia="zh-CN"/>
              </w:rPr>
              <w:t xml:space="preserve">分        </w:t>
            </w:r>
          </w:p>
          <w:p w14:paraId="639AA8D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项目管理机构：</w:t>
            </w:r>
            <w:r>
              <w:rPr>
                <w:rFonts w:hint="eastAsia" w:ascii="宋体" w:hAnsi="宋体" w:eastAsia="宋体" w:cs="宋体"/>
                <w:color w:val="auto"/>
                <w:spacing w:val="0"/>
                <w:kern w:val="2"/>
                <w:sz w:val="21"/>
                <w:szCs w:val="21"/>
                <w:highlight w:val="none"/>
                <w:u w:val="single"/>
                <w:lang w:val="en-US" w:eastAsia="zh-CN"/>
              </w:rPr>
              <w:t>（1）</w:t>
            </w:r>
            <w:r>
              <w:rPr>
                <w:rFonts w:hint="eastAsia" w:ascii="宋体" w:hAnsi="宋体" w:eastAsia="宋体" w:cs="宋体"/>
                <w:color w:val="auto"/>
                <w:kern w:val="2"/>
                <w:sz w:val="21"/>
                <w:szCs w:val="21"/>
                <w:highlight w:val="none"/>
                <w:lang w:val="en-US"/>
              </w:rPr>
              <w:t>分</w:t>
            </w:r>
            <w:r>
              <w:rPr>
                <w:rFonts w:hint="eastAsia" w:ascii="宋体" w:hAnsi="宋体" w:eastAsia="宋体" w:cs="宋体"/>
                <w:color w:val="auto"/>
                <w:kern w:val="2"/>
                <w:sz w:val="21"/>
                <w:szCs w:val="21"/>
                <w:highlight w:val="none"/>
                <w:lang w:val="en-US" w:eastAsia="zh-CN"/>
              </w:rPr>
              <w:t xml:space="preserve">        </w:t>
            </w:r>
          </w:p>
          <w:p w14:paraId="51D9375A">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jc w:val="both"/>
              <w:textAlignment w:val="auto"/>
              <w:rPr>
                <w:rFonts w:hint="default"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其他因素：</w:t>
            </w:r>
            <w:r>
              <w:rPr>
                <w:rFonts w:hint="eastAsia" w:ascii="宋体" w:hAnsi="宋体" w:eastAsia="宋体" w:cs="宋体"/>
                <w:color w:val="auto"/>
                <w:spacing w:val="0"/>
                <w:kern w:val="2"/>
                <w:sz w:val="21"/>
                <w:szCs w:val="21"/>
                <w:highlight w:val="none"/>
                <w:u w:val="single"/>
                <w:lang w:val="en-US" w:eastAsia="zh-CN"/>
              </w:rPr>
              <w:t>（13）</w:t>
            </w:r>
            <w:r>
              <w:rPr>
                <w:rFonts w:hint="eastAsia" w:ascii="宋体" w:hAnsi="宋体" w:eastAsia="宋体" w:cs="宋体"/>
                <w:color w:val="auto"/>
                <w:spacing w:val="0"/>
                <w:kern w:val="2"/>
                <w:sz w:val="21"/>
                <w:szCs w:val="21"/>
                <w:highlight w:val="none"/>
                <w:lang w:val="en-US" w:eastAsia="zh-CN"/>
              </w:rPr>
              <w:t xml:space="preserve">分，其中：    </w:t>
            </w:r>
          </w:p>
          <w:p w14:paraId="4F3D3467">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both"/>
              <w:textAlignment w:val="auto"/>
              <w:rPr>
                <w:rFonts w:hint="default"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工程业绩</w:t>
            </w:r>
            <w:r>
              <w:rPr>
                <w:rFonts w:hint="eastAsia" w:ascii="宋体" w:hAnsi="宋体" w:eastAsia="宋体" w:cs="宋体"/>
                <w:color w:val="auto"/>
                <w:spacing w:val="0"/>
                <w:kern w:val="2"/>
                <w:sz w:val="21"/>
                <w:szCs w:val="21"/>
                <w:highlight w:val="none"/>
                <w:u w:val="none"/>
                <w:lang w:val="en-US" w:eastAsia="zh-CN"/>
              </w:rPr>
              <w:t>：</w:t>
            </w:r>
            <w:r>
              <w:rPr>
                <w:rFonts w:hint="eastAsia" w:ascii="宋体" w:hAnsi="宋体" w:eastAsia="宋体" w:cs="宋体"/>
                <w:color w:val="auto"/>
                <w:spacing w:val="0"/>
                <w:kern w:val="2"/>
                <w:sz w:val="21"/>
                <w:szCs w:val="21"/>
                <w:highlight w:val="none"/>
                <w:u w:val="single"/>
                <w:lang w:val="en-US" w:eastAsia="zh-CN"/>
              </w:rPr>
              <w:t>（3）</w:t>
            </w:r>
            <w:r>
              <w:rPr>
                <w:rFonts w:hint="eastAsia" w:ascii="宋体" w:hAnsi="宋体" w:eastAsia="宋体" w:cs="宋体"/>
                <w:color w:val="auto"/>
                <w:kern w:val="2"/>
                <w:sz w:val="21"/>
                <w:szCs w:val="21"/>
                <w:highlight w:val="none"/>
                <w:lang w:val="en-US" w:eastAsia="zh-CN"/>
              </w:rPr>
              <w:t xml:space="preserve">分     </w:t>
            </w:r>
          </w:p>
          <w:p w14:paraId="266F7E21">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both"/>
              <w:textAlignment w:val="auto"/>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财务能力：</w:t>
            </w:r>
            <w:r>
              <w:rPr>
                <w:rFonts w:hint="eastAsia" w:ascii="宋体" w:hAnsi="宋体" w:eastAsia="宋体" w:cs="宋体"/>
                <w:color w:val="auto"/>
                <w:spacing w:val="0"/>
                <w:kern w:val="2"/>
                <w:sz w:val="21"/>
                <w:szCs w:val="21"/>
                <w:highlight w:val="none"/>
                <w:u w:val="single"/>
                <w:lang w:val="en-US" w:eastAsia="zh-CN"/>
              </w:rPr>
              <w:t>（0）</w:t>
            </w:r>
            <w:r>
              <w:rPr>
                <w:rFonts w:hint="eastAsia" w:ascii="宋体" w:hAnsi="宋体" w:eastAsia="宋体" w:cs="宋体"/>
                <w:color w:val="auto"/>
                <w:spacing w:val="0"/>
                <w:kern w:val="2"/>
                <w:sz w:val="21"/>
                <w:szCs w:val="21"/>
                <w:highlight w:val="none"/>
                <w:lang w:val="en-US" w:eastAsia="zh-CN"/>
              </w:rPr>
              <w:t xml:space="preserve">分         </w:t>
            </w:r>
          </w:p>
          <w:p w14:paraId="215EFCD5">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机械设备：</w:t>
            </w:r>
            <w:r>
              <w:rPr>
                <w:rFonts w:hint="eastAsia" w:ascii="宋体" w:hAnsi="宋体" w:eastAsia="宋体" w:cs="宋体"/>
                <w:color w:val="auto"/>
                <w:spacing w:val="0"/>
                <w:kern w:val="2"/>
                <w:sz w:val="21"/>
                <w:szCs w:val="21"/>
                <w:highlight w:val="none"/>
                <w:u w:val="single"/>
                <w:lang w:val="en-US" w:eastAsia="zh-CN"/>
              </w:rPr>
              <w:t>（0）</w:t>
            </w:r>
            <w:r>
              <w:rPr>
                <w:rFonts w:hint="eastAsia" w:ascii="宋体" w:hAnsi="宋体" w:eastAsia="宋体" w:cs="宋体"/>
                <w:color w:val="auto"/>
                <w:kern w:val="2"/>
                <w:sz w:val="21"/>
                <w:szCs w:val="21"/>
                <w:highlight w:val="none"/>
                <w:lang w:val="en-US" w:eastAsia="zh-CN"/>
              </w:rPr>
              <w:t xml:space="preserve">分      </w:t>
            </w:r>
          </w:p>
          <w:p w14:paraId="71DB62B1">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ind w:firstLine="401" w:firstLineChars="191"/>
              <w:jc w:val="both"/>
              <w:textAlignment w:val="auto"/>
              <w:rPr>
                <w:rFonts w:hint="default"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zh-CN" w:eastAsia="zh-CN"/>
              </w:rPr>
              <w:t>履约信誉：</w:t>
            </w:r>
            <w:r>
              <w:rPr>
                <w:rFonts w:hint="eastAsia" w:ascii="宋体" w:hAnsi="宋体" w:eastAsia="宋体" w:cs="宋体"/>
                <w:color w:val="auto"/>
                <w:spacing w:val="0"/>
                <w:kern w:val="2"/>
                <w:sz w:val="21"/>
                <w:szCs w:val="21"/>
                <w:highlight w:val="none"/>
                <w:u w:val="single"/>
                <w:lang w:val="en-US" w:eastAsia="zh-CN"/>
              </w:rPr>
              <w:t>（10）</w:t>
            </w:r>
            <w:r>
              <w:rPr>
                <w:rFonts w:hint="eastAsia" w:ascii="宋体" w:hAnsi="宋体" w:eastAsia="宋体" w:cs="宋体"/>
                <w:color w:val="auto"/>
                <w:spacing w:val="0"/>
                <w:kern w:val="2"/>
                <w:sz w:val="21"/>
                <w:szCs w:val="21"/>
                <w:highlight w:val="none"/>
                <w:lang w:val="en-US" w:eastAsia="zh-CN"/>
              </w:rPr>
              <w:t xml:space="preserve">分        </w:t>
            </w:r>
          </w:p>
          <w:p w14:paraId="10442EC5">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jc w:val="both"/>
              <w:textAlignment w:val="auto"/>
              <w:rPr>
                <w:rStyle w:val="18"/>
                <w:rFonts w:hint="eastAsia" w:ascii="宋体" w:hAnsi="宋体" w:eastAsia="宋体" w:cs="宋体"/>
                <w:b/>
                <w:bCs w:val="0"/>
                <w:color w:val="auto"/>
                <w:kern w:val="2"/>
                <w:sz w:val="21"/>
                <w:szCs w:val="21"/>
                <w:highlight w:val="none"/>
                <w:lang w:val="en-US" w:eastAsia="zh-CN"/>
              </w:rPr>
            </w:pPr>
            <w:r>
              <w:rPr>
                <w:rStyle w:val="18"/>
                <w:rFonts w:hint="eastAsia" w:ascii="宋体" w:hAnsi="宋体" w:eastAsia="宋体" w:cs="宋体"/>
                <w:b/>
                <w:bCs w:val="0"/>
                <w:color w:val="auto"/>
                <w:kern w:val="2"/>
                <w:sz w:val="21"/>
                <w:szCs w:val="21"/>
                <w:highlight w:val="none"/>
                <w:lang w:val="en-US" w:eastAsia="zh-CN"/>
              </w:rPr>
              <w:t>第二个信封（报价文件）评分分值构成：</w:t>
            </w:r>
          </w:p>
          <w:p w14:paraId="77303D79">
            <w:pPr>
              <w:pStyle w:val="9"/>
              <w:keepNext w:val="0"/>
              <w:keepLines w:val="0"/>
              <w:pageBreakBefore w:val="0"/>
              <w:widowControl w:val="0"/>
              <w:shd w:val="clear" w:color="auto" w:fill="auto"/>
              <w:kinsoku/>
              <w:wordWrap/>
              <w:overflowPunct/>
              <w:topLinePunct w:val="0"/>
              <w:autoSpaceDE/>
              <w:autoSpaceDN/>
              <w:bidi w:val="0"/>
              <w:adjustRightInd/>
              <w:snapToGrid/>
              <w:spacing w:before="0"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kern w:val="2"/>
                <w:sz w:val="21"/>
                <w:szCs w:val="21"/>
                <w:highlight w:val="none"/>
                <w:lang w:val="en-US" w:eastAsia="zh-CN"/>
              </w:rPr>
              <w:t>投标报价</w:t>
            </w: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u w:val="single"/>
                <w:lang w:val="en-US"/>
              </w:rPr>
              <w:t>80</w:t>
            </w:r>
            <w:r>
              <w:rPr>
                <w:rFonts w:hint="eastAsia" w:ascii="宋体" w:hAnsi="宋体" w:eastAsia="宋体" w:cs="宋体"/>
                <w:color w:val="auto"/>
                <w:kern w:val="2"/>
                <w:sz w:val="21"/>
                <w:szCs w:val="21"/>
                <w:highlight w:val="none"/>
                <w:lang w:val="en-US"/>
              </w:rPr>
              <w:t>分</w:t>
            </w:r>
          </w:p>
        </w:tc>
      </w:tr>
      <w:tr w14:paraId="7362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14:paraId="495E96ED">
            <w:pPr>
              <w:pStyle w:val="9"/>
              <w:shd w:val="clear" w:color="auto" w:fill="auto"/>
              <w:adjustRightInd w:val="0"/>
              <w:snapToGrid w:val="0"/>
              <w:spacing w:before="0" w:line="240" w:lineRule="auto"/>
              <w:jc w:val="center"/>
              <w:rPr>
                <w:rStyle w:val="13"/>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2.2.</w:t>
            </w:r>
            <w:r>
              <w:rPr>
                <w:rFonts w:hint="eastAsia" w:ascii="宋体" w:hAnsi="宋体" w:eastAsia="宋体" w:cs="宋体"/>
                <w:color w:val="auto"/>
                <w:sz w:val="21"/>
                <w:szCs w:val="21"/>
                <w:highlight w:val="none"/>
                <w:lang w:val="en-US" w:eastAsia="zh-CN"/>
              </w:rPr>
              <w:t>2</w:t>
            </w:r>
          </w:p>
        </w:tc>
        <w:tc>
          <w:tcPr>
            <w:tcW w:w="1250" w:type="dxa"/>
            <w:shd w:val="clear" w:color="auto" w:fill="FFFFFF"/>
            <w:noWrap w:val="0"/>
            <w:vAlign w:val="center"/>
          </w:tcPr>
          <w:p w14:paraId="64316329">
            <w:pPr>
              <w:jc w:val="center"/>
              <w:rPr>
                <w:rStyle w:val="11"/>
                <w:rFonts w:hint="eastAsia" w:ascii="宋体" w:hAnsi="宋体" w:eastAsia="宋体" w:cs="宋体"/>
                <w:color w:val="auto"/>
                <w:sz w:val="21"/>
                <w:szCs w:val="21"/>
                <w:highlight w:val="none"/>
                <w:lang w:val="zh-CN"/>
              </w:rPr>
            </w:pPr>
            <w:r>
              <w:rPr>
                <w:rFonts w:ascii="宋体" w:hAnsi="宋体" w:eastAsia="宋体"/>
                <w:color w:val="auto"/>
                <w:sz w:val="21"/>
                <w:szCs w:val="21"/>
                <w:highlight w:val="none"/>
              </w:rPr>
              <w:t>评标基准价计算方法</w:t>
            </w:r>
          </w:p>
        </w:tc>
        <w:tc>
          <w:tcPr>
            <w:tcW w:w="7200" w:type="dxa"/>
            <w:shd w:val="clear" w:color="auto" w:fill="FFFFFF"/>
            <w:noWrap w:val="0"/>
            <w:vAlign w:val="center"/>
          </w:tcPr>
          <w:p w14:paraId="751A51C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评标基准价的计算：</w:t>
            </w:r>
          </w:p>
          <w:p w14:paraId="1104572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在开标现场，招标人将当场计算并宣布评标基准价。</w:t>
            </w:r>
          </w:p>
          <w:p w14:paraId="092DA77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（1）评标价的确定：</w:t>
            </w:r>
          </w:p>
          <w:p w14:paraId="5838991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评标价=投标函文字报价</w:t>
            </w:r>
          </w:p>
          <w:p w14:paraId="7C01713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（2）最高评标限价的确定</w:t>
            </w:r>
          </w:p>
          <w:p w14:paraId="3276DBB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最高投标限价下浮率在开标前在开标现场采取逐标段摇珠方式确定。摇珠操作办法如下：在下浮率</w:t>
            </w:r>
            <w:r>
              <w:rPr>
                <w:rFonts w:hint="eastAsia" w:ascii="宋体" w:hAnsi="宋体" w:eastAsia="宋体" w:cs="宋体"/>
                <w:color w:val="auto"/>
                <w:kern w:val="2"/>
                <w:sz w:val="21"/>
                <w:szCs w:val="21"/>
                <w:highlight w:val="none"/>
                <w:u w:val="single"/>
                <w:lang w:val="en-US" w:eastAsia="zh-CN" w:bidi="zh-CN"/>
              </w:rPr>
              <w:t>（0%-3%）</w:t>
            </w:r>
            <w:r>
              <w:rPr>
                <w:rFonts w:hint="eastAsia" w:ascii="宋体" w:hAnsi="宋体" w:eastAsia="宋体" w:cs="宋体"/>
                <w:color w:val="auto"/>
                <w:kern w:val="2"/>
                <w:sz w:val="21"/>
                <w:szCs w:val="21"/>
                <w:highlight w:val="none"/>
                <w:lang w:val="zh-CN" w:eastAsia="zh-CN" w:bidi="zh-CN"/>
              </w:rPr>
              <w:t>摇珠范围内，以0.1%为一档次增序确定摇珠号码，</w:t>
            </w:r>
            <w:r>
              <w:rPr>
                <w:rFonts w:hint="eastAsia" w:ascii="宋体" w:hAnsi="宋体" w:eastAsia="宋体" w:cs="宋体"/>
                <w:color w:val="auto"/>
                <w:kern w:val="2"/>
                <w:sz w:val="21"/>
                <w:szCs w:val="21"/>
                <w:highlight w:val="none"/>
                <w:u w:val="single"/>
                <w:lang w:val="en-US" w:eastAsia="zh-CN" w:bidi="zh-CN"/>
              </w:rPr>
              <w:t>共</w:t>
            </w:r>
            <w:r>
              <w:rPr>
                <w:rFonts w:hint="default" w:ascii="宋体" w:hAnsi="宋体" w:eastAsia="宋体" w:cs="宋体"/>
                <w:color w:val="auto"/>
                <w:kern w:val="2"/>
                <w:sz w:val="21"/>
                <w:szCs w:val="21"/>
                <w:highlight w:val="none"/>
                <w:u w:val="single"/>
                <w:lang w:val="en-US" w:eastAsia="zh-CN" w:bidi="zh-CN"/>
              </w:rPr>
              <w:t>3</w:t>
            </w:r>
            <w:r>
              <w:rPr>
                <w:rFonts w:hint="eastAsia" w:ascii="宋体" w:hAnsi="宋体" w:eastAsia="宋体" w:cs="宋体"/>
                <w:color w:val="auto"/>
                <w:kern w:val="2"/>
                <w:sz w:val="21"/>
                <w:szCs w:val="21"/>
                <w:highlight w:val="none"/>
                <w:u w:val="single"/>
                <w:lang w:val="zh-CN" w:eastAsia="zh-CN" w:bidi="zh-CN"/>
              </w:rPr>
              <w:t>1个球</w:t>
            </w:r>
            <w:r>
              <w:rPr>
                <w:rFonts w:hint="eastAsia" w:ascii="宋体" w:hAnsi="宋体" w:eastAsia="宋体" w:cs="宋体"/>
                <w:color w:val="auto"/>
                <w:kern w:val="2"/>
                <w:sz w:val="21"/>
                <w:szCs w:val="21"/>
                <w:highlight w:val="none"/>
                <w:lang w:val="zh-CN" w:eastAsia="zh-CN" w:bidi="zh-CN"/>
              </w:rPr>
              <w:t>，</w:t>
            </w:r>
            <w:r>
              <w:rPr>
                <w:rFonts w:hint="eastAsia" w:ascii="宋体" w:hAnsi="宋体" w:eastAsia="宋体" w:cs="宋体"/>
                <w:strike w:val="0"/>
                <w:dstrike w:val="0"/>
                <w:color w:val="auto"/>
                <w:kern w:val="2"/>
                <w:sz w:val="21"/>
                <w:szCs w:val="21"/>
                <w:highlight w:val="none"/>
                <w:lang w:val="en-US" w:eastAsia="zh-CN" w:bidi="zh-CN"/>
              </w:rPr>
              <w:t>一次性</w:t>
            </w:r>
            <w:r>
              <w:rPr>
                <w:rFonts w:hint="eastAsia" w:ascii="宋体" w:hAnsi="宋体" w:eastAsia="宋体" w:cs="宋体"/>
                <w:color w:val="auto"/>
                <w:kern w:val="2"/>
                <w:sz w:val="21"/>
                <w:szCs w:val="21"/>
                <w:highlight w:val="none"/>
                <w:lang w:val="zh-CN" w:eastAsia="zh-CN" w:bidi="zh-CN"/>
              </w:rPr>
              <w:t>摇出3个球（摇出的球不放回），摇出3个球对应的下浮率的平均值即为本标段招标的下浮率。（注：下浮率摇珠区间差值以3至5个百分点为宜，三个下浮率的平均值四舍五入取整到0.001％）</w:t>
            </w:r>
          </w:p>
          <w:p w14:paraId="62AAC2F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最高评标限价＝最高投标限价×（1-下浮率）</w:t>
            </w:r>
          </w:p>
          <w:p w14:paraId="03E466F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最高投标限价、下浮率有效范围可在投标文件递交截止日15天前以书面补遗书的形式通知各投标人。</w:t>
            </w:r>
          </w:p>
          <w:p w14:paraId="10ECE4D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（3）有效评标价范围：</w:t>
            </w:r>
          </w:p>
          <w:p w14:paraId="0760AE4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有效评标价范围：不大于最高评标限价的评标价为有效评标价。若大于最高评标限价的评标价，将否决其投标。</w:t>
            </w:r>
          </w:p>
          <w:p w14:paraId="439399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w:t>
            </w:r>
            <w:r>
              <w:rPr>
                <w:rFonts w:hint="eastAsia" w:ascii="宋体" w:hAnsi="宋体" w:eastAsia="宋体" w:cs="宋体"/>
                <w:color w:val="auto"/>
                <w:kern w:val="2"/>
                <w:sz w:val="21"/>
                <w:szCs w:val="21"/>
                <w:highlight w:val="none"/>
                <w:lang w:val="en-US" w:eastAsia="zh-CN" w:bidi="zh-CN"/>
              </w:rPr>
              <w:t>4</w:t>
            </w:r>
            <w:r>
              <w:rPr>
                <w:rFonts w:hint="eastAsia" w:ascii="宋体" w:hAnsi="宋体" w:eastAsia="宋体" w:cs="宋体"/>
                <w:color w:val="auto"/>
                <w:kern w:val="2"/>
                <w:sz w:val="21"/>
                <w:szCs w:val="21"/>
                <w:highlight w:val="none"/>
                <w:lang w:val="zh-CN" w:eastAsia="zh-CN" w:bidi="zh-CN"/>
              </w:rPr>
              <w:t>)评标基准价的确定：</w:t>
            </w:r>
          </w:p>
          <w:p w14:paraId="76C2B53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最高评标限价下浮一定比例</w:t>
            </w:r>
            <w:r>
              <w:rPr>
                <w:rFonts w:hint="eastAsia" w:ascii="宋体" w:hAnsi="宋体" w:eastAsia="宋体" w:cs="宋体"/>
                <w:color w:val="auto"/>
                <w:kern w:val="2"/>
                <w:sz w:val="21"/>
                <w:szCs w:val="21"/>
                <w:highlight w:val="none"/>
                <w:lang w:val="en-US" w:eastAsia="zh-CN" w:bidi="zh-CN"/>
              </w:rPr>
              <w:t>3.0%</w:t>
            </w:r>
            <w:r>
              <w:rPr>
                <w:rFonts w:hint="eastAsia" w:ascii="宋体" w:hAnsi="宋体" w:eastAsia="宋体" w:cs="宋体"/>
                <w:color w:val="auto"/>
                <w:kern w:val="2"/>
                <w:sz w:val="21"/>
                <w:szCs w:val="21"/>
                <w:highlight w:val="none"/>
                <w:lang w:val="zh-CN" w:eastAsia="zh-CN" w:bidi="zh-CN"/>
              </w:rPr>
              <w:t>（K）作为评标基准价</w:t>
            </w:r>
          </w:p>
          <w:p w14:paraId="2E1282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K值范围可取1.0%、2.0%、3.0%。</w:t>
            </w:r>
          </w:p>
          <w:p w14:paraId="017F1C1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在评标过程中，评标委员会应对招标人计算的评标基准价进行复核，存在计算错误的应予以修正并在评标报告中作出说明。除此之外，评标基准价在整个评标期间保持不变，不随任何因素发生变化。</w:t>
            </w:r>
          </w:p>
          <w:p w14:paraId="537F9B5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zh-CN" w:eastAsia="zh-CN" w:bidi="zh-CN"/>
              </w:rPr>
              <w:t>备注：最高评标限价、评标基准价四舍五入至个位整数。</w:t>
            </w:r>
          </w:p>
        </w:tc>
      </w:tr>
      <w:tr w14:paraId="31AE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14:paraId="3B5C10DF">
            <w:pPr>
              <w:pStyle w:val="9"/>
              <w:shd w:val="clear" w:color="auto" w:fill="auto"/>
              <w:adjustRightInd w:val="0"/>
              <w:snapToGrid w:val="0"/>
              <w:spacing w:before="0" w:line="240" w:lineRule="auto"/>
              <w:jc w:val="center"/>
              <w:rPr>
                <w:rStyle w:val="13"/>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w:t>
            </w:r>
          </w:p>
        </w:tc>
        <w:tc>
          <w:tcPr>
            <w:tcW w:w="1250" w:type="dxa"/>
            <w:shd w:val="clear" w:color="auto" w:fill="FFFFFF"/>
            <w:noWrap w:val="0"/>
            <w:vAlign w:val="center"/>
          </w:tcPr>
          <w:p w14:paraId="6769F749">
            <w:pPr>
              <w:jc w:val="center"/>
              <w:rPr>
                <w:rFonts w:ascii="宋体" w:hAnsi="宋体" w:eastAsia="宋体"/>
                <w:color w:val="auto"/>
                <w:sz w:val="21"/>
                <w:szCs w:val="21"/>
                <w:highlight w:val="none"/>
              </w:rPr>
            </w:pPr>
            <w:r>
              <w:rPr>
                <w:rFonts w:ascii="宋体" w:hAnsi="宋体" w:eastAsia="宋体"/>
                <w:color w:val="auto"/>
                <w:sz w:val="21"/>
                <w:szCs w:val="21"/>
                <w:highlight w:val="none"/>
              </w:rPr>
              <w:t>评标价的偏差率计算公式</w:t>
            </w:r>
          </w:p>
        </w:tc>
        <w:tc>
          <w:tcPr>
            <w:tcW w:w="7200" w:type="dxa"/>
            <w:shd w:val="clear" w:color="auto" w:fill="FFFFFF"/>
            <w:noWrap w:val="0"/>
            <w:vAlign w:val="center"/>
          </w:tcPr>
          <w:p w14:paraId="29144C8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偏差率=100% ×(投标人评标价－评标基准价)/评标基准价</w:t>
            </w:r>
          </w:p>
        </w:tc>
      </w:tr>
    </w:tbl>
    <w:p w14:paraId="25979E0E">
      <w:pPr>
        <w:autoSpaceDE w:val="0"/>
        <w:autoSpaceDN w:val="0"/>
        <w:adjustRightInd w:val="0"/>
        <w:jc w:val="left"/>
        <w:rPr>
          <w:rFonts w:hint="eastAsia" w:ascii="宋体" w:hAnsi="宋体" w:eastAsia="宋体" w:cs="宋体"/>
          <w:color w:val="auto"/>
          <w:kern w:val="0"/>
          <w:sz w:val="24"/>
          <w:highlight w:val="none"/>
        </w:rPr>
        <w:sectPr>
          <w:pgSz w:w="11900" w:h="16838"/>
          <w:pgMar w:top="1417" w:right="1417" w:bottom="1417" w:left="1417" w:header="0" w:footer="669" w:gutter="0"/>
          <w:pgBorders>
            <w:top w:val="none" w:sz="0" w:space="0"/>
            <w:left w:val="none" w:sz="0" w:space="0"/>
            <w:bottom w:val="none" w:sz="0" w:space="0"/>
            <w:right w:val="none" w:sz="0" w:space="0"/>
          </w:pgBorders>
          <w:cols w:space="720" w:num="1"/>
        </w:sectPr>
      </w:pPr>
    </w:p>
    <w:tbl>
      <w:tblPr>
        <w:tblStyle w:val="5"/>
        <w:tblW w:w="9391" w:type="dxa"/>
        <w:tblInd w:w="-5" w:type="dxa"/>
        <w:tblLayout w:type="fixed"/>
        <w:tblCellMar>
          <w:top w:w="0" w:type="dxa"/>
          <w:left w:w="0" w:type="dxa"/>
          <w:bottom w:w="0" w:type="dxa"/>
          <w:right w:w="0" w:type="dxa"/>
        </w:tblCellMar>
      </w:tblPr>
      <w:tblGrid>
        <w:gridCol w:w="31"/>
        <w:gridCol w:w="965"/>
        <w:gridCol w:w="269"/>
        <w:gridCol w:w="266"/>
        <w:gridCol w:w="738"/>
        <w:gridCol w:w="928"/>
        <w:gridCol w:w="1341"/>
        <w:gridCol w:w="644"/>
        <w:gridCol w:w="4195"/>
        <w:gridCol w:w="14"/>
      </w:tblGrid>
      <w:tr w14:paraId="4915518B">
        <w:tblPrEx>
          <w:tblCellMar>
            <w:top w:w="0" w:type="dxa"/>
            <w:left w:w="0" w:type="dxa"/>
            <w:bottom w:w="0" w:type="dxa"/>
            <w:right w:w="0" w:type="dxa"/>
          </w:tblCellMar>
        </w:tblPrEx>
        <w:trPr>
          <w:gridAfter w:val="1"/>
          <w:wAfter w:w="14" w:type="dxa"/>
          <w:cantSplit/>
          <w:trHeight w:val="362" w:hRule="atLeast"/>
        </w:trPr>
        <w:tc>
          <w:tcPr>
            <w:tcW w:w="5182" w:type="dxa"/>
            <w:gridSpan w:val="8"/>
            <w:tcBorders>
              <w:top w:val="single" w:color="auto" w:sz="4" w:space="0"/>
              <w:left w:val="single" w:color="auto" w:sz="4" w:space="0"/>
              <w:bottom w:val="single" w:color="auto" w:sz="4" w:space="0"/>
              <w:right w:val="nil"/>
            </w:tcBorders>
            <w:shd w:val="clear" w:color="auto" w:fill="FFFFFF"/>
            <w:noWrap w:val="0"/>
            <w:vAlign w:val="center"/>
          </w:tcPr>
          <w:p w14:paraId="27F71C97">
            <w:pPr>
              <w:pStyle w:val="9"/>
              <w:keepNext w:val="0"/>
              <w:keepLines w:val="0"/>
              <w:pageBreakBefore w:val="0"/>
              <w:widowControl w:val="0"/>
              <w:shd w:val="clear" w:color="auto" w:fill="auto"/>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评分因素与权重分值</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23F3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14:paraId="6B3C3886">
        <w:tblPrEx>
          <w:tblCellMar>
            <w:top w:w="0" w:type="dxa"/>
            <w:left w:w="0" w:type="dxa"/>
            <w:bottom w:w="0" w:type="dxa"/>
            <w:right w:w="0" w:type="dxa"/>
          </w:tblCellMar>
        </w:tblPrEx>
        <w:trPr>
          <w:gridAfter w:val="1"/>
          <w:wAfter w:w="14" w:type="dxa"/>
          <w:cantSplit/>
          <w:trHeight w:val="23" w:hRule="atLeast"/>
        </w:trPr>
        <w:tc>
          <w:tcPr>
            <w:tcW w:w="996" w:type="dxa"/>
            <w:gridSpan w:val="2"/>
            <w:tcBorders>
              <w:top w:val="single" w:color="auto" w:sz="4" w:space="0"/>
              <w:left w:val="single" w:color="auto" w:sz="4" w:space="0"/>
              <w:bottom w:val="single" w:color="auto" w:sz="4" w:space="0"/>
              <w:right w:val="nil"/>
            </w:tcBorders>
            <w:shd w:val="clear" w:color="auto" w:fill="FFFFFF"/>
            <w:noWrap w:val="0"/>
            <w:vAlign w:val="center"/>
          </w:tcPr>
          <w:p w14:paraId="765A7E9E">
            <w:pPr>
              <w:pStyle w:val="9"/>
              <w:shd w:val="clear" w:color="auto" w:fill="auto"/>
              <w:spacing w:before="0" w:line="240" w:lineRule="auto"/>
              <w:ind w:right="110"/>
              <w:jc w:val="right"/>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条款号</w:t>
            </w:r>
          </w:p>
        </w:tc>
        <w:tc>
          <w:tcPr>
            <w:tcW w:w="1273" w:type="dxa"/>
            <w:gridSpan w:val="3"/>
            <w:tcBorders>
              <w:top w:val="single" w:color="auto" w:sz="4" w:space="0"/>
              <w:left w:val="single" w:color="auto" w:sz="4" w:space="0"/>
              <w:bottom w:val="single" w:color="auto" w:sz="4" w:space="0"/>
              <w:right w:val="nil"/>
            </w:tcBorders>
            <w:shd w:val="clear" w:color="auto" w:fill="FFFFFF"/>
            <w:noWrap w:val="0"/>
            <w:vAlign w:val="center"/>
          </w:tcPr>
          <w:p w14:paraId="3BE6E715">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评分因素</w:t>
            </w:r>
          </w:p>
        </w:tc>
        <w:tc>
          <w:tcPr>
            <w:tcW w:w="928" w:type="dxa"/>
            <w:tcBorders>
              <w:top w:val="single" w:color="auto" w:sz="4" w:space="0"/>
              <w:left w:val="single" w:color="auto" w:sz="4" w:space="0"/>
              <w:bottom w:val="single" w:color="auto" w:sz="4" w:space="0"/>
              <w:right w:val="nil"/>
            </w:tcBorders>
            <w:shd w:val="clear" w:color="auto" w:fill="FFFFFF"/>
            <w:noWrap w:val="0"/>
            <w:vAlign w:val="center"/>
          </w:tcPr>
          <w:p w14:paraId="5F1A6B7C">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评分因素权重分值</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52E5D412">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各评分因素细分项</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392F194F">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分值</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49680E">
            <w:pPr>
              <w:pStyle w:val="9"/>
              <w:shd w:val="clear" w:color="auto" w:fill="auto"/>
              <w:spacing w:before="0" w:line="240" w:lineRule="auto"/>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CN"/>
              </w:rPr>
              <w:t>评分标准</w:t>
            </w:r>
          </w:p>
        </w:tc>
      </w:tr>
      <w:tr w14:paraId="41B424FA">
        <w:tblPrEx>
          <w:tblCellMar>
            <w:top w:w="0" w:type="dxa"/>
            <w:left w:w="0" w:type="dxa"/>
            <w:bottom w:w="0" w:type="dxa"/>
            <w:right w:w="0" w:type="dxa"/>
          </w:tblCellMar>
        </w:tblPrEx>
        <w:trPr>
          <w:gridAfter w:val="1"/>
          <w:wAfter w:w="14" w:type="dxa"/>
          <w:cantSplit/>
          <w:trHeight w:val="23" w:hRule="atLeast"/>
        </w:trPr>
        <w:tc>
          <w:tcPr>
            <w:tcW w:w="996" w:type="dxa"/>
            <w:gridSpan w:val="2"/>
            <w:vMerge w:val="restart"/>
            <w:tcBorders>
              <w:top w:val="single" w:color="auto" w:sz="4" w:space="0"/>
              <w:left w:val="single" w:color="auto" w:sz="4" w:space="0"/>
              <w:right w:val="nil"/>
            </w:tcBorders>
            <w:shd w:val="clear" w:color="auto" w:fill="FFFFFF"/>
            <w:noWrap w:val="0"/>
            <w:vAlign w:val="center"/>
          </w:tcPr>
          <w:p w14:paraId="6A449959">
            <w:pPr>
              <w:pStyle w:val="9"/>
              <w:shd w:val="clear" w:color="auto" w:fill="auto"/>
              <w:spacing w:before="0" w:line="360" w:lineRule="auto"/>
              <w:jc w:val="center"/>
              <w:rPr>
                <w:rFonts w:hint="eastAsia" w:ascii="宋体" w:hAnsi="宋体" w:eastAsia="宋体" w:cs="宋体"/>
                <w:color w:val="auto"/>
                <w:sz w:val="21"/>
                <w:szCs w:val="21"/>
                <w:highlight w:val="none"/>
              </w:rPr>
            </w:pPr>
            <w:bookmarkStart w:id="4" w:name="OLE_LINK1" w:colFirst="5" w:colLast="5"/>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val="en-US" w:eastAsia="zh-CN"/>
              </w:rPr>
              <w:t>4</w:t>
            </w:r>
            <w:r>
              <w:rPr>
                <w:rStyle w:val="13"/>
                <w:rFonts w:hint="eastAsia" w:ascii="宋体" w:hAnsi="宋体" w:eastAsia="宋体" w:cs="宋体"/>
                <w:color w:val="auto"/>
                <w:sz w:val="21"/>
                <w:szCs w:val="21"/>
                <w:highlight w:val="none"/>
              </w:rPr>
              <w:t>(1)</w:t>
            </w:r>
          </w:p>
        </w:tc>
        <w:tc>
          <w:tcPr>
            <w:tcW w:w="1273" w:type="dxa"/>
            <w:gridSpan w:val="3"/>
            <w:vMerge w:val="restart"/>
            <w:tcBorders>
              <w:top w:val="single" w:color="auto" w:sz="4" w:space="0"/>
              <w:left w:val="single" w:color="auto" w:sz="4" w:space="0"/>
              <w:right w:val="nil"/>
            </w:tcBorders>
            <w:shd w:val="clear" w:color="auto" w:fill="FFFFFF"/>
            <w:noWrap w:val="0"/>
            <w:vAlign w:val="center"/>
          </w:tcPr>
          <w:p w14:paraId="667B75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p>
        </w:tc>
        <w:tc>
          <w:tcPr>
            <w:tcW w:w="928" w:type="dxa"/>
            <w:vMerge w:val="restart"/>
            <w:tcBorders>
              <w:top w:val="single" w:color="auto" w:sz="4" w:space="0"/>
              <w:left w:val="single" w:color="auto" w:sz="4" w:space="0"/>
              <w:right w:val="nil"/>
            </w:tcBorders>
            <w:shd w:val="clear" w:color="auto" w:fill="FFFFFF"/>
            <w:noWrap w:val="0"/>
            <w:vAlign w:val="center"/>
          </w:tcPr>
          <w:p w14:paraId="54290BEC">
            <w:pPr>
              <w:pStyle w:val="9"/>
              <w:shd w:val="clear" w:color="auto" w:fill="auto"/>
              <w:spacing w:before="0" w:line="360" w:lineRule="auto"/>
              <w:ind w:firstLine="210" w:firstLineChars="100"/>
              <w:jc w:val="left"/>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u w:val="single"/>
                <w:lang w:val="en-US" w:eastAsia="zh-CN"/>
              </w:rPr>
              <w:t>6</w:t>
            </w:r>
            <w:r>
              <w:rPr>
                <w:rStyle w:val="17"/>
                <w:rFonts w:hint="eastAsia" w:ascii="宋体" w:hAnsi="宋体" w:eastAsia="宋体" w:cs="宋体"/>
                <w:color w:val="auto"/>
                <w:sz w:val="21"/>
                <w:szCs w:val="21"/>
                <w:highlight w:val="none"/>
                <w:lang w:val="zh-CN"/>
              </w:rPr>
              <w:t>分</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7A66D3BC">
            <w:pPr>
              <w:jc w:val="center"/>
              <w:rPr>
                <w:rFonts w:hint="eastAsia" w:ascii="宋体" w:hAnsi="宋体" w:eastAsia="宋体" w:cs="宋体"/>
                <w:color w:val="auto"/>
                <w:spacing w:val="0"/>
                <w:kern w:val="2"/>
                <w:sz w:val="21"/>
                <w:szCs w:val="21"/>
                <w:highlight w:val="none"/>
                <w:u w:val="none"/>
                <w:lang w:val="en-US" w:eastAsia="zh-CN" w:bidi="ar-SA"/>
              </w:rPr>
            </w:pPr>
            <w:r>
              <w:rPr>
                <w:rStyle w:val="17"/>
                <w:rFonts w:hint="eastAsia" w:ascii="宋体" w:hAnsi="宋体" w:eastAsia="宋体" w:cs="宋体"/>
                <w:strike/>
                <w:dstrike w:val="0"/>
                <w:color w:val="auto"/>
                <w:sz w:val="21"/>
                <w:szCs w:val="21"/>
                <w:highlight w:val="none"/>
              </w:rPr>
              <w:t>船舶</w:t>
            </w:r>
            <w:r>
              <w:rPr>
                <w:rStyle w:val="17"/>
                <w:rFonts w:hint="eastAsia" w:ascii="宋体" w:hAnsi="宋体" w:eastAsia="宋体" w:cs="宋体"/>
                <w:color w:val="auto"/>
                <w:sz w:val="21"/>
                <w:szCs w:val="21"/>
                <w:highlight w:val="none"/>
              </w:rPr>
              <w:t>机械配备及进场计划</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4FB9380D">
            <w:pPr>
              <w:pStyle w:val="9"/>
              <w:shd w:val="clear" w:color="auto" w:fill="auto"/>
              <w:spacing w:before="0" w:line="360" w:lineRule="auto"/>
              <w:jc w:val="center"/>
              <w:rPr>
                <w:rFonts w:hint="eastAsia" w:ascii="宋体" w:hAnsi="宋体" w:eastAsia="宋体" w:cs="宋体"/>
                <w:color w:val="auto"/>
                <w:spacing w:val="0"/>
                <w:kern w:val="2"/>
                <w:sz w:val="21"/>
                <w:szCs w:val="21"/>
                <w:highlight w:val="none"/>
                <w:u w:val="single"/>
                <w:lang w:val="zh-CN" w:eastAsia="zh-CN" w:bidi="ar-SA"/>
              </w:rPr>
            </w:pPr>
            <w:r>
              <w:rPr>
                <w:rStyle w:val="11"/>
                <w:rFonts w:hint="eastAsia" w:ascii="宋体" w:hAnsi="宋体" w:eastAsia="宋体" w:cs="宋体"/>
                <w:color w:val="auto"/>
                <w:sz w:val="21"/>
                <w:szCs w:val="21"/>
                <w:highlight w:val="none"/>
                <w:lang w:val="en-US" w:eastAsia="zh-CN"/>
              </w:rPr>
              <w:t>0.5</w:t>
            </w:r>
            <w:r>
              <w:rPr>
                <w:rStyle w:val="11"/>
                <w:rFonts w:hint="eastAsia" w:ascii="宋体" w:hAnsi="宋体" w:eastAsia="宋体" w:cs="宋体"/>
                <w:color w:val="auto"/>
                <w:sz w:val="21"/>
                <w:szCs w:val="21"/>
                <w:highlight w:val="none"/>
                <w:lang w:val="zh-CN"/>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2B01C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设备配置数量足、合理，主要设备落实与进度吻合得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0.4，0.5]</w:t>
            </w:r>
            <w:r>
              <w:rPr>
                <w:rFonts w:hint="eastAsia" w:ascii="宋体" w:hAnsi="宋体" w:eastAsia="宋体" w:cs="宋体"/>
                <w:color w:val="auto"/>
                <w:szCs w:val="21"/>
                <w:highlight w:val="none"/>
                <w:u w:val="single"/>
              </w:rPr>
              <w:t>分；</w:t>
            </w:r>
          </w:p>
          <w:p w14:paraId="1CC6F7C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设备配置数量足、基本合理，主要设备落实与进度基本吻合得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0.35，0.4]</w:t>
            </w:r>
            <w:r>
              <w:rPr>
                <w:rFonts w:hint="eastAsia" w:ascii="宋体" w:hAnsi="宋体" w:eastAsia="宋体" w:cs="宋体"/>
                <w:color w:val="auto"/>
                <w:szCs w:val="21"/>
                <w:highlight w:val="none"/>
                <w:u w:val="single"/>
              </w:rPr>
              <w:t>分；</w:t>
            </w:r>
          </w:p>
          <w:p w14:paraId="5C6C009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设备配置不足、欠合理，主要设备基本落实与进度欠吻合得[</w:t>
            </w:r>
            <w:r>
              <w:rPr>
                <w:rFonts w:hint="eastAsia" w:ascii="宋体" w:hAnsi="宋体" w:eastAsia="宋体" w:cs="宋体"/>
                <w:color w:val="auto"/>
                <w:szCs w:val="21"/>
                <w:highlight w:val="none"/>
                <w:u w:val="single"/>
                <w:lang w:val="en-US" w:eastAsia="zh-CN"/>
              </w:rPr>
              <w:t>0.3</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0.35</w:t>
            </w:r>
            <w:r>
              <w:rPr>
                <w:rFonts w:hint="eastAsia" w:ascii="宋体" w:hAnsi="宋体" w:eastAsia="宋体" w:cs="宋体"/>
                <w:color w:val="auto"/>
                <w:szCs w:val="21"/>
                <w:highlight w:val="none"/>
                <w:u w:val="single"/>
              </w:rPr>
              <w:t>]分；</w:t>
            </w:r>
          </w:p>
          <w:p w14:paraId="5E22C46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pacing w:val="0"/>
                <w:kern w:val="2"/>
                <w:sz w:val="21"/>
                <w:szCs w:val="21"/>
                <w:highlight w:val="none"/>
                <w:u w:val="single"/>
                <w:lang w:val="en-US" w:eastAsia="zh-CN" w:bidi="ar-SA"/>
              </w:rPr>
            </w:pPr>
            <w:r>
              <w:rPr>
                <w:rFonts w:hint="eastAsia" w:ascii="宋体" w:hAnsi="宋体" w:eastAsia="宋体" w:cs="宋体"/>
                <w:color w:val="auto"/>
                <w:szCs w:val="21"/>
                <w:highlight w:val="none"/>
                <w:u w:val="single"/>
              </w:rPr>
              <w:t>没有提供机械设备及进场计划的，得0分。</w:t>
            </w:r>
          </w:p>
        </w:tc>
      </w:tr>
      <w:tr w14:paraId="769585DD">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3441F1B0">
            <w:pPr>
              <w:pStyle w:val="9"/>
              <w:shd w:val="clear" w:color="auto" w:fill="auto"/>
              <w:spacing w:before="0" w:line="360" w:lineRule="auto"/>
              <w:jc w:val="both"/>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56EAF92F">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4DAACC20">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550B0B56">
            <w:pPr>
              <w:jc w:val="center"/>
              <w:rPr>
                <w:rFonts w:hint="eastAsia" w:ascii="宋体" w:hAnsi="宋体" w:eastAsia="宋体" w:cs="宋体"/>
                <w:color w:val="auto"/>
                <w:spacing w:val="0"/>
                <w:kern w:val="2"/>
                <w:sz w:val="21"/>
                <w:szCs w:val="21"/>
                <w:highlight w:val="none"/>
                <w:u w:val="none"/>
                <w:lang w:val="en-US" w:eastAsia="zh-CN" w:bidi="ar-SA"/>
              </w:rPr>
            </w:pPr>
            <w:r>
              <w:rPr>
                <w:rStyle w:val="17"/>
                <w:rFonts w:hint="eastAsia" w:ascii="宋体" w:hAnsi="宋体" w:eastAsia="宋体" w:cs="宋体"/>
                <w:color w:val="auto"/>
                <w:sz w:val="21"/>
                <w:szCs w:val="21"/>
                <w:highlight w:val="none"/>
              </w:rPr>
              <w:t>施工场地布置</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6A428A79">
            <w:pPr>
              <w:spacing w:line="360" w:lineRule="auto"/>
              <w:jc w:val="center"/>
              <w:rPr>
                <w:rFonts w:hint="eastAsia" w:ascii="宋体" w:hAnsi="宋体" w:eastAsia="宋体" w:cs="宋体"/>
                <w:color w:val="auto"/>
                <w:spacing w:val="0"/>
                <w:kern w:val="2"/>
                <w:sz w:val="21"/>
                <w:szCs w:val="21"/>
                <w:highlight w:val="none"/>
                <w:u w:val="single"/>
                <w:lang w:val="en-US" w:eastAsia="zh-CN" w:bidi="ar-SA"/>
              </w:rPr>
            </w:pPr>
            <w:r>
              <w:rPr>
                <w:rStyle w:val="11"/>
                <w:rFonts w:hint="eastAsia" w:ascii="宋体" w:hAnsi="宋体" w:eastAsia="宋体" w:cs="宋体"/>
                <w:color w:val="auto"/>
                <w:sz w:val="21"/>
                <w:szCs w:val="21"/>
                <w:highlight w:val="none"/>
              </w:rPr>
              <w:t>0.5分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2D4BF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可行、布置合理、具体得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0.4，0.5]</w:t>
            </w:r>
            <w:r>
              <w:rPr>
                <w:rFonts w:hint="eastAsia" w:ascii="宋体" w:hAnsi="宋体" w:eastAsia="宋体" w:cs="宋体"/>
                <w:color w:val="auto"/>
                <w:sz w:val="21"/>
                <w:szCs w:val="21"/>
                <w:highlight w:val="none"/>
                <w:u w:val="single"/>
              </w:rPr>
              <w:t>分；</w:t>
            </w:r>
          </w:p>
          <w:p w14:paraId="227B721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可行、布置基本合理、具体得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0.35，0.4]</w:t>
            </w:r>
            <w:r>
              <w:rPr>
                <w:rFonts w:hint="eastAsia" w:ascii="宋体" w:hAnsi="宋体" w:eastAsia="宋体" w:cs="宋体"/>
                <w:color w:val="auto"/>
                <w:sz w:val="21"/>
                <w:szCs w:val="21"/>
                <w:highlight w:val="none"/>
                <w:u w:val="single"/>
              </w:rPr>
              <w:t>分；</w:t>
            </w:r>
          </w:p>
          <w:p w14:paraId="0FDE322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布置欠合理、不够具体得[0.3，0.3</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分；</w:t>
            </w:r>
          </w:p>
          <w:p w14:paraId="3D4BD3E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pacing w:val="0"/>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没有提供施工场地布置计划的，得0分。</w:t>
            </w:r>
          </w:p>
        </w:tc>
      </w:tr>
      <w:tr w14:paraId="771B0619">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5BFFC551">
            <w:pPr>
              <w:pStyle w:val="9"/>
              <w:shd w:val="clear" w:color="auto" w:fill="auto"/>
              <w:spacing w:before="0" w:line="360" w:lineRule="auto"/>
              <w:jc w:val="both"/>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6CBF832B">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332932B1">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4B8B5A5C">
            <w:pPr>
              <w:jc w:val="cente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施工工艺流程</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426AFAFD">
            <w:pPr>
              <w:spacing w:line="360" w:lineRule="auto"/>
              <w:jc w:val="center"/>
              <w:rPr>
                <w:rStyle w:val="11"/>
                <w:rFonts w:hint="eastAsia" w:ascii="宋体" w:hAnsi="宋体" w:eastAsia="宋体" w:cs="宋体"/>
                <w:color w:val="auto"/>
                <w:sz w:val="21"/>
                <w:szCs w:val="21"/>
                <w:highlight w:val="none"/>
                <w:lang w:val="en-US" w:eastAsia="zh-CN"/>
              </w:rPr>
            </w:pPr>
            <w:r>
              <w:rPr>
                <w:rStyle w:val="11"/>
                <w:rFonts w:hint="eastAsia" w:ascii="宋体" w:hAnsi="宋体" w:eastAsia="宋体" w:cs="宋体"/>
                <w:color w:val="auto"/>
                <w:sz w:val="21"/>
                <w:szCs w:val="21"/>
                <w:highlight w:val="none"/>
                <w:lang w:val="en-US" w:eastAsia="zh-CN"/>
              </w:rPr>
              <w:t>0.5</w:t>
            </w:r>
            <w:r>
              <w:rPr>
                <w:rStyle w:val="11"/>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31B68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可行、可靠、先进、合理得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0.4，0.5]</w:t>
            </w:r>
            <w:r>
              <w:rPr>
                <w:rFonts w:hint="eastAsia" w:ascii="宋体" w:hAnsi="宋体" w:eastAsia="宋体" w:cs="宋体"/>
                <w:color w:val="auto"/>
                <w:sz w:val="21"/>
                <w:szCs w:val="21"/>
                <w:highlight w:val="none"/>
                <w:u w:val="single"/>
              </w:rPr>
              <w:t>分；</w:t>
            </w:r>
          </w:p>
          <w:p w14:paraId="467D8A1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基本可行、可靠得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0.35，0.4]</w:t>
            </w:r>
            <w:r>
              <w:rPr>
                <w:rFonts w:hint="eastAsia" w:ascii="宋体" w:hAnsi="宋体" w:eastAsia="宋体" w:cs="宋体"/>
                <w:color w:val="auto"/>
                <w:sz w:val="21"/>
                <w:szCs w:val="21"/>
                <w:highlight w:val="none"/>
                <w:u w:val="single"/>
              </w:rPr>
              <w:t>分；</w:t>
            </w:r>
          </w:p>
          <w:p w14:paraId="5F58960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欠可行、欠可靠得[0.3，0.3</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分</w:t>
            </w:r>
            <w:r>
              <w:rPr>
                <w:rFonts w:hint="eastAsia" w:ascii="宋体" w:hAnsi="宋体" w:eastAsia="宋体" w:cs="宋体"/>
                <w:color w:val="auto"/>
                <w:sz w:val="21"/>
                <w:szCs w:val="21"/>
                <w:highlight w:val="none"/>
                <w:u w:val="single"/>
                <w:lang w:eastAsia="zh-CN"/>
              </w:rPr>
              <w:t>；</w:t>
            </w:r>
          </w:p>
          <w:p w14:paraId="3DBD915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没有提供施工工艺流程的，得0分。</w:t>
            </w:r>
          </w:p>
        </w:tc>
      </w:tr>
      <w:tr w14:paraId="78A4CA0F">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19418CFD">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1DEEB55C">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3E972F20">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34C6BEB7">
            <w:pPr>
              <w:jc w:val="cente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施工进度计划</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0B702284">
            <w:pPr>
              <w:spacing w:line="360" w:lineRule="auto"/>
              <w:jc w:val="center"/>
              <w:rPr>
                <w:rStyle w:val="11"/>
                <w:rFonts w:hint="eastAsia" w:ascii="宋体" w:hAnsi="宋体" w:eastAsia="宋体" w:cs="宋体"/>
                <w:color w:val="auto"/>
                <w:sz w:val="21"/>
                <w:szCs w:val="21"/>
                <w:highlight w:val="none"/>
                <w:lang w:val="en-US" w:eastAsia="zh-CN"/>
              </w:rPr>
            </w:pPr>
            <w:r>
              <w:rPr>
                <w:rStyle w:val="11"/>
                <w:rFonts w:hint="eastAsia" w:ascii="宋体" w:hAnsi="宋体" w:eastAsia="宋体" w:cs="宋体"/>
                <w:color w:val="auto"/>
                <w:sz w:val="21"/>
                <w:szCs w:val="21"/>
                <w:highlight w:val="none"/>
              </w:rPr>
              <w:t>1</w:t>
            </w:r>
            <w:r>
              <w:rPr>
                <w:rStyle w:val="11"/>
                <w:rFonts w:hint="eastAsia" w:ascii="宋体" w:hAnsi="宋体" w:eastAsia="宋体" w:cs="宋体"/>
                <w:color w:val="auto"/>
                <w:sz w:val="21"/>
                <w:szCs w:val="21"/>
                <w:highlight w:val="none"/>
                <w:lang w:val="en-US" w:eastAsia="zh-CN"/>
              </w:rPr>
              <w:t>.0</w:t>
            </w:r>
            <w:r>
              <w:rPr>
                <w:rStyle w:val="11"/>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21ABF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rPr>
              <w:t>工期合理，进度计划可行、合理、先进，保证措施具体得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0.8，1.0]</w:t>
            </w:r>
            <w:r>
              <w:rPr>
                <w:rFonts w:hint="eastAsia" w:ascii="宋体" w:hAnsi="宋体" w:eastAsia="宋体" w:cs="宋体"/>
                <w:color w:val="auto"/>
                <w:szCs w:val="21"/>
                <w:highlight w:val="none"/>
                <w:u w:val="single"/>
              </w:rPr>
              <w:t>分；</w:t>
            </w:r>
          </w:p>
          <w:p w14:paraId="144EEAE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工期基本合理，进度计划基本可行、合理、有保证措施得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0.7，0.8]</w:t>
            </w:r>
            <w:r>
              <w:rPr>
                <w:rFonts w:hint="eastAsia" w:ascii="宋体" w:hAnsi="宋体" w:eastAsia="宋体" w:cs="宋体"/>
                <w:color w:val="auto"/>
                <w:szCs w:val="21"/>
                <w:highlight w:val="none"/>
                <w:u w:val="single"/>
              </w:rPr>
              <w:t>分；</w:t>
            </w:r>
          </w:p>
          <w:p w14:paraId="17CD730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工期欠合理，进度计划欠合理、保证措施一般得[0.</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]分；</w:t>
            </w:r>
          </w:p>
          <w:p w14:paraId="5962E2F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u w:val="single"/>
              </w:rPr>
              <w:t>没有提供施工进度计划的，得0分。</w:t>
            </w:r>
          </w:p>
        </w:tc>
      </w:tr>
      <w:tr w14:paraId="6C813470">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7870CE6C">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6DB46F34">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0798DC03">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7E1CB64D">
            <w:pPr>
              <w:jc w:val="cente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材料供应和检验</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11273E52">
            <w:pPr>
              <w:spacing w:line="360" w:lineRule="auto"/>
              <w:jc w:val="center"/>
              <w:rPr>
                <w:rStyle w:val="11"/>
                <w:rFonts w:hint="eastAsia" w:ascii="宋体" w:hAnsi="宋体" w:eastAsia="宋体" w:cs="宋体"/>
                <w:color w:val="auto"/>
                <w:sz w:val="21"/>
                <w:szCs w:val="21"/>
                <w:highlight w:val="none"/>
                <w:lang w:val="en-US" w:eastAsia="zh-CN"/>
              </w:rPr>
            </w:pPr>
            <w:r>
              <w:rPr>
                <w:rStyle w:val="11"/>
                <w:rFonts w:hint="eastAsia" w:ascii="宋体" w:hAnsi="宋体" w:eastAsia="宋体" w:cs="宋体"/>
                <w:color w:val="auto"/>
                <w:sz w:val="21"/>
                <w:szCs w:val="21"/>
                <w:highlight w:val="none"/>
              </w:rPr>
              <w:t>0</w:t>
            </w:r>
            <w:r>
              <w:rPr>
                <w:rStyle w:val="11"/>
                <w:rFonts w:hint="eastAsia" w:ascii="宋体" w:hAnsi="宋体" w:eastAsia="宋体" w:cs="宋体"/>
                <w:color w:val="auto"/>
                <w:sz w:val="21"/>
                <w:szCs w:val="21"/>
                <w:highlight w:val="none"/>
                <w:lang w:val="en-US" w:eastAsia="zh-CN"/>
              </w:rPr>
              <w:t>.5</w:t>
            </w:r>
            <w:r>
              <w:rPr>
                <w:rStyle w:val="11"/>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CCD06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材料进场和检验与进度吻合得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0.4，0.5]</w:t>
            </w:r>
            <w:r>
              <w:rPr>
                <w:rFonts w:hint="eastAsia" w:ascii="宋体" w:hAnsi="宋体" w:eastAsia="宋体" w:cs="宋体"/>
                <w:color w:val="auto"/>
                <w:sz w:val="21"/>
                <w:szCs w:val="21"/>
                <w:highlight w:val="none"/>
                <w:u w:val="single"/>
                <w:lang w:val="en-US" w:eastAsia="zh-CN"/>
              </w:rPr>
              <w:t>分；</w:t>
            </w:r>
          </w:p>
          <w:p w14:paraId="260AAB1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材料进场和检验与进度基本吻合得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0.35，0.4]</w:t>
            </w:r>
            <w:r>
              <w:rPr>
                <w:rFonts w:hint="eastAsia" w:ascii="宋体" w:hAnsi="宋体" w:eastAsia="宋体" w:cs="宋体"/>
                <w:color w:val="auto"/>
                <w:sz w:val="21"/>
                <w:szCs w:val="21"/>
                <w:highlight w:val="none"/>
                <w:u w:val="single"/>
                <w:lang w:val="en-US" w:eastAsia="zh-CN"/>
              </w:rPr>
              <w:t>分；</w:t>
            </w:r>
          </w:p>
          <w:p w14:paraId="107BE29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材料进场和检验与进度欠吻合得 [0.3，0.35] 分；</w:t>
            </w:r>
          </w:p>
          <w:p w14:paraId="77578B5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没有提供材料供应和检验计划的，得0分。</w:t>
            </w:r>
          </w:p>
        </w:tc>
      </w:tr>
      <w:tr w14:paraId="2D396EA8">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51B3C7F7">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05A2E913">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6DD7CED8">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5E0C4932">
            <w:pPr>
              <w:jc w:val="center"/>
              <w:rPr>
                <w:rFonts w:hint="eastAsia" w:ascii="宋体" w:hAnsi="宋体" w:eastAsia="宋体" w:cs="宋体"/>
                <w:color w:val="auto"/>
                <w:spacing w:val="0"/>
                <w:kern w:val="2"/>
                <w:sz w:val="21"/>
                <w:szCs w:val="21"/>
                <w:highlight w:val="none"/>
                <w:u w:val="none"/>
                <w:lang w:val="en-US" w:eastAsia="zh-CN" w:bidi="ar-SA"/>
              </w:rPr>
            </w:pPr>
            <w:r>
              <w:rPr>
                <w:rStyle w:val="17"/>
                <w:rFonts w:hint="eastAsia" w:ascii="宋体" w:hAnsi="宋体" w:eastAsia="宋体" w:cs="宋体"/>
                <w:color w:val="auto"/>
                <w:sz w:val="21"/>
                <w:szCs w:val="21"/>
                <w:highlight w:val="none"/>
              </w:rPr>
              <w:t>施工技术措施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4EF8E8C3">
            <w:pPr>
              <w:spacing w:line="360" w:lineRule="auto"/>
              <w:jc w:val="center"/>
              <w:rPr>
                <w:rFonts w:hint="eastAsia" w:ascii="宋体" w:hAnsi="宋体" w:eastAsia="宋体" w:cs="宋体"/>
                <w:color w:val="auto"/>
                <w:spacing w:val="0"/>
                <w:kern w:val="2"/>
                <w:sz w:val="21"/>
                <w:szCs w:val="21"/>
                <w:highlight w:val="none"/>
                <w:u w:val="single"/>
                <w:lang w:val="en-US" w:eastAsia="zh-CN" w:bidi="ar-SA"/>
              </w:rPr>
            </w:pPr>
            <w:r>
              <w:rPr>
                <w:rStyle w:val="11"/>
                <w:rFonts w:hint="eastAsia" w:ascii="宋体" w:hAnsi="宋体" w:eastAsia="宋体" w:cs="宋体"/>
                <w:color w:val="auto"/>
                <w:sz w:val="21"/>
                <w:szCs w:val="21"/>
                <w:highlight w:val="none"/>
                <w:lang w:val="en-US" w:eastAsia="zh-CN"/>
              </w:rPr>
              <w:t>0.5</w:t>
            </w:r>
            <w:r>
              <w:rPr>
                <w:rStyle w:val="11"/>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E8746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措施针对性好、具体、成熟得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0.4，0.5]</w:t>
            </w:r>
            <w:r>
              <w:rPr>
                <w:rFonts w:hint="eastAsia" w:ascii="宋体" w:hAnsi="宋体" w:eastAsia="宋体" w:cs="宋体"/>
                <w:color w:val="auto"/>
                <w:sz w:val="21"/>
                <w:szCs w:val="21"/>
                <w:highlight w:val="none"/>
                <w:u w:val="single"/>
              </w:rPr>
              <w:t>分；</w:t>
            </w:r>
          </w:p>
          <w:p w14:paraId="03E4E97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措施针对性较好、较具体得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0.35，0.4]</w:t>
            </w:r>
            <w:r>
              <w:rPr>
                <w:rFonts w:hint="eastAsia" w:ascii="宋体" w:hAnsi="宋体" w:eastAsia="宋体" w:cs="宋体"/>
                <w:color w:val="auto"/>
                <w:sz w:val="21"/>
                <w:szCs w:val="21"/>
                <w:highlight w:val="none"/>
                <w:u w:val="single"/>
              </w:rPr>
              <w:t>分；</w:t>
            </w:r>
          </w:p>
          <w:p w14:paraId="596AEF6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措施欠具体得[0.3，0.3</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分；</w:t>
            </w:r>
          </w:p>
          <w:p w14:paraId="36421E3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pacing w:val="0"/>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没有提供施工技术措施的，得0分。</w:t>
            </w:r>
          </w:p>
        </w:tc>
      </w:tr>
      <w:tr w14:paraId="0119C8C3">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5A6C6440">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786F231B">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6969A6B0">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0140A12C">
            <w:pPr>
              <w:jc w:val="center"/>
              <w:rPr>
                <w:rFonts w:hint="eastAsia" w:ascii="宋体" w:hAnsi="宋体" w:eastAsia="宋体" w:cs="宋体"/>
                <w:color w:val="auto"/>
                <w:spacing w:val="0"/>
                <w:kern w:val="2"/>
                <w:sz w:val="21"/>
                <w:szCs w:val="21"/>
                <w:highlight w:val="none"/>
                <w:u w:val="none"/>
                <w:lang w:val="en-US" w:eastAsia="zh-CN" w:bidi="ar-SA"/>
              </w:rPr>
            </w:pPr>
            <w:r>
              <w:rPr>
                <w:rStyle w:val="17"/>
                <w:rFonts w:hint="eastAsia" w:ascii="宋体" w:hAnsi="宋体" w:eastAsia="宋体" w:cs="宋体"/>
                <w:color w:val="auto"/>
                <w:sz w:val="21"/>
                <w:szCs w:val="21"/>
                <w:highlight w:val="none"/>
              </w:rPr>
              <w:t>施工质量保证措施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78C906FA">
            <w:pPr>
              <w:spacing w:line="360" w:lineRule="auto"/>
              <w:jc w:val="center"/>
              <w:rPr>
                <w:rFonts w:hint="eastAsia" w:ascii="宋体" w:hAnsi="宋体" w:eastAsia="宋体" w:cs="宋体"/>
                <w:color w:val="auto"/>
                <w:spacing w:val="0"/>
                <w:kern w:val="2"/>
                <w:sz w:val="21"/>
                <w:szCs w:val="21"/>
                <w:highlight w:val="none"/>
                <w:u w:val="single"/>
                <w:lang w:val="en-US" w:eastAsia="zh-CN" w:bidi="ar-SA"/>
              </w:rPr>
            </w:pPr>
            <w:r>
              <w:rPr>
                <w:rStyle w:val="11"/>
                <w:rFonts w:hint="eastAsia" w:ascii="宋体" w:hAnsi="宋体" w:eastAsia="宋体" w:cs="宋体"/>
                <w:color w:val="auto"/>
                <w:sz w:val="21"/>
                <w:szCs w:val="21"/>
                <w:highlight w:val="none"/>
              </w:rPr>
              <w:t>1</w:t>
            </w:r>
            <w:r>
              <w:rPr>
                <w:rStyle w:val="11"/>
                <w:rFonts w:hint="eastAsia" w:ascii="宋体" w:hAnsi="宋体" w:eastAsia="宋体" w:cs="宋体"/>
                <w:color w:val="auto"/>
                <w:sz w:val="21"/>
                <w:szCs w:val="21"/>
                <w:highlight w:val="none"/>
                <w:lang w:val="en-US" w:eastAsia="zh-CN"/>
              </w:rPr>
              <w:t>.0</w:t>
            </w:r>
            <w:r>
              <w:rPr>
                <w:rStyle w:val="11"/>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5D77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满足招标文件质量要求，工程质量保证措施明确、具体、可行、针对性好、各项落实得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0.8，1.0]</w:t>
            </w:r>
            <w:r>
              <w:rPr>
                <w:rFonts w:hint="eastAsia" w:ascii="宋体" w:hAnsi="宋体" w:eastAsia="宋体" w:cs="宋体"/>
                <w:color w:val="auto"/>
                <w:sz w:val="21"/>
                <w:szCs w:val="21"/>
                <w:highlight w:val="none"/>
                <w:u w:val="single"/>
              </w:rPr>
              <w:t>分；</w:t>
            </w:r>
          </w:p>
          <w:p w14:paraId="277F486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基本满足招标文件质量要求，工程质量保证措施较明确、较具体、较可行、较落实得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0.7，0.8]</w:t>
            </w:r>
            <w:r>
              <w:rPr>
                <w:rFonts w:hint="eastAsia" w:ascii="宋体" w:hAnsi="宋体" w:eastAsia="宋体" w:cs="宋体"/>
                <w:color w:val="auto"/>
                <w:sz w:val="21"/>
                <w:szCs w:val="21"/>
                <w:highlight w:val="none"/>
                <w:u w:val="single"/>
              </w:rPr>
              <w:t>分；</w:t>
            </w:r>
          </w:p>
          <w:p w14:paraId="27A382F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一般满足招标文件质量要求，工程质量保证措施一般化、但对工程质量保证措施有认识得[0.</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]分；</w:t>
            </w:r>
          </w:p>
          <w:p w14:paraId="6736CEF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pacing w:val="0"/>
                <w:kern w:val="2"/>
                <w:sz w:val="21"/>
                <w:szCs w:val="21"/>
                <w:highlight w:val="none"/>
                <w:u w:val="single"/>
                <w:lang w:val="en-US" w:eastAsia="zh-CN" w:bidi="ar-SA"/>
              </w:rPr>
            </w:pPr>
            <w:r>
              <w:rPr>
                <w:rFonts w:hint="eastAsia" w:ascii="宋体" w:hAnsi="宋体" w:eastAsia="宋体" w:cs="宋体"/>
                <w:color w:val="auto"/>
                <w:sz w:val="21"/>
                <w:szCs w:val="21"/>
                <w:highlight w:val="none"/>
                <w:u w:val="single"/>
              </w:rPr>
              <w:t>没有提供施工质量保证措施的，得0分。</w:t>
            </w:r>
          </w:p>
        </w:tc>
      </w:tr>
      <w:tr w14:paraId="71430B11">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14:paraId="747DEAD5">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14:paraId="2601F810">
            <w:pPr>
              <w:rPr>
                <w:rFonts w:hint="eastAsia" w:ascii="宋体" w:hAnsi="宋体" w:eastAsia="宋体" w:cs="宋体"/>
                <w:color w:val="auto"/>
                <w:szCs w:val="21"/>
                <w:highlight w:val="none"/>
              </w:rPr>
            </w:pPr>
          </w:p>
        </w:tc>
        <w:tc>
          <w:tcPr>
            <w:tcW w:w="928" w:type="dxa"/>
            <w:vMerge w:val="continue"/>
            <w:tcBorders>
              <w:left w:val="single" w:color="auto" w:sz="4" w:space="0"/>
              <w:right w:val="nil"/>
            </w:tcBorders>
            <w:shd w:val="clear" w:color="auto" w:fill="FFFFFF"/>
            <w:noWrap w:val="0"/>
            <w:vAlign w:val="center"/>
          </w:tcPr>
          <w:p w14:paraId="70AC85D0">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229B5E2D">
            <w:pPr>
              <w:jc w:val="center"/>
              <w:rPr>
                <w:rFonts w:hint="eastAsia" w:ascii="宋体" w:hAnsi="宋体" w:eastAsia="宋体" w:cs="宋体"/>
                <w:color w:val="auto"/>
                <w:spacing w:val="0"/>
                <w:kern w:val="2"/>
                <w:sz w:val="21"/>
                <w:szCs w:val="21"/>
                <w:highlight w:val="none"/>
                <w:u w:val="none"/>
                <w:lang w:val="en-US" w:eastAsia="zh-CN" w:bidi="ar-SA"/>
              </w:rPr>
            </w:pPr>
            <w:r>
              <w:rPr>
                <w:rStyle w:val="17"/>
                <w:rFonts w:hint="eastAsia" w:ascii="宋体" w:hAnsi="宋体" w:eastAsia="宋体" w:cs="宋体"/>
                <w:color w:val="auto"/>
                <w:sz w:val="21"/>
                <w:szCs w:val="21"/>
                <w:highlight w:val="none"/>
              </w:rPr>
              <w:t>施工安全保障措施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10F8B2FB">
            <w:pPr>
              <w:spacing w:line="360" w:lineRule="auto"/>
              <w:jc w:val="center"/>
              <w:rPr>
                <w:rFonts w:hint="eastAsia" w:ascii="宋体" w:hAnsi="宋体" w:eastAsia="宋体" w:cs="宋体"/>
                <w:color w:val="auto"/>
                <w:spacing w:val="0"/>
                <w:kern w:val="2"/>
                <w:sz w:val="21"/>
                <w:szCs w:val="21"/>
                <w:highlight w:val="none"/>
                <w:u w:val="single"/>
                <w:lang w:val="en-US" w:eastAsia="zh-CN" w:bidi="ar-SA"/>
              </w:rPr>
            </w:pPr>
            <w:r>
              <w:rPr>
                <w:rStyle w:val="11"/>
                <w:rFonts w:hint="eastAsia" w:ascii="宋体" w:hAnsi="宋体" w:eastAsia="宋体" w:cs="宋体"/>
                <w:color w:val="auto"/>
                <w:sz w:val="21"/>
                <w:szCs w:val="21"/>
                <w:highlight w:val="none"/>
                <w:lang w:val="en-US" w:eastAsia="zh-CN"/>
              </w:rPr>
              <w:t>1.0</w:t>
            </w:r>
            <w:r>
              <w:rPr>
                <w:rStyle w:val="11"/>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4DC34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措施针对性好、具体、成熟得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0.8，1.0]</w:t>
            </w:r>
            <w:r>
              <w:rPr>
                <w:rFonts w:hint="eastAsia" w:ascii="宋体" w:hAnsi="宋体" w:eastAsia="宋体" w:cs="宋体"/>
                <w:color w:val="auto"/>
                <w:szCs w:val="21"/>
                <w:highlight w:val="none"/>
                <w:u w:val="single"/>
              </w:rPr>
              <w:t>分；</w:t>
            </w:r>
          </w:p>
          <w:p w14:paraId="64ABA11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措施针对性较好、较具体得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0.7，0.8]</w:t>
            </w:r>
            <w:r>
              <w:rPr>
                <w:rFonts w:hint="eastAsia" w:ascii="宋体" w:hAnsi="宋体" w:eastAsia="宋体" w:cs="宋体"/>
                <w:color w:val="auto"/>
                <w:szCs w:val="21"/>
                <w:highlight w:val="none"/>
                <w:u w:val="single"/>
              </w:rPr>
              <w:t>分；</w:t>
            </w:r>
          </w:p>
          <w:p w14:paraId="3FD6B8C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措施不具体得[0.</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]分；</w:t>
            </w:r>
          </w:p>
          <w:p w14:paraId="012FDA4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0"/>
                <w:kern w:val="2"/>
                <w:sz w:val="21"/>
                <w:szCs w:val="21"/>
                <w:highlight w:val="none"/>
                <w:u w:val="single"/>
                <w:lang w:val="en-US" w:eastAsia="zh-CN" w:bidi="ar-SA"/>
              </w:rPr>
            </w:pPr>
            <w:r>
              <w:rPr>
                <w:rFonts w:hint="eastAsia" w:ascii="宋体" w:hAnsi="宋体" w:eastAsia="宋体" w:cs="宋体"/>
                <w:color w:val="auto"/>
                <w:szCs w:val="21"/>
                <w:highlight w:val="none"/>
                <w:u w:val="single"/>
              </w:rPr>
              <w:t>没有提供施工安全保障措施的，得0分。</w:t>
            </w:r>
          </w:p>
        </w:tc>
      </w:tr>
      <w:tr w14:paraId="3A0B2950">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bottom w:val="single" w:color="auto" w:sz="4" w:space="0"/>
              <w:right w:val="nil"/>
            </w:tcBorders>
            <w:shd w:val="clear" w:color="auto" w:fill="FFFFFF"/>
            <w:noWrap w:val="0"/>
            <w:vAlign w:val="bottom"/>
          </w:tcPr>
          <w:p w14:paraId="73125B55">
            <w:pPr>
              <w:pStyle w:val="9"/>
              <w:shd w:val="clear" w:color="auto" w:fill="auto"/>
              <w:spacing w:before="0" w:line="360" w:lineRule="auto"/>
              <w:jc w:val="right"/>
              <w:rPr>
                <w:rStyle w:val="13"/>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bottom w:val="single" w:color="auto" w:sz="4" w:space="0"/>
              <w:right w:val="nil"/>
            </w:tcBorders>
            <w:shd w:val="clear" w:color="auto" w:fill="FFFFFF"/>
            <w:noWrap w:val="0"/>
            <w:vAlign w:val="center"/>
          </w:tcPr>
          <w:p w14:paraId="7EE56A75">
            <w:pPr>
              <w:rPr>
                <w:rFonts w:hint="eastAsia" w:ascii="宋体" w:hAnsi="宋体" w:eastAsia="宋体" w:cs="宋体"/>
                <w:color w:val="auto"/>
                <w:szCs w:val="21"/>
                <w:highlight w:val="none"/>
              </w:rPr>
            </w:pPr>
          </w:p>
        </w:tc>
        <w:tc>
          <w:tcPr>
            <w:tcW w:w="928" w:type="dxa"/>
            <w:vMerge w:val="continue"/>
            <w:tcBorders>
              <w:left w:val="single" w:color="auto" w:sz="4" w:space="0"/>
              <w:bottom w:val="single" w:color="auto" w:sz="4" w:space="0"/>
              <w:right w:val="nil"/>
            </w:tcBorders>
            <w:shd w:val="clear" w:color="auto" w:fill="FFFFFF"/>
            <w:noWrap w:val="0"/>
            <w:vAlign w:val="center"/>
          </w:tcPr>
          <w:p w14:paraId="1901091D">
            <w:pPr>
              <w:rPr>
                <w:rStyle w:val="11"/>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14:paraId="78F2978B">
            <w:pPr>
              <w:jc w:val="center"/>
              <w:rPr>
                <w:rFonts w:hint="eastAsia" w:ascii="宋体" w:hAnsi="宋体" w:eastAsia="宋体" w:cs="宋体"/>
                <w:color w:val="auto"/>
                <w:spacing w:val="0"/>
                <w:kern w:val="2"/>
                <w:sz w:val="21"/>
                <w:szCs w:val="21"/>
                <w:highlight w:val="none"/>
                <w:u w:val="none"/>
                <w:lang w:val="en-US" w:eastAsia="zh-CN" w:bidi="ar-SA"/>
              </w:rPr>
            </w:pPr>
            <w:r>
              <w:rPr>
                <w:rStyle w:val="17"/>
                <w:rFonts w:hint="eastAsia" w:ascii="宋体" w:hAnsi="宋体" w:eastAsia="宋体" w:cs="宋体"/>
                <w:color w:val="auto"/>
                <w:sz w:val="21"/>
                <w:szCs w:val="21"/>
                <w:highlight w:val="none"/>
              </w:rPr>
              <w:t>文明施工与环境保护措施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14:paraId="079DAECF">
            <w:pPr>
              <w:spacing w:line="360" w:lineRule="auto"/>
              <w:jc w:val="center"/>
              <w:rPr>
                <w:rFonts w:hint="eastAsia" w:ascii="宋体" w:hAnsi="宋体" w:eastAsia="宋体" w:cs="宋体"/>
                <w:color w:val="auto"/>
                <w:spacing w:val="0"/>
                <w:kern w:val="2"/>
                <w:sz w:val="21"/>
                <w:szCs w:val="21"/>
                <w:highlight w:val="none"/>
                <w:u w:val="single"/>
                <w:lang w:val="en-US" w:eastAsia="zh-CN" w:bidi="ar-SA"/>
              </w:rPr>
            </w:pPr>
            <w:r>
              <w:rPr>
                <w:rStyle w:val="11"/>
                <w:rFonts w:hint="eastAsia" w:ascii="宋体" w:hAnsi="宋体" w:eastAsia="宋体" w:cs="宋体"/>
                <w:color w:val="auto"/>
                <w:sz w:val="21"/>
                <w:szCs w:val="21"/>
                <w:highlight w:val="none"/>
              </w:rPr>
              <w:t>0.5分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F8360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措施针对性好、具体、成熟得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0.4，0.5]</w:t>
            </w:r>
            <w:r>
              <w:rPr>
                <w:rFonts w:hint="eastAsia" w:ascii="宋体" w:hAnsi="宋体" w:eastAsia="宋体" w:cs="宋体"/>
                <w:color w:val="auto"/>
                <w:szCs w:val="21"/>
                <w:highlight w:val="none"/>
                <w:u w:val="single"/>
              </w:rPr>
              <w:t>分；</w:t>
            </w:r>
          </w:p>
          <w:p w14:paraId="0004BD9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措施针对性较好、较具体得</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0.35，0.4]</w:t>
            </w:r>
            <w:r>
              <w:rPr>
                <w:rFonts w:hint="eastAsia" w:ascii="宋体" w:hAnsi="宋体" w:eastAsia="宋体" w:cs="宋体"/>
                <w:color w:val="auto"/>
                <w:szCs w:val="21"/>
                <w:highlight w:val="none"/>
                <w:u w:val="single"/>
              </w:rPr>
              <w:t>分；</w:t>
            </w:r>
          </w:p>
          <w:p w14:paraId="2068216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措施不具体得[0.3，0.3</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]分；</w:t>
            </w:r>
          </w:p>
          <w:p w14:paraId="29F92C6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pacing w:val="0"/>
                <w:kern w:val="2"/>
                <w:sz w:val="21"/>
                <w:szCs w:val="21"/>
                <w:highlight w:val="none"/>
                <w:u w:val="single"/>
                <w:lang w:val="en-US" w:eastAsia="zh-CN" w:bidi="ar-SA"/>
              </w:rPr>
            </w:pPr>
            <w:r>
              <w:rPr>
                <w:rFonts w:hint="eastAsia" w:ascii="宋体" w:hAnsi="宋体" w:eastAsia="宋体" w:cs="宋体"/>
                <w:color w:val="auto"/>
                <w:szCs w:val="21"/>
                <w:highlight w:val="none"/>
                <w:u w:val="single"/>
              </w:rPr>
              <w:t>没有提供文明施工与环境保护措施的，得0分。</w:t>
            </w:r>
          </w:p>
        </w:tc>
      </w:tr>
      <w:bookmarkEnd w:id="4"/>
      <w:tr w14:paraId="18ABDD23">
        <w:tblPrEx>
          <w:tblCellMar>
            <w:top w:w="0" w:type="dxa"/>
            <w:left w:w="0" w:type="dxa"/>
            <w:bottom w:w="0" w:type="dxa"/>
            <w:right w:w="0" w:type="dxa"/>
          </w:tblCellMar>
        </w:tblPrEx>
        <w:trPr>
          <w:gridAfter w:val="1"/>
          <w:wAfter w:w="14" w:type="dxa"/>
          <w:cantSplit/>
          <w:trHeight w:val="23" w:hRule="atLeast"/>
        </w:trPr>
        <w:tc>
          <w:tcPr>
            <w:tcW w:w="996"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147E9C">
            <w:pPr>
              <w:pStyle w:val="9"/>
              <w:shd w:val="clear" w:color="auto" w:fill="FFFFFF"/>
              <w:spacing w:before="0" w:line="360" w:lineRule="auto"/>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val="en-US" w:eastAsia="zh-CN"/>
              </w:rPr>
              <w:t>4</w:t>
            </w:r>
            <w:r>
              <w:rPr>
                <w:rStyle w:val="13"/>
                <w:rFonts w:hint="eastAsia" w:ascii="宋体" w:hAnsi="宋体" w:eastAsia="宋体" w:cs="宋体"/>
                <w:color w:val="auto"/>
                <w:sz w:val="21"/>
                <w:szCs w:val="21"/>
                <w:highlight w:val="none"/>
              </w:rPr>
              <w:t>(2)</w:t>
            </w:r>
          </w:p>
        </w:tc>
        <w:tc>
          <w:tcPr>
            <w:tcW w:w="1273"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4B3F12">
            <w:pPr>
              <w:pStyle w:val="9"/>
              <w:shd w:val="clear" w:color="auto" w:fill="FFFFFF"/>
              <w:spacing w:before="0" w:line="360" w:lineRule="auto"/>
              <w:jc w:val="center"/>
              <w:rPr>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lang w:val="zh-CN"/>
              </w:rPr>
              <w:t>项目管理机构</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163C35">
            <w:pPr>
              <w:snapToGrid w:val="0"/>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分</w:t>
            </w:r>
          </w:p>
        </w:tc>
        <w:tc>
          <w:tcPr>
            <w:tcW w:w="1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F6BC6A">
            <w:pPr>
              <w:jc w:val="center"/>
              <w:rPr>
                <w:rFonts w:hint="eastAsia" w:ascii="宋体" w:hAnsi="宋体" w:eastAsia="宋体" w:cs="宋体"/>
                <w:strike w:val="0"/>
                <w:color w:val="auto"/>
                <w:spacing w:val="0"/>
                <w:kern w:val="2"/>
                <w:sz w:val="21"/>
                <w:szCs w:val="21"/>
                <w:highlight w:val="none"/>
                <w:u w:val="none"/>
                <w:lang w:val="en-US" w:eastAsia="zh-CN" w:bidi="ar-SA"/>
              </w:rPr>
            </w:pPr>
            <w:r>
              <w:rPr>
                <w:rStyle w:val="17"/>
                <w:rFonts w:hint="eastAsia" w:ascii="宋体" w:hAnsi="宋体" w:eastAsia="宋体" w:cs="宋体"/>
                <w:strike w:val="0"/>
                <w:color w:val="auto"/>
                <w:sz w:val="21"/>
                <w:szCs w:val="21"/>
                <w:highlight w:val="none"/>
              </w:rPr>
              <w:t>项目负责人任职资格与业绩</w:t>
            </w:r>
          </w:p>
        </w:tc>
        <w:tc>
          <w:tcPr>
            <w:tcW w:w="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21F8D8">
            <w:pPr>
              <w:spacing w:line="360" w:lineRule="auto"/>
              <w:jc w:val="center"/>
              <w:rPr>
                <w:rFonts w:hint="eastAsia" w:ascii="宋体" w:hAnsi="宋体" w:eastAsia="宋体" w:cs="宋体"/>
                <w:strike w:val="0"/>
                <w:color w:val="auto"/>
                <w:spacing w:val="0"/>
                <w:kern w:val="2"/>
                <w:sz w:val="21"/>
                <w:szCs w:val="21"/>
                <w:highlight w:val="none"/>
                <w:u w:val="none"/>
                <w:lang w:val="en-US" w:eastAsia="zh-CN" w:bidi="ar-SA"/>
              </w:rPr>
            </w:pPr>
            <w:r>
              <w:rPr>
                <w:rStyle w:val="11"/>
                <w:rFonts w:hint="eastAsia" w:ascii="宋体" w:hAnsi="宋体" w:cs="宋体"/>
                <w:strike w:val="0"/>
                <w:color w:val="auto"/>
                <w:sz w:val="21"/>
                <w:szCs w:val="21"/>
                <w:highlight w:val="none"/>
                <w:lang w:val="en-US" w:eastAsia="zh-CN"/>
              </w:rPr>
              <w:t>0.5分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2F54F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1. 项目负责人在满足资格审查条件(项目负责人和项目技术负责人最低要求)时，得0.3分；</w:t>
            </w:r>
          </w:p>
          <w:p w14:paraId="61856D6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2. 拟派的项目负责人具有高级工程师（或以上）技术职称的，得0.1分；</w:t>
            </w:r>
          </w:p>
          <w:p w14:paraId="7E9AC7D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3. 在满足上述1、2项的基础上，拟派的项目负责人2020年6月1日至今【以交（竣）工验收时间为准】另有担任过单项合同金额不少于人民币500万元的质量合格的水运工程施工项目负责人或项目副经理或技术负责人的，得0.1分。本项最高得0.1分。</w:t>
            </w:r>
          </w:p>
          <w:p w14:paraId="72FEFD8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注：（1） 以上三项合计最高得0.5分；</w:t>
            </w:r>
          </w:p>
          <w:p w14:paraId="11EA4CB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szCs w:val="21"/>
                <w:highlight w:val="none"/>
                <w:u w:val="single"/>
                <w:lang w:val="en-US" w:eastAsia="zh-CN"/>
              </w:rPr>
              <w:t>（2）人员相关证明材料要求详见投标人须知前附表中需要补充的其他内容3.5.5项。</w:t>
            </w:r>
          </w:p>
        </w:tc>
      </w:tr>
      <w:tr w14:paraId="61D976BF">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86FE47">
            <w:pPr>
              <w:pStyle w:val="9"/>
              <w:shd w:val="clear" w:color="auto" w:fill="FFFFFF"/>
              <w:spacing w:before="0" w:line="360" w:lineRule="auto"/>
              <w:jc w:val="center"/>
              <w:rPr>
                <w:rStyle w:val="13"/>
                <w:rFonts w:hint="eastAsia" w:ascii="宋体" w:hAnsi="宋体" w:eastAsia="宋体" w:cs="宋体"/>
                <w:color w:val="auto"/>
                <w:sz w:val="21"/>
                <w:szCs w:val="21"/>
                <w:highlight w:val="none"/>
              </w:rPr>
            </w:pPr>
          </w:p>
        </w:tc>
        <w:tc>
          <w:tcPr>
            <w:tcW w:w="1273"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AEF4E8">
            <w:pPr>
              <w:pStyle w:val="9"/>
              <w:shd w:val="clear" w:color="auto" w:fill="FFFFFF"/>
              <w:spacing w:before="0" w:line="360" w:lineRule="auto"/>
              <w:jc w:val="center"/>
              <w:rPr>
                <w:rStyle w:val="11"/>
                <w:rFonts w:hint="eastAsia" w:ascii="宋体" w:hAnsi="宋体" w:eastAsia="宋体" w:cs="宋体"/>
                <w:color w:val="auto"/>
                <w:sz w:val="21"/>
                <w:szCs w:val="21"/>
                <w:highlight w:val="none"/>
                <w:lang w:val="zh-CN"/>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D4D242">
            <w:pPr>
              <w:snapToGrid w:val="0"/>
              <w:spacing w:line="240" w:lineRule="atLeast"/>
              <w:jc w:val="center"/>
              <w:rPr>
                <w:rFonts w:hint="eastAsia" w:ascii="宋体" w:hAnsi="宋体" w:eastAsia="宋体" w:cs="宋体"/>
                <w:color w:val="auto"/>
                <w:szCs w:val="21"/>
                <w:highlight w:val="none"/>
                <w:u w:val="single"/>
                <w:lang w:val="en-US" w:eastAsia="zh-CN"/>
              </w:rPr>
            </w:pPr>
          </w:p>
        </w:tc>
        <w:tc>
          <w:tcPr>
            <w:tcW w:w="13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FDC72">
            <w:pPr>
              <w:jc w:val="center"/>
              <w:rPr>
                <w:rFonts w:hint="eastAsia" w:ascii="宋体" w:hAnsi="宋体" w:eastAsia="宋体" w:cs="宋体"/>
                <w:strike w:val="0"/>
                <w:color w:val="auto"/>
                <w:spacing w:val="0"/>
                <w:kern w:val="2"/>
                <w:sz w:val="21"/>
                <w:szCs w:val="21"/>
                <w:highlight w:val="none"/>
                <w:u w:val="none"/>
                <w:lang w:val="en-US" w:eastAsia="zh-CN" w:bidi="ar-SA"/>
              </w:rPr>
            </w:pPr>
            <w:r>
              <w:rPr>
                <w:rStyle w:val="17"/>
                <w:rFonts w:hint="eastAsia" w:ascii="宋体" w:hAnsi="宋体" w:eastAsia="宋体" w:cs="宋体"/>
                <w:strike w:val="0"/>
                <w:color w:val="auto"/>
                <w:sz w:val="21"/>
                <w:szCs w:val="21"/>
                <w:highlight w:val="none"/>
              </w:rPr>
              <w:t>项目技术负责人任职资格与业绩</w:t>
            </w:r>
          </w:p>
        </w:tc>
        <w:tc>
          <w:tcPr>
            <w:tcW w:w="6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1C813">
            <w:pPr>
              <w:spacing w:line="360" w:lineRule="auto"/>
              <w:jc w:val="center"/>
              <w:rPr>
                <w:rFonts w:hint="eastAsia" w:ascii="宋体" w:hAnsi="宋体" w:eastAsia="宋体" w:cs="宋体"/>
                <w:strike w:val="0"/>
                <w:color w:val="auto"/>
                <w:spacing w:val="0"/>
                <w:kern w:val="2"/>
                <w:sz w:val="21"/>
                <w:szCs w:val="21"/>
                <w:highlight w:val="none"/>
                <w:u w:val="none"/>
                <w:lang w:val="en-US" w:eastAsia="zh-CN" w:bidi="ar-SA"/>
              </w:rPr>
            </w:pPr>
            <w:r>
              <w:rPr>
                <w:rStyle w:val="11"/>
                <w:rFonts w:hint="eastAsia" w:ascii="宋体" w:hAnsi="宋体" w:cs="宋体"/>
                <w:strike w:val="0"/>
                <w:color w:val="auto"/>
                <w:sz w:val="21"/>
                <w:szCs w:val="21"/>
                <w:highlight w:val="none"/>
                <w:lang w:val="en-US" w:eastAsia="zh-CN"/>
              </w:rPr>
              <w:t>0.5分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7069D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1. 项目技术负责人在满足资格审查条件(项目负责人和项目技术负责人最低要求)时，得0.3分；</w:t>
            </w:r>
          </w:p>
          <w:p w14:paraId="0E89490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2. 拟派的项目技术负责人具有高级工程师（或以上）技术职称的，得0.1分；</w:t>
            </w:r>
          </w:p>
          <w:p w14:paraId="7E8FDE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3.在满足上述1、2项的基础上，拟派的项目技术负责人2020年6月1日至今【以交（竣）工验收时间为准】另有担任过单项合同金额不少于人民币500万元的质量合格的水运工程施工项目经理或分管生产的项目副经理或项目技术负责人（总工程师）或技术部门主要负责人或工程部门主要负责人的，得0.1分。本项最高得0.1分。</w:t>
            </w:r>
          </w:p>
          <w:p w14:paraId="1612105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zCs w:val="21"/>
                <w:highlight w:val="none"/>
                <w:u w:val="single"/>
                <w:lang w:val="en-US" w:eastAsia="zh-CN"/>
              </w:rPr>
            </w:pPr>
            <w:r>
              <w:rPr>
                <w:rFonts w:hint="eastAsia" w:ascii="宋体" w:hAnsi="宋体" w:eastAsia="宋体" w:cs="宋体"/>
                <w:strike w:val="0"/>
                <w:color w:val="auto"/>
                <w:szCs w:val="21"/>
                <w:highlight w:val="none"/>
                <w:u w:val="single"/>
                <w:lang w:val="en-US" w:eastAsia="zh-CN"/>
              </w:rPr>
              <w:t>注：（1） 以上三项合计最高得0.5分；</w:t>
            </w:r>
          </w:p>
          <w:p w14:paraId="3ECBCD9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val="0"/>
                <w:color w:val="auto"/>
                <w:spacing w:val="0"/>
                <w:kern w:val="2"/>
                <w:sz w:val="21"/>
                <w:szCs w:val="21"/>
                <w:highlight w:val="none"/>
                <w:u w:val="none"/>
                <w:lang w:val="en-US" w:eastAsia="zh-CN" w:bidi="ar-SA"/>
              </w:rPr>
            </w:pPr>
            <w:r>
              <w:rPr>
                <w:rFonts w:hint="eastAsia" w:ascii="宋体" w:hAnsi="宋体" w:eastAsia="宋体" w:cs="宋体"/>
                <w:strike w:val="0"/>
                <w:color w:val="auto"/>
                <w:szCs w:val="21"/>
                <w:highlight w:val="none"/>
                <w:u w:val="single"/>
                <w:lang w:val="en-US" w:eastAsia="zh-CN"/>
              </w:rPr>
              <w:t>（2）人员相关证明材料要求详见投标人须知前附表中需要补充的其他内容3.5.5项。</w:t>
            </w:r>
          </w:p>
        </w:tc>
      </w:tr>
      <w:tr w14:paraId="71178250">
        <w:tblPrEx>
          <w:tblCellMar>
            <w:top w:w="0" w:type="dxa"/>
            <w:left w:w="0" w:type="dxa"/>
            <w:bottom w:w="0" w:type="dxa"/>
            <w:right w:w="0" w:type="dxa"/>
          </w:tblCellMar>
        </w:tblPrEx>
        <w:trPr>
          <w:gridAfter w:val="1"/>
          <w:wAfter w:w="14" w:type="dxa"/>
          <w:cantSplit/>
          <w:trHeight w:val="23" w:hRule="atLeast"/>
        </w:trPr>
        <w:tc>
          <w:tcPr>
            <w:tcW w:w="99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7AA1DD">
            <w:pPr>
              <w:pStyle w:val="9"/>
              <w:keepNext w:val="0"/>
              <w:keepLines w:val="0"/>
              <w:pageBreakBefore w:val="0"/>
              <w:widowControl w:val="0"/>
              <w:shd w:val="clear" w:color="auto" w:fill="FFFFFF"/>
              <w:kinsoku/>
              <w:wordWrap/>
              <w:overflowPunct/>
              <w:topLinePunct w:val="0"/>
              <w:autoSpaceDE/>
              <w:autoSpaceDN/>
              <w:bidi w:val="0"/>
              <w:adjustRightInd/>
              <w:spacing w:before="0" w:line="240" w:lineRule="auto"/>
              <w:jc w:val="center"/>
              <w:textAlignment w:val="auto"/>
              <w:rPr>
                <w:rStyle w:val="13"/>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val="en-US" w:eastAsia="zh-CN"/>
              </w:rPr>
              <w:t>4</w:t>
            </w:r>
            <w:r>
              <w:rPr>
                <w:rStyle w:val="13"/>
                <w:rFonts w:hint="eastAsia" w:ascii="宋体" w:hAnsi="宋体" w:eastAsia="宋体" w:cs="宋体"/>
                <w:color w:val="auto"/>
                <w:sz w:val="21"/>
                <w:szCs w:val="21"/>
                <w:highlight w:val="none"/>
              </w:rPr>
              <w:t>(</w:t>
            </w:r>
            <w:r>
              <w:rPr>
                <w:rStyle w:val="13"/>
                <w:rFonts w:hint="eastAsia" w:ascii="宋体" w:hAnsi="宋体" w:eastAsia="宋体" w:cs="宋体"/>
                <w:color w:val="auto"/>
                <w:sz w:val="21"/>
                <w:szCs w:val="21"/>
                <w:highlight w:val="none"/>
                <w:lang w:val="en-US" w:eastAsia="zh-CN"/>
              </w:rPr>
              <w:t>3</w:t>
            </w:r>
            <w:r>
              <w:rPr>
                <w:rStyle w:val="13"/>
                <w:rFonts w:hint="eastAsia" w:ascii="宋体" w:hAnsi="宋体" w:eastAsia="宋体" w:cs="宋体"/>
                <w:color w:val="auto"/>
                <w:sz w:val="21"/>
                <w:szCs w:val="21"/>
                <w:highlight w:val="none"/>
              </w:rPr>
              <w:t>)</w:t>
            </w:r>
          </w:p>
        </w:tc>
        <w:tc>
          <w:tcPr>
            <w:tcW w:w="127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FC0848">
            <w:pPr>
              <w:pStyle w:val="9"/>
              <w:keepNext w:val="0"/>
              <w:keepLines w:val="0"/>
              <w:pageBreakBefore w:val="0"/>
              <w:widowControl w:val="0"/>
              <w:shd w:val="clear" w:color="auto" w:fill="FFFFFF"/>
              <w:kinsoku/>
              <w:wordWrap/>
              <w:overflowPunct/>
              <w:topLinePunct w:val="0"/>
              <w:autoSpaceDE/>
              <w:autoSpaceDN/>
              <w:bidi w:val="0"/>
              <w:adjustRightInd/>
              <w:spacing w:before="0" w:line="240" w:lineRule="auto"/>
              <w:jc w:val="center"/>
              <w:textAlignment w:val="auto"/>
              <w:rPr>
                <w:rStyle w:val="11"/>
                <w:rFonts w:hint="eastAsia" w:ascii="宋体" w:hAnsi="宋体" w:eastAsia="宋体" w:cs="宋体"/>
                <w:color w:val="auto"/>
                <w:sz w:val="21"/>
                <w:szCs w:val="21"/>
                <w:highlight w:val="none"/>
                <w:lang w:val="en-US" w:eastAsia="zh-CN"/>
              </w:rPr>
            </w:pPr>
            <w:r>
              <w:rPr>
                <w:rStyle w:val="11"/>
                <w:rFonts w:hint="eastAsia" w:ascii="宋体" w:hAnsi="宋体" w:eastAsia="宋体" w:cs="宋体"/>
                <w:color w:val="auto"/>
                <w:sz w:val="21"/>
                <w:szCs w:val="21"/>
                <w:highlight w:val="none"/>
                <w:lang w:val="en-US" w:eastAsia="zh-CN"/>
              </w:rPr>
              <w:t>评标价</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C0D3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80</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82D7C6">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评标价得分计算公式示例：</w:t>
            </w:r>
          </w:p>
          <w:p w14:paraId="3EBE5F38">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(1)如果投标人的评标价&gt;评标基准价，则评标价得分＝F－偏差率×100× D1；D1取</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p>
          <w:p w14:paraId="4F866B62">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(2)如果投标人的评标价≤评标基准价，则评标价得分＝F＋偏差率× 100×D2；D2＝</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p>
          <w:p w14:paraId="49431720">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val="en-US" w:eastAsia="zh-CN"/>
              </w:rPr>
              <w:t>F=80。</w:t>
            </w:r>
            <w:r>
              <w:rPr>
                <w:rFonts w:hint="eastAsia" w:ascii="宋体" w:hAnsi="宋体" w:eastAsia="宋体" w:cs="宋体"/>
                <w:color w:val="auto"/>
                <w:szCs w:val="21"/>
                <w:highlight w:val="none"/>
                <w:lang w:val="en-US" w:eastAsia="zh-CN"/>
              </w:rPr>
              <w:t xml:space="preserve">   </w:t>
            </w:r>
          </w:p>
          <w:p w14:paraId="691EA848">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注：评标价得分计算保留小数点后四位，小数点后第五位“四舍五入”</w:t>
            </w:r>
          </w:p>
        </w:tc>
      </w:tr>
      <w:tr w14:paraId="679C7962">
        <w:tblPrEx>
          <w:tblCellMar>
            <w:top w:w="0" w:type="dxa"/>
            <w:left w:w="0" w:type="dxa"/>
            <w:bottom w:w="0" w:type="dxa"/>
            <w:right w:w="0" w:type="dxa"/>
          </w:tblCellMar>
        </w:tblPrEx>
        <w:trPr>
          <w:gridAfter w:val="1"/>
          <w:wAfter w:w="14" w:type="dxa"/>
          <w:cantSplit/>
          <w:trHeight w:val="90" w:hRule="atLeast"/>
        </w:trPr>
        <w:tc>
          <w:tcPr>
            <w:tcW w:w="996"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8DFF21">
            <w:pPr>
              <w:pStyle w:val="9"/>
              <w:shd w:val="clear" w:color="auto" w:fill="auto"/>
              <w:spacing w:before="0" w:line="360" w:lineRule="auto"/>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2.2.</w:t>
            </w:r>
            <w:r>
              <w:rPr>
                <w:rStyle w:val="13"/>
                <w:rFonts w:hint="eastAsia" w:ascii="宋体" w:hAnsi="宋体" w:eastAsia="宋体" w:cs="宋体"/>
                <w:color w:val="auto"/>
                <w:sz w:val="21"/>
                <w:szCs w:val="21"/>
                <w:highlight w:val="none"/>
                <w:lang w:val="en-US" w:eastAsia="zh-CN"/>
              </w:rPr>
              <w:t>4</w:t>
            </w:r>
            <w:r>
              <w:rPr>
                <w:rStyle w:val="13"/>
                <w:rFonts w:hint="eastAsia" w:ascii="宋体" w:hAnsi="宋体" w:eastAsia="宋体" w:cs="宋体"/>
                <w:color w:val="auto"/>
                <w:sz w:val="21"/>
                <w:szCs w:val="21"/>
                <w:highlight w:val="none"/>
              </w:rPr>
              <w:t>（</w:t>
            </w:r>
            <w:r>
              <w:rPr>
                <w:rStyle w:val="13"/>
                <w:rFonts w:hint="eastAsia" w:ascii="宋体" w:hAnsi="宋体" w:eastAsia="宋体" w:cs="宋体"/>
                <w:color w:val="auto"/>
                <w:sz w:val="21"/>
                <w:szCs w:val="21"/>
                <w:highlight w:val="none"/>
                <w:lang w:val="en-US" w:eastAsia="zh-CN"/>
              </w:rPr>
              <w:t>4</w:t>
            </w:r>
            <w:r>
              <w:rPr>
                <w:rStyle w:val="13"/>
                <w:rFonts w:hint="eastAsia" w:ascii="宋体" w:hAnsi="宋体" w:eastAsia="宋体" w:cs="宋体"/>
                <w:color w:val="auto"/>
                <w:sz w:val="21"/>
                <w:szCs w:val="21"/>
                <w:highlight w:val="none"/>
              </w:rPr>
              <w:t>）</w:t>
            </w:r>
          </w:p>
        </w:tc>
        <w:tc>
          <w:tcPr>
            <w:tcW w:w="53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6D6EAC">
            <w:pPr>
              <w:pStyle w:val="9"/>
              <w:shd w:val="clear" w:color="auto" w:fill="auto"/>
              <w:spacing w:before="0" w:line="360" w:lineRule="auto"/>
              <w:jc w:val="center"/>
              <w:rPr>
                <w:rFonts w:hint="eastAsia" w:ascii="宋体" w:hAnsi="宋体" w:eastAsia="宋体" w:cs="宋体"/>
                <w:color w:val="auto"/>
                <w:sz w:val="21"/>
                <w:szCs w:val="21"/>
                <w:highlight w:val="none"/>
              </w:rPr>
            </w:pPr>
          </w:p>
          <w:p w14:paraId="49B61266">
            <w:pPr>
              <w:pStyle w:val="9"/>
              <w:shd w:val="clear" w:color="auto" w:fill="auto"/>
              <w:spacing w:before="0" w:line="360" w:lineRule="auto"/>
              <w:jc w:val="center"/>
              <w:rPr>
                <w:rFonts w:hint="eastAsia" w:ascii="宋体" w:hAnsi="宋体" w:eastAsia="宋体" w:cs="宋体"/>
                <w:color w:val="auto"/>
                <w:sz w:val="21"/>
                <w:szCs w:val="21"/>
                <w:highlight w:val="none"/>
              </w:rPr>
            </w:pPr>
          </w:p>
          <w:p w14:paraId="29018C66">
            <w:pPr>
              <w:pStyle w:val="9"/>
              <w:shd w:val="clear" w:color="auto" w:fill="auto"/>
              <w:spacing w:before="0" w:line="360" w:lineRule="auto"/>
              <w:jc w:val="center"/>
              <w:rPr>
                <w:rStyle w:val="13"/>
                <w:rFonts w:hint="eastAsia" w:ascii="宋体" w:hAnsi="宋体" w:eastAsia="宋体" w:cs="宋体"/>
                <w:color w:val="auto"/>
                <w:sz w:val="21"/>
                <w:szCs w:val="21"/>
                <w:highlight w:val="none"/>
              </w:rPr>
            </w:pPr>
          </w:p>
          <w:p w14:paraId="0985F172">
            <w:pPr>
              <w:pStyle w:val="9"/>
              <w:shd w:val="clear" w:color="auto" w:fill="auto"/>
              <w:spacing w:before="0" w:line="360" w:lineRule="auto"/>
              <w:jc w:val="center"/>
              <w:rPr>
                <w:rStyle w:val="13"/>
                <w:rFonts w:hint="eastAsia" w:ascii="宋体" w:hAnsi="宋体" w:eastAsia="宋体" w:cs="宋体"/>
                <w:color w:val="auto"/>
                <w:sz w:val="21"/>
                <w:szCs w:val="21"/>
                <w:highlight w:val="none"/>
              </w:rPr>
            </w:pPr>
          </w:p>
          <w:p w14:paraId="474A958B">
            <w:pPr>
              <w:pStyle w:val="9"/>
              <w:shd w:val="clear" w:color="auto" w:fill="auto"/>
              <w:spacing w:before="0" w:line="360" w:lineRule="auto"/>
              <w:jc w:val="center"/>
              <w:rPr>
                <w:rStyle w:val="13"/>
                <w:rFonts w:hint="eastAsia" w:ascii="宋体" w:hAnsi="宋体" w:eastAsia="宋体" w:cs="宋体"/>
                <w:color w:val="auto"/>
                <w:sz w:val="21"/>
                <w:szCs w:val="21"/>
                <w:highlight w:val="none"/>
                <w:lang w:eastAsia="zh-CN"/>
              </w:rPr>
            </w:pPr>
            <w:r>
              <w:rPr>
                <w:rStyle w:val="13"/>
                <w:rFonts w:hint="eastAsia" w:ascii="宋体" w:hAnsi="宋体" w:eastAsia="宋体" w:cs="宋体"/>
                <w:color w:val="auto"/>
                <w:sz w:val="21"/>
                <w:szCs w:val="21"/>
                <w:highlight w:val="none"/>
              </w:rPr>
              <w:t>其他</w:t>
            </w:r>
          </w:p>
          <w:p w14:paraId="4A629D6B">
            <w:pPr>
              <w:pStyle w:val="9"/>
              <w:shd w:val="clear" w:color="auto" w:fill="auto"/>
              <w:spacing w:before="0" w:line="360" w:lineRule="auto"/>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因素</w:t>
            </w:r>
          </w:p>
          <w:p w14:paraId="531A45A0">
            <w:pPr>
              <w:pStyle w:val="9"/>
              <w:shd w:val="clear" w:color="auto" w:fill="auto"/>
              <w:spacing w:before="0" w:line="360" w:lineRule="auto"/>
              <w:jc w:val="center"/>
              <w:rPr>
                <w:rFonts w:hint="eastAsia" w:ascii="宋体" w:hAnsi="宋体" w:eastAsia="宋体" w:cs="宋体"/>
                <w:color w:val="auto"/>
                <w:sz w:val="21"/>
                <w:szCs w:val="21"/>
                <w:highlight w:val="none"/>
              </w:rPr>
            </w:pPr>
          </w:p>
          <w:p w14:paraId="29CC1CAF">
            <w:pPr>
              <w:pStyle w:val="9"/>
              <w:shd w:val="clear" w:color="auto" w:fill="auto"/>
              <w:spacing w:before="0" w:line="360" w:lineRule="auto"/>
              <w:jc w:val="center"/>
              <w:rPr>
                <w:rFonts w:hint="eastAsia" w:ascii="宋体" w:hAnsi="宋体" w:eastAsia="宋体" w:cs="宋体"/>
                <w:color w:val="auto"/>
                <w:sz w:val="21"/>
                <w:szCs w:val="21"/>
                <w:highlight w:val="none"/>
              </w:rPr>
            </w:pPr>
          </w:p>
          <w:p w14:paraId="623BC4D5">
            <w:pPr>
              <w:pStyle w:val="9"/>
              <w:shd w:val="clear" w:color="auto" w:fill="auto"/>
              <w:spacing w:before="0" w:line="360" w:lineRule="auto"/>
              <w:jc w:val="center"/>
              <w:rPr>
                <w:rFonts w:hint="eastAsia" w:ascii="宋体" w:hAnsi="宋体" w:eastAsia="宋体" w:cs="宋体"/>
                <w:color w:val="auto"/>
                <w:sz w:val="21"/>
                <w:szCs w:val="21"/>
                <w:highlight w:val="none"/>
              </w:rPr>
            </w:pPr>
          </w:p>
          <w:p w14:paraId="2B9E952D">
            <w:pPr>
              <w:pStyle w:val="9"/>
              <w:shd w:val="clear" w:color="auto" w:fill="auto"/>
              <w:spacing w:before="0" w:line="360" w:lineRule="auto"/>
              <w:jc w:val="center"/>
              <w:rPr>
                <w:rFonts w:hint="eastAsia" w:ascii="宋体" w:hAnsi="宋体" w:eastAsia="宋体" w:cs="宋体"/>
                <w:color w:val="auto"/>
                <w:sz w:val="21"/>
                <w:szCs w:val="21"/>
                <w:highlight w:val="none"/>
              </w:rPr>
            </w:pPr>
          </w:p>
          <w:p w14:paraId="7937BC3B">
            <w:pPr>
              <w:pStyle w:val="9"/>
              <w:shd w:val="clear" w:color="auto" w:fill="auto"/>
              <w:spacing w:before="0" w:line="360" w:lineRule="auto"/>
              <w:jc w:val="center"/>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CAA76F">
            <w:pPr>
              <w:pStyle w:val="9"/>
              <w:shd w:val="clear" w:color="auto" w:fill="auto"/>
              <w:spacing w:before="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w:t>
            </w:r>
          </w:p>
          <w:p w14:paraId="0F32A6C6">
            <w:pPr>
              <w:pStyle w:val="9"/>
              <w:shd w:val="clear" w:color="auto" w:fill="auto"/>
              <w:spacing w:before="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信誉</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74175E">
            <w:pPr>
              <w:jc w:val="center"/>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z w:val="21"/>
                <w:szCs w:val="21"/>
                <w:highlight w:val="none"/>
                <w:u w:val="single"/>
              </w:rPr>
              <w:t>1</w:t>
            </w:r>
            <w:r>
              <w:rPr>
                <w:rStyle w:val="11"/>
                <w:rFonts w:hint="eastAsia" w:ascii="宋体" w:hAnsi="宋体" w:cs="宋体"/>
                <w:color w:val="auto"/>
                <w:sz w:val="21"/>
                <w:szCs w:val="21"/>
                <w:highlight w:val="none"/>
                <w:u w:val="single"/>
                <w:lang w:val="en-US" w:eastAsia="zh-CN"/>
              </w:rPr>
              <w:t>0</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01FA04">
            <w:pPr>
              <w:keepNext w:val="0"/>
              <w:keepLines w:val="0"/>
              <w:pageBreakBefore w:val="0"/>
              <w:widowControl w:val="0"/>
              <w:kinsoku/>
              <w:wordWrap/>
              <w:overflowPunct/>
              <w:topLinePunct w:val="0"/>
              <w:autoSpaceDE/>
              <w:autoSpaceDN/>
              <w:bidi w:val="0"/>
              <w:adjustRightInd/>
              <w:snapToGrid w:val="0"/>
              <w:spacing w:line="360" w:lineRule="exact"/>
              <w:ind w:firstLine="105" w:firstLineChars="5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 信用等级分值（</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p w14:paraId="2B165E69">
            <w:pPr>
              <w:keepNext w:val="0"/>
              <w:keepLines w:val="0"/>
              <w:pageBreakBefore w:val="0"/>
              <w:widowControl w:val="0"/>
              <w:kinsoku/>
              <w:wordWrap/>
              <w:overflowPunct/>
              <w:topLinePunct w:val="0"/>
              <w:autoSpaceDE/>
              <w:autoSpaceDN/>
              <w:bidi w:val="0"/>
              <w:adjustRightInd/>
              <w:snapToGrid w:val="0"/>
              <w:spacing w:line="360" w:lineRule="exact"/>
              <w:ind w:firstLine="525" w:firstLineChars="25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AA、A、B、C级单位的信用等级分得分分别为5.00、4.75、4.45、3.65分。</w:t>
            </w:r>
          </w:p>
          <w:p w14:paraId="3456800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注：信用等级的确定原则遵循投标人须知前附表10.2款的规定。</w:t>
            </w:r>
          </w:p>
          <w:p w14:paraId="3C2D9EE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 履约情况（5分）</w:t>
            </w:r>
          </w:p>
          <w:p w14:paraId="63334698">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若没出现下述情形得满分；</w:t>
            </w:r>
          </w:p>
          <w:p w14:paraId="7AC8D66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投标文件递交截止日前1年内，投标人因水运工程</w:t>
            </w:r>
            <w:r>
              <w:rPr>
                <w:rFonts w:hint="eastAsia" w:ascii="宋体" w:hAnsi="宋体" w:eastAsia="宋体" w:cs="Times New Roman"/>
                <w:color w:val="auto"/>
                <w:kern w:val="2"/>
                <w:sz w:val="21"/>
                <w:szCs w:val="21"/>
                <w:highlight w:val="none"/>
                <w:lang w:val="zh-CN" w:eastAsia="zh-CN" w:bidi="ar-SA"/>
              </w:rPr>
              <w:t>（含附属设施）建设项目</w:t>
            </w:r>
            <w:r>
              <w:rPr>
                <w:rFonts w:hint="eastAsia" w:ascii="宋体" w:hAnsi="宋体" w:eastAsia="宋体" w:cs="Times New Roman"/>
                <w:color w:val="auto"/>
                <w:kern w:val="2"/>
                <w:sz w:val="21"/>
                <w:szCs w:val="21"/>
                <w:highlight w:val="none"/>
                <w:lang w:val="en-US" w:eastAsia="zh-CN" w:bidi="ar-SA"/>
              </w:rPr>
              <w:t>质量、安全、履约或招标投标问题等原因被：</w:t>
            </w:r>
          </w:p>
          <w:p w14:paraId="33C65698">
            <w:pPr>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jc w:val="both"/>
              <w:textAlignment w:val="auto"/>
              <w:rPr>
                <w:rFonts w:ascii="宋体" w:hAnsi="宋体" w:eastAsia="宋体" w:cs="宋体"/>
                <w:color w:val="auto"/>
                <w:kern w:val="2"/>
                <w:sz w:val="21"/>
                <w:szCs w:val="21"/>
                <w:highlight w:val="none"/>
                <w:lang w:val="zh-CN" w:eastAsia="zh-CN" w:bidi="zh-CN"/>
              </w:rPr>
            </w:pPr>
            <w:r>
              <w:rPr>
                <w:rFonts w:ascii="宋体" w:hAnsi="宋体" w:eastAsia="宋体" w:cs="宋体"/>
                <w:color w:val="auto"/>
                <w:kern w:val="2"/>
                <w:sz w:val="21"/>
                <w:szCs w:val="21"/>
                <w:highlight w:val="none"/>
                <w:lang w:val="zh-CN" w:eastAsia="zh-CN" w:bidi="zh-CN"/>
              </w:rPr>
              <w:t>（1）交通运输部行政处罚的，扣5分/次</w:t>
            </w:r>
            <w:r>
              <w:rPr>
                <w:rFonts w:hint="eastAsia" w:ascii="宋体" w:hAnsi="宋体" w:eastAsia="宋体" w:cs="宋体"/>
                <w:color w:val="auto"/>
                <w:kern w:val="2"/>
                <w:sz w:val="21"/>
                <w:szCs w:val="21"/>
                <w:highlight w:val="none"/>
                <w:lang w:val="zh-CN" w:eastAsia="zh-CN" w:bidi="zh-CN"/>
              </w:rPr>
              <w:t>。</w:t>
            </w:r>
          </w:p>
          <w:p w14:paraId="3A6817E3">
            <w:pPr>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jc w:val="both"/>
              <w:textAlignment w:val="auto"/>
              <w:rPr>
                <w:rFonts w:hint="eastAsia" w:ascii="宋体" w:hAnsi="宋体" w:eastAsia="宋体" w:cs="宋体"/>
                <w:color w:val="auto"/>
                <w:kern w:val="2"/>
                <w:sz w:val="21"/>
                <w:szCs w:val="21"/>
                <w:highlight w:val="none"/>
                <w:lang w:val="zh-CN" w:eastAsia="zh-CN" w:bidi="zh-CN"/>
              </w:rPr>
            </w:pPr>
            <w:r>
              <w:rPr>
                <w:rFonts w:ascii="宋体" w:hAnsi="宋体" w:eastAsia="宋体" w:cs="宋体"/>
                <w:color w:val="auto"/>
                <w:kern w:val="2"/>
                <w:sz w:val="21"/>
                <w:szCs w:val="21"/>
                <w:highlight w:val="none"/>
                <w:lang w:val="zh-CN" w:eastAsia="zh-CN" w:bidi="zh-CN"/>
              </w:rPr>
              <w:t>（2）广东省交通运输厅行政处罚的，扣</w:t>
            </w:r>
            <w:r>
              <w:rPr>
                <w:rFonts w:hint="eastAsia" w:ascii="宋体" w:hAnsi="宋体" w:eastAsia="宋体" w:cs="宋体"/>
                <w:color w:val="auto"/>
                <w:kern w:val="2"/>
                <w:sz w:val="21"/>
                <w:szCs w:val="21"/>
                <w:highlight w:val="none"/>
                <w:lang w:val="zh-CN" w:eastAsia="zh-CN" w:bidi="zh-CN"/>
              </w:rPr>
              <w:t>3</w:t>
            </w:r>
            <w:r>
              <w:rPr>
                <w:rFonts w:ascii="宋体" w:hAnsi="宋体" w:eastAsia="宋体" w:cs="宋体"/>
                <w:color w:val="auto"/>
                <w:kern w:val="2"/>
                <w:sz w:val="21"/>
                <w:szCs w:val="21"/>
                <w:highlight w:val="none"/>
                <w:lang w:val="zh-CN" w:eastAsia="zh-CN" w:bidi="zh-CN"/>
              </w:rPr>
              <w:t>分/次</w:t>
            </w:r>
            <w:r>
              <w:rPr>
                <w:rFonts w:hint="eastAsia" w:ascii="宋体" w:hAnsi="宋体" w:eastAsia="宋体" w:cs="宋体"/>
                <w:color w:val="auto"/>
                <w:kern w:val="2"/>
                <w:sz w:val="21"/>
                <w:szCs w:val="21"/>
                <w:highlight w:val="none"/>
                <w:lang w:val="zh-CN" w:eastAsia="zh-CN" w:bidi="zh-CN"/>
              </w:rPr>
              <w:t>。</w:t>
            </w:r>
          </w:p>
          <w:p w14:paraId="627CE947">
            <w:pPr>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jc w:val="both"/>
              <w:textAlignment w:val="auto"/>
              <w:rPr>
                <w:rFonts w:ascii="宋体" w:hAnsi="宋体" w:eastAsia="宋体" w:cs="宋体"/>
                <w:color w:val="auto"/>
                <w:kern w:val="2"/>
                <w:sz w:val="21"/>
                <w:szCs w:val="21"/>
                <w:highlight w:val="none"/>
                <w:u w:val="single"/>
                <w:lang w:val="zh-CN" w:eastAsia="zh-CN" w:bidi="zh-CN"/>
              </w:rPr>
            </w:pPr>
            <w:r>
              <w:rPr>
                <w:rFonts w:ascii="宋体" w:hAnsi="宋体" w:eastAsia="宋体" w:cs="宋体"/>
                <w:color w:val="auto"/>
                <w:kern w:val="2"/>
                <w:sz w:val="21"/>
                <w:szCs w:val="21"/>
                <w:highlight w:val="none"/>
                <w:u w:val="single"/>
                <w:lang w:val="zh-CN" w:eastAsia="zh-CN" w:bidi="zh-CN"/>
              </w:rPr>
              <w:t>（</w:t>
            </w:r>
            <w:r>
              <w:rPr>
                <w:rFonts w:hint="eastAsia" w:ascii="宋体" w:hAnsi="宋体" w:eastAsia="宋体" w:cs="宋体"/>
                <w:color w:val="auto"/>
                <w:kern w:val="2"/>
                <w:sz w:val="21"/>
                <w:szCs w:val="21"/>
                <w:highlight w:val="none"/>
                <w:u w:val="single"/>
                <w:lang w:val="zh-CN" w:eastAsia="zh-CN" w:bidi="zh-CN"/>
              </w:rPr>
              <w:t>3</w:t>
            </w:r>
            <w:r>
              <w:rPr>
                <w:rFonts w:ascii="宋体" w:hAnsi="宋体" w:eastAsia="宋体" w:cs="宋体"/>
                <w:color w:val="auto"/>
                <w:kern w:val="2"/>
                <w:sz w:val="21"/>
                <w:szCs w:val="21"/>
                <w:highlight w:val="none"/>
                <w:u w:val="single"/>
                <w:lang w:val="zh-CN" w:eastAsia="zh-CN" w:bidi="zh-CN"/>
              </w:rPr>
              <w:t>）项目所在地</w:t>
            </w:r>
            <w:r>
              <w:rPr>
                <w:rFonts w:hint="eastAsia" w:ascii="宋体" w:hAnsi="宋体" w:eastAsia="宋体" w:cs="宋体"/>
                <w:color w:val="auto"/>
                <w:kern w:val="2"/>
                <w:sz w:val="21"/>
                <w:szCs w:val="21"/>
                <w:highlight w:val="none"/>
                <w:u w:val="single"/>
                <w:lang w:val="zh-CN" w:eastAsia="zh-CN" w:bidi="zh-CN"/>
              </w:rPr>
              <w:t>地级以上市</w:t>
            </w:r>
            <w:r>
              <w:rPr>
                <w:rFonts w:ascii="宋体" w:hAnsi="宋体" w:eastAsia="宋体" w:cs="宋体"/>
                <w:color w:val="auto"/>
                <w:kern w:val="2"/>
                <w:sz w:val="21"/>
                <w:szCs w:val="21"/>
                <w:highlight w:val="none"/>
                <w:u w:val="single"/>
                <w:lang w:val="zh-CN" w:eastAsia="zh-CN" w:bidi="zh-CN"/>
              </w:rPr>
              <w:t>交通</w:t>
            </w:r>
            <w:r>
              <w:rPr>
                <w:rFonts w:hint="eastAsia" w:ascii="宋体" w:hAnsi="宋体" w:eastAsia="宋体" w:cs="宋体"/>
                <w:color w:val="auto"/>
                <w:kern w:val="2"/>
                <w:sz w:val="21"/>
                <w:szCs w:val="21"/>
                <w:highlight w:val="none"/>
                <w:u w:val="single"/>
                <w:lang w:val="zh-CN" w:eastAsia="zh-CN" w:bidi="zh-CN"/>
              </w:rPr>
              <w:t>运输</w:t>
            </w:r>
            <w:r>
              <w:rPr>
                <w:rFonts w:hint="eastAsia" w:ascii="宋体" w:hAnsi="宋体" w:eastAsia="宋体" w:cs="宋体"/>
                <w:color w:val="auto"/>
                <w:kern w:val="2"/>
                <w:sz w:val="21"/>
                <w:szCs w:val="21"/>
                <w:highlight w:val="none"/>
                <w:u w:val="single"/>
                <w:lang w:val="en-US" w:eastAsia="zh-CN" w:bidi="zh-CN"/>
              </w:rPr>
              <w:t>局</w:t>
            </w:r>
            <w:r>
              <w:rPr>
                <w:rFonts w:ascii="宋体" w:hAnsi="宋体" w:eastAsia="宋体" w:cs="宋体"/>
                <w:color w:val="auto"/>
                <w:kern w:val="2"/>
                <w:sz w:val="21"/>
                <w:szCs w:val="21"/>
                <w:highlight w:val="none"/>
                <w:u w:val="single"/>
                <w:lang w:val="zh-CN" w:eastAsia="zh-CN" w:bidi="zh-CN"/>
              </w:rPr>
              <w:t>行政处罚的，扣</w:t>
            </w:r>
            <w:r>
              <w:rPr>
                <w:rFonts w:hint="eastAsia" w:ascii="宋体" w:hAnsi="宋体" w:eastAsia="宋体" w:cs="宋体"/>
                <w:color w:val="auto"/>
                <w:kern w:val="2"/>
                <w:sz w:val="21"/>
                <w:szCs w:val="21"/>
                <w:highlight w:val="none"/>
                <w:u w:val="single"/>
                <w:lang w:val="zh-CN" w:eastAsia="zh-CN" w:bidi="zh-CN"/>
              </w:rPr>
              <w:t>1.5</w:t>
            </w:r>
            <w:r>
              <w:rPr>
                <w:rFonts w:ascii="宋体" w:hAnsi="宋体" w:eastAsia="宋体" w:cs="宋体"/>
                <w:color w:val="auto"/>
                <w:kern w:val="2"/>
                <w:sz w:val="21"/>
                <w:szCs w:val="21"/>
                <w:highlight w:val="none"/>
                <w:u w:val="single"/>
                <w:lang w:val="zh-CN" w:eastAsia="zh-CN" w:bidi="zh-CN"/>
              </w:rPr>
              <w:t>分/次</w:t>
            </w:r>
            <w:r>
              <w:rPr>
                <w:rFonts w:hint="eastAsia" w:ascii="宋体" w:hAnsi="宋体" w:eastAsia="宋体" w:cs="宋体"/>
                <w:color w:val="auto"/>
                <w:kern w:val="2"/>
                <w:sz w:val="21"/>
                <w:szCs w:val="21"/>
                <w:highlight w:val="none"/>
                <w:u w:val="single"/>
                <w:lang w:val="zh-CN" w:eastAsia="zh-CN" w:bidi="zh-CN"/>
              </w:rPr>
              <w:t>。</w:t>
            </w:r>
          </w:p>
          <w:p w14:paraId="16F51D84">
            <w:pPr>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jc w:val="both"/>
              <w:textAlignment w:val="auto"/>
              <w:rPr>
                <w:rFonts w:ascii="宋体" w:hAnsi="宋体" w:eastAsia="宋体" w:cs="宋体"/>
                <w:color w:val="auto"/>
                <w:kern w:val="2"/>
                <w:sz w:val="21"/>
                <w:szCs w:val="21"/>
                <w:highlight w:val="none"/>
                <w:u w:val="single"/>
                <w:lang w:val="zh-CN" w:eastAsia="zh-CN" w:bidi="zh-CN"/>
              </w:rPr>
            </w:pPr>
            <w:r>
              <w:rPr>
                <w:rFonts w:ascii="宋体" w:hAnsi="宋体" w:eastAsia="宋体" w:cs="宋体"/>
                <w:color w:val="auto"/>
                <w:kern w:val="2"/>
                <w:sz w:val="21"/>
                <w:szCs w:val="21"/>
                <w:highlight w:val="none"/>
                <w:lang w:val="zh-CN" w:eastAsia="zh-CN" w:bidi="zh-CN"/>
              </w:rPr>
              <w:t>（</w:t>
            </w:r>
            <w:r>
              <w:rPr>
                <w:rFonts w:hint="eastAsia" w:ascii="宋体" w:hAnsi="宋体" w:eastAsia="宋体" w:cs="宋体"/>
                <w:color w:val="auto"/>
                <w:kern w:val="2"/>
                <w:sz w:val="21"/>
                <w:szCs w:val="21"/>
                <w:highlight w:val="none"/>
                <w:lang w:val="zh-CN" w:eastAsia="zh-CN" w:bidi="zh-CN"/>
              </w:rPr>
              <w:t>4</w:t>
            </w:r>
            <w:r>
              <w:rPr>
                <w:rFonts w:ascii="宋体" w:hAnsi="宋体" w:eastAsia="宋体" w:cs="宋体"/>
                <w:color w:val="auto"/>
                <w:kern w:val="2"/>
                <w:sz w:val="21"/>
                <w:szCs w:val="21"/>
                <w:highlight w:val="none"/>
                <w:lang w:val="zh-CN" w:eastAsia="zh-CN" w:bidi="zh-CN"/>
              </w:rPr>
              <w:t>）广东省交通运输厅正式约谈的，扣</w:t>
            </w:r>
            <w:r>
              <w:rPr>
                <w:rFonts w:hint="eastAsia" w:ascii="宋体" w:hAnsi="宋体" w:eastAsia="宋体" w:cs="宋体"/>
                <w:color w:val="auto"/>
                <w:kern w:val="2"/>
                <w:sz w:val="21"/>
                <w:szCs w:val="21"/>
                <w:highlight w:val="none"/>
                <w:lang w:val="zh-CN" w:eastAsia="zh-CN" w:bidi="zh-CN"/>
              </w:rPr>
              <w:t>0.1分/次。</w:t>
            </w:r>
          </w:p>
          <w:p w14:paraId="7456F62C">
            <w:pPr>
              <w:keepNext w:val="0"/>
              <w:keepLines w:val="0"/>
              <w:pageBreakBefore w:val="0"/>
              <w:widowControl w:val="0"/>
              <w:kinsoku/>
              <w:wordWrap/>
              <w:overflowPunct/>
              <w:topLinePunct w:val="0"/>
              <w:autoSpaceDE/>
              <w:autoSpaceDN/>
              <w:bidi w:val="0"/>
              <w:spacing w:line="360" w:lineRule="exact"/>
              <w:ind w:firstLine="420" w:firstLineChars="200"/>
              <w:textAlignment w:val="auto"/>
              <w:rPr>
                <w:rStyle w:val="17"/>
                <w:rFonts w:hint="eastAsia" w:ascii="宋体" w:hAnsi="宋体" w:eastAsia="宋体" w:cs="宋体"/>
                <w:color w:val="auto"/>
                <w:sz w:val="21"/>
                <w:szCs w:val="21"/>
                <w:highlight w:val="none"/>
              </w:rPr>
            </w:pPr>
            <w:r>
              <w:rPr>
                <w:rFonts w:hint="eastAsia" w:ascii="宋体" w:hAnsi="宋体" w:eastAsia="宋体"/>
                <w:color w:val="auto"/>
                <w:highlight w:val="none"/>
              </w:rPr>
              <w:t>注：</w:t>
            </w:r>
            <w:r>
              <w:rPr>
                <w:rFonts w:hint="eastAsia" w:ascii="宋体" w:hAnsi="宋体" w:eastAsia="宋体"/>
                <w:color w:val="auto"/>
                <w:szCs w:val="21"/>
                <w:highlight w:val="none"/>
              </w:rPr>
              <w:t>同一事项同时被多个部门行政处罚或正式约谈只按最高的扣分计算1次</w:t>
            </w:r>
            <w:r>
              <w:rPr>
                <w:rFonts w:hint="eastAsia" w:ascii="宋体" w:hAnsi="宋体" w:eastAsia="宋体" w:cs="宋体"/>
                <w:color w:val="auto"/>
                <w:sz w:val="28"/>
                <w:szCs w:val="28"/>
                <w:highlight w:val="none"/>
                <w:vertAlign w:val="superscript"/>
              </w:rPr>
              <w:footnoteReference w:id="0"/>
            </w:r>
            <w:r>
              <w:rPr>
                <w:rFonts w:hint="eastAsia" w:ascii="宋体" w:hAnsi="宋体" w:eastAsia="宋体"/>
                <w:color w:val="auto"/>
                <w:szCs w:val="21"/>
                <w:highlight w:val="none"/>
              </w:rPr>
              <w:t>。如果扣完本项分值，可以从总分中扣。以联合体形式投标的，若各联合体成员任何一方或均存在上述情形的，对联合体各成员进行累计扣分。</w:t>
            </w:r>
          </w:p>
        </w:tc>
      </w:tr>
      <w:tr w14:paraId="10835182">
        <w:tblPrEx>
          <w:tblCellMar>
            <w:top w:w="0" w:type="dxa"/>
            <w:left w:w="0" w:type="dxa"/>
            <w:bottom w:w="0" w:type="dxa"/>
            <w:right w:w="0" w:type="dxa"/>
          </w:tblCellMar>
        </w:tblPrEx>
        <w:trPr>
          <w:gridAfter w:val="1"/>
          <w:wAfter w:w="14" w:type="dxa"/>
          <w:cantSplit/>
          <w:trHeight w:val="1979" w:hRule="atLeast"/>
        </w:trPr>
        <w:tc>
          <w:tcPr>
            <w:tcW w:w="996" w:type="dxa"/>
            <w:gridSpan w:val="2"/>
            <w:vMerge w:val="continue"/>
            <w:tcBorders>
              <w:top w:val="single" w:color="auto" w:sz="4" w:space="0"/>
              <w:left w:val="single" w:color="auto" w:sz="4" w:space="0"/>
              <w:right w:val="single" w:color="auto" w:sz="4" w:space="0"/>
            </w:tcBorders>
            <w:shd w:val="clear" w:color="auto" w:fill="FFFFFF"/>
            <w:noWrap w:val="0"/>
            <w:vAlign w:val="center"/>
          </w:tcPr>
          <w:p w14:paraId="70E6BCE2">
            <w:pPr>
              <w:pStyle w:val="9"/>
              <w:shd w:val="clear" w:color="auto" w:fill="auto"/>
              <w:spacing w:before="0" w:line="360" w:lineRule="auto"/>
              <w:jc w:val="center"/>
              <w:rPr>
                <w:rStyle w:val="13"/>
                <w:rFonts w:hint="eastAsia" w:ascii="宋体" w:hAnsi="宋体" w:eastAsia="宋体" w:cs="宋体"/>
                <w:color w:val="auto"/>
                <w:sz w:val="21"/>
                <w:szCs w:val="21"/>
                <w:highlight w:val="none"/>
                <w:lang w:eastAsia="zh-CN"/>
              </w:rPr>
            </w:pPr>
          </w:p>
        </w:tc>
        <w:tc>
          <w:tcPr>
            <w:tcW w:w="535" w:type="dxa"/>
            <w:gridSpan w:val="2"/>
            <w:vMerge w:val="continue"/>
            <w:tcBorders>
              <w:top w:val="single" w:color="auto" w:sz="4" w:space="0"/>
              <w:left w:val="single" w:color="auto" w:sz="4" w:space="0"/>
              <w:right w:val="single" w:color="auto" w:sz="4" w:space="0"/>
            </w:tcBorders>
            <w:shd w:val="clear" w:color="auto" w:fill="FFFFFF"/>
            <w:noWrap w:val="0"/>
            <w:vAlign w:val="bottom"/>
          </w:tcPr>
          <w:p w14:paraId="29D3B402">
            <w:pPr>
              <w:pStyle w:val="9"/>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nil"/>
            </w:tcBorders>
            <w:shd w:val="clear" w:color="auto" w:fill="FFFFFF"/>
            <w:noWrap w:val="0"/>
            <w:vAlign w:val="center"/>
          </w:tcPr>
          <w:p w14:paraId="5C0823C9">
            <w:pPr>
              <w:pStyle w:val="9"/>
              <w:shd w:val="clear" w:color="auto" w:fill="auto"/>
              <w:spacing w:before="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工程业绩</w:t>
            </w:r>
          </w:p>
        </w:tc>
        <w:tc>
          <w:tcPr>
            <w:tcW w:w="928" w:type="dxa"/>
            <w:tcBorders>
              <w:top w:val="single" w:color="auto" w:sz="4" w:space="0"/>
              <w:left w:val="single" w:color="auto" w:sz="4" w:space="0"/>
              <w:bottom w:val="single" w:color="auto" w:sz="4" w:space="0"/>
              <w:right w:val="nil"/>
            </w:tcBorders>
            <w:shd w:val="clear" w:color="auto" w:fill="FFFFFF"/>
            <w:noWrap w:val="0"/>
            <w:vAlign w:val="center"/>
          </w:tcPr>
          <w:p w14:paraId="7DAF281A">
            <w:pPr>
              <w:jc w:val="center"/>
              <w:rPr>
                <w:rStyle w:val="11"/>
                <w:rFonts w:hint="eastAsia" w:ascii="宋体" w:hAnsi="宋体" w:eastAsia="宋体" w:cs="宋体"/>
                <w:color w:val="auto"/>
                <w:sz w:val="21"/>
                <w:szCs w:val="21"/>
                <w:highlight w:val="none"/>
                <w:u w:val="single"/>
              </w:rPr>
            </w:pPr>
            <w:r>
              <w:rPr>
                <w:rStyle w:val="11"/>
                <w:rFonts w:hint="eastAsia" w:ascii="宋体" w:hAnsi="宋体" w:cs="宋体"/>
                <w:color w:val="auto"/>
                <w:sz w:val="21"/>
                <w:szCs w:val="21"/>
                <w:highlight w:val="none"/>
                <w:u w:val="single"/>
                <w:lang w:val="en-US" w:eastAsia="zh-CN"/>
              </w:rPr>
              <w:t>3</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0E1082">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39" w:rightChars="66"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1、投标人的工程业绩在满足资格审查条件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业绩</w:t>
            </w:r>
            <w:r>
              <w:rPr>
                <w:rFonts w:hint="eastAsia" w:ascii="宋体" w:hAnsi="宋体" w:eastAsia="宋体" w:cs="宋体"/>
                <w:color w:val="auto"/>
                <w:szCs w:val="21"/>
                <w:highlight w:val="none"/>
                <w:u w:val="single"/>
              </w:rPr>
              <w:t>最低要求</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时，得</w:t>
            </w:r>
            <w:r>
              <w:rPr>
                <w:rFonts w:hint="eastAsia" w:ascii="宋体" w:hAnsi="宋体" w:eastAsia="宋体" w:cs="宋体"/>
                <w:color w:val="auto"/>
                <w:szCs w:val="21"/>
                <w:highlight w:val="none"/>
                <w:u w:val="single"/>
                <w:lang w:val="en-US" w:eastAsia="zh-CN"/>
              </w:rPr>
              <w:t>1.8</w:t>
            </w:r>
            <w:r>
              <w:rPr>
                <w:rFonts w:hint="eastAsia" w:ascii="宋体" w:hAnsi="宋体" w:eastAsia="宋体" w:cs="宋体"/>
                <w:color w:val="auto"/>
                <w:szCs w:val="21"/>
                <w:highlight w:val="none"/>
                <w:u w:val="single"/>
              </w:rPr>
              <w:t>分；</w:t>
            </w:r>
          </w:p>
          <w:p w14:paraId="69F8ECC3">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39" w:rightChars="66"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2、在满足资格审查条件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业绩</w:t>
            </w:r>
            <w:r>
              <w:rPr>
                <w:rFonts w:hint="eastAsia" w:ascii="宋体" w:hAnsi="宋体" w:eastAsia="宋体" w:cs="宋体"/>
                <w:color w:val="auto"/>
                <w:szCs w:val="21"/>
                <w:highlight w:val="none"/>
                <w:u w:val="single"/>
              </w:rPr>
              <w:t>最低要求</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的基础上，投标人</w:t>
            </w:r>
            <w:r>
              <w:rPr>
                <w:rFonts w:hint="eastAsia" w:ascii="宋体" w:hAnsi="宋体" w:eastAsia="宋体" w:cs="宋体"/>
                <w:color w:val="auto"/>
                <w:szCs w:val="21"/>
                <w:highlight w:val="none"/>
                <w:u w:val="single"/>
                <w:lang w:eastAsia="zh-Hans"/>
              </w:rPr>
              <w:t>自20</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lang w:eastAsia="zh-Hans"/>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lang w:eastAsia="zh-Hans"/>
              </w:rPr>
              <w:t>月1日至今【以交（竣）工验收时间为准】</w:t>
            </w:r>
            <w:r>
              <w:rPr>
                <w:rFonts w:hint="eastAsia" w:ascii="宋体" w:hAnsi="宋体" w:eastAsia="宋体" w:cs="宋体"/>
                <w:color w:val="auto"/>
                <w:szCs w:val="21"/>
                <w:highlight w:val="none"/>
                <w:u w:val="single"/>
              </w:rPr>
              <w:t>完成过质量合格的</w:t>
            </w:r>
            <w:r>
              <w:rPr>
                <w:rFonts w:hint="eastAsia" w:ascii="宋体" w:hAnsi="宋体" w:eastAsia="宋体" w:cs="宋体"/>
                <w:color w:val="auto"/>
                <w:szCs w:val="21"/>
                <w:highlight w:val="none"/>
                <w:u w:val="single"/>
                <w:lang w:val="en-US" w:eastAsia="zh-CN"/>
              </w:rPr>
              <w:t>单项</w:t>
            </w:r>
            <w:r>
              <w:rPr>
                <w:rFonts w:hint="eastAsia" w:ascii="宋体" w:hAnsi="宋体" w:eastAsia="宋体" w:cs="宋体"/>
                <w:color w:val="auto"/>
                <w:szCs w:val="21"/>
                <w:highlight w:val="none"/>
                <w:u w:val="single"/>
              </w:rPr>
              <w:t>合同金额不少于</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00万元的水运工程施工业绩，</w:t>
            </w:r>
            <w:r>
              <w:rPr>
                <w:rFonts w:hint="eastAsia" w:ascii="宋体" w:hAnsi="宋体" w:eastAsia="宋体" w:cs="宋体"/>
                <w:color w:val="auto"/>
                <w:szCs w:val="21"/>
                <w:highlight w:val="none"/>
                <w:u w:val="single"/>
                <w:lang w:val="en-US" w:eastAsia="zh-CN"/>
              </w:rPr>
              <w:t>每增加1项</w:t>
            </w:r>
            <w:r>
              <w:rPr>
                <w:rFonts w:hint="eastAsia" w:ascii="宋体" w:hAnsi="宋体" w:eastAsia="宋体" w:cs="宋体"/>
                <w:color w:val="auto"/>
                <w:szCs w:val="21"/>
                <w:highlight w:val="none"/>
                <w:u w:val="single"/>
              </w:rPr>
              <w:t>得</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本项最高可得1.2分</w:t>
            </w:r>
            <w:r>
              <w:rPr>
                <w:rFonts w:hint="eastAsia" w:ascii="宋体" w:hAnsi="宋体" w:eastAsia="宋体" w:cs="宋体"/>
                <w:color w:val="auto"/>
                <w:szCs w:val="21"/>
                <w:highlight w:val="none"/>
                <w:u w:val="single"/>
              </w:rPr>
              <w:t>。</w:t>
            </w:r>
          </w:p>
          <w:p w14:paraId="576CE7A4">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39" w:rightChars="66" w:firstLine="420" w:firstLineChars="2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注：（1）以上两项合计最高得3分，同一项业绩不重复计分；</w:t>
            </w:r>
          </w:p>
          <w:p w14:paraId="264DAE61">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39" w:rightChars="66"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业绩证明材料要求详见投标人须知前附表中需要补充的其他内容3.5.3项</w:t>
            </w:r>
            <w:r>
              <w:rPr>
                <w:rFonts w:hint="eastAsia" w:ascii="宋体" w:hAnsi="宋体" w:eastAsia="宋体" w:cs="宋体"/>
                <w:color w:val="auto"/>
                <w:szCs w:val="21"/>
                <w:highlight w:val="none"/>
                <w:u w:val="single"/>
              </w:rPr>
              <w:t>。</w:t>
            </w:r>
          </w:p>
        </w:tc>
      </w:tr>
      <w:tr w14:paraId="00FD3D36">
        <w:tblPrEx>
          <w:tblCellMar>
            <w:top w:w="0" w:type="dxa"/>
            <w:left w:w="0" w:type="dxa"/>
            <w:bottom w:w="0" w:type="dxa"/>
            <w:right w:w="0" w:type="dxa"/>
          </w:tblCellMar>
        </w:tblPrEx>
        <w:trPr>
          <w:gridAfter w:val="1"/>
          <w:wAfter w:w="14" w:type="dxa"/>
          <w:cantSplit/>
          <w:trHeight w:val="988" w:hRule="atLeast"/>
        </w:trPr>
        <w:tc>
          <w:tcPr>
            <w:tcW w:w="996" w:type="dxa"/>
            <w:gridSpan w:val="2"/>
            <w:vMerge w:val="continue"/>
            <w:tcBorders>
              <w:left w:val="single" w:color="auto" w:sz="4" w:space="0"/>
              <w:right w:val="single" w:color="auto" w:sz="4" w:space="0"/>
            </w:tcBorders>
            <w:shd w:val="clear" w:color="auto" w:fill="FFFFFF"/>
            <w:noWrap w:val="0"/>
            <w:vAlign w:val="center"/>
          </w:tcPr>
          <w:p w14:paraId="31DB86C2">
            <w:pPr>
              <w:pStyle w:val="9"/>
              <w:shd w:val="clear" w:color="auto" w:fill="auto"/>
              <w:spacing w:before="0" w:line="360" w:lineRule="auto"/>
              <w:jc w:val="center"/>
              <w:rPr>
                <w:rStyle w:val="13"/>
                <w:rFonts w:hint="eastAsia" w:ascii="宋体" w:hAnsi="宋体" w:eastAsia="宋体" w:cs="宋体"/>
                <w:color w:val="auto"/>
                <w:sz w:val="21"/>
                <w:szCs w:val="21"/>
                <w:highlight w:val="none"/>
              </w:rPr>
            </w:pPr>
          </w:p>
        </w:tc>
        <w:tc>
          <w:tcPr>
            <w:tcW w:w="535" w:type="dxa"/>
            <w:gridSpan w:val="2"/>
            <w:vMerge w:val="continue"/>
            <w:tcBorders>
              <w:left w:val="single" w:color="auto" w:sz="4" w:space="0"/>
              <w:right w:val="single" w:color="auto" w:sz="4" w:space="0"/>
            </w:tcBorders>
            <w:shd w:val="clear" w:color="auto" w:fill="FFFFFF"/>
            <w:noWrap w:val="0"/>
            <w:vAlign w:val="bottom"/>
          </w:tcPr>
          <w:p w14:paraId="7688495E">
            <w:pPr>
              <w:pStyle w:val="9"/>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left w:val="single" w:color="auto" w:sz="4" w:space="0"/>
              <w:bottom w:val="single" w:color="auto" w:sz="4" w:space="0"/>
              <w:right w:val="nil"/>
            </w:tcBorders>
            <w:shd w:val="clear" w:color="auto" w:fill="FFFFFF"/>
            <w:noWrap w:val="0"/>
            <w:vAlign w:val="center"/>
          </w:tcPr>
          <w:p w14:paraId="3F017798">
            <w:pPr>
              <w:pStyle w:val="9"/>
              <w:shd w:val="clear" w:color="auto" w:fill="auto"/>
              <w:spacing w:before="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财务能力</w:t>
            </w:r>
          </w:p>
        </w:tc>
        <w:tc>
          <w:tcPr>
            <w:tcW w:w="928" w:type="dxa"/>
            <w:tcBorders>
              <w:left w:val="single" w:color="auto" w:sz="4" w:space="0"/>
              <w:bottom w:val="single" w:color="auto" w:sz="4" w:space="0"/>
              <w:right w:val="nil"/>
            </w:tcBorders>
            <w:shd w:val="clear" w:color="auto" w:fill="FFFFFF"/>
            <w:noWrap w:val="0"/>
            <w:vAlign w:val="center"/>
          </w:tcPr>
          <w:p w14:paraId="404B793D">
            <w:pPr>
              <w:jc w:val="center"/>
              <w:rPr>
                <w:rStyle w:val="11"/>
                <w:rFonts w:hint="eastAsia" w:ascii="宋体" w:hAnsi="宋体" w:eastAsia="宋体" w:cs="宋体"/>
                <w:color w:val="auto"/>
                <w:sz w:val="21"/>
                <w:szCs w:val="21"/>
                <w:highlight w:val="none"/>
                <w:u w:val="single"/>
              </w:rPr>
            </w:pPr>
            <w:r>
              <w:rPr>
                <w:rStyle w:val="11"/>
                <w:rFonts w:hint="eastAsia" w:ascii="宋体" w:hAnsi="宋体" w:cs="宋体"/>
                <w:color w:val="auto"/>
                <w:sz w:val="21"/>
                <w:szCs w:val="21"/>
                <w:highlight w:val="none"/>
                <w:u w:val="single"/>
                <w:lang w:val="en-US" w:eastAsia="zh-CN"/>
              </w:rPr>
              <w:t>0</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7F6FD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w:t>
            </w:r>
          </w:p>
        </w:tc>
      </w:tr>
      <w:tr w14:paraId="5E6602BC">
        <w:tblPrEx>
          <w:tblCellMar>
            <w:top w:w="0" w:type="dxa"/>
            <w:left w:w="0" w:type="dxa"/>
            <w:bottom w:w="0" w:type="dxa"/>
            <w:right w:w="0" w:type="dxa"/>
          </w:tblCellMar>
        </w:tblPrEx>
        <w:trPr>
          <w:gridAfter w:val="1"/>
          <w:wAfter w:w="14" w:type="dxa"/>
          <w:cantSplit/>
          <w:trHeight w:val="988" w:hRule="atLeast"/>
        </w:trPr>
        <w:tc>
          <w:tcPr>
            <w:tcW w:w="996" w:type="dxa"/>
            <w:gridSpan w:val="2"/>
            <w:vMerge w:val="continue"/>
            <w:tcBorders>
              <w:left w:val="single" w:color="auto" w:sz="4" w:space="0"/>
              <w:right w:val="single" w:color="auto" w:sz="4" w:space="0"/>
            </w:tcBorders>
            <w:shd w:val="clear" w:color="auto" w:fill="FFFFFF"/>
            <w:noWrap w:val="0"/>
            <w:vAlign w:val="center"/>
          </w:tcPr>
          <w:p w14:paraId="17EF1DD3">
            <w:pPr>
              <w:pStyle w:val="9"/>
              <w:shd w:val="clear" w:color="auto" w:fill="auto"/>
              <w:spacing w:before="0" w:line="360" w:lineRule="auto"/>
              <w:jc w:val="center"/>
              <w:rPr>
                <w:rStyle w:val="13"/>
                <w:rFonts w:hint="eastAsia" w:ascii="宋体" w:hAnsi="宋体" w:eastAsia="宋体" w:cs="宋体"/>
                <w:color w:val="auto"/>
                <w:sz w:val="21"/>
                <w:szCs w:val="21"/>
                <w:highlight w:val="none"/>
              </w:rPr>
            </w:pPr>
            <w:bookmarkStart w:id="5" w:name="bookmark94"/>
          </w:p>
        </w:tc>
        <w:tc>
          <w:tcPr>
            <w:tcW w:w="535" w:type="dxa"/>
            <w:gridSpan w:val="2"/>
            <w:vMerge w:val="continue"/>
            <w:tcBorders>
              <w:left w:val="single" w:color="auto" w:sz="4" w:space="0"/>
              <w:right w:val="single" w:color="auto" w:sz="4" w:space="0"/>
            </w:tcBorders>
            <w:shd w:val="clear" w:color="auto" w:fill="FFFFFF"/>
            <w:noWrap w:val="0"/>
            <w:vAlign w:val="bottom"/>
          </w:tcPr>
          <w:p w14:paraId="335A0EBF">
            <w:pPr>
              <w:pStyle w:val="9"/>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left w:val="single" w:color="auto" w:sz="4" w:space="0"/>
              <w:bottom w:val="single" w:color="auto" w:sz="4" w:space="0"/>
              <w:right w:val="nil"/>
            </w:tcBorders>
            <w:shd w:val="clear" w:color="auto" w:fill="FFFFFF"/>
            <w:noWrap w:val="0"/>
            <w:vAlign w:val="center"/>
          </w:tcPr>
          <w:p w14:paraId="55E0DF56">
            <w:pPr>
              <w:snapToGrid w:val="0"/>
              <w:spacing w:line="240" w:lineRule="atLeas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机械</w:t>
            </w:r>
          </w:p>
          <w:p w14:paraId="0B1ECC62">
            <w:pPr>
              <w:snapToGrid w:val="0"/>
              <w:spacing w:line="24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设备</w:t>
            </w:r>
          </w:p>
        </w:tc>
        <w:tc>
          <w:tcPr>
            <w:tcW w:w="928" w:type="dxa"/>
            <w:tcBorders>
              <w:left w:val="single" w:color="auto" w:sz="4" w:space="0"/>
              <w:bottom w:val="single" w:color="auto" w:sz="4" w:space="0"/>
              <w:right w:val="nil"/>
            </w:tcBorders>
            <w:shd w:val="clear" w:color="auto" w:fill="FFFFFF"/>
            <w:noWrap w:val="0"/>
            <w:vAlign w:val="center"/>
          </w:tcPr>
          <w:p w14:paraId="20772F68">
            <w:pPr>
              <w:jc w:val="center"/>
              <w:rPr>
                <w:rFonts w:hint="eastAsia" w:ascii="宋体" w:hAnsi="宋体" w:eastAsia="宋体" w:cs="宋体"/>
                <w:color w:val="auto"/>
                <w:spacing w:val="0"/>
                <w:kern w:val="2"/>
                <w:sz w:val="21"/>
                <w:szCs w:val="21"/>
                <w:highlight w:val="none"/>
                <w:u w:val="single"/>
                <w:lang w:val="en-US" w:eastAsia="zh-CN" w:bidi="ar-SA"/>
              </w:rPr>
            </w:pPr>
            <w:r>
              <w:rPr>
                <w:rStyle w:val="11"/>
                <w:rFonts w:hint="eastAsia" w:ascii="宋体" w:hAnsi="宋体" w:cs="宋体"/>
                <w:color w:val="auto"/>
                <w:sz w:val="21"/>
                <w:szCs w:val="21"/>
                <w:highlight w:val="none"/>
                <w:u w:val="single"/>
                <w:lang w:val="en-US" w:eastAsia="zh-CN"/>
              </w:rPr>
              <w:t>0</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096F3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szCs w:val="21"/>
                <w:highlight w:val="none"/>
                <w:lang w:val="en-US" w:eastAsia="zh-CN"/>
              </w:rPr>
              <w:t>/</w:t>
            </w:r>
          </w:p>
        </w:tc>
      </w:tr>
      <w:tr w14:paraId="259D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cantSplit/>
          <w:trHeight w:val="23" w:hRule="atLeast"/>
        </w:trPr>
        <w:tc>
          <w:tcPr>
            <w:tcW w:w="9346" w:type="dxa"/>
            <w:gridSpan w:val="8"/>
            <w:noWrap w:val="0"/>
            <w:vAlign w:val="top"/>
          </w:tcPr>
          <w:p w14:paraId="377CA8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723F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cantSplit/>
          <w:trHeight w:val="23" w:hRule="atLeast"/>
        </w:trPr>
        <w:tc>
          <w:tcPr>
            <w:tcW w:w="1234" w:type="dxa"/>
            <w:gridSpan w:val="2"/>
            <w:noWrap w:val="0"/>
            <w:vAlign w:val="center"/>
          </w:tcPr>
          <w:p w14:paraId="64CDA9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112" w:type="dxa"/>
            <w:gridSpan w:val="6"/>
            <w:noWrap w:val="0"/>
            <w:vAlign w:val="center"/>
          </w:tcPr>
          <w:p w14:paraId="63A69D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补充或修改的内容</w:t>
            </w:r>
          </w:p>
        </w:tc>
      </w:tr>
      <w:tr w14:paraId="60E6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trHeight w:val="23" w:hRule="atLeast"/>
        </w:trPr>
        <w:tc>
          <w:tcPr>
            <w:tcW w:w="1234" w:type="dxa"/>
            <w:gridSpan w:val="2"/>
            <w:noWrap w:val="0"/>
            <w:vAlign w:val="center"/>
          </w:tcPr>
          <w:p w14:paraId="485A65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12" w:type="dxa"/>
            <w:gridSpan w:val="6"/>
            <w:noWrap w:val="0"/>
            <w:vAlign w:val="center"/>
          </w:tcPr>
          <w:p w14:paraId="6DDE3D09">
            <w:pPr>
              <w:adjustRightInd w:val="0"/>
              <w:snapToGrid w:val="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将评标办法原文第1条“评标方法”改为“评标方法、组织及工作程序”，原文内容修改如下：</w:t>
            </w:r>
          </w:p>
          <w:p w14:paraId="4750C206">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1.评标方法、组织及工作程序</w:t>
            </w:r>
          </w:p>
          <w:p w14:paraId="1EDB7264">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1.1评标方法</w:t>
            </w:r>
          </w:p>
          <w:p w14:paraId="77D7DFD2">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7016B3AF">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1.2评标组织</w:t>
            </w:r>
          </w:p>
          <w:p w14:paraId="76495AB9">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1.2.1协助工作组</w:t>
            </w:r>
          </w:p>
          <w:p w14:paraId="2EEC8D8B">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招标人可在评标工作开始前成立协助工作组，选派熟悉招标工作、政治素质高的人员组成，协助评标委员会工作。协助工作组人员的具体数量由招标人视评标工作量确定，评标责任由评标委员会负责。</w:t>
            </w:r>
          </w:p>
          <w:p w14:paraId="79FD394B">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招标人可以协助评标委员会开展下列工作并提供相关信息：</w:t>
            </w:r>
          </w:p>
          <w:p w14:paraId="087CD0C5">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（1）根据招标文件，编制评标使用的相应表格；</w:t>
            </w:r>
          </w:p>
          <w:p w14:paraId="3997E46D">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（2）对投标报价进行算术性校核（如采用固化工程量清单，本步骤省略）；</w:t>
            </w:r>
          </w:p>
          <w:p w14:paraId="648BDAE8">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（3）以评标标准和方法为依据，列出投标文件相对于招标文件的所有偏差，并进行归类汇总；</w:t>
            </w:r>
          </w:p>
          <w:p w14:paraId="11DA5FC3">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（4）对投标人的资质、业绩、主要人员资历和目前在岗情况、信用等级进行核实。</w:t>
            </w:r>
          </w:p>
          <w:p w14:paraId="262402F6">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招标人不得对投标文件作出任何评价，不得故意遗漏或者片面摘录，不得在评标委员会对所有偏差定性之前透露存有偏差的投标人名称。</w:t>
            </w:r>
          </w:p>
          <w:p w14:paraId="3A81E012">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1.2.2评标委员会</w:t>
            </w:r>
          </w:p>
          <w:p w14:paraId="6573182E">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评标委员会由招标人按国家、广东省等的有关规定依法组建。评标委员会的主要工作内容包括：</w:t>
            </w:r>
          </w:p>
          <w:p w14:paraId="06F2561D">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（1）评标委员会开始评标工作之前，首先听取招标人、协助工作组关于工程情况和辅助工作的说明，并认真研读招标文件，获取评标所需的重要信息和数据；</w:t>
            </w:r>
          </w:p>
          <w:p w14:paraId="6619FAB1">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（2）对协助工作组提供的评标工作用表和评标内容进行核查。</w:t>
            </w:r>
          </w:p>
          <w:p w14:paraId="08E75192">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（3）按照以下1.3款程序进行各项评审工作。</w:t>
            </w:r>
          </w:p>
          <w:p w14:paraId="087EAE75">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1.3评审工作程序</w:t>
            </w:r>
          </w:p>
          <w:p w14:paraId="062592F3">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（一）第一个信封（商务及技术文件）：</w:t>
            </w:r>
          </w:p>
          <w:p w14:paraId="1158D6CA">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l、初步评审：包括形式评审与响应性评审、资格评审；</w:t>
            </w:r>
          </w:p>
          <w:p w14:paraId="3CF37D4B">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2、详细评审（评审打分）：评标委员会首先对通过初步评审的投标文件第一个信封（商务及技术文件）进行详细评审，对投标人的施工组织设计、项目管理机构、其他因素等分别评审打分。</w:t>
            </w:r>
          </w:p>
          <w:p w14:paraId="1ECA1F38">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（二）第二个信封（报价文件）：</w:t>
            </w:r>
          </w:p>
          <w:p w14:paraId="058AA515">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1、初步评审：</w:t>
            </w:r>
          </w:p>
          <w:p w14:paraId="4A498118">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（1）只有投标文件第一个信封通过详细评审的投标人才能继续参加第二个信封报价文件的形式评审与响应性评审；</w:t>
            </w:r>
          </w:p>
          <w:p w14:paraId="445EBF2F">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（2）报价算术性修正（如采用固化工程量清单，本步骤省略）；</w:t>
            </w:r>
          </w:p>
          <w:p w14:paraId="08C77007">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2、详细评审：计算评标基准价、评标价得分及综合得分；</w:t>
            </w:r>
          </w:p>
          <w:p w14:paraId="320D27B2">
            <w:pPr>
              <w:adjustRightInd w:val="0"/>
              <w:snapToGrid w:val="0"/>
              <w:ind w:firstLine="210" w:firstLineChars="10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（三）投标文件相关信息的核查。</w:t>
            </w:r>
          </w:p>
          <w:p w14:paraId="55835F99">
            <w:pPr>
              <w:adjustRightInd w:val="0"/>
              <w:snapToGrid w:val="0"/>
              <w:ind w:firstLine="210" w:firstLineChars="1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rPr>
              <w:t>（四）投标文件的澄清和说明</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lang w:val="en-US"/>
              </w:rPr>
              <w:t>如有</w:t>
            </w:r>
            <w:r>
              <w:rPr>
                <w:rFonts w:hint="eastAsia" w:ascii="宋体" w:hAnsi="宋体" w:eastAsia="宋体" w:cs="宋体"/>
                <w:color w:val="auto"/>
                <w:kern w:val="2"/>
                <w:highlight w:val="none"/>
                <w:lang w:val="en-US" w:eastAsia="zh-CN"/>
              </w:rPr>
              <w:t>）</w:t>
            </w:r>
          </w:p>
          <w:p w14:paraId="0EB3F613">
            <w:pPr>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2"/>
                <w:highlight w:val="none"/>
                <w:lang w:val="en-US"/>
              </w:rPr>
              <w:t>（五）按评标办法规定推荐中标候选人，编写评标报告。</w:t>
            </w:r>
          </w:p>
        </w:tc>
      </w:tr>
      <w:tr w14:paraId="73DA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767C02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8126" w:type="dxa"/>
            <w:gridSpan w:val="7"/>
            <w:noWrap w:val="0"/>
            <w:vAlign w:val="center"/>
          </w:tcPr>
          <w:p w14:paraId="1D9EC834">
            <w:pPr>
              <w:adjustRightInd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将评标办法原文第3.2.2项修改如下：</w:t>
            </w:r>
          </w:p>
          <w:p w14:paraId="3D915931">
            <w:pPr>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投标人的商务和技术得分分值计算保留小数点后三位，小数点后第四位“四舍五入”。</w:t>
            </w:r>
          </w:p>
        </w:tc>
      </w:tr>
      <w:tr w14:paraId="4530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509815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8126" w:type="dxa"/>
            <w:gridSpan w:val="7"/>
            <w:noWrap w:val="0"/>
            <w:vAlign w:val="center"/>
          </w:tcPr>
          <w:p w14:paraId="28A2890F">
            <w:pPr>
              <w:autoSpaceDE w:val="0"/>
              <w:autoSpaceDN w:val="0"/>
              <w:adjustRightInd w:val="0"/>
              <w:snapToGrid w:val="0"/>
              <w:spacing w:line="240" w:lineRule="auto"/>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将评标办法范本原文第3.2.3项细化如下：</w:t>
            </w:r>
          </w:p>
          <w:p w14:paraId="7B897904">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投标人的商务和技术得分=A+B+D。</w:t>
            </w:r>
          </w:p>
          <w:p w14:paraId="15670FB2">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除</w:t>
            </w:r>
            <w:r>
              <w:rPr>
                <w:rFonts w:hint="eastAsia" w:ascii="宋体" w:hAnsi="宋体" w:eastAsia="宋体" w:cs="宋体"/>
                <w:color w:val="auto"/>
                <w:kern w:val="2"/>
                <w:highlight w:val="none"/>
                <w:u w:val="single"/>
                <w:lang w:val="en-US"/>
              </w:rPr>
              <w:t>评标价、履约信誉</w:t>
            </w:r>
            <w:r>
              <w:rPr>
                <w:rFonts w:hint="eastAsia" w:ascii="宋体" w:hAnsi="宋体" w:eastAsia="宋体" w:cs="宋体"/>
                <w:color w:val="auto"/>
                <w:kern w:val="2"/>
                <w:highlight w:val="none"/>
                <w:lang w:val="en-US"/>
              </w:rPr>
              <w:t>得分外，投标文件各评分因素细分项得分均不应低于其权重分的60%，评分低于权重分值60%的，评标委员会成员应当在评标报告中作出说明。</w:t>
            </w:r>
          </w:p>
          <w:p w14:paraId="6645BAB7">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保留小数点后三位，小数点后第四位“四舍五入”。</w:t>
            </w:r>
          </w:p>
          <w:p w14:paraId="4C0CF38F">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取消其中1名评委评分的办法（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14:paraId="6601BFA7">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注：如某一评委对每个投标人评分如下：10分、10分、9分、8分、8分、7分、7分的情况，次分差计算方式如下：10分-8分=2分。</w:t>
            </w:r>
          </w:p>
          <w:p w14:paraId="5F586A6A">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p>
          <w:p w14:paraId="4F002266">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评标委员会人数为7人时，计算投标人技术得分时</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lang w:val="en-US"/>
              </w:rPr>
              <w:t>各评分因素细分项中取消一个最高、一个最低分后计算算术平均值的和为投标人的最终技术得分，平均值计算保留小数点后三位，小数点后第四位“四舍五入”。</w:t>
            </w:r>
          </w:p>
          <w:p w14:paraId="5A504D8D">
            <w:pPr>
              <w:autoSpaceDE w:val="0"/>
              <w:autoSpaceDN w:val="0"/>
              <w:adjustRightInd w:val="0"/>
              <w:snapToGrid w:val="0"/>
              <w:spacing w:line="24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2"/>
                <w:highlight w:val="none"/>
                <w:lang w:val="en-US"/>
              </w:rPr>
              <w:t>以上评标委员会人数以实际参与评审的评标委员会人数数量为准。</w:t>
            </w:r>
          </w:p>
        </w:tc>
      </w:tr>
      <w:tr w14:paraId="7642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4E88DFF4">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3.5.2</w:t>
            </w:r>
          </w:p>
        </w:tc>
        <w:tc>
          <w:tcPr>
            <w:tcW w:w="8126" w:type="dxa"/>
            <w:gridSpan w:val="7"/>
            <w:noWrap w:val="0"/>
            <w:vAlign w:val="center"/>
          </w:tcPr>
          <w:p w14:paraId="2906CF95">
            <w:pPr>
              <w:autoSpaceDE w:val="0"/>
              <w:autoSpaceDN w:val="0"/>
              <w:adjustRightInd w:val="0"/>
              <w:snapToGrid w:val="0"/>
              <w:spacing w:line="240" w:lineRule="auto"/>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将评标办法原文第3.5.2项细化如下：</w:t>
            </w:r>
          </w:p>
          <w:p w14:paraId="78413BD6">
            <w:pPr>
              <w:autoSpaceDE w:val="0"/>
              <w:autoSpaceDN w:val="0"/>
              <w:adjustRightInd w:val="0"/>
              <w:snapToGrid w:val="0"/>
              <w:spacing w:line="240" w:lineRule="auto"/>
              <w:ind w:firstLine="42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投标人综合得分=投标人的商务和技术得分+C。（计算保留小数点后四位，小数点后第五位“四舍五入”）</w:t>
            </w:r>
          </w:p>
        </w:tc>
      </w:tr>
      <w:tr w14:paraId="587C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657B52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8126" w:type="dxa"/>
            <w:gridSpan w:val="7"/>
            <w:noWrap w:val="0"/>
            <w:vAlign w:val="center"/>
          </w:tcPr>
          <w:p w14:paraId="1E4F3A6B">
            <w:pPr>
              <w:tabs>
                <w:tab w:val="left" w:pos="858"/>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3.6.1项（2）目末增加以下条款：</w:t>
            </w:r>
          </w:p>
          <w:p w14:paraId="214C8044">
            <w:pPr>
              <w:tabs>
                <w:tab w:val="left" w:pos="858"/>
              </w:tabs>
              <w:adjustRightInd w:val="0"/>
              <w:snapToGrid w:val="0"/>
              <w:ind w:firstLine="407" w:firstLineChars="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g.当一家以上投标人评标价相同时，若各投标人工程量清单细目单价也相同，视为串标（一个标段仅一工作细目报价的除外）。</w:t>
            </w:r>
          </w:p>
          <w:p w14:paraId="2E2B39F6">
            <w:pPr>
              <w:tabs>
                <w:tab w:val="left" w:pos="858"/>
              </w:tabs>
              <w:adjustRightInd w:val="0"/>
              <w:snapToGrid w:val="0"/>
              <w:ind w:firstLine="407" w:firstLineChars="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h.广东省实施《中华人民共和国招标投标法》办法第十六条规定的情形。</w:t>
            </w:r>
          </w:p>
          <w:p w14:paraId="7A3BF972">
            <w:pPr>
              <w:tabs>
                <w:tab w:val="left" w:pos="858"/>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增加3.6.2项：</w:t>
            </w:r>
          </w:p>
          <w:p w14:paraId="56EBF07F">
            <w:pPr>
              <w:tabs>
                <w:tab w:val="left" w:pos="858"/>
              </w:tabs>
              <w:adjustRightInd w:val="0"/>
              <w:snapToGrid w:val="0"/>
              <w:ind w:firstLine="407" w:firstLineChars="194"/>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3.6.2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7A93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14:paraId="416D66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8126" w:type="dxa"/>
            <w:gridSpan w:val="7"/>
            <w:noWrap w:val="0"/>
            <w:vAlign w:val="center"/>
          </w:tcPr>
          <w:p w14:paraId="09C12437">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增加3.9.3-3.9.7项：</w:t>
            </w:r>
          </w:p>
          <w:p w14:paraId="00B86314">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3.9.3</w:t>
            </w:r>
            <w:r>
              <w:rPr>
                <w:rFonts w:hint="eastAsia" w:ascii="宋体" w:hAnsi="宋体" w:eastAsia="宋体" w:cs="宋体"/>
                <w:color w:val="auto"/>
                <w:highlight w:val="none"/>
                <w:u w:val="single"/>
              </w:rPr>
              <w:t>如允许多个标段同时投标，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r>
              <w:rPr>
                <w:rFonts w:hint="eastAsia" w:ascii="宋体" w:hAnsi="宋体" w:eastAsia="宋体" w:cs="宋体"/>
                <w:color w:val="auto"/>
                <w:highlight w:val="none"/>
              </w:rPr>
              <w:t>。</w:t>
            </w:r>
          </w:p>
          <w:p w14:paraId="55A465CD">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3.9.4通过第一个信封商务及技术文件评审的投标人少于3个使得投标明显缺乏竞争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2586B55F">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3.9.5通过第一个信封商务及技术文件评审的投标人在3个及以上的，招标人应当按照招标文件规定的程序进行第二个信封报价文件开标；在对报价文件进行评审后，有效投标不足3个使得投标明显缺乏竞争的，评标委员会可以否决全部投标。未否决全部投标的，评标委员会应当在评标报告中阐明理由并推荐中标候选人。</w:t>
            </w:r>
          </w:p>
          <w:p w14:paraId="713CAAF9">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3.9.6如果发生无法确定推荐中标候选人的其他意外情况，评标委员会可建议招标人重新招标。</w:t>
            </w:r>
          </w:p>
          <w:p w14:paraId="6C4F51E9">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3.9.7本招标文件规定的否决投标条款包含在以下条款：[本款涉及的序号或条款号均对应本范本，如招标文件修改序号或条款号的，应对应修改。]</w:t>
            </w:r>
          </w:p>
          <w:p w14:paraId="2762BF96">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（1）招标公告第3点投标人资格要求；</w:t>
            </w:r>
          </w:p>
          <w:p w14:paraId="2909CDE3">
            <w:pPr>
              <w:adjustRightInd w:val="0"/>
              <w:snapToGrid w:val="0"/>
              <w:ind w:firstLine="432" w:firstLineChars="206"/>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投标人须知1.4.3项、1.4.4项、1.11.1项、1.12.2项、3.4.2项、3.6.1项；</w:t>
            </w:r>
          </w:p>
          <w:p w14:paraId="5AE572C9">
            <w:pPr>
              <w:adjustRightInd w:val="0"/>
              <w:snapToGrid w:val="0"/>
              <w:ind w:firstLine="432" w:firstLineChars="206"/>
              <w:rPr>
                <w:rFonts w:hint="eastAsia" w:ascii="宋体" w:hAnsi="宋体" w:eastAsia="宋体" w:cs="宋体"/>
                <w:color w:val="auto"/>
                <w:szCs w:val="21"/>
                <w:highlight w:val="none"/>
              </w:rPr>
            </w:pPr>
            <w:r>
              <w:rPr>
                <w:rFonts w:hint="eastAsia" w:ascii="宋体" w:hAnsi="宋体" w:eastAsia="宋体" w:cs="宋体"/>
                <w:color w:val="auto"/>
                <w:highlight w:val="none"/>
              </w:rPr>
              <w:t>（3）本评标办法的否决条款。</w:t>
            </w:r>
          </w:p>
        </w:tc>
      </w:tr>
      <w:bookmarkEnd w:id="5"/>
    </w:tbl>
    <w:p w14:paraId="30A2E32C">
      <w:pPr>
        <w:pStyle w:val="3"/>
        <w:spacing w:before="0" w:after="0" w:line="360" w:lineRule="auto"/>
        <w:jc w:val="left"/>
        <w:rPr>
          <w:rStyle w:val="19"/>
          <w:rFonts w:hint="eastAsia" w:ascii="宋体" w:hAnsi="宋体" w:eastAsia="宋体" w:cs="宋体"/>
          <w:b w:val="0"/>
          <w:bCs/>
          <w:i w:val="0"/>
          <w:color w:val="auto"/>
          <w:sz w:val="24"/>
          <w:szCs w:val="24"/>
          <w:highlight w:val="none"/>
        </w:rPr>
        <w:sectPr>
          <w:pgSz w:w="11900" w:h="16838"/>
          <w:pgMar w:top="1417" w:right="1417" w:bottom="1417" w:left="1417" w:header="0" w:footer="669" w:gutter="0"/>
          <w:pgBorders>
            <w:top w:val="none" w:sz="0" w:space="0"/>
            <w:left w:val="none" w:sz="0" w:space="0"/>
            <w:bottom w:val="none" w:sz="0" w:space="0"/>
            <w:right w:val="none" w:sz="0" w:space="0"/>
          </w:pgBorders>
          <w:cols w:space="720" w:num="1"/>
        </w:sectPr>
      </w:pPr>
    </w:p>
    <w:p w14:paraId="45AF4837">
      <w:pPr>
        <w:keepNext/>
        <w:keepLines/>
        <w:widowControl w:val="0"/>
        <w:spacing w:before="0" w:after="0" w:line="360" w:lineRule="auto"/>
        <w:jc w:val="left"/>
        <w:outlineLvl w:val="1"/>
        <w:rPr>
          <w:rStyle w:val="19"/>
          <w:rFonts w:hint="eastAsia" w:ascii="宋体" w:hAnsi="宋体" w:eastAsia="宋体" w:cs="宋体"/>
          <w:bCs/>
          <w:i w:val="0"/>
          <w:iCs/>
          <w:color w:val="auto"/>
          <w:kern w:val="2"/>
          <w:sz w:val="24"/>
          <w:szCs w:val="24"/>
          <w:highlight w:val="none"/>
          <w:lang w:val="zh-CN" w:eastAsia="zh-CN" w:bidi="ar-SA"/>
        </w:rPr>
      </w:pPr>
      <w:r>
        <w:rPr>
          <w:rStyle w:val="19"/>
          <w:rFonts w:hint="eastAsia" w:ascii="宋体" w:hAnsi="宋体" w:eastAsia="宋体" w:cs="宋体"/>
          <w:bCs/>
          <w:i w:val="0"/>
          <w:iCs/>
          <w:color w:val="auto"/>
          <w:sz w:val="24"/>
          <w:szCs w:val="24"/>
          <w:highlight w:val="none"/>
          <w:lang w:val="zh-CN" w:eastAsia="zh-CN" w:bidi="ar-SA"/>
        </w:rPr>
        <w:t>1．评标方法</w:t>
      </w:r>
    </w:p>
    <w:p w14:paraId="552733F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2689A6DE">
      <w:pPr>
        <w:pStyle w:val="3"/>
        <w:spacing w:before="0" w:after="0" w:line="360" w:lineRule="auto"/>
        <w:jc w:val="left"/>
        <w:rPr>
          <w:rStyle w:val="19"/>
          <w:rFonts w:hint="eastAsia" w:ascii="宋体" w:hAnsi="宋体" w:eastAsia="宋体" w:cs="宋体"/>
          <w:b/>
          <w:bCs w:val="0"/>
          <w:i w:val="0"/>
          <w:color w:val="auto"/>
          <w:sz w:val="24"/>
          <w:szCs w:val="24"/>
          <w:highlight w:val="none"/>
        </w:rPr>
      </w:pPr>
      <w:r>
        <w:rPr>
          <w:rStyle w:val="19"/>
          <w:rFonts w:hint="eastAsia" w:ascii="宋体" w:hAnsi="宋体" w:eastAsia="宋体" w:cs="宋体"/>
          <w:b/>
          <w:bCs w:val="0"/>
          <w:i w:val="0"/>
          <w:color w:val="auto"/>
          <w:sz w:val="24"/>
          <w:szCs w:val="24"/>
          <w:highlight w:val="none"/>
        </w:rPr>
        <w:t>2．评审标准</w:t>
      </w:r>
    </w:p>
    <w:p w14:paraId="1238D701">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2.1初步评审标准</w:t>
      </w:r>
    </w:p>
    <w:p w14:paraId="3D886BF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2.1.1形式评审标准：见评标办法前附表。</w:t>
      </w:r>
    </w:p>
    <w:p w14:paraId="684743E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2.1.2资格评审标准：见评标办法前附表。</w:t>
      </w:r>
    </w:p>
    <w:p w14:paraId="1697531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2.1.3响应性评审标准：见评标办法前附表。</w:t>
      </w:r>
    </w:p>
    <w:p w14:paraId="6828170A">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2.2分值构成与评分标准</w:t>
      </w:r>
    </w:p>
    <w:p w14:paraId="3FEEF25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2.2.1分值构成</w:t>
      </w:r>
    </w:p>
    <w:p w14:paraId="30E15AF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（1）施工组织设计：见评标办法前附表；</w:t>
      </w:r>
    </w:p>
    <w:p w14:paraId="343F7A5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（2）主要人员：见评标办法前附表；</w:t>
      </w:r>
    </w:p>
    <w:p w14:paraId="2C66F7C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（3）投标报价：见评标办法前附表；</w:t>
      </w:r>
    </w:p>
    <w:p w14:paraId="5521296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（4）其他因素：见评标办法前附表。</w:t>
      </w:r>
    </w:p>
    <w:p w14:paraId="1EEA962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2.2.2评标基准价计算：见评标办法前附表；</w:t>
      </w:r>
    </w:p>
    <w:p w14:paraId="301187B1">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2.2.3投标报价的偏差率计算：见评标办法前附表；</w:t>
      </w:r>
    </w:p>
    <w:p w14:paraId="03AD95E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2.2.4评分标准</w:t>
      </w:r>
    </w:p>
    <w:p w14:paraId="1F3825E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（1）施工组织设计评分标准：见评标办法前附表；</w:t>
      </w:r>
    </w:p>
    <w:p w14:paraId="3E1BDD6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（2）主要人员评分标准：见评标办法前附表；</w:t>
      </w:r>
    </w:p>
    <w:p w14:paraId="4CCFEF5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14:paraId="149557C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（4）其他因素评分标准：见评标办法前附表； </w:t>
      </w:r>
    </w:p>
    <w:p w14:paraId="6AF3BD94">
      <w:pPr>
        <w:pStyle w:val="3"/>
        <w:spacing w:before="0" w:after="0" w:line="360" w:lineRule="auto"/>
        <w:jc w:val="left"/>
        <w:rPr>
          <w:rStyle w:val="19"/>
          <w:rFonts w:hint="eastAsia" w:ascii="宋体" w:hAnsi="宋体" w:eastAsia="宋体" w:cs="宋体"/>
          <w:b w:val="0"/>
          <w:bCs/>
          <w:i w:val="0"/>
          <w:color w:val="auto"/>
          <w:sz w:val="24"/>
          <w:szCs w:val="24"/>
          <w:highlight w:val="none"/>
        </w:rPr>
      </w:pPr>
      <w:r>
        <w:rPr>
          <w:rStyle w:val="19"/>
          <w:rFonts w:hint="eastAsia" w:ascii="宋体" w:hAnsi="宋体" w:eastAsia="宋体" w:cs="宋体"/>
          <w:b/>
          <w:bCs w:val="0"/>
          <w:i w:val="0"/>
          <w:color w:val="auto"/>
          <w:sz w:val="24"/>
          <w:szCs w:val="24"/>
          <w:highlight w:val="none"/>
        </w:rPr>
        <w:t>3．评标程序</w:t>
      </w:r>
    </w:p>
    <w:p w14:paraId="7CBBDAB6">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3.1第一个信封初步评审</w:t>
      </w:r>
    </w:p>
    <w:p w14:paraId="0DD2635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14:paraId="3DDAA062">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3.2第一个信封详细评审</w:t>
      </w:r>
    </w:p>
    <w:p w14:paraId="703DF27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3.2.1评标委员会按本章第2.2款规定的量化因素和分值进行打分，并计算出各投标人的商务和技术得分。</w:t>
      </w:r>
    </w:p>
    <w:p w14:paraId="43A2C01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（1）按本章第2.2.4（1）目规定的评审因素和分值对施工组织设计部分计算出得分A；</w:t>
      </w:r>
    </w:p>
    <w:p w14:paraId="4D39AE4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（2）按本章第2.2.4（2）目规定的评审因素和分值对主要人员部分计算出得分B；</w:t>
      </w:r>
    </w:p>
    <w:p w14:paraId="444241A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（3）按本章第2.2.4（4）目规定的评审因素和分值对其他部分计算出得分D。</w:t>
      </w:r>
    </w:p>
    <w:p w14:paraId="2F84F3B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3.2.2投标人的商务和技术得分分值计算保留小数点后两位，小数点后第三位“四舍五入”。</w:t>
      </w:r>
    </w:p>
    <w:p w14:paraId="158CBD8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3.2.3投标人的商务和技术得分=A+B+D。</w:t>
      </w:r>
    </w:p>
    <w:p w14:paraId="6ED3B52D">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3.3第二个信封开标</w:t>
      </w:r>
    </w:p>
    <w:p w14:paraId="7313141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14:paraId="286B85E0">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3.4第二个信封初步评审</w:t>
      </w:r>
    </w:p>
    <w:p w14:paraId="27243E3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3.4.1评标委员会依据本章第2.1.1项、第2.1.3项规定的评审标准对投标文件第二个信封（报价文件）进行初步评审。有一项不符合评审标准的，评标委员会应否决其投标。</w:t>
      </w:r>
    </w:p>
    <w:p w14:paraId="6A65CAB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r>
        <w:rPr>
          <w:rFonts w:hint="eastAsia" w:ascii="宋体" w:hAnsi="宋体" w:eastAsia="宋体" w:cs="宋体"/>
          <w:color w:val="auto"/>
          <w:sz w:val="28"/>
          <w:szCs w:val="28"/>
          <w:highlight w:val="none"/>
          <w:vertAlign w:val="superscript"/>
        </w:rPr>
        <w:footnoteReference w:id="1"/>
      </w:r>
      <w:r>
        <w:rPr>
          <w:rFonts w:hint="eastAsia" w:ascii="宋体" w:hAnsi="宋体" w:eastAsia="宋体" w:cs="宋体"/>
          <w:color w:val="auto"/>
          <w:szCs w:val="21"/>
          <w:highlight w:val="none"/>
        </w:rPr>
        <w:t>投标报价有算术错误的，评标委员会按以下原则对投标报价进行修正，修正的价格经投标人书面确认后具有约束力。投标人不接受修正价格的，评标委员会应否决其投标。</w:t>
      </w:r>
    </w:p>
    <w:p w14:paraId="641D168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0449F7B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14:paraId="5A0FD4A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(3)当单价与数量相乘不等于合价时，以单价计算为准，如果单价有明显的小数点位置差错，应以标出的合价为准，同时对单价予以修正；</w:t>
      </w:r>
    </w:p>
    <w:p w14:paraId="01FE66A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(4)当各子目的合价累计不等于总价时，应以各子目合价累计数为准，修正总价。</w:t>
      </w:r>
    </w:p>
    <w:p w14:paraId="666E79A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3.4.3工程量清单中的投标报价有其他错误的，评标委员会按以下原则对投标报价进行修正，修正的价格经投标人书面确认后具有约束力。投标人不接受修正价格的，评标委员会应否决其投标。</w:t>
      </w:r>
    </w:p>
    <w:p w14:paraId="33A6932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4F402D9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74545E6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(3)当单价与数量的乘积与合价(金额)虽然一致，但投标人修改了该子目的工程数量，则其合价按招标人给定的工程数量乘以投标人所报单价予以修正。</w:t>
      </w:r>
    </w:p>
    <w:p w14:paraId="34E13D5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3.4.4修正后的最终投标报价若超过最高投标限价(如有)，评标委员会应否决其投标。</w:t>
      </w:r>
    </w:p>
    <w:p w14:paraId="0F6E74A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3.4.5修正后的最终投标报价仅作为签订合同的一个依据，不参与评标价得分的计算。</w:t>
      </w:r>
    </w:p>
    <w:p w14:paraId="11407E38">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3.5第二个信封详细评审</w:t>
      </w:r>
    </w:p>
    <w:p w14:paraId="7F562E9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3.5.1评标委员会按本章第2.2.4（3）目规定的评审因素和分值对投标报价计算出得分C。投标报价得分分值计算保留小数点后两位，小数点后第三位“四舍五入”。</w:t>
      </w:r>
    </w:p>
    <w:p w14:paraId="45AB7FA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3.5.2投标人得分=投标人的商务和技术得分+C</w:t>
      </w:r>
    </w:p>
    <w:p w14:paraId="727A74C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CB88189">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3.6投标文件相关信息的核查</w:t>
      </w:r>
    </w:p>
    <w:p w14:paraId="19A2977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3.6.1评标委员会应对在评标过程中发现的投标人与投标人之间、投标人与招标人之间存在的串通投标的情形进行评审和认定。投标人存在串通投标、弄虚作假、行贿等违法行为的，评标委员会应否决其投标。</w:t>
      </w:r>
    </w:p>
    <w:p w14:paraId="23AAEF8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（1）有下列情形之一的，属于投标人相互串通投标：</w:t>
      </w:r>
    </w:p>
    <w:p w14:paraId="59EA88E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a.投标人之间协商投标报价等投标文件的实质性内容；</w:t>
      </w:r>
    </w:p>
    <w:p w14:paraId="200A4E2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b.投标人之间约定中标人；</w:t>
      </w:r>
    </w:p>
    <w:p w14:paraId="7BFCF3B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c.投标人之间约定部分投标人放弃投标或中标；</w:t>
      </w:r>
    </w:p>
    <w:p w14:paraId="6E9C5AF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d.属于同一集团、协会、商会等组织成员的投标人按照该组织要求协同投标；</w:t>
      </w:r>
    </w:p>
    <w:p w14:paraId="1ABBCCC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e.投标人之间为谋取中标或排斥特定投标人而采取的其他联合行动。</w:t>
      </w:r>
    </w:p>
    <w:p w14:paraId="56713DA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（2）有下列情形之一的，视为投标人相互串通投标：</w:t>
      </w:r>
    </w:p>
    <w:p w14:paraId="4E34873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a.不同投标人的投标文件由同一单位或个人编制；</w:t>
      </w:r>
    </w:p>
    <w:p w14:paraId="73F319D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b.不同投标人委托同一单位或个人办理投标事宜；</w:t>
      </w:r>
    </w:p>
    <w:p w14:paraId="369A192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c.不同投标人的投标文件载明的项目管理成员为同一人；</w:t>
      </w:r>
    </w:p>
    <w:p w14:paraId="1D129CB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d.不同投标人的投标文件异常一致或投标报价呈规律性差异；</w:t>
      </w:r>
    </w:p>
    <w:p w14:paraId="6EA2F02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e.不同投标人的投标文件相互混装；</w:t>
      </w:r>
    </w:p>
    <w:p w14:paraId="366172D4">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f.不同投标人的投标保证金从同一单位或个人的账户转出。</w:t>
      </w:r>
    </w:p>
    <w:p w14:paraId="31A51028">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（3）有下列情形之一的，属于招标人与投标人串通投标：</w:t>
      </w:r>
    </w:p>
    <w:p w14:paraId="6D34EC9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a.招标人在开标前开启投标文件并将有关信息泄露给其他投标人;</w:t>
      </w:r>
    </w:p>
    <w:p w14:paraId="1F58EF7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b.招标人直接或间接向投标人泄露标底、评标委员会成员等信息；</w:t>
      </w:r>
    </w:p>
    <w:p w14:paraId="48721C2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c.招标人明示或暗示投标人压低或抬高投标报价；</w:t>
      </w:r>
    </w:p>
    <w:p w14:paraId="6DD79BF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d.招标人授意投标人撤换、修改投标文件；</w:t>
      </w:r>
    </w:p>
    <w:p w14:paraId="7424199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e.招标人明示或暗示投标人为特定投标人中标提供方便；</w:t>
      </w:r>
    </w:p>
    <w:p w14:paraId="63B86BA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f.招标人与投标人为谋求特定投标人中标而采取的其他串通行为。</w:t>
      </w:r>
    </w:p>
    <w:p w14:paraId="3339301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（4）投标人有下列情形之一的，属于弄虚作假的行为：</w:t>
      </w:r>
    </w:p>
    <w:p w14:paraId="5F921FD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a.使用通过受让或租借等方式获取的资格、资质证书投标；</w:t>
      </w:r>
    </w:p>
    <w:p w14:paraId="33BC05E0">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b.使用伪造、变造的许可证件；</w:t>
      </w:r>
    </w:p>
    <w:p w14:paraId="02E6FCDE">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c.提供虚假的财务状况或业绩；</w:t>
      </w:r>
    </w:p>
    <w:p w14:paraId="6E17FE8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d.提供虚假的项目负责人或主要技术人员简历、劳动关系证明；</w:t>
      </w:r>
    </w:p>
    <w:p w14:paraId="7E8E3DA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e.提供虚假的信用状况；</w:t>
      </w:r>
    </w:p>
    <w:p w14:paraId="112A282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f.其他弄虚作假的行为。</w:t>
      </w:r>
    </w:p>
    <w:p w14:paraId="3C2FF529">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val="0"/>
          <w:bCs w:val="0"/>
          <w:iCs/>
          <w:color w:val="auto"/>
          <w:kern w:val="2"/>
          <w:sz w:val="24"/>
          <w:szCs w:val="24"/>
          <w:highlight w:val="none"/>
          <w:lang w:val="en-US" w:eastAsia="zh-CN" w:bidi="ar-SA"/>
        </w:rPr>
      </w:pPr>
      <w:r>
        <w:rPr>
          <w:rStyle w:val="19"/>
          <w:rFonts w:hint="eastAsia" w:ascii="宋体" w:hAnsi="宋体" w:eastAsia="宋体" w:cs="宋体"/>
          <w:b w:val="0"/>
          <w:bCs w:val="0"/>
          <w:iCs/>
          <w:color w:val="auto"/>
          <w:sz w:val="24"/>
          <w:szCs w:val="24"/>
          <w:highlight w:val="none"/>
          <w:lang w:val="en-US" w:eastAsia="zh-CN" w:bidi="ar-SA"/>
        </w:rPr>
        <w:t>3.7投标文件的澄清和说明</w:t>
      </w:r>
    </w:p>
    <w:p w14:paraId="551E39FB">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5092DF3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 澄清和说明不得超出投标文件的范围或改变投标文件的实质性内容（算术性错误的修正除外）。投标人的书面澄清、说明属于投标文件的组成部分。</w:t>
      </w:r>
    </w:p>
    <w:p w14:paraId="7BB917C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 评标委员会不得暗示或诱导投标人作出澄清、说明，对投标人提交的澄清、说明有疑问的，可以要求投标人进一步澄清或说明，直至满足评标委员会的要求。</w:t>
      </w:r>
    </w:p>
    <w:p w14:paraId="3A3A9EF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 凡超出招标文件规定的或给招标人带来未曾要求的利益的变化、偏差或其他因素在评标时不予考虑。</w:t>
      </w:r>
    </w:p>
    <w:p w14:paraId="16D6E1CE">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3.8不得否决投标的情形</w:t>
      </w:r>
    </w:p>
    <w:p w14:paraId="7C85AFD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投标文件存在第二章“投标人须知”第1.12.3项所列情形的，均视为细微偏差，评标委员会不得否决投标人的投标，应按照第二章“投标人须知”第1.12.4项规定的原则处理。</w:t>
      </w:r>
    </w:p>
    <w:p w14:paraId="7114CF8A">
      <w:pPr>
        <w:keepNext/>
        <w:keepLines/>
        <w:widowControl w:val="0"/>
        <w:numPr>
          <w:ilvl w:val="0"/>
          <w:numId w:val="0"/>
        </w:numPr>
        <w:spacing w:before="0" w:beforeLines="0" w:after="0" w:afterLines="0" w:line="413" w:lineRule="auto"/>
        <w:ind w:left="425"/>
        <w:jc w:val="left"/>
        <w:outlineLvl w:val="2"/>
        <w:rPr>
          <w:rStyle w:val="19"/>
          <w:rFonts w:hint="eastAsia" w:ascii="宋体" w:hAnsi="宋体" w:eastAsia="宋体" w:cs="宋体"/>
          <w:b/>
          <w:bCs w:val="0"/>
          <w:iCs/>
          <w:color w:val="auto"/>
          <w:kern w:val="2"/>
          <w:sz w:val="24"/>
          <w:szCs w:val="24"/>
          <w:highlight w:val="none"/>
          <w:lang w:val="en-US" w:eastAsia="zh-CN" w:bidi="ar-SA"/>
        </w:rPr>
      </w:pPr>
      <w:r>
        <w:rPr>
          <w:rStyle w:val="19"/>
          <w:rFonts w:hint="eastAsia" w:ascii="宋体" w:hAnsi="宋体" w:eastAsia="宋体" w:cs="宋体"/>
          <w:b/>
          <w:bCs w:val="0"/>
          <w:iCs/>
          <w:color w:val="auto"/>
          <w:sz w:val="24"/>
          <w:szCs w:val="24"/>
          <w:highlight w:val="none"/>
          <w:lang w:val="en-US" w:eastAsia="zh-CN" w:bidi="ar-SA"/>
        </w:rPr>
        <w:t>3.9评标结果</w:t>
      </w:r>
    </w:p>
    <w:p w14:paraId="41993F0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 除第二章“投标人须知”前附表授权直接确定中标人外，评标委员会按照得分由高到低的顺序推荐中标候选人，并标明排序。</w:t>
      </w:r>
    </w:p>
    <w:p w14:paraId="221CC3C2">
      <w:pPr>
        <w:spacing w:line="360" w:lineRule="auto"/>
        <w:ind w:firstLine="371" w:firstLineChars="177"/>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3.9.2 评标委员会完成评标后，应向招标人提交书面评标报告</w:t>
      </w:r>
      <w:r>
        <w:rPr>
          <w:rFonts w:hint="eastAsia" w:ascii="宋体" w:hAnsi="宋体" w:eastAsia="宋体" w:cs="宋体"/>
          <w:color w:val="auto"/>
          <w:sz w:val="24"/>
          <w:szCs w:val="24"/>
          <w:highlight w:val="none"/>
        </w:rPr>
        <w:t>。</w:t>
      </w:r>
    </w:p>
    <w:p w14:paraId="7A46BC8B">
      <w:pPr>
        <w:spacing w:line="360" w:lineRule="auto"/>
        <w:ind w:firstLine="371" w:firstLineChars="177"/>
        <w:rPr>
          <w:rFonts w:hint="eastAsia" w:ascii="宋体" w:hAnsi="宋体" w:eastAsia="宋体" w:cs="宋体"/>
          <w:color w:val="auto"/>
          <w:szCs w:val="21"/>
          <w:highlight w:val="none"/>
        </w:rPr>
      </w:pPr>
    </w:p>
    <w:p w14:paraId="16CE5E4C">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CF28BEB">
      <w:pPr>
        <w:widowControl w:val="0"/>
        <w:snapToGrid w:val="0"/>
        <w:spacing w:line="240" w:lineRule="atLeast"/>
        <w:ind w:firstLine="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vertAlign w:val="superscript"/>
          <w:lang w:val="en-US" w:eastAsia="zh-CN" w:bidi="ar-SA"/>
        </w:rPr>
        <w:footnoteRef/>
      </w:r>
      <w:r>
        <w:rPr>
          <w:rFonts w:hint="eastAsia" w:ascii="宋体" w:hAnsi="宋体" w:eastAsia="宋体" w:cs="宋体"/>
          <w:kern w:val="2"/>
          <w:sz w:val="18"/>
          <w:szCs w:val="18"/>
          <w:lang w:val="en-US" w:eastAsia="zh-CN" w:bidi="ar-SA"/>
        </w:rPr>
        <w:t>本条内容所指的行政处罚和正式约谈是指本范本施行之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footnote>
  <w:footnote w:id="1">
    <w:p w14:paraId="5C6BA4AA">
      <w:pPr>
        <w:widowControl w:val="0"/>
        <w:snapToGrid w:val="0"/>
        <w:spacing w:line="240" w:lineRule="auto"/>
        <w:ind w:firstLine="0"/>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vertAlign w:val="superscript"/>
          <w:lang w:val="en-US" w:eastAsia="zh-CN" w:bidi="ar-SA"/>
        </w:rPr>
        <w:footnoteRef/>
      </w:r>
      <w:r>
        <w:rPr>
          <w:rFonts w:hint="eastAsia" w:ascii="宋体" w:hAnsi="宋体" w:eastAsia="宋体" w:cs="Times New Roman"/>
          <w:kern w:val="2"/>
          <w:sz w:val="18"/>
          <w:szCs w:val="18"/>
          <w:lang w:val="en-US" w:eastAsia="zh-CN" w:bidi="ar-SA"/>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3.4.2项和第3.4.3项的规定对投标报价进行修正，第3.4.2项至第3.4.5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9295B"/>
    <w:rsid w:val="5149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宋体" w:hAnsi="宋体" w:eastAsia="宋体" w:cs="宋体"/>
      <w:kern w:val="2"/>
      <w:sz w:val="21"/>
      <w:szCs w:val="21"/>
      <w:lang w:val="zh-CN" w:eastAsia="zh-CN" w:bidi="zh-CN"/>
    </w:rPr>
  </w:style>
  <w:style w:type="paragraph" w:styleId="4">
    <w:name w:val="Title"/>
    <w:qFormat/>
    <w:uiPriority w:val="0"/>
    <w:pPr>
      <w:widowControl w:val="0"/>
      <w:adjustRightInd w:val="0"/>
      <w:spacing w:before="240" w:after="60" w:line="420" w:lineRule="atLeast"/>
      <w:jc w:val="center"/>
      <w:textAlignment w:val="baseline"/>
      <w:outlineLvl w:val="0"/>
    </w:pPr>
    <w:rPr>
      <w:rFonts w:ascii="Arial" w:hAnsi="Arial" w:eastAsia="宋体" w:cs="Times New Roman"/>
      <w:b/>
      <w:color w:val="auto"/>
      <w:kern w:val="2"/>
      <w:sz w:val="32"/>
      <w:szCs w:val="20"/>
      <w:lang w:val="en-US" w:eastAsia="zh-CN" w:bidi="ar-SA"/>
    </w:rPr>
  </w:style>
  <w:style w:type="character" w:customStyle="1" w:styleId="7">
    <w:name w:val="正文文本 (13)_"/>
    <w:link w:val="8"/>
    <w:qFormat/>
    <w:locked/>
    <w:uiPriority w:val="99"/>
    <w:rPr>
      <w:rFonts w:ascii="MingLiU" w:hAnsi="Times New Roman" w:eastAsia="MingLiU" w:cs="Times New Roman"/>
      <w:color w:val="auto"/>
      <w:spacing w:val="40"/>
      <w:kern w:val="2"/>
      <w:sz w:val="56"/>
      <w:szCs w:val="56"/>
      <w:lang w:val="en-US" w:eastAsia="zh-CN" w:bidi="ar-SA"/>
    </w:rPr>
  </w:style>
  <w:style w:type="paragraph" w:customStyle="1" w:styleId="8">
    <w:name w:val="正文文本 (13)"/>
    <w:link w:val="7"/>
    <w:qFormat/>
    <w:uiPriority w:val="99"/>
    <w:pPr>
      <w:widowControl w:val="0"/>
      <w:shd w:val="clear" w:color="auto" w:fill="FFFFFF"/>
      <w:spacing w:line="240" w:lineRule="atLeast"/>
      <w:jc w:val="both"/>
    </w:pPr>
    <w:rPr>
      <w:rFonts w:ascii="MingLiU" w:hAnsi="Times New Roman" w:eastAsia="MingLiU" w:cs="Times New Roman"/>
      <w:color w:val="auto"/>
      <w:spacing w:val="40"/>
      <w:kern w:val="2"/>
      <w:sz w:val="56"/>
      <w:szCs w:val="56"/>
      <w:lang w:val="en-US" w:eastAsia="zh-CN" w:bidi="ar-SA"/>
    </w:rPr>
  </w:style>
  <w:style w:type="paragraph" w:customStyle="1" w:styleId="9">
    <w:name w:val="正文文本 (2)1"/>
    <w:qFormat/>
    <w:uiPriority w:val="0"/>
    <w:pPr>
      <w:widowControl w:val="0"/>
      <w:shd w:val="clear" w:color="auto" w:fill="FFFFFF"/>
      <w:spacing w:before="300" w:beforeLines="0" w:line="439" w:lineRule="exact"/>
      <w:jc w:val="distribute"/>
    </w:pPr>
    <w:rPr>
      <w:rFonts w:ascii="MingLiU" w:hAnsi="Times New Roman" w:eastAsia="MingLiU" w:cs="MingLiU"/>
      <w:spacing w:val="20"/>
      <w:kern w:val="2"/>
      <w:sz w:val="22"/>
      <w:szCs w:val="24"/>
      <w:shd w:val="clear" w:color="auto" w:fill="FFFFFF"/>
      <w:lang w:val="en-US" w:eastAsia="zh-CN" w:bidi="ar-SA"/>
    </w:rPr>
  </w:style>
  <w:style w:type="character" w:customStyle="1" w:styleId="10">
    <w:name w:val="正文文本 (2) + 10 pt23"/>
    <w:qFormat/>
    <w:uiPriority w:val="99"/>
    <w:rPr>
      <w:rFonts w:ascii="MingLiU" w:eastAsia="MingLiU" w:cs="MingLiU"/>
      <w:b/>
      <w:bCs/>
      <w:spacing w:val="0"/>
      <w:sz w:val="20"/>
      <w:szCs w:val="20"/>
      <w:u w:val="none"/>
    </w:rPr>
  </w:style>
  <w:style w:type="character" w:customStyle="1" w:styleId="11">
    <w:name w:val="正文文本 (2) + 10 pt37"/>
    <w:qFormat/>
    <w:uiPriority w:val="0"/>
    <w:rPr>
      <w:rFonts w:ascii="MingLiU" w:eastAsia="MingLiU" w:cs="MingLiU"/>
      <w:spacing w:val="0"/>
      <w:sz w:val="20"/>
      <w:szCs w:val="20"/>
      <w:u w:val="none"/>
    </w:rPr>
  </w:style>
  <w:style w:type="paragraph" w:customStyle="1" w:styleId="12">
    <w:name w:val="正文文本 (5)1"/>
    <w:qFormat/>
    <w:uiPriority w:val="99"/>
    <w:pPr>
      <w:widowControl w:val="0"/>
      <w:shd w:val="clear" w:color="auto" w:fill="FFFFFF"/>
      <w:spacing w:before="5100" w:line="240" w:lineRule="atLeast"/>
      <w:jc w:val="both"/>
    </w:pPr>
    <w:rPr>
      <w:rFonts w:ascii="MingLiU" w:hAnsi="Times New Roman" w:eastAsia="MingLiU" w:cs="Times New Roman"/>
      <w:color w:val="auto"/>
      <w:kern w:val="2"/>
      <w:sz w:val="20"/>
      <w:szCs w:val="20"/>
      <w:lang w:val="en-US" w:eastAsia="zh-CN" w:bidi="ar-SA"/>
    </w:rPr>
  </w:style>
  <w:style w:type="character" w:customStyle="1" w:styleId="13">
    <w:name w:val="正文文本 (2) + 10 pt34"/>
    <w:qFormat/>
    <w:uiPriority w:val="99"/>
    <w:rPr>
      <w:rFonts w:ascii="MingLiU" w:eastAsia="MingLiU" w:cs="MingLiU"/>
      <w:spacing w:val="-20"/>
      <w:sz w:val="20"/>
      <w:szCs w:val="20"/>
      <w:u w:val="none"/>
      <w:lang w:val="en-US" w:eastAsia="en-US"/>
    </w:rPr>
  </w:style>
  <w:style w:type="paragraph" w:customStyle="1" w:styleId="14">
    <w:name w:val="正文文本 (17)"/>
    <w:qFormat/>
    <w:uiPriority w:val="99"/>
    <w:pPr>
      <w:widowControl w:val="0"/>
      <w:shd w:val="clear" w:color="auto" w:fill="FFFFFF"/>
      <w:spacing w:line="240" w:lineRule="atLeast"/>
      <w:jc w:val="distribute"/>
    </w:pPr>
    <w:rPr>
      <w:rFonts w:ascii="MingLiU" w:hAnsi="Times New Roman" w:eastAsia="MingLiU" w:cs="Times New Roman"/>
      <w:color w:val="auto"/>
      <w:spacing w:val="-10"/>
      <w:kern w:val="2"/>
      <w:sz w:val="22"/>
      <w:szCs w:val="22"/>
      <w:lang w:val="en-US" w:eastAsia="zh-CN" w:bidi="ar-SA"/>
    </w:rPr>
  </w:style>
  <w:style w:type="character" w:customStyle="1" w:styleId="15">
    <w:name w:val="正文文本 (5) + 间距 -1 pt"/>
    <w:qFormat/>
    <w:uiPriority w:val="99"/>
    <w:rPr>
      <w:rFonts w:ascii="MingLiU" w:eastAsia="MingLiU" w:cs="MingLiU"/>
      <w:spacing w:val="-20"/>
      <w:sz w:val="20"/>
      <w:szCs w:val="20"/>
      <w:u w:val="none"/>
      <w:lang w:val="en-US" w:eastAsia="en-US"/>
    </w:rPr>
  </w:style>
  <w:style w:type="character" w:customStyle="1" w:styleId="16">
    <w:name w:val="正文文本 (2) + 间距 0 pt5"/>
    <w:qFormat/>
    <w:uiPriority w:val="99"/>
    <w:rPr>
      <w:rFonts w:ascii="MingLiU" w:eastAsia="MingLiU" w:cs="MingLiU"/>
      <w:spacing w:val="0"/>
      <w:sz w:val="22"/>
      <w:szCs w:val="22"/>
      <w:u w:val="none"/>
    </w:rPr>
  </w:style>
  <w:style w:type="character" w:customStyle="1" w:styleId="17">
    <w:name w:val="正文文本 (2) + 间距 0 pt3"/>
    <w:qFormat/>
    <w:uiPriority w:val="99"/>
    <w:rPr>
      <w:rFonts w:ascii="MingLiU" w:eastAsia="MingLiU" w:cs="MingLiU"/>
      <w:spacing w:val="0"/>
      <w:sz w:val="22"/>
      <w:szCs w:val="22"/>
      <w:u w:val="none"/>
    </w:rPr>
  </w:style>
  <w:style w:type="character" w:customStyle="1" w:styleId="18">
    <w:name w:val="正文文本 (2) + 10 pt24"/>
    <w:qFormat/>
    <w:uiPriority w:val="99"/>
    <w:rPr>
      <w:rFonts w:ascii="MingLiU" w:eastAsia="MingLiU" w:cs="MingLiU"/>
      <w:b/>
      <w:bCs/>
      <w:spacing w:val="0"/>
      <w:sz w:val="20"/>
      <w:szCs w:val="20"/>
      <w:u w:val="none"/>
    </w:rPr>
  </w:style>
  <w:style w:type="character" w:customStyle="1" w:styleId="19">
    <w:name w:val="标题 1 Char1"/>
    <w:qFormat/>
    <w:locked/>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Office_12.8.2.18676_F1E327BC-269C-435d-A152-05C5408002CA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2025-07-31T06:46:00Z</dcterms:created>
  <dc:creator>潘志涛</dc:creator>
  <cp:lastModifiedBy>潘志涛</cp:lastModifiedBy>
  <dcterms:modified xsi:type="dcterms:W3CDTF">2025-07-31T06:47:03Z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2052-12.8.2.18676</vt:lpwstr>
  </property>
  <property fmtid="{D5CDD505-2E9C-101B-9397-08002B2CF9AE}" pid="3" name="ICV">
    <vt:lpwstr>68B37AB4D0E94CCF84F8599AB8CA4921_11</vt:lpwstr>
  </property>
</Properties>
</file>