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B75B2">
      <w:pPr>
        <w:spacing w:line="360" w:lineRule="auto"/>
        <w:jc w:val="center"/>
        <w:rPr>
          <w:rFonts w:hint="eastAsia" w:eastAsia="宋体" w:cs="宋体"/>
          <w:b/>
          <w:sz w:val="52"/>
          <w:szCs w:val="52"/>
          <w:highlight w:val="none"/>
          <w:lang w:eastAsia="zh-CN" w:bidi="ar"/>
        </w:rPr>
      </w:pPr>
      <w:bookmarkStart w:id="0" w:name="_Toc530"/>
      <w:bookmarkStart w:id="1" w:name="_Toc492300545"/>
    </w:p>
    <w:p w14:paraId="79AFCF55">
      <w:pPr>
        <w:spacing w:line="360" w:lineRule="auto"/>
        <w:jc w:val="center"/>
        <w:rPr>
          <w:rFonts w:hint="eastAsia" w:eastAsia="宋体" w:cs="宋体"/>
          <w:b/>
          <w:sz w:val="52"/>
          <w:szCs w:val="52"/>
          <w:highlight w:val="none"/>
          <w:lang w:eastAsia="zh-CN" w:bidi="ar"/>
        </w:rPr>
      </w:pPr>
      <w:r>
        <w:rPr>
          <w:rFonts w:hint="eastAsia" w:ascii="宋体" w:hAnsi="宋体" w:cs="宋体"/>
          <w:b/>
          <w:sz w:val="52"/>
          <w:szCs w:val="52"/>
          <w:highlight w:val="none"/>
          <w:lang w:eastAsia="zh-CN" w:bidi="ar"/>
        </w:rPr>
        <w:t>（2025年-2028年）BRT快速公交项目—信息化系统运行维护项目</w:t>
      </w:r>
    </w:p>
    <w:p w14:paraId="33AB6C8E">
      <w:pPr>
        <w:jc w:val="center"/>
        <w:rPr>
          <w:b/>
          <w:sz w:val="84"/>
          <w:szCs w:val="84"/>
          <w:highlight w:val="none"/>
        </w:rPr>
      </w:pPr>
    </w:p>
    <w:p w14:paraId="46999855">
      <w:pPr>
        <w:pStyle w:val="7"/>
      </w:pPr>
    </w:p>
    <w:p w14:paraId="45750051">
      <w:pPr>
        <w:jc w:val="center"/>
        <w:rPr>
          <w:b/>
          <w:sz w:val="84"/>
          <w:szCs w:val="84"/>
          <w:highlight w:val="none"/>
        </w:rPr>
      </w:pPr>
    </w:p>
    <w:p w14:paraId="63BC1B44">
      <w:pPr>
        <w:spacing w:line="360" w:lineRule="auto"/>
        <w:jc w:val="center"/>
        <w:rPr>
          <w:rFonts w:hint="eastAsia" w:eastAsia="宋体"/>
          <w:b/>
          <w:bCs/>
          <w:spacing w:val="26"/>
          <w:sz w:val="110"/>
          <w:szCs w:val="110"/>
          <w:highlight w:val="none"/>
          <w:lang w:eastAsia="zh-CN"/>
        </w:rPr>
      </w:pPr>
      <w:r>
        <w:rPr>
          <w:rFonts w:hint="eastAsia" w:cs="宋体"/>
          <w:b/>
          <w:bCs/>
          <w:spacing w:val="26"/>
          <w:sz w:val="110"/>
          <w:szCs w:val="110"/>
          <w:highlight w:val="none"/>
          <w:lang w:bidi="ar"/>
        </w:rPr>
        <w:t>招标</w:t>
      </w:r>
      <w:r>
        <w:rPr>
          <w:rFonts w:hint="eastAsia" w:cs="宋体"/>
          <w:b/>
          <w:bCs/>
          <w:spacing w:val="26"/>
          <w:sz w:val="110"/>
          <w:szCs w:val="110"/>
          <w:highlight w:val="none"/>
          <w:lang w:val="en-US" w:eastAsia="zh-CN" w:bidi="ar"/>
        </w:rPr>
        <w:t>文件</w:t>
      </w:r>
    </w:p>
    <w:p w14:paraId="69E94BAC">
      <w:pPr>
        <w:jc w:val="center"/>
        <w:rPr>
          <w:b/>
          <w:sz w:val="84"/>
          <w:szCs w:val="84"/>
          <w:highlight w:val="none"/>
        </w:rPr>
      </w:pPr>
    </w:p>
    <w:p w14:paraId="29518036">
      <w:pPr>
        <w:pStyle w:val="7"/>
        <w:rPr>
          <w:b/>
          <w:sz w:val="84"/>
          <w:szCs w:val="84"/>
          <w:highlight w:val="none"/>
        </w:rPr>
      </w:pPr>
    </w:p>
    <w:p w14:paraId="3E9DAEF9"/>
    <w:p w14:paraId="4C303762">
      <w:pPr>
        <w:pStyle w:val="3"/>
      </w:pPr>
    </w:p>
    <w:p w14:paraId="729687BC">
      <w:pPr>
        <w:pStyle w:val="3"/>
      </w:pPr>
    </w:p>
    <w:p w14:paraId="75A5DFFB">
      <w:pPr>
        <w:spacing w:line="360" w:lineRule="auto"/>
        <w:ind w:firstLine="960" w:firstLineChars="300"/>
        <w:rPr>
          <w:rFonts w:hint="eastAsia" w:ascii="宋体" w:hAnsi="宋体" w:eastAsia="宋体" w:cs="宋体"/>
          <w:b w:val="0"/>
          <w:bCs/>
          <w:sz w:val="32"/>
          <w:szCs w:val="32"/>
          <w:highlight w:val="none"/>
          <w:lang w:eastAsia="zh-CN"/>
        </w:rPr>
      </w:pPr>
      <w:r>
        <w:rPr>
          <w:rFonts w:hint="eastAsia" w:ascii="宋体" w:hAnsi="宋体" w:eastAsia="宋体" w:cs="宋体"/>
          <w:b w:val="0"/>
          <w:bCs/>
          <w:sz w:val="32"/>
          <w:szCs w:val="32"/>
          <w:highlight w:val="none"/>
          <w:lang w:eastAsia="zh-CN"/>
        </w:rPr>
        <w:t>招   标   人：广州新中轴建设有限公司</w:t>
      </w:r>
    </w:p>
    <w:p w14:paraId="1F4B60CD">
      <w:pPr>
        <w:spacing w:line="360" w:lineRule="auto"/>
        <w:ind w:firstLine="960" w:firstLineChars="300"/>
        <w:rPr>
          <w:rFonts w:hint="eastAsia"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eastAsia="zh-CN"/>
        </w:rPr>
        <w:t>招标代理机构：</w:t>
      </w:r>
      <w:r>
        <w:rPr>
          <w:rFonts w:hint="eastAsia" w:ascii="宋体" w:hAnsi="宋体" w:cs="宋体"/>
          <w:b w:val="0"/>
          <w:bCs/>
          <w:color w:val="auto"/>
          <w:sz w:val="32"/>
          <w:highlight w:val="none"/>
          <w:lang w:val="en-US" w:eastAsia="zh-CN"/>
        </w:rPr>
        <w:t>北京中交建设工程咨询有限公司</w:t>
      </w:r>
    </w:p>
    <w:p w14:paraId="72137635">
      <w:pPr>
        <w:spacing w:line="360" w:lineRule="auto"/>
        <w:ind w:firstLine="960" w:firstLineChars="300"/>
        <w:rPr>
          <w:rFonts w:hint="eastAsia" w:ascii="宋体" w:hAnsi="宋体" w:cs="宋体"/>
        </w:rPr>
      </w:pPr>
      <w:r>
        <w:rPr>
          <w:rFonts w:hint="eastAsia" w:ascii="宋体" w:hAnsi="宋体" w:eastAsia="宋体" w:cs="宋体"/>
          <w:b w:val="0"/>
          <w:bCs/>
          <w:sz w:val="32"/>
          <w:szCs w:val="32"/>
          <w:highlight w:val="none"/>
          <w:lang w:eastAsia="zh-CN"/>
        </w:rPr>
        <w:t>日        期：</w:t>
      </w:r>
      <w:r>
        <w:rPr>
          <w:rFonts w:hint="eastAsia" w:ascii="宋体" w:hAnsi="宋体" w:eastAsia="宋体" w:cs="宋体"/>
          <w:b w:val="0"/>
          <w:bCs/>
          <w:sz w:val="32"/>
          <w:szCs w:val="32"/>
          <w:highlight w:val="none"/>
          <w:lang w:val="en-US" w:eastAsia="zh-CN"/>
        </w:rPr>
        <w:t>2025</w:t>
      </w:r>
      <w:r>
        <w:rPr>
          <w:rFonts w:hint="eastAsia" w:ascii="宋体" w:hAnsi="宋体" w:eastAsia="宋体" w:cs="宋体"/>
          <w:b w:val="0"/>
          <w:bCs/>
          <w:sz w:val="32"/>
          <w:szCs w:val="32"/>
          <w:highlight w:val="none"/>
          <w:lang w:eastAsia="zh-CN"/>
        </w:rPr>
        <w:t>年</w:t>
      </w:r>
      <w:r>
        <w:rPr>
          <w:rFonts w:hint="eastAsia" w:ascii="宋体" w:hAnsi="宋体" w:cs="宋体"/>
          <w:b w:val="0"/>
          <w:bCs/>
          <w:sz w:val="32"/>
          <w:szCs w:val="32"/>
          <w:highlight w:val="none"/>
          <w:lang w:val="en-US" w:eastAsia="zh-CN"/>
        </w:rPr>
        <w:t>7</w:t>
      </w:r>
      <w:r>
        <w:rPr>
          <w:rFonts w:hint="eastAsia" w:ascii="宋体" w:hAnsi="宋体" w:eastAsia="宋体" w:cs="宋体"/>
          <w:b w:val="0"/>
          <w:bCs/>
          <w:sz w:val="32"/>
          <w:szCs w:val="32"/>
          <w:highlight w:val="none"/>
          <w:lang w:eastAsia="zh-CN"/>
        </w:rPr>
        <w:t>月</w:t>
      </w:r>
    </w:p>
    <w:bookmarkEnd w:id="0"/>
    <w:p w14:paraId="4E217DAD">
      <w:pPr>
        <w:tabs>
          <w:tab w:val="left" w:pos="2593"/>
        </w:tabs>
        <w:kinsoku w:val="0"/>
        <w:overflowPunct w:val="0"/>
        <w:spacing w:beforeLines="0" w:afterLines="0"/>
        <w:ind w:left="3"/>
        <w:jc w:val="center"/>
        <w:rPr>
          <w:rFonts w:hint="eastAsia" w:ascii="宋体" w:hAnsi="宋体" w:eastAsia="宋体"/>
          <w:sz w:val="28"/>
        </w:rPr>
      </w:pPr>
    </w:p>
    <w:p w14:paraId="7945365B">
      <w:pPr>
        <w:kinsoku w:val="0"/>
        <w:overflowPunct w:val="0"/>
        <w:spacing w:before="6" w:beforeLines="0" w:afterLines="0" w:line="100" w:lineRule="exact"/>
        <w:rPr>
          <w:rFonts w:hint="default"/>
          <w:sz w:val="10"/>
        </w:rPr>
        <w:sectPr>
          <w:footerReference r:id="rId3" w:type="default"/>
          <w:pgSz w:w="11850" w:h="16840"/>
          <w:pgMar w:top="1134" w:right="1417" w:bottom="1134" w:left="1417" w:header="0" w:footer="921" w:gutter="0"/>
          <w:lnNumType w:countBy="0" w:distance="360"/>
          <w:pgNumType w:fmt="decimal"/>
          <w:cols w:space="720" w:num="1"/>
        </w:sectPr>
      </w:pPr>
    </w:p>
    <w:p w14:paraId="0E25C1F8">
      <w:pPr>
        <w:pStyle w:val="13"/>
        <w:rPr>
          <w:rFonts w:hint="default"/>
        </w:rPr>
      </w:pPr>
    </w:p>
    <w:p w14:paraId="34D9AD96">
      <w:pPr>
        <w:kinsoku w:val="0"/>
        <w:overflowPunct w:val="0"/>
        <w:adjustRightInd w:val="0"/>
        <w:snapToGrid w:val="0"/>
        <w:spacing w:line="360" w:lineRule="auto"/>
        <w:ind w:left="3415" w:right="3413"/>
        <w:jc w:val="center"/>
        <w:outlineLvl w:val="9"/>
        <w:rPr>
          <w:sz w:val="32"/>
          <w:szCs w:val="32"/>
        </w:rPr>
      </w:pPr>
      <w:bookmarkStart w:id="2" w:name="_Toc9304"/>
      <w:bookmarkStart w:id="3" w:name="_Toc11112"/>
      <w:bookmarkStart w:id="4" w:name="_Toc22141"/>
      <w:bookmarkStart w:id="5" w:name="_Toc8345"/>
      <w:bookmarkStart w:id="6" w:name="_Toc69"/>
      <w:bookmarkStart w:id="7" w:name="_Toc30381"/>
      <w:bookmarkStart w:id="8" w:name="_Toc9211"/>
      <w:bookmarkStart w:id="9" w:name="_Toc12164"/>
      <w:bookmarkStart w:id="10" w:name="_Toc7867"/>
      <w:bookmarkStart w:id="11" w:name="_Toc319"/>
      <w:bookmarkStart w:id="12" w:name="_Toc4950"/>
      <w:bookmarkStart w:id="13" w:name="_Toc13350"/>
      <w:bookmarkStart w:id="14" w:name="_Toc32034"/>
      <w:r>
        <w:rPr>
          <w:rStyle w:val="41"/>
          <w:rFonts w:hint="eastAsia" w:ascii="宋体" w:hAnsi="宋体" w:eastAsia="宋体" w:cs="宋体"/>
          <w:sz w:val="32"/>
          <w:szCs w:val="32"/>
          <w:lang w:val="en-US"/>
        </w:rPr>
        <w:t>目  录</w:t>
      </w:r>
      <w:bookmarkEnd w:id="2"/>
      <w:bookmarkEnd w:id="3"/>
      <w:bookmarkEnd w:id="4"/>
      <w:bookmarkEnd w:id="5"/>
      <w:bookmarkEnd w:id="6"/>
      <w:bookmarkEnd w:id="7"/>
      <w:bookmarkEnd w:id="8"/>
      <w:bookmarkEnd w:id="9"/>
      <w:bookmarkEnd w:id="10"/>
      <w:bookmarkEnd w:id="11"/>
      <w:bookmarkEnd w:id="12"/>
      <w:bookmarkEnd w:id="13"/>
      <w:bookmarkEnd w:id="14"/>
      <w:bookmarkStart w:id="15" w:name="_Toc13055"/>
      <w:bookmarkStart w:id="16" w:name="_Toc31670"/>
      <w:bookmarkStart w:id="17" w:name="_Toc10922"/>
    </w:p>
    <w:sdt>
      <w:sdtPr>
        <w:rPr>
          <w:rFonts w:ascii="宋体" w:hAnsi="宋体" w:eastAsia="宋体" w:cs="Times New Roman"/>
          <w:kern w:val="2"/>
          <w:sz w:val="21"/>
          <w:szCs w:val="22"/>
          <w:lang w:val="en-US" w:eastAsia="zh-CN" w:bidi="ar-SA"/>
        </w:rPr>
        <w:id w:val="147465122"/>
        <w15:color w:val="DBDBDB"/>
        <w:docPartObj>
          <w:docPartGallery w:val="Table of Contents"/>
          <w:docPartUnique/>
        </w:docPartObj>
      </w:sdtPr>
      <w:sdtEndPr>
        <w:rPr>
          <w:rFonts w:hint="eastAsia" w:ascii="宋体" w:hAnsi="宋体" w:eastAsia="宋体" w:cs="宋体"/>
          <w:kern w:val="2"/>
          <w:sz w:val="21"/>
          <w:szCs w:val="36"/>
          <w:lang w:val="en-US" w:eastAsia="zh-CN" w:bidi="ar-SA"/>
        </w:rPr>
      </w:sdtEndPr>
      <w:sdtContent>
        <w:p w14:paraId="3DA8E60B">
          <w:pPr>
            <w:kinsoku w:val="0"/>
            <w:overflowPunct w:val="0"/>
            <w:adjustRightInd w:val="0"/>
            <w:snapToGrid w:val="0"/>
            <w:spacing w:line="360" w:lineRule="auto"/>
            <w:ind w:left="3415" w:leftChars="0" w:right="3413" w:rightChars="0"/>
            <w:jc w:val="center"/>
            <w:outlineLvl w:val="9"/>
          </w:pPr>
          <w:r>
            <w:rPr>
              <w:rFonts w:hint="eastAsia" w:ascii="宋体" w:hAnsi="宋体" w:eastAsia="宋体" w:cs="宋体"/>
              <w:szCs w:val="36"/>
            </w:rPr>
            <w:fldChar w:fldCharType="begin"/>
          </w:r>
          <w:r>
            <w:rPr>
              <w:rFonts w:hint="eastAsia" w:ascii="宋体" w:hAnsi="宋体" w:eastAsia="宋体" w:cs="宋体"/>
              <w:szCs w:val="36"/>
            </w:rPr>
            <w:instrText xml:space="preserve">TOC \o "1-2" \h \u </w:instrText>
          </w:r>
          <w:r>
            <w:rPr>
              <w:rFonts w:hint="eastAsia" w:ascii="宋体" w:hAnsi="宋体" w:eastAsia="宋体" w:cs="宋体"/>
              <w:szCs w:val="36"/>
            </w:rPr>
            <w:fldChar w:fldCharType="separate"/>
          </w:r>
        </w:p>
        <w:p w14:paraId="4CD23C18">
          <w:pPr>
            <w:pStyle w:val="20"/>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_Toc21605 </w:instrText>
          </w:r>
          <w:r>
            <w:rPr>
              <w:rFonts w:hint="eastAsia" w:ascii="宋体" w:hAnsi="宋体" w:eastAsia="宋体" w:cs="宋体"/>
              <w:sz w:val="24"/>
              <w:szCs w:val="44"/>
            </w:rPr>
            <w:fldChar w:fldCharType="separate"/>
          </w:r>
          <w:r>
            <w:rPr>
              <w:rFonts w:hint="eastAsia" w:ascii="宋体" w:hAnsi="宋体" w:eastAsia="宋体" w:cs="宋体"/>
              <w:sz w:val="24"/>
              <w:szCs w:val="28"/>
            </w:rPr>
            <w:t>第一卷</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_Toc21605 \h </w:instrText>
          </w:r>
          <w:r>
            <w:rPr>
              <w:rFonts w:hint="eastAsia" w:ascii="宋体" w:hAnsi="宋体" w:eastAsia="宋体" w:cs="宋体"/>
              <w:sz w:val="24"/>
              <w:szCs w:val="28"/>
            </w:rPr>
            <w:fldChar w:fldCharType="separate"/>
          </w:r>
          <w:r>
            <w:rPr>
              <w:rFonts w:hint="eastAsia" w:ascii="宋体" w:hAnsi="宋体" w:eastAsia="宋体" w:cs="宋体"/>
              <w:sz w:val="24"/>
              <w:szCs w:val="28"/>
            </w:rPr>
            <w:t>2</w:t>
          </w:r>
          <w:r>
            <w:rPr>
              <w:rFonts w:hint="eastAsia" w:ascii="宋体" w:hAnsi="宋体" w:eastAsia="宋体" w:cs="宋体"/>
              <w:sz w:val="24"/>
              <w:szCs w:val="28"/>
            </w:rPr>
            <w:fldChar w:fldCharType="end"/>
          </w:r>
          <w:r>
            <w:rPr>
              <w:rFonts w:hint="eastAsia" w:ascii="宋体" w:hAnsi="宋体" w:eastAsia="宋体" w:cs="宋体"/>
              <w:sz w:val="24"/>
              <w:szCs w:val="44"/>
            </w:rPr>
            <w:fldChar w:fldCharType="end"/>
          </w:r>
        </w:p>
        <w:p w14:paraId="561CE875">
          <w:pPr>
            <w:pStyle w:val="23"/>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_Toc23556 </w:instrText>
          </w:r>
          <w:r>
            <w:rPr>
              <w:rFonts w:hint="eastAsia" w:ascii="宋体" w:hAnsi="宋体" w:eastAsia="宋体" w:cs="宋体"/>
              <w:sz w:val="24"/>
              <w:szCs w:val="44"/>
            </w:rPr>
            <w:fldChar w:fldCharType="separate"/>
          </w:r>
          <w:r>
            <w:rPr>
              <w:rFonts w:hint="eastAsia" w:ascii="宋体" w:hAnsi="宋体" w:eastAsia="宋体" w:cs="宋体"/>
              <w:bCs w:val="0"/>
              <w:sz w:val="24"/>
              <w:szCs w:val="44"/>
              <w:lang w:eastAsia="zh-CN"/>
            </w:rPr>
            <w:t>第一章</w:t>
          </w:r>
          <w:r>
            <w:rPr>
              <w:rFonts w:hint="eastAsia" w:ascii="宋体" w:hAnsi="宋体" w:eastAsia="宋体" w:cs="宋体"/>
              <w:bCs w:val="0"/>
              <w:sz w:val="24"/>
              <w:szCs w:val="44"/>
              <w:lang w:val="en-US" w:eastAsia="zh-CN"/>
            </w:rPr>
            <w:t xml:space="preserve"> 招标公告</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_Toc23556 \h </w:instrText>
          </w:r>
          <w:r>
            <w:rPr>
              <w:rFonts w:hint="eastAsia" w:ascii="宋体" w:hAnsi="宋体" w:eastAsia="宋体" w:cs="宋体"/>
              <w:sz w:val="24"/>
              <w:szCs w:val="28"/>
            </w:rPr>
            <w:fldChar w:fldCharType="separate"/>
          </w:r>
          <w:r>
            <w:rPr>
              <w:rFonts w:hint="eastAsia" w:ascii="宋体" w:hAnsi="宋体" w:eastAsia="宋体" w:cs="宋体"/>
              <w:sz w:val="24"/>
              <w:szCs w:val="28"/>
            </w:rPr>
            <w:t>3</w:t>
          </w:r>
          <w:r>
            <w:rPr>
              <w:rFonts w:hint="eastAsia" w:ascii="宋体" w:hAnsi="宋体" w:eastAsia="宋体" w:cs="宋体"/>
              <w:sz w:val="24"/>
              <w:szCs w:val="28"/>
            </w:rPr>
            <w:fldChar w:fldCharType="end"/>
          </w:r>
          <w:r>
            <w:rPr>
              <w:rFonts w:hint="eastAsia" w:ascii="宋体" w:hAnsi="宋体" w:eastAsia="宋体" w:cs="宋体"/>
              <w:sz w:val="24"/>
              <w:szCs w:val="44"/>
            </w:rPr>
            <w:fldChar w:fldCharType="end"/>
          </w:r>
        </w:p>
        <w:p w14:paraId="7BE188FA">
          <w:pPr>
            <w:pStyle w:val="23"/>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_Toc12178 </w:instrText>
          </w:r>
          <w:r>
            <w:rPr>
              <w:rFonts w:hint="eastAsia" w:ascii="宋体" w:hAnsi="宋体" w:eastAsia="宋体" w:cs="宋体"/>
              <w:sz w:val="24"/>
              <w:szCs w:val="44"/>
            </w:rPr>
            <w:fldChar w:fldCharType="separate"/>
          </w:r>
          <w:r>
            <w:rPr>
              <w:rFonts w:hint="eastAsia" w:ascii="宋体" w:hAnsi="宋体" w:eastAsia="宋体" w:cs="宋体"/>
              <w:sz w:val="24"/>
              <w:szCs w:val="28"/>
            </w:rPr>
            <w:t>第二章</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投标人须知</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_Toc12178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44"/>
            </w:rPr>
            <w:fldChar w:fldCharType="end"/>
          </w:r>
        </w:p>
        <w:p w14:paraId="18844E2E">
          <w:pPr>
            <w:pStyle w:val="23"/>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_Toc29878 </w:instrText>
          </w:r>
          <w:r>
            <w:rPr>
              <w:rFonts w:hint="eastAsia" w:ascii="宋体" w:hAnsi="宋体" w:eastAsia="宋体" w:cs="宋体"/>
              <w:sz w:val="24"/>
              <w:szCs w:val="44"/>
            </w:rPr>
            <w:fldChar w:fldCharType="separate"/>
          </w:r>
          <w:r>
            <w:rPr>
              <w:rFonts w:hint="eastAsia" w:ascii="宋体" w:hAnsi="宋体" w:eastAsia="宋体" w:cs="宋体"/>
              <w:sz w:val="24"/>
              <w:szCs w:val="40"/>
            </w:rPr>
            <w:t>第三章</w:t>
          </w:r>
          <w:r>
            <w:rPr>
              <w:rFonts w:hint="eastAsia" w:ascii="宋体" w:hAnsi="宋体" w:eastAsia="宋体" w:cs="宋体"/>
              <w:sz w:val="24"/>
              <w:szCs w:val="40"/>
              <w:lang w:val="en-US" w:eastAsia="zh-CN"/>
            </w:rPr>
            <w:t xml:space="preserve"> </w:t>
          </w:r>
          <w:r>
            <w:rPr>
              <w:rFonts w:hint="eastAsia" w:ascii="宋体" w:hAnsi="宋体" w:eastAsia="宋体" w:cs="宋体"/>
              <w:sz w:val="24"/>
              <w:szCs w:val="40"/>
            </w:rPr>
            <w:t>评标办法（综合评估法）</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_Toc29878 \h </w:instrText>
          </w:r>
          <w:r>
            <w:rPr>
              <w:rFonts w:hint="eastAsia" w:ascii="宋体" w:hAnsi="宋体" w:eastAsia="宋体" w:cs="宋体"/>
              <w:sz w:val="24"/>
              <w:szCs w:val="28"/>
            </w:rPr>
            <w:fldChar w:fldCharType="separate"/>
          </w:r>
          <w:r>
            <w:rPr>
              <w:rFonts w:hint="eastAsia" w:ascii="宋体" w:hAnsi="宋体" w:eastAsia="宋体" w:cs="宋体"/>
              <w:sz w:val="24"/>
              <w:szCs w:val="28"/>
            </w:rPr>
            <w:t>29</w:t>
          </w:r>
          <w:r>
            <w:rPr>
              <w:rFonts w:hint="eastAsia" w:ascii="宋体" w:hAnsi="宋体" w:eastAsia="宋体" w:cs="宋体"/>
              <w:sz w:val="24"/>
              <w:szCs w:val="28"/>
            </w:rPr>
            <w:fldChar w:fldCharType="end"/>
          </w:r>
          <w:r>
            <w:rPr>
              <w:rFonts w:hint="eastAsia" w:ascii="宋体" w:hAnsi="宋体" w:eastAsia="宋体" w:cs="宋体"/>
              <w:sz w:val="24"/>
              <w:szCs w:val="44"/>
            </w:rPr>
            <w:fldChar w:fldCharType="end"/>
          </w:r>
        </w:p>
        <w:p w14:paraId="6E5A53AD">
          <w:pPr>
            <w:pStyle w:val="20"/>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_Toc29317 </w:instrText>
          </w:r>
          <w:r>
            <w:rPr>
              <w:rFonts w:hint="eastAsia" w:ascii="宋体" w:hAnsi="宋体" w:eastAsia="宋体" w:cs="宋体"/>
              <w:sz w:val="24"/>
              <w:szCs w:val="44"/>
            </w:rPr>
            <w:fldChar w:fldCharType="separate"/>
          </w:r>
          <w:r>
            <w:rPr>
              <w:rFonts w:hint="eastAsia" w:ascii="宋体" w:hAnsi="宋体" w:eastAsia="宋体" w:cs="宋体"/>
              <w:sz w:val="24"/>
              <w:szCs w:val="28"/>
              <w:lang w:eastAsia="zh-CN"/>
            </w:rPr>
            <w:t>第四章</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合同条款及格式</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_Toc29317 \h </w:instrText>
          </w:r>
          <w:r>
            <w:rPr>
              <w:rFonts w:hint="eastAsia" w:ascii="宋体" w:hAnsi="宋体" w:eastAsia="宋体" w:cs="宋体"/>
              <w:sz w:val="24"/>
              <w:szCs w:val="28"/>
            </w:rPr>
            <w:fldChar w:fldCharType="separate"/>
          </w:r>
          <w:r>
            <w:rPr>
              <w:rFonts w:hint="eastAsia" w:ascii="宋体" w:hAnsi="宋体" w:eastAsia="宋体" w:cs="宋体"/>
              <w:sz w:val="24"/>
              <w:szCs w:val="28"/>
            </w:rPr>
            <w:t>50</w:t>
          </w:r>
          <w:r>
            <w:rPr>
              <w:rFonts w:hint="eastAsia" w:ascii="宋体" w:hAnsi="宋体" w:eastAsia="宋体" w:cs="宋体"/>
              <w:sz w:val="24"/>
              <w:szCs w:val="28"/>
            </w:rPr>
            <w:fldChar w:fldCharType="end"/>
          </w:r>
          <w:r>
            <w:rPr>
              <w:rFonts w:hint="eastAsia" w:ascii="宋体" w:hAnsi="宋体" w:eastAsia="宋体" w:cs="宋体"/>
              <w:sz w:val="24"/>
              <w:szCs w:val="44"/>
            </w:rPr>
            <w:fldChar w:fldCharType="end"/>
          </w:r>
        </w:p>
        <w:p w14:paraId="4A765084">
          <w:pPr>
            <w:pStyle w:val="20"/>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_Toc9742 </w:instrText>
          </w:r>
          <w:r>
            <w:rPr>
              <w:rFonts w:hint="eastAsia" w:ascii="宋体" w:hAnsi="宋体" w:eastAsia="宋体" w:cs="宋体"/>
              <w:sz w:val="24"/>
              <w:szCs w:val="44"/>
            </w:rPr>
            <w:fldChar w:fldCharType="separate"/>
          </w:r>
          <w:r>
            <w:rPr>
              <w:rFonts w:hint="eastAsia" w:ascii="宋体" w:hAnsi="宋体" w:eastAsia="宋体" w:cs="宋体"/>
              <w:sz w:val="24"/>
              <w:szCs w:val="28"/>
            </w:rPr>
            <w:t>第二卷</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_Toc9742 \h </w:instrText>
          </w:r>
          <w:r>
            <w:rPr>
              <w:rFonts w:hint="eastAsia" w:ascii="宋体" w:hAnsi="宋体" w:eastAsia="宋体" w:cs="宋体"/>
              <w:sz w:val="24"/>
              <w:szCs w:val="28"/>
            </w:rPr>
            <w:fldChar w:fldCharType="separate"/>
          </w:r>
          <w:r>
            <w:rPr>
              <w:rFonts w:hint="eastAsia" w:ascii="宋体" w:hAnsi="宋体" w:eastAsia="宋体" w:cs="宋体"/>
              <w:sz w:val="24"/>
              <w:szCs w:val="28"/>
            </w:rPr>
            <w:t>51</w:t>
          </w:r>
          <w:r>
            <w:rPr>
              <w:rFonts w:hint="eastAsia" w:ascii="宋体" w:hAnsi="宋体" w:eastAsia="宋体" w:cs="宋体"/>
              <w:sz w:val="24"/>
              <w:szCs w:val="28"/>
            </w:rPr>
            <w:fldChar w:fldCharType="end"/>
          </w:r>
          <w:r>
            <w:rPr>
              <w:rFonts w:hint="eastAsia" w:ascii="宋体" w:hAnsi="宋体" w:eastAsia="宋体" w:cs="宋体"/>
              <w:sz w:val="24"/>
              <w:szCs w:val="44"/>
            </w:rPr>
            <w:fldChar w:fldCharType="end"/>
          </w:r>
        </w:p>
        <w:p w14:paraId="260FEBDC">
          <w:pPr>
            <w:pStyle w:val="20"/>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_Toc9156 </w:instrText>
          </w:r>
          <w:r>
            <w:rPr>
              <w:rFonts w:hint="eastAsia" w:ascii="宋体" w:hAnsi="宋体" w:eastAsia="宋体" w:cs="宋体"/>
              <w:sz w:val="24"/>
              <w:szCs w:val="44"/>
            </w:rPr>
            <w:fldChar w:fldCharType="separate"/>
          </w:r>
          <w:r>
            <w:rPr>
              <w:rFonts w:hint="eastAsia" w:ascii="宋体" w:hAnsi="宋体" w:eastAsia="宋体" w:cs="宋体"/>
              <w:sz w:val="24"/>
              <w:szCs w:val="44"/>
            </w:rPr>
            <w:t>第五章 委托人要求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_Toc9156 \h </w:instrText>
          </w:r>
          <w:r>
            <w:rPr>
              <w:rFonts w:hint="eastAsia" w:ascii="宋体" w:hAnsi="宋体" w:eastAsia="宋体" w:cs="宋体"/>
              <w:sz w:val="24"/>
              <w:szCs w:val="28"/>
            </w:rPr>
            <w:fldChar w:fldCharType="separate"/>
          </w:r>
          <w:r>
            <w:rPr>
              <w:rFonts w:hint="eastAsia" w:ascii="宋体" w:hAnsi="宋体" w:eastAsia="宋体" w:cs="宋体"/>
              <w:sz w:val="24"/>
              <w:szCs w:val="28"/>
            </w:rPr>
            <w:t>52</w:t>
          </w:r>
          <w:r>
            <w:rPr>
              <w:rFonts w:hint="eastAsia" w:ascii="宋体" w:hAnsi="宋体" w:eastAsia="宋体" w:cs="宋体"/>
              <w:sz w:val="24"/>
              <w:szCs w:val="28"/>
            </w:rPr>
            <w:fldChar w:fldCharType="end"/>
          </w:r>
          <w:r>
            <w:rPr>
              <w:rFonts w:hint="eastAsia" w:ascii="宋体" w:hAnsi="宋体" w:eastAsia="宋体" w:cs="宋体"/>
              <w:sz w:val="24"/>
              <w:szCs w:val="44"/>
            </w:rPr>
            <w:fldChar w:fldCharType="end"/>
          </w:r>
        </w:p>
        <w:p w14:paraId="20E2DC7D">
          <w:pPr>
            <w:pStyle w:val="20"/>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8"/>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_Toc3294 </w:instrText>
          </w:r>
          <w:r>
            <w:rPr>
              <w:rFonts w:hint="eastAsia" w:ascii="宋体" w:hAnsi="宋体" w:eastAsia="宋体" w:cs="宋体"/>
              <w:sz w:val="24"/>
              <w:szCs w:val="44"/>
            </w:rPr>
            <w:fldChar w:fldCharType="separate"/>
          </w:r>
          <w:r>
            <w:rPr>
              <w:rFonts w:hint="eastAsia" w:ascii="宋体" w:hAnsi="宋体" w:eastAsia="宋体" w:cs="宋体"/>
              <w:sz w:val="24"/>
              <w:szCs w:val="28"/>
            </w:rPr>
            <w:t>第三卷</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_Toc3294 \h </w:instrText>
          </w:r>
          <w:r>
            <w:rPr>
              <w:rFonts w:hint="eastAsia" w:ascii="宋体" w:hAnsi="宋体" w:eastAsia="宋体" w:cs="宋体"/>
              <w:sz w:val="24"/>
              <w:szCs w:val="28"/>
            </w:rPr>
            <w:fldChar w:fldCharType="separate"/>
          </w:r>
          <w:r>
            <w:rPr>
              <w:rFonts w:hint="eastAsia" w:ascii="宋体" w:hAnsi="宋体" w:eastAsia="宋体" w:cs="宋体"/>
              <w:sz w:val="24"/>
              <w:szCs w:val="28"/>
            </w:rPr>
            <w:t>53</w:t>
          </w:r>
          <w:r>
            <w:rPr>
              <w:rFonts w:hint="eastAsia" w:ascii="宋体" w:hAnsi="宋体" w:eastAsia="宋体" w:cs="宋体"/>
              <w:sz w:val="24"/>
              <w:szCs w:val="28"/>
            </w:rPr>
            <w:fldChar w:fldCharType="end"/>
          </w:r>
          <w:r>
            <w:rPr>
              <w:rFonts w:hint="eastAsia" w:ascii="宋体" w:hAnsi="宋体" w:eastAsia="宋体" w:cs="宋体"/>
              <w:sz w:val="24"/>
              <w:szCs w:val="44"/>
            </w:rPr>
            <w:fldChar w:fldCharType="end"/>
          </w:r>
        </w:p>
        <w:p w14:paraId="21ABB150">
          <w:pPr>
            <w:pStyle w:val="20"/>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2"/>
              <w:szCs w:val="24"/>
            </w:rPr>
          </w:pPr>
          <w:r>
            <w:rPr>
              <w:rFonts w:hint="eastAsia" w:ascii="宋体" w:hAnsi="宋体" w:eastAsia="宋体" w:cs="宋体"/>
              <w:sz w:val="24"/>
              <w:szCs w:val="44"/>
            </w:rPr>
            <w:fldChar w:fldCharType="begin"/>
          </w:r>
          <w:r>
            <w:rPr>
              <w:rFonts w:hint="eastAsia" w:ascii="宋体" w:hAnsi="宋体" w:eastAsia="宋体" w:cs="宋体"/>
              <w:sz w:val="24"/>
              <w:szCs w:val="44"/>
            </w:rPr>
            <w:instrText xml:space="preserve"> HYPERLINK \l _Toc26954 </w:instrText>
          </w:r>
          <w:r>
            <w:rPr>
              <w:rFonts w:hint="eastAsia" w:ascii="宋体" w:hAnsi="宋体" w:eastAsia="宋体" w:cs="宋体"/>
              <w:sz w:val="24"/>
              <w:szCs w:val="44"/>
            </w:rPr>
            <w:fldChar w:fldCharType="separate"/>
          </w:r>
          <w:r>
            <w:rPr>
              <w:rFonts w:hint="eastAsia" w:ascii="宋体" w:hAnsi="宋体" w:eastAsia="宋体" w:cs="宋体"/>
              <w:sz w:val="24"/>
              <w:szCs w:val="44"/>
            </w:rPr>
            <w:t>第六章 投标文件格式</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_Toc26954 \h </w:instrText>
          </w:r>
          <w:r>
            <w:rPr>
              <w:rFonts w:hint="eastAsia" w:ascii="宋体" w:hAnsi="宋体" w:eastAsia="宋体" w:cs="宋体"/>
              <w:sz w:val="24"/>
              <w:szCs w:val="28"/>
            </w:rPr>
            <w:fldChar w:fldCharType="separate"/>
          </w:r>
          <w:r>
            <w:rPr>
              <w:rFonts w:hint="eastAsia" w:ascii="宋体" w:hAnsi="宋体" w:eastAsia="宋体" w:cs="宋体"/>
              <w:sz w:val="24"/>
              <w:szCs w:val="28"/>
            </w:rPr>
            <w:t>54</w:t>
          </w:r>
          <w:r>
            <w:rPr>
              <w:rFonts w:hint="eastAsia" w:ascii="宋体" w:hAnsi="宋体" w:eastAsia="宋体" w:cs="宋体"/>
              <w:sz w:val="24"/>
              <w:szCs w:val="28"/>
            </w:rPr>
            <w:fldChar w:fldCharType="end"/>
          </w:r>
          <w:r>
            <w:rPr>
              <w:rFonts w:hint="eastAsia" w:ascii="宋体" w:hAnsi="宋体" w:eastAsia="宋体" w:cs="宋体"/>
              <w:sz w:val="24"/>
              <w:szCs w:val="44"/>
            </w:rPr>
            <w:fldChar w:fldCharType="end"/>
          </w:r>
        </w:p>
        <w:p w14:paraId="6671DE17">
          <w:pPr>
            <w:pStyle w:val="23"/>
            <w:tabs>
              <w:tab w:val="right" w:leader="dot" w:pos="9016"/>
            </w:tabs>
          </w:pPr>
        </w:p>
        <w:p w14:paraId="0BCDFAFB">
          <w:pPr>
            <w:kinsoku w:val="0"/>
            <w:overflowPunct w:val="0"/>
            <w:adjustRightInd w:val="0"/>
            <w:snapToGrid w:val="0"/>
            <w:spacing w:line="360" w:lineRule="auto"/>
            <w:ind w:left="3415" w:right="3413"/>
            <w:jc w:val="center"/>
            <w:outlineLvl w:val="9"/>
            <w:rPr>
              <w:rFonts w:hint="eastAsia" w:ascii="宋体" w:hAnsi="宋体" w:eastAsia="宋体" w:cs="宋体"/>
              <w:kern w:val="2"/>
              <w:sz w:val="21"/>
              <w:szCs w:val="36"/>
              <w:lang w:val="en-US" w:eastAsia="zh-CN" w:bidi="ar-SA"/>
            </w:rPr>
          </w:pPr>
          <w:r>
            <w:rPr>
              <w:rFonts w:hint="eastAsia" w:ascii="宋体" w:hAnsi="宋体" w:eastAsia="宋体" w:cs="宋体"/>
              <w:szCs w:val="36"/>
            </w:rPr>
            <w:fldChar w:fldCharType="end"/>
          </w:r>
        </w:p>
      </w:sdtContent>
    </w:sdt>
    <w:p w14:paraId="46E5574B">
      <w:pPr>
        <w:kinsoku w:val="0"/>
        <w:overflowPunct w:val="0"/>
        <w:adjustRightInd w:val="0"/>
        <w:snapToGrid w:val="0"/>
        <w:spacing w:line="360" w:lineRule="auto"/>
        <w:ind w:left="3415" w:right="3413"/>
        <w:jc w:val="center"/>
        <w:outlineLvl w:val="9"/>
        <w:rPr>
          <w:rFonts w:hint="eastAsia" w:ascii="宋体" w:hAnsi="宋体" w:eastAsia="宋体" w:cs="宋体"/>
          <w:kern w:val="2"/>
          <w:sz w:val="21"/>
          <w:szCs w:val="36"/>
          <w:lang w:val="en-US" w:eastAsia="zh-CN" w:bidi="ar-SA"/>
        </w:rPr>
      </w:pPr>
    </w:p>
    <w:p w14:paraId="46797F47">
      <w:pPr>
        <w:pStyle w:val="66"/>
        <w:kinsoku w:val="0"/>
        <w:overflowPunct w:val="0"/>
        <w:spacing w:line="539" w:lineRule="exact"/>
        <w:ind w:left="3415" w:right="3413"/>
        <w:jc w:val="center"/>
        <w:outlineLvl w:val="9"/>
        <w:rPr>
          <w:rStyle w:val="41"/>
          <w:rFonts w:hint="eastAsia"/>
          <w:sz w:val="36"/>
          <w:szCs w:val="36"/>
        </w:rPr>
      </w:pPr>
    </w:p>
    <w:p w14:paraId="7AA20F3C">
      <w:pPr>
        <w:pStyle w:val="66"/>
        <w:kinsoku w:val="0"/>
        <w:overflowPunct w:val="0"/>
        <w:spacing w:line="539" w:lineRule="exact"/>
        <w:ind w:left="3415" w:right="3413"/>
        <w:jc w:val="center"/>
        <w:outlineLvl w:val="9"/>
        <w:rPr>
          <w:spacing w:val="2"/>
        </w:rPr>
      </w:pPr>
      <w:bookmarkStart w:id="1307" w:name="_GoBack"/>
      <w:bookmarkEnd w:id="1307"/>
    </w:p>
    <w:p w14:paraId="53623B56">
      <w:pPr>
        <w:pStyle w:val="66"/>
        <w:kinsoku w:val="0"/>
        <w:overflowPunct w:val="0"/>
        <w:spacing w:line="539" w:lineRule="exact"/>
        <w:ind w:left="3415" w:right="3413"/>
        <w:jc w:val="center"/>
        <w:outlineLvl w:val="9"/>
        <w:rPr>
          <w:spacing w:val="2"/>
        </w:rPr>
      </w:pPr>
    </w:p>
    <w:p w14:paraId="3CCED3B0">
      <w:pPr>
        <w:pStyle w:val="66"/>
        <w:kinsoku w:val="0"/>
        <w:overflowPunct w:val="0"/>
        <w:spacing w:line="539" w:lineRule="exact"/>
        <w:ind w:left="3415" w:right="3413"/>
        <w:jc w:val="center"/>
        <w:outlineLvl w:val="9"/>
        <w:rPr>
          <w:spacing w:val="2"/>
        </w:rPr>
      </w:pPr>
    </w:p>
    <w:p w14:paraId="4F84AA7C">
      <w:pPr>
        <w:pStyle w:val="66"/>
        <w:kinsoku w:val="0"/>
        <w:overflowPunct w:val="0"/>
        <w:spacing w:line="539" w:lineRule="exact"/>
        <w:ind w:left="3415" w:right="3413"/>
        <w:jc w:val="center"/>
        <w:outlineLvl w:val="9"/>
        <w:rPr>
          <w:spacing w:val="2"/>
        </w:rPr>
      </w:pPr>
    </w:p>
    <w:p w14:paraId="4F005DEC">
      <w:pPr>
        <w:pStyle w:val="66"/>
        <w:kinsoku w:val="0"/>
        <w:overflowPunct w:val="0"/>
        <w:spacing w:line="539" w:lineRule="exact"/>
        <w:ind w:left="3415" w:right="3413"/>
        <w:jc w:val="center"/>
        <w:outlineLvl w:val="9"/>
        <w:rPr>
          <w:spacing w:val="2"/>
        </w:rPr>
      </w:pPr>
    </w:p>
    <w:p w14:paraId="03283DB7">
      <w:pPr>
        <w:pStyle w:val="66"/>
        <w:kinsoku w:val="0"/>
        <w:overflowPunct w:val="0"/>
        <w:spacing w:line="539" w:lineRule="exact"/>
        <w:ind w:left="3415" w:right="3413"/>
        <w:jc w:val="center"/>
        <w:outlineLvl w:val="9"/>
        <w:rPr>
          <w:spacing w:val="2"/>
        </w:rPr>
      </w:pPr>
    </w:p>
    <w:p w14:paraId="0B61B7AE">
      <w:pPr>
        <w:pStyle w:val="66"/>
        <w:kinsoku w:val="0"/>
        <w:overflowPunct w:val="0"/>
        <w:spacing w:line="539" w:lineRule="exact"/>
        <w:ind w:left="3415" w:right="3413"/>
        <w:jc w:val="center"/>
        <w:outlineLvl w:val="9"/>
        <w:rPr>
          <w:spacing w:val="2"/>
        </w:rPr>
      </w:pPr>
    </w:p>
    <w:p w14:paraId="640FB98F">
      <w:pPr>
        <w:pStyle w:val="66"/>
        <w:kinsoku w:val="0"/>
        <w:overflowPunct w:val="0"/>
        <w:spacing w:line="539" w:lineRule="exact"/>
        <w:ind w:left="3415" w:right="3413"/>
        <w:jc w:val="center"/>
        <w:outlineLvl w:val="9"/>
        <w:rPr>
          <w:spacing w:val="2"/>
        </w:rPr>
      </w:pPr>
    </w:p>
    <w:p w14:paraId="477D2542">
      <w:pPr>
        <w:pStyle w:val="66"/>
        <w:kinsoku w:val="0"/>
        <w:overflowPunct w:val="0"/>
        <w:spacing w:line="539" w:lineRule="exact"/>
        <w:ind w:left="3415" w:right="3413"/>
        <w:jc w:val="center"/>
        <w:outlineLvl w:val="9"/>
        <w:rPr>
          <w:spacing w:val="2"/>
        </w:rPr>
      </w:pPr>
    </w:p>
    <w:p w14:paraId="69345008">
      <w:pPr>
        <w:pStyle w:val="66"/>
        <w:kinsoku w:val="0"/>
        <w:overflowPunct w:val="0"/>
        <w:spacing w:line="539" w:lineRule="exact"/>
        <w:ind w:left="3415" w:right="3413"/>
        <w:jc w:val="center"/>
        <w:outlineLvl w:val="9"/>
        <w:rPr>
          <w:spacing w:val="2"/>
        </w:rPr>
      </w:pPr>
    </w:p>
    <w:p w14:paraId="6211D139">
      <w:pPr>
        <w:pStyle w:val="66"/>
        <w:kinsoku w:val="0"/>
        <w:overflowPunct w:val="0"/>
        <w:spacing w:line="539" w:lineRule="exact"/>
        <w:ind w:left="3415" w:right="3413"/>
        <w:jc w:val="center"/>
        <w:outlineLvl w:val="9"/>
        <w:rPr>
          <w:spacing w:val="2"/>
        </w:rPr>
      </w:pPr>
    </w:p>
    <w:p w14:paraId="324B7A1B">
      <w:pPr>
        <w:pStyle w:val="2"/>
        <w:bidi w:val="0"/>
        <w:jc w:val="center"/>
        <w:sectPr>
          <w:footerReference r:id="rId4" w:type="default"/>
          <w:pgSz w:w="11850" w:h="16840"/>
          <w:pgMar w:top="1134" w:right="1417" w:bottom="1134" w:left="1417" w:header="0" w:footer="921" w:gutter="0"/>
          <w:lnNumType w:countBy="0" w:distance="360"/>
          <w:pgNumType w:fmt="decimal" w:start="1"/>
          <w:cols w:space="720" w:num="1"/>
        </w:sectPr>
      </w:pPr>
      <w:bookmarkStart w:id="18" w:name="_Toc16225"/>
      <w:bookmarkStart w:id="19" w:name="_Toc21151"/>
      <w:bookmarkStart w:id="20" w:name="_Toc25101"/>
      <w:bookmarkStart w:id="21" w:name="_Toc8682"/>
      <w:bookmarkStart w:id="22" w:name="_Toc5735"/>
      <w:bookmarkStart w:id="23" w:name="_Toc21048"/>
      <w:bookmarkStart w:id="24" w:name="_Toc20865"/>
      <w:bookmarkStart w:id="25" w:name="_Toc28043"/>
      <w:bookmarkStart w:id="26" w:name="_Toc16665"/>
    </w:p>
    <w:p w14:paraId="41C36ABA">
      <w:pPr>
        <w:pStyle w:val="2"/>
        <w:bidi w:val="0"/>
        <w:jc w:val="center"/>
      </w:pPr>
    </w:p>
    <w:p w14:paraId="3AC19D9F">
      <w:pPr>
        <w:pStyle w:val="2"/>
        <w:bidi w:val="0"/>
        <w:jc w:val="center"/>
      </w:pPr>
      <w:bookmarkStart w:id="27" w:name="_Toc2933"/>
      <w:bookmarkStart w:id="28" w:name="_Toc21605"/>
      <w:r>
        <w:t>第一卷</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9AC8BD5">
      <w:pPr>
        <w:pStyle w:val="3"/>
        <w:bidi w:val="0"/>
        <w:jc w:val="center"/>
        <w:rPr>
          <w:rStyle w:val="41"/>
          <w:rFonts w:hint="eastAsia" w:ascii="宋体" w:hAnsi="宋体" w:eastAsia="宋体" w:cs="宋体"/>
          <w:b/>
          <w:bCs w:val="0"/>
          <w:sz w:val="36"/>
          <w:szCs w:val="36"/>
          <w:lang w:val="en-US" w:eastAsia="zh-CN"/>
        </w:rPr>
      </w:pPr>
      <w:r>
        <w:rPr>
          <w:rStyle w:val="41"/>
          <w:rFonts w:hint="eastAsia"/>
          <w:b/>
          <w:sz w:val="36"/>
          <w:szCs w:val="36"/>
        </w:rPr>
        <w:br w:type="page"/>
      </w:r>
      <w:bookmarkStart w:id="29" w:name="_Toc23556"/>
      <w:bookmarkStart w:id="30" w:name="_Toc10796"/>
      <w:bookmarkStart w:id="31" w:name="_Toc10268"/>
      <w:bookmarkStart w:id="32" w:name="_Toc24415"/>
      <w:r>
        <w:rPr>
          <w:rStyle w:val="41"/>
          <w:rFonts w:hint="eastAsia" w:ascii="宋体" w:hAnsi="宋体" w:eastAsia="宋体" w:cs="宋体"/>
          <w:b/>
          <w:bCs w:val="0"/>
          <w:sz w:val="36"/>
          <w:szCs w:val="36"/>
          <w:lang w:eastAsia="zh-CN"/>
        </w:rPr>
        <w:t>第一章</w:t>
      </w:r>
      <w:r>
        <w:rPr>
          <w:rStyle w:val="41"/>
          <w:rFonts w:hint="eastAsia" w:ascii="宋体" w:hAnsi="宋体" w:eastAsia="宋体" w:cs="宋体"/>
          <w:b/>
          <w:bCs w:val="0"/>
          <w:sz w:val="36"/>
          <w:szCs w:val="36"/>
          <w:lang w:val="en-US" w:eastAsia="zh-CN"/>
        </w:rPr>
        <w:t xml:space="preserve"> 招标公告</w:t>
      </w:r>
      <w:bookmarkEnd w:id="29"/>
      <w:bookmarkEnd w:id="30"/>
      <w:bookmarkEnd w:id="31"/>
      <w:bookmarkEnd w:id="32"/>
    </w:p>
    <w:bookmarkEnd w:id="1"/>
    <w:p w14:paraId="68D188A8">
      <w:pPr>
        <w:spacing w:line="400" w:lineRule="exact"/>
        <w:ind w:firstLine="240" w:firstLineChars="100"/>
        <w:jc w:val="center"/>
        <w:rPr>
          <w:rFonts w:hint="eastAsia" w:ascii="宋体" w:hAnsi="宋体" w:eastAsia="宋体" w:cs="Times New Roman"/>
          <w:color w:val="auto"/>
          <w:sz w:val="24"/>
          <w:szCs w:val="28"/>
          <w:u w:val="single"/>
          <w:lang w:val="en-US" w:eastAsia="zh-CN" w:bidi="ar-SA"/>
        </w:rPr>
      </w:pPr>
      <w:bookmarkStart w:id="33" w:name="_Toc23802"/>
      <w:bookmarkStart w:id="34" w:name="_Toc24707"/>
      <w:bookmarkStart w:id="35" w:name="_Toc16445"/>
      <w:bookmarkStart w:id="36" w:name="_Toc24988"/>
      <w:bookmarkStart w:id="37" w:name="_Toc11211"/>
      <w:bookmarkStart w:id="38" w:name="_Toc511140161"/>
      <w:bookmarkStart w:id="39" w:name="_Toc6648"/>
      <w:bookmarkStart w:id="40" w:name="_Toc9384"/>
      <w:bookmarkStart w:id="41" w:name="_Toc20870"/>
      <w:bookmarkStart w:id="42" w:name="_Toc451"/>
      <w:r>
        <w:rPr>
          <w:rFonts w:hint="eastAsia" w:ascii="宋体" w:hAnsi="宋体" w:eastAsia="宋体" w:cs="Times New Roman"/>
          <w:color w:val="auto"/>
          <w:sz w:val="24"/>
          <w:szCs w:val="28"/>
          <w:u w:val="single"/>
          <w:lang w:val="en-US" w:eastAsia="zh-CN" w:bidi="ar-SA"/>
        </w:rPr>
        <w:t>另册</w:t>
      </w:r>
    </w:p>
    <w:p w14:paraId="675D02F3">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40F5D37F">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06764AD3">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1A541B3E">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4BFE8A24">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52450160">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15FDBAD2">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04BBE0DF">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3DDB90A8">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3B6B0F38">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7780FE58">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7D606508">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374F17C3">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73CBD0F2">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032D6CAD">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452F3F46">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16936133">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045BD894">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1359759D">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6D96510B">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6EDEC908">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4964EF15">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4F68FC16">
      <w:pPr>
        <w:spacing w:line="400" w:lineRule="exact"/>
        <w:ind w:firstLine="210" w:firstLineChars="100"/>
        <w:jc w:val="center"/>
        <w:rPr>
          <w:rFonts w:hint="eastAsia" w:ascii="宋体" w:hAnsi="宋体" w:eastAsia="宋体" w:cs="Times New Roman"/>
          <w:color w:val="auto"/>
          <w:sz w:val="21"/>
          <w:u w:val="single"/>
          <w:lang w:val="en-US" w:eastAsia="zh-CN" w:bidi="ar-SA"/>
        </w:rPr>
      </w:pPr>
    </w:p>
    <w:p w14:paraId="1A837151">
      <w:pPr>
        <w:pStyle w:val="3"/>
        <w:bidi w:val="0"/>
        <w:spacing w:before="0" w:after="0" w:line="360" w:lineRule="auto"/>
        <w:jc w:val="center"/>
        <w:rPr>
          <w:rFonts w:hint="eastAsia"/>
        </w:rPr>
      </w:pPr>
      <w:bookmarkStart w:id="43" w:name="_Toc11644"/>
      <w:r>
        <w:rPr>
          <w:rFonts w:hint="eastAsia"/>
        </w:rPr>
        <w:br w:type="page"/>
      </w:r>
      <w:bookmarkStart w:id="44" w:name="_Toc12178"/>
      <w:r>
        <w:rPr>
          <w:rFonts w:hint="eastAsia"/>
        </w:rPr>
        <w:t>第二章</w:t>
      </w:r>
      <w:r>
        <w:rPr>
          <w:rFonts w:hint="eastAsia"/>
          <w:lang w:val="en-US" w:eastAsia="zh-CN"/>
        </w:rPr>
        <w:t xml:space="preserve"> </w:t>
      </w:r>
      <w:r>
        <w:rPr>
          <w:rFonts w:hint="eastAsia"/>
        </w:rPr>
        <w:t>投标人须知</w:t>
      </w:r>
      <w:bookmarkEnd w:id="33"/>
      <w:bookmarkEnd w:id="34"/>
      <w:bookmarkEnd w:id="35"/>
      <w:bookmarkEnd w:id="36"/>
      <w:bookmarkEnd w:id="37"/>
      <w:bookmarkEnd w:id="38"/>
      <w:bookmarkEnd w:id="39"/>
      <w:bookmarkEnd w:id="40"/>
      <w:bookmarkEnd w:id="41"/>
      <w:bookmarkEnd w:id="42"/>
      <w:bookmarkEnd w:id="43"/>
      <w:bookmarkEnd w:id="44"/>
    </w:p>
    <w:p w14:paraId="6A9D501A">
      <w:pPr>
        <w:bidi w:val="0"/>
        <w:jc w:val="center"/>
        <w:rPr>
          <w:b/>
          <w:bCs/>
          <w:sz w:val="28"/>
          <w:szCs w:val="28"/>
        </w:rPr>
      </w:pPr>
      <w:bookmarkStart w:id="45" w:name="_Toc9401"/>
      <w:bookmarkStart w:id="46" w:name="_Toc20074"/>
      <w:bookmarkStart w:id="47" w:name="_Toc26316"/>
      <w:bookmarkStart w:id="48" w:name="_Toc5312"/>
      <w:bookmarkStart w:id="49" w:name="_Toc21765"/>
      <w:bookmarkStart w:id="50" w:name="_Toc26905"/>
      <w:bookmarkStart w:id="51" w:name="_Toc6981"/>
      <w:bookmarkStart w:id="52" w:name="_Toc30044"/>
      <w:bookmarkStart w:id="53" w:name="_Toc4256"/>
      <w:r>
        <w:rPr>
          <w:rFonts w:hint="eastAsia"/>
          <w:b/>
          <w:bCs/>
          <w:sz w:val="28"/>
          <w:szCs w:val="28"/>
        </w:rPr>
        <w:t>投标人须知前附表</w:t>
      </w:r>
      <w:bookmarkEnd w:id="45"/>
      <w:bookmarkEnd w:id="46"/>
      <w:bookmarkEnd w:id="47"/>
      <w:bookmarkEnd w:id="48"/>
      <w:bookmarkEnd w:id="49"/>
      <w:bookmarkEnd w:id="50"/>
      <w:bookmarkEnd w:id="51"/>
      <w:bookmarkEnd w:id="52"/>
      <w:bookmarkEnd w:id="53"/>
    </w:p>
    <w:tbl>
      <w:tblPr>
        <w:tblStyle w:val="28"/>
        <w:tblW w:w="4996" w:type="pct"/>
        <w:tblInd w:w="0" w:type="dxa"/>
        <w:tblLayout w:type="autofit"/>
        <w:tblCellMar>
          <w:top w:w="0" w:type="dxa"/>
          <w:left w:w="108" w:type="dxa"/>
          <w:bottom w:w="0" w:type="dxa"/>
          <w:right w:w="108" w:type="dxa"/>
        </w:tblCellMar>
      </w:tblPr>
      <w:tblGrid>
        <w:gridCol w:w="1148"/>
        <w:gridCol w:w="1912"/>
        <w:gridCol w:w="6165"/>
      </w:tblGrid>
      <w:tr w14:paraId="0A6E937E">
        <w:tblPrEx>
          <w:tblCellMar>
            <w:top w:w="0" w:type="dxa"/>
            <w:left w:w="108" w:type="dxa"/>
            <w:bottom w:w="0" w:type="dxa"/>
            <w:right w:w="108" w:type="dxa"/>
          </w:tblCellMar>
        </w:tblPrEx>
        <w:trPr>
          <w:trHeight w:val="567" w:hRule="atLeast"/>
          <w:tblHeader/>
        </w:trPr>
        <w:tc>
          <w:tcPr>
            <w:tcW w:w="622" w:type="pct"/>
            <w:tcBorders>
              <w:top w:val="single" w:color="auto" w:sz="4" w:space="0"/>
              <w:left w:val="single" w:color="auto" w:sz="4" w:space="0"/>
              <w:bottom w:val="single" w:color="auto" w:sz="4" w:space="0"/>
              <w:right w:val="single" w:color="auto" w:sz="4" w:space="0"/>
            </w:tcBorders>
            <w:noWrap w:val="0"/>
            <w:vAlign w:val="center"/>
          </w:tcPr>
          <w:p w14:paraId="7AD4CB34">
            <w:pPr>
              <w:spacing w:beforeLines="0" w:line="0" w:lineRule="atLeast"/>
              <w:jc w:val="center"/>
              <w:rPr>
                <w:rFonts w:ascii="Times New Roman" w:hAnsi="Times New Roman"/>
                <w:b/>
                <w:color w:val="000000"/>
                <w:szCs w:val="21"/>
              </w:rPr>
            </w:pPr>
            <w:r>
              <w:rPr>
                <w:rFonts w:hint="eastAsia" w:ascii="Times New Roman" w:hAnsi="Times New Roman"/>
                <w:b/>
                <w:color w:val="000000"/>
                <w:szCs w:val="21"/>
              </w:rPr>
              <w:t>条款号</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6971BE0">
            <w:pPr>
              <w:spacing w:beforeLines="0" w:line="0" w:lineRule="atLeast"/>
              <w:jc w:val="center"/>
              <w:rPr>
                <w:rFonts w:ascii="Times New Roman" w:hAnsi="Times New Roman"/>
                <w:b/>
                <w:color w:val="000000"/>
                <w:szCs w:val="21"/>
              </w:rPr>
            </w:pPr>
            <w:r>
              <w:rPr>
                <w:rFonts w:hint="eastAsia" w:ascii="Times New Roman" w:hAnsi="Times New Roman"/>
                <w:b/>
                <w:color w:val="000000"/>
                <w:szCs w:val="21"/>
              </w:rPr>
              <w:t>条款名称</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61E6A8BD">
            <w:pPr>
              <w:spacing w:beforeLines="0" w:line="0" w:lineRule="atLeast"/>
              <w:jc w:val="center"/>
              <w:rPr>
                <w:rFonts w:ascii="Times New Roman" w:hAnsi="Times New Roman"/>
                <w:b/>
                <w:color w:val="000000"/>
                <w:szCs w:val="21"/>
              </w:rPr>
            </w:pPr>
            <w:r>
              <w:rPr>
                <w:rFonts w:hint="eastAsia" w:ascii="Times New Roman" w:hAnsi="Times New Roman"/>
                <w:b/>
                <w:color w:val="000000"/>
                <w:szCs w:val="21"/>
              </w:rPr>
              <w:t>编列内容</w:t>
            </w:r>
          </w:p>
        </w:tc>
      </w:tr>
      <w:tr w14:paraId="5DDFD160">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118A5FDB">
            <w:pPr>
              <w:spacing w:beforeLines="0" w:line="0" w:lineRule="atLeast"/>
              <w:jc w:val="center"/>
              <w:rPr>
                <w:rFonts w:ascii="Times New Roman" w:hAnsi="Times New Roman"/>
                <w:color w:val="000000"/>
                <w:szCs w:val="21"/>
              </w:rPr>
            </w:pPr>
            <w:r>
              <w:rPr>
                <w:rFonts w:ascii="Times New Roman" w:hAnsi="Times New Roman"/>
                <w:color w:val="000000"/>
                <w:szCs w:val="21"/>
              </w:rPr>
              <w:t>1.1.2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56B92726">
            <w:pPr>
              <w:spacing w:beforeLines="0" w:line="0" w:lineRule="atLeast"/>
              <w:jc w:val="left"/>
              <w:rPr>
                <w:rFonts w:ascii="Times New Roman" w:hAnsi="Times New Roman"/>
                <w:color w:val="000000"/>
                <w:szCs w:val="21"/>
              </w:rPr>
            </w:pPr>
            <w:r>
              <w:rPr>
                <w:rFonts w:hint="eastAsia" w:ascii="Times New Roman" w:hAnsi="Times New Roman"/>
                <w:color w:val="000000"/>
                <w:szCs w:val="21"/>
              </w:rPr>
              <w:t>招标人</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52CDC72D">
            <w:pPr>
              <w:pStyle w:val="58"/>
              <w:kinsoku w:val="0"/>
              <w:overflowPunct w:val="0"/>
              <w:autoSpaceDE/>
              <w:autoSpaceDN/>
              <w:spacing w:before="0" w:beforeLines="0" w:line="0" w:lineRule="atLeast"/>
              <w:ind w:right="0"/>
              <w:jc w:val="both"/>
              <w:rPr>
                <w:rFonts w:hint="eastAsia" w:ascii="宋体" w:hAnsi="宋体"/>
                <w:color w:val="auto"/>
                <w:sz w:val="21"/>
                <w:szCs w:val="21"/>
              </w:rPr>
            </w:pPr>
            <w:r>
              <w:rPr>
                <w:rFonts w:hint="eastAsia" w:ascii="宋体" w:hAnsi="宋体"/>
                <w:color w:val="auto"/>
                <w:sz w:val="21"/>
                <w:szCs w:val="21"/>
              </w:rPr>
              <w:t>名称：</w:t>
            </w:r>
            <w:r>
              <w:rPr>
                <w:rFonts w:hint="eastAsia" w:ascii="宋体" w:hAnsi="宋体"/>
                <w:color w:val="auto"/>
                <w:sz w:val="21"/>
                <w:szCs w:val="21"/>
                <w:lang w:eastAsia="zh-CN"/>
              </w:rPr>
              <w:t>广州新中轴建设有限公司</w:t>
            </w:r>
            <w:r>
              <w:rPr>
                <w:rFonts w:hint="eastAsia" w:ascii="宋体" w:hAnsi="宋体"/>
                <w:color w:val="auto"/>
                <w:sz w:val="21"/>
                <w:szCs w:val="21"/>
              </w:rPr>
              <w:t xml:space="preserve"> </w:t>
            </w:r>
          </w:p>
          <w:p w14:paraId="6E574803">
            <w:pPr>
              <w:pStyle w:val="58"/>
              <w:kinsoku w:val="0"/>
              <w:overflowPunct w:val="0"/>
              <w:autoSpaceDE/>
              <w:autoSpaceDN/>
              <w:spacing w:before="0" w:beforeLines="0" w:line="0" w:lineRule="atLeast"/>
              <w:ind w:right="0"/>
              <w:jc w:val="both"/>
              <w:rPr>
                <w:rFonts w:hint="eastAsia" w:ascii="宋体" w:hAnsi="宋体"/>
                <w:color w:val="auto"/>
                <w:sz w:val="21"/>
                <w:szCs w:val="21"/>
              </w:rPr>
            </w:pPr>
            <w:r>
              <w:rPr>
                <w:rFonts w:hint="eastAsia" w:ascii="宋体" w:hAnsi="宋体"/>
                <w:color w:val="auto"/>
                <w:sz w:val="21"/>
                <w:szCs w:val="21"/>
              </w:rPr>
              <w:t>地址： 广州市越秀区流花路117号15号馆</w:t>
            </w:r>
          </w:p>
          <w:p w14:paraId="4398DA86">
            <w:pPr>
              <w:pStyle w:val="58"/>
              <w:kinsoku w:val="0"/>
              <w:overflowPunct w:val="0"/>
              <w:autoSpaceDE/>
              <w:autoSpaceDN/>
              <w:spacing w:before="0" w:beforeLines="0" w:line="0" w:lineRule="atLeast"/>
              <w:ind w:right="0"/>
              <w:jc w:val="both"/>
              <w:rPr>
                <w:rFonts w:hint="eastAsia" w:ascii="宋体" w:hAnsi="宋体"/>
                <w:color w:val="auto"/>
                <w:sz w:val="21"/>
                <w:szCs w:val="21"/>
              </w:rPr>
            </w:pPr>
            <w:r>
              <w:rPr>
                <w:rFonts w:hint="eastAsia" w:ascii="宋体" w:hAnsi="宋体"/>
                <w:color w:val="auto"/>
                <w:sz w:val="21"/>
                <w:szCs w:val="21"/>
              </w:rPr>
              <w:t>联系</w:t>
            </w:r>
            <w:r>
              <w:rPr>
                <w:rFonts w:hint="eastAsia" w:ascii="宋体" w:hAnsi="宋体"/>
                <w:color w:val="auto"/>
                <w:spacing w:val="-3"/>
                <w:sz w:val="21"/>
                <w:szCs w:val="21"/>
              </w:rPr>
              <w:t>人</w:t>
            </w:r>
            <w:r>
              <w:rPr>
                <w:rFonts w:hint="eastAsia" w:ascii="宋体" w:hAnsi="宋体"/>
                <w:color w:val="auto"/>
                <w:sz w:val="21"/>
                <w:szCs w:val="21"/>
              </w:rPr>
              <w:t>：</w:t>
            </w:r>
            <w:r>
              <w:rPr>
                <w:rFonts w:hint="eastAsia" w:hAnsi="宋体"/>
                <w:color w:val="auto"/>
                <w:sz w:val="21"/>
                <w:szCs w:val="21"/>
                <w:lang w:val="en-US" w:eastAsia="zh-CN"/>
              </w:rPr>
              <w:t>甘</w:t>
            </w:r>
            <w:r>
              <w:rPr>
                <w:rFonts w:hint="eastAsia" w:ascii="宋体" w:hAnsi="宋体"/>
                <w:color w:val="auto"/>
                <w:sz w:val="21"/>
                <w:szCs w:val="21"/>
              </w:rPr>
              <w:t>工</w:t>
            </w:r>
          </w:p>
          <w:p w14:paraId="768DFDB9">
            <w:pPr>
              <w:pStyle w:val="58"/>
              <w:kinsoku w:val="0"/>
              <w:overflowPunct w:val="0"/>
              <w:autoSpaceDE/>
              <w:autoSpaceDN/>
              <w:spacing w:before="0" w:beforeLines="0" w:line="0" w:lineRule="atLeast"/>
              <w:jc w:val="both"/>
              <w:rPr>
                <w:rFonts w:hint="eastAsia" w:ascii="宋体" w:hAnsi="宋体"/>
                <w:color w:val="auto"/>
                <w:sz w:val="21"/>
                <w:szCs w:val="21"/>
              </w:rPr>
            </w:pPr>
            <w:r>
              <w:rPr>
                <w:rFonts w:hint="eastAsia" w:ascii="宋体" w:hAnsi="宋体"/>
                <w:color w:val="auto"/>
                <w:sz w:val="21"/>
                <w:szCs w:val="21"/>
              </w:rPr>
              <w:t>电话：</w:t>
            </w:r>
            <w:r>
              <w:rPr>
                <w:rFonts w:hint="eastAsia" w:ascii="宋体" w:hAnsi="宋体" w:eastAsia="宋体" w:cs="宋体"/>
                <w:color w:val="auto"/>
                <w:sz w:val="21"/>
                <w:szCs w:val="21"/>
                <w:u w:val="none"/>
                <w:lang w:val="en-US" w:eastAsia="zh-CN"/>
              </w:rPr>
              <w:t>020-31154054</w:t>
            </w:r>
          </w:p>
          <w:p w14:paraId="2A129CCE">
            <w:pPr>
              <w:spacing w:beforeLines="0" w:line="0" w:lineRule="atLeast"/>
              <w:rPr>
                <w:rFonts w:hint="default" w:ascii="Times New Roman" w:hAnsi="Times New Roman"/>
                <w:color w:val="000000"/>
                <w:szCs w:val="21"/>
                <w:lang w:val="en-US"/>
              </w:rPr>
            </w:pPr>
            <w:r>
              <w:rPr>
                <w:rFonts w:hint="eastAsia" w:ascii="宋体" w:hAnsi="宋体"/>
                <w:color w:val="auto"/>
                <w:sz w:val="21"/>
                <w:szCs w:val="21"/>
                <w:lang w:eastAsia="zh-CN"/>
              </w:rPr>
              <w:t>邮箱：</w:t>
            </w:r>
            <w:r>
              <w:rPr>
                <w:rFonts w:hint="eastAsia" w:ascii="宋体" w:hAnsi="宋体"/>
                <w:color w:val="auto"/>
                <w:sz w:val="21"/>
                <w:szCs w:val="21"/>
                <w:lang w:val="en-US" w:eastAsia="zh-CN"/>
              </w:rPr>
              <w:t>/</w:t>
            </w:r>
          </w:p>
        </w:tc>
      </w:tr>
      <w:tr w14:paraId="104827E0">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61AF3BEF">
            <w:pPr>
              <w:spacing w:beforeLines="0" w:line="0" w:lineRule="atLeast"/>
              <w:jc w:val="center"/>
              <w:rPr>
                <w:rFonts w:ascii="Times New Roman" w:hAnsi="Times New Roman"/>
                <w:color w:val="000000"/>
                <w:szCs w:val="21"/>
              </w:rPr>
            </w:pPr>
            <w:r>
              <w:rPr>
                <w:rFonts w:ascii="Times New Roman" w:hAnsi="Times New Roman"/>
                <w:color w:val="000000"/>
                <w:szCs w:val="21"/>
              </w:rPr>
              <w:t>1.1.3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C895CCD">
            <w:pPr>
              <w:spacing w:beforeLines="0" w:line="0" w:lineRule="atLeast"/>
              <w:jc w:val="left"/>
              <w:rPr>
                <w:rFonts w:ascii="Times New Roman" w:hAnsi="Times New Roman"/>
                <w:color w:val="000000"/>
                <w:szCs w:val="21"/>
              </w:rPr>
            </w:pPr>
            <w:r>
              <w:rPr>
                <w:rFonts w:hint="eastAsia" w:ascii="Times New Roman" w:hAnsi="Times New Roman"/>
                <w:color w:val="000000"/>
                <w:szCs w:val="21"/>
              </w:rPr>
              <w:t>招标代理机构</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7B7849C6">
            <w:pPr>
              <w:pStyle w:val="58"/>
              <w:kinsoku w:val="0"/>
              <w:overflowPunct w:val="0"/>
              <w:autoSpaceDE/>
              <w:autoSpaceDN/>
              <w:spacing w:before="0" w:beforeLines="0" w:line="0" w:lineRule="atLeast"/>
              <w:ind w:right="0"/>
              <w:jc w:val="both"/>
              <w:rPr>
                <w:rFonts w:hint="eastAsia" w:ascii="宋体" w:hAnsi="宋体"/>
                <w:color w:val="auto"/>
                <w:sz w:val="21"/>
                <w:szCs w:val="21"/>
              </w:rPr>
            </w:pPr>
            <w:r>
              <w:rPr>
                <w:rFonts w:hint="eastAsia" w:ascii="宋体" w:hAnsi="宋体"/>
                <w:color w:val="auto"/>
                <w:sz w:val="21"/>
                <w:szCs w:val="21"/>
              </w:rPr>
              <w:t>名称：</w:t>
            </w:r>
            <w:r>
              <w:rPr>
                <w:rFonts w:hint="eastAsia" w:hAnsi="宋体"/>
                <w:color w:val="auto"/>
                <w:sz w:val="21"/>
                <w:szCs w:val="21"/>
                <w:lang w:val="en-US" w:eastAsia="zh-CN"/>
              </w:rPr>
              <w:t>北京中交建设工程咨询有限公司</w:t>
            </w:r>
            <w:r>
              <w:rPr>
                <w:rFonts w:hint="eastAsia" w:ascii="宋体" w:hAnsi="宋体"/>
                <w:color w:val="auto"/>
                <w:sz w:val="21"/>
                <w:szCs w:val="21"/>
              </w:rPr>
              <w:t xml:space="preserve"> </w:t>
            </w:r>
          </w:p>
          <w:p w14:paraId="0A455794">
            <w:pPr>
              <w:pStyle w:val="58"/>
              <w:kinsoku w:val="0"/>
              <w:overflowPunct w:val="0"/>
              <w:autoSpaceDE/>
              <w:autoSpaceDN/>
              <w:spacing w:before="0" w:beforeLines="0" w:line="0" w:lineRule="atLeast"/>
              <w:ind w:right="0"/>
              <w:jc w:val="both"/>
              <w:rPr>
                <w:rFonts w:hint="eastAsia" w:ascii="宋体" w:hAnsi="宋体" w:eastAsia="宋体"/>
                <w:color w:val="auto"/>
                <w:sz w:val="21"/>
                <w:szCs w:val="21"/>
                <w:lang w:eastAsia="zh-CN"/>
              </w:rPr>
            </w:pPr>
            <w:r>
              <w:rPr>
                <w:rFonts w:hint="eastAsia" w:ascii="宋体" w:hAnsi="宋体"/>
                <w:color w:val="auto"/>
                <w:sz w:val="21"/>
                <w:szCs w:val="21"/>
              </w:rPr>
              <w:t>地址：</w:t>
            </w:r>
            <w:r>
              <w:rPr>
                <w:rFonts w:hint="eastAsia" w:hAnsi="宋体" w:cs="宋体"/>
                <w:sz w:val="21"/>
                <w:szCs w:val="21"/>
                <w:highlight w:val="none"/>
                <w:lang w:eastAsia="zh-CN"/>
              </w:rPr>
              <w:t>广州市天河区黄埔大道西159号富星商贸大厦西塔7楼</w:t>
            </w:r>
          </w:p>
          <w:p w14:paraId="2D8E6169">
            <w:pPr>
              <w:pStyle w:val="58"/>
              <w:kinsoku w:val="0"/>
              <w:overflowPunct w:val="0"/>
              <w:autoSpaceDE/>
              <w:autoSpaceDN/>
              <w:spacing w:before="0" w:beforeLines="0" w:line="0" w:lineRule="atLeast"/>
              <w:ind w:right="0"/>
              <w:jc w:val="both"/>
              <w:rPr>
                <w:rFonts w:hint="eastAsia" w:ascii="宋体" w:hAnsi="宋体" w:eastAsia="宋体"/>
                <w:color w:val="auto"/>
                <w:sz w:val="21"/>
                <w:szCs w:val="21"/>
                <w:lang w:val="en-US" w:eastAsia="zh-CN"/>
              </w:rPr>
            </w:pPr>
            <w:r>
              <w:rPr>
                <w:rFonts w:hint="eastAsia" w:ascii="宋体" w:hAnsi="宋体"/>
                <w:color w:val="auto"/>
                <w:sz w:val="21"/>
                <w:szCs w:val="21"/>
              </w:rPr>
              <w:t>联系</w:t>
            </w:r>
            <w:r>
              <w:rPr>
                <w:rFonts w:hint="eastAsia" w:ascii="宋体" w:hAnsi="宋体"/>
                <w:color w:val="auto"/>
                <w:spacing w:val="-3"/>
                <w:sz w:val="21"/>
                <w:szCs w:val="21"/>
              </w:rPr>
              <w:t>人</w:t>
            </w:r>
            <w:r>
              <w:rPr>
                <w:rFonts w:hint="eastAsia" w:ascii="宋体" w:hAnsi="宋体"/>
                <w:color w:val="auto"/>
                <w:sz w:val="21"/>
                <w:szCs w:val="21"/>
              </w:rPr>
              <w:t>：</w:t>
            </w:r>
            <w:r>
              <w:rPr>
                <w:rFonts w:hint="eastAsia" w:hAnsi="宋体"/>
                <w:color w:val="auto"/>
                <w:sz w:val="21"/>
                <w:szCs w:val="21"/>
                <w:lang w:val="en-US" w:eastAsia="zh-CN"/>
              </w:rPr>
              <w:t>方工</w:t>
            </w:r>
          </w:p>
          <w:p w14:paraId="644E829F">
            <w:pPr>
              <w:pStyle w:val="58"/>
              <w:kinsoku w:val="0"/>
              <w:overflowPunct w:val="0"/>
              <w:autoSpaceDE/>
              <w:autoSpaceDN/>
              <w:spacing w:before="0" w:beforeLines="0" w:line="0" w:lineRule="atLeast"/>
              <w:jc w:val="both"/>
              <w:rPr>
                <w:rFonts w:hint="eastAsia" w:ascii="宋体" w:hAnsi="宋体"/>
                <w:color w:val="auto"/>
                <w:sz w:val="21"/>
                <w:szCs w:val="21"/>
              </w:rPr>
            </w:pPr>
            <w:r>
              <w:rPr>
                <w:rFonts w:hint="eastAsia" w:ascii="宋体" w:hAnsi="宋体"/>
                <w:color w:val="auto"/>
                <w:sz w:val="21"/>
                <w:szCs w:val="21"/>
              </w:rPr>
              <w:t>电话：020-87575800-838</w:t>
            </w:r>
          </w:p>
          <w:p w14:paraId="618FFC39">
            <w:pPr>
              <w:spacing w:beforeLines="0" w:line="0" w:lineRule="atLeast"/>
              <w:rPr>
                <w:rFonts w:hint="default" w:ascii="Times New Roman" w:hAnsi="Times New Roman"/>
                <w:color w:val="000000"/>
                <w:szCs w:val="21"/>
                <w:lang w:val="en-US"/>
              </w:rPr>
            </w:pPr>
            <w:r>
              <w:rPr>
                <w:rFonts w:hint="eastAsia" w:ascii="宋体" w:hAnsi="宋体"/>
                <w:color w:val="auto"/>
                <w:sz w:val="21"/>
                <w:szCs w:val="21"/>
                <w:lang w:eastAsia="zh-CN"/>
              </w:rPr>
              <w:t>邮箱：bjzj_gz@163.com</w:t>
            </w:r>
          </w:p>
        </w:tc>
      </w:tr>
      <w:tr w14:paraId="08FB6431">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15B120F4">
            <w:pPr>
              <w:spacing w:beforeLines="0" w:line="0" w:lineRule="atLeast"/>
              <w:jc w:val="center"/>
              <w:rPr>
                <w:rFonts w:ascii="Times New Roman" w:hAnsi="Times New Roman"/>
                <w:color w:val="000000"/>
                <w:szCs w:val="21"/>
              </w:rPr>
            </w:pPr>
            <w:r>
              <w:rPr>
                <w:rFonts w:ascii="Times New Roman" w:hAnsi="Times New Roman"/>
                <w:color w:val="000000"/>
                <w:szCs w:val="21"/>
              </w:rPr>
              <w:t>1.1.4</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CDD7596">
            <w:pPr>
              <w:spacing w:beforeLines="0" w:line="0" w:lineRule="atLeast"/>
              <w:jc w:val="left"/>
              <w:rPr>
                <w:rFonts w:ascii="Times New Roman" w:hAnsi="Times New Roman"/>
                <w:color w:val="000000"/>
                <w:szCs w:val="21"/>
              </w:rPr>
            </w:pPr>
            <w:r>
              <w:rPr>
                <w:rFonts w:hint="eastAsia" w:ascii="Times New Roman" w:hAnsi="Times New Roman"/>
                <w:color w:val="000000"/>
                <w:szCs w:val="21"/>
              </w:rPr>
              <w:t>招标项目名称</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250A2E99">
            <w:pPr>
              <w:spacing w:beforeLines="0" w:line="0" w:lineRule="atLeast"/>
              <w:jc w:val="left"/>
              <w:rPr>
                <w:rFonts w:hint="default" w:ascii="Times New Roman" w:hAnsi="Times New Roman"/>
                <w:color w:val="000000"/>
                <w:szCs w:val="21"/>
                <w:lang w:val="en-US"/>
              </w:rPr>
            </w:pPr>
            <w:r>
              <w:rPr>
                <w:rFonts w:hint="eastAsia" w:ascii="宋体" w:hAnsi="宋体" w:cs="宋体"/>
                <w:color w:val="000000"/>
                <w:szCs w:val="21"/>
                <w:lang w:eastAsia="zh-CN"/>
              </w:rPr>
              <w:t>（2025年-2028年）BRT快速公交项目—信息化系统运行维护项目</w:t>
            </w:r>
          </w:p>
        </w:tc>
      </w:tr>
      <w:tr w14:paraId="142E225B">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2432CF7B">
            <w:pPr>
              <w:spacing w:beforeLines="0" w:line="0" w:lineRule="atLeast"/>
              <w:jc w:val="center"/>
              <w:rPr>
                <w:rFonts w:ascii="Times New Roman" w:hAnsi="Times New Roman"/>
                <w:color w:val="000000"/>
                <w:szCs w:val="21"/>
              </w:rPr>
            </w:pPr>
            <w:r>
              <w:rPr>
                <w:rFonts w:ascii="Times New Roman" w:hAnsi="Times New Roman"/>
                <w:color w:val="000000"/>
                <w:szCs w:val="21"/>
              </w:rPr>
              <w:t>1.1.5</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61E5577A">
            <w:pPr>
              <w:spacing w:beforeLines="0" w:line="0" w:lineRule="atLeast"/>
              <w:jc w:val="left"/>
              <w:rPr>
                <w:rFonts w:ascii="Times New Roman" w:hAnsi="Times New Roman"/>
                <w:color w:val="000000"/>
                <w:szCs w:val="21"/>
              </w:rPr>
            </w:pPr>
            <w:r>
              <w:rPr>
                <w:rFonts w:hint="eastAsia" w:ascii="Times New Roman" w:hAnsi="Times New Roman"/>
                <w:color w:val="000000"/>
                <w:szCs w:val="21"/>
              </w:rPr>
              <w:t>项目建设地点</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6A4A2F4D">
            <w:pPr>
              <w:snapToGrid w:val="0"/>
              <w:spacing w:beforeLines="0" w:line="0" w:lineRule="atLeast"/>
              <w:jc w:val="both"/>
              <w:rPr>
                <w:rFonts w:hint="eastAsia" w:ascii="Times New Roman" w:hAnsi="Times New Roman"/>
                <w:color w:val="000000"/>
                <w:szCs w:val="21"/>
              </w:rPr>
            </w:pPr>
            <w:r>
              <w:rPr>
                <w:rFonts w:hint="eastAsia" w:ascii="宋体" w:hAnsi="宋体" w:cs="宋体"/>
                <w:szCs w:val="21"/>
                <w:highlight w:val="none"/>
              </w:rPr>
              <w:t>详见招标公告</w:t>
            </w:r>
          </w:p>
        </w:tc>
      </w:tr>
      <w:tr w14:paraId="1E5E3709">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1D4643ED">
            <w:pPr>
              <w:spacing w:beforeLines="0" w:line="0" w:lineRule="atLeast"/>
              <w:jc w:val="center"/>
              <w:rPr>
                <w:rFonts w:ascii="Times New Roman" w:hAnsi="Times New Roman"/>
                <w:color w:val="000000"/>
                <w:szCs w:val="21"/>
              </w:rPr>
            </w:pPr>
            <w:r>
              <w:rPr>
                <w:rFonts w:ascii="Times New Roman" w:hAnsi="Times New Roman"/>
                <w:color w:val="000000"/>
                <w:szCs w:val="21"/>
              </w:rPr>
              <w:t>1.1.6</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70637E74">
            <w:pPr>
              <w:spacing w:beforeLines="0" w:line="0" w:lineRule="atLeast"/>
              <w:jc w:val="left"/>
              <w:rPr>
                <w:rFonts w:ascii="Times New Roman" w:hAnsi="Times New Roman"/>
                <w:color w:val="000000"/>
                <w:szCs w:val="21"/>
              </w:rPr>
            </w:pPr>
            <w:r>
              <w:rPr>
                <w:rFonts w:hint="eastAsia" w:ascii="Times New Roman" w:hAnsi="Times New Roman"/>
                <w:color w:val="000000"/>
                <w:szCs w:val="21"/>
              </w:rPr>
              <w:t>项目建设规模</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0301C4A2">
            <w:pPr>
              <w:snapToGrid w:val="0"/>
              <w:spacing w:beforeLines="0" w:line="0" w:lineRule="atLeast"/>
              <w:ind w:right="0" w:rightChars="0"/>
              <w:jc w:val="both"/>
              <w:rPr>
                <w:rFonts w:hint="eastAsia" w:ascii="Times New Roman" w:hAnsi="Times New Roman"/>
                <w:color w:val="000000"/>
                <w:szCs w:val="21"/>
              </w:rPr>
            </w:pPr>
            <w:r>
              <w:rPr>
                <w:rFonts w:hint="eastAsia" w:ascii="宋体" w:hAnsi="宋体" w:cs="宋体"/>
                <w:szCs w:val="21"/>
                <w:highlight w:val="none"/>
              </w:rPr>
              <w:t>详见招标公告</w:t>
            </w:r>
          </w:p>
        </w:tc>
      </w:tr>
      <w:tr w14:paraId="14AEE6BE">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76A97C3C">
            <w:pPr>
              <w:spacing w:beforeLines="0" w:line="0" w:lineRule="atLeast"/>
              <w:jc w:val="center"/>
              <w:rPr>
                <w:rFonts w:ascii="Times New Roman" w:hAnsi="Times New Roman"/>
                <w:color w:val="000000"/>
                <w:szCs w:val="21"/>
              </w:rPr>
            </w:pPr>
            <w:r>
              <w:rPr>
                <w:rFonts w:ascii="Times New Roman" w:hAnsi="Times New Roman"/>
                <w:color w:val="000000"/>
                <w:szCs w:val="21"/>
              </w:rPr>
              <w:t>1.1.7</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63DCE64">
            <w:pPr>
              <w:spacing w:beforeLines="0" w:line="0" w:lineRule="atLeast"/>
              <w:jc w:val="left"/>
              <w:rPr>
                <w:rFonts w:ascii="Times New Roman" w:hAnsi="Times New Roman"/>
                <w:color w:val="000000"/>
                <w:szCs w:val="21"/>
              </w:rPr>
            </w:pPr>
            <w:r>
              <w:rPr>
                <w:rFonts w:hint="eastAsia" w:ascii="Times New Roman" w:hAnsi="Times New Roman"/>
                <w:color w:val="000000"/>
                <w:szCs w:val="21"/>
              </w:rPr>
              <w:t>工程项目施工预计开工日期和建设周期</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1128DD39">
            <w:pPr>
              <w:snapToGrid w:val="0"/>
              <w:spacing w:beforeLines="0" w:line="0" w:lineRule="atLeast"/>
              <w:ind w:right="0" w:rightChars="0"/>
              <w:rPr>
                <w:rFonts w:hint="default" w:ascii="Times New Roman" w:hAnsi="Times New Roman"/>
                <w:color w:val="000000"/>
                <w:szCs w:val="21"/>
                <w:lang w:val="en-US"/>
              </w:rPr>
            </w:pPr>
            <w:r>
              <w:rPr>
                <w:rFonts w:hint="eastAsia" w:ascii="宋体" w:hAnsi="宋体" w:cs="宋体"/>
                <w:color w:val="000000"/>
                <w:szCs w:val="21"/>
                <w:highlight w:val="none"/>
                <w:u w:val="single"/>
                <w:lang w:val="en-US" w:eastAsia="zh-CN"/>
              </w:rPr>
              <w:t>/</w:t>
            </w:r>
          </w:p>
        </w:tc>
      </w:tr>
      <w:tr w14:paraId="42A0A583">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626E8CFA">
            <w:pPr>
              <w:spacing w:beforeLines="0" w:line="0" w:lineRule="atLeast"/>
              <w:jc w:val="center"/>
              <w:rPr>
                <w:rFonts w:ascii="Times New Roman" w:hAnsi="Times New Roman"/>
                <w:color w:val="000000"/>
                <w:szCs w:val="21"/>
              </w:rPr>
            </w:pPr>
            <w:r>
              <w:rPr>
                <w:rFonts w:ascii="Times New Roman" w:hAnsi="Times New Roman"/>
                <w:color w:val="000000"/>
                <w:szCs w:val="21"/>
              </w:rPr>
              <w:t>1.1.8</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FA786EA">
            <w:pPr>
              <w:spacing w:beforeLines="0" w:line="0" w:lineRule="atLeast"/>
              <w:jc w:val="left"/>
              <w:rPr>
                <w:rFonts w:ascii="Times New Roman" w:hAnsi="Times New Roman"/>
                <w:color w:val="000000"/>
                <w:szCs w:val="21"/>
              </w:rPr>
            </w:pPr>
            <w:r>
              <w:rPr>
                <w:rFonts w:hint="eastAsia" w:ascii="Times New Roman" w:hAnsi="Times New Roman"/>
                <w:szCs w:val="21"/>
              </w:rPr>
              <w:t>建筑安装工程费</w:t>
            </w:r>
            <w:r>
              <w:rPr>
                <w:rFonts w:ascii="Times New Roman" w:hAnsi="Times New Roman"/>
                <w:szCs w:val="21"/>
              </w:rPr>
              <w:t>/</w:t>
            </w:r>
            <w:r>
              <w:rPr>
                <w:rFonts w:hint="eastAsia" w:ascii="Times New Roman" w:hAnsi="Times New Roman"/>
                <w:szCs w:val="21"/>
              </w:rPr>
              <w:t>工程概算</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1FAA9C90">
            <w:pPr>
              <w:snapToGrid w:val="0"/>
              <w:spacing w:beforeLines="0" w:line="0" w:lineRule="atLeast"/>
              <w:jc w:val="left"/>
              <w:rPr>
                <w:rFonts w:hint="eastAsia" w:ascii="Times New Roman" w:hAnsi="Times New Roman" w:eastAsia="宋体"/>
                <w:color w:val="000000"/>
                <w:szCs w:val="21"/>
                <w:lang w:eastAsia="zh-CN"/>
              </w:rPr>
            </w:pPr>
            <w:r>
              <w:rPr>
                <w:rFonts w:hint="eastAsia" w:ascii="宋体" w:hAnsi="宋体" w:cs="宋体"/>
                <w:szCs w:val="21"/>
                <w:highlight w:val="none"/>
                <w:lang w:val="en-US" w:eastAsia="zh-CN"/>
              </w:rPr>
              <w:t>/</w:t>
            </w:r>
          </w:p>
        </w:tc>
      </w:tr>
      <w:tr w14:paraId="0A36EA9D">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104B3AE1">
            <w:pPr>
              <w:spacing w:beforeLines="0" w:line="0" w:lineRule="atLeast"/>
              <w:jc w:val="center"/>
              <w:rPr>
                <w:rFonts w:ascii="Times New Roman" w:hAnsi="Times New Roman"/>
                <w:color w:val="000000"/>
                <w:szCs w:val="21"/>
              </w:rPr>
            </w:pPr>
            <w:r>
              <w:rPr>
                <w:rFonts w:ascii="Times New Roman" w:hAnsi="Times New Roman"/>
                <w:color w:val="000000"/>
                <w:szCs w:val="21"/>
              </w:rPr>
              <w:t>1.2.1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7A79776">
            <w:pPr>
              <w:spacing w:beforeLines="0" w:line="0" w:lineRule="atLeast"/>
              <w:jc w:val="left"/>
              <w:rPr>
                <w:rFonts w:ascii="Times New Roman" w:hAnsi="Times New Roman"/>
                <w:color w:val="000000"/>
                <w:szCs w:val="21"/>
              </w:rPr>
            </w:pPr>
            <w:r>
              <w:rPr>
                <w:rFonts w:hint="eastAsia" w:ascii="Times New Roman" w:hAnsi="Times New Roman"/>
                <w:color w:val="000000"/>
                <w:szCs w:val="21"/>
              </w:rPr>
              <w:t>资金来源及比例</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6B505A30">
            <w:pPr>
              <w:snapToGrid w:val="0"/>
              <w:spacing w:beforeLines="0" w:line="0" w:lineRule="atLeast"/>
              <w:jc w:val="both"/>
              <w:rPr>
                <w:rFonts w:hint="eastAsia" w:ascii="Times New Roman" w:hAnsi="Times New Roman"/>
                <w:color w:val="000000"/>
                <w:szCs w:val="21"/>
              </w:rPr>
            </w:pPr>
            <w:r>
              <w:rPr>
                <w:rFonts w:hint="eastAsia" w:ascii="宋体" w:hAnsi="宋体" w:cs="宋体"/>
                <w:szCs w:val="21"/>
                <w:highlight w:val="none"/>
              </w:rPr>
              <w:t>详见招标公告</w:t>
            </w:r>
          </w:p>
        </w:tc>
      </w:tr>
      <w:tr w14:paraId="4354B690">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35B031C3">
            <w:pPr>
              <w:spacing w:beforeLines="0" w:line="0" w:lineRule="atLeast"/>
              <w:jc w:val="center"/>
              <w:rPr>
                <w:rFonts w:ascii="Times New Roman" w:hAnsi="Times New Roman"/>
                <w:color w:val="000000"/>
                <w:szCs w:val="21"/>
              </w:rPr>
            </w:pPr>
            <w:r>
              <w:rPr>
                <w:rFonts w:ascii="Times New Roman" w:hAnsi="Times New Roman"/>
                <w:color w:val="000000"/>
                <w:szCs w:val="21"/>
              </w:rPr>
              <w:t>1.2.2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69E77A70">
            <w:pPr>
              <w:spacing w:beforeLines="0" w:line="0" w:lineRule="atLeast"/>
              <w:jc w:val="left"/>
              <w:rPr>
                <w:rFonts w:ascii="Times New Roman" w:hAnsi="Times New Roman"/>
                <w:color w:val="000000"/>
                <w:szCs w:val="21"/>
              </w:rPr>
            </w:pPr>
            <w:r>
              <w:rPr>
                <w:rFonts w:hint="eastAsia" w:ascii="Times New Roman" w:hAnsi="Times New Roman"/>
                <w:color w:val="000000"/>
                <w:szCs w:val="21"/>
              </w:rPr>
              <w:t>资金落实情况</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746083C6">
            <w:pPr>
              <w:snapToGrid w:val="0"/>
              <w:spacing w:beforeLines="0" w:line="0" w:lineRule="atLeast"/>
              <w:jc w:val="both"/>
              <w:rPr>
                <w:rFonts w:hint="eastAsia" w:ascii="Times New Roman" w:hAnsi="Times New Roman"/>
                <w:color w:val="000000"/>
                <w:szCs w:val="21"/>
              </w:rPr>
            </w:pPr>
            <w:r>
              <w:rPr>
                <w:rFonts w:hint="eastAsia" w:ascii="宋体" w:hAnsi="宋体" w:cs="宋体"/>
                <w:szCs w:val="21"/>
                <w:highlight w:val="none"/>
                <w:u w:val="none"/>
              </w:rPr>
              <w:t>已落实</w:t>
            </w:r>
          </w:p>
        </w:tc>
      </w:tr>
      <w:tr w14:paraId="45D210B4">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0BC983FD">
            <w:pPr>
              <w:spacing w:beforeLines="0" w:line="0" w:lineRule="atLeast"/>
              <w:jc w:val="center"/>
              <w:rPr>
                <w:rFonts w:ascii="Times New Roman" w:hAnsi="Times New Roman"/>
                <w:color w:val="000000"/>
                <w:szCs w:val="21"/>
              </w:rPr>
            </w:pPr>
            <w:r>
              <w:rPr>
                <w:rFonts w:ascii="Times New Roman" w:hAnsi="Times New Roman"/>
                <w:color w:val="000000"/>
                <w:szCs w:val="21"/>
              </w:rPr>
              <w:t>1.3.1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E9D3BC2">
            <w:pPr>
              <w:spacing w:beforeLines="0" w:line="0" w:lineRule="atLeast"/>
              <w:jc w:val="left"/>
              <w:rPr>
                <w:rFonts w:ascii="Times New Roman" w:hAnsi="Times New Roman"/>
                <w:color w:val="000000"/>
                <w:szCs w:val="21"/>
              </w:rPr>
            </w:pPr>
            <w:r>
              <w:rPr>
                <w:rFonts w:hint="eastAsia" w:ascii="Times New Roman" w:hAnsi="Times New Roman"/>
                <w:color w:val="000000"/>
                <w:szCs w:val="21"/>
              </w:rPr>
              <w:t>招标范围</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5CEA4924">
            <w:pPr>
              <w:snapToGrid w:val="0"/>
              <w:spacing w:beforeLines="0" w:line="0" w:lineRule="atLeast"/>
              <w:ind w:right="0" w:rightChars="0"/>
              <w:jc w:val="both"/>
              <w:rPr>
                <w:rFonts w:hint="eastAsia" w:ascii="Times New Roman" w:hAnsi="Times New Roman"/>
                <w:color w:val="000000"/>
                <w:szCs w:val="21"/>
              </w:rPr>
            </w:pPr>
            <w:r>
              <w:rPr>
                <w:rFonts w:hint="eastAsia" w:ascii="宋体" w:hAnsi="宋体" w:cs="宋体"/>
                <w:szCs w:val="21"/>
                <w:highlight w:val="none"/>
              </w:rPr>
              <w:t>详见招标公告</w:t>
            </w:r>
          </w:p>
        </w:tc>
      </w:tr>
      <w:tr w14:paraId="6435D9B9">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7136AF9E">
            <w:pPr>
              <w:spacing w:beforeLines="0" w:line="0" w:lineRule="atLeast"/>
              <w:jc w:val="center"/>
              <w:rPr>
                <w:rFonts w:ascii="Times New Roman" w:hAnsi="Times New Roman"/>
                <w:color w:val="000000"/>
                <w:szCs w:val="21"/>
              </w:rPr>
            </w:pPr>
            <w:r>
              <w:rPr>
                <w:rFonts w:ascii="Times New Roman" w:hAnsi="Times New Roman"/>
                <w:color w:val="000000"/>
                <w:szCs w:val="21"/>
              </w:rPr>
              <w:t>1.3.2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04AF631C">
            <w:pPr>
              <w:spacing w:beforeLines="0" w:line="0" w:lineRule="atLeast"/>
              <w:jc w:val="left"/>
              <w:rPr>
                <w:rFonts w:ascii="Times New Roman" w:hAnsi="Times New Roman"/>
                <w:color w:val="000000"/>
                <w:szCs w:val="21"/>
              </w:rPr>
            </w:pPr>
            <w:r>
              <w:rPr>
                <w:rFonts w:hint="eastAsia" w:ascii="Times New Roman" w:hAnsi="Times New Roman"/>
                <w:color w:val="000000"/>
                <w:szCs w:val="21"/>
              </w:rPr>
              <w:t>服务期限</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7CA712B8">
            <w:pPr>
              <w:snapToGrid w:val="0"/>
              <w:spacing w:beforeLines="0" w:line="0" w:lineRule="atLeast"/>
              <w:ind w:right="0" w:rightChars="0"/>
              <w:jc w:val="both"/>
              <w:rPr>
                <w:rFonts w:hint="eastAsia" w:ascii="Times New Roman" w:hAnsi="Times New Roman"/>
                <w:color w:val="000000"/>
                <w:szCs w:val="21"/>
              </w:rPr>
            </w:pPr>
            <w:r>
              <w:rPr>
                <w:rFonts w:hint="eastAsia" w:ascii="宋体" w:hAnsi="宋体" w:cs="宋体"/>
                <w:szCs w:val="21"/>
                <w:highlight w:val="none"/>
              </w:rPr>
              <w:t>详见招标公告</w:t>
            </w:r>
          </w:p>
        </w:tc>
      </w:tr>
      <w:tr w14:paraId="60835066">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4776AB67">
            <w:pPr>
              <w:spacing w:beforeLines="0" w:line="0" w:lineRule="atLeast"/>
              <w:jc w:val="center"/>
              <w:rPr>
                <w:rFonts w:ascii="Times New Roman" w:hAnsi="Times New Roman"/>
                <w:color w:val="000000"/>
                <w:szCs w:val="21"/>
              </w:rPr>
            </w:pPr>
            <w:r>
              <w:rPr>
                <w:rFonts w:ascii="Times New Roman" w:hAnsi="Times New Roman"/>
                <w:color w:val="000000"/>
                <w:szCs w:val="21"/>
              </w:rPr>
              <w:t>1.3.3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A284A1F">
            <w:pPr>
              <w:spacing w:beforeLines="0" w:line="0" w:lineRule="atLeast"/>
              <w:jc w:val="left"/>
              <w:rPr>
                <w:rFonts w:ascii="Times New Roman" w:hAnsi="Times New Roman"/>
                <w:color w:val="000000"/>
                <w:szCs w:val="21"/>
              </w:rPr>
            </w:pPr>
            <w:r>
              <w:rPr>
                <w:rFonts w:hint="eastAsia" w:ascii="Times New Roman" w:hAnsi="Times New Roman"/>
                <w:color w:val="000000"/>
                <w:szCs w:val="21"/>
              </w:rPr>
              <w:t>质量标准</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1A763593">
            <w:pPr>
              <w:widowControl/>
              <w:spacing w:beforeLines="0" w:line="0" w:lineRule="atLeast"/>
              <w:jc w:val="left"/>
              <w:rPr>
                <w:rFonts w:hint="eastAsia" w:ascii="Times New Roman" w:hAnsi="Times New Roman" w:eastAsia="宋体"/>
                <w:color w:val="000000"/>
                <w:szCs w:val="21"/>
                <w:lang w:eastAsia="zh-CN"/>
              </w:rPr>
            </w:pPr>
            <w:r>
              <w:rPr>
                <w:rFonts w:hint="eastAsia" w:ascii="Times New Roman" w:hAnsi="Times New Roman" w:eastAsia="宋体"/>
                <w:color w:val="000000"/>
                <w:szCs w:val="21"/>
                <w:lang w:eastAsia="zh-CN"/>
              </w:rPr>
              <w:t>合格</w:t>
            </w:r>
          </w:p>
        </w:tc>
      </w:tr>
      <w:tr w14:paraId="0BE31596">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51FD5329">
            <w:pPr>
              <w:spacing w:beforeLines="0" w:line="0" w:lineRule="atLeast"/>
              <w:jc w:val="center"/>
              <w:rPr>
                <w:rFonts w:ascii="Times New Roman" w:hAnsi="Times New Roman"/>
                <w:color w:val="000000"/>
                <w:szCs w:val="21"/>
              </w:rPr>
            </w:pPr>
            <w:r>
              <w:rPr>
                <w:rFonts w:ascii="Times New Roman" w:hAnsi="Times New Roman"/>
                <w:color w:val="000000"/>
                <w:szCs w:val="21"/>
              </w:rPr>
              <w:t>1.4.1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6E32EEA2">
            <w:pPr>
              <w:spacing w:beforeLines="0" w:line="0" w:lineRule="atLeast"/>
              <w:jc w:val="left"/>
              <w:rPr>
                <w:rFonts w:ascii="Times New Roman" w:hAnsi="Times New Roman"/>
                <w:color w:val="000000"/>
                <w:szCs w:val="21"/>
              </w:rPr>
            </w:pPr>
            <w:r>
              <w:rPr>
                <w:rFonts w:hint="eastAsia" w:ascii="Times New Roman" w:hAnsi="Times New Roman"/>
                <w:color w:val="000000"/>
                <w:szCs w:val="21"/>
              </w:rPr>
              <w:t>投标人资质条件、能力、信誉</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3773107B">
            <w:pPr>
              <w:spacing w:beforeLines="0" w:line="0" w:lineRule="atLeast"/>
              <w:rPr>
                <w:rFonts w:ascii="Times New Roman" w:hAnsi="Times New Roman"/>
                <w:szCs w:val="21"/>
              </w:rPr>
            </w:pPr>
            <w:r>
              <w:rPr>
                <w:rFonts w:hint="eastAsia" w:ascii="Times New Roman" w:hAnsi="Times New Roman"/>
                <w:color w:val="000000"/>
                <w:szCs w:val="21"/>
                <w:lang w:eastAsia="zh-CN"/>
              </w:rPr>
              <w:t>详见本项目招标公告</w:t>
            </w:r>
          </w:p>
        </w:tc>
      </w:tr>
      <w:tr w14:paraId="4BBE39E1">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17C3EDDE">
            <w:pPr>
              <w:spacing w:beforeLines="0" w:line="0" w:lineRule="atLeast"/>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szCs w:val="21"/>
              </w:rPr>
              <w:t>4.2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7A92FE60">
            <w:pPr>
              <w:spacing w:beforeLines="0" w:line="0" w:lineRule="atLeast"/>
              <w:jc w:val="left"/>
              <w:rPr>
                <w:rFonts w:ascii="Times New Roman" w:hAnsi="Times New Roman"/>
                <w:color w:val="000000"/>
                <w:szCs w:val="21"/>
              </w:rPr>
            </w:pPr>
            <w:r>
              <w:rPr>
                <w:rFonts w:hint="eastAsia" w:ascii="Times New Roman" w:hAnsi="Times New Roman"/>
                <w:szCs w:val="21"/>
              </w:rPr>
              <w:t>是否接受联合体投标</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147E2118">
            <w:pPr>
              <w:topLinePunct/>
              <w:spacing w:beforeLines="0" w:line="0" w:lineRule="atLeast"/>
              <w:rPr>
                <w:rFonts w:ascii="Times New Roman" w:hAnsi="Times New Roman"/>
                <w:color w:val="000000"/>
                <w:szCs w:val="21"/>
              </w:rPr>
            </w:pPr>
            <w:r>
              <w:rPr>
                <w:rFonts w:hint="eastAsia" w:ascii="Times New Roman" w:hAnsi="Times New Roman"/>
                <w:color w:val="000000"/>
                <w:sz w:val="21"/>
                <w:szCs w:val="21"/>
                <w:lang w:eastAsia="zh-CN"/>
              </w:rPr>
              <w:t>☑</w:t>
            </w:r>
            <w:r>
              <w:rPr>
                <w:rFonts w:hint="eastAsia" w:ascii="Times New Roman" w:hAnsi="Times New Roman"/>
                <w:color w:val="000000"/>
                <w:szCs w:val="21"/>
              </w:rPr>
              <w:t>不</w:t>
            </w:r>
            <w:r>
              <w:rPr>
                <w:rFonts w:hint="eastAsia" w:ascii="Times New Roman" w:hAnsi="Times New Roman"/>
                <w:szCs w:val="21"/>
              </w:rPr>
              <w:t>接受</w:t>
            </w:r>
          </w:p>
          <w:p w14:paraId="3D75003B">
            <w:pPr>
              <w:spacing w:beforeLines="0" w:line="0" w:lineRule="atLeast"/>
              <w:rPr>
                <w:rFonts w:ascii="Times New Roman" w:hAnsi="Times New Roman"/>
                <w:color w:val="000000"/>
                <w:sz w:val="21"/>
                <w:szCs w:val="21"/>
              </w:rPr>
            </w:pPr>
            <w:r>
              <w:rPr>
                <w:rFonts w:ascii="Times New Roman" w:hAnsi="Times New Roman"/>
                <w:sz w:val="32"/>
                <w:highlight w:val="none"/>
              </w:rPr>
              <w:t>□</w:t>
            </w:r>
            <w:r>
              <w:rPr>
                <w:rFonts w:hint="eastAsia" w:ascii="Times New Roman" w:hAnsi="Times New Roman"/>
                <w:szCs w:val="21"/>
              </w:rPr>
              <w:t>接受，应满足下列要求：</w:t>
            </w:r>
          </w:p>
        </w:tc>
      </w:tr>
      <w:tr w14:paraId="35119FD4">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0657E49D">
            <w:pPr>
              <w:spacing w:beforeLines="0" w:line="0" w:lineRule="atLeast"/>
              <w:jc w:val="center"/>
              <w:rPr>
                <w:rFonts w:ascii="Times New Roman" w:hAnsi="Times New Roman"/>
                <w:color w:val="000000"/>
                <w:szCs w:val="21"/>
              </w:rPr>
            </w:pPr>
            <w:r>
              <w:rPr>
                <w:rFonts w:ascii="Times New Roman" w:hAnsi="Times New Roman"/>
                <w:color w:val="000000"/>
                <w:szCs w:val="21"/>
              </w:rPr>
              <w:t>1.4.3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9D5E685">
            <w:pPr>
              <w:spacing w:beforeLines="0" w:line="0" w:lineRule="atLeast"/>
              <w:jc w:val="left"/>
              <w:rPr>
                <w:rFonts w:ascii="Times New Roman" w:hAnsi="Times New Roman"/>
                <w:szCs w:val="21"/>
              </w:rPr>
            </w:pPr>
            <w:r>
              <w:rPr>
                <w:rFonts w:hint="eastAsia" w:ascii="Times New Roman" w:hAnsi="Times New Roman"/>
                <w:color w:val="auto"/>
                <w:szCs w:val="21"/>
              </w:rPr>
              <w:t>投标人不得存在的其他情形</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5F85BC91">
            <w:pPr>
              <w:topLinePunct/>
              <w:spacing w:beforeLines="0" w:line="0" w:lineRule="atLeast"/>
              <w:rPr>
                <w:rFonts w:ascii="Times New Roman" w:hAnsi="Times New Roman"/>
                <w:color w:val="auto"/>
                <w:sz w:val="21"/>
                <w:szCs w:val="21"/>
              </w:rPr>
            </w:pPr>
            <w:r>
              <w:rPr>
                <w:rFonts w:hint="eastAsia" w:ascii="宋体" w:hAnsi="宋体" w:cs="宋体"/>
                <w:szCs w:val="21"/>
                <w:highlight w:val="none"/>
              </w:rPr>
              <w:t>（16）在近三年内投标人或其法定代表人有行贿犯罪行为的。</w:t>
            </w:r>
          </w:p>
        </w:tc>
      </w:tr>
      <w:tr w14:paraId="69B1633E">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548925F7">
            <w:pPr>
              <w:spacing w:beforeLines="0" w:line="0" w:lineRule="atLeast"/>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szCs w:val="21"/>
              </w:rPr>
              <w:t>9</w:t>
            </w:r>
            <w:r>
              <w:rPr>
                <w:rFonts w:ascii="Times New Roman" w:hAnsi="Times New Roman"/>
                <w:color w:val="000000"/>
                <w:szCs w:val="21"/>
              </w:rPr>
              <w:t>.1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33587260">
            <w:pPr>
              <w:spacing w:beforeLines="0" w:line="0" w:lineRule="atLeast"/>
              <w:jc w:val="left"/>
              <w:rPr>
                <w:rFonts w:ascii="Times New Roman" w:hAnsi="Times New Roman"/>
                <w:szCs w:val="21"/>
              </w:rPr>
            </w:pPr>
            <w:r>
              <w:rPr>
                <w:rFonts w:hint="eastAsia" w:ascii="Times New Roman" w:hAnsi="Times New Roman"/>
                <w:szCs w:val="21"/>
              </w:rPr>
              <w:t>踏勘现场</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12D76CA6">
            <w:pPr>
              <w:spacing w:beforeLines="0" w:line="0" w:lineRule="atLeast"/>
              <w:jc w:val="both"/>
              <w:rPr>
                <w:rFonts w:hint="eastAsia" w:ascii="宋体" w:hAnsi="宋体" w:eastAsia="宋体" w:cs="Times New Roman"/>
                <w:color w:val="auto"/>
                <w:sz w:val="21"/>
                <w:szCs w:val="21"/>
                <w:lang w:val="en-US" w:eastAsia="zh-CN" w:bidi="ar-SA"/>
              </w:rPr>
            </w:pPr>
            <w:r>
              <w:rPr>
                <w:rFonts w:hint="eastAsia" w:ascii="Times New Roman" w:hAnsi="Times New Roman"/>
                <w:color w:val="000000"/>
                <w:sz w:val="21"/>
                <w:szCs w:val="21"/>
                <w:lang w:eastAsia="zh-CN"/>
              </w:rPr>
              <w:t>☑</w:t>
            </w:r>
            <w:r>
              <w:rPr>
                <w:rFonts w:hint="eastAsia" w:ascii="宋体" w:hAnsi="宋体" w:eastAsia="宋体" w:cs="Times New Roman"/>
                <w:color w:val="auto"/>
                <w:sz w:val="21"/>
                <w:szCs w:val="21"/>
                <w:lang w:val="en-US" w:eastAsia="zh-CN" w:bidi="ar-SA"/>
              </w:rPr>
              <w:t>招标人不集中组织，由投标人自行踏勘；</w:t>
            </w:r>
          </w:p>
          <w:p w14:paraId="789F34A0">
            <w:pPr>
              <w:spacing w:beforeLines="0" w:line="0" w:lineRule="atLeast"/>
              <w:ind w:left="0" w:leftChars="0" w:firstLine="0" w:firstLineChars="0"/>
              <w:jc w:val="both"/>
              <w:rPr>
                <w:rFonts w:hint="eastAsia" w:ascii="宋体" w:hAnsi="宋体" w:eastAsia="宋体" w:cs="Times New Roman"/>
                <w:color w:val="auto"/>
                <w:sz w:val="21"/>
                <w:szCs w:val="21"/>
                <w:lang w:val="en-US" w:eastAsia="zh-CN" w:bidi="ar-SA"/>
              </w:rPr>
            </w:pPr>
            <w:bookmarkStart w:id="54" w:name="_Toc221950042"/>
            <w:r>
              <w:rPr>
                <w:rFonts w:hint="eastAsia" w:ascii="宋体" w:hAnsi="宋体" w:eastAsia="宋体" w:cs="Times New Roman"/>
                <w:color w:val="auto"/>
                <w:sz w:val="21"/>
                <w:szCs w:val="21"/>
                <w:lang w:val="en-US" w:eastAsia="zh-CN" w:bidi="ar-SA"/>
              </w:rPr>
              <w:t>自___年___月___日起具备现场踏勘条</w:t>
            </w:r>
            <w:bookmarkEnd w:id="54"/>
            <w:r>
              <w:rPr>
                <w:rFonts w:hint="eastAsia" w:ascii="宋体" w:hAnsi="宋体" w:eastAsia="宋体" w:cs="Times New Roman"/>
                <w:color w:val="auto"/>
                <w:sz w:val="21"/>
                <w:szCs w:val="21"/>
                <w:lang w:val="en-US" w:eastAsia="zh-CN" w:bidi="ar-SA"/>
              </w:rPr>
              <w:t>件；现场详细地</w:t>
            </w:r>
            <w:bookmarkStart w:id="55" w:name="_Toc221950044"/>
            <w:r>
              <w:rPr>
                <w:rFonts w:hint="eastAsia" w:ascii="宋体" w:hAnsi="宋体" w:eastAsia="宋体" w:cs="Times New Roman"/>
                <w:color w:val="auto"/>
                <w:sz w:val="21"/>
                <w:szCs w:val="21"/>
                <w:lang w:val="en-US" w:eastAsia="zh-CN" w:bidi="ar-SA"/>
              </w:rPr>
              <w:t>点：</w:t>
            </w:r>
            <w:bookmarkEnd w:id="55"/>
          </w:p>
          <w:p w14:paraId="72CA4226">
            <w:pPr>
              <w:pStyle w:val="10"/>
              <w:topLinePunct/>
              <w:spacing w:beforeLines="0" w:after="0" w:line="0" w:lineRule="atLeast"/>
              <w:rPr>
                <w:rFonts w:ascii="Times New Roman" w:hAnsi="Times New Roman"/>
                <w:color w:val="000000"/>
                <w:sz w:val="21"/>
                <w:szCs w:val="21"/>
              </w:rPr>
            </w:pPr>
            <w:r>
              <w:rPr>
                <w:rFonts w:eastAsia="Times New Roman"/>
                <w:color w:val="auto"/>
                <w:spacing w:val="-1"/>
                <w:sz w:val="21"/>
                <w:szCs w:val="21"/>
              </w:rPr>
              <w:sym w:font="Wingdings 2" w:char="00A3"/>
            </w:r>
            <w:r>
              <w:rPr>
                <w:rFonts w:hint="eastAsia" w:ascii="Times New Roman" w:hAnsi="Times New Roman"/>
                <w:color w:val="000000"/>
                <w:sz w:val="21"/>
                <w:szCs w:val="21"/>
              </w:rPr>
              <w:t>组织，踏勘时间：</w:t>
            </w:r>
          </w:p>
          <w:p w14:paraId="0C65A85D">
            <w:pPr>
              <w:pStyle w:val="10"/>
              <w:topLinePunct/>
              <w:spacing w:beforeLines="0" w:after="0" w:line="0" w:lineRule="atLeast"/>
              <w:ind w:firstLine="840" w:firstLineChars="400"/>
              <w:rPr>
                <w:rFonts w:ascii="Times New Roman" w:hAnsi="Times New Roman"/>
                <w:color w:val="000000"/>
                <w:sz w:val="21"/>
                <w:szCs w:val="21"/>
              </w:rPr>
            </w:pPr>
            <w:r>
              <w:rPr>
                <w:rFonts w:hint="eastAsia" w:ascii="Times New Roman" w:hAnsi="Times New Roman"/>
                <w:color w:val="000000"/>
                <w:sz w:val="21"/>
                <w:szCs w:val="21"/>
              </w:rPr>
              <w:t>踏勘集中地点：</w:t>
            </w:r>
          </w:p>
        </w:tc>
      </w:tr>
      <w:tr w14:paraId="53AC24C7">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32D0450F">
            <w:pPr>
              <w:spacing w:beforeLines="0" w:line="0" w:lineRule="atLeast"/>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szCs w:val="21"/>
              </w:rPr>
              <w:t>10</w:t>
            </w:r>
            <w:r>
              <w:rPr>
                <w:rFonts w:ascii="Times New Roman" w:hAnsi="Times New Roman"/>
                <w:color w:val="000000"/>
                <w:szCs w:val="21"/>
              </w:rPr>
              <w:t>.1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775026BB">
            <w:pPr>
              <w:spacing w:beforeLines="0" w:line="0" w:lineRule="atLeast"/>
              <w:jc w:val="left"/>
              <w:rPr>
                <w:rFonts w:ascii="Times New Roman" w:hAnsi="Times New Roman"/>
                <w:color w:val="000000"/>
                <w:szCs w:val="21"/>
              </w:rPr>
            </w:pPr>
            <w:r>
              <w:rPr>
                <w:rFonts w:hint="eastAsia" w:ascii="Times New Roman" w:hAnsi="Times New Roman"/>
                <w:color w:val="000000"/>
                <w:szCs w:val="21"/>
              </w:rPr>
              <w:t>投标预备会</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7AEA41E0">
            <w:pPr>
              <w:pStyle w:val="10"/>
              <w:topLinePunct/>
              <w:spacing w:beforeLines="0" w:after="0" w:line="0" w:lineRule="atLeast"/>
              <w:rPr>
                <w:rFonts w:ascii="Times New Roman" w:hAnsi="Times New Roman"/>
                <w:color w:val="000000"/>
                <w:sz w:val="21"/>
                <w:szCs w:val="21"/>
              </w:rPr>
            </w:pPr>
            <w:r>
              <w:rPr>
                <w:rFonts w:hint="eastAsia" w:ascii="Times New Roman" w:hAnsi="Times New Roman"/>
                <w:color w:val="000000"/>
                <w:sz w:val="21"/>
                <w:szCs w:val="21"/>
                <w:lang w:eastAsia="zh-CN"/>
              </w:rPr>
              <w:t>☑</w:t>
            </w:r>
            <w:r>
              <w:rPr>
                <w:rFonts w:hint="eastAsia" w:ascii="Times New Roman" w:hAnsi="Times New Roman"/>
                <w:color w:val="000000"/>
                <w:sz w:val="21"/>
                <w:szCs w:val="21"/>
              </w:rPr>
              <w:t>不召开</w:t>
            </w:r>
          </w:p>
          <w:p w14:paraId="6CBFF8DC">
            <w:pPr>
              <w:spacing w:beforeLines="0" w:line="0" w:lineRule="atLeast"/>
              <w:rPr>
                <w:rFonts w:ascii="Times New Roman" w:hAnsi="Times New Roman"/>
                <w:color w:val="000000"/>
                <w:szCs w:val="21"/>
              </w:rPr>
            </w:pPr>
            <w:r>
              <w:rPr>
                <w:rFonts w:ascii="Times New Roman" w:hAnsi="Times New Roman"/>
                <w:color w:val="000000"/>
                <w:sz w:val="21"/>
                <w:szCs w:val="21"/>
              </w:rPr>
              <w:sym w:font="Wingdings 2" w:char="00A3"/>
            </w:r>
            <w:r>
              <w:rPr>
                <w:rFonts w:hint="eastAsia" w:ascii="Times New Roman" w:hAnsi="Times New Roman"/>
                <w:color w:val="000000"/>
                <w:szCs w:val="21"/>
              </w:rPr>
              <w:t>召开，召开时间：</w:t>
            </w:r>
          </w:p>
          <w:p w14:paraId="0FB12213">
            <w:pPr>
              <w:spacing w:beforeLines="0" w:line="0" w:lineRule="atLeast"/>
              <w:ind w:firstLine="840" w:firstLineChars="400"/>
              <w:rPr>
                <w:rFonts w:ascii="Times New Roman" w:hAnsi="Times New Roman"/>
                <w:color w:val="000000"/>
                <w:szCs w:val="21"/>
              </w:rPr>
            </w:pPr>
            <w:r>
              <w:rPr>
                <w:rFonts w:hint="eastAsia" w:ascii="Times New Roman" w:hAnsi="Times New Roman"/>
                <w:color w:val="000000"/>
                <w:szCs w:val="21"/>
              </w:rPr>
              <w:t>召开地点：</w:t>
            </w:r>
          </w:p>
        </w:tc>
      </w:tr>
      <w:tr w14:paraId="1509E181">
        <w:tblPrEx>
          <w:tblCellMar>
            <w:top w:w="0" w:type="dxa"/>
            <w:left w:w="108" w:type="dxa"/>
            <w:bottom w:w="0" w:type="dxa"/>
            <w:right w:w="108" w:type="dxa"/>
          </w:tblCellMar>
        </w:tblPrEx>
        <w:trPr>
          <w:trHeight w:val="567" w:hRule="atLeast"/>
        </w:trPr>
        <w:tc>
          <w:tcPr>
            <w:tcW w:w="622" w:type="pct"/>
            <w:vMerge w:val="restart"/>
            <w:tcBorders>
              <w:top w:val="single" w:color="auto" w:sz="4" w:space="0"/>
              <w:left w:val="single" w:color="auto" w:sz="4" w:space="0"/>
              <w:right w:val="single" w:color="auto" w:sz="4" w:space="0"/>
            </w:tcBorders>
            <w:noWrap w:val="0"/>
            <w:vAlign w:val="center"/>
          </w:tcPr>
          <w:p w14:paraId="42AA6416">
            <w:pPr>
              <w:spacing w:beforeLines="0" w:line="0" w:lineRule="atLeast"/>
              <w:jc w:val="center"/>
              <w:rPr>
                <w:rFonts w:ascii="Times New Roman" w:hAnsi="Times New Roman"/>
                <w:color w:val="000000"/>
                <w:szCs w:val="21"/>
              </w:rPr>
            </w:pPr>
            <w:r>
              <w:rPr>
                <w:rFonts w:ascii="Times New Roman" w:hAnsi="Times New Roman"/>
                <w:color w:val="000000"/>
                <w:szCs w:val="21"/>
              </w:rPr>
              <w:t>1.10.2</w:t>
            </w:r>
          </w:p>
        </w:tc>
        <w:tc>
          <w:tcPr>
            <w:tcW w:w="1036" w:type="pct"/>
            <w:vMerge w:val="restart"/>
            <w:tcBorders>
              <w:top w:val="single" w:color="auto" w:sz="4" w:space="0"/>
              <w:left w:val="single" w:color="auto" w:sz="4" w:space="0"/>
              <w:right w:val="single" w:color="auto" w:sz="4" w:space="0"/>
            </w:tcBorders>
            <w:noWrap w:val="0"/>
            <w:vAlign w:val="center"/>
          </w:tcPr>
          <w:p w14:paraId="2FA00EE9">
            <w:pPr>
              <w:spacing w:beforeLines="0" w:line="0" w:lineRule="atLeast"/>
              <w:jc w:val="left"/>
              <w:rPr>
                <w:rFonts w:ascii="Times New Roman" w:hAnsi="Times New Roman"/>
                <w:color w:val="000000"/>
                <w:szCs w:val="21"/>
              </w:rPr>
            </w:pPr>
            <w:r>
              <w:rPr>
                <w:rFonts w:hint="eastAsia" w:ascii="Times New Roman" w:hAnsi="Times New Roman"/>
                <w:color w:val="000000"/>
                <w:szCs w:val="21"/>
              </w:rPr>
              <w:t>投标人在投标预备会前提出问题</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6F759463">
            <w:pPr>
              <w:spacing w:beforeLines="0" w:line="0" w:lineRule="atLeast"/>
              <w:rPr>
                <w:rFonts w:hint="eastAsia" w:ascii="宋体" w:hAnsi="宋体" w:eastAsia="宋体" w:cs="宋体"/>
                <w:color w:val="000000"/>
                <w:szCs w:val="21"/>
                <w:lang w:val="en-US" w:eastAsia="zh-CN"/>
              </w:rPr>
            </w:pPr>
            <w:r>
              <w:rPr>
                <w:rFonts w:hint="eastAsia" w:ascii="宋体" w:hAnsi="宋体" w:eastAsia="宋体" w:cs="宋体"/>
                <w:color w:val="000000"/>
                <w:szCs w:val="21"/>
              </w:rPr>
              <w:t>时间：</w:t>
            </w:r>
            <w:r>
              <w:rPr>
                <w:rFonts w:hint="eastAsia" w:ascii="宋体" w:hAnsi="宋体" w:eastAsia="宋体" w:cs="宋体"/>
                <w:color w:val="000000"/>
                <w:szCs w:val="21"/>
                <w:lang w:val="en-US" w:eastAsia="zh-CN"/>
              </w:rPr>
              <w:t>/</w:t>
            </w:r>
          </w:p>
        </w:tc>
      </w:tr>
      <w:tr w14:paraId="29697B1F">
        <w:tblPrEx>
          <w:tblCellMar>
            <w:top w:w="0" w:type="dxa"/>
            <w:left w:w="108" w:type="dxa"/>
            <w:bottom w:w="0" w:type="dxa"/>
            <w:right w:w="108" w:type="dxa"/>
          </w:tblCellMar>
        </w:tblPrEx>
        <w:trPr>
          <w:trHeight w:val="567" w:hRule="atLeast"/>
        </w:trPr>
        <w:tc>
          <w:tcPr>
            <w:tcW w:w="622" w:type="pct"/>
            <w:vMerge w:val="continue"/>
            <w:tcBorders>
              <w:left w:val="single" w:color="auto" w:sz="4" w:space="0"/>
              <w:bottom w:val="single" w:color="auto" w:sz="4" w:space="0"/>
              <w:right w:val="single" w:color="auto" w:sz="4" w:space="0"/>
            </w:tcBorders>
            <w:noWrap w:val="0"/>
            <w:vAlign w:val="center"/>
          </w:tcPr>
          <w:p w14:paraId="1B0F09B2">
            <w:pPr>
              <w:spacing w:beforeLines="0" w:line="0" w:lineRule="atLeast"/>
              <w:jc w:val="center"/>
              <w:rPr>
                <w:rFonts w:ascii="Times New Roman" w:hAnsi="Times New Roman"/>
                <w:color w:val="000000"/>
                <w:szCs w:val="21"/>
              </w:rPr>
            </w:pPr>
          </w:p>
        </w:tc>
        <w:tc>
          <w:tcPr>
            <w:tcW w:w="1036" w:type="pct"/>
            <w:vMerge w:val="continue"/>
            <w:tcBorders>
              <w:left w:val="single" w:color="auto" w:sz="4" w:space="0"/>
              <w:bottom w:val="single" w:color="auto" w:sz="4" w:space="0"/>
              <w:right w:val="single" w:color="auto" w:sz="4" w:space="0"/>
            </w:tcBorders>
            <w:noWrap w:val="0"/>
            <w:vAlign w:val="center"/>
          </w:tcPr>
          <w:p w14:paraId="0A526F91">
            <w:pPr>
              <w:spacing w:beforeLines="0" w:line="0" w:lineRule="atLeast"/>
              <w:jc w:val="left"/>
              <w:rPr>
                <w:rFonts w:ascii="Times New Roman" w:hAnsi="Times New Roman"/>
                <w:color w:val="000000"/>
                <w:szCs w:val="21"/>
              </w:rPr>
            </w:pPr>
          </w:p>
        </w:tc>
        <w:tc>
          <w:tcPr>
            <w:tcW w:w="3340" w:type="pct"/>
            <w:tcBorders>
              <w:top w:val="single" w:color="auto" w:sz="4" w:space="0"/>
              <w:left w:val="single" w:color="auto" w:sz="4" w:space="0"/>
              <w:bottom w:val="single" w:color="auto" w:sz="4" w:space="0"/>
              <w:right w:val="single" w:color="auto" w:sz="4" w:space="0"/>
            </w:tcBorders>
            <w:noWrap w:val="0"/>
            <w:vAlign w:val="center"/>
          </w:tcPr>
          <w:p w14:paraId="3CDD6F96">
            <w:pPr>
              <w:spacing w:beforeLines="0" w:line="0" w:lineRule="atLeast"/>
              <w:rPr>
                <w:rFonts w:hint="eastAsia" w:ascii="Times New Roman" w:hAnsi="Times New Roman" w:eastAsia="宋体"/>
                <w:color w:val="000000"/>
                <w:szCs w:val="21"/>
                <w:lang w:val="en-US" w:eastAsia="zh-CN"/>
              </w:rPr>
            </w:pPr>
            <w:r>
              <w:rPr>
                <w:rFonts w:hint="eastAsia" w:ascii="宋体" w:hAnsi="宋体" w:eastAsia="宋体" w:cs="宋体"/>
                <w:color w:val="000000"/>
                <w:szCs w:val="21"/>
              </w:rPr>
              <w:t>形式：</w:t>
            </w:r>
            <w:r>
              <w:rPr>
                <w:rFonts w:hint="eastAsia" w:ascii="宋体" w:hAnsi="宋体" w:eastAsia="宋体" w:cs="宋体"/>
                <w:color w:val="000000"/>
                <w:szCs w:val="21"/>
                <w:lang w:val="en-US" w:eastAsia="zh-CN"/>
              </w:rPr>
              <w:t>/</w:t>
            </w:r>
          </w:p>
        </w:tc>
      </w:tr>
      <w:tr w14:paraId="4C3150AA">
        <w:tblPrEx>
          <w:tblCellMar>
            <w:top w:w="0" w:type="dxa"/>
            <w:left w:w="108" w:type="dxa"/>
            <w:bottom w:w="0" w:type="dxa"/>
            <w:right w:w="108" w:type="dxa"/>
          </w:tblCellMar>
        </w:tblPrEx>
        <w:trPr>
          <w:trHeight w:val="567" w:hRule="atLeast"/>
        </w:trPr>
        <w:tc>
          <w:tcPr>
            <w:tcW w:w="622" w:type="pct"/>
            <w:tcBorders>
              <w:left w:val="single" w:color="auto" w:sz="4" w:space="0"/>
              <w:bottom w:val="single" w:color="auto" w:sz="4" w:space="0"/>
              <w:right w:val="single" w:color="auto" w:sz="4" w:space="0"/>
            </w:tcBorders>
            <w:noWrap w:val="0"/>
            <w:vAlign w:val="center"/>
          </w:tcPr>
          <w:p w14:paraId="6722D526">
            <w:pPr>
              <w:spacing w:beforeLines="0" w:line="0" w:lineRule="atLeast"/>
              <w:jc w:val="center"/>
              <w:rPr>
                <w:rFonts w:ascii="Times New Roman" w:hAnsi="Times New Roman"/>
                <w:color w:val="000000"/>
                <w:szCs w:val="21"/>
              </w:rPr>
            </w:pPr>
            <w:r>
              <w:rPr>
                <w:rFonts w:ascii="Times New Roman" w:hAnsi="Times New Roman"/>
                <w:color w:val="000000"/>
                <w:szCs w:val="21"/>
              </w:rPr>
              <w:t>1.10.3</w:t>
            </w:r>
          </w:p>
        </w:tc>
        <w:tc>
          <w:tcPr>
            <w:tcW w:w="1036" w:type="pct"/>
            <w:tcBorders>
              <w:left w:val="single" w:color="auto" w:sz="4" w:space="0"/>
              <w:bottom w:val="single" w:color="auto" w:sz="4" w:space="0"/>
              <w:right w:val="single" w:color="auto" w:sz="4" w:space="0"/>
            </w:tcBorders>
            <w:noWrap w:val="0"/>
            <w:vAlign w:val="center"/>
          </w:tcPr>
          <w:p w14:paraId="3FC681E9">
            <w:pPr>
              <w:spacing w:beforeLines="0" w:line="0" w:lineRule="atLeast"/>
              <w:jc w:val="left"/>
              <w:rPr>
                <w:rFonts w:ascii="Times New Roman" w:hAnsi="Times New Roman"/>
                <w:color w:val="000000"/>
                <w:szCs w:val="21"/>
              </w:rPr>
            </w:pPr>
            <w:r>
              <w:rPr>
                <w:rFonts w:hint="eastAsia" w:ascii="Times New Roman" w:hAnsi="Times New Roman"/>
                <w:color w:val="000000"/>
                <w:szCs w:val="21"/>
              </w:rPr>
              <w:t>招标文件澄清发出的形式</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6F196C1A">
            <w:pPr>
              <w:spacing w:beforeLines="0" w:line="0" w:lineRule="atLeast"/>
              <w:rPr>
                <w:rFonts w:hint="eastAsia" w:ascii="Times New Roman" w:hAnsi="Times New Roman" w:eastAsia="宋体"/>
                <w:color w:val="000000"/>
                <w:szCs w:val="21"/>
                <w:lang w:val="en-US" w:eastAsia="zh-CN"/>
              </w:rPr>
            </w:pPr>
            <w:r>
              <w:rPr>
                <w:rFonts w:hint="eastAsia" w:ascii="宋体" w:hAnsi="宋体" w:eastAsia="宋体" w:cs="宋体"/>
                <w:color w:val="000000"/>
                <w:szCs w:val="21"/>
                <w:lang w:val="en-US" w:eastAsia="zh-CN"/>
              </w:rPr>
              <w:t>在递交投标文件截止时间15天前；在广州交易集团有限公司（广州公共资源交易中心）网站通过项目答疑专区网上公开发布。</w:t>
            </w:r>
          </w:p>
        </w:tc>
      </w:tr>
      <w:tr w14:paraId="7E55857C">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5BE170A7">
            <w:pPr>
              <w:spacing w:beforeLines="0" w:line="0" w:lineRule="atLeast"/>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szCs w:val="21"/>
              </w:rPr>
              <w:t>12.1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715B3412">
            <w:pPr>
              <w:spacing w:beforeLines="0" w:line="0" w:lineRule="atLeast"/>
              <w:jc w:val="left"/>
              <w:rPr>
                <w:rFonts w:ascii="Times New Roman" w:hAnsi="Times New Roman"/>
                <w:color w:val="000000"/>
                <w:szCs w:val="21"/>
              </w:rPr>
            </w:pPr>
            <w:r>
              <w:rPr>
                <w:rFonts w:hint="eastAsia" w:ascii="Times New Roman" w:hAnsi="Times New Roman"/>
                <w:szCs w:val="21"/>
              </w:rPr>
              <w:t>实质性要求和条件</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3B2DC625">
            <w:pPr>
              <w:pStyle w:val="10"/>
              <w:topLinePunct/>
              <w:spacing w:beforeLines="0" w:after="0" w:line="0" w:lineRule="atLeast"/>
              <w:rPr>
                <w:rFonts w:ascii="Times New Roman" w:hAnsi="Times New Roman"/>
                <w:color w:val="000000"/>
                <w:sz w:val="21"/>
                <w:szCs w:val="21"/>
              </w:rPr>
            </w:pPr>
            <w:r>
              <w:rPr>
                <w:rFonts w:hint="eastAsia" w:ascii="宋体" w:hAnsi="宋体" w:eastAsia="宋体" w:cs="宋体"/>
                <w:color w:val="000000"/>
                <w:sz w:val="21"/>
                <w:szCs w:val="21"/>
                <w:lang w:val="en-US" w:eastAsia="zh-CN"/>
              </w:rPr>
              <w:t>/</w:t>
            </w:r>
          </w:p>
        </w:tc>
      </w:tr>
      <w:tr w14:paraId="056869ED">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799256C7">
            <w:pPr>
              <w:spacing w:beforeLines="0" w:line="0" w:lineRule="atLeast"/>
              <w:jc w:val="center"/>
              <w:rPr>
                <w:rFonts w:ascii="Times New Roman" w:hAnsi="Times New Roman"/>
                <w:szCs w:val="21"/>
              </w:rPr>
            </w:pPr>
            <w:r>
              <w:rPr>
                <w:rFonts w:ascii="Times New Roman" w:hAnsi="Times New Roman"/>
                <w:szCs w:val="21"/>
              </w:rPr>
              <w:t>1.12.3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00E5EE5C">
            <w:pPr>
              <w:spacing w:beforeLines="0" w:line="0" w:lineRule="atLeast"/>
              <w:jc w:val="left"/>
              <w:rPr>
                <w:rFonts w:ascii="Times New Roman" w:hAnsi="Times New Roman"/>
                <w:szCs w:val="21"/>
              </w:rPr>
            </w:pPr>
            <w:r>
              <w:rPr>
                <w:rFonts w:hint="eastAsia" w:ascii="Times New Roman" w:hAnsi="Times New Roman"/>
                <w:szCs w:val="21"/>
              </w:rPr>
              <w:t>偏差</w:t>
            </w:r>
          </w:p>
        </w:tc>
        <w:tc>
          <w:tcPr>
            <w:tcW w:w="3340" w:type="pct"/>
            <w:tcBorders>
              <w:top w:val="single" w:color="auto" w:sz="4" w:space="0"/>
              <w:left w:val="single" w:color="auto" w:sz="4" w:space="0"/>
              <w:bottom w:val="single" w:color="auto" w:sz="4" w:space="0"/>
              <w:right w:val="single" w:color="auto" w:sz="4" w:space="0"/>
            </w:tcBorders>
            <w:noWrap w:val="0"/>
            <w:vAlign w:val="top"/>
          </w:tcPr>
          <w:p w14:paraId="547DABCD">
            <w:pPr>
              <w:spacing w:beforeLines="0" w:line="0" w:lineRule="atLeast"/>
              <w:rPr>
                <w:rFonts w:ascii="Times New Roman" w:hAnsi="Times New Roman"/>
                <w:szCs w:val="21"/>
              </w:rPr>
            </w:pPr>
            <w:r>
              <w:rPr>
                <w:rFonts w:ascii="Times New Roman" w:hAnsi="Times New Roman"/>
                <w:sz w:val="21"/>
                <w:szCs w:val="21"/>
              </w:rPr>
              <w:sym w:font="Wingdings 2" w:char="0052"/>
            </w:r>
            <w:r>
              <w:rPr>
                <w:rFonts w:hint="eastAsia" w:ascii="Times New Roman" w:hAnsi="Times New Roman"/>
                <w:szCs w:val="21"/>
              </w:rPr>
              <w:t>不允许</w:t>
            </w:r>
          </w:p>
          <w:p w14:paraId="7126557A">
            <w:pPr>
              <w:pStyle w:val="10"/>
              <w:topLinePunct/>
              <w:spacing w:beforeLines="0" w:after="0" w:line="0" w:lineRule="atLeast"/>
              <w:rPr>
                <w:rFonts w:ascii="Times New Roman" w:hAnsi="Times New Roman"/>
                <w:sz w:val="21"/>
                <w:szCs w:val="21"/>
              </w:rPr>
            </w:pPr>
            <w:r>
              <w:rPr>
                <w:rFonts w:ascii="Times New Roman" w:hAnsi="Times New Roman"/>
                <w:sz w:val="21"/>
                <w:szCs w:val="21"/>
              </w:rPr>
              <w:sym w:font="Wingdings 2" w:char="00A3"/>
            </w:r>
            <w:r>
              <w:rPr>
                <w:rFonts w:hint="eastAsia" w:ascii="Times New Roman" w:hAnsi="Times New Roman"/>
                <w:sz w:val="21"/>
                <w:szCs w:val="21"/>
              </w:rPr>
              <w:t>允许，偏差范围：</w:t>
            </w:r>
          </w:p>
          <w:p w14:paraId="348FA5FF">
            <w:pPr>
              <w:pStyle w:val="10"/>
              <w:topLinePunct/>
              <w:spacing w:beforeLines="0" w:after="0" w:line="0" w:lineRule="atLeast"/>
              <w:ind w:firstLine="945" w:firstLineChars="450"/>
              <w:rPr>
                <w:rFonts w:ascii="Times New Roman" w:hAnsi="Times New Roman"/>
                <w:sz w:val="21"/>
                <w:szCs w:val="21"/>
              </w:rPr>
            </w:pPr>
            <w:r>
              <w:rPr>
                <w:rFonts w:hint="eastAsia" w:ascii="Times New Roman" w:hAnsi="Times New Roman"/>
                <w:sz w:val="21"/>
                <w:szCs w:val="21"/>
              </w:rPr>
              <w:t>偏差幅度：</w:t>
            </w:r>
          </w:p>
        </w:tc>
      </w:tr>
      <w:tr w14:paraId="43257228">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0EE3C458">
            <w:pPr>
              <w:spacing w:beforeLines="0" w:line="0" w:lineRule="atLeast"/>
              <w:jc w:val="center"/>
              <w:rPr>
                <w:rFonts w:ascii="Times New Roman" w:hAnsi="Times New Roman"/>
                <w:color w:val="000000"/>
                <w:szCs w:val="21"/>
              </w:rPr>
            </w:pPr>
            <w:r>
              <w:rPr>
                <w:rFonts w:ascii="Times New Roman" w:hAnsi="Times New Roman"/>
                <w:color w:val="000000"/>
                <w:szCs w:val="21"/>
              </w:rPr>
              <w:t>2.1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0F14EFBE">
            <w:pPr>
              <w:spacing w:beforeLines="0" w:line="0" w:lineRule="atLeast"/>
              <w:jc w:val="left"/>
              <w:rPr>
                <w:rFonts w:ascii="Times New Roman" w:hAnsi="Times New Roman"/>
                <w:color w:val="000000"/>
                <w:szCs w:val="21"/>
              </w:rPr>
            </w:pPr>
            <w:r>
              <w:rPr>
                <w:rFonts w:hint="eastAsia" w:ascii="Times New Roman" w:hAnsi="Times New Roman"/>
                <w:color w:val="000000"/>
                <w:szCs w:val="21"/>
              </w:rPr>
              <w:t>构成招标文件的其他资料</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72E82872">
            <w:pPr>
              <w:spacing w:beforeLines="0" w:line="0" w:lineRule="atLeast"/>
              <w:rPr>
                <w:rFonts w:ascii="Times New Roman" w:hAnsi="Times New Roman"/>
                <w:color w:val="000000"/>
                <w:szCs w:val="21"/>
              </w:rPr>
            </w:pPr>
            <w:r>
              <w:rPr>
                <w:rFonts w:hint="eastAsia" w:ascii="宋体" w:hAnsi="宋体" w:eastAsia="宋体" w:cs="宋体"/>
                <w:color w:val="000000"/>
                <w:szCs w:val="21"/>
                <w:lang w:val="en-US" w:eastAsia="zh-CN"/>
              </w:rPr>
              <w:t>/</w:t>
            </w:r>
          </w:p>
        </w:tc>
      </w:tr>
      <w:tr w14:paraId="42FDE7AE">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38BBA344">
            <w:pPr>
              <w:spacing w:beforeLines="0" w:line="0" w:lineRule="atLeast"/>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2.2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94AA826">
            <w:pPr>
              <w:spacing w:beforeLines="0" w:line="0" w:lineRule="atLeast"/>
              <w:jc w:val="left"/>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招标答疑</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3588B237">
            <w:pPr>
              <w:keepNext w:val="0"/>
              <w:keepLines w:val="0"/>
              <w:pageBreakBefore w:val="0"/>
              <w:widowControl w:val="0"/>
              <w:kinsoku/>
              <w:wordWrap/>
              <w:overflowPunct/>
              <w:topLinePunct w:val="0"/>
              <w:autoSpaceDE/>
              <w:autoSpaceDN/>
              <w:bidi w:val="0"/>
              <w:adjustRightInd/>
              <w:snapToGrid/>
              <w:spacing w:before="0" w:beforeLines="0" w:line="0" w:lineRule="atLeast"/>
              <w:ind w:left="0" w:leftChars="0" w:firstLine="0" w:firstLineChars="0"/>
              <w:contextualSpacing/>
              <w:jc w:val="both"/>
              <w:textAlignment w:val="auto"/>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疑问提交时间：在提交投标文件截止时间18天前提出。</w:t>
            </w:r>
          </w:p>
          <w:p w14:paraId="41B04C1E">
            <w:pPr>
              <w:keepNext w:val="0"/>
              <w:keepLines w:val="0"/>
              <w:pageBreakBefore w:val="0"/>
              <w:widowControl w:val="0"/>
              <w:kinsoku/>
              <w:wordWrap/>
              <w:overflowPunct/>
              <w:topLinePunct w:val="0"/>
              <w:autoSpaceDE/>
              <w:autoSpaceDN/>
              <w:bidi w:val="0"/>
              <w:adjustRightInd/>
              <w:snapToGrid/>
              <w:spacing w:before="0" w:beforeLines="0" w:line="0" w:lineRule="atLeast"/>
              <w:ind w:left="0" w:leftChars="0" w:firstLine="0" w:firstLineChars="0"/>
              <w:contextualSpacing/>
              <w:jc w:val="both"/>
              <w:textAlignment w:val="auto"/>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形式：投标人的疑问通过</w:t>
            </w:r>
            <w:r>
              <w:rPr>
                <w:rFonts w:hint="eastAsia" w:ascii="宋体" w:hAnsi="宋体" w:eastAsia="宋体" w:cs="Times New Roman"/>
                <w:color w:val="auto"/>
                <w:sz w:val="21"/>
                <w:szCs w:val="21"/>
                <w:u w:val="single"/>
                <w:lang w:val="en-US" w:eastAsia="zh-CN" w:bidi="ar-SA"/>
              </w:rPr>
              <w:t>广州交易集团有限公司（广州公共资源交易中心）</w:t>
            </w:r>
            <w:r>
              <w:rPr>
                <w:rFonts w:hint="eastAsia" w:ascii="宋体" w:hAnsi="宋体" w:eastAsia="宋体" w:cs="Times New Roman"/>
                <w:color w:val="auto"/>
                <w:sz w:val="21"/>
                <w:szCs w:val="21"/>
                <w:lang w:val="en-US" w:eastAsia="zh-CN" w:bidi="ar-SA"/>
              </w:rPr>
              <w:t>网站提交。</w:t>
            </w:r>
          </w:p>
          <w:p w14:paraId="6F9EB4EC">
            <w:pPr>
              <w:keepNext w:val="0"/>
              <w:keepLines w:val="0"/>
              <w:pageBreakBefore w:val="0"/>
              <w:widowControl w:val="0"/>
              <w:kinsoku/>
              <w:wordWrap/>
              <w:overflowPunct/>
              <w:topLinePunct w:val="0"/>
              <w:autoSpaceDE/>
              <w:autoSpaceDN/>
              <w:bidi w:val="0"/>
              <w:adjustRightInd/>
              <w:snapToGrid/>
              <w:spacing w:beforeLines="0" w:line="0" w:lineRule="atLeast"/>
              <w:ind w:left="0" w:leftChars="0"/>
              <w:textAlignment w:val="auto"/>
              <w:rPr>
                <w:rFonts w:ascii="Times New Roman" w:hAnsi="Times New Roman"/>
                <w:color w:val="000000"/>
                <w:szCs w:val="21"/>
              </w:rPr>
            </w:pPr>
            <w:r>
              <w:rPr>
                <w:rFonts w:hint="eastAsia" w:ascii="宋体" w:hAnsi="宋体" w:eastAsia="宋体" w:cs="Times New Roman"/>
                <w:color w:val="auto"/>
                <w:sz w:val="21"/>
                <w:szCs w:val="21"/>
                <w:lang w:val="en-US" w:eastAsia="zh-CN" w:bidi="ar-SA"/>
              </w:rPr>
              <w:t>具体要求：按照</w:t>
            </w:r>
            <w:r>
              <w:rPr>
                <w:rFonts w:hint="eastAsia" w:ascii="宋体" w:hAnsi="宋体" w:eastAsia="宋体" w:cs="Times New Roman"/>
                <w:color w:val="auto"/>
                <w:sz w:val="21"/>
                <w:szCs w:val="21"/>
                <w:u w:val="single"/>
                <w:lang w:val="en-US" w:eastAsia="zh-CN" w:bidi="ar-SA"/>
              </w:rPr>
              <w:t>广州交易集团有限公司（广州公共资源交易中心）网站</w:t>
            </w:r>
            <w:r>
              <w:rPr>
                <w:rFonts w:hint="eastAsia" w:ascii="宋体" w:hAnsi="宋体" w:eastAsia="宋体" w:cs="Times New Roman"/>
                <w:color w:val="auto"/>
                <w:sz w:val="21"/>
                <w:szCs w:val="21"/>
                <w:lang w:val="en-US" w:eastAsia="zh-CN" w:bidi="ar-SA"/>
              </w:rPr>
              <w:t>关于全流程电子化项目的相关指南进行操作，提问一律不得署名。</w:t>
            </w:r>
          </w:p>
        </w:tc>
      </w:tr>
      <w:tr w14:paraId="12E7E1FC">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2B7781AA">
            <w:pPr>
              <w:spacing w:beforeLines="0" w:line="0" w:lineRule="atLeast"/>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2.3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5962830A">
            <w:pPr>
              <w:spacing w:beforeLines="0" w:line="0" w:lineRule="atLeast"/>
              <w:jc w:val="left"/>
              <w:rPr>
                <w:rFonts w:hint="eastAsia" w:ascii="Times New Roman" w:hAnsi="Times New Roman"/>
                <w:color w:val="000000"/>
                <w:szCs w:val="21"/>
                <w:lang w:eastAsia="zh-CN"/>
              </w:rPr>
            </w:pPr>
            <w:r>
              <w:rPr>
                <w:rFonts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ascii="宋体" w:hAnsi="宋体" w:eastAsia="宋体" w:cs="宋体"/>
                <w:color w:val="auto"/>
                <w:spacing w:val="-1"/>
                <w:sz w:val="21"/>
                <w:szCs w:val="21"/>
                <w:highlight w:val="none"/>
              </w:rPr>
              <w:t>修改</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2DAEDF6F">
            <w:pPr>
              <w:spacing w:beforeLines="0" w:line="0" w:lineRule="atLeas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招标文件的修改期限：在投标截止时间</w:t>
            </w:r>
            <w:r>
              <w:rPr>
                <w:rFonts w:hint="eastAsia" w:ascii="宋体" w:hAnsi="宋体" w:eastAsia="宋体" w:cs="Times New Roman"/>
                <w:color w:val="auto"/>
                <w:sz w:val="21"/>
                <w:szCs w:val="21"/>
                <w:u w:val="single"/>
                <w:lang w:val="en-US" w:eastAsia="zh-CN" w:bidi="ar-SA"/>
              </w:rPr>
              <w:t xml:space="preserve"> 15</w:t>
            </w:r>
            <w:r>
              <w:rPr>
                <w:rFonts w:hint="eastAsia" w:ascii="宋体" w:hAnsi="宋体" w:eastAsia="宋体" w:cs="Times New Roman"/>
                <w:color w:val="auto"/>
                <w:sz w:val="21"/>
                <w:szCs w:val="21"/>
                <w:lang w:val="en-US" w:eastAsia="zh-CN" w:bidi="ar-SA"/>
              </w:rPr>
              <w:t xml:space="preserve"> 天前</w:t>
            </w:r>
          </w:p>
        </w:tc>
      </w:tr>
      <w:tr w14:paraId="09952DF1">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4CD28CDE">
            <w:pPr>
              <w:spacing w:beforeLines="0" w:line="0" w:lineRule="atLeast"/>
              <w:jc w:val="center"/>
              <w:rPr>
                <w:rFonts w:ascii="Times New Roman" w:hAnsi="Times New Roman"/>
                <w:color w:val="000000"/>
                <w:szCs w:val="21"/>
              </w:rPr>
            </w:pPr>
            <w:r>
              <w:rPr>
                <w:rFonts w:ascii="Times New Roman" w:hAnsi="Times New Roman"/>
                <w:color w:val="000000"/>
                <w:szCs w:val="21"/>
              </w:rPr>
              <w:t>3.1.1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0EA1FA49">
            <w:pPr>
              <w:spacing w:beforeLines="0" w:line="0" w:lineRule="atLeast"/>
              <w:jc w:val="left"/>
              <w:rPr>
                <w:rFonts w:ascii="Times New Roman" w:hAnsi="Times New Roman"/>
                <w:color w:val="000000"/>
                <w:szCs w:val="21"/>
              </w:rPr>
            </w:pPr>
            <w:r>
              <w:rPr>
                <w:rFonts w:hint="eastAsia" w:ascii="Times New Roman" w:hAnsi="Times New Roman"/>
                <w:color w:val="000000"/>
                <w:szCs w:val="21"/>
              </w:rPr>
              <w:t>构成投标文件的其他资料</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685C519C">
            <w:pPr>
              <w:spacing w:beforeLines="0" w:line="0" w:lineRule="atLeast"/>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满足本项目评审要求的其他资料。</w:t>
            </w:r>
          </w:p>
        </w:tc>
      </w:tr>
      <w:tr w14:paraId="1F6B1ACB">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45A04B9B">
            <w:pPr>
              <w:spacing w:beforeLines="0" w:line="0" w:lineRule="atLeast"/>
              <w:jc w:val="center"/>
              <w:rPr>
                <w:rFonts w:ascii="Times New Roman" w:hAnsi="Times New Roman"/>
                <w:color w:val="000000"/>
                <w:szCs w:val="21"/>
              </w:rPr>
            </w:pPr>
            <w:r>
              <w:rPr>
                <w:rFonts w:ascii="Times New Roman" w:hAnsi="Times New Roman"/>
                <w:color w:val="000000"/>
                <w:szCs w:val="21"/>
              </w:rPr>
              <w:t>3.2.1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39588059">
            <w:pPr>
              <w:spacing w:beforeLines="0" w:line="0" w:lineRule="atLeast"/>
              <w:jc w:val="left"/>
              <w:rPr>
                <w:rFonts w:ascii="Times New Roman" w:hAnsi="Times New Roman"/>
                <w:color w:val="000000"/>
                <w:szCs w:val="21"/>
              </w:rPr>
            </w:pPr>
            <w:r>
              <w:rPr>
                <w:rFonts w:hint="eastAsia" w:ascii="Times New Roman" w:hAnsi="Times New Roman"/>
                <w:color w:val="000000"/>
                <w:szCs w:val="21"/>
              </w:rPr>
              <w:t>增值税税金的计算方法</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41C2150B">
            <w:pPr>
              <w:spacing w:beforeLines="0" w:line="0" w:lineRule="atLeast"/>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w:t>
            </w:r>
          </w:p>
        </w:tc>
      </w:tr>
      <w:tr w14:paraId="5832BF73">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24095146">
            <w:pPr>
              <w:spacing w:beforeLines="0" w:line="0" w:lineRule="atLeast"/>
              <w:jc w:val="center"/>
              <w:rPr>
                <w:rFonts w:ascii="Times New Roman" w:hAnsi="Times New Roman"/>
                <w:color w:val="000000"/>
                <w:szCs w:val="21"/>
              </w:rPr>
            </w:pPr>
            <w:r>
              <w:rPr>
                <w:rFonts w:ascii="Times New Roman" w:hAnsi="Times New Roman"/>
                <w:color w:val="000000"/>
                <w:szCs w:val="21"/>
              </w:rPr>
              <w:t>3.2.3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05F6D421">
            <w:pPr>
              <w:spacing w:beforeLines="0" w:line="0" w:lineRule="atLeast"/>
              <w:jc w:val="left"/>
              <w:rPr>
                <w:rFonts w:ascii="Times New Roman" w:hAnsi="Times New Roman"/>
                <w:color w:val="000000"/>
                <w:szCs w:val="21"/>
              </w:rPr>
            </w:pPr>
            <w:r>
              <w:rPr>
                <w:rFonts w:hint="eastAsia" w:ascii="Times New Roman" w:hAnsi="Times New Roman"/>
                <w:color w:val="000000"/>
                <w:szCs w:val="21"/>
              </w:rPr>
              <w:t>报价方式</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2F17B332">
            <w:pPr>
              <w:spacing w:beforeLines="0" w:line="0" w:lineRule="atLeast"/>
              <w:rPr>
                <w:rFonts w:ascii="Times New Roman" w:hAnsi="Times New Roman"/>
                <w:color w:val="000000"/>
                <w:szCs w:val="21"/>
              </w:rPr>
            </w:pPr>
            <w:r>
              <w:rPr>
                <w:rFonts w:hint="eastAsia" w:ascii="宋体" w:hAnsi="宋体" w:cs="宋体"/>
                <w:szCs w:val="21"/>
                <w:highlight w:val="none"/>
              </w:rPr>
              <w:t>各投标单位在最高投标限价内根据企业自身实力进行报价（以元为单位，保留两位小数，第三位小数四舍五入）。</w:t>
            </w:r>
          </w:p>
        </w:tc>
      </w:tr>
      <w:tr w14:paraId="239FC6B2">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43D18C4A">
            <w:pPr>
              <w:spacing w:beforeLines="0" w:line="0" w:lineRule="atLeast"/>
              <w:jc w:val="center"/>
              <w:rPr>
                <w:rFonts w:ascii="Times New Roman" w:hAnsi="Times New Roman"/>
                <w:color w:val="000000"/>
                <w:szCs w:val="21"/>
              </w:rPr>
            </w:pPr>
            <w:r>
              <w:rPr>
                <w:rFonts w:ascii="Times New Roman" w:hAnsi="Times New Roman"/>
                <w:color w:val="000000"/>
                <w:szCs w:val="21"/>
              </w:rPr>
              <w:t>3.2.4</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C2B01DA">
            <w:pPr>
              <w:spacing w:beforeLines="0" w:line="0" w:lineRule="atLeast"/>
              <w:jc w:val="left"/>
              <w:rPr>
                <w:rFonts w:ascii="Times New Roman" w:hAnsi="Times New Roman"/>
                <w:color w:val="000000"/>
                <w:szCs w:val="21"/>
              </w:rPr>
            </w:pPr>
            <w:r>
              <w:rPr>
                <w:rFonts w:hint="eastAsia" w:ascii="Times New Roman" w:hAnsi="Times New Roman"/>
                <w:color w:val="000000"/>
                <w:szCs w:val="21"/>
              </w:rPr>
              <w:t>最高投标限价</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190C1583">
            <w:pPr>
              <w:spacing w:beforeLines="0" w:line="0" w:lineRule="atLeast"/>
              <w:rPr>
                <w:rFonts w:ascii="Times New Roman" w:hAnsi="Times New Roman"/>
                <w:color w:val="000000"/>
                <w:szCs w:val="21"/>
                <w:highlight w:val="none"/>
              </w:rPr>
            </w:pPr>
            <w:r>
              <w:rPr>
                <w:rFonts w:ascii="Times New Roman" w:hAnsi="Times New Roman"/>
                <w:sz w:val="21"/>
                <w:szCs w:val="21"/>
                <w:highlight w:val="none"/>
              </w:rPr>
              <w:sym w:font="Wingdings 2" w:char="00A3"/>
            </w:r>
            <w:r>
              <w:rPr>
                <w:rFonts w:hint="eastAsia" w:ascii="Times New Roman" w:hAnsi="Times New Roman"/>
                <w:szCs w:val="21"/>
                <w:highlight w:val="none"/>
              </w:rPr>
              <w:t>无</w:t>
            </w:r>
          </w:p>
          <w:p w14:paraId="6E180DED">
            <w:pPr>
              <w:spacing w:beforeLines="0" w:line="0" w:lineRule="atLeast"/>
              <w:rPr>
                <w:rFonts w:hint="eastAsia" w:ascii="宋体" w:hAnsi="宋体" w:cs="宋体"/>
                <w:szCs w:val="21"/>
                <w:highlight w:val="none"/>
              </w:rPr>
            </w:pPr>
            <w:r>
              <w:rPr>
                <w:rFonts w:ascii="Times New Roman" w:hAnsi="Times New Roman"/>
                <w:sz w:val="21"/>
                <w:szCs w:val="21"/>
                <w:highlight w:val="none"/>
              </w:rPr>
              <w:sym w:font="Wingdings 2" w:char="0052"/>
            </w:r>
            <w:r>
              <w:rPr>
                <w:rFonts w:hint="eastAsia" w:ascii="Times New Roman" w:hAnsi="Times New Roman"/>
                <w:szCs w:val="21"/>
                <w:highlight w:val="none"/>
              </w:rPr>
              <w:t>有，最高投标限价：</w:t>
            </w:r>
            <w:r>
              <w:rPr>
                <w:rFonts w:hint="eastAsia" w:ascii="宋体" w:hAnsi="宋体" w:cs="宋体"/>
                <w:color w:val="auto"/>
                <w:sz w:val="24"/>
                <w:szCs w:val="24"/>
                <w:highlight w:val="none"/>
                <w:u w:val="single"/>
                <w:lang w:val="en-US" w:eastAsia="zh-CN"/>
              </w:rPr>
              <w:t>12446964.00</w:t>
            </w:r>
            <w:r>
              <w:rPr>
                <w:rFonts w:hint="default" w:ascii="宋体" w:hAnsi="宋体" w:eastAsia="宋体"/>
                <w:color w:val="auto"/>
                <w:sz w:val="21"/>
                <w:szCs w:val="21"/>
                <w:highlight w:val="none"/>
                <w:u w:val="single"/>
                <w:lang w:val="en-US" w:eastAsia="zh-CN"/>
              </w:rPr>
              <w:t>元</w:t>
            </w:r>
            <w:r>
              <w:rPr>
                <w:rFonts w:hint="eastAsia" w:ascii="宋体" w:hAnsi="宋体" w:cs="宋体"/>
                <w:szCs w:val="21"/>
                <w:highlight w:val="none"/>
              </w:rPr>
              <w:t>。</w:t>
            </w:r>
          </w:p>
          <w:p w14:paraId="1C628E6B">
            <w:pPr>
              <w:spacing w:beforeLines="0" w:line="0" w:lineRule="atLeast"/>
              <w:rPr>
                <w:highlight w:val="none"/>
              </w:rPr>
            </w:pPr>
            <w:r>
              <w:rPr>
                <w:rFonts w:hint="eastAsia" w:ascii="宋体" w:hAnsi="宋体" w:eastAsia="宋体" w:cs="宋体"/>
                <w:b/>
                <w:bCs/>
                <w:szCs w:val="21"/>
                <w:highlight w:val="none"/>
              </w:rPr>
              <w:t>本项目实行双限价，即：投标人的投标总报价及综合单价都不能超过招标人公布的最高投标限价或综合单价最高投标限价，具体详见投标报价清单，投标总报价或综合单价超过所公布的最高投标限价或综合单价最高投标限价的投标文件将被拒绝。</w:t>
            </w:r>
          </w:p>
        </w:tc>
      </w:tr>
      <w:tr w14:paraId="17EC3346">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7BB60EB1">
            <w:pPr>
              <w:spacing w:beforeLines="0" w:line="0" w:lineRule="atLeast"/>
              <w:jc w:val="center"/>
              <w:rPr>
                <w:rFonts w:ascii="Times New Roman" w:hAnsi="Times New Roman"/>
                <w:color w:val="000000"/>
                <w:szCs w:val="21"/>
              </w:rPr>
            </w:pPr>
            <w:r>
              <w:rPr>
                <w:rFonts w:ascii="Times New Roman" w:hAnsi="Times New Roman"/>
                <w:color w:val="000000"/>
                <w:szCs w:val="21"/>
              </w:rPr>
              <w:t>3.2.5</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8D13334">
            <w:pPr>
              <w:spacing w:beforeLines="0" w:line="0" w:lineRule="atLeast"/>
              <w:jc w:val="left"/>
              <w:rPr>
                <w:rFonts w:ascii="Times New Roman" w:hAnsi="Times New Roman"/>
                <w:color w:val="000000"/>
                <w:szCs w:val="21"/>
              </w:rPr>
            </w:pPr>
            <w:r>
              <w:rPr>
                <w:rFonts w:hint="eastAsia" w:ascii="Times New Roman" w:hAnsi="Times New Roman"/>
                <w:color w:val="000000"/>
                <w:szCs w:val="21"/>
              </w:rPr>
              <w:t>投标报价的其他要求</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382C2E8D">
            <w:pPr>
              <w:spacing w:beforeLines="0" w:line="0" w:lineRule="atLeast"/>
              <w:rPr>
                <w:rFonts w:hint="eastAsia" w:ascii="Times New Roman" w:hAnsi="Times New Roman"/>
                <w:color w:val="000000"/>
                <w:szCs w:val="21"/>
                <w:highlight w:val="none"/>
              </w:rPr>
            </w:pPr>
            <w:r>
              <w:rPr>
                <w:rFonts w:hint="eastAsia" w:ascii="Times New Roman" w:hAnsi="Times New Roman"/>
                <w:color w:val="000000"/>
                <w:szCs w:val="21"/>
                <w:highlight w:val="none"/>
              </w:rPr>
              <w:t>本项目设置成本警戒价</w:t>
            </w:r>
          </w:p>
          <w:p w14:paraId="54B1E478">
            <w:pPr>
              <w:spacing w:beforeLines="0" w:line="0" w:lineRule="atLeast"/>
              <w:rPr>
                <w:rFonts w:hint="eastAsia" w:ascii="Times New Roman" w:hAnsi="Times New Roman"/>
                <w:color w:val="000000"/>
                <w:szCs w:val="21"/>
                <w:highlight w:val="none"/>
              </w:rPr>
            </w:pPr>
            <w:r>
              <w:rPr>
                <w:rFonts w:hint="eastAsia" w:ascii="Times New Roman" w:hAnsi="Times New Roman"/>
                <w:color w:val="000000"/>
                <w:szCs w:val="21"/>
                <w:highlight w:val="none"/>
              </w:rPr>
              <w:t>成本警</w:t>
            </w:r>
            <w:r>
              <w:rPr>
                <w:rFonts w:hint="eastAsia" w:ascii="宋体" w:hAnsi="宋体" w:cs="宋体"/>
                <w:color w:val="000000"/>
                <w:szCs w:val="21"/>
                <w:highlight w:val="none"/>
              </w:rPr>
              <w:t>戒价为</w:t>
            </w:r>
            <w:r>
              <w:rPr>
                <w:rFonts w:hint="eastAsia" w:ascii="宋体" w:hAnsi="宋体" w:cs="宋体"/>
                <w:color w:val="000000"/>
                <w:szCs w:val="21"/>
                <w:highlight w:val="none"/>
                <w:u w:val="single"/>
                <w:lang w:val="en-US" w:eastAsia="zh-CN"/>
              </w:rPr>
              <w:t>11202267.60</w:t>
            </w:r>
            <w:r>
              <w:rPr>
                <w:rFonts w:hint="eastAsia" w:ascii="宋体" w:hAnsi="宋体" w:cs="宋体"/>
                <w:color w:val="000000"/>
                <w:szCs w:val="21"/>
                <w:highlight w:val="none"/>
              </w:rPr>
              <w:t>元（按招标控制价的90%设置）。</w:t>
            </w:r>
          </w:p>
          <w:p w14:paraId="52C5A926">
            <w:pPr>
              <w:spacing w:beforeLines="0" w:line="0" w:lineRule="atLeast"/>
              <w:rPr>
                <w:rFonts w:ascii="Times New Roman" w:hAnsi="Times New Roman"/>
                <w:color w:val="000000"/>
                <w:szCs w:val="21"/>
                <w:highlight w:val="none"/>
              </w:rPr>
            </w:pPr>
            <w:r>
              <w:rPr>
                <w:rFonts w:hint="eastAsia" w:ascii="Times New Roman" w:hAnsi="Times New Roman"/>
                <w:color w:val="000000"/>
                <w:szCs w:val="21"/>
                <w:highlight w:val="none"/>
              </w:rPr>
              <w:t>对低于该警戒价的投标报价，投标人必须提供详细的服务方案、单价、措施性费用、单价分析表、主要材料价格表、投标人成本分析供评标委员会评审，由评标委员会判定其是否低于企业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357A61A2">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1310955D">
            <w:pPr>
              <w:spacing w:beforeLines="0" w:line="0" w:lineRule="atLeast"/>
              <w:jc w:val="center"/>
              <w:rPr>
                <w:rFonts w:ascii="Times New Roman" w:hAnsi="Times New Roman"/>
                <w:color w:val="000000"/>
                <w:szCs w:val="21"/>
              </w:rPr>
            </w:pPr>
            <w:r>
              <w:rPr>
                <w:rFonts w:ascii="Times New Roman" w:hAnsi="Times New Roman"/>
                <w:color w:val="000000"/>
                <w:szCs w:val="21"/>
              </w:rPr>
              <w:t>3.3.1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0E75D253">
            <w:pPr>
              <w:spacing w:beforeLines="0" w:line="0" w:lineRule="atLeast"/>
              <w:jc w:val="left"/>
              <w:rPr>
                <w:rFonts w:ascii="Times New Roman" w:hAnsi="Times New Roman"/>
                <w:color w:val="000000"/>
                <w:szCs w:val="21"/>
              </w:rPr>
            </w:pPr>
            <w:r>
              <w:rPr>
                <w:rFonts w:hint="eastAsia" w:ascii="Times New Roman" w:hAnsi="Times New Roman"/>
                <w:color w:val="000000"/>
                <w:szCs w:val="21"/>
              </w:rPr>
              <w:t>投标有效期</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72383A05">
            <w:pPr>
              <w:spacing w:beforeLines="0" w:line="0" w:lineRule="atLeast"/>
              <w:rPr>
                <w:rFonts w:hint="eastAsia" w:ascii="宋体" w:hAnsi="宋体" w:eastAsia="宋体" w:cs="宋体"/>
                <w:color w:val="000000"/>
                <w:szCs w:val="21"/>
              </w:rPr>
            </w:pPr>
            <w:r>
              <w:rPr>
                <w:rFonts w:hint="eastAsia" w:ascii="宋体" w:hAnsi="宋体" w:eastAsia="宋体" w:cs="宋体"/>
                <w:color w:val="auto"/>
                <w:sz w:val="21"/>
                <w:szCs w:val="21"/>
                <w:highlight w:val="none"/>
                <w:u w:val="single"/>
                <w:lang w:val="en-US" w:eastAsia="zh-CN"/>
              </w:rPr>
              <w:t>180</w:t>
            </w:r>
            <w:r>
              <w:rPr>
                <w:rFonts w:hint="eastAsia" w:ascii="宋体" w:hAnsi="宋体" w:eastAsia="宋体" w:cs="宋体"/>
                <w:color w:val="auto"/>
                <w:sz w:val="21"/>
                <w:szCs w:val="21"/>
                <w:highlight w:val="none"/>
              </w:rPr>
              <w:t>日历天（从投标截止之日计起）</w:t>
            </w:r>
          </w:p>
        </w:tc>
      </w:tr>
      <w:tr w14:paraId="02AE6A6D">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4F18B774">
            <w:pPr>
              <w:spacing w:beforeLines="0" w:line="0" w:lineRule="atLeast"/>
              <w:jc w:val="center"/>
              <w:rPr>
                <w:rFonts w:ascii="Times New Roman" w:hAnsi="Times New Roman"/>
                <w:color w:val="000000"/>
              </w:rPr>
            </w:pPr>
            <w:r>
              <w:rPr>
                <w:rFonts w:ascii="Times New Roman" w:hAnsi="Times New Roman"/>
                <w:color w:val="000000"/>
              </w:rPr>
              <w:t>3.4.1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177FB21">
            <w:pPr>
              <w:spacing w:beforeLines="0" w:line="0" w:lineRule="atLeast"/>
              <w:jc w:val="left"/>
              <w:rPr>
                <w:rFonts w:ascii="Times New Roman" w:hAnsi="Times New Roman"/>
                <w:color w:val="000000"/>
              </w:rPr>
            </w:pPr>
            <w:r>
              <w:rPr>
                <w:rFonts w:hint="eastAsia" w:ascii="Times New Roman" w:hAnsi="Times New Roman"/>
                <w:color w:val="000000"/>
              </w:rPr>
              <w:t>投标保证金</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40EABF5F">
            <w:pPr>
              <w:pStyle w:val="10"/>
              <w:keepNext w:val="0"/>
              <w:keepLines w:val="0"/>
              <w:pageBreakBefore w:val="0"/>
              <w:widowControl w:val="0"/>
              <w:kinsoku/>
              <w:wordWrap/>
              <w:overflowPunct/>
              <w:topLinePunct/>
              <w:autoSpaceDE/>
              <w:autoSpaceDN/>
              <w:bidi w:val="0"/>
              <w:adjustRightInd/>
              <w:snapToGrid/>
              <w:spacing w:beforeLines="0" w:after="0" w:line="0" w:lineRule="atLeast"/>
              <w:textAlignment w:val="auto"/>
              <w:rPr>
                <w:rFonts w:hint="eastAsia" w:ascii="宋体" w:hAnsi="宋体" w:eastAsia="宋体" w:cs="宋体"/>
                <w:color w:val="000000"/>
                <w:sz w:val="21"/>
                <w:szCs w:val="21"/>
              </w:rPr>
            </w:pPr>
            <w:r>
              <w:rPr>
                <w:rFonts w:hint="eastAsia" w:ascii="宋体" w:hAnsi="宋体" w:eastAsia="宋体" w:cs="宋体"/>
                <w:sz w:val="21"/>
                <w:szCs w:val="21"/>
              </w:rPr>
              <w:t>是否要求投标人递交投标保证金：</w:t>
            </w:r>
          </w:p>
          <w:p w14:paraId="15E45078">
            <w:pPr>
              <w:pStyle w:val="10"/>
              <w:keepNext w:val="0"/>
              <w:keepLines w:val="0"/>
              <w:pageBreakBefore w:val="0"/>
              <w:widowControl w:val="0"/>
              <w:kinsoku/>
              <w:wordWrap/>
              <w:overflowPunct/>
              <w:topLinePunct/>
              <w:autoSpaceDE/>
              <w:autoSpaceDN/>
              <w:bidi w:val="0"/>
              <w:adjustRightInd/>
              <w:snapToGrid/>
              <w:spacing w:beforeLines="0" w:after="0" w:line="0" w:lineRule="atLeast"/>
              <w:textAlignment w:val="auto"/>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要求，</w:t>
            </w:r>
            <w:r>
              <w:rPr>
                <w:rFonts w:hint="eastAsia" w:ascii="宋体" w:hAnsi="宋体" w:eastAsia="宋体" w:cs="宋体"/>
                <w:color w:val="000000"/>
                <w:sz w:val="21"/>
                <w:szCs w:val="21"/>
              </w:rPr>
              <w:t>投标保证金的金额：</w:t>
            </w:r>
          </w:p>
          <w:p w14:paraId="1C08CC08">
            <w:pPr>
              <w:keepNext w:val="0"/>
              <w:keepLines w:val="0"/>
              <w:pageBreakBefore w:val="0"/>
              <w:widowControl w:val="0"/>
              <w:kinsoku/>
              <w:wordWrap/>
              <w:overflowPunct/>
              <w:autoSpaceDE/>
              <w:autoSpaceDN/>
              <w:bidi w:val="0"/>
              <w:adjustRightInd/>
              <w:snapToGrid/>
              <w:spacing w:beforeLines="0" w:line="0" w:lineRule="atLeast"/>
              <w:ind w:firstLine="840" w:firstLineChars="4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投标保证金的形式：</w:t>
            </w:r>
          </w:p>
          <w:p w14:paraId="22D911AC">
            <w:pPr>
              <w:pStyle w:val="10"/>
              <w:keepNext w:val="0"/>
              <w:keepLines w:val="0"/>
              <w:pageBreakBefore w:val="0"/>
              <w:widowControl w:val="0"/>
              <w:kinsoku/>
              <w:wordWrap/>
              <w:overflowPunct/>
              <w:topLinePunct/>
              <w:autoSpaceDE/>
              <w:autoSpaceDN/>
              <w:bidi w:val="0"/>
              <w:adjustRightInd/>
              <w:snapToGrid/>
              <w:spacing w:beforeLines="0" w:after="0" w:line="0" w:lineRule="atLeast"/>
              <w:textAlignment w:val="auto"/>
              <w:rPr>
                <w:rFonts w:hint="eastAsia" w:ascii="宋体" w:hAnsi="宋体" w:eastAsia="宋体" w:cs="宋体"/>
                <w:sz w:val="21"/>
                <w:szCs w:val="21"/>
              </w:rPr>
            </w:pPr>
            <w:r>
              <w:rPr>
                <w:rFonts w:hint="eastAsia" w:ascii="宋体" w:hAnsi="宋体" w:eastAsia="宋体" w:cs="宋体"/>
                <w:sz w:val="21"/>
                <w:szCs w:val="21"/>
              </w:rPr>
              <w:sym w:font="Wingdings 2" w:char="0052"/>
            </w:r>
            <w:r>
              <w:rPr>
                <w:rFonts w:hint="eastAsia" w:ascii="宋体" w:hAnsi="宋体" w:eastAsia="宋体" w:cs="宋体"/>
                <w:sz w:val="21"/>
                <w:szCs w:val="21"/>
              </w:rPr>
              <w:t>不要求</w:t>
            </w:r>
          </w:p>
          <w:p w14:paraId="71A27EDD">
            <w:pPr>
              <w:pStyle w:val="10"/>
              <w:keepNext w:val="0"/>
              <w:keepLines w:val="0"/>
              <w:pageBreakBefore w:val="0"/>
              <w:widowControl w:val="0"/>
              <w:kinsoku/>
              <w:wordWrap/>
              <w:overflowPunct/>
              <w:topLinePunct/>
              <w:autoSpaceDE/>
              <w:autoSpaceDN/>
              <w:bidi w:val="0"/>
              <w:adjustRightInd/>
              <w:snapToGrid/>
              <w:spacing w:beforeLines="0" w:after="0" w:line="0" w:lineRule="atLeast"/>
              <w:textAlignment w:val="auto"/>
              <w:rPr>
                <w:rFonts w:hint="eastAsia" w:ascii="宋体" w:hAnsi="宋体" w:eastAsia="宋体" w:cs="宋体"/>
                <w:sz w:val="21"/>
                <w:szCs w:val="21"/>
              </w:rPr>
            </w:pPr>
            <w:r>
              <w:rPr>
                <w:rFonts w:hint="eastAsia" w:ascii="宋体" w:hAnsi="宋体" w:eastAsia="宋体" w:cs="宋体"/>
                <w:sz w:val="21"/>
                <w:szCs w:val="21"/>
              </w:rPr>
              <w:t>1、提供《关于投标保证金的承诺》（详见第七章投标文件格式）。</w:t>
            </w:r>
          </w:p>
          <w:p w14:paraId="663CCEA1">
            <w:pPr>
              <w:pStyle w:val="10"/>
              <w:keepNext w:val="0"/>
              <w:keepLines w:val="0"/>
              <w:pageBreakBefore w:val="0"/>
              <w:widowControl w:val="0"/>
              <w:kinsoku/>
              <w:wordWrap/>
              <w:overflowPunct/>
              <w:topLinePunct/>
              <w:autoSpaceDE/>
              <w:autoSpaceDN/>
              <w:bidi w:val="0"/>
              <w:adjustRightInd/>
              <w:snapToGrid/>
              <w:spacing w:beforeLines="0" w:after="0" w:line="0" w:lineRule="atLeast"/>
              <w:textAlignment w:val="auto"/>
              <w:rPr>
                <w:rFonts w:hint="eastAsia" w:ascii="宋体" w:hAnsi="宋体" w:eastAsia="宋体" w:cs="宋体"/>
                <w:sz w:val="21"/>
                <w:szCs w:val="21"/>
              </w:rPr>
            </w:pPr>
            <w:r>
              <w:rPr>
                <w:rFonts w:hint="eastAsia" w:ascii="宋体" w:hAnsi="宋体" w:eastAsia="宋体" w:cs="宋体"/>
                <w:sz w:val="21"/>
                <w:szCs w:val="21"/>
              </w:rPr>
              <w:t>2、对于投标人已提供《关于投标保证金的承诺》，若投标人在中标后存在下列情形:(1)未能在规定期限内按要求提交履约担保;(2)未能在规定期限内签署合同协议。则投标人应按照招标人的要求在发现上述情形之日起5个工作日内补交人民币</w:t>
            </w:r>
            <w:r>
              <w:rPr>
                <w:rFonts w:hint="eastAsia" w:ascii="宋体" w:hAnsi="宋体" w:eastAsia="宋体" w:cs="宋体"/>
                <w:sz w:val="21"/>
                <w:szCs w:val="21"/>
                <w:lang w:val="en-US" w:eastAsia="zh-CN"/>
              </w:rPr>
              <w:t>10</w:t>
            </w:r>
            <w:r>
              <w:rPr>
                <w:rFonts w:hint="eastAsia" w:ascii="宋体" w:hAnsi="宋体" w:eastAsia="宋体" w:cs="宋体"/>
                <w:sz w:val="21"/>
                <w:szCs w:val="21"/>
              </w:rPr>
              <w:t>万元投标保证金，若未按要求补交投标保证金的，将暂停其参与招标人后续工程投标，直至完成补交手续为止。</w:t>
            </w:r>
          </w:p>
          <w:p w14:paraId="1149A531">
            <w:pPr>
              <w:pStyle w:val="15"/>
              <w:keepNext w:val="0"/>
              <w:keepLines w:val="0"/>
              <w:pageBreakBefore w:val="0"/>
              <w:widowControl w:val="0"/>
              <w:kinsoku/>
              <w:wordWrap/>
              <w:overflowPunct/>
              <w:autoSpaceDE/>
              <w:autoSpaceDN/>
              <w:bidi w:val="0"/>
              <w:adjustRightInd/>
              <w:snapToGrid/>
              <w:spacing w:beforeLines="0" w:line="0" w:lineRule="atLeast"/>
              <w:jc w:val="both"/>
              <w:textAlignment w:val="auto"/>
              <w:rPr>
                <w:rFonts w:hint="eastAsia" w:ascii="宋体" w:hAnsi="宋体" w:eastAsia="宋体" w:cs="宋体"/>
                <w:snapToGrid/>
                <w:color w:val="auto"/>
                <w:sz w:val="21"/>
                <w:szCs w:val="21"/>
                <w:highlight w:val="none"/>
                <w:u w:val="none"/>
                <w:lang w:val="en-US" w:eastAsia="zh-CN" w:bidi="ar-SA"/>
              </w:rPr>
            </w:pPr>
            <w:r>
              <w:rPr>
                <w:rFonts w:hint="eastAsia" w:ascii="宋体" w:hAnsi="宋体" w:eastAsia="宋体" w:cs="宋体"/>
                <w:snapToGrid/>
                <w:color w:val="auto"/>
                <w:sz w:val="21"/>
                <w:szCs w:val="21"/>
                <w:highlight w:val="none"/>
                <w:u w:val="none"/>
                <w:lang w:val="en-US" w:eastAsia="zh-CN" w:bidi="ar-SA"/>
              </w:rPr>
              <w:t>注：1、投标保证金不得超过招标项目估算价的2%。投标保证金有效期应当与投标有效期一致。（投标保证金金额根据《中华人民共和国招标投标法实施条例》第二十六条）。</w:t>
            </w:r>
          </w:p>
          <w:p w14:paraId="36324578">
            <w:pPr>
              <w:pStyle w:val="15"/>
              <w:keepNext w:val="0"/>
              <w:keepLines w:val="0"/>
              <w:pageBreakBefore w:val="0"/>
              <w:widowControl w:val="0"/>
              <w:kinsoku/>
              <w:wordWrap/>
              <w:overflowPunct/>
              <w:autoSpaceDE/>
              <w:autoSpaceDN/>
              <w:bidi w:val="0"/>
              <w:adjustRightInd/>
              <w:snapToGrid/>
              <w:spacing w:beforeLines="0" w:line="0" w:lineRule="atLeast"/>
              <w:jc w:val="both"/>
              <w:textAlignment w:val="auto"/>
              <w:rPr>
                <w:rFonts w:hint="eastAsia" w:ascii="宋体" w:hAnsi="宋体" w:eastAsia="宋体" w:cs="宋体"/>
                <w:snapToGrid/>
                <w:color w:val="auto"/>
                <w:sz w:val="21"/>
                <w:szCs w:val="21"/>
                <w:highlight w:val="none"/>
                <w:u w:val="none"/>
                <w:lang w:val="en-US" w:eastAsia="zh-CN" w:bidi="ar-SA"/>
              </w:rPr>
            </w:pPr>
            <w:r>
              <w:rPr>
                <w:rFonts w:hint="eastAsia" w:ascii="宋体" w:hAnsi="宋体" w:eastAsia="宋体" w:cs="宋体"/>
                <w:snapToGrid/>
                <w:color w:val="auto"/>
                <w:sz w:val="21"/>
                <w:szCs w:val="21"/>
                <w:highlight w:val="none"/>
                <w:u w:val="none"/>
                <w:lang w:val="en-US" w:eastAsia="zh-CN" w:bidi="ar-SA"/>
              </w:rPr>
              <w:t>2、</w:t>
            </w:r>
            <w:r>
              <w:rPr>
                <w:rFonts w:hint="eastAsia" w:ascii="宋体" w:hAnsi="宋体" w:eastAsia="宋体" w:cs="宋体"/>
                <w:i w:val="0"/>
                <w:iCs w:val="0"/>
                <w:caps w:val="0"/>
                <w:color w:val="auto"/>
                <w:spacing w:val="0"/>
                <w:sz w:val="21"/>
                <w:szCs w:val="21"/>
                <w:highlight w:val="none"/>
              </w:rPr>
              <w:t>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作，全面推行保函替代现金保证金，免收政府投资项目投标保证金，鼓励政府投资项目以外的招标项目减免投标保证金</w:t>
            </w:r>
            <w:r>
              <w:rPr>
                <w:rFonts w:hint="eastAsia" w:ascii="宋体" w:hAnsi="宋体" w:eastAsia="宋体" w:cs="宋体"/>
                <w:i w:val="0"/>
                <w:iCs w:val="0"/>
                <w:caps w:val="0"/>
                <w:color w:val="auto"/>
                <w:spacing w:val="0"/>
                <w:sz w:val="21"/>
                <w:szCs w:val="21"/>
                <w:highlight w:val="none"/>
                <w:shd w:val="clear" w:color="auto" w:fill="FFFFFF"/>
                <w:lang w:val="en-US" w:eastAsia="zh-CN"/>
              </w:rPr>
              <w:t>。</w:t>
            </w:r>
          </w:p>
          <w:p w14:paraId="396D5411">
            <w:pPr>
              <w:pStyle w:val="10"/>
              <w:keepNext w:val="0"/>
              <w:keepLines w:val="0"/>
              <w:pageBreakBefore w:val="0"/>
              <w:widowControl w:val="0"/>
              <w:kinsoku/>
              <w:wordWrap/>
              <w:overflowPunct/>
              <w:topLinePunct/>
              <w:autoSpaceDE/>
              <w:autoSpaceDN/>
              <w:bidi w:val="0"/>
              <w:adjustRightInd/>
              <w:snapToGrid/>
              <w:spacing w:beforeLines="0" w:after="0" w:line="0" w:lineRule="atLeast"/>
              <w:textAlignment w:val="auto"/>
              <w:rPr>
                <w:rFonts w:hint="eastAsia" w:ascii="宋体" w:hAnsi="宋体" w:eastAsia="宋体" w:cs="宋体"/>
                <w:sz w:val="21"/>
                <w:szCs w:val="22"/>
              </w:rPr>
            </w:pPr>
            <w:r>
              <w:rPr>
                <w:rFonts w:hint="eastAsia" w:ascii="宋体" w:hAnsi="宋体" w:eastAsia="宋体" w:cs="宋体"/>
                <w:snapToGrid/>
                <w:color w:val="auto"/>
                <w:sz w:val="21"/>
                <w:szCs w:val="21"/>
                <w:highlight w:val="none"/>
                <w:u w:val="none"/>
                <w:lang w:val="en-US" w:eastAsia="zh-CN" w:bidi="ar-SA"/>
              </w:rPr>
              <w:t>3、</w:t>
            </w:r>
            <w:r>
              <w:rPr>
                <w:rFonts w:hint="eastAsia" w:ascii="宋体" w:hAnsi="宋体" w:eastAsia="宋体" w:cs="宋体"/>
                <w:i w:val="0"/>
                <w:iCs w:val="0"/>
                <w:caps w:val="0"/>
                <w:color w:val="000000"/>
                <w:spacing w:val="0"/>
                <w:sz w:val="21"/>
                <w:szCs w:val="21"/>
                <w:highlight w:val="none"/>
                <w:shd w:val="clear" w:color="auto" w:fill="FFFFFF"/>
                <w:lang w:val="en-US" w:eastAsia="zh-CN"/>
              </w:rPr>
              <w:t>招标人在免收投标保证金的同时，应约定免交投标保证金的投标人存在3.4.4条款所列情形的后续处理措施，包括但不限于向投标人索赔等情形。</w:t>
            </w:r>
          </w:p>
        </w:tc>
      </w:tr>
      <w:tr w14:paraId="57C622B3">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18D1EEA7">
            <w:pPr>
              <w:spacing w:beforeLines="0" w:line="0" w:lineRule="atLeast"/>
              <w:jc w:val="center"/>
              <w:rPr>
                <w:rFonts w:ascii="Times New Roman" w:hAnsi="Times New Roman"/>
                <w:color w:val="000000"/>
                <w:szCs w:val="21"/>
              </w:rPr>
            </w:pPr>
            <w:r>
              <w:rPr>
                <w:rFonts w:ascii="Times New Roman" w:hAnsi="Times New Roman"/>
                <w:color w:val="000000"/>
                <w:szCs w:val="21"/>
              </w:rPr>
              <w:t>3.4.4</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78553DA0">
            <w:pPr>
              <w:spacing w:beforeLines="0" w:line="0" w:lineRule="atLeast"/>
              <w:jc w:val="left"/>
              <w:rPr>
                <w:rFonts w:ascii="Times New Roman" w:hAnsi="Times New Roman"/>
                <w:color w:val="000000"/>
                <w:szCs w:val="21"/>
              </w:rPr>
            </w:pPr>
            <w:r>
              <w:rPr>
                <w:rFonts w:hint="eastAsia" w:ascii="Times New Roman" w:hAnsi="Times New Roman"/>
                <w:szCs w:val="21"/>
              </w:rPr>
              <w:t>其他可以不予退还投标保证金的情形</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11169C6F">
            <w:pPr>
              <w:spacing w:beforeLines="0" w:line="0" w:lineRule="atLeast"/>
              <w:rPr>
                <w:rFonts w:hint="eastAsia" w:ascii="Times New Roman" w:hAnsi="Times New Roman" w:eastAsia="宋体"/>
                <w:color w:val="000000"/>
                <w:szCs w:val="21"/>
                <w:lang w:val="en-US" w:eastAsia="zh-CN"/>
              </w:rPr>
            </w:pPr>
            <w:r>
              <w:rPr>
                <w:rFonts w:hint="eastAsia" w:ascii="Times New Roman" w:hAnsi="Times New Roman"/>
                <w:color w:val="000000"/>
                <w:szCs w:val="21"/>
                <w:lang w:val="en-US" w:eastAsia="zh-CN"/>
              </w:rPr>
              <w:t>/</w:t>
            </w:r>
          </w:p>
        </w:tc>
      </w:tr>
      <w:tr w14:paraId="3AD73CD6">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08E4036E">
            <w:pPr>
              <w:spacing w:beforeLines="0" w:line="0" w:lineRule="atLeast"/>
              <w:jc w:val="center"/>
              <w:rPr>
                <w:rFonts w:ascii="Times New Roman" w:hAnsi="Times New Roman"/>
                <w:color w:val="000000"/>
                <w:szCs w:val="21"/>
              </w:rPr>
            </w:pPr>
            <w:r>
              <w:rPr>
                <w:rFonts w:ascii="Times New Roman" w:hAnsi="Times New Roman"/>
                <w:color w:val="000000"/>
                <w:szCs w:val="21"/>
              </w:rPr>
              <w:t>3.5</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503E10C2">
            <w:pPr>
              <w:spacing w:beforeLines="0" w:line="0" w:lineRule="atLeast"/>
              <w:jc w:val="left"/>
              <w:rPr>
                <w:rFonts w:ascii="Times New Roman" w:hAnsi="Times New Roman"/>
                <w:szCs w:val="21"/>
              </w:rPr>
            </w:pPr>
            <w:r>
              <w:rPr>
                <w:rFonts w:hint="eastAsia" w:ascii="Times New Roman" w:hAnsi="Times New Roman"/>
                <w:szCs w:val="21"/>
              </w:rPr>
              <w:t>资格审查资料的特殊要求</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7206906C">
            <w:pPr>
              <w:pStyle w:val="10"/>
              <w:topLinePunct/>
              <w:spacing w:beforeLines="0" w:after="0" w:line="0" w:lineRule="atLeast"/>
              <w:rPr>
                <w:rFonts w:ascii="Times New Roman" w:hAnsi="Times New Roman"/>
                <w:color w:val="000000"/>
                <w:sz w:val="21"/>
                <w:szCs w:val="21"/>
              </w:rPr>
            </w:pPr>
            <w:r>
              <w:rPr>
                <w:rFonts w:hint="eastAsia" w:ascii="Times New Roman" w:hAnsi="Times New Roman"/>
                <w:color w:val="000000"/>
                <w:sz w:val="21"/>
                <w:szCs w:val="21"/>
                <w:lang w:eastAsia="zh-CN"/>
              </w:rPr>
              <w:t>☑</w:t>
            </w:r>
            <w:r>
              <w:rPr>
                <w:rFonts w:hint="eastAsia" w:ascii="Times New Roman" w:hAnsi="Times New Roman"/>
                <w:sz w:val="21"/>
                <w:szCs w:val="21"/>
              </w:rPr>
              <w:t>无</w:t>
            </w:r>
          </w:p>
          <w:p w14:paraId="6538CA19">
            <w:pPr>
              <w:pStyle w:val="10"/>
              <w:topLinePunct/>
              <w:spacing w:beforeLines="0" w:after="0" w:line="0" w:lineRule="atLeast"/>
              <w:rPr>
                <w:rFonts w:ascii="Times New Roman" w:hAnsi="Times New Roman"/>
                <w:color w:val="000000"/>
                <w:sz w:val="21"/>
                <w:szCs w:val="21"/>
              </w:rPr>
            </w:pPr>
            <w:r>
              <w:rPr>
                <w:rFonts w:hint="eastAsia" w:ascii="Times New Roman" w:hAnsi="Times New Roman"/>
                <w:color w:val="000000"/>
                <w:sz w:val="21"/>
                <w:szCs w:val="21"/>
                <w:lang w:eastAsia="zh-CN"/>
              </w:rPr>
              <w:t>□</w:t>
            </w:r>
            <w:r>
              <w:rPr>
                <w:rFonts w:hint="eastAsia" w:ascii="Times New Roman" w:hAnsi="Times New Roman"/>
                <w:sz w:val="21"/>
                <w:szCs w:val="21"/>
              </w:rPr>
              <w:t>有，具体要求：</w:t>
            </w:r>
          </w:p>
        </w:tc>
      </w:tr>
      <w:tr w14:paraId="108BD47F">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4AA2905F">
            <w:pPr>
              <w:spacing w:beforeLines="0" w:line="0" w:lineRule="atLeast"/>
              <w:jc w:val="center"/>
              <w:rPr>
                <w:rFonts w:ascii="Times New Roman" w:hAnsi="Times New Roman"/>
                <w:color w:val="000000"/>
                <w:szCs w:val="21"/>
              </w:rPr>
            </w:pPr>
            <w:r>
              <w:rPr>
                <w:rFonts w:ascii="Times New Roman" w:hAnsi="Times New Roman"/>
                <w:color w:val="000000"/>
                <w:szCs w:val="21"/>
              </w:rPr>
              <w:t>3.5.3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62A9721">
            <w:pPr>
              <w:spacing w:beforeLines="0" w:line="0" w:lineRule="atLeast"/>
              <w:jc w:val="left"/>
              <w:rPr>
                <w:rFonts w:ascii="Times New Roman" w:hAnsi="Times New Roman"/>
                <w:szCs w:val="21"/>
              </w:rPr>
            </w:pPr>
            <w:r>
              <w:rPr>
                <w:rFonts w:hint="eastAsia" w:ascii="Times New Roman" w:hAnsi="Times New Roman"/>
                <w:szCs w:val="21"/>
              </w:rPr>
              <w:t>近年完成的类似项目情况的时间要求</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7E633E06">
            <w:pPr>
              <w:spacing w:beforeLines="0" w:line="0" w:lineRule="atLeast"/>
              <w:ind w:firstLine="105" w:firstLineChars="50"/>
              <w:rPr>
                <w:rFonts w:hint="eastAsia" w:ascii="Times New Roman" w:hAnsi="Times New Roman" w:eastAsia="宋体"/>
                <w:color w:val="000000"/>
                <w:szCs w:val="21"/>
                <w:lang w:eastAsia="zh-CN"/>
              </w:rPr>
            </w:pPr>
            <w:r>
              <w:rPr>
                <w:rFonts w:ascii="Times New Roman" w:hAnsi="Times New Roman" w:eastAsia="黑体"/>
                <w:color w:val="000000"/>
                <w:sz w:val="21"/>
                <w:szCs w:val="21"/>
                <w:u w:val="single"/>
              </w:rPr>
              <w:t xml:space="preserve">  </w:t>
            </w:r>
            <w:r>
              <w:rPr>
                <w:rFonts w:hint="eastAsia" w:ascii="Times New Roman" w:hAnsi="Times New Roman" w:eastAsia="黑体"/>
                <w:color w:val="000000"/>
                <w:sz w:val="21"/>
                <w:szCs w:val="21"/>
                <w:u w:val="single"/>
                <w:lang w:val="en-US" w:eastAsia="zh-CN"/>
              </w:rPr>
              <w:t>/</w:t>
            </w:r>
            <w:r>
              <w:rPr>
                <w:rFonts w:ascii="Times New Roman" w:hAnsi="Times New Roman" w:eastAsia="黑体"/>
                <w:color w:val="000000"/>
                <w:sz w:val="21"/>
                <w:szCs w:val="21"/>
                <w:u w:val="single"/>
              </w:rPr>
              <w:t xml:space="preserve">  </w:t>
            </w:r>
            <w:r>
              <w:rPr>
                <w:rFonts w:hint="eastAsia" w:ascii="Times New Roman" w:hAnsi="Times New Roman"/>
                <w:color w:val="000000"/>
                <w:szCs w:val="21"/>
              </w:rPr>
              <w:t>年</w:t>
            </w:r>
            <w:r>
              <w:rPr>
                <w:rFonts w:ascii="Times New Roman" w:hAnsi="Times New Roman" w:eastAsia="黑体"/>
                <w:color w:val="000000"/>
                <w:sz w:val="21"/>
                <w:szCs w:val="21"/>
                <w:u w:val="single"/>
              </w:rPr>
              <w:t xml:space="preserve">  </w:t>
            </w:r>
            <w:r>
              <w:rPr>
                <w:rFonts w:hint="eastAsia" w:ascii="Times New Roman" w:hAnsi="Times New Roman" w:eastAsia="黑体"/>
                <w:color w:val="000000"/>
                <w:sz w:val="21"/>
                <w:szCs w:val="21"/>
                <w:u w:val="single"/>
                <w:lang w:val="en-US" w:eastAsia="zh-CN"/>
              </w:rPr>
              <w:t>/</w:t>
            </w:r>
            <w:r>
              <w:rPr>
                <w:rFonts w:ascii="Times New Roman" w:hAnsi="Times New Roman" w:eastAsia="黑体"/>
                <w:color w:val="000000"/>
                <w:sz w:val="21"/>
                <w:szCs w:val="21"/>
                <w:u w:val="single"/>
              </w:rPr>
              <w:t xml:space="preserve">  </w:t>
            </w:r>
            <w:r>
              <w:rPr>
                <w:rFonts w:hint="eastAsia" w:ascii="Times New Roman" w:hAnsi="Times New Roman"/>
                <w:color w:val="000000"/>
                <w:szCs w:val="21"/>
              </w:rPr>
              <w:t>月</w:t>
            </w:r>
            <w:r>
              <w:rPr>
                <w:rFonts w:ascii="Times New Roman" w:hAnsi="Times New Roman" w:eastAsia="黑体"/>
                <w:color w:val="000000"/>
                <w:sz w:val="21"/>
                <w:szCs w:val="21"/>
                <w:u w:val="single"/>
              </w:rPr>
              <w:t xml:space="preserve">  </w:t>
            </w:r>
            <w:r>
              <w:rPr>
                <w:rFonts w:hint="eastAsia" w:ascii="Times New Roman" w:hAnsi="Times New Roman" w:eastAsia="黑体"/>
                <w:color w:val="000000"/>
                <w:sz w:val="21"/>
                <w:szCs w:val="21"/>
                <w:u w:val="single"/>
                <w:lang w:val="en-US" w:eastAsia="zh-CN"/>
              </w:rPr>
              <w:t>/</w:t>
            </w:r>
            <w:r>
              <w:rPr>
                <w:rFonts w:ascii="Times New Roman" w:hAnsi="Times New Roman" w:eastAsia="黑体"/>
                <w:color w:val="000000"/>
                <w:sz w:val="21"/>
                <w:szCs w:val="21"/>
                <w:u w:val="single"/>
              </w:rPr>
              <w:t xml:space="preserve"> </w:t>
            </w:r>
            <w:r>
              <w:rPr>
                <w:rFonts w:hint="eastAsia" w:ascii="Times New Roman" w:hAnsi="Times New Roman"/>
                <w:color w:val="000000"/>
                <w:szCs w:val="21"/>
              </w:rPr>
              <w:t>日</w:t>
            </w:r>
            <w:r>
              <w:rPr>
                <w:rFonts w:hint="eastAsia" w:ascii="Times New Roman" w:hAnsi="Times New Roman"/>
                <w:color w:val="000000"/>
                <w:szCs w:val="21"/>
                <w:lang w:eastAsia="zh-CN"/>
              </w:rPr>
              <w:t>至今</w:t>
            </w:r>
          </w:p>
        </w:tc>
      </w:tr>
      <w:tr w14:paraId="59976DB7">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77F8D581">
            <w:pPr>
              <w:spacing w:beforeLines="0" w:line="0" w:lineRule="atLeast"/>
              <w:jc w:val="center"/>
              <w:rPr>
                <w:rFonts w:ascii="Times New Roman" w:hAnsi="Times New Roman"/>
                <w:color w:val="000000"/>
                <w:szCs w:val="21"/>
              </w:rPr>
            </w:pPr>
            <w:r>
              <w:rPr>
                <w:rFonts w:ascii="Times New Roman" w:hAnsi="Times New Roman"/>
                <w:color w:val="000000"/>
                <w:szCs w:val="21"/>
              </w:rPr>
              <w:t>3.6.1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3BDC409">
            <w:pPr>
              <w:spacing w:beforeLines="0" w:line="0" w:lineRule="atLeast"/>
              <w:jc w:val="both"/>
              <w:rPr>
                <w:rFonts w:ascii="Times New Roman" w:hAnsi="Times New Roman"/>
                <w:color w:val="000000"/>
                <w:szCs w:val="21"/>
              </w:rPr>
            </w:pPr>
            <w:r>
              <w:rPr>
                <w:rFonts w:hint="eastAsia" w:ascii="Times New Roman" w:hAnsi="Times New Roman"/>
                <w:szCs w:val="21"/>
              </w:rPr>
              <w:t>是否允许递交备选投标方案</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0FD2473C">
            <w:pPr>
              <w:pStyle w:val="10"/>
              <w:topLinePunct/>
              <w:spacing w:beforeLines="0" w:after="0" w:line="0" w:lineRule="atLeast"/>
              <w:rPr>
                <w:rFonts w:ascii="Times New Roman" w:hAnsi="Times New Roman"/>
                <w:sz w:val="21"/>
                <w:szCs w:val="21"/>
              </w:rPr>
            </w:pPr>
            <w:r>
              <w:rPr>
                <w:rFonts w:hint="eastAsia" w:ascii="Times New Roman" w:hAnsi="Times New Roman"/>
                <w:color w:val="000000"/>
                <w:sz w:val="21"/>
                <w:szCs w:val="21"/>
                <w:lang w:eastAsia="zh-CN"/>
              </w:rPr>
              <w:t>☑</w:t>
            </w:r>
            <w:r>
              <w:rPr>
                <w:rFonts w:hint="eastAsia" w:ascii="Times New Roman" w:hAnsi="Times New Roman"/>
                <w:sz w:val="21"/>
                <w:szCs w:val="21"/>
              </w:rPr>
              <w:t>不允许</w:t>
            </w:r>
          </w:p>
          <w:p w14:paraId="7DB91EF5">
            <w:pPr>
              <w:spacing w:beforeLines="0" w:line="0" w:lineRule="atLeast"/>
              <w:rPr>
                <w:rFonts w:ascii="Times New Roman" w:hAnsi="Times New Roman"/>
                <w:color w:val="000000"/>
                <w:szCs w:val="21"/>
              </w:rPr>
            </w:pPr>
            <w:r>
              <w:rPr>
                <w:rFonts w:hint="eastAsia" w:ascii="Times New Roman" w:hAnsi="Times New Roman"/>
                <w:color w:val="000000"/>
                <w:sz w:val="21"/>
                <w:szCs w:val="21"/>
                <w:lang w:eastAsia="zh-CN"/>
              </w:rPr>
              <w:t>□</w:t>
            </w:r>
            <w:r>
              <w:rPr>
                <w:rFonts w:hint="eastAsia" w:ascii="Times New Roman" w:hAnsi="Times New Roman"/>
                <w:szCs w:val="21"/>
              </w:rPr>
              <w:t>允许</w:t>
            </w:r>
          </w:p>
        </w:tc>
      </w:tr>
      <w:tr w14:paraId="443830DC">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69D17A20">
            <w:pPr>
              <w:spacing w:beforeLines="0" w:line="0" w:lineRule="atLeast"/>
              <w:jc w:val="center"/>
              <w:rPr>
                <w:rFonts w:hint="default" w:ascii="Times New Roman" w:hAnsi="Times New Roman" w:eastAsia="宋体"/>
                <w:color w:val="000000"/>
                <w:szCs w:val="21"/>
                <w:lang w:val="en-US" w:eastAsia="zh-CN"/>
              </w:rPr>
            </w:pPr>
            <w:r>
              <w:rPr>
                <w:rFonts w:ascii="Times New Roman" w:hAnsi="Times New Roman"/>
                <w:color w:val="000000"/>
                <w:szCs w:val="21"/>
              </w:rPr>
              <w:t>3.7.3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42E139A5">
            <w:pPr>
              <w:spacing w:beforeLines="0" w:line="0" w:lineRule="atLeast"/>
              <w:jc w:val="both"/>
              <w:rPr>
                <w:rFonts w:ascii="Times New Roman" w:hAnsi="Times New Roman"/>
                <w:color w:val="000000"/>
                <w:szCs w:val="21"/>
              </w:rPr>
            </w:pPr>
            <w:r>
              <w:rPr>
                <w:rFonts w:hint="eastAsia" w:ascii="Times New Roman" w:hAnsi="Times New Roman"/>
                <w:color w:val="000000"/>
                <w:szCs w:val="21"/>
              </w:rPr>
              <w:t>投标文件签字或盖章要求</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6472C66A">
            <w:pPr>
              <w:pStyle w:val="10"/>
              <w:topLinePunct/>
              <w:spacing w:beforeLines="0" w:after="0" w:line="0" w:lineRule="atLeast"/>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u w:val="single"/>
              </w:rPr>
              <w:t>投标文件格式规定需个人签字的，应签字或签章后扫描上传</w:t>
            </w:r>
            <w:r>
              <w:rPr>
                <w:rFonts w:hint="eastAsia"/>
                <w:color w:val="auto"/>
                <w:kern w:val="2"/>
                <w:sz w:val="21"/>
                <w:szCs w:val="21"/>
                <w:highlight w:val="none"/>
                <w:u w:val="single"/>
                <w:lang w:val="en-US" w:eastAsia="zh-CN"/>
              </w:rPr>
              <w:t>（</w:t>
            </w:r>
            <w:r>
              <w:rPr>
                <w:rFonts w:hint="default" w:ascii="Calibri" w:hAnsi="Calibri" w:eastAsia="宋体" w:cs="Times New Roman"/>
                <w:color w:val="auto"/>
                <w:kern w:val="2"/>
                <w:sz w:val="21"/>
                <w:szCs w:val="21"/>
                <w:highlight w:val="none"/>
                <w:u w:val="single"/>
                <w:lang w:val="en-US" w:eastAsia="zh-CN" w:bidi="ar-SA"/>
              </w:rPr>
              <w:t>可靠的电子签名与手写签名或者盖章具有同等的法律效力</w:t>
            </w:r>
            <w:r>
              <w:rPr>
                <w:rFonts w:hint="eastAsia"/>
                <w:color w:val="auto"/>
                <w:kern w:val="2"/>
                <w:sz w:val="21"/>
                <w:szCs w:val="21"/>
                <w:highlight w:val="none"/>
                <w:u w:val="single"/>
                <w:lang w:val="en-US" w:eastAsia="zh-CN"/>
              </w:rPr>
              <w:t>）</w:t>
            </w:r>
            <w:r>
              <w:rPr>
                <w:rFonts w:hint="default" w:ascii="宋体" w:hAnsi="宋体" w:eastAsia="宋体"/>
                <w:color w:val="auto"/>
                <w:sz w:val="21"/>
                <w:szCs w:val="21"/>
                <w:highlight w:val="none"/>
                <w:u w:val="single"/>
              </w:rPr>
              <w:t>。投标文件格式规定盖单位公章的页面必须盖单位公章</w:t>
            </w:r>
            <w:r>
              <w:rPr>
                <w:rFonts w:hint="eastAsia" w:ascii="宋体" w:hAnsi="宋体" w:eastAsia="宋体"/>
                <w:color w:val="auto"/>
                <w:sz w:val="21"/>
                <w:szCs w:val="21"/>
                <w:highlight w:val="none"/>
                <w:u w:val="single"/>
                <w:lang w:val="en-US" w:eastAsia="zh-CN"/>
              </w:rPr>
              <w:t>或电子公章</w:t>
            </w:r>
            <w:r>
              <w:rPr>
                <w:rFonts w:hint="default" w:ascii="宋体" w:hAnsi="宋体" w:eastAsia="宋体"/>
                <w:color w:val="auto"/>
                <w:sz w:val="21"/>
                <w:szCs w:val="21"/>
                <w:highlight w:val="none"/>
                <w:u w:val="single"/>
              </w:rPr>
              <w:t>（公章与电子公章具有相同法律效力）</w:t>
            </w:r>
            <w:r>
              <w:rPr>
                <w:rFonts w:hint="eastAsia" w:ascii="宋体" w:hAnsi="宋体" w:eastAsia="宋体"/>
                <w:color w:val="auto"/>
                <w:sz w:val="21"/>
                <w:szCs w:val="21"/>
                <w:highlight w:val="none"/>
                <w:u w:val="single"/>
                <w:lang w:eastAsia="zh-CN"/>
              </w:rPr>
              <w:t>。</w:t>
            </w:r>
          </w:p>
        </w:tc>
      </w:tr>
      <w:tr w14:paraId="177C1DE8">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060DAFA4">
            <w:pPr>
              <w:spacing w:beforeLines="0" w:line="0" w:lineRule="atLeast"/>
              <w:jc w:val="center"/>
              <w:rPr>
                <w:rFonts w:ascii="Times New Roman" w:hAnsi="Times New Roman"/>
                <w:color w:val="000000"/>
                <w:szCs w:val="21"/>
              </w:rPr>
            </w:pPr>
            <w:r>
              <w:rPr>
                <w:rFonts w:ascii="Times New Roman" w:hAnsi="Times New Roman"/>
                <w:color w:val="000000"/>
                <w:szCs w:val="21"/>
              </w:rPr>
              <w:t>4.2.1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D64D5DA">
            <w:pPr>
              <w:spacing w:beforeLines="0" w:line="0" w:lineRule="atLeast"/>
              <w:jc w:val="both"/>
              <w:rPr>
                <w:rFonts w:ascii="Times New Roman" w:hAnsi="Times New Roman"/>
                <w:color w:val="000000"/>
                <w:szCs w:val="21"/>
              </w:rPr>
            </w:pPr>
            <w:r>
              <w:rPr>
                <w:rFonts w:hint="eastAsia" w:ascii="Times New Roman" w:hAnsi="Times New Roman"/>
                <w:color w:val="000000"/>
                <w:szCs w:val="21"/>
              </w:rPr>
              <w:t>投标截止时间</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0214F154">
            <w:pPr>
              <w:spacing w:beforeLines="0" w:line="0" w:lineRule="atLeast"/>
              <w:rPr>
                <w:rFonts w:hint="eastAsia" w:ascii="Times New Roman" w:hAnsi="Times New Roman"/>
                <w:color w:val="000000"/>
                <w:szCs w:val="21"/>
              </w:rPr>
            </w:pPr>
            <w:r>
              <w:rPr>
                <w:rFonts w:hint="default" w:ascii="宋体" w:hAnsi="Times New Roman" w:eastAsia="宋体"/>
                <w:color w:val="auto"/>
                <w:sz w:val="21"/>
                <w:szCs w:val="21"/>
                <w:highlight w:val="none"/>
                <w:lang w:eastAsia="zh-CN"/>
              </w:rPr>
              <w:t>投标截止时间：</w:t>
            </w:r>
            <w:r>
              <w:rPr>
                <w:rFonts w:hint="default" w:ascii="宋体" w:hAnsi="Times New Roman" w:eastAsia="宋体"/>
                <w:color w:val="auto"/>
                <w:sz w:val="21"/>
                <w:szCs w:val="21"/>
                <w:highlight w:val="none"/>
                <w:u w:val="single"/>
                <w:lang w:val="en-US" w:eastAsia="zh-CN"/>
              </w:rPr>
              <w:t xml:space="preserve">   </w:t>
            </w:r>
            <w:r>
              <w:rPr>
                <w:rFonts w:hint="default" w:ascii="宋体" w:hAnsi="Times New Roman" w:eastAsia="宋体"/>
                <w:color w:val="auto"/>
                <w:sz w:val="21"/>
                <w:szCs w:val="21"/>
                <w:highlight w:val="none"/>
                <w:u w:val="single"/>
                <w:lang w:eastAsia="zh-CN"/>
              </w:rPr>
              <w:t>年</w:t>
            </w:r>
            <w:r>
              <w:rPr>
                <w:rFonts w:hint="default" w:ascii="宋体" w:hAnsi="Times New Roman" w:eastAsia="宋体"/>
                <w:color w:val="auto"/>
                <w:sz w:val="21"/>
                <w:szCs w:val="21"/>
                <w:highlight w:val="none"/>
                <w:u w:val="single"/>
                <w:lang w:val="en-US" w:eastAsia="zh-CN"/>
              </w:rPr>
              <w:t xml:space="preserve">  </w:t>
            </w:r>
            <w:r>
              <w:rPr>
                <w:rFonts w:hint="default" w:ascii="宋体" w:hAnsi="Times New Roman" w:eastAsia="宋体"/>
                <w:color w:val="auto"/>
                <w:sz w:val="21"/>
                <w:szCs w:val="21"/>
                <w:highlight w:val="none"/>
                <w:u w:val="single"/>
                <w:lang w:eastAsia="zh-CN"/>
              </w:rPr>
              <w:t>月</w:t>
            </w:r>
            <w:r>
              <w:rPr>
                <w:rFonts w:hint="default" w:ascii="宋体" w:hAnsi="Times New Roman" w:eastAsia="宋体"/>
                <w:color w:val="auto"/>
                <w:sz w:val="21"/>
                <w:szCs w:val="21"/>
                <w:highlight w:val="none"/>
                <w:u w:val="single"/>
                <w:lang w:val="en-US" w:eastAsia="zh-CN"/>
              </w:rPr>
              <w:t xml:space="preserve">  </w:t>
            </w:r>
            <w:r>
              <w:rPr>
                <w:rFonts w:hint="default" w:ascii="宋体" w:hAnsi="Times New Roman" w:eastAsia="宋体"/>
                <w:color w:val="auto"/>
                <w:sz w:val="21"/>
                <w:szCs w:val="21"/>
                <w:highlight w:val="none"/>
                <w:u w:val="single"/>
                <w:lang w:eastAsia="zh-CN"/>
              </w:rPr>
              <w:t>日</w:t>
            </w:r>
            <w:r>
              <w:rPr>
                <w:rFonts w:hint="default" w:ascii="宋体" w:hAnsi="Times New Roman" w:eastAsia="宋体"/>
                <w:color w:val="auto"/>
                <w:sz w:val="21"/>
                <w:szCs w:val="21"/>
                <w:highlight w:val="none"/>
                <w:u w:val="single"/>
                <w:lang w:val="en-US" w:eastAsia="zh-CN"/>
              </w:rPr>
              <w:t xml:space="preserve">  </w:t>
            </w:r>
            <w:r>
              <w:rPr>
                <w:rFonts w:hint="default" w:ascii="宋体" w:hAnsi="Times New Roman" w:eastAsia="宋体"/>
                <w:color w:val="auto"/>
                <w:sz w:val="21"/>
                <w:szCs w:val="21"/>
                <w:highlight w:val="none"/>
                <w:u w:val="single"/>
                <w:lang w:eastAsia="zh-CN"/>
              </w:rPr>
              <w:t>时</w:t>
            </w:r>
            <w:r>
              <w:rPr>
                <w:rFonts w:hint="default" w:ascii="宋体" w:hAnsi="Times New Roman" w:eastAsia="宋体"/>
                <w:color w:val="auto"/>
                <w:sz w:val="21"/>
                <w:szCs w:val="21"/>
                <w:highlight w:val="none"/>
                <w:u w:val="single"/>
                <w:lang w:val="en-US" w:eastAsia="zh-CN"/>
              </w:rPr>
              <w:t xml:space="preserve">  </w:t>
            </w:r>
            <w:r>
              <w:rPr>
                <w:rFonts w:hint="default" w:ascii="宋体" w:hAnsi="Times New Roman" w:eastAsia="宋体"/>
                <w:color w:val="auto"/>
                <w:sz w:val="21"/>
                <w:szCs w:val="21"/>
                <w:highlight w:val="none"/>
                <w:u w:val="single"/>
                <w:lang w:eastAsia="zh-CN"/>
              </w:rPr>
              <w:t>分</w:t>
            </w:r>
            <w:r>
              <w:rPr>
                <w:rFonts w:hint="default" w:ascii="宋体" w:hAnsi="Times New Roman" w:eastAsia="宋体"/>
                <w:color w:val="auto"/>
                <w:sz w:val="21"/>
                <w:szCs w:val="21"/>
                <w:highlight w:val="none"/>
                <w:lang w:eastAsia="zh-CN"/>
              </w:rPr>
              <w:t>（北京时间）</w:t>
            </w:r>
            <w:r>
              <w:rPr>
                <w:rFonts w:hint="eastAsia" w:ascii="宋体" w:hAnsi="Times New Roman" w:eastAsia="宋体"/>
                <w:color w:val="auto"/>
                <w:sz w:val="21"/>
                <w:szCs w:val="21"/>
                <w:highlight w:val="none"/>
                <w:lang w:eastAsia="zh-CN"/>
              </w:rPr>
              <w:t>。</w:t>
            </w:r>
          </w:p>
        </w:tc>
      </w:tr>
      <w:tr w14:paraId="6A52BF9E">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nil"/>
              <w:right w:val="single" w:color="auto" w:sz="4" w:space="0"/>
            </w:tcBorders>
            <w:noWrap w:val="0"/>
            <w:vAlign w:val="center"/>
          </w:tcPr>
          <w:p w14:paraId="4F9ABE57">
            <w:pPr>
              <w:spacing w:beforeLines="0" w:line="0" w:lineRule="atLeast"/>
              <w:jc w:val="center"/>
              <w:rPr>
                <w:rFonts w:hint="default" w:ascii="Times New Roman" w:hAnsi="Times New Roman"/>
                <w:color w:val="auto"/>
                <w:szCs w:val="21"/>
              </w:rPr>
            </w:pPr>
            <w:r>
              <w:rPr>
                <w:rFonts w:ascii="Times New Roman" w:hAnsi="Times New Roman"/>
                <w:color w:val="auto"/>
                <w:szCs w:val="21"/>
              </w:rPr>
              <w:t>5.1</w:t>
            </w:r>
          </w:p>
        </w:tc>
        <w:tc>
          <w:tcPr>
            <w:tcW w:w="1036" w:type="pct"/>
            <w:tcBorders>
              <w:top w:val="single" w:color="auto" w:sz="4" w:space="0"/>
              <w:left w:val="single" w:color="auto" w:sz="4" w:space="0"/>
              <w:bottom w:val="nil"/>
              <w:right w:val="single" w:color="auto" w:sz="4" w:space="0"/>
            </w:tcBorders>
            <w:noWrap w:val="0"/>
            <w:vAlign w:val="center"/>
          </w:tcPr>
          <w:p w14:paraId="68769ED3">
            <w:pPr>
              <w:spacing w:beforeLines="0" w:line="0" w:lineRule="atLeast"/>
              <w:jc w:val="both"/>
              <w:rPr>
                <w:rFonts w:ascii="Times New Roman" w:hAnsi="Times New Roman"/>
                <w:color w:val="auto"/>
                <w:szCs w:val="21"/>
              </w:rPr>
            </w:pPr>
            <w:r>
              <w:rPr>
                <w:rFonts w:hint="eastAsia" w:ascii="Times New Roman" w:hAnsi="Times New Roman"/>
                <w:color w:val="auto"/>
                <w:szCs w:val="21"/>
              </w:rPr>
              <w:t>开标时间和地点</w:t>
            </w:r>
          </w:p>
        </w:tc>
        <w:tc>
          <w:tcPr>
            <w:tcW w:w="3340" w:type="pct"/>
            <w:tcBorders>
              <w:top w:val="single" w:color="auto" w:sz="4" w:space="0"/>
              <w:left w:val="single" w:color="auto" w:sz="4" w:space="0"/>
              <w:bottom w:val="nil"/>
              <w:right w:val="single" w:color="auto" w:sz="4" w:space="0"/>
            </w:tcBorders>
            <w:noWrap w:val="0"/>
            <w:vAlign w:val="center"/>
          </w:tcPr>
          <w:p w14:paraId="3EA02CE6">
            <w:pPr>
              <w:spacing w:beforeLines="0" w:line="0" w:lineRule="atLeast"/>
              <w:jc w:val="both"/>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开标时间：</w:t>
            </w:r>
            <w:r>
              <w:rPr>
                <w:rFonts w:hint="eastAsia" w:ascii="宋体" w:hAnsi="宋体" w:eastAsia="宋体" w:cs="宋体"/>
                <w:szCs w:val="21"/>
                <w:lang w:eastAsia="zh-CN"/>
              </w:rPr>
              <w:t>同投标截止时间</w:t>
            </w:r>
          </w:p>
          <w:p w14:paraId="46483C53">
            <w:pPr>
              <w:spacing w:beforeLines="0" w:line="0" w:lineRule="atLeast"/>
              <w:jc w:val="both"/>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开标地点：</w:t>
            </w:r>
            <w:r>
              <w:rPr>
                <w:rFonts w:hint="eastAsia" w:ascii="宋体" w:hAnsi="宋体" w:eastAsia="宋体" w:cs="宋体"/>
                <w:szCs w:val="21"/>
                <w:lang w:eastAsia="zh-CN"/>
              </w:rPr>
              <w:t>广州交易集团有限公司（广州公共资源交易中心）</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开标室</w:t>
            </w:r>
          </w:p>
          <w:p w14:paraId="5229FBE2">
            <w:pPr>
              <w:spacing w:before="0" w:beforeLines="0" w:line="0" w:lineRule="atLeas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递交投标文件备用光盘时间：____年____月____日____时____分至____年____月____日____时____分；递交地点：____。(建议安排在投标文件截止时间前 15 分钟至投标文件截止时间）</w:t>
            </w:r>
          </w:p>
          <w:p w14:paraId="3D557F6B">
            <w:pPr>
              <w:spacing w:before="0" w:beforeLines="0" w:line="0" w:lineRule="atLeas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提交投标文件光盘备用</w:t>
            </w:r>
          </w:p>
          <w:p w14:paraId="5DBFC668">
            <w:pPr>
              <w:spacing w:before="0" w:beforeLines="0" w:line="0" w:lineRule="atLeas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投标人可制作非加密的电子投标文件（PDF格式）刻入光盘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（1份），在投标须知前附表规定的时间、地点提交备用。刻录好的投标文件光盘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密封在密封袋中，并在封口处加盖投标人单位公章。密封袋上应写明项目名称和招标人名称。递交的光盘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不得加密。光盘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无法读取或导入的，则视为未提交备用投标文件光盘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。如果投标人没有按规定通过交易平台网上递交电子投标文件的，不再读取提交的光盘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。投标人也可不提交备用光盘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w:t>
            </w:r>
          </w:p>
          <w:p w14:paraId="7D62F162">
            <w:pPr>
              <w:spacing w:before="0" w:beforeLines="0" w:line="0" w:lineRule="atLeas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补救方案</w:t>
            </w:r>
          </w:p>
          <w:p w14:paraId="03229516">
            <w:pPr>
              <w:spacing w:before="0" w:beforeLines="0" w:line="0" w:lineRule="atLeas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（1）投标文件解密失败的补救方案：在规定时间内，因投标人之外原因(指网络瘫痪、服务器损坏、交易系统故障短期无法恢复)导致的电子投标文件解密失败，在开标现场读取光盘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内容，继续开标程序。评标委员会对其投标文件的评审以光盘内容为准。因投标人之外原因解密失败且未递交电子光盘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的，视为撤回投标文件。</w:t>
            </w:r>
          </w:p>
          <w:p w14:paraId="37BE624B">
            <w:pPr>
              <w:spacing w:before="0" w:beforeLines="0" w:line="0" w:lineRule="atLeas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（2）评标时突发情况的补救方案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若遇不可抗力发生（指网络瘫痪、服务器损坏、交易系统故障短期无法恢复等因素），由评标委员会开启投标人递交的全部投标文件光盘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，并按光盘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内容进行评审。</w:t>
            </w:r>
          </w:p>
          <w:p w14:paraId="1E059C00">
            <w:pPr>
              <w:spacing w:before="0" w:beforeLines="0" w:line="0" w:lineRule="atLeas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（3）除发生上述情况外，开标评标均以投标人通过交易平台网上递交的电子投标文件为准。</w:t>
            </w:r>
          </w:p>
          <w:p w14:paraId="41E38353">
            <w:pPr>
              <w:spacing w:before="0" w:beforeLines="0" w:line="0" w:lineRule="atLeast"/>
              <w:contextualSpacing/>
              <w:rPr>
                <w:rFonts w:hint="eastAsia" w:ascii="宋体" w:hAnsi="宋体" w:eastAsia="宋体" w:cs="宋体"/>
                <w:color w:val="auto"/>
                <w:sz w:val="21"/>
                <w:szCs w:val="21"/>
                <w:highlight w:val="none"/>
              </w:rPr>
            </w:pPr>
            <w:r>
              <w:rPr>
                <w:rFonts w:hint="eastAsia" w:ascii="宋体" w:hAnsi="宋体" w:eastAsia="宋体" w:cs="宋体"/>
                <w:bCs w:val="0"/>
                <w:color w:val="auto"/>
                <w:kern w:val="2"/>
                <w:sz w:val="21"/>
                <w:szCs w:val="21"/>
                <w:highlight w:val="none"/>
                <w:lang w:val="en-US" w:eastAsia="zh-CN"/>
              </w:rPr>
              <w:t>6.</w:t>
            </w:r>
            <w:r>
              <w:rPr>
                <w:rFonts w:hint="eastAsia" w:ascii="宋体" w:hAnsi="宋体" w:eastAsia="宋体" w:cs="宋体"/>
                <w:bCs w:val="0"/>
                <w:color w:val="auto"/>
                <w:kern w:val="2"/>
                <w:sz w:val="21"/>
                <w:szCs w:val="21"/>
                <w:highlight w:val="none"/>
              </w:rPr>
              <w:t>开标时，投标人代表有权参加现场开标或</w:t>
            </w:r>
            <w:r>
              <w:rPr>
                <w:rFonts w:hint="eastAsia" w:ascii="宋体" w:hAnsi="宋体" w:eastAsia="宋体" w:cs="宋体"/>
                <w:b w:val="0"/>
                <w:bCs w:val="0"/>
                <w:color w:val="auto"/>
                <w:kern w:val="2"/>
                <w:sz w:val="21"/>
                <w:szCs w:val="21"/>
                <w:highlight w:val="none"/>
              </w:rPr>
              <w:t>在线开标</w:t>
            </w:r>
            <w:r>
              <w:rPr>
                <w:rFonts w:hint="eastAsia" w:ascii="宋体" w:hAnsi="宋体" w:eastAsia="宋体" w:cs="宋体"/>
                <w:bCs w:val="0"/>
                <w:color w:val="auto"/>
                <w:kern w:val="2"/>
                <w:sz w:val="21"/>
                <w:szCs w:val="21"/>
                <w:highlight w:val="none"/>
              </w:rPr>
              <w:t>，也可以自主决定不参加开标</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color w:val="auto"/>
                <w:sz w:val="21"/>
                <w:szCs w:val="21"/>
                <w:highlight w:val="none"/>
                <w:lang w:eastAsia="zh-CN"/>
              </w:rPr>
              <w:t>投标人选择参加在线开标的，具体按照交易平台相关指南进行操作。</w:t>
            </w:r>
          </w:p>
          <w:p w14:paraId="443DDA9F">
            <w:pPr>
              <w:pStyle w:val="7"/>
              <w:spacing w:beforeLines="0" w:line="0" w:lineRule="atLeast"/>
              <w:ind w:left="0" w:leftChars="0" w:firstLine="0" w:firstLineChars="0"/>
              <w:rPr>
                <w:szCs w:val="21"/>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上述时间及地点是否有改变，请密切留意</w:t>
            </w:r>
            <w:r>
              <w:rPr>
                <w:rFonts w:hint="eastAsia" w:ascii="宋体" w:hAnsi="宋体" w:eastAsia="宋体" w:cs="宋体"/>
                <w:color w:val="auto"/>
                <w:sz w:val="21"/>
                <w:szCs w:val="21"/>
                <w:highlight w:val="none"/>
                <w:lang w:eastAsia="zh-CN"/>
              </w:rPr>
              <w:t>补充公告或</w:t>
            </w:r>
            <w:r>
              <w:rPr>
                <w:rFonts w:hint="eastAsia" w:ascii="宋体" w:hAnsi="宋体" w:eastAsia="宋体" w:cs="宋体"/>
                <w:color w:val="auto"/>
                <w:sz w:val="21"/>
                <w:szCs w:val="21"/>
                <w:highlight w:val="none"/>
              </w:rPr>
              <w:t>招标答疑纪要的相关信息。</w:t>
            </w:r>
          </w:p>
        </w:tc>
      </w:tr>
      <w:tr w14:paraId="2DE4CB24">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1BB454DD">
            <w:pPr>
              <w:spacing w:beforeLines="0" w:line="0" w:lineRule="atLeast"/>
              <w:jc w:val="center"/>
              <w:rPr>
                <w:rFonts w:ascii="Times New Roman" w:hAnsi="Times New Roman"/>
                <w:color w:val="000000"/>
                <w:szCs w:val="21"/>
              </w:rPr>
            </w:pPr>
            <w:r>
              <w:rPr>
                <w:rFonts w:ascii="Times New Roman" w:hAnsi="Times New Roman"/>
                <w:color w:val="000000"/>
                <w:szCs w:val="21"/>
              </w:rPr>
              <w:t>6.1.1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7F2C0CA6">
            <w:pPr>
              <w:spacing w:beforeLines="0" w:line="0" w:lineRule="atLeast"/>
              <w:jc w:val="both"/>
              <w:rPr>
                <w:rFonts w:ascii="Times New Roman" w:hAnsi="Times New Roman"/>
                <w:color w:val="000000"/>
                <w:szCs w:val="21"/>
              </w:rPr>
            </w:pPr>
            <w:r>
              <w:rPr>
                <w:rFonts w:hint="eastAsia" w:ascii="Times New Roman" w:hAnsi="Times New Roman"/>
                <w:color w:val="000000"/>
                <w:szCs w:val="21"/>
              </w:rPr>
              <w:t>评标委员会的组建</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127A191D">
            <w:pPr>
              <w:spacing w:beforeLines="0" w:line="0" w:lineRule="atLeast"/>
              <w:rPr>
                <w:rFonts w:ascii="Times New Roman" w:hAnsi="Times New Roman"/>
                <w:color w:val="000000"/>
                <w:szCs w:val="21"/>
              </w:rPr>
            </w:pPr>
            <w:r>
              <w:rPr>
                <w:rFonts w:hint="eastAsia" w:ascii="宋体" w:hAnsi="宋体"/>
                <w:color w:val="auto"/>
                <w:szCs w:val="21"/>
              </w:rPr>
              <w:t>评标委员会由招标人依法组建。</w:t>
            </w:r>
          </w:p>
        </w:tc>
      </w:tr>
      <w:tr w14:paraId="0AD473C9">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08CE6CAF">
            <w:pPr>
              <w:spacing w:beforeLines="0" w:line="0" w:lineRule="atLeast"/>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6.2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DC90EAD">
            <w:pPr>
              <w:spacing w:beforeLines="0" w:line="0" w:lineRule="atLeast"/>
              <w:jc w:val="both"/>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定标委员会的组建</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1CCEB9B5">
            <w:pPr>
              <w:spacing w:beforeLines="0" w:line="0" w:lineRule="atLeast"/>
              <w:rPr>
                <w:rFonts w:hint="eastAsia" w:ascii="Times New Roman" w:hAnsi="Times New Roman" w:eastAsia="宋体"/>
                <w:color w:val="000000"/>
                <w:szCs w:val="21"/>
                <w:lang w:eastAsia="zh-CN"/>
              </w:rPr>
            </w:pPr>
            <w:r>
              <w:rPr>
                <w:rFonts w:hint="eastAsia" w:ascii="宋体" w:hAnsi="宋体" w:cs="宋体"/>
                <w:color w:val="auto"/>
                <w:szCs w:val="21"/>
                <w:highlight w:val="none"/>
                <w:u w:val="none"/>
                <w:lang w:val="en-US" w:eastAsia="zh-CN"/>
              </w:rPr>
              <w:t>定标</w:t>
            </w:r>
            <w:r>
              <w:rPr>
                <w:rFonts w:hint="eastAsia" w:ascii="宋体" w:hAnsi="宋体" w:cs="宋体"/>
                <w:color w:val="auto"/>
                <w:szCs w:val="21"/>
                <w:highlight w:val="none"/>
                <w:u w:val="none"/>
              </w:rPr>
              <w:t>委员会由招标人依法组建。</w:t>
            </w:r>
          </w:p>
        </w:tc>
      </w:tr>
      <w:tr w14:paraId="015D3E57">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727454A3">
            <w:pPr>
              <w:spacing w:beforeLines="0" w:line="0" w:lineRule="atLeast"/>
              <w:jc w:val="center"/>
              <w:rPr>
                <w:rFonts w:ascii="Times New Roman" w:hAnsi="Times New Roman"/>
                <w:color w:val="000000"/>
                <w:szCs w:val="21"/>
              </w:rPr>
            </w:pPr>
            <w:r>
              <w:rPr>
                <w:rFonts w:ascii="Times New Roman" w:hAnsi="Times New Roman"/>
                <w:color w:val="000000"/>
                <w:szCs w:val="21"/>
              </w:rPr>
              <w:t>6.3.2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31520B80">
            <w:pPr>
              <w:spacing w:beforeLines="0" w:line="0" w:lineRule="atLeast"/>
              <w:jc w:val="left"/>
              <w:rPr>
                <w:rFonts w:ascii="Times New Roman" w:hAnsi="Times New Roman"/>
                <w:color w:val="000000"/>
                <w:szCs w:val="21"/>
              </w:rPr>
            </w:pPr>
            <w:r>
              <w:rPr>
                <w:rFonts w:hint="eastAsia" w:ascii="Times New Roman" w:hAnsi="Times New Roman"/>
                <w:color w:val="000000"/>
                <w:szCs w:val="21"/>
              </w:rPr>
              <w:t>评标委员会推荐中标候选人的人数</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51CC04CD">
            <w:pPr>
              <w:spacing w:beforeLines="0" w:line="0" w:lineRule="atLeast"/>
              <w:rPr>
                <w:rFonts w:hint="eastAsia" w:ascii="宋体" w:hAnsi="宋体" w:eastAsia="宋体" w:cs="宋体"/>
                <w:color w:val="000000"/>
                <w:szCs w:val="21"/>
                <w:highlight w:val="none"/>
                <w:lang w:val="en-US" w:eastAsia="zh-CN"/>
              </w:rPr>
            </w:pPr>
            <w:r>
              <w:rPr>
                <w:rFonts w:hint="eastAsia" w:ascii="宋体" w:hAnsi="宋体" w:eastAsia="宋体" w:cs="宋体"/>
                <w:color w:val="auto"/>
                <w:kern w:val="2"/>
                <w:sz w:val="21"/>
                <w:szCs w:val="21"/>
                <w:highlight w:val="none"/>
              </w:rPr>
              <w:t>评标委员会应在通过投标文件</w:t>
            </w:r>
            <w:r>
              <w:rPr>
                <w:rFonts w:hint="eastAsia" w:ascii="宋体" w:hAnsi="宋体" w:eastAsia="宋体" w:cs="宋体"/>
                <w:color w:val="auto"/>
                <w:kern w:val="2"/>
                <w:sz w:val="21"/>
                <w:szCs w:val="21"/>
                <w:highlight w:val="none"/>
                <w:lang w:eastAsia="zh-CN"/>
              </w:rPr>
              <w:t>初步</w:t>
            </w:r>
            <w:r>
              <w:rPr>
                <w:rFonts w:hint="eastAsia" w:ascii="宋体" w:hAnsi="宋体" w:eastAsia="宋体" w:cs="宋体"/>
                <w:color w:val="auto"/>
                <w:kern w:val="2"/>
                <w:sz w:val="21"/>
                <w:szCs w:val="21"/>
                <w:highlight w:val="none"/>
              </w:rPr>
              <w:t>审查的投标人中，按第三章评标、定标办法</w:t>
            </w:r>
            <w:r>
              <w:rPr>
                <w:rFonts w:hint="eastAsia" w:ascii="宋体" w:hAnsi="宋体" w:eastAsia="宋体" w:cs="宋体"/>
                <w:color w:val="auto"/>
                <w:kern w:val="2"/>
                <w:sz w:val="21"/>
                <w:szCs w:val="21"/>
                <w:highlight w:val="none"/>
                <w:lang w:eastAsia="zh-CN"/>
              </w:rPr>
              <w:t>第</w:t>
            </w:r>
            <w:r>
              <w:rPr>
                <w:rFonts w:hint="eastAsia" w:ascii="宋体" w:hAnsi="宋体" w:eastAsia="宋体" w:cs="宋体"/>
                <w:color w:val="auto"/>
                <w:kern w:val="2"/>
                <w:sz w:val="21"/>
                <w:szCs w:val="21"/>
                <w:highlight w:val="none"/>
                <w:lang w:val="en-US" w:eastAsia="zh-CN"/>
              </w:rPr>
              <w:t>3.2 详细评审要求</w:t>
            </w:r>
            <w:r>
              <w:rPr>
                <w:rFonts w:hint="eastAsia" w:ascii="宋体" w:hAnsi="宋体" w:eastAsia="宋体" w:cs="宋体"/>
                <w:color w:val="auto"/>
                <w:kern w:val="2"/>
                <w:sz w:val="21"/>
                <w:szCs w:val="21"/>
                <w:highlight w:val="none"/>
              </w:rPr>
              <w:t>确定的投标人总得分排序，推荐进入定标阶段的合格中标候选人名单[中标候选人不排序，按统一社会信用代码后4位（除校验码外）大小排位，如统一社会信用代码后4位出现字母情况的，字母以“0”进行代替大小排位；如出现后4位（除校验码外）大小一致的，则随机排位]，并编制评标报告。若通</w:t>
            </w:r>
            <w:r>
              <w:rPr>
                <w:rFonts w:hint="eastAsia" w:ascii="宋体" w:hAnsi="宋体" w:eastAsia="宋体" w:cs="宋体"/>
                <w:color w:val="auto"/>
                <w:kern w:val="2"/>
                <w:sz w:val="21"/>
                <w:szCs w:val="21"/>
                <w:highlight w:val="none"/>
                <w:lang w:eastAsia="zh-CN"/>
              </w:rPr>
              <w:t>过</w:t>
            </w:r>
            <w:r>
              <w:rPr>
                <w:rFonts w:hint="eastAsia" w:ascii="宋体" w:hAnsi="宋体" w:eastAsia="宋体" w:cs="宋体"/>
                <w:color w:val="auto"/>
                <w:kern w:val="2"/>
                <w:sz w:val="21"/>
                <w:szCs w:val="21"/>
                <w:highlight w:val="none"/>
              </w:rPr>
              <w:t>初步审查的投标人大于等于 3 名且少于等于</w:t>
            </w:r>
            <w:r>
              <w:rPr>
                <w:rFonts w:hint="eastAsia" w:ascii="宋体" w:hAnsi="宋体" w:eastAsia="宋体" w:cs="宋体"/>
                <w:kern w:val="2"/>
                <w:sz w:val="21"/>
                <w:szCs w:val="21"/>
                <w:highlight w:val="none"/>
                <w:lang w:eastAsia="zh-CN"/>
              </w:rPr>
              <w:t>2</w:t>
            </w:r>
            <w:r>
              <w:rPr>
                <w:rFonts w:hint="eastAsia" w:ascii="宋体" w:hAnsi="宋体" w:eastAsia="宋体" w:cs="宋体"/>
                <w:kern w:val="2"/>
                <w:sz w:val="21"/>
                <w:szCs w:val="21"/>
                <w:highlight w:val="none"/>
                <w:lang w:val="en-US" w:eastAsia="zh-CN"/>
              </w:rPr>
              <w:t>0</w:t>
            </w:r>
            <w:r>
              <w:rPr>
                <w:rFonts w:hint="eastAsia" w:ascii="宋体" w:hAnsi="宋体" w:eastAsia="宋体" w:cs="宋体"/>
                <w:color w:val="auto"/>
                <w:kern w:val="2"/>
                <w:sz w:val="21"/>
                <w:szCs w:val="21"/>
                <w:highlight w:val="none"/>
              </w:rPr>
              <w:t>名，则全部为合格的中标候选人，不排序进入定标阶段；若通过初步审查的投标人大于</w:t>
            </w:r>
            <w:r>
              <w:rPr>
                <w:rFonts w:hint="eastAsia" w:ascii="宋体" w:hAnsi="宋体" w:eastAsia="宋体" w:cs="宋体"/>
                <w:kern w:val="2"/>
                <w:sz w:val="21"/>
                <w:szCs w:val="21"/>
                <w:highlight w:val="none"/>
                <w:lang w:eastAsia="zh-CN"/>
              </w:rPr>
              <w:t>2</w:t>
            </w:r>
            <w:r>
              <w:rPr>
                <w:rFonts w:hint="eastAsia" w:ascii="宋体" w:hAnsi="宋体" w:eastAsia="宋体" w:cs="宋体"/>
                <w:kern w:val="2"/>
                <w:sz w:val="21"/>
                <w:szCs w:val="21"/>
                <w:highlight w:val="none"/>
                <w:lang w:val="en-US" w:eastAsia="zh-CN"/>
              </w:rPr>
              <w:t>0</w:t>
            </w:r>
            <w:r>
              <w:rPr>
                <w:rFonts w:hint="eastAsia" w:ascii="宋体" w:hAnsi="宋体" w:eastAsia="宋体" w:cs="宋体"/>
                <w:color w:val="auto"/>
                <w:kern w:val="2"/>
                <w:sz w:val="21"/>
                <w:szCs w:val="21"/>
                <w:highlight w:val="none"/>
              </w:rPr>
              <w:t>名，按投标人总得分由高到低顺序推荐前</w:t>
            </w:r>
            <w:r>
              <w:rPr>
                <w:rFonts w:hint="eastAsia" w:ascii="宋体" w:hAnsi="宋体" w:eastAsia="宋体" w:cs="宋体"/>
                <w:kern w:val="2"/>
                <w:sz w:val="21"/>
                <w:szCs w:val="21"/>
                <w:highlight w:val="none"/>
                <w:lang w:eastAsia="zh-CN"/>
              </w:rPr>
              <w:t>2</w:t>
            </w:r>
            <w:r>
              <w:rPr>
                <w:rFonts w:hint="eastAsia" w:ascii="宋体" w:hAnsi="宋体" w:eastAsia="宋体" w:cs="宋体"/>
                <w:kern w:val="2"/>
                <w:sz w:val="21"/>
                <w:szCs w:val="21"/>
                <w:highlight w:val="none"/>
                <w:lang w:val="en-US" w:eastAsia="zh-CN"/>
              </w:rPr>
              <w:t>0</w:t>
            </w:r>
            <w:r>
              <w:rPr>
                <w:rFonts w:hint="eastAsia" w:ascii="宋体" w:hAnsi="宋体" w:eastAsia="宋体" w:cs="宋体"/>
                <w:color w:val="auto"/>
                <w:kern w:val="2"/>
                <w:sz w:val="21"/>
                <w:szCs w:val="21"/>
                <w:highlight w:val="none"/>
              </w:rPr>
              <w:t>名不排序的合格的中标候选人（总得分相同的，以资信业绩得分高的排前；资信业绩得分也相同的，以</w:t>
            </w:r>
            <w:r>
              <w:rPr>
                <w:rFonts w:hint="eastAsia" w:ascii="宋体" w:hAnsi="宋体" w:eastAsia="宋体" w:cs="宋体"/>
                <w:color w:val="auto"/>
                <w:kern w:val="2"/>
                <w:sz w:val="21"/>
                <w:szCs w:val="21"/>
                <w:highlight w:val="none"/>
                <w:lang w:eastAsia="zh-CN"/>
              </w:rPr>
              <w:t>项目实施方案</w:t>
            </w:r>
            <w:r>
              <w:rPr>
                <w:rFonts w:hint="eastAsia" w:ascii="宋体" w:hAnsi="宋体" w:eastAsia="宋体" w:cs="宋体"/>
                <w:color w:val="auto"/>
                <w:kern w:val="2"/>
                <w:sz w:val="21"/>
                <w:szCs w:val="21"/>
                <w:highlight w:val="none"/>
              </w:rPr>
              <w:t>得分高的排前；</w:t>
            </w:r>
            <w:r>
              <w:rPr>
                <w:rFonts w:hint="eastAsia" w:ascii="宋体" w:hAnsi="宋体" w:eastAsia="宋体" w:cs="宋体"/>
                <w:color w:val="auto"/>
                <w:kern w:val="2"/>
                <w:sz w:val="21"/>
                <w:szCs w:val="21"/>
                <w:highlight w:val="none"/>
                <w:lang w:eastAsia="zh-CN"/>
              </w:rPr>
              <w:t>项目实施方案</w:t>
            </w:r>
            <w:r>
              <w:rPr>
                <w:rFonts w:hint="eastAsia" w:ascii="宋体" w:hAnsi="宋体" w:eastAsia="宋体" w:cs="宋体"/>
                <w:color w:val="auto"/>
                <w:kern w:val="2"/>
                <w:sz w:val="21"/>
                <w:szCs w:val="21"/>
                <w:highlight w:val="none"/>
              </w:rPr>
              <w:t>得分也相同的，以报价低的排前；如均相同的，则以评标委员会通过记名投票方式确定排序。其排名顺序只作为评标阶段确定进入定标阶段的依据,不对定标工作产生影响），进入定标阶段。</w:t>
            </w:r>
          </w:p>
        </w:tc>
      </w:tr>
      <w:tr w14:paraId="27E1613E">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6F510547">
            <w:pPr>
              <w:spacing w:beforeLines="0" w:line="0" w:lineRule="atLeast"/>
              <w:jc w:val="center"/>
              <w:rPr>
                <w:rFonts w:ascii="Times New Roman" w:hAnsi="Times New Roman"/>
                <w:color w:val="000000"/>
                <w:szCs w:val="21"/>
              </w:rPr>
            </w:pPr>
            <w:r>
              <w:rPr>
                <w:rFonts w:ascii="Times New Roman" w:hAnsi="Times New Roman"/>
                <w:szCs w:val="21"/>
              </w:rPr>
              <w:t>7.1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34B8F709">
            <w:pPr>
              <w:spacing w:beforeLines="0" w:line="0" w:lineRule="atLeast"/>
              <w:jc w:val="left"/>
              <w:rPr>
                <w:rFonts w:ascii="Times New Roman" w:hAnsi="Times New Roman"/>
                <w:color w:val="000000"/>
                <w:szCs w:val="21"/>
              </w:rPr>
            </w:pPr>
            <w:r>
              <w:rPr>
                <w:rFonts w:hint="eastAsia" w:ascii="Times New Roman" w:hAnsi="Times New Roman"/>
                <w:szCs w:val="21"/>
              </w:rPr>
              <w:t>中标候选人公示媒介及期限</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51FFCD9D">
            <w:pPr>
              <w:spacing w:beforeLines="0" w:line="0" w:lineRule="atLeast"/>
              <w:rPr>
                <w:rFonts w:hint="default" w:ascii="宋体" w:hAnsi="宋体" w:eastAsia="宋体" w:cs="宋体"/>
                <w:szCs w:val="21"/>
                <w:highlight w:val="yellow"/>
                <w:lang w:val="en-US" w:eastAsia="zh-CN"/>
              </w:rPr>
            </w:pPr>
            <w:r>
              <w:rPr>
                <w:rFonts w:hint="eastAsia" w:ascii="Times New Roman" w:hAnsi="Times New Roman"/>
                <w:szCs w:val="21"/>
              </w:rPr>
              <w:t>公示</w:t>
            </w:r>
            <w:r>
              <w:rPr>
                <w:rFonts w:hint="eastAsia" w:ascii="宋体" w:hAnsi="宋体" w:eastAsia="宋体" w:cs="宋体"/>
                <w:szCs w:val="21"/>
              </w:rPr>
              <w:t>媒介：</w:t>
            </w:r>
            <w:r>
              <w:rPr>
                <w:rFonts w:hint="eastAsia" w:ascii="宋体" w:hAnsi="宋体" w:eastAsia="宋体" w:cs="宋体"/>
                <w:szCs w:val="21"/>
                <w:highlight w:val="none"/>
                <w:u w:val="single"/>
              </w:rPr>
              <w:t>中国招标投标公共服务平台、广州公共资源交易网</w:t>
            </w:r>
            <w:r>
              <w:rPr>
                <w:rFonts w:hint="eastAsia" w:ascii="宋体" w:hAnsi="宋体" w:eastAsia="宋体" w:cs="宋体"/>
                <w:szCs w:val="21"/>
                <w:highlight w:val="none"/>
                <w:u w:val="single"/>
                <w:lang w:eastAsia="zh-CN"/>
              </w:rPr>
              <w:t>、</w:t>
            </w:r>
            <w:r>
              <w:rPr>
                <w:rFonts w:hint="eastAsia" w:ascii="宋体" w:hAnsi="宋体" w:eastAsia="宋体" w:cs="宋体"/>
                <w:sz w:val="21"/>
                <w:szCs w:val="21"/>
                <w:highlight w:val="none"/>
                <w:u w:val="single"/>
              </w:rPr>
              <w:t>广州国企阳光采购信息发布平台</w:t>
            </w:r>
            <w:r>
              <w:rPr>
                <w:rFonts w:hint="eastAsia" w:ascii="宋体" w:hAnsi="宋体" w:cs="宋体"/>
                <w:sz w:val="21"/>
                <w:szCs w:val="21"/>
                <w:highlight w:val="none"/>
                <w:u w:val="single"/>
                <w:lang w:eastAsia="zh-CN"/>
              </w:rPr>
              <w:t>、</w:t>
            </w:r>
            <w:r>
              <w:rPr>
                <w:rFonts w:hint="eastAsia" w:ascii="宋体" w:hAnsi="宋体" w:eastAsia="宋体" w:cs="宋体"/>
                <w:szCs w:val="21"/>
                <w:highlight w:val="none"/>
                <w:u w:val="single"/>
              </w:rPr>
              <w:t>广东省招标投标监管网</w:t>
            </w:r>
          </w:p>
          <w:p w14:paraId="61B6ACFB">
            <w:pPr>
              <w:spacing w:beforeLines="0" w:line="0" w:lineRule="atLeast"/>
              <w:rPr>
                <w:rFonts w:hint="default" w:ascii="Times New Roman" w:hAnsi="Times New Roman" w:eastAsia="宋体"/>
                <w:color w:val="000000"/>
                <w:sz w:val="21"/>
                <w:szCs w:val="21"/>
                <w:lang w:val="en-US" w:eastAsia="zh-CN"/>
              </w:rPr>
            </w:pPr>
            <w:r>
              <w:rPr>
                <w:rFonts w:hint="eastAsia" w:ascii="宋体" w:hAnsi="宋体" w:eastAsia="宋体" w:cs="宋体"/>
                <w:szCs w:val="21"/>
              </w:rPr>
              <w:t>公示期限：</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3</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（不少于</w:t>
            </w:r>
            <w:r>
              <w:rPr>
                <w:rFonts w:hint="eastAsia" w:ascii="宋体" w:hAnsi="宋体" w:eastAsia="宋体" w:cs="宋体"/>
                <w:szCs w:val="21"/>
                <w:lang w:val="en-US" w:eastAsia="zh-CN"/>
              </w:rPr>
              <w:t>3日，最后一天应为工作日）</w:t>
            </w:r>
          </w:p>
        </w:tc>
      </w:tr>
      <w:tr w14:paraId="22633A65">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2CD0696D">
            <w:pPr>
              <w:spacing w:beforeLines="0" w:line="0" w:lineRule="atLeast"/>
              <w:jc w:val="center"/>
              <w:rPr>
                <w:rFonts w:ascii="Times New Roman" w:hAnsi="Times New Roman"/>
                <w:szCs w:val="21"/>
              </w:rPr>
            </w:pPr>
            <w:r>
              <w:rPr>
                <w:rFonts w:ascii="Times New Roman" w:hAnsi="Times New Roman"/>
                <w:szCs w:val="21"/>
              </w:rPr>
              <w:t>7.4</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656D08C2">
            <w:pPr>
              <w:spacing w:beforeLines="0" w:line="0" w:lineRule="atLeast"/>
              <w:jc w:val="left"/>
              <w:rPr>
                <w:rFonts w:ascii="Times New Roman" w:hAnsi="Times New Roman"/>
                <w:szCs w:val="21"/>
              </w:rPr>
            </w:pPr>
            <w:r>
              <w:rPr>
                <w:rFonts w:hint="eastAsia" w:ascii="Times New Roman" w:hAnsi="Times New Roman"/>
                <w:szCs w:val="21"/>
              </w:rPr>
              <w:t>是否授权评标委员会确定中标人</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2FD4771B">
            <w:pPr>
              <w:snapToGrid w:val="0"/>
              <w:spacing w:beforeLines="0" w:line="0" w:lineRule="atLeast"/>
              <w:rPr>
                <w:rFonts w:ascii="宋体" w:hAnsi="宋体"/>
                <w:color w:val="auto"/>
                <w:sz w:val="21"/>
                <w:szCs w:val="21"/>
                <w:highlight w:val="none"/>
              </w:rPr>
            </w:pPr>
            <w:r>
              <w:rPr>
                <w:rFonts w:ascii="宋体" w:hAnsi="宋体"/>
                <w:color w:val="auto"/>
                <w:sz w:val="21"/>
                <w:szCs w:val="21"/>
                <w:highlight w:val="none"/>
              </w:rPr>
              <w:t>□是</w:t>
            </w:r>
          </w:p>
          <w:p w14:paraId="4CD96203">
            <w:pPr>
              <w:snapToGrid w:val="0"/>
              <w:spacing w:beforeLines="0" w:line="0" w:lineRule="atLeast"/>
              <w:rPr>
                <w:rFonts w:ascii="宋体" w:hAnsi="宋体"/>
                <w:color w:val="auto"/>
                <w:sz w:val="21"/>
                <w:szCs w:val="21"/>
                <w:highlight w:val="none"/>
              </w:rPr>
            </w:pPr>
            <w:r>
              <w:rPr>
                <w:rFonts w:hint="eastAsia" w:ascii="宋体" w:hAnsi="宋体" w:cs="宋体"/>
                <w:color w:val="auto"/>
                <w:sz w:val="21"/>
                <w:szCs w:val="21"/>
                <w:highlight w:val="none"/>
              </w:rPr>
              <w:t>☑</w:t>
            </w:r>
            <w:r>
              <w:rPr>
                <w:rFonts w:ascii="宋体" w:hAnsi="宋体"/>
                <w:color w:val="auto"/>
                <w:sz w:val="21"/>
                <w:szCs w:val="21"/>
                <w:highlight w:val="none"/>
              </w:rPr>
              <w:t>否</w:t>
            </w:r>
          </w:p>
          <w:p w14:paraId="5D144413">
            <w:pPr>
              <w:pStyle w:val="60"/>
              <w:spacing w:beforeLines="0" w:line="0" w:lineRule="atLeast"/>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（1）定标工作由招标人依法组建的定标委员会负责。</w:t>
            </w:r>
          </w:p>
          <w:p w14:paraId="0836F5F5">
            <w:pPr>
              <w:pStyle w:val="60"/>
              <w:spacing w:beforeLines="0" w:line="0" w:lineRule="atLeast"/>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（2）定标委员会按照第三章评标、定标办法规定的定标方法、标准和程序，在评标委员会向招标人推荐的合格的中标候选人中，采用</w:t>
            </w:r>
            <w:r>
              <w:rPr>
                <w:rFonts w:hint="eastAsia" w:ascii="宋体" w:hAnsi="宋体" w:eastAsia="宋体" w:cs="Times New Roman"/>
                <w:color w:val="auto"/>
                <w:sz w:val="21"/>
                <w:szCs w:val="21"/>
                <w:highlight w:val="none"/>
                <w:u w:val="single"/>
                <w:lang w:eastAsia="zh-CN"/>
              </w:rPr>
              <w:t>“</w:t>
            </w:r>
            <w:r>
              <w:rPr>
                <w:rFonts w:hint="default" w:ascii="宋体" w:hAnsi="宋体" w:eastAsia="宋体" w:cs="Times New Roman"/>
                <w:color w:val="auto"/>
                <w:sz w:val="21"/>
                <w:szCs w:val="21"/>
                <w:highlight w:val="none"/>
                <w:u w:val="single"/>
              </w:rPr>
              <w:t>价格因素+履约能力因素</w:t>
            </w:r>
            <w:r>
              <w:rPr>
                <w:rFonts w:hint="eastAsia" w:ascii="宋体" w:hAnsi="宋体" w:eastAsia="宋体" w:cs="Times New Roman"/>
                <w:color w:val="auto"/>
                <w:sz w:val="21"/>
                <w:szCs w:val="21"/>
                <w:highlight w:val="none"/>
                <w:u w:val="single"/>
                <w:lang w:eastAsia="zh-CN"/>
              </w:rPr>
              <w:t>”</w:t>
            </w:r>
            <w:r>
              <w:rPr>
                <w:rFonts w:hint="eastAsia" w:ascii="宋体" w:hAnsi="宋体" w:cs="宋体"/>
                <w:color w:val="auto"/>
                <w:sz w:val="21"/>
                <w:szCs w:val="21"/>
                <w:highlight w:val="none"/>
                <w:u w:val="single"/>
                <w:lang w:eastAsia="zh-CN"/>
              </w:rPr>
              <w:t>评分</w:t>
            </w:r>
            <w:r>
              <w:rPr>
                <w:rFonts w:hint="eastAsia" w:ascii="宋体" w:hAnsi="宋体" w:cs="宋体"/>
                <w:color w:val="auto"/>
                <w:sz w:val="21"/>
                <w:szCs w:val="21"/>
                <w:highlight w:val="none"/>
                <w:u w:val="single"/>
              </w:rPr>
              <w:t>法方式确定中标人。</w:t>
            </w:r>
          </w:p>
          <w:p w14:paraId="5344CDDA">
            <w:pPr>
              <w:pStyle w:val="60"/>
              <w:spacing w:beforeLines="0" w:line="0" w:lineRule="atLeast"/>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（3）招标人应当在定标工作完成后的3日内公示中标结果。公示内容包括：定标时间、所有合格的中标候选人的</w:t>
            </w:r>
            <w:r>
              <w:rPr>
                <w:rFonts w:hint="eastAsia" w:ascii="宋体" w:hAnsi="宋体" w:cs="宋体"/>
                <w:color w:val="auto"/>
                <w:sz w:val="21"/>
                <w:szCs w:val="21"/>
                <w:highlight w:val="none"/>
                <w:u w:val="single"/>
                <w:lang w:eastAsia="zh-CN"/>
              </w:rPr>
              <w:t>得分情况</w:t>
            </w:r>
            <w:r>
              <w:rPr>
                <w:rFonts w:hint="eastAsia" w:ascii="宋体" w:hAnsi="宋体" w:cs="宋体"/>
                <w:color w:val="auto"/>
                <w:sz w:val="21"/>
                <w:szCs w:val="21"/>
                <w:highlight w:val="none"/>
                <w:u w:val="single"/>
              </w:rPr>
              <w:t>、中标人等内容。</w:t>
            </w:r>
          </w:p>
          <w:p w14:paraId="7FD9B69C">
            <w:pPr>
              <w:spacing w:beforeLines="0" w:line="0" w:lineRule="atLeast"/>
              <w:rPr>
                <w:rFonts w:ascii="Times New Roman" w:hAnsi="Times New Roman"/>
                <w:szCs w:val="21"/>
              </w:rPr>
            </w:pPr>
            <w:r>
              <w:rPr>
                <w:rFonts w:hint="eastAsia" w:ascii="宋体" w:hAnsi="宋体" w:cs="宋体"/>
                <w:color w:val="auto"/>
                <w:sz w:val="21"/>
                <w:szCs w:val="21"/>
                <w:highlight w:val="none"/>
                <w:u w:val="single"/>
              </w:rPr>
              <w:t>（4）定标后出现中标人不符合法定情形的，招标人可从其他合格的中标候选人中采用原定标办法，由原定标委员会确定中标人，也可以重新招标。</w:t>
            </w:r>
          </w:p>
        </w:tc>
      </w:tr>
      <w:tr w14:paraId="465ED86B">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732002AF">
            <w:pPr>
              <w:spacing w:beforeLines="0" w:line="0" w:lineRule="atLeast"/>
              <w:jc w:val="center"/>
              <w:rPr>
                <w:rFonts w:ascii="Times New Roman" w:hAnsi="Times New Roman"/>
                <w:color w:val="000000"/>
                <w:szCs w:val="21"/>
              </w:rPr>
            </w:pPr>
            <w:r>
              <w:rPr>
                <w:rFonts w:ascii="Times New Roman" w:hAnsi="Times New Roman"/>
                <w:color w:val="000000"/>
                <w:szCs w:val="21"/>
              </w:rPr>
              <w:t>7.</w:t>
            </w:r>
            <w:r>
              <w:rPr>
                <w:rFonts w:ascii="Times New Roman" w:hAnsi="Times New Roman"/>
                <w:szCs w:val="21"/>
              </w:rPr>
              <w:t>6.</w:t>
            </w:r>
            <w:r>
              <w:rPr>
                <w:rFonts w:ascii="Times New Roman" w:hAnsi="Times New Roman"/>
                <w:color w:val="000000"/>
                <w:szCs w:val="21"/>
              </w:rPr>
              <w:t>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08F01964">
            <w:pPr>
              <w:spacing w:beforeLines="0" w:line="0" w:lineRule="atLeast"/>
              <w:jc w:val="center"/>
              <w:rPr>
                <w:rFonts w:ascii="Times New Roman" w:hAnsi="Times New Roman"/>
                <w:color w:val="000000"/>
                <w:szCs w:val="21"/>
              </w:rPr>
            </w:pPr>
            <w:r>
              <w:rPr>
                <w:rFonts w:hint="eastAsia" w:ascii="Times New Roman" w:hAnsi="Times New Roman"/>
                <w:szCs w:val="21"/>
              </w:rPr>
              <w:t>履约保证金</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3C9F28D1">
            <w:pPr>
              <w:pStyle w:val="10"/>
              <w:topLinePunct/>
              <w:spacing w:beforeLines="0" w:after="0" w:line="0" w:lineRule="atLeast"/>
              <w:rPr>
                <w:rFonts w:hint="eastAsia" w:ascii="宋体" w:hAnsi="宋体" w:eastAsia="宋体" w:cs="宋体"/>
                <w:sz w:val="21"/>
                <w:szCs w:val="21"/>
              </w:rPr>
            </w:pPr>
            <w:r>
              <w:rPr>
                <w:rFonts w:hint="eastAsia" w:ascii="宋体" w:hAnsi="宋体" w:eastAsia="宋体" w:cs="宋体"/>
                <w:sz w:val="21"/>
                <w:szCs w:val="21"/>
              </w:rPr>
              <w:t>是否要求中标人提交履约保证金：</w:t>
            </w:r>
          </w:p>
          <w:p w14:paraId="71DE0F62">
            <w:pPr>
              <w:pStyle w:val="10"/>
              <w:topLinePunct/>
              <w:spacing w:beforeLines="0" w:after="0" w:line="0" w:lineRule="atLeast"/>
              <w:rPr>
                <w:rFonts w:hint="eastAsia" w:ascii="宋体" w:hAnsi="宋体" w:eastAsia="宋体" w:cs="宋体"/>
                <w:color w:val="auto"/>
                <w:sz w:val="21"/>
                <w:szCs w:val="21"/>
                <w:highlight w:val="none"/>
                <w:u w:val="single"/>
              </w:rPr>
            </w:pPr>
            <w:r>
              <w:rPr>
                <w:rFonts w:hint="eastAsia" w:ascii="宋体" w:hAnsi="宋体" w:eastAsia="宋体" w:cs="宋体"/>
                <w:color w:val="000000"/>
                <w:sz w:val="21"/>
                <w:szCs w:val="21"/>
                <w:lang w:eastAsia="zh-CN"/>
              </w:rPr>
              <w:t>☑</w:t>
            </w:r>
            <w:r>
              <w:rPr>
                <w:rFonts w:hint="eastAsia" w:ascii="宋体" w:hAnsi="宋体" w:eastAsia="宋体" w:cs="宋体"/>
                <w:sz w:val="21"/>
                <w:szCs w:val="21"/>
              </w:rPr>
              <w:t>要求，履约保证金的金额：</w:t>
            </w:r>
            <w:r>
              <w:rPr>
                <w:rFonts w:hint="eastAsia" w:ascii="宋体" w:hAnsi="宋体" w:eastAsia="宋体" w:cs="宋体"/>
                <w:color w:val="auto"/>
                <w:sz w:val="21"/>
                <w:szCs w:val="21"/>
                <w:highlight w:val="none"/>
                <w:u w:val="single"/>
              </w:rPr>
              <w:t>中标价款（人民币）10%</w:t>
            </w:r>
            <w:r>
              <w:rPr>
                <w:rFonts w:hint="eastAsia" w:ascii="宋体" w:hAnsi="宋体" w:eastAsia="宋体" w:cs="宋体"/>
                <w:b w:val="0"/>
                <w:bCs w:val="0"/>
                <w:color w:val="auto"/>
                <w:sz w:val="21"/>
                <w:szCs w:val="21"/>
                <w:highlight w:val="none"/>
                <w:u w:val="single"/>
                <w:vertAlign w:val="baseline"/>
                <w:lang w:val="en-US" w:eastAsia="zh-CN"/>
              </w:rPr>
              <w:t>【中小企业为5%（如有）】</w:t>
            </w:r>
            <w:r>
              <w:rPr>
                <w:rFonts w:hint="eastAsia" w:ascii="宋体" w:hAnsi="宋体" w:eastAsia="宋体" w:cs="宋体"/>
                <w:color w:val="auto"/>
                <w:sz w:val="21"/>
                <w:szCs w:val="21"/>
                <w:highlight w:val="none"/>
                <w:u w:val="single"/>
              </w:rPr>
              <w:t>。</w:t>
            </w:r>
          </w:p>
          <w:p w14:paraId="29B2485D">
            <w:pPr>
              <w:spacing w:beforeLines="0" w:line="0" w:lineRule="atLeast"/>
              <w:ind w:firstLine="840" w:firstLineChars="400"/>
              <w:rPr>
                <w:rFonts w:hint="eastAsia" w:ascii="宋体" w:hAnsi="宋体" w:eastAsia="宋体" w:cs="宋体"/>
                <w:sz w:val="21"/>
                <w:szCs w:val="21"/>
              </w:rPr>
            </w:pPr>
            <w:r>
              <w:rPr>
                <w:rFonts w:hint="eastAsia" w:ascii="宋体" w:hAnsi="宋体" w:eastAsia="宋体" w:cs="宋体"/>
                <w:sz w:val="21"/>
                <w:szCs w:val="21"/>
              </w:rPr>
              <w:t>履约保证金的形式：</w:t>
            </w:r>
            <w:r>
              <w:rPr>
                <w:rFonts w:hint="eastAsia" w:ascii="宋体" w:hAnsi="宋体" w:eastAsia="宋体" w:cs="宋体"/>
                <w:sz w:val="21"/>
                <w:szCs w:val="21"/>
                <w:lang w:eastAsia="zh-CN"/>
              </w:rPr>
              <w:t>按</w:t>
            </w:r>
            <w:r>
              <w:rPr>
                <w:rFonts w:hint="eastAsia" w:ascii="宋体" w:hAnsi="宋体" w:eastAsia="宋体" w:cs="宋体"/>
                <w:sz w:val="21"/>
                <w:szCs w:val="21"/>
                <w:lang w:val="en-US" w:eastAsia="zh-CN"/>
              </w:rPr>
              <w:t>合同要求</w:t>
            </w:r>
          </w:p>
          <w:p w14:paraId="65476C48">
            <w:pPr>
              <w:pStyle w:val="10"/>
              <w:topLinePunct/>
              <w:spacing w:beforeLines="0" w:after="0" w:line="0" w:lineRule="atLeast"/>
              <w:rPr>
                <w:rFonts w:ascii="Times New Roman" w:hAnsi="Times New Roman"/>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不要求</w:t>
            </w:r>
          </w:p>
        </w:tc>
      </w:tr>
      <w:tr w14:paraId="0F11156B">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6B6B5619">
            <w:pPr>
              <w:spacing w:beforeLines="0" w:line="0" w:lineRule="atLeast"/>
              <w:jc w:val="center"/>
              <w:rPr>
                <w:rFonts w:ascii="Times New Roman" w:hAnsi="Times New Roman"/>
                <w:color w:val="auto"/>
                <w:szCs w:val="21"/>
              </w:rPr>
            </w:pPr>
            <w:r>
              <w:rPr>
                <w:rFonts w:ascii="Times New Roman" w:hAnsi="Times New Roman"/>
                <w:color w:val="auto"/>
                <w:szCs w:val="21"/>
              </w:rPr>
              <w:t>9</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0CD86CBF">
            <w:pPr>
              <w:spacing w:beforeLines="0" w:line="0" w:lineRule="atLeast"/>
              <w:jc w:val="center"/>
              <w:rPr>
                <w:rFonts w:ascii="Times New Roman" w:hAnsi="Times New Roman"/>
                <w:color w:val="auto"/>
                <w:szCs w:val="21"/>
              </w:rPr>
            </w:pPr>
            <w:r>
              <w:rPr>
                <w:rFonts w:hint="eastAsia" w:ascii="Times New Roman" w:hAnsi="Times New Roman"/>
                <w:color w:val="auto"/>
                <w:szCs w:val="21"/>
              </w:rPr>
              <w:t>是否采用电子招标投标</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101CB07D">
            <w:pPr>
              <w:spacing w:beforeLines="0" w:line="0" w:lineRule="atLeast"/>
              <w:rPr>
                <w:rFonts w:ascii="Times New Roman" w:hAnsi="Times New Roman"/>
                <w:color w:val="auto"/>
                <w:szCs w:val="21"/>
              </w:rPr>
            </w:pPr>
            <w:r>
              <w:rPr>
                <w:rFonts w:hint="eastAsia" w:ascii="Times New Roman" w:hAnsi="Times New Roman"/>
                <w:color w:val="000000"/>
                <w:sz w:val="21"/>
                <w:szCs w:val="21"/>
                <w:lang w:eastAsia="zh-CN"/>
              </w:rPr>
              <w:t>□</w:t>
            </w:r>
            <w:r>
              <w:rPr>
                <w:rFonts w:hint="eastAsia" w:ascii="Times New Roman" w:hAnsi="Times New Roman"/>
                <w:color w:val="auto"/>
                <w:szCs w:val="21"/>
              </w:rPr>
              <w:t>否</w:t>
            </w:r>
          </w:p>
          <w:p w14:paraId="39D758A7">
            <w:pPr>
              <w:spacing w:beforeLines="0" w:line="0" w:lineRule="atLeast"/>
              <w:rPr>
                <w:rFonts w:hint="eastAsia" w:ascii="Times New Roman" w:hAnsi="Times New Roman" w:eastAsia="宋体"/>
                <w:color w:val="auto"/>
                <w:sz w:val="21"/>
                <w:szCs w:val="21"/>
                <w:lang w:eastAsia="zh-CN"/>
              </w:rPr>
            </w:pPr>
            <w:r>
              <w:rPr>
                <w:rFonts w:hint="eastAsia" w:ascii="Times New Roman" w:hAnsi="Times New Roman"/>
                <w:color w:val="000000"/>
                <w:sz w:val="21"/>
                <w:szCs w:val="21"/>
                <w:lang w:eastAsia="zh-CN"/>
              </w:rPr>
              <w:sym w:font="Wingdings 2" w:char="0052"/>
            </w:r>
            <w:r>
              <w:rPr>
                <w:rFonts w:hint="eastAsia"/>
                <w:color w:val="000000"/>
                <w:sz w:val="21"/>
                <w:szCs w:val="21"/>
              </w:rPr>
              <w:t>是</w:t>
            </w:r>
            <w:r>
              <w:rPr>
                <w:rFonts w:hint="eastAsia"/>
                <w:color w:val="000000"/>
                <w:sz w:val="21"/>
                <w:szCs w:val="21"/>
                <w:lang w:eastAsia="zh-CN"/>
              </w:rPr>
              <w:t>，采用全流程电子招标投标。</w:t>
            </w:r>
          </w:p>
        </w:tc>
      </w:tr>
      <w:tr w14:paraId="08A1005B">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329D1893">
            <w:pPr>
              <w:spacing w:beforeLines="0" w:line="0" w:lineRule="atLeast"/>
              <w:jc w:val="center"/>
              <w:rPr>
                <w:rFonts w:ascii="Times New Roman" w:hAnsi="Times New Roman"/>
                <w:color w:val="000000"/>
                <w:szCs w:val="21"/>
              </w:rPr>
            </w:pPr>
            <w:r>
              <w:rPr>
                <w:rFonts w:ascii="Times New Roman" w:hAnsi="Times New Roman"/>
                <w:color w:val="000000"/>
                <w:szCs w:val="21"/>
              </w:rPr>
              <w:t>10</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0FC3429">
            <w:pPr>
              <w:spacing w:beforeLines="0" w:line="0" w:lineRule="atLeast"/>
              <w:jc w:val="center"/>
              <w:rPr>
                <w:rFonts w:ascii="Times New Roman" w:hAnsi="Times New Roman"/>
                <w:szCs w:val="21"/>
              </w:rPr>
            </w:pPr>
            <w:r>
              <w:rPr>
                <w:rFonts w:hint="eastAsia" w:ascii="Times New Roman" w:hAnsi="Times New Roman"/>
                <w:szCs w:val="21"/>
              </w:rPr>
              <w:t>需要补充的其他内容</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2F059F78">
            <w:pPr>
              <w:spacing w:beforeLines="0" w:line="0" w:lineRule="atLeast"/>
              <w:rPr>
                <w:rFonts w:ascii="Times New Roman" w:hAnsi="Times New Roman"/>
                <w:color w:val="000000"/>
                <w:sz w:val="21"/>
                <w:szCs w:val="21"/>
              </w:rPr>
            </w:pPr>
          </w:p>
        </w:tc>
      </w:tr>
      <w:tr w14:paraId="58847D6B">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6AAAB4D5">
            <w:pPr>
              <w:snapToGrid w:val="0"/>
              <w:spacing w:beforeLines="0" w:line="0" w:lineRule="atLeast"/>
              <w:jc w:val="center"/>
              <w:rPr>
                <w:rFonts w:ascii="Times New Roman" w:hAnsi="Times New Roman"/>
                <w:color w:val="000000"/>
                <w:szCs w:val="21"/>
              </w:rPr>
            </w:pPr>
            <w:bookmarkStart w:id="56" w:name="_Toc17454922"/>
            <w:bookmarkStart w:id="57" w:name="_Toc17556931"/>
            <w:bookmarkStart w:id="58" w:name="_Toc262229161"/>
            <w:bookmarkStart w:id="59" w:name="_Toc17452664"/>
            <w:bookmarkStart w:id="60" w:name="_Toc17451101"/>
            <w:bookmarkStart w:id="61" w:name="_Toc17451623"/>
            <w:bookmarkStart w:id="62" w:name="_Toc17454871"/>
            <w:bookmarkStart w:id="63" w:name="_Toc17556876"/>
            <w:bookmarkStart w:id="64" w:name="_Toc26588"/>
            <w:bookmarkStart w:id="65" w:name="_Toc17451578"/>
            <w:r>
              <w:rPr>
                <w:rFonts w:hint="eastAsia" w:ascii="宋体" w:hAnsi="宋体" w:cs="宋体"/>
                <w:szCs w:val="21"/>
                <w:highlight w:val="none"/>
              </w:rPr>
              <w:t>10.1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ED63B18">
            <w:pPr>
              <w:snapToGrid w:val="0"/>
              <w:spacing w:beforeLines="0" w:line="0" w:lineRule="atLeast"/>
              <w:jc w:val="center"/>
              <w:rPr>
                <w:rFonts w:hint="eastAsia" w:ascii="Times New Roman" w:hAnsi="Times New Roman"/>
                <w:szCs w:val="21"/>
              </w:rPr>
            </w:pPr>
            <w:r>
              <w:rPr>
                <w:rFonts w:hint="eastAsia" w:ascii="宋体" w:hAnsi="宋体" w:cs="宋体"/>
                <w:szCs w:val="21"/>
                <w:highlight w:val="none"/>
              </w:rPr>
              <w:t>特别提示</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041D41BC">
            <w:pPr>
              <w:widowControl/>
              <w:shd w:val="clear" w:color="auto" w:fill="FFFFFF"/>
              <w:spacing w:beforeLines="0" w:line="0" w:lineRule="atLeast"/>
              <w:jc w:val="left"/>
              <w:rPr>
                <w:rFonts w:ascii="宋体" w:hAnsi="宋体" w:cs="宋体"/>
                <w:kern w:val="0"/>
                <w:szCs w:val="21"/>
                <w:highlight w:val="none"/>
              </w:rPr>
            </w:pPr>
            <w:r>
              <w:rPr>
                <w:rFonts w:ascii="宋体" w:hAnsi="宋体" w:cs="宋体"/>
                <w:kern w:val="0"/>
                <w:szCs w:val="21"/>
                <w:highlight w:val="none"/>
              </w:rPr>
              <w:t>投标人在本项目招标人的工程项目中存在下列行为的，将被拒绝</w:t>
            </w:r>
            <w:r>
              <w:rPr>
                <w:rFonts w:hint="eastAsia" w:ascii="宋体" w:hAnsi="宋体" w:cs="宋体"/>
                <w:kern w:val="0"/>
                <w:szCs w:val="21"/>
                <w:highlight w:val="none"/>
                <w:lang w:val="en-US" w:eastAsia="zh-CN"/>
              </w:rPr>
              <w:t>一年内</w:t>
            </w:r>
            <w:r>
              <w:rPr>
                <w:rFonts w:ascii="宋体" w:hAnsi="宋体" w:cs="宋体"/>
                <w:kern w:val="0"/>
                <w:szCs w:val="21"/>
                <w:highlight w:val="none"/>
              </w:rPr>
              <w:t>参与我单位后续工程投标。</w:t>
            </w:r>
          </w:p>
          <w:p w14:paraId="72558CAA">
            <w:pPr>
              <w:widowControl/>
              <w:shd w:val="clear" w:color="auto" w:fill="FFFFFF"/>
              <w:spacing w:beforeLines="0" w:line="0" w:lineRule="atLeast"/>
              <w:jc w:val="left"/>
              <w:rPr>
                <w:rFonts w:ascii="宋体" w:hAnsi="宋体" w:cs="宋体"/>
                <w:kern w:val="0"/>
                <w:szCs w:val="21"/>
                <w:highlight w:val="none"/>
              </w:rPr>
            </w:pPr>
            <w:r>
              <w:rPr>
                <w:rFonts w:hint="eastAsia" w:ascii="宋体" w:hAnsi="宋体" w:cs="宋体"/>
                <w:kern w:val="0"/>
                <w:szCs w:val="21"/>
                <w:highlight w:val="none"/>
              </w:rPr>
              <w:t>（1）将中标工程转包或者违法分包的；</w:t>
            </w:r>
          </w:p>
          <w:p w14:paraId="6D53BB1F">
            <w:pPr>
              <w:widowControl/>
              <w:shd w:val="clear" w:color="auto" w:fill="FFFFFF"/>
              <w:spacing w:beforeLines="0" w:line="0" w:lineRule="atLeast"/>
              <w:jc w:val="left"/>
              <w:rPr>
                <w:rFonts w:hint="eastAsia" w:ascii="宋体" w:hAnsi="宋体" w:cs="宋体"/>
                <w:kern w:val="0"/>
                <w:szCs w:val="21"/>
                <w:highlight w:val="none"/>
              </w:rPr>
            </w:pPr>
            <w:r>
              <w:rPr>
                <w:rFonts w:hint="eastAsia" w:ascii="宋体" w:hAnsi="宋体" w:cs="宋体"/>
                <w:kern w:val="0"/>
                <w:szCs w:val="21"/>
                <w:highlight w:val="none"/>
              </w:rPr>
              <w:t>（2）在中标工程中不执行质量、安全生产相关规定的，造成质量或安全事故的；</w:t>
            </w:r>
          </w:p>
          <w:p w14:paraId="67B9691B">
            <w:pPr>
              <w:widowControl/>
              <w:shd w:val="clear" w:color="auto" w:fill="FFFFFF"/>
              <w:spacing w:beforeLines="0" w:line="0" w:lineRule="atLeast"/>
              <w:jc w:val="left"/>
              <w:rPr>
                <w:rFonts w:hint="eastAsia" w:ascii="宋体" w:hAnsi="宋体" w:cs="宋体"/>
                <w:kern w:val="0"/>
                <w:szCs w:val="21"/>
                <w:highlight w:val="none"/>
              </w:rPr>
            </w:pPr>
            <w:r>
              <w:rPr>
                <w:rFonts w:hint="eastAsia" w:ascii="宋体" w:hAnsi="宋体" w:cs="宋体"/>
                <w:kern w:val="0"/>
                <w:szCs w:val="21"/>
                <w:highlight w:val="none"/>
              </w:rPr>
              <w:t>（3）存在围标或串标情形的；</w:t>
            </w:r>
          </w:p>
          <w:p w14:paraId="2D1328EF">
            <w:pPr>
              <w:snapToGrid w:val="0"/>
              <w:spacing w:beforeLines="0" w:line="0" w:lineRule="atLeast"/>
              <w:rPr>
                <w:rFonts w:ascii="Times New Roman" w:hAnsi="Times New Roman"/>
                <w:color w:val="000000"/>
                <w:sz w:val="21"/>
                <w:szCs w:val="21"/>
              </w:rPr>
            </w:pPr>
            <w:r>
              <w:rPr>
                <w:rFonts w:hint="eastAsia" w:ascii="宋体" w:hAnsi="宋体" w:cs="宋体"/>
                <w:kern w:val="0"/>
                <w:szCs w:val="21"/>
                <w:highlight w:val="none"/>
              </w:rPr>
              <w:t>（4）存在弄虚作假骗取中标情形的；</w:t>
            </w:r>
          </w:p>
        </w:tc>
      </w:tr>
      <w:tr w14:paraId="3081C93E">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5BE7A3C5">
            <w:pPr>
              <w:snapToGrid w:val="0"/>
              <w:spacing w:beforeLines="0" w:line="0" w:lineRule="atLeast"/>
              <w:jc w:val="center"/>
              <w:rPr>
                <w:rFonts w:hint="eastAsia" w:ascii="Times New Roman" w:hAnsi="Times New Roman" w:eastAsia="宋体"/>
                <w:color w:val="000000"/>
                <w:szCs w:val="21"/>
                <w:lang w:eastAsia="zh-CN"/>
              </w:rPr>
            </w:pPr>
            <w:r>
              <w:rPr>
                <w:rFonts w:hint="eastAsia" w:ascii="宋体" w:hAnsi="宋体" w:cs="宋体"/>
                <w:szCs w:val="21"/>
                <w:highlight w:val="none"/>
              </w:rPr>
              <w:t>10.</w:t>
            </w:r>
            <w:r>
              <w:rPr>
                <w:rFonts w:hint="eastAsia" w:ascii="宋体" w:hAnsi="宋体" w:cs="宋体"/>
                <w:szCs w:val="21"/>
                <w:highlight w:val="none"/>
                <w:lang w:val="en-US" w:eastAsia="zh-CN"/>
              </w:rPr>
              <w:t>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64CE0643">
            <w:pPr>
              <w:widowControl/>
              <w:shd w:val="clear" w:color="auto" w:fill="FFFFFF"/>
              <w:adjustRightInd w:val="0"/>
              <w:spacing w:beforeLines="0" w:line="0" w:lineRule="atLeast"/>
              <w:jc w:val="center"/>
              <w:rPr>
                <w:rFonts w:hint="eastAsia" w:ascii="Times New Roman" w:hAnsi="Times New Roman"/>
                <w:szCs w:val="21"/>
              </w:rPr>
            </w:pPr>
            <w:r>
              <w:rPr>
                <w:rFonts w:hint="eastAsia" w:ascii="宋体" w:hAnsi="宋体" w:cs="宋体"/>
                <w:szCs w:val="21"/>
                <w:highlight w:val="none"/>
              </w:rPr>
              <w:t>招标失败情形</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24EEC698">
            <w:pPr>
              <w:spacing w:beforeLines="0" w:line="0" w:lineRule="atLeast"/>
              <w:ind w:left="0" w:leftChars="0"/>
              <w:rPr>
                <w:rFonts w:ascii="Times New Roman" w:hAnsi="Times New Roman"/>
                <w:color w:val="000000"/>
                <w:sz w:val="21"/>
                <w:szCs w:val="21"/>
              </w:rPr>
            </w:pPr>
            <w:r>
              <w:rPr>
                <w:rFonts w:hint="eastAsia" w:ascii="宋体" w:hAnsi="宋体"/>
                <w:szCs w:val="21"/>
                <w:highlight w:val="none"/>
              </w:rPr>
              <w:t>本项目采用资格后审方式，满足资格审查合格条件或通过初步评审的投标申请人不足</w:t>
            </w:r>
            <w:r>
              <w:rPr>
                <w:rFonts w:ascii="宋体" w:hAnsi="宋体"/>
                <w:szCs w:val="21"/>
                <w:highlight w:val="none"/>
              </w:rPr>
              <w:t>3</w:t>
            </w:r>
            <w:r>
              <w:rPr>
                <w:rFonts w:hint="eastAsia" w:ascii="宋体" w:hAnsi="宋体"/>
                <w:szCs w:val="21"/>
                <w:highlight w:val="none"/>
              </w:rPr>
              <w:t>名时为招标失败。招标人分析招标失败原因，修正招标方案，报有关管理部门核准后，重新组织招标。</w:t>
            </w:r>
          </w:p>
        </w:tc>
      </w:tr>
      <w:tr w14:paraId="3E981D23">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23DBC864">
            <w:pPr>
              <w:snapToGrid/>
              <w:spacing w:beforeLines="0" w:line="0" w:lineRule="atLeas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rPr>
              <w:t>10.</w:t>
            </w:r>
            <w:r>
              <w:rPr>
                <w:rFonts w:hint="eastAsia" w:ascii="宋体" w:hAnsi="宋体" w:cs="Times New Roman"/>
                <w:sz w:val="21"/>
                <w:szCs w:val="21"/>
                <w:highlight w:val="none"/>
                <w:lang w:val="en-US" w:eastAsia="zh-CN"/>
              </w:rPr>
              <w:t>3</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53A91943">
            <w:pPr>
              <w:widowControl/>
              <w:shd w:val="clear" w:color="auto" w:fill="auto"/>
              <w:adjustRightInd/>
              <w:spacing w:beforeLines="0" w:line="0" w:lineRule="atLeas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eastAsia="zh-CN"/>
              </w:rPr>
              <w:t>合格</w:t>
            </w:r>
            <w:r>
              <w:rPr>
                <w:rFonts w:hint="eastAsia" w:ascii="宋体" w:hAnsi="宋体" w:eastAsia="宋体" w:cs="Times New Roman"/>
                <w:color w:val="auto"/>
                <w:sz w:val="21"/>
                <w:szCs w:val="21"/>
                <w:highlight w:val="none"/>
              </w:rPr>
              <w:t>中标候选人放弃</w:t>
            </w:r>
            <w:r>
              <w:rPr>
                <w:rFonts w:hint="eastAsia" w:ascii="宋体" w:hAnsi="宋体" w:eastAsia="宋体" w:cs="Times New Roman"/>
                <w:color w:val="auto"/>
                <w:sz w:val="21"/>
                <w:szCs w:val="21"/>
                <w:highlight w:val="none"/>
                <w:lang w:eastAsia="zh-CN"/>
              </w:rPr>
              <w:t>入围</w:t>
            </w:r>
            <w:r>
              <w:rPr>
                <w:rFonts w:hint="eastAsia" w:ascii="宋体" w:hAnsi="宋体" w:eastAsia="宋体" w:cs="Times New Roman"/>
                <w:color w:val="auto"/>
                <w:sz w:val="21"/>
                <w:szCs w:val="21"/>
                <w:highlight w:val="none"/>
              </w:rPr>
              <w:t>资格情形</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2FA0811D">
            <w:pPr>
              <w:spacing w:beforeLines="0" w:line="0" w:lineRule="atLeas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u w:val="none"/>
              </w:rPr>
              <w:t>合格中标候选人放弃入围资格或查实存在违法违规行为被取消合格中标候选人资格的，如剩余合格中标候选人大于或等于3名时，招标人可继续定标。合格中标候选人不足3家的，招标人应重新招标</w:t>
            </w:r>
            <w:r>
              <w:rPr>
                <w:rFonts w:hint="eastAsia" w:ascii="宋体" w:hAnsi="宋体" w:eastAsia="宋体" w:cs="Times New Roman"/>
                <w:color w:val="auto"/>
                <w:sz w:val="21"/>
                <w:szCs w:val="21"/>
                <w:highlight w:val="none"/>
              </w:rPr>
              <w:t>。</w:t>
            </w:r>
          </w:p>
        </w:tc>
      </w:tr>
      <w:tr w14:paraId="0A91E6D6">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2557FB13">
            <w:pPr>
              <w:snapToGrid/>
              <w:spacing w:beforeLines="0" w:line="0" w:lineRule="atLeas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rPr>
              <w:t>10.</w:t>
            </w:r>
            <w:r>
              <w:rPr>
                <w:rFonts w:hint="eastAsia" w:ascii="宋体" w:hAnsi="宋体" w:cs="Times New Roman"/>
                <w:sz w:val="21"/>
                <w:szCs w:val="21"/>
                <w:highlight w:val="none"/>
                <w:lang w:val="en-US" w:eastAsia="zh-CN"/>
              </w:rPr>
              <w:t>4</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52FD0A7">
            <w:pPr>
              <w:widowControl/>
              <w:shd w:val="clear" w:color="auto" w:fill="auto"/>
              <w:adjustRightInd/>
              <w:spacing w:beforeLines="0" w:line="0" w:lineRule="atLeas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eastAsia="zh-CN"/>
              </w:rPr>
              <w:t>合格</w:t>
            </w:r>
            <w:r>
              <w:rPr>
                <w:rFonts w:hint="eastAsia" w:ascii="宋体" w:hAnsi="宋体" w:eastAsia="宋体" w:cs="Times New Roman"/>
                <w:color w:val="auto"/>
                <w:sz w:val="21"/>
                <w:szCs w:val="21"/>
                <w:highlight w:val="none"/>
              </w:rPr>
              <w:t>中标候选人公示要求</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11EFE306">
            <w:pPr>
              <w:spacing w:beforeLines="0" w:line="0" w:lineRule="atLeas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rPr>
              <w:t>在产生</w:t>
            </w:r>
            <w:r>
              <w:rPr>
                <w:rFonts w:hint="eastAsia" w:ascii="宋体" w:hAnsi="宋体" w:eastAsia="宋体" w:cs="Times New Roman"/>
                <w:color w:val="auto"/>
                <w:kern w:val="2"/>
                <w:sz w:val="21"/>
                <w:szCs w:val="21"/>
                <w:highlight w:val="none"/>
                <w:lang w:eastAsia="zh-CN"/>
              </w:rPr>
              <w:t>合格</w:t>
            </w:r>
            <w:r>
              <w:rPr>
                <w:rFonts w:hint="eastAsia" w:ascii="宋体" w:hAnsi="宋体" w:eastAsia="宋体" w:cs="Times New Roman"/>
                <w:color w:val="auto"/>
                <w:kern w:val="2"/>
                <w:sz w:val="21"/>
                <w:szCs w:val="21"/>
                <w:highlight w:val="none"/>
              </w:rPr>
              <w:t>中标候选人后，招标人将中标候选人的投标文件商务部分的所有内容（包括人员、业绩、奖项等资料）在</w:t>
            </w:r>
            <w:r>
              <w:rPr>
                <w:rFonts w:hint="eastAsia" w:ascii="宋体" w:hAnsi="宋体" w:eastAsia="宋体" w:cs="Times New Roman"/>
                <w:color w:val="auto"/>
                <w:sz w:val="21"/>
                <w:szCs w:val="21"/>
                <w:highlight w:val="none"/>
                <w:u w:val="none"/>
              </w:rPr>
              <w:t>广州交易集团有限公司（广州公共资源交易中心）</w:t>
            </w:r>
            <w:r>
              <w:rPr>
                <w:rFonts w:hint="eastAsia" w:ascii="宋体" w:hAnsi="宋体" w:eastAsia="宋体" w:cs="Times New Roman"/>
                <w:color w:val="auto"/>
                <w:kern w:val="2"/>
                <w:sz w:val="21"/>
                <w:szCs w:val="21"/>
                <w:highlight w:val="none"/>
                <w:u w:val="none"/>
              </w:rPr>
              <w:t>网站</w:t>
            </w:r>
            <w:r>
              <w:rPr>
                <w:rFonts w:hint="eastAsia" w:ascii="宋体" w:hAnsi="宋体" w:eastAsia="宋体" w:cs="Times New Roman"/>
                <w:color w:val="auto"/>
                <w:kern w:val="2"/>
                <w:sz w:val="21"/>
                <w:szCs w:val="21"/>
                <w:highlight w:val="none"/>
              </w:rPr>
              <w:t>公开。</w:t>
            </w:r>
          </w:p>
        </w:tc>
      </w:tr>
      <w:tr w14:paraId="48F59CE2">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0374094A">
            <w:pPr>
              <w:snapToGrid/>
              <w:spacing w:beforeLines="0" w:line="0" w:lineRule="atLeas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rPr>
              <w:t>10.</w:t>
            </w:r>
            <w:r>
              <w:rPr>
                <w:rFonts w:hint="eastAsia" w:ascii="宋体" w:hAnsi="宋体" w:cs="Times New Roman"/>
                <w:color w:val="auto"/>
                <w:sz w:val="21"/>
                <w:szCs w:val="21"/>
                <w:highlight w:val="none"/>
                <w:lang w:val="en-US" w:eastAsia="zh-CN"/>
              </w:rPr>
              <w:t>5</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4CCD920">
            <w:pPr>
              <w:snapToGrid/>
              <w:spacing w:beforeLines="0" w:line="0" w:lineRule="atLeas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rPr>
              <w:t>其他</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27BDA734">
            <w:pPr>
              <w:snapToGrid/>
              <w:spacing w:beforeLines="0" w:line="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（1）中标后，中标单位须提交与交易平台上传电子投标文件完全一致的纸质投标文件（1正</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副，需加盖企业公章及法定代表人章）给招标单位。</w:t>
            </w:r>
          </w:p>
          <w:p w14:paraId="183AF3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Lines="0" w:line="0" w:lineRule="atLeast"/>
              <w:ind w:firstLine="0" w:firstLineChars="0"/>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rPr>
              <w:t>（</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中标人代缴公共资源交易服务费，其费用包含在中标人投标报价中，交易中心向中标人开具增值税发票。</w:t>
            </w:r>
          </w:p>
          <w:p w14:paraId="77891CFF">
            <w:pPr>
              <w:keepNext w:val="0"/>
              <w:keepLines w:val="0"/>
              <w:pageBreakBefore w:val="0"/>
              <w:numPr>
                <w:ilvl w:val="-1"/>
                <w:numId w:val="0"/>
              </w:numPr>
              <w:pBdr>
                <w:top w:val="none" w:color="auto" w:sz="0" w:space="0"/>
                <w:left w:val="none" w:color="auto" w:sz="0" w:space="0"/>
                <w:bottom w:val="none" w:color="auto" w:sz="0" w:space="0"/>
                <w:right w:val="none" w:color="auto" w:sz="0" w:space="0"/>
                <w:between w:val="none" w:color="auto" w:sz="0" w:space="0"/>
              </w:pBdr>
              <w:kinsoku/>
              <w:overflowPunct/>
              <w:autoSpaceDE/>
              <w:autoSpaceDN/>
              <w:bidi w:val="0"/>
              <w:spacing w:beforeLines="0" w:line="0" w:lineRule="atLeast"/>
              <w:ind w:left="0" w:leftChars="0" w:right="0" w:firstLine="0" w:firstLineChars="0"/>
              <w:textAlignment w:val="auto"/>
              <w:rPr>
                <w:rFonts w:hint="default" w:ascii="宋体" w:hAnsi="宋体" w:eastAsia="宋体" w:cs="Times New Roman"/>
                <w:bCs w:val="0"/>
                <w:color w:val="auto"/>
                <w:sz w:val="21"/>
                <w:szCs w:val="21"/>
                <w:highlight w:val="none"/>
                <w:u w:val="none"/>
                <w:lang w:val="en-US" w:eastAsia="zh-CN"/>
              </w:rPr>
            </w:pPr>
            <w:r>
              <w:rPr>
                <w:rFonts w:hint="eastAsia" w:ascii="宋体" w:hAnsi="宋体" w:eastAsia="宋体" w:cs="Times New Roman"/>
                <w:bCs w:val="0"/>
                <w:color w:val="auto"/>
                <w:sz w:val="21"/>
                <w:szCs w:val="21"/>
                <w:highlight w:val="none"/>
                <w:u w:val="none"/>
                <w:lang w:val="en-US" w:eastAsia="zh-CN"/>
              </w:rPr>
              <w:t>（3）本项目</w:t>
            </w:r>
            <w:r>
              <w:rPr>
                <w:rFonts w:hint="eastAsia" w:ascii="宋体" w:hAnsi="宋体" w:cs="Times New Roman"/>
                <w:bCs w:val="0"/>
                <w:color w:val="auto"/>
                <w:sz w:val="21"/>
                <w:szCs w:val="21"/>
                <w:highlight w:val="none"/>
                <w:u w:val="none"/>
                <w:lang w:val="en-US" w:eastAsia="zh-CN"/>
              </w:rPr>
              <w:t>招标代理</w:t>
            </w:r>
            <w:r>
              <w:rPr>
                <w:rFonts w:hint="eastAsia" w:ascii="宋体" w:hAnsi="宋体" w:eastAsia="宋体" w:cs="Times New Roman"/>
                <w:bCs w:val="0"/>
                <w:color w:val="auto"/>
                <w:sz w:val="21"/>
                <w:szCs w:val="21"/>
                <w:highlight w:val="none"/>
                <w:u w:val="none"/>
                <w:lang w:val="en-US" w:eastAsia="zh-CN"/>
              </w:rPr>
              <w:t>服务费由中标单位签订合同前支付，计取方式为以项目的中标金额为基数，依据报酬按照《市城投集团投资管理项目招标代理机构库管理办法》（穗城投工〔2025〕56 号）计算，详见招标代理服务合同。</w:t>
            </w:r>
          </w:p>
          <w:p w14:paraId="4A03AC6C">
            <w:pPr>
              <w:numPr>
                <w:ilvl w:val="-1"/>
                <w:numId w:val="0"/>
              </w:numPr>
              <w:pBdr>
                <w:top w:val="none" w:color="auto" w:sz="0" w:space="0"/>
                <w:left w:val="none" w:color="auto" w:sz="0" w:space="0"/>
                <w:bottom w:val="none" w:color="auto" w:sz="0" w:space="0"/>
                <w:right w:val="none" w:color="auto" w:sz="0" w:space="0"/>
                <w:between w:val="none" w:color="auto" w:sz="0" w:space="0"/>
              </w:pBdr>
              <w:spacing w:beforeLines="0" w:line="0" w:lineRule="atLeast"/>
              <w:ind w:firstLine="0" w:firstLineChars="0"/>
              <w:rPr>
                <w:rFonts w:hint="eastAsia" w:ascii="宋体" w:hAnsi="宋体" w:cs="Times New Roman"/>
                <w:color w:val="auto"/>
                <w:sz w:val="21"/>
                <w:szCs w:val="21"/>
                <w:highlight w:val="none"/>
                <w:u w:val="none"/>
              </w:rPr>
            </w:pPr>
            <w:r>
              <w:rPr>
                <w:rFonts w:hint="eastAsia" w:ascii="宋体" w:hAnsi="宋体" w:eastAsia="宋体" w:cs="Times New Roman"/>
                <w:bCs w:val="0"/>
                <w:color w:val="auto"/>
                <w:sz w:val="21"/>
                <w:szCs w:val="21"/>
                <w:highlight w:val="none"/>
                <w:u w:val="none"/>
                <w:lang w:val="en-US" w:eastAsia="zh-CN"/>
              </w:rPr>
              <w:t>（4）</w:t>
            </w:r>
            <w:r>
              <w:rPr>
                <w:rFonts w:hint="eastAsia" w:ascii="宋体" w:hAnsi="宋体" w:cs="Times New Roman"/>
                <w:bCs w:val="0"/>
                <w:color w:val="auto"/>
                <w:sz w:val="21"/>
                <w:szCs w:val="21"/>
                <w:highlight w:val="none"/>
                <w:u w:val="none"/>
                <w:lang w:val="en-US" w:eastAsia="zh-CN"/>
              </w:rPr>
              <w:t>根据《2025年城维资金项目预算编制造价咨询服务项目造价咨询合同》，本项目预算编制咨询服务费由中标单位签订合同前支付，计取方式为以项目的中标金额为基数，依据《广东省物价局粤价函(2011)742号文》收费标准下浮25%计算，咨询服务费不足2000元的以2000元计算。</w:t>
            </w:r>
          </w:p>
          <w:p w14:paraId="7A805110">
            <w:pPr>
              <w:snapToGrid/>
              <w:spacing w:beforeLines="0" w:line="0" w:lineRule="atLeas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Cs w:val="0"/>
                <w:color w:val="auto"/>
                <w:sz w:val="21"/>
                <w:szCs w:val="21"/>
                <w:highlight w:val="none"/>
                <w:u w:val="none"/>
                <w:lang w:val="en-US" w:eastAsia="zh-CN"/>
              </w:rPr>
              <w:t>注：上述费用包含在中标人投标报价中，由投标人综合考虑。</w:t>
            </w:r>
          </w:p>
        </w:tc>
      </w:tr>
      <w:tr w14:paraId="392BCF52">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05D85AC6">
            <w:pPr>
              <w:snapToGrid/>
              <w:spacing w:beforeLines="0" w:line="0" w:lineRule="atLeast"/>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w:t>
            </w:r>
            <w:r>
              <w:rPr>
                <w:rFonts w:hint="eastAsia" w:ascii="宋体" w:hAnsi="宋体" w:cs="Times New Roman"/>
                <w:color w:val="auto"/>
                <w:sz w:val="21"/>
                <w:szCs w:val="21"/>
                <w:highlight w:val="none"/>
                <w:lang w:val="en-US" w:eastAsia="zh-CN"/>
              </w:rPr>
              <w:t>6</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0EC1C5C8">
            <w:pPr>
              <w:snapToGrid/>
              <w:spacing w:beforeLines="0" w:line="0" w:lineRule="atLeas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Cs w:val="21"/>
                <w:highlight w:val="none"/>
              </w:rPr>
              <w:t>投标报价得分评审优惠政策</w:t>
            </w:r>
          </w:p>
        </w:tc>
        <w:tc>
          <w:tcPr>
            <w:tcW w:w="3340" w:type="pct"/>
            <w:tcBorders>
              <w:top w:val="single" w:color="auto" w:sz="4" w:space="0"/>
              <w:left w:val="single" w:color="auto" w:sz="4" w:space="0"/>
              <w:bottom w:val="single" w:color="auto" w:sz="4" w:space="0"/>
              <w:right w:val="single" w:color="auto" w:sz="4" w:space="0"/>
            </w:tcBorders>
            <w:noWrap w:val="0"/>
            <w:vAlign w:val="center"/>
          </w:tcPr>
          <w:p w14:paraId="0D6C5A70">
            <w:pPr>
              <w:snapToGrid w:val="0"/>
              <w:spacing w:beforeLines="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（1）根据《广东省政府采购促进中小企业发展实施细则(试行)》要求，对符合《政府采购促进中小企业发展管理办法》的投标人，给予相应的价格评审优惠。</w:t>
            </w:r>
          </w:p>
          <w:p w14:paraId="5D9AA4A0">
            <w:pPr>
              <w:snapToGrid w:val="0"/>
              <w:spacing w:beforeLines="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（2）本招标项目评标计算价格分时，对小微企业投标的，在采用原报价进行评分(为作四舍五入保留两位小数的得分)的基础上增加其价格得分的 5%作为其价格分，若原报价己满分，仍可突破满分上限继续享受加分优惠，以实际计算结果作为最终价格分。</w:t>
            </w:r>
          </w:p>
          <w:p w14:paraId="1984DEB5">
            <w:pPr>
              <w:snapToGrid w:val="0"/>
              <w:spacing w:beforeLines="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5BE48A83">
            <w:pPr>
              <w:snapToGrid w:val="0"/>
              <w:spacing w:beforeLines="0"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(4)小微企业划分标准按照《工业和信息化部 国家统计局国家发展和改革委员会财政部关于印发中小企业划型标准规定的通知》(工信部联企业(2011)300号)执行。本招标项目属于软件和信息技术服务行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F9E0E9A">
            <w:pPr>
              <w:spacing w:beforeLines="0" w:line="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p w14:paraId="4B32F434">
            <w:pPr>
              <w:spacing w:beforeLines="0" w:line="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14:paraId="01D975EB">
            <w:pPr>
              <w:spacing w:beforeLines="0" w:line="0" w:lineRule="atLeast"/>
              <w:rPr>
                <w:rFonts w:hint="eastAsia" w:ascii="宋体" w:hAnsi="宋体" w:eastAsia="宋体" w:cs="宋体"/>
                <w:spacing w:val="-2"/>
                <w:szCs w:val="21"/>
              </w:rPr>
            </w:pPr>
            <w:r>
              <w:rPr>
                <w:rFonts w:hint="eastAsia" w:ascii="宋体" w:hAnsi="宋体" w:eastAsia="宋体" w:cs="宋体"/>
                <w:color w:val="auto"/>
                <w:sz w:val="21"/>
                <w:szCs w:val="21"/>
                <w:highlight w:val="none"/>
              </w:rPr>
              <w:t>(2)公示期间如有异议、投诉的，被异议、投诉单位需提供注册登记所在地的县级以上人民政府中小企业主管部门认定函。</w:t>
            </w:r>
          </w:p>
        </w:tc>
      </w:tr>
      <w:tr w14:paraId="57E262C6">
        <w:tblPrEx>
          <w:tblCellMar>
            <w:top w:w="0" w:type="dxa"/>
            <w:left w:w="108" w:type="dxa"/>
            <w:bottom w:w="0" w:type="dxa"/>
            <w:right w:w="108" w:type="dxa"/>
          </w:tblCellMar>
        </w:tblPrEx>
        <w:trPr>
          <w:trHeight w:val="567" w:hRule="atLeast"/>
        </w:trPr>
        <w:tc>
          <w:tcPr>
            <w:tcW w:w="622" w:type="pct"/>
            <w:tcBorders>
              <w:top w:val="single" w:color="auto" w:sz="4" w:space="0"/>
              <w:left w:val="single" w:color="auto" w:sz="4" w:space="0"/>
              <w:bottom w:val="single" w:color="auto" w:sz="4" w:space="0"/>
              <w:right w:val="single" w:color="auto" w:sz="4" w:space="0"/>
            </w:tcBorders>
            <w:noWrap w:val="0"/>
            <w:vAlign w:val="center"/>
          </w:tcPr>
          <w:p w14:paraId="52E06DA6">
            <w:pPr>
              <w:keepNext w:val="0"/>
              <w:keepLines w:val="0"/>
              <w:pageBreakBefore w:val="0"/>
              <w:widowControl w:val="0"/>
              <w:kinsoku/>
              <w:wordWrap/>
              <w:overflowPunct/>
              <w:topLinePunct w:val="0"/>
              <w:autoSpaceDE/>
              <w:autoSpaceDN/>
              <w:bidi w:val="0"/>
              <w:adjustRightInd/>
              <w:snapToGrid/>
              <w:spacing w:beforeLines="0" w:line="0" w:lineRule="atLeast"/>
              <w:jc w:val="center"/>
              <w:textAlignment w:val="auto"/>
              <w:rPr>
                <w:rFonts w:hint="eastAsia" w:ascii="宋体" w:hAnsi="宋体" w:eastAsia="宋体" w:cs="Times New Roman"/>
                <w:color w:val="auto"/>
                <w:kern w:val="2"/>
                <w:sz w:val="21"/>
                <w:szCs w:val="22"/>
                <w:highlight w:val="none"/>
                <w:lang w:val="en-US" w:eastAsia="zh-CN" w:bidi="ar-SA"/>
              </w:rPr>
            </w:pPr>
            <w:r>
              <w:rPr>
                <w:rFonts w:hint="eastAsia" w:ascii="宋体" w:hAnsi="宋体"/>
                <w:color w:val="auto"/>
                <w:highlight w:val="none"/>
                <w:lang w:val="en-US" w:eastAsia="zh-CN"/>
              </w:rPr>
              <w:t>其他</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3E9DD333">
            <w:pPr>
              <w:keepNext w:val="0"/>
              <w:keepLines w:val="0"/>
              <w:pageBreakBefore w:val="0"/>
              <w:widowControl w:val="0"/>
              <w:kinsoku/>
              <w:wordWrap/>
              <w:overflowPunct/>
              <w:topLinePunct w:val="0"/>
              <w:autoSpaceDE/>
              <w:autoSpaceDN/>
              <w:bidi w:val="0"/>
              <w:adjustRightInd/>
              <w:snapToGrid w:val="0"/>
              <w:spacing w:beforeLines="0" w:line="0" w:lineRule="atLeast"/>
              <w:jc w:val="both"/>
              <w:textAlignment w:val="auto"/>
              <w:rPr>
                <w:rFonts w:hint="eastAsia" w:ascii="宋体" w:hAnsi="宋体" w:eastAsia="宋体" w:cs="宋体"/>
                <w:color w:val="auto"/>
                <w:kern w:val="2"/>
                <w:sz w:val="21"/>
                <w:szCs w:val="21"/>
                <w:highlight w:val="none"/>
                <w:u w:val="single"/>
                <w:lang w:val="en-US" w:eastAsia="zh-CN" w:bidi="ar-SA"/>
              </w:rPr>
            </w:pPr>
          </w:p>
        </w:tc>
        <w:tc>
          <w:tcPr>
            <w:tcW w:w="3340" w:type="pct"/>
            <w:tcBorders>
              <w:top w:val="single" w:color="auto" w:sz="4" w:space="0"/>
              <w:left w:val="single" w:color="auto" w:sz="4" w:space="0"/>
              <w:bottom w:val="single" w:color="auto" w:sz="4" w:space="0"/>
              <w:right w:val="single" w:color="auto" w:sz="4" w:space="0"/>
            </w:tcBorders>
            <w:noWrap w:val="0"/>
            <w:vAlign w:val="center"/>
          </w:tcPr>
          <w:p w14:paraId="5FB2D9AC">
            <w:pPr>
              <w:keepNext w:val="0"/>
              <w:keepLines w:val="0"/>
              <w:pageBreakBefore w:val="0"/>
              <w:widowControl w:val="0"/>
              <w:kinsoku/>
              <w:wordWrap/>
              <w:overflowPunct/>
              <w:topLinePunct w:val="0"/>
              <w:autoSpaceDE/>
              <w:autoSpaceDN/>
              <w:bidi w:val="0"/>
              <w:adjustRightInd/>
              <w:snapToGrid w:val="0"/>
              <w:spacing w:beforeLines="0" w:line="0" w:lineRule="atLeast"/>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按照《中山大道快速公交（BRT）站台及黄埔调度中心委托管理协议》，甲方有权根据项目实际情况，委托BRT运营单位对乙方组织实施的项目维护工作进行全过程监督管理，并在签订本招标项目合同后的</w:t>
            </w:r>
            <w:r>
              <w:rPr>
                <w:rFonts w:hint="eastAsia" w:ascii="宋体" w:hAnsi="宋体" w:cs="宋体"/>
                <w:color w:val="auto"/>
                <w:szCs w:val="21"/>
                <w:highlight w:val="none"/>
                <w:u w:val="single"/>
                <w:lang w:eastAsia="zh-CN"/>
              </w:rPr>
              <w:t>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lang w:eastAsia="zh-CN"/>
              </w:rPr>
              <w:t>个</w:t>
            </w:r>
            <w:r>
              <w:rPr>
                <w:rFonts w:hint="eastAsia" w:ascii="宋体" w:hAnsi="宋体" w:cs="宋体"/>
                <w:color w:val="auto"/>
                <w:szCs w:val="21"/>
                <w:highlight w:val="none"/>
                <w:u w:val="single"/>
                <w:lang w:val="en-US" w:eastAsia="zh-CN"/>
              </w:rPr>
              <w:t>工作日内</w:t>
            </w:r>
            <w:r>
              <w:rPr>
                <w:rFonts w:hint="eastAsia" w:ascii="宋体" w:hAnsi="宋体" w:cs="宋体"/>
                <w:color w:val="auto"/>
                <w:szCs w:val="21"/>
                <w:highlight w:val="none"/>
                <w:u w:val="single"/>
              </w:rPr>
              <w:t>，甲乙双方与BRT运营单位签订三方合同，明确各方权责关系。</w:t>
            </w:r>
          </w:p>
        </w:tc>
      </w:tr>
    </w:tbl>
    <w:p w14:paraId="3F4FF326">
      <w:pPr>
        <w:bidi w:val="0"/>
        <w:jc w:val="center"/>
        <w:rPr>
          <w:rFonts w:hint="default"/>
          <w:b/>
          <w:bCs/>
          <w:sz w:val="28"/>
          <w:szCs w:val="28"/>
        </w:rPr>
      </w:pPr>
    </w:p>
    <w:p w14:paraId="0E174A99">
      <w:pPr>
        <w:bidi w:val="0"/>
        <w:jc w:val="center"/>
        <w:rPr>
          <w:rFonts w:hint="default"/>
          <w:b/>
          <w:bCs/>
          <w:sz w:val="28"/>
          <w:szCs w:val="28"/>
        </w:rPr>
      </w:pPr>
      <w:r>
        <w:rPr>
          <w:rFonts w:hint="default"/>
          <w:b/>
          <w:bCs/>
          <w:sz w:val="28"/>
          <w:szCs w:val="28"/>
        </w:rPr>
        <w:br w:type="page"/>
      </w:r>
      <w:r>
        <w:rPr>
          <w:rFonts w:hint="default"/>
          <w:b/>
          <w:bCs/>
          <w:sz w:val="28"/>
          <w:szCs w:val="28"/>
        </w:rPr>
        <w:t>投标须知修改表</w:t>
      </w:r>
      <w:bookmarkEnd w:id="56"/>
      <w:bookmarkEnd w:id="57"/>
      <w:bookmarkEnd w:id="58"/>
      <w:bookmarkEnd w:id="59"/>
      <w:bookmarkEnd w:id="60"/>
      <w:bookmarkEnd w:id="61"/>
      <w:bookmarkEnd w:id="62"/>
      <w:bookmarkEnd w:id="63"/>
      <w:bookmarkEnd w:id="64"/>
      <w:bookmarkEnd w:id="65"/>
    </w:p>
    <w:p w14:paraId="6ABB2A4C">
      <w:pPr>
        <w:pStyle w:val="27"/>
        <w:spacing w:line="360" w:lineRule="auto"/>
        <w:rPr>
          <w:rFonts w:hint="default" w:ascii="宋体" w:hAnsi="宋体" w:eastAsia="宋体"/>
          <w:b w:val="0"/>
          <w:bCs/>
          <w:strike w:val="0"/>
          <w:dstrike w:val="0"/>
          <w:color w:val="auto"/>
          <w:sz w:val="24"/>
          <w:szCs w:val="24"/>
          <w:highlight w:val="none"/>
          <w:lang w:val="en-US"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GZJTZB2025-2</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r>
        <w:rPr>
          <w:rFonts w:hint="eastAsia" w:ascii="宋体" w:hAnsi="宋体"/>
          <w:b w:val="0"/>
          <w:bCs/>
          <w:color w:val="auto"/>
          <w:sz w:val="24"/>
          <w:szCs w:val="24"/>
          <w:highlight w:val="none"/>
          <w:lang w:eastAsia="zh-CN"/>
        </w:rPr>
        <w:t>（注：招标人按《投标须知修改表》修改的内容对应修改通用条款，属于删除的采用“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”；属于新增、修改的内容，用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4A4DDB71">
      <w:pPr>
        <w:spacing w:beforeLines="0" w:afterLines="0"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             修改类型：增加</w:t>
      </w:r>
    </w:p>
    <w:p w14:paraId="3E461DF1">
      <w:pPr>
        <w:pBdr>
          <w:bottom w:val="single" w:color="auto" w:sz="6" w:space="1"/>
        </w:pBdr>
        <w:spacing w:beforeLines="0" w:afterLines="0"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p>
    <w:p w14:paraId="51F6CE27">
      <w:pPr>
        <w:spacing w:beforeLines="0" w:afterLines="0"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eastAsia" w:ascii="宋体" w:hAnsi="宋体" w:cs="宋体"/>
          <w:sz w:val="21"/>
          <w:szCs w:val="21"/>
        </w:rPr>
        <w:t>1.1.1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3C6E525C">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p>
    <w:p w14:paraId="13AFCAA4">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rPr>
        <w:t>1.1.1根据《中华人民共和国招标投标法》、《中华人民共和国招标投标法实施条例》等有关法律、法规和规章的规定，本招标项目已具备招标条件，现对</w:t>
      </w:r>
      <w:r>
        <w:rPr>
          <w:rFonts w:hint="eastAsia" w:ascii="宋体" w:hAnsi="宋体" w:cs="宋体"/>
          <w:b/>
          <w:bCs/>
          <w:sz w:val="21"/>
          <w:szCs w:val="21"/>
        </w:rPr>
        <w:t>监理</w:t>
      </w:r>
      <w:r>
        <w:rPr>
          <w:rFonts w:hint="eastAsia" w:ascii="宋体" w:hAnsi="宋体" w:cs="宋体"/>
          <w:sz w:val="21"/>
          <w:szCs w:val="21"/>
        </w:rPr>
        <w:t>进行招标</w:t>
      </w:r>
      <w:r>
        <w:rPr>
          <w:rFonts w:hint="eastAsia" w:ascii="宋体" w:hAnsi="宋体" w:eastAsia="宋体" w:cs="宋体"/>
          <w:sz w:val="21"/>
          <w:szCs w:val="21"/>
        </w:rPr>
        <w:t>。</w:t>
      </w:r>
    </w:p>
    <w:p w14:paraId="37BE967F">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sz w:val="21"/>
          <w:szCs w:val="21"/>
          <w:lang w:val="en-US" w:eastAsia="zh-CN"/>
        </w:rPr>
      </w:pPr>
      <w:r>
        <w:rPr>
          <w:rFonts w:hint="eastAsia" w:ascii="宋体" w:hAnsi="宋体" w:eastAsia="宋体"/>
          <w:b/>
          <w:bCs/>
          <w:color w:val="auto"/>
          <w:sz w:val="24"/>
          <w:szCs w:val="24"/>
          <w:highlight w:val="none"/>
          <w:lang w:val="en-US" w:eastAsia="zh-CN"/>
        </w:rPr>
        <w:t>现文</w:t>
      </w:r>
      <w:r>
        <w:rPr>
          <w:rFonts w:hint="default" w:ascii="宋体" w:hAnsi="宋体" w:eastAsia="宋体"/>
          <w:b/>
          <w:bCs/>
          <w:color w:val="auto"/>
          <w:sz w:val="24"/>
          <w:szCs w:val="24"/>
          <w:highlight w:val="none"/>
        </w:rPr>
        <w:t>：</w:t>
      </w:r>
    </w:p>
    <w:p w14:paraId="10EAA550">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rPr>
        <w:t>1.1.1根据《中华人民共和国招标投标法》、《中华人民共和国招标投标法实施条例》等有关法律、法规和规章的规定，本招标项目已具备招标条件，现对</w:t>
      </w:r>
      <w:r>
        <w:rPr>
          <w:rFonts w:hint="eastAsia" w:ascii="宋体" w:hAnsi="宋体" w:cs="宋体"/>
          <w:b/>
          <w:bCs/>
          <w:sz w:val="21"/>
          <w:szCs w:val="21"/>
        </w:rPr>
        <w:t>信息化系统运行维护</w:t>
      </w:r>
      <w:r>
        <w:rPr>
          <w:rFonts w:hint="eastAsia" w:ascii="宋体" w:hAnsi="宋体" w:cs="宋体"/>
          <w:sz w:val="21"/>
          <w:szCs w:val="21"/>
        </w:rPr>
        <w:t>进行招标。</w:t>
      </w:r>
    </w:p>
    <w:p w14:paraId="131B649D">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240" w:lineRule="auto"/>
        <w:ind w:firstLine="0" w:firstLineChars="0"/>
        <w:textAlignment w:val="auto"/>
        <w:rPr>
          <w:rFonts w:hint="default" w:ascii="宋体" w:hAnsi="宋体" w:eastAsia="宋体"/>
          <w:color w:val="auto"/>
          <w:sz w:val="24"/>
          <w:szCs w:val="24"/>
          <w:highlight w:val="none"/>
        </w:rPr>
      </w:pPr>
    </w:p>
    <w:p w14:paraId="483176A8">
      <w:pPr>
        <w:spacing w:beforeLines="0" w:afterLines="0"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eastAsia" w:ascii="宋体" w:hAnsi="宋体" w:eastAsia="宋体" w:cs="宋体"/>
          <w:sz w:val="21"/>
          <w:szCs w:val="21"/>
        </w:rPr>
        <w:t>1.3</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4AA628D9">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p>
    <w:p w14:paraId="618AA226">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1.3招标范围、</w:t>
      </w:r>
      <w:r>
        <w:rPr>
          <w:rFonts w:hint="eastAsia" w:ascii="宋体" w:hAnsi="宋体" w:eastAsia="宋体" w:cs="宋体"/>
          <w:b/>
          <w:bCs/>
          <w:sz w:val="21"/>
          <w:szCs w:val="21"/>
        </w:rPr>
        <w:t>监理</w:t>
      </w:r>
      <w:r>
        <w:rPr>
          <w:rFonts w:hint="eastAsia" w:ascii="宋体" w:hAnsi="宋体" w:eastAsia="宋体" w:cs="宋体"/>
          <w:sz w:val="21"/>
          <w:szCs w:val="21"/>
        </w:rPr>
        <w:t>服务期限和质量标准</w:t>
      </w:r>
    </w:p>
    <w:p w14:paraId="29199D1C">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1.3.1 招标范围：见投标人须知前附表。</w:t>
      </w:r>
    </w:p>
    <w:p w14:paraId="09F79F28">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1.3.2 </w:t>
      </w:r>
      <w:r>
        <w:rPr>
          <w:rFonts w:hint="eastAsia" w:ascii="宋体" w:hAnsi="宋体" w:eastAsia="宋体" w:cs="宋体"/>
          <w:b/>
          <w:bCs/>
          <w:sz w:val="21"/>
          <w:szCs w:val="21"/>
        </w:rPr>
        <w:t>监理</w:t>
      </w:r>
      <w:r>
        <w:rPr>
          <w:rFonts w:hint="eastAsia" w:ascii="宋体" w:hAnsi="宋体" w:eastAsia="宋体" w:cs="宋体"/>
          <w:sz w:val="21"/>
          <w:szCs w:val="21"/>
        </w:rPr>
        <w:t>服务期限：见投标人须知前附表。</w:t>
      </w:r>
    </w:p>
    <w:p w14:paraId="5C46BC3D">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sz w:val="21"/>
          <w:szCs w:val="21"/>
          <w:lang w:val="en-US" w:eastAsia="zh-CN"/>
        </w:rPr>
      </w:pPr>
      <w:r>
        <w:rPr>
          <w:rFonts w:hint="eastAsia" w:ascii="宋体" w:hAnsi="宋体" w:eastAsia="宋体"/>
          <w:b/>
          <w:bCs/>
          <w:color w:val="auto"/>
          <w:sz w:val="24"/>
          <w:szCs w:val="24"/>
          <w:highlight w:val="none"/>
          <w:lang w:val="en-US" w:eastAsia="zh-CN"/>
        </w:rPr>
        <w:t>现文</w:t>
      </w:r>
      <w:r>
        <w:rPr>
          <w:rFonts w:hint="default" w:ascii="宋体" w:hAnsi="宋体" w:eastAsia="宋体"/>
          <w:b/>
          <w:bCs/>
          <w:color w:val="auto"/>
          <w:sz w:val="24"/>
          <w:szCs w:val="24"/>
          <w:highlight w:val="none"/>
        </w:rPr>
        <w:t>：</w:t>
      </w:r>
    </w:p>
    <w:p w14:paraId="23DDD689">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1.3招标范围、服务期限和质量标准</w:t>
      </w:r>
    </w:p>
    <w:p w14:paraId="44DE5121">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1.3.1 招标范围：见投标人须知前附表。</w:t>
      </w:r>
    </w:p>
    <w:p w14:paraId="7E683F89">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1.3.2 服务期限：见投标人须知前附表。</w:t>
      </w:r>
    </w:p>
    <w:p w14:paraId="589E34E9">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240" w:lineRule="auto"/>
        <w:ind w:firstLine="0" w:firstLineChars="0"/>
        <w:textAlignment w:val="auto"/>
        <w:rPr>
          <w:rFonts w:hint="default" w:ascii="宋体" w:hAnsi="宋体" w:eastAsia="宋体"/>
          <w:color w:val="auto"/>
          <w:sz w:val="24"/>
          <w:szCs w:val="24"/>
          <w:highlight w:val="none"/>
        </w:rPr>
      </w:pPr>
    </w:p>
    <w:p w14:paraId="3BC029C5">
      <w:pPr>
        <w:spacing w:beforeLines="0" w:afterLines="0"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s="宋体"/>
          <w:sz w:val="21"/>
          <w:szCs w:val="21"/>
        </w:rPr>
        <w:t>1.4.1</w:t>
      </w:r>
      <w:r>
        <w:rPr>
          <w:rFonts w:hint="default" w:ascii="宋体" w:hAnsi="宋体" w:eastAsia="宋体"/>
          <w:color w:val="auto"/>
          <w:sz w:val="24"/>
          <w:szCs w:val="24"/>
          <w:highlight w:val="none"/>
        </w:rPr>
        <w:t xml:space="preserve">             修改类型：删除</w:t>
      </w:r>
    </w:p>
    <w:p w14:paraId="63BBC184">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Times New Roman"/>
          <w:b/>
          <w:bCs/>
          <w:color w:val="auto"/>
          <w:sz w:val="24"/>
          <w:szCs w:val="24"/>
          <w:highlight w:val="none"/>
          <w:lang w:val="en-US" w:eastAsia="zh-CN"/>
        </w:rPr>
      </w:pPr>
      <w:r>
        <w:rPr>
          <w:rFonts w:hint="default" w:ascii="宋体" w:hAnsi="宋体" w:eastAsia="宋体" w:cs="Times New Roman"/>
          <w:b/>
          <w:bCs/>
          <w:color w:val="auto"/>
          <w:sz w:val="24"/>
          <w:szCs w:val="24"/>
          <w:highlight w:val="none"/>
          <w:lang w:val="en-US" w:eastAsia="zh-CN"/>
        </w:rPr>
        <w:t>原文：</w:t>
      </w:r>
    </w:p>
    <w:p w14:paraId="70D7B66A">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）总监理工程师的资格要求：应当具备工程注册监理工程师执业资格（如有），具体要求见投标人须知前附表；</w:t>
      </w:r>
    </w:p>
    <w:p w14:paraId="773C5FF7">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现文</w:t>
      </w:r>
      <w:r>
        <w:rPr>
          <w:rFonts w:hint="default" w:ascii="宋体" w:hAnsi="宋体" w:eastAsia="宋体"/>
          <w:b/>
          <w:bCs/>
          <w:color w:val="auto"/>
          <w:sz w:val="24"/>
          <w:szCs w:val="24"/>
          <w:highlight w:val="none"/>
        </w:rPr>
        <w:t>：</w:t>
      </w:r>
    </w:p>
    <w:p w14:paraId="7737E12F">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trike/>
          <w:dstrike w:val="0"/>
          <w:sz w:val="21"/>
          <w:szCs w:val="21"/>
        </w:rPr>
      </w:pPr>
      <w:r>
        <w:rPr>
          <w:rFonts w:hint="eastAsia" w:ascii="宋体" w:hAnsi="宋体" w:eastAsia="宋体" w:cs="宋体"/>
          <w:strike/>
          <w:dstrike w:val="0"/>
          <w:sz w:val="21"/>
          <w:szCs w:val="21"/>
        </w:rPr>
        <w:t>（</w:t>
      </w:r>
      <w:r>
        <w:rPr>
          <w:rFonts w:hint="eastAsia" w:ascii="宋体" w:hAnsi="宋体" w:eastAsia="宋体" w:cs="宋体"/>
          <w:strike/>
          <w:dstrike w:val="0"/>
          <w:sz w:val="21"/>
          <w:szCs w:val="21"/>
          <w:lang w:val="en-US" w:eastAsia="zh-CN"/>
        </w:rPr>
        <w:t>3</w:t>
      </w:r>
      <w:r>
        <w:rPr>
          <w:rFonts w:hint="eastAsia" w:ascii="宋体" w:hAnsi="宋体" w:eastAsia="宋体" w:cs="宋体"/>
          <w:strike/>
          <w:dstrike w:val="0"/>
          <w:sz w:val="21"/>
          <w:szCs w:val="21"/>
        </w:rPr>
        <w:t>）总监理工程师的资格要求：应当具备工程注册监理工程师执业资格（如有），具体要求见投标人须知前附表；</w:t>
      </w:r>
    </w:p>
    <w:p w14:paraId="6A9DF9F2">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240" w:lineRule="auto"/>
        <w:ind w:firstLine="0" w:firstLineChars="0"/>
        <w:textAlignment w:val="auto"/>
        <w:rPr>
          <w:rFonts w:hint="default" w:ascii="宋体" w:hAnsi="宋体" w:eastAsia="宋体"/>
          <w:color w:val="auto"/>
          <w:sz w:val="24"/>
          <w:szCs w:val="24"/>
          <w:highlight w:val="none"/>
        </w:rPr>
      </w:pPr>
    </w:p>
    <w:p w14:paraId="7ACC841C">
      <w:pPr>
        <w:spacing w:beforeLines="0" w:afterLines="0"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ascii="宋体" w:hAnsi="宋体" w:cs="宋体"/>
          <w:color w:val="auto"/>
          <w:sz w:val="21"/>
          <w:szCs w:val="21"/>
        </w:rPr>
        <w:t>1.4.3</w:t>
      </w:r>
      <w:r>
        <w:rPr>
          <w:rFonts w:hint="eastAsia" w:ascii="宋体" w:hAnsi="宋体" w:cs="宋体"/>
          <w:color w:val="auto"/>
          <w:sz w:val="21"/>
          <w:szCs w:val="21"/>
        </w:rPr>
        <w:t>（13）</w:t>
      </w:r>
      <w:r>
        <w:rPr>
          <w:rFonts w:ascii="宋体" w:hAnsi="宋体" w:cs="宋体"/>
          <w:color w:val="auto"/>
          <w:sz w:val="21"/>
          <w:szCs w:val="21"/>
        </w:rPr>
        <w:t xml:space="preserve"> </w:t>
      </w:r>
      <w:r>
        <w:rPr>
          <w:rFonts w:hint="default" w:ascii="宋体" w:hAnsi="宋体" w:eastAsia="宋体"/>
          <w:color w:val="auto"/>
          <w:sz w:val="24"/>
          <w:szCs w:val="24"/>
          <w:highlight w:val="none"/>
        </w:rPr>
        <w:t xml:space="preserve">             修改类型：</w:t>
      </w:r>
      <w:r>
        <w:rPr>
          <w:rFonts w:hint="eastAsia" w:ascii="宋体" w:hAnsi="宋体" w:eastAsia="宋体"/>
          <w:color w:val="auto"/>
          <w:sz w:val="24"/>
          <w:szCs w:val="24"/>
          <w:highlight w:val="none"/>
          <w:lang w:val="en-US" w:eastAsia="zh-CN"/>
        </w:rPr>
        <w:t>修改</w:t>
      </w:r>
    </w:p>
    <w:p w14:paraId="3B697312">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p>
    <w:p w14:paraId="48FE7AF8">
      <w:pPr>
        <w:spacing w:beforeLines="0" w:afterLines="0" w:line="360" w:lineRule="auto"/>
        <w:ind w:firstLine="420" w:firstLineChars="200"/>
        <w:rPr>
          <w:rFonts w:ascii="宋体" w:hAnsi="宋体" w:cs="宋体"/>
          <w:color w:val="auto"/>
          <w:sz w:val="21"/>
          <w:szCs w:val="21"/>
        </w:rPr>
      </w:pPr>
      <w:r>
        <w:rPr>
          <w:rFonts w:hint="eastAsia" w:ascii="宋体" w:hAnsi="宋体" w:cs="宋体"/>
          <w:color w:val="auto"/>
          <w:sz w:val="21"/>
          <w:szCs w:val="21"/>
        </w:rPr>
        <w:t>（13）在最近三年内</w:t>
      </w:r>
      <w:r>
        <w:rPr>
          <w:rFonts w:hint="eastAsia"/>
          <w:color w:val="auto"/>
          <w:spacing w:val="-3"/>
        </w:rPr>
        <w:t>有严重违约或</w:t>
      </w:r>
      <w:r>
        <w:rPr>
          <w:rFonts w:hint="eastAsia" w:ascii="宋体" w:hAnsi="宋体" w:cs="宋体"/>
          <w:color w:val="auto"/>
          <w:sz w:val="21"/>
          <w:szCs w:val="21"/>
        </w:rPr>
        <w:t>发生重大</w:t>
      </w:r>
      <w:r>
        <w:rPr>
          <w:rFonts w:hint="eastAsia" w:ascii="宋体" w:hAnsi="宋体" w:cs="宋体"/>
          <w:b/>
          <w:bCs/>
          <w:color w:val="auto"/>
          <w:sz w:val="21"/>
          <w:szCs w:val="21"/>
        </w:rPr>
        <w:t>监理</w:t>
      </w:r>
      <w:r>
        <w:rPr>
          <w:rFonts w:hint="eastAsia" w:ascii="宋体" w:hAnsi="宋体" w:cs="宋体"/>
          <w:color w:val="auto"/>
          <w:sz w:val="21"/>
          <w:szCs w:val="21"/>
        </w:rPr>
        <w:t>质量问题（“严重违约”事实应当以司法机关、仲裁机构出具的认定文件为准。“重大</w:t>
      </w:r>
      <w:r>
        <w:rPr>
          <w:rFonts w:hint="eastAsia" w:ascii="宋体" w:hAnsi="宋体" w:cs="宋体"/>
          <w:b/>
          <w:bCs/>
          <w:color w:val="auto"/>
          <w:sz w:val="21"/>
          <w:szCs w:val="21"/>
          <w:lang w:eastAsia="zh-CN"/>
        </w:rPr>
        <w:t>监理</w:t>
      </w:r>
      <w:r>
        <w:rPr>
          <w:rFonts w:hint="eastAsia" w:ascii="宋体" w:hAnsi="宋体" w:cs="宋体"/>
          <w:color w:val="auto"/>
          <w:sz w:val="21"/>
          <w:szCs w:val="21"/>
        </w:rPr>
        <w:t>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612ED13B">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sz w:val="21"/>
          <w:szCs w:val="21"/>
          <w:lang w:val="en-US" w:eastAsia="zh-CN"/>
        </w:rPr>
      </w:pPr>
      <w:r>
        <w:rPr>
          <w:rFonts w:hint="eastAsia" w:ascii="宋体" w:hAnsi="宋体" w:eastAsia="宋体"/>
          <w:b/>
          <w:bCs/>
          <w:color w:val="auto"/>
          <w:sz w:val="24"/>
          <w:szCs w:val="24"/>
          <w:highlight w:val="none"/>
          <w:lang w:val="en-US" w:eastAsia="zh-CN"/>
        </w:rPr>
        <w:t>现文</w:t>
      </w:r>
      <w:r>
        <w:rPr>
          <w:rFonts w:hint="default" w:ascii="宋体" w:hAnsi="宋体" w:eastAsia="宋体"/>
          <w:b/>
          <w:bCs/>
          <w:color w:val="auto"/>
          <w:sz w:val="24"/>
          <w:szCs w:val="24"/>
          <w:highlight w:val="none"/>
        </w:rPr>
        <w:t>：</w:t>
      </w:r>
    </w:p>
    <w:p w14:paraId="7EC3C2F3">
      <w:pPr>
        <w:spacing w:beforeLines="0" w:afterLines="0" w:line="360" w:lineRule="auto"/>
        <w:ind w:firstLine="420" w:firstLineChars="200"/>
        <w:rPr>
          <w:rFonts w:ascii="宋体" w:hAnsi="宋体" w:cs="宋体"/>
          <w:color w:val="auto"/>
          <w:sz w:val="21"/>
          <w:szCs w:val="21"/>
        </w:rPr>
      </w:pPr>
      <w:r>
        <w:rPr>
          <w:rFonts w:hint="eastAsia" w:ascii="宋体" w:hAnsi="宋体" w:cs="宋体"/>
          <w:color w:val="auto"/>
          <w:sz w:val="21"/>
          <w:szCs w:val="21"/>
        </w:rPr>
        <w:t>（13）在最近三年内</w:t>
      </w:r>
      <w:r>
        <w:rPr>
          <w:rFonts w:hint="eastAsia"/>
          <w:color w:val="auto"/>
          <w:spacing w:val="-3"/>
        </w:rPr>
        <w:t>有严重违约或</w:t>
      </w:r>
      <w:r>
        <w:rPr>
          <w:rFonts w:hint="eastAsia" w:ascii="宋体" w:hAnsi="宋体" w:cs="宋体"/>
          <w:color w:val="auto"/>
          <w:sz w:val="21"/>
          <w:szCs w:val="21"/>
        </w:rPr>
        <w:t>发生重大质量问题（“严重违约”事实应当以司法机关、仲裁机构出具的认定文件为准。“重大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1D05BF1F">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240" w:lineRule="auto"/>
        <w:ind w:firstLine="0" w:firstLineChars="0"/>
        <w:textAlignment w:val="auto"/>
        <w:rPr>
          <w:rFonts w:hint="default" w:ascii="宋体" w:hAnsi="宋体" w:eastAsia="宋体"/>
          <w:color w:val="auto"/>
          <w:sz w:val="24"/>
          <w:szCs w:val="24"/>
          <w:highlight w:val="none"/>
        </w:rPr>
      </w:pPr>
    </w:p>
    <w:p w14:paraId="05C6F190">
      <w:pPr>
        <w:spacing w:beforeLines="0" w:afterLines="0"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ascii="宋体" w:hAnsi="宋体" w:cs="宋体"/>
          <w:sz w:val="21"/>
          <w:szCs w:val="21"/>
        </w:rPr>
        <w:t>1.12.2</w:t>
      </w:r>
      <w:r>
        <w:rPr>
          <w:rFonts w:ascii="宋体" w:hAnsi="宋体" w:cs="宋体"/>
          <w:color w:val="auto"/>
          <w:sz w:val="21"/>
          <w:szCs w:val="21"/>
        </w:rPr>
        <w:t xml:space="preserve"> </w:t>
      </w:r>
      <w:r>
        <w:rPr>
          <w:rFonts w:hint="default" w:ascii="宋体" w:hAnsi="宋体" w:eastAsia="宋体"/>
          <w:color w:val="auto"/>
          <w:sz w:val="24"/>
          <w:szCs w:val="24"/>
          <w:highlight w:val="none"/>
        </w:rPr>
        <w:t xml:space="preserve">             修改类型：</w:t>
      </w:r>
      <w:r>
        <w:rPr>
          <w:rFonts w:hint="eastAsia" w:ascii="宋体" w:hAnsi="宋体" w:eastAsia="宋体"/>
          <w:color w:val="auto"/>
          <w:sz w:val="24"/>
          <w:szCs w:val="24"/>
          <w:highlight w:val="none"/>
          <w:lang w:val="en-US" w:eastAsia="zh-CN"/>
        </w:rPr>
        <w:t>修改</w:t>
      </w:r>
    </w:p>
    <w:p w14:paraId="6E115FEA">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p>
    <w:p w14:paraId="1C59C384">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1.12.2 </w:t>
      </w:r>
      <w:r>
        <w:rPr>
          <w:rFonts w:hint="eastAsia" w:ascii="宋体" w:hAnsi="宋体" w:cs="宋体"/>
          <w:sz w:val="21"/>
          <w:szCs w:val="21"/>
        </w:rPr>
        <w:t>投标人应根据招标文件的要求提供投标</w:t>
      </w:r>
      <w:r>
        <w:rPr>
          <w:rFonts w:hint="eastAsia" w:ascii="宋体" w:hAnsi="宋体" w:cs="宋体"/>
          <w:b/>
          <w:bCs/>
          <w:sz w:val="21"/>
          <w:szCs w:val="21"/>
        </w:rPr>
        <w:t>监理大纲</w:t>
      </w:r>
      <w:r>
        <w:rPr>
          <w:rFonts w:hint="eastAsia" w:ascii="宋体" w:hAnsi="宋体" w:cs="宋体"/>
          <w:sz w:val="21"/>
          <w:szCs w:val="21"/>
        </w:rPr>
        <w:t>等内容以对招标文件作出响应。</w:t>
      </w:r>
    </w:p>
    <w:p w14:paraId="53613723">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sz w:val="21"/>
          <w:szCs w:val="21"/>
          <w:lang w:val="en-US" w:eastAsia="zh-CN"/>
        </w:rPr>
      </w:pPr>
      <w:r>
        <w:rPr>
          <w:rFonts w:hint="eastAsia" w:ascii="宋体" w:hAnsi="宋体" w:eastAsia="宋体"/>
          <w:b/>
          <w:bCs/>
          <w:color w:val="auto"/>
          <w:sz w:val="24"/>
          <w:szCs w:val="24"/>
          <w:highlight w:val="none"/>
          <w:lang w:val="en-US" w:eastAsia="zh-CN"/>
        </w:rPr>
        <w:t>现文</w:t>
      </w:r>
      <w:r>
        <w:rPr>
          <w:rFonts w:hint="default" w:ascii="宋体" w:hAnsi="宋体" w:eastAsia="宋体"/>
          <w:b/>
          <w:bCs/>
          <w:color w:val="auto"/>
          <w:sz w:val="24"/>
          <w:szCs w:val="24"/>
          <w:highlight w:val="none"/>
        </w:rPr>
        <w:t>：</w:t>
      </w:r>
    </w:p>
    <w:p w14:paraId="62000C8D">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1.12.2 </w:t>
      </w:r>
      <w:r>
        <w:rPr>
          <w:rFonts w:hint="eastAsia" w:ascii="宋体" w:hAnsi="宋体" w:cs="宋体"/>
          <w:sz w:val="21"/>
          <w:szCs w:val="21"/>
        </w:rPr>
        <w:t>投标人应根据招标文件的要求提供投标</w:t>
      </w:r>
      <w:r>
        <w:rPr>
          <w:rFonts w:hint="eastAsia" w:ascii="宋体" w:hAnsi="宋体" w:cs="宋体"/>
          <w:b/>
          <w:bCs/>
          <w:sz w:val="21"/>
          <w:szCs w:val="21"/>
          <w:lang w:eastAsia="zh-CN"/>
        </w:rPr>
        <w:t>项目实施方案</w:t>
      </w:r>
      <w:r>
        <w:rPr>
          <w:rFonts w:hint="eastAsia" w:ascii="宋体" w:hAnsi="宋体" w:cs="宋体"/>
          <w:sz w:val="21"/>
          <w:szCs w:val="21"/>
        </w:rPr>
        <w:t>等内容以对招标文件作出响应。</w:t>
      </w:r>
    </w:p>
    <w:p w14:paraId="65CF0D31">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240" w:lineRule="auto"/>
        <w:ind w:firstLine="0" w:firstLineChars="0"/>
        <w:textAlignment w:val="auto"/>
        <w:rPr>
          <w:rFonts w:hint="default" w:ascii="宋体" w:hAnsi="宋体" w:eastAsia="宋体"/>
          <w:color w:val="auto"/>
          <w:sz w:val="24"/>
          <w:szCs w:val="24"/>
          <w:highlight w:val="none"/>
        </w:rPr>
      </w:pPr>
    </w:p>
    <w:p w14:paraId="4C03C313">
      <w:pPr>
        <w:spacing w:beforeLines="0" w:afterLines="0"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ascii="宋体" w:hAnsi="宋体" w:cs="宋体"/>
          <w:sz w:val="21"/>
          <w:szCs w:val="21"/>
        </w:rPr>
        <w:t>3.1.1</w:t>
      </w:r>
      <w:r>
        <w:rPr>
          <w:rFonts w:ascii="宋体" w:hAnsi="宋体" w:cs="宋体"/>
          <w:color w:val="auto"/>
          <w:sz w:val="21"/>
          <w:szCs w:val="21"/>
        </w:rPr>
        <w:t xml:space="preserve"> </w:t>
      </w:r>
      <w:r>
        <w:rPr>
          <w:rFonts w:hint="default" w:ascii="宋体" w:hAnsi="宋体" w:eastAsia="宋体"/>
          <w:color w:val="auto"/>
          <w:sz w:val="24"/>
          <w:szCs w:val="24"/>
          <w:highlight w:val="none"/>
        </w:rPr>
        <w:t xml:space="preserve">             修改类型：</w:t>
      </w:r>
      <w:r>
        <w:rPr>
          <w:rFonts w:hint="eastAsia" w:ascii="宋体" w:hAnsi="宋体" w:eastAsia="宋体"/>
          <w:color w:val="auto"/>
          <w:sz w:val="24"/>
          <w:szCs w:val="24"/>
          <w:highlight w:val="none"/>
          <w:lang w:val="en-US" w:eastAsia="zh-CN"/>
        </w:rPr>
        <w:t>修改</w:t>
      </w:r>
    </w:p>
    <w:p w14:paraId="4DDA3CD2">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p>
    <w:p w14:paraId="42278355">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3.1.1 </w:t>
      </w:r>
      <w:r>
        <w:rPr>
          <w:rFonts w:hint="eastAsia" w:ascii="宋体" w:hAnsi="宋体" w:cs="宋体"/>
          <w:sz w:val="21"/>
          <w:szCs w:val="21"/>
        </w:rPr>
        <w:t>投标文件应包括下列内容：</w:t>
      </w:r>
    </w:p>
    <w:p w14:paraId="66A5D928">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（1）投标函及投标函附录；</w:t>
      </w:r>
    </w:p>
    <w:p w14:paraId="1766CA0D">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（2）法定代表人身份证明</w:t>
      </w:r>
      <w:r>
        <w:rPr>
          <w:rFonts w:hint="eastAsia" w:ascii="宋体" w:hAnsi="宋体" w:cs="宋体"/>
          <w:sz w:val="21"/>
          <w:szCs w:val="21"/>
          <w:lang w:val="en-US" w:eastAsia="zh-CN"/>
        </w:rPr>
        <w:t>书</w:t>
      </w:r>
      <w:r>
        <w:rPr>
          <w:rFonts w:hint="eastAsia" w:ascii="宋体" w:hAnsi="宋体" w:cs="宋体"/>
          <w:sz w:val="21"/>
          <w:szCs w:val="21"/>
        </w:rPr>
        <w:t>或授权委托书；</w:t>
      </w:r>
    </w:p>
    <w:p w14:paraId="5F427CB1">
      <w:pPr>
        <w:spacing w:beforeLines="0" w:afterLines="0" w:line="360" w:lineRule="auto"/>
        <w:ind w:firstLine="422" w:firstLineChars="200"/>
        <w:rPr>
          <w:rFonts w:hint="eastAsia" w:ascii="宋体" w:hAnsi="宋体" w:cs="宋体"/>
          <w:b/>
          <w:bCs/>
          <w:sz w:val="21"/>
          <w:szCs w:val="21"/>
          <w:lang w:eastAsia="zh-CN"/>
        </w:rPr>
      </w:pPr>
      <w:r>
        <w:rPr>
          <w:rFonts w:hint="eastAsia" w:ascii="宋体" w:hAnsi="宋体" w:cs="宋体"/>
          <w:b/>
          <w:bCs/>
          <w:sz w:val="21"/>
          <w:szCs w:val="21"/>
        </w:rPr>
        <w:t>（3）</w:t>
      </w:r>
      <w:r>
        <w:rPr>
          <w:rFonts w:hint="eastAsia" w:ascii="宋体" w:hAnsi="宋体" w:cs="宋体"/>
          <w:b/>
          <w:bCs/>
          <w:sz w:val="21"/>
          <w:szCs w:val="21"/>
          <w:lang w:eastAsia="zh-CN"/>
        </w:rPr>
        <w:t>联合体协议书；</w:t>
      </w:r>
    </w:p>
    <w:p w14:paraId="591D7AA0">
      <w:pPr>
        <w:spacing w:beforeLines="0" w:afterLines="0" w:line="360" w:lineRule="auto"/>
        <w:ind w:firstLine="422" w:firstLineChars="200"/>
        <w:rPr>
          <w:rFonts w:ascii="宋体" w:hAnsi="宋体" w:cs="宋体"/>
          <w:b/>
          <w:bCs/>
          <w:sz w:val="21"/>
          <w:szCs w:val="21"/>
        </w:rPr>
      </w:pPr>
      <w:r>
        <w:rPr>
          <w:rFonts w:hint="eastAsia" w:ascii="宋体" w:hAnsi="宋体" w:cs="宋体"/>
          <w:b/>
          <w:bCs/>
          <w:sz w:val="21"/>
          <w:szCs w:val="21"/>
          <w:lang w:eastAsia="zh-CN"/>
        </w:rPr>
        <w:t>（</w:t>
      </w:r>
      <w:r>
        <w:rPr>
          <w:rFonts w:hint="eastAsia" w:ascii="宋体" w:hAnsi="宋体" w:cs="宋体"/>
          <w:b/>
          <w:bCs/>
          <w:sz w:val="21"/>
          <w:szCs w:val="21"/>
          <w:lang w:val="en-US" w:eastAsia="zh-CN"/>
        </w:rPr>
        <w:t>4）</w:t>
      </w:r>
      <w:r>
        <w:rPr>
          <w:rFonts w:hint="eastAsia" w:ascii="宋体" w:hAnsi="宋体" w:cs="宋体"/>
          <w:b/>
          <w:bCs/>
          <w:sz w:val="21"/>
          <w:szCs w:val="21"/>
        </w:rPr>
        <w:t>投标保证金</w:t>
      </w:r>
      <w:r>
        <w:rPr>
          <w:rFonts w:hint="eastAsia" w:ascii="宋体" w:hAnsi="宋体" w:cs="宋体"/>
          <w:b/>
          <w:bCs/>
          <w:sz w:val="21"/>
          <w:szCs w:val="21"/>
          <w:lang w:eastAsia="zh-CN"/>
        </w:rPr>
        <w:t>（如有）</w:t>
      </w:r>
      <w:r>
        <w:rPr>
          <w:rFonts w:hint="eastAsia" w:ascii="宋体" w:hAnsi="宋体" w:cs="宋体"/>
          <w:b/>
          <w:bCs/>
          <w:sz w:val="21"/>
          <w:szCs w:val="21"/>
        </w:rPr>
        <w:t>；</w:t>
      </w:r>
    </w:p>
    <w:p w14:paraId="209B1358">
      <w:pPr>
        <w:spacing w:beforeLines="0" w:afterLines="0" w:line="360" w:lineRule="auto"/>
        <w:ind w:firstLine="422" w:firstLineChars="200"/>
        <w:rPr>
          <w:rFonts w:ascii="宋体" w:hAnsi="宋体" w:cs="宋体"/>
          <w:b/>
          <w:bCs/>
          <w:sz w:val="21"/>
          <w:szCs w:val="21"/>
        </w:rPr>
      </w:pPr>
      <w:r>
        <w:rPr>
          <w:rFonts w:hint="eastAsia" w:ascii="宋体" w:hAnsi="宋体" w:cs="宋体"/>
          <w:b/>
          <w:bCs/>
          <w:sz w:val="21"/>
          <w:szCs w:val="21"/>
        </w:rPr>
        <w:t>（</w:t>
      </w:r>
      <w:r>
        <w:rPr>
          <w:rFonts w:hint="eastAsia" w:ascii="宋体" w:hAnsi="宋体" w:cs="宋体"/>
          <w:b/>
          <w:bCs/>
          <w:sz w:val="21"/>
          <w:szCs w:val="21"/>
          <w:lang w:val="en-US" w:eastAsia="zh-CN"/>
        </w:rPr>
        <w:t>5</w:t>
      </w:r>
      <w:r>
        <w:rPr>
          <w:rFonts w:hint="eastAsia" w:ascii="宋体" w:hAnsi="宋体" w:cs="宋体"/>
          <w:b/>
          <w:bCs/>
          <w:sz w:val="21"/>
          <w:szCs w:val="21"/>
        </w:rPr>
        <w:t>）监理报酬清单；</w:t>
      </w:r>
    </w:p>
    <w:p w14:paraId="34E9A2BA">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）资格审查资料；</w:t>
      </w:r>
    </w:p>
    <w:p w14:paraId="6ADE6E5B">
      <w:pPr>
        <w:spacing w:beforeLines="0" w:afterLines="0" w:line="360" w:lineRule="auto"/>
        <w:ind w:firstLine="422" w:firstLineChars="200"/>
        <w:rPr>
          <w:rFonts w:ascii="宋体" w:hAnsi="宋体" w:cs="宋体"/>
          <w:b/>
          <w:bCs/>
          <w:sz w:val="21"/>
          <w:szCs w:val="21"/>
        </w:rPr>
      </w:pPr>
      <w:r>
        <w:rPr>
          <w:rFonts w:hint="eastAsia" w:ascii="宋体" w:hAnsi="宋体" w:cs="宋体"/>
          <w:b/>
          <w:bCs/>
          <w:sz w:val="21"/>
          <w:szCs w:val="21"/>
        </w:rPr>
        <w:t>（</w:t>
      </w:r>
      <w:r>
        <w:rPr>
          <w:rFonts w:hint="eastAsia" w:ascii="宋体" w:hAnsi="宋体" w:cs="宋体"/>
          <w:b/>
          <w:bCs/>
          <w:sz w:val="21"/>
          <w:szCs w:val="21"/>
          <w:lang w:val="en-US" w:eastAsia="zh-CN"/>
        </w:rPr>
        <w:t>7</w:t>
      </w:r>
      <w:r>
        <w:rPr>
          <w:rFonts w:hint="eastAsia" w:ascii="宋体" w:hAnsi="宋体" w:cs="宋体"/>
          <w:b/>
          <w:bCs/>
          <w:sz w:val="21"/>
          <w:szCs w:val="21"/>
        </w:rPr>
        <w:t>）监理大纲；</w:t>
      </w:r>
    </w:p>
    <w:p w14:paraId="79D259DD">
      <w:pPr>
        <w:spacing w:beforeLines="0" w:afterLines="0" w:line="360" w:lineRule="auto"/>
        <w:ind w:firstLine="420" w:firstLineChars="200"/>
        <w:rPr>
          <w:rFonts w:ascii="宋体" w:hAnsi="宋体" w:cs="宋体"/>
          <w:color w:val="auto"/>
          <w:sz w:val="21"/>
          <w:szCs w:val="21"/>
        </w:rPr>
      </w:pP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）投标人须知前附表规定的其他资料。</w:t>
      </w:r>
    </w:p>
    <w:p w14:paraId="2870E38F">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sz w:val="21"/>
          <w:szCs w:val="21"/>
          <w:lang w:val="en-US" w:eastAsia="zh-CN"/>
        </w:rPr>
      </w:pPr>
      <w:r>
        <w:rPr>
          <w:rFonts w:hint="eastAsia" w:ascii="宋体" w:hAnsi="宋体" w:eastAsia="宋体"/>
          <w:b/>
          <w:bCs/>
          <w:color w:val="auto"/>
          <w:sz w:val="24"/>
          <w:szCs w:val="24"/>
          <w:highlight w:val="none"/>
          <w:lang w:val="en-US" w:eastAsia="zh-CN"/>
        </w:rPr>
        <w:t>现文</w:t>
      </w:r>
      <w:r>
        <w:rPr>
          <w:rFonts w:hint="default" w:ascii="宋体" w:hAnsi="宋体" w:eastAsia="宋体"/>
          <w:b/>
          <w:bCs/>
          <w:color w:val="auto"/>
          <w:sz w:val="24"/>
          <w:szCs w:val="24"/>
          <w:highlight w:val="none"/>
        </w:rPr>
        <w:t>：</w:t>
      </w:r>
    </w:p>
    <w:p w14:paraId="6F52C1DB">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3.1.1 </w:t>
      </w:r>
      <w:r>
        <w:rPr>
          <w:rFonts w:hint="eastAsia" w:ascii="宋体" w:hAnsi="宋体" w:cs="宋体"/>
          <w:sz w:val="21"/>
          <w:szCs w:val="21"/>
        </w:rPr>
        <w:t>投标文件应包括下列内容：</w:t>
      </w:r>
    </w:p>
    <w:p w14:paraId="36509A67">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（1）投标函及投标函附录；</w:t>
      </w:r>
    </w:p>
    <w:p w14:paraId="364B52B2">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（2）法定代表人身份证明</w:t>
      </w:r>
      <w:r>
        <w:rPr>
          <w:rFonts w:hint="eastAsia" w:ascii="宋体" w:hAnsi="宋体" w:cs="宋体"/>
          <w:sz w:val="21"/>
          <w:szCs w:val="21"/>
          <w:lang w:val="en-US" w:eastAsia="zh-CN"/>
        </w:rPr>
        <w:t>书</w:t>
      </w:r>
      <w:r>
        <w:rPr>
          <w:rFonts w:hint="eastAsia" w:ascii="宋体" w:hAnsi="宋体" w:cs="宋体"/>
          <w:sz w:val="21"/>
          <w:szCs w:val="21"/>
        </w:rPr>
        <w:t>或授权委托书；</w:t>
      </w:r>
    </w:p>
    <w:p w14:paraId="70E4ABF4">
      <w:pPr>
        <w:spacing w:beforeLines="0" w:afterLines="0" w:line="360" w:lineRule="auto"/>
        <w:ind w:firstLine="422" w:firstLineChars="200"/>
        <w:rPr>
          <w:rFonts w:hint="eastAsia" w:ascii="宋体" w:hAnsi="宋体" w:cs="宋体"/>
          <w:b/>
          <w:bCs/>
          <w:sz w:val="21"/>
          <w:szCs w:val="21"/>
          <w:lang w:eastAsia="zh-CN"/>
        </w:rPr>
      </w:pPr>
      <w:r>
        <w:rPr>
          <w:rFonts w:hint="eastAsia" w:ascii="宋体" w:hAnsi="宋体" w:cs="宋体"/>
          <w:b/>
          <w:bCs/>
          <w:sz w:val="21"/>
          <w:szCs w:val="21"/>
        </w:rPr>
        <w:t>（3）</w:t>
      </w:r>
      <w:r>
        <w:rPr>
          <w:rFonts w:hint="eastAsia" w:ascii="宋体" w:hAnsi="宋体" w:cs="宋体"/>
          <w:b/>
          <w:bCs/>
          <w:szCs w:val="21"/>
          <w:highlight w:val="none"/>
        </w:rPr>
        <w:t>关于投标保证金的承诺</w:t>
      </w:r>
      <w:r>
        <w:rPr>
          <w:rFonts w:hint="eastAsia" w:ascii="宋体" w:hAnsi="宋体" w:cs="宋体"/>
          <w:b/>
          <w:bCs/>
          <w:sz w:val="21"/>
          <w:szCs w:val="21"/>
          <w:lang w:eastAsia="zh-CN"/>
        </w:rPr>
        <w:t>；</w:t>
      </w:r>
    </w:p>
    <w:p w14:paraId="2ED8BF37">
      <w:pPr>
        <w:spacing w:beforeLines="0" w:afterLines="0" w:line="360" w:lineRule="auto"/>
        <w:ind w:firstLine="422" w:firstLineChars="200"/>
        <w:rPr>
          <w:rFonts w:ascii="宋体" w:hAnsi="宋体" w:cs="宋体"/>
          <w:b/>
          <w:bCs/>
          <w:sz w:val="21"/>
          <w:szCs w:val="21"/>
        </w:rPr>
      </w:pPr>
      <w:r>
        <w:rPr>
          <w:rFonts w:hint="eastAsia" w:ascii="宋体" w:hAnsi="宋体" w:cs="宋体"/>
          <w:b/>
          <w:bCs/>
          <w:sz w:val="21"/>
          <w:szCs w:val="21"/>
        </w:rPr>
        <w:t>（</w:t>
      </w:r>
      <w:r>
        <w:rPr>
          <w:rFonts w:hint="eastAsia" w:ascii="宋体" w:hAnsi="宋体" w:cs="宋体"/>
          <w:b/>
          <w:bCs/>
          <w:sz w:val="21"/>
          <w:szCs w:val="21"/>
          <w:lang w:val="en-US" w:eastAsia="zh-CN"/>
        </w:rPr>
        <w:t>4</w:t>
      </w:r>
      <w:r>
        <w:rPr>
          <w:rFonts w:hint="eastAsia" w:ascii="宋体" w:hAnsi="宋体" w:cs="宋体"/>
          <w:b/>
          <w:bCs/>
          <w:sz w:val="21"/>
          <w:szCs w:val="21"/>
        </w:rPr>
        <w:t>）</w:t>
      </w:r>
      <w:r>
        <w:rPr>
          <w:rFonts w:hint="eastAsia" w:ascii="宋体" w:hAnsi="宋体" w:cs="宋体"/>
          <w:b/>
          <w:bCs/>
          <w:sz w:val="21"/>
          <w:szCs w:val="21"/>
          <w:lang w:eastAsia="zh-CN"/>
        </w:rPr>
        <w:t>投标报价清单</w:t>
      </w:r>
      <w:r>
        <w:rPr>
          <w:rFonts w:hint="eastAsia" w:ascii="宋体" w:hAnsi="宋体" w:cs="宋体"/>
          <w:b/>
          <w:bCs/>
          <w:sz w:val="21"/>
          <w:szCs w:val="21"/>
        </w:rPr>
        <w:t>；</w:t>
      </w:r>
    </w:p>
    <w:p w14:paraId="24E86FEF">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）资格审查资料；</w:t>
      </w:r>
    </w:p>
    <w:p w14:paraId="04C59330">
      <w:pPr>
        <w:spacing w:beforeLines="0" w:afterLines="0" w:line="360" w:lineRule="auto"/>
        <w:ind w:firstLine="422" w:firstLineChars="200"/>
        <w:rPr>
          <w:rFonts w:hint="default" w:ascii="宋体" w:hAnsi="宋体" w:eastAsia="宋体" w:cs="宋体"/>
          <w:b/>
          <w:bCs/>
          <w:sz w:val="21"/>
          <w:szCs w:val="21"/>
          <w:lang w:val="en-US" w:eastAsia="zh-CN"/>
        </w:rPr>
      </w:pPr>
      <w:r>
        <w:rPr>
          <w:rFonts w:hint="eastAsia" w:ascii="宋体" w:hAnsi="宋体" w:cs="宋体"/>
          <w:b/>
          <w:bCs/>
          <w:sz w:val="21"/>
          <w:szCs w:val="21"/>
        </w:rPr>
        <w:t>（</w:t>
      </w:r>
      <w:r>
        <w:rPr>
          <w:rFonts w:hint="eastAsia" w:ascii="宋体" w:hAnsi="宋体" w:cs="宋体"/>
          <w:b/>
          <w:bCs/>
          <w:sz w:val="21"/>
          <w:szCs w:val="21"/>
          <w:lang w:val="en-US" w:eastAsia="zh-CN"/>
        </w:rPr>
        <w:t>6</w:t>
      </w:r>
      <w:r>
        <w:rPr>
          <w:rFonts w:hint="eastAsia" w:ascii="宋体" w:hAnsi="宋体" w:cs="宋体"/>
          <w:b/>
          <w:bCs/>
          <w:sz w:val="21"/>
          <w:szCs w:val="21"/>
        </w:rPr>
        <w:t>）</w:t>
      </w:r>
      <w:r>
        <w:rPr>
          <w:rFonts w:hint="eastAsia" w:ascii="宋体" w:hAnsi="宋体" w:cs="宋体"/>
          <w:b/>
          <w:bCs/>
          <w:sz w:val="21"/>
          <w:szCs w:val="21"/>
          <w:lang w:val="en-US" w:eastAsia="zh-CN"/>
        </w:rPr>
        <w:t>资信业绩；</w:t>
      </w:r>
    </w:p>
    <w:p w14:paraId="09DECCC1">
      <w:pPr>
        <w:spacing w:beforeLines="0" w:afterLines="0" w:line="360" w:lineRule="auto"/>
        <w:ind w:firstLine="422" w:firstLineChars="200"/>
        <w:rPr>
          <w:rFonts w:ascii="宋体" w:hAnsi="宋体" w:cs="宋体"/>
          <w:sz w:val="21"/>
          <w:szCs w:val="21"/>
        </w:rPr>
      </w:pPr>
      <w:r>
        <w:rPr>
          <w:rFonts w:hint="eastAsia" w:ascii="宋体" w:hAnsi="宋体" w:cs="宋体"/>
          <w:b/>
          <w:bCs/>
          <w:sz w:val="21"/>
          <w:szCs w:val="21"/>
          <w:lang w:eastAsia="zh-CN"/>
        </w:rPr>
        <w:t>（</w:t>
      </w:r>
      <w:r>
        <w:rPr>
          <w:rFonts w:hint="eastAsia" w:ascii="宋体" w:hAnsi="宋体" w:cs="宋体"/>
          <w:b/>
          <w:bCs/>
          <w:sz w:val="21"/>
          <w:szCs w:val="21"/>
          <w:lang w:val="en-US" w:eastAsia="zh-CN"/>
        </w:rPr>
        <w:t>7</w:t>
      </w:r>
      <w:r>
        <w:rPr>
          <w:rFonts w:hint="eastAsia" w:ascii="宋体" w:hAnsi="宋体" w:cs="宋体"/>
          <w:b/>
          <w:bCs/>
          <w:sz w:val="21"/>
          <w:szCs w:val="21"/>
          <w:lang w:eastAsia="zh-CN"/>
        </w:rPr>
        <w:t>）项目实施方案</w:t>
      </w:r>
      <w:r>
        <w:rPr>
          <w:rFonts w:hint="eastAsia" w:ascii="宋体" w:hAnsi="宋体" w:cs="宋体"/>
          <w:b/>
          <w:bCs/>
          <w:sz w:val="21"/>
          <w:szCs w:val="21"/>
        </w:rPr>
        <w:t>；</w:t>
      </w:r>
    </w:p>
    <w:p w14:paraId="1CF20D1E">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）投标人须知前附表规定的其他资料。</w:t>
      </w:r>
    </w:p>
    <w:p w14:paraId="41126505">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240" w:lineRule="auto"/>
        <w:ind w:firstLine="0" w:firstLineChars="0"/>
        <w:textAlignment w:val="auto"/>
        <w:rPr>
          <w:rFonts w:hint="default" w:ascii="宋体" w:hAnsi="宋体" w:eastAsia="宋体"/>
          <w:color w:val="auto"/>
          <w:sz w:val="24"/>
          <w:szCs w:val="24"/>
          <w:highlight w:val="none"/>
        </w:rPr>
      </w:pPr>
    </w:p>
    <w:p w14:paraId="4E6C2CC1">
      <w:pPr>
        <w:spacing w:beforeLines="0" w:afterLines="0"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eastAsia" w:ascii="宋体" w:hAnsi="宋体" w:cs="宋体"/>
          <w:sz w:val="21"/>
          <w:szCs w:val="21"/>
        </w:rPr>
        <w:t>3.2.1</w:t>
      </w:r>
      <w:r>
        <w:rPr>
          <w:rFonts w:ascii="宋体" w:hAnsi="宋体" w:cs="宋体"/>
          <w:color w:val="auto"/>
          <w:sz w:val="21"/>
          <w:szCs w:val="21"/>
        </w:rPr>
        <w:t xml:space="preserve"> </w:t>
      </w:r>
      <w:r>
        <w:rPr>
          <w:rFonts w:hint="default" w:ascii="宋体" w:hAnsi="宋体" w:eastAsia="宋体"/>
          <w:color w:val="auto"/>
          <w:sz w:val="24"/>
          <w:szCs w:val="24"/>
          <w:highlight w:val="none"/>
        </w:rPr>
        <w:t xml:space="preserve">             修改类型：</w:t>
      </w:r>
      <w:r>
        <w:rPr>
          <w:rFonts w:hint="eastAsia" w:ascii="宋体" w:hAnsi="宋体" w:eastAsia="宋体"/>
          <w:color w:val="auto"/>
          <w:sz w:val="24"/>
          <w:szCs w:val="24"/>
          <w:highlight w:val="none"/>
          <w:lang w:val="en-US" w:eastAsia="zh-CN"/>
        </w:rPr>
        <w:t>修改</w:t>
      </w:r>
    </w:p>
    <w:p w14:paraId="140D12FC">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p>
    <w:p w14:paraId="38998276">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3.2.1投标报价应包括国家规定的增值税税金，除投标人须知前附表另有规定外，增值税税金按一般计税方法计算。投标人应按第六章“投标文件格式”的要求在投标函中进行报价并填写</w:t>
      </w:r>
      <w:r>
        <w:rPr>
          <w:rFonts w:hint="eastAsia" w:ascii="宋体" w:hAnsi="宋体" w:cs="宋体"/>
          <w:b/>
          <w:bCs/>
          <w:sz w:val="21"/>
          <w:szCs w:val="21"/>
        </w:rPr>
        <w:t>监理报酬清单</w:t>
      </w:r>
      <w:r>
        <w:rPr>
          <w:rFonts w:hint="eastAsia" w:ascii="宋体" w:hAnsi="宋体" w:cs="宋体"/>
          <w:sz w:val="21"/>
          <w:szCs w:val="21"/>
        </w:rPr>
        <w:t>。</w:t>
      </w:r>
    </w:p>
    <w:p w14:paraId="188EB187">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sz w:val="21"/>
          <w:szCs w:val="21"/>
          <w:lang w:val="en-US" w:eastAsia="zh-CN"/>
        </w:rPr>
      </w:pPr>
      <w:r>
        <w:rPr>
          <w:rFonts w:hint="eastAsia" w:ascii="宋体" w:hAnsi="宋体" w:eastAsia="宋体"/>
          <w:b/>
          <w:bCs/>
          <w:color w:val="auto"/>
          <w:sz w:val="24"/>
          <w:szCs w:val="24"/>
          <w:highlight w:val="none"/>
          <w:lang w:val="en-US" w:eastAsia="zh-CN"/>
        </w:rPr>
        <w:t>现文</w:t>
      </w:r>
      <w:r>
        <w:rPr>
          <w:rFonts w:hint="default" w:ascii="宋体" w:hAnsi="宋体" w:eastAsia="宋体"/>
          <w:b/>
          <w:bCs/>
          <w:color w:val="auto"/>
          <w:sz w:val="24"/>
          <w:szCs w:val="24"/>
          <w:highlight w:val="none"/>
        </w:rPr>
        <w:t>：</w:t>
      </w:r>
    </w:p>
    <w:p w14:paraId="167D5DD8">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3.2.1投标报价应包括国家规定的增值税税金，除投标人须知前附表另有规定外，增值税税金按一般计税方法计算。投标人应按第六章“投标文件格式”的要求在投标函中进行报价并填写</w:t>
      </w:r>
      <w:r>
        <w:rPr>
          <w:rFonts w:hint="eastAsia" w:ascii="宋体" w:hAnsi="宋体" w:cs="宋体"/>
          <w:b/>
          <w:bCs/>
          <w:sz w:val="21"/>
          <w:szCs w:val="21"/>
          <w:lang w:val="en-US" w:eastAsia="zh-CN"/>
        </w:rPr>
        <w:t>投标报价</w:t>
      </w:r>
      <w:r>
        <w:rPr>
          <w:rFonts w:hint="eastAsia" w:ascii="宋体" w:hAnsi="宋体" w:cs="宋体"/>
          <w:b/>
          <w:bCs/>
          <w:sz w:val="21"/>
          <w:szCs w:val="21"/>
        </w:rPr>
        <w:t>清单</w:t>
      </w:r>
      <w:r>
        <w:rPr>
          <w:rFonts w:hint="eastAsia" w:ascii="宋体" w:hAnsi="宋体" w:cs="宋体"/>
          <w:sz w:val="21"/>
          <w:szCs w:val="21"/>
        </w:rPr>
        <w:t>。</w:t>
      </w:r>
    </w:p>
    <w:p w14:paraId="632DD770">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240" w:lineRule="auto"/>
        <w:ind w:firstLine="0" w:firstLineChars="0"/>
        <w:textAlignment w:val="auto"/>
        <w:rPr>
          <w:rFonts w:hint="default" w:ascii="宋体" w:hAnsi="宋体" w:eastAsia="宋体"/>
          <w:color w:val="auto"/>
          <w:sz w:val="24"/>
          <w:szCs w:val="24"/>
          <w:highlight w:val="none"/>
        </w:rPr>
      </w:pPr>
    </w:p>
    <w:p w14:paraId="301991E5">
      <w:pPr>
        <w:spacing w:beforeLines="0" w:afterLines="0"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ascii="宋体" w:hAnsi="宋体" w:cs="宋体"/>
          <w:sz w:val="21"/>
          <w:szCs w:val="21"/>
        </w:rPr>
        <w:t>3.2.3</w:t>
      </w:r>
      <w:r>
        <w:rPr>
          <w:rFonts w:ascii="宋体" w:hAnsi="宋体" w:cs="宋体"/>
          <w:color w:val="auto"/>
          <w:sz w:val="21"/>
          <w:szCs w:val="21"/>
        </w:rPr>
        <w:t xml:space="preserve"> </w:t>
      </w:r>
      <w:r>
        <w:rPr>
          <w:rFonts w:hint="default" w:ascii="宋体" w:hAnsi="宋体" w:eastAsia="宋体"/>
          <w:color w:val="auto"/>
          <w:sz w:val="24"/>
          <w:szCs w:val="24"/>
          <w:highlight w:val="none"/>
        </w:rPr>
        <w:t xml:space="preserve">             修改类型：</w:t>
      </w:r>
      <w:r>
        <w:rPr>
          <w:rFonts w:hint="eastAsia" w:ascii="宋体" w:hAnsi="宋体" w:eastAsia="宋体"/>
          <w:color w:val="auto"/>
          <w:sz w:val="24"/>
          <w:szCs w:val="24"/>
          <w:highlight w:val="none"/>
          <w:lang w:val="en-US" w:eastAsia="zh-CN"/>
        </w:rPr>
        <w:t>修改</w:t>
      </w:r>
    </w:p>
    <w:p w14:paraId="234401FC">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p>
    <w:p w14:paraId="68C629A6">
      <w:pPr>
        <w:spacing w:beforeLines="0" w:afterLines="0" w:line="360" w:lineRule="auto"/>
        <w:ind w:firstLine="420" w:firstLineChars="200"/>
        <w:rPr>
          <w:rFonts w:ascii="宋体" w:hAnsi="宋体" w:cs="宋体"/>
          <w:sz w:val="21"/>
          <w:szCs w:val="21"/>
        </w:rPr>
      </w:pPr>
      <w:r>
        <w:rPr>
          <w:rFonts w:ascii="宋体" w:hAnsi="宋体" w:cs="宋体"/>
          <w:sz w:val="21"/>
          <w:szCs w:val="21"/>
        </w:rPr>
        <w:t>3.2.3</w:t>
      </w:r>
      <w:r>
        <w:rPr>
          <w:rFonts w:hint="eastAsia" w:ascii="宋体" w:hAnsi="宋体" w:cs="宋体"/>
          <w:sz w:val="21"/>
          <w:szCs w:val="21"/>
        </w:rPr>
        <w:t xml:space="preserve"> 本项目的报价方式见投标人须知前附表。投标人在投标截止时间前修改投标函中的投标报价总额，应同时修改投标文件“</w:t>
      </w:r>
      <w:r>
        <w:rPr>
          <w:rFonts w:hint="eastAsia" w:ascii="宋体" w:hAnsi="宋体" w:cs="宋体"/>
          <w:b/>
          <w:bCs/>
          <w:sz w:val="21"/>
          <w:szCs w:val="21"/>
        </w:rPr>
        <w:t>监理报酬清单</w:t>
      </w:r>
      <w:r>
        <w:rPr>
          <w:rFonts w:hint="eastAsia" w:ascii="宋体" w:hAnsi="宋体" w:cs="宋体"/>
          <w:sz w:val="21"/>
          <w:szCs w:val="21"/>
        </w:rPr>
        <w:t>”中的相应报价。此修改须符合本章第4.3款的有关要求。</w:t>
      </w:r>
    </w:p>
    <w:p w14:paraId="1D43DAF3">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sz w:val="21"/>
          <w:szCs w:val="21"/>
          <w:lang w:val="en-US" w:eastAsia="zh-CN"/>
        </w:rPr>
      </w:pPr>
      <w:r>
        <w:rPr>
          <w:rFonts w:hint="eastAsia" w:ascii="宋体" w:hAnsi="宋体" w:eastAsia="宋体"/>
          <w:b/>
          <w:bCs/>
          <w:color w:val="auto"/>
          <w:sz w:val="24"/>
          <w:szCs w:val="24"/>
          <w:highlight w:val="none"/>
          <w:lang w:val="en-US" w:eastAsia="zh-CN"/>
        </w:rPr>
        <w:t>现文</w:t>
      </w:r>
      <w:r>
        <w:rPr>
          <w:rFonts w:hint="default" w:ascii="宋体" w:hAnsi="宋体" w:eastAsia="宋体"/>
          <w:b/>
          <w:bCs/>
          <w:color w:val="auto"/>
          <w:sz w:val="24"/>
          <w:szCs w:val="24"/>
          <w:highlight w:val="none"/>
        </w:rPr>
        <w:t>：</w:t>
      </w:r>
    </w:p>
    <w:p w14:paraId="45C95687">
      <w:pPr>
        <w:spacing w:beforeLines="0" w:afterLines="0" w:line="360" w:lineRule="auto"/>
        <w:ind w:firstLine="420" w:firstLineChars="200"/>
        <w:rPr>
          <w:rFonts w:ascii="宋体" w:hAnsi="宋体" w:cs="宋体"/>
          <w:sz w:val="21"/>
          <w:szCs w:val="21"/>
        </w:rPr>
      </w:pPr>
      <w:r>
        <w:rPr>
          <w:rFonts w:ascii="宋体" w:hAnsi="宋体" w:cs="宋体"/>
          <w:sz w:val="21"/>
          <w:szCs w:val="21"/>
        </w:rPr>
        <w:t>3.2.3</w:t>
      </w:r>
      <w:r>
        <w:rPr>
          <w:rFonts w:hint="eastAsia" w:ascii="宋体" w:hAnsi="宋体" w:cs="宋体"/>
          <w:sz w:val="21"/>
          <w:szCs w:val="21"/>
        </w:rPr>
        <w:t xml:space="preserve"> 本项目的报价方式见投标人须知前附表。投标人在投标截止时间前修改投标函中的投标报价总额，应同时修改投标文件“</w:t>
      </w:r>
      <w:r>
        <w:rPr>
          <w:rFonts w:hint="eastAsia" w:ascii="宋体" w:hAnsi="宋体" w:cs="宋体"/>
          <w:b/>
          <w:bCs/>
          <w:sz w:val="21"/>
          <w:szCs w:val="21"/>
          <w:lang w:val="en-US" w:eastAsia="zh-CN"/>
        </w:rPr>
        <w:t>投标报价</w:t>
      </w:r>
      <w:r>
        <w:rPr>
          <w:rFonts w:hint="eastAsia" w:ascii="宋体" w:hAnsi="宋体" w:cs="宋体"/>
          <w:b/>
          <w:bCs/>
          <w:sz w:val="21"/>
          <w:szCs w:val="21"/>
        </w:rPr>
        <w:t>清单</w:t>
      </w:r>
      <w:r>
        <w:rPr>
          <w:rFonts w:hint="eastAsia" w:ascii="宋体" w:hAnsi="宋体" w:cs="宋体"/>
          <w:sz w:val="21"/>
          <w:szCs w:val="21"/>
        </w:rPr>
        <w:t>”中的相应报价。此修改须符合本章第4.3款的有关要求。</w:t>
      </w:r>
    </w:p>
    <w:p w14:paraId="7D4C9A17">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240" w:lineRule="auto"/>
        <w:ind w:firstLine="0" w:firstLineChars="0"/>
        <w:textAlignment w:val="auto"/>
        <w:rPr>
          <w:rFonts w:hint="default" w:ascii="宋体" w:hAnsi="宋体" w:eastAsia="宋体"/>
          <w:color w:val="auto"/>
          <w:sz w:val="24"/>
          <w:szCs w:val="24"/>
          <w:highlight w:val="none"/>
        </w:rPr>
      </w:pPr>
    </w:p>
    <w:p w14:paraId="0F05E60F">
      <w:pPr>
        <w:spacing w:beforeLines="0" w:afterLines="0"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eastAsia" w:ascii="宋体" w:hAnsi="宋体" w:cs="宋体"/>
          <w:sz w:val="21"/>
          <w:szCs w:val="21"/>
        </w:rPr>
        <w:t>3.5.2</w:t>
      </w:r>
      <w:r>
        <w:rPr>
          <w:rFonts w:ascii="宋体" w:hAnsi="宋体" w:cs="宋体"/>
          <w:color w:val="auto"/>
          <w:sz w:val="21"/>
          <w:szCs w:val="21"/>
        </w:rPr>
        <w:t xml:space="preserve"> </w:t>
      </w:r>
      <w:r>
        <w:rPr>
          <w:rFonts w:hint="default" w:ascii="宋体" w:hAnsi="宋体" w:eastAsia="宋体"/>
          <w:color w:val="auto"/>
          <w:sz w:val="24"/>
          <w:szCs w:val="24"/>
          <w:highlight w:val="none"/>
        </w:rPr>
        <w:t xml:space="preserve">             修改类型：删除</w:t>
      </w:r>
    </w:p>
    <w:p w14:paraId="79424A20">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p>
    <w:p w14:paraId="6C73E469">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3.5.2  “近年完成的类似监理项目情况表”应附中标通知书和（或）合同协议书、委托人出具的证明文件；具体时间要求见投标人须知前附表，每张表格只填写一个项目，并标明序号。</w:t>
      </w:r>
    </w:p>
    <w:p w14:paraId="0205330E">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sz w:val="21"/>
          <w:szCs w:val="21"/>
          <w:lang w:val="en-US" w:eastAsia="zh-CN"/>
        </w:rPr>
      </w:pPr>
      <w:r>
        <w:rPr>
          <w:rFonts w:hint="eastAsia" w:ascii="宋体" w:hAnsi="宋体" w:eastAsia="宋体"/>
          <w:b/>
          <w:bCs/>
          <w:color w:val="auto"/>
          <w:sz w:val="24"/>
          <w:szCs w:val="24"/>
          <w:highlight w:val="none"/>
          <w:lang w:val="en-US" w:eastAsia="zh-CN"/>
        </w:rPr>
        <w:t>现文</w:t>
      </w:r>
      <w:r>
        <w:rPr>
          <w:rFonts w:hint="default" w:ascii="宋体" w:hAnsi="宋体" w:eastAsia="宋体"/>
          <w:b/>
          <w:bCs/>
          <w:color w:val="auto"/>
          <w:sz w:val="24"/>
          <w:szCs w:val="24"/>
          <w:highlight w:val="none"/>
        </w:rPr>
        <w:t>：</w:t>
      </w:r>
    </w:p>
    <w:p w14:paraId="6DB5C90C">
      <w:pPr>
        <w:spacing w:beforeLines="0" w:afterLines="0" w:line="360" w:lineRule="auto"/>
        <w:ind w:firstLine="420" w:firstLineChars="200"/>
        <w:rPr>
          <w:rFonts w:ascii="宋体" w:hAnsi="宋体" w:cs="宋体"/>
          <w:strike/>
          <w:dstrike w:val="0"/>
          <w:color w:val="auto"/>
          <w:sz w:val="21"/>
          <w:szCs w:val="21"/>
        </w:rPr>
      </w:pPr>
      <w:r>
        <w:rPr>
          <w:rFonts w:hint="eastAsia" w:ascii="宋体" w:hAnsi="宋体" w:cs="宋体"/>
          <w:strike/>
          <w:dstrike w:val="0"/>
          <w:sz w:val="21"/>
          <w:szCs w:val="21"/>
        </w:rPr>
        <w:t>3.5.2  “近年完成的类似监理项目情况表”应附中标通知书和（或）合同协议书、委托人出具的证明文件；具体时间要求见投标人须知前附表，每张表格只填写一个项目，并标明序号。</w:t>
      </w:r>
    </w:p>
    <w:p w14:paraId="1F247D01">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240" w:lineRule="auto"/>
        <w:ind w:firstLine="0" w:firstLineChars="0"/>
        <w:textAlignment w:val="auto"/>
        <w:rPr>
          <w:rFonts w:hint="default" w:ascii="宋体" w:hAnsi="宋体" w:eastAsia="宋体"/>
          <w:color w:val="auto"/>
          <w:sz w:val="24"/>
          <w:szCs w:val="24"/>
          <w:highlight w:val="none"/>
        </w:rPr>
      </w:pPr>
    </w:p>
    <w:p w14:paraId="41EA23F1">
      <w:pPr>
        <w:spacing w:beforeLines="0" w:afterLines="0"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eastAsia" w:ascii="宋体" w:hAnsi="宋体" w:cs="宋体"/>
          <w:sz w:val="21"/>
          <w:szCs w:val="21"/>
        </w:rPr>
        <w:t>3.5.</w:t>
      </w:r>
      <w:r>
        <w:rPr>
          <w:rFonts w:hint="eastAsia" w:ascii="宋体" w:hAnsi="宋体" w:cs="宋体"/>
          <w:sz w:val="21"/>
          <w:szCs w:val="21"/>
          <w:lang w:val="en-US" w:eastAsia="zh-CN"/>
        </w:rPr>
        <w:t>3</w:t>
      </w:r>
      <w:r>
        <w:rPr>
          <w:rFonts w:ascii="宋体" w:hAnsi="宋体" w:cs="宋体"/>
          <w:color w:val="auto"/>
          <w:sz w:val="21"/>
          <w:szCs w:val="21"/>
        </w:rPr>
        <w:t xml:space="preserve"> </w:t>
      </w:r>
      <w:r>
        <w:rPr>
          <w:rFonts w:hint="default" w:ascii="宋体" w:hAnsi="宋体" w:eastAsia="宋体"/>
          <w:color w:val="auto"/>
          <w:sz w:val="24"/>
          <w:szCs w:val="24"/>
          <w:highlight w:val="none"/>
        </w:rPr>
        <w:t xml:space="preserve">             修改类型：删除</w:t>
      </w:r>
    </w:p>
    <w:p w14:paraId="05B2A4FA">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p>
    <w:p w14:paraId="4FEFF7AB">
      <w:pPr>
        <w:spacing w:beforeLines="0" w:afterLines="0" w:line="360" w:lineRule="auto"/>
        <w:ind w:firstLine="420" w:firstLineChars="200"/>
        <w:rPr>
          <w:rFonts w:ascii="宋体" w:hAnsi="宋体" w:cs="宋体"/>
          <w:sz w:val="21"/>
          <w:szCs w:val="21"/>
        </w:rPr>
      </w:pPr>
      <w:r>
        <w:rPr>
          <w:rFonts w:hint="eastAsia" w:ascii="宋体" w:hAnsi="宋体" w:eastAsia="宋体" w:cs="宋体"/>
          <w:sz w:val="21"/>
          <w:szCs w:val="21"/>
        </w:rPr>
        <w:t>3.5.</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default" w:ascii="宋体" w:hAnsi="宋体" w:eastAsia="宋体" w:cs="宋体"/>
          <w:sz w:val="21"/>
          <w:szCs w:val="21"/>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ascii="宋体" w:hAnsi="宋体" w:eastAsia="宋体" w:cs="宋体"/>
          <w:sz w:val="21"/>
          <w:szCs w:val="21"/>
          <w:lang w:eastAsia="zh-CN"/>
        </w:rPr>
        <w:t>（</w:t>
      </w:r>
      <w:r>
        <w:rPr>
          <w:rFonts w:hint="eastAsia" w:ascii="宋体" w:hAnsi="宋体" w:eastAsia="宋体" w:cs="宋体"/>
          <w:sz w:val="21"/>
          <w:szCs w:val="21"/>
          <w:lang w:val="en-US" w:eastAsia="zh-CN"/>
        </w:rPr>
        <w:t>如</w:t>
      </w:r>
      <w:r>
        <w:rPr>
          <w:rFonts w:hint="default" w:ascii="宋体" w:hAnsi="宋体" w:eastAsia="宋体" w:cs="宋体"/>
          <w:sz w:val="21"/>
          <w:szCs w:val="21"/>
          <w:lang w:eastAsia="zh-CN"/>
        </w:rPr>
        <w:t>有）</w:t>
      </w:r>
      <w:r>
        <w:rPr>
          <w:rFonts w:hint="default" w:ascii="宋体" w:hAnsi="宋体" w:eastAsia="宋体" w:cs="宋体"/>
          <w:sz w:val="21"/>
          <w:szCs w:val="21"/>
        </w:rPr>
        <w:t>；其他主要人员应附身份证、学历证、职称证、有关证书和社保缴费证明</w:t>
      </w:r>
      <w:r>
        <w:rPr>
          <w:rFonts w:hint="default" w:ascii="宋体" w:hAnsi="宋体" w:eastAsia="宋体" w:cs="宋体"/>
          <w:sz w:val="21"/>
          <w:szCs w:val="21"/>
          <w:lang w:eastAsia="zh-CN"/>
        </w:rPr>
        <w:t>（</w:t>
      </w:r>
      <w:r>
        <w:rPr>
          <w:rFonts w:hint="eastAsia" w:ascii="宋体" w:hAnsi="宋体" w:eastAsia="宋体" w:cs="宋体"/>
          <w:sz w:val="21"/>
          <w:szCs w:val="21"/>
          <w:lang w:val="en-US" w:eastAsia="zh-CN"/>
        </w:rPr>
        <w:t>如</w:t>
      </w:r>
      <w:r>
        <w:rPr>
          <w:rFonts w:hint="default" w:ascii="宋体" w:hAnsi="宋体" w:eastAsia="宋体" w:cs="宋体"/>
          <w:sz w:val="21"/>
          <w:szCs w:val="21"/>
          <w:lang w:eastAsia="zh-CN"/>
        </w:rPr>
        <w:t>有）</w:t>
      </w:r>
      <w:r>
        <w:rPr>
          <w:rFonts w:hint="default" w:ascii="宋体" w:hAnsi="宋体" w:eastAsia="宋体" w:cs="宋体"/>
          <w:sz w:val="21"/>
          <w:szCs w:val="21"/>
        </w:rPr>
        <w:t>。</w:t>
      </w:r>
      <w:r>
        <w:rPr>
          <w:rFonts w:hint="eastAsia" w:ascii="宋体" w:hAnsi="宋体" w:eastAsia="宋体" w:cs="宋体"/>
          <w:sz w:val="21"/>
          <w:szCs w:val="21"/>
          <w:lang w:eastAsia="zh-CN"/>
        </w:rPr>
        <w:t>（注：以上人员社保要求：具有离投标截止时间最近</w:t>
      </w:r>
      <w:r>
        <w:rPr>
          <w:rFonts w:hint="eastAsia" w:ascii="宋体" w:hAnsi="宋体" w:eastAsia="宋体" w:cs="宋体"/>
          <w:sz w:val="21"/>
          <w:szCs w:val="21"/>
          <w:lang w:val="en-US" w:eastAsia="zh-CN"/>
        </w:rPr>
        <w:t>的至少</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lang w:eastAsia="zh-CN"/>
        </w:rPr>
        <w:t>个月</w:t>
      </w:r>
      <w:r>
        <w:rPr>
          <w:rFonts w:hint="eastAsia" w:ascii="宋体" w:hAnsi="宋体" w:eastAsia="宋体" w:cs="宋体"/>
          <w:sz w:val="21"/>
          <w:szCs w:val="21"/>
          <w:lang w:eastAsia="zh-CN"/>
        </w:rPr>
        <w:t>在本单位缴纳的社保证明文件，</w:t>
      </w:r>
      <w:r>
        <w:rPr>
          <w:rFonts w:hint="eastAsia" w:ascii="宋体" w:hAnsi="宋体" w:eastAsia="宋体" w:cs="宋体"/>
          <w:sz w:val="21"/>
          <w:szCs w:val="21"/>
          <w:lang w:val="en-US" w:eastAsia="zh-CN"/>
        </w:rPr>
        <w:t>由招标人自行确定</w:t>
      </w:r>
      <w:r>
        <w:rPr>
          <w:rFonts w:hint="eastAsia" w:ascii="宋体" w:hAnsi="宋体" w:eastAsia="宋体" w:cs="宋体"/>
          <w:sz w:val="21"/>
          <w:szCs w:val="21"/>
          <w:lang w:eastAsia="zh-CN"/>
        </w:rPr>
        <w:t>。）</w:t>
      </w:r>
    </w:p>
    <w:p w14:paraId="5B122DA1">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sz w:val="21"/>
          <w:szCs w:val="21"/>
          <w:lang w:val="en-US" w:eastAsia="zh-CN"/>
        </w:rPr>
      </w:pPr>
      <w:r>
        <w:rPr>
          <w:rFonts w:hint="eastAsia" w:ascii="宋体" w:hAnsi="宋体" w:eastAsia="宋体"/>
          <w:b/>
          <w:bCs/>
          <w:color w:val="auto"/>
          <w:sz w:val="24"/>
          <w:szCs w:val="24"/>
          <w:highlight w:val="none"/>
          <w:lang w:val="en-US" w:eastAsia="zh-CN"/>
        </w:rPr>
        <w:t>现文</w:t>
      </w:r>
      <w:r>
        <w:rPr>
          <w:rFonts w:hint="default" w:ascii="宋体" w:hAnsi="宋体" w:eastAsia="宋体"/>
          <w:b/>
          <w:bCs/>
          <w:color w:val="auto"/>
          <w:sz w:val="24"/>
          <w:szCs w:val="24"/>
          <w:highlight w:val="none"/>
        </w:rPr>
        <w:t>：</w:t>
      </w:r>
    </w:p>
    <w:p w14:paraId="5464725C">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default"/>
        </w:rPr>
      </w:pPr>
      <w:r>
        <w:rPr>
          <w:rFonts w:hint="eastAsia" w:ascii="宋体" w:hAnsi="宋体" w:eastAsia="宋体" w:cs="宋体"/>
          <w:strike/>
          <w:dstrike w:val="0"/>
          <w:sz w:val="21"/>
          <w:szCs w:val="21"/>
        </w:rPr>
        <w:t>3.5.</w:t>
      </w:r>
      <w:r>
        <w:rPr>
          <w:rFonts w:hint="eastAsia" w:ascii="宋体" w:hAnsi="宋体" w:eastAsia="宋体" w:cs="宋体"/>
          <w:strike/>
          <w:dstrike w:val="0"/>
          <w:sz w:val="21"/>
          <w:szCs w:val="21"/>
          <w:lang w:val="en-US" w:eastAsia="zh-CN"/>
        </w:rPr>
        <w:t>3</w:t>
      </w:r>
      <w:r>
        <w:rPr>
          <w:rFonts w:hint="eastAsia" w:ascii="宋体" w:hAnsi="宋体" w:eastAsia="宋体" w:cs="宋体"/>
          <w:strike/>
          <w:dstrike w:val="0"/>
          <w:sz w:val="21"/>
          <w:szCs w:val="21"/>
        </w:rPr>
        <w:t xml:space="preserve">  </w:t>
      </w:r>
      <w:r>
        <w:rPr>
          <w:rFonts w:hint="default" w:ascii="宋体" w:hAnsi="宋体" w:eastAsia="宋体" w:cs="宋体"/>
          <w:strike/>
          <w:dstrike w:val="0"/>
          <w:sz w:val="21"/>
          <w:szCs w:val="21"/>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ascii="宋体" w:hAnsi="宋体" w:eastAsia="宋体" w:cs="宋体"/>
          <w:strike/>
          <w:dstrike w:val="0"/>
          <w:sz w:val="21"/>
          <w:szCs w:val="21"/>
          <w:lang w:eastAsia="zh-CN"/>
        </w:rPr>
        <w:t>（</w:t>
      </w:r>
      <w:r>
        <w:rPr>
          <w:rFonts w:hint="eastAsia" w:ascii="宋体" w:hAnsi="宋体" w:eastAsia="宋体" w:cs="宋体"/>
          <w:strike/>
          <w:dstrike w:val="0"/>
          <w:sz w:val="21"/>
          <w:szCs w:val="21"/>
          <w:lang w:val="en-US" w:eastAsia="zh-CN"/>
        </w:rPr>
        <w:t>如</w:t>
      </w:r>
      <w:r>
        <w:rPr>
          <w:rFonts w:hint="default" w:ascii="宋体" w:hAnsi="宋体" w:eastAsia="宋体" w:cs="宋体"/>
          <w:strike/>
          <w:dstrike w:val="0"/>
          <w:sz w:val="21"/>
          <w:szCs w:val="21"/>
          <w:lang w:eastAsia="zh-CN"/>
        </w:rPr>
        <w:t>有）</w:t>
      </w:r>
      <w:r>
        <w:rPr>
          <w:rFonts w:hint="default" w:ascii="宋体" w:hAnsi="宋体" w:eastAsia="宋体" w:cs="宋体"/>
          <w:strike/>
          <w:dstrike w:val="0"/>
          <w:sz w:val="21"/>
          <w:szCs w:val="21"/>
        </w:rPr>
        <w:t>；其他主要人员应附身份证、学历证、职称证、有关证书和社保缴费证明</w:t>
      </w:r>
      <w:r>
        <w:rPr>
          <w:rFonts w:hint="default" w:ascii="宋体" w:hAnsi="宋体" w:eastAsia="宋体" w:cs="宋体"/>
          <w:strike/>
          <w:dstrike w:val="0"/>
          <w:sz w:val="21"/>
          <w:szCs w:val="21"/>
          <w:lang w:eastAsia="zh-CN"/>
        </w:rPr>
        <w:t>（</w:t>
      </w:r>
      <w:r>
        <w:rPr>
          <w:rFonts w:hint="eastAsia" w:ascii="宋体" w:hAnsi="宋体" w:eastAsia="宋体" w:cs="宋体"/>
          <w:strike/>
          <w:dstrike w:val="0"/>
          <w:sz w:val="21"/>
          <w:szCs w:val="21"/>
          <w:lang w:val="en-US" w:eastAsia="zh-CN"/>
        </w:rPr>
        <w:t>如</w:t>
      </w:r>
      <w:r>
        <w:rPr>
          <w:rFonts w:hint="default" w:ascii="宋体" w:hAnsi="宋体" w:eastAsia="宋体" w:cs="宋体"/>
          <w:strike/>
          <w:dstrike w:val="0"/>
          <w:sz w:val="21"/>
          <w:szCs w:val="21"/>
          <w:lang w:eastAsia="zh-CN"/>
        </w:rPr>
        <w:t>有）</w:t>
      </w:r>
      <w:r>
        <w:rPr>
          <w:rFonts w:hint="default" w:ascii="宋体" w:hAnsi="宋体" w:eastAsia="宋体" w:cs="宋体"/>
          <w:strike/>
          <w:dstrike w:val="0"/>
          <w:sz w:val="21"/>
          <w:szCs w:val="21"/>
        </w:rPr>
        <w:t>。</w:t>
      </w:r>
      <w:r>
        <w:rPr>
          <w:rFonts w:hint="eastAsia" w:ascii="宋体" w:hAnsi="宋体" w:eastAsia="宋体" w:cs="宋体"/>
          <w:strike/>
          <w:dstrike w:val="0"/>
          <w:sz w:val="21"/>
          <w:szCs w:val="21"/>
          <w:lang w:eastAsia="zh-CN"/>
        </w:rPr>
        <w:t>（注：以上人员社保要求：具有离投标截止时间最近</w:t>
      </w:r>
      <w:r>
        <w:rPr>
          <w:rFonts w:hint="eastAsia" w:ascii="宋体" w:hAnsi="宋体" w:eastAsia="宋体" w:cs="宋体"/>
          <w:strike/>
          <w:dstrike w:val="0"/>
          <w:sz w:val="21"/>
          <w:szCs w:val="21"/>
          <w:lang w:val="en-US" w:eastAsia="zh-CN"/>
        </w:rPr>
        <w:t>的至少</w:t>
      </w:r>
      <w:r>
        <w:rPr>
          <w:rFonts w:hint="eastAsia" w:ascii="宋体" w:hAnsi="宋体" w:eastAsia="宋体" w:cs="宋体"/>
          <w:strike/>
          <w:dstrike w:val="0"/>
          <w:sz w:val="21"/>
          <w:szCs w:val="21"/>
          <w:u w:val="single"/>
          <w:lang w:val="en-US" w:eastAsia="zh-CN"/>
        </w:rPr>
        <w:t>1</w:t>
      </w:r>
      <w:r>
        <w:rPr>
          <w:rFonts w:hint="eastAsia" w:ascii="宋体" w:hAnsi="宋体" w:eastAsia="宋体" w:cs="宋体"/>
          <w:strike/>
          <w:dstrike w:val="0"/>
          <w:sz w:val="21"/>
          <w:szCs w:val="21"/>
          <w:u w:val="single"/>
          <w:lang w:eastAsia="zh-CN"/>
        </w:rPr>
        <w:t>个月</w:t>
      </w:r>
      <w:r>
        <w:rPr>
          <w:rFonts w:hint="eastAsia" w:ascii="宋体" w:hAnsi="宋体" w:eastAsia="宋体" w:cs="宋体"/>
          <w:strike/>
          <w:dstrike w:val="0"/>
          <w:sz w:val="21"/>
          <w:szCs w:val="21"/>
          <w:lang w:eastAsia="zh-CN"/>
        </w:rPr>
        <w:t>在本单位缴纳的社保证明文件，</w:t>
      </w:r>
      <w:r>
        <w:rPr>
          <w:rFonts w:hint="eastAsia" w:ascii="宋体" w:hAnsi="宋体" w:eastAsia="宋体" w:cs="宋体"/>
          <w:strike/>
          <w:dstrike w:val="0"/>
          <w:sz w:val="21"/>
          <w:szCs w:val="21"/>
          <w:lang w:val="en-US" w:eastAsia="zh-CN"/>
        </w:rPr>
        <w:t>由招标人自行确定</w:t>
      </w:r>
      <w:r>
        <w:rPr>
          <w:rFonts w:hint="eastAsia" w:ascii="宋体" w:hAnsi="宋体" w:eastAsia="宋体" w:cs="宋体"/>
          <w:strike/>
          <w:dstrike w:val="0"/>
          <w:sz w:val="21"/>
          <w:szCs w:val="21"/>
          <w:lang w:eastAsia="zh-CN"/>
        </w:rPr>
        <w:t>。）</w:t>
      </w:r>
    </w:p>
    <w:p w14:paraId="5561F1DE">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240" w:lineRule="auto"/>
        <w:ind w:firstLine="0" w:firstLineChars="0"/>
        <w:textAlignment w:val="auto"/>
        <w:rPr>
          <w:rFonts w:hint="default" w:ascii="宋体" w:hAnsi="宋体" w:eastAsia="宋体"/>
          <w:color w:val="auto"/>
          <w:sz w:val="24"/>
          <w:szCs w:val="24"/>
          <w:highlight w:val="none"/>
        </w:rPr>
      </w:pPr>
    </w:p>
    <w:p w14:paraId="065F8E5E">
      <w:pPr>
        <w:spacing w:beforeLines="0" w:afterLines="0" w:line="480"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ascii="宋体" w:hAnsi="宋体" w:cs="宋体"/>
          <w:sz w:val="21"/>
          <w:szCs w:val="21"/>
        </w:rPr>
        <w:t>3.6.3</w:t>
      </w:r>
      <w:r>
        <w:rPr>
          <w:rFonts w:ascii="宋体" w:hAnsi="宋体" w:cs="宋体"/>
          <w:color w:val="auto"/>
          <w:sz w:val="21"/>
          <w:szCs w:val="21"/>
        </w:rPr>
        <w:t xml:space="preserve"> </w:t>
      </w:r>
      <w:r>
        <w:rPr>
          <w:rFonts w:hint="default" w:ascii="宋体" w:hAnsi="宋体" w:eastAsia="宋体"/>
          <w:color w:val="auto"/>
          <w:sz w:val="24"/>
          <w:szCs w:val="24"/>
          <w:highlight w:val="none"/>
        </w:rPr>
        <w:t xml:space="preserve">             修改类型：</w:t>
      </w:r>
      <w:r>
        <w:rPr>
          <w:rFonts w:hint="eastAsia" w:ascii="宋体" w:hAnsi="宋体" w:eastAsia="宋体"/>
          <w:color w:val="auto"/>
          <w:sz w:val="24"/>
          <w:szCs w:val="24"/>
          <w:highlight w:val="none"/>
          <w:lang w:val="en-US" w:eastAsia="zh-CN"/>
        </w:rPr>
        <w:t>修改</w:t>
      </w:r>
    </w:p>
    <w:p w14:paraId="5E651108">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eastAsia="宋体"/>
          <w:color w:val="auto"/>
          <w:sz w:val="24"/>
          <w:szCs w:val="24"/>
          <w:highlight w:val="none"/>
        </w:rPr>
      </w:pPr>
      <w:r>
        <w:rPr>
          <w:rFonts w:hint="default" w:ascii="宋体" w:hAnsi="宋体" w:eastAsia="宋体"/>
          <w:b/>
          <w:bCs/>
          <w:color w:val="auto"/>
          <w:sz w:val="24"/>
          <w:szCs w:val="24"/>
          <w:highlight w:val="none"/>
        </w:rPr>
        <w:t>原文：</w:t>
      </w:r>
    </w:p>
    <w:p w14:paraId="37F20110">
      <w:pPr>
        <w:spacing w:beforeLines="0" w:afterLines="0" w:line="360" w:lineRule="auto"/>
        <w:ind w:firstLine="420" w:firstLineChars="200"/>
        <w:rPr>
          <w:rFonts w:hint="eastAsia" w:ascii="宋体" w:hAnsi="宋体" w:cs="宋体"/>
          <w:sz w:val="21"/>
          <w:szCs w:val="21"/>
        </w:rPr>
      </w:pPr>
      <w:r>
        <w:rPr>
          <w:rFonts w:ascii="宋体" w:hAnsi="宋体" w:cs="宋体"/>
          <w:sz w:val="21"/>
          <w:szCs w:val="21"/>
        </w:rPr>
        <w:t xml:space="preserve">3.6.3 </w:t>
      </w:r>
      <w:r>
        <w:rPr>
          <w:rFonts w:hint="eastAsia" w:ascii="宋体" w:hAnsi="宋体" w:cs="宋体"/>
          <w:sz w:val="21"/>
          <w:szCs w:val="21"/>
        </w:rPr>
        <w:t>投标人提供两个或两个以上投标报价，或者在投标文件中提供一个报价，但同时提供两个或两个以上</w:t>
      </w:r>
      <w:r>
        <w:rPr>
          <w:rFonts w:hint="eastAsia" w:ascii="宋体" w:hAnsi="宋体" w:cs="宋体"/>
          <w:b/>
          <w:bCs/>
          <w:sz w:val="21"/>
          <w:szCs w:val="21"/>
        </w:rPr>
        <w:t>监理</w:t>
      </w:r>
      <w:r>
        <w:rPr>
          <w:rFonts w:hint="eastAsia" w:ascii="宋体" w:hAnsi="宋体" w:cs="宋体"/>
          <w:sz w:val="21"/>
          <w:szCs w:val="21"/>
        </w:rPr>
        <w:t>方案的，视为提供备选方案。</w:t>
      </w:r>
    </w:p>
    <w:p w14:paraId="0A75A5AE">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eastAsia" w:ascii="宋体" w:hAnsi="宋体" w:eastAsia="宋体" w:cs="宋体"/>
          <w:sz w:val="21"/>
          <w:szCs w:val="21"/>
          <w:lang w:val="en-US" w:eastAsia="zh-CN"/>
        </w:rPr>
      </w:pPr>
      <w:r>
        <w:rPr>
          <w:rFonts w:hint="eastAsia" w:ascii="宋体" w:hAnsi="宋体" w:eastAsia="宋体"/>
          <w:b/>
          <w:bCs/>
          <w:color w:val="auto"/>
          <w:sz w:val="24"/>
          <w:szCs w:val="24"/>
          <w:highlight w:val="none"/>
          <w:lang w:val="en-US" w:eastAsia="zh-CN"/>
        </w:rPr>
        <w:t>现文</w:t>
      </w:r>
      <w:r>
        <w:rPr>
          <w:rFonts w:hint="default" w:ascii="宋体" w:hAnsi="宋体" w:eastAsia="宋体"/>
          <w:b/>
          <w:bCs/>
          <w:color w:val="auto"/>
          <w:sz w:val="24"/>
          <w:szCs w:val="24"/>
          <w:highlight w:val="none"/>
        </w:rPr>
        <w:t>：</w:t>
      </w:r>
    </w:p>
    <w:p w14:paraId="1DD10E1A">
      <w:pPr>
        <w:spacing w:beforeLines="0" w:afterLines="0" w:line="360" w:lineRule="auto"/>
        <w:ind w:firstLine="420" w:firstLineChars="200"/>
        <w:rPr>
          <w:rFonts w:hint="eastAsia" w:ascii="宋体" w:hAnsi="宋体" w:cs="宋体"/>
          <w:sz w:val="21"/>
          <w:szCs w:val="21"/>
        </w:rPr>
      </w:pPr>
      <w:r>
        <w:rPr>
          <w:rFonts w:ascii="宋体" w:hAnsi="宋体" w:cs="宋体"/>
          <w:sz w:val="21"/>
          <w:szCs w:val="21"/>
        </w:rPr>
        <w:t xml:space="preserve">3.6.3 </w:t>
      </w:r>
      <w:r>
        <w:rPr>
          <w:rFonts w:hint="eastAsia" w:ascii="宋体" w:hAnsi="宋体" w:cs="宋体"/>
          <w:sz w:val="21"/>
          <w:szCs w:val="21"/>
        </w:rPr>
        <w:t>投标人提供两个或两个以上投标报价，或者在投标文件中提供一个报价，但同时提供两个或两个以上方案的，视为提供备选方案。</w:t>
      </w:r>
    </w:p>
    <w:p w14:paraId="333DB317">
      <w:pPr>
        <w:keepNext w:val="0"/>
        <w:keepLines w:val="0"/>
        <w:pageBreakBefore w:val="0"/>
        <w:widowControl w:val="0"/>
        <w:pBdr>
          <w:bottom w:val="single" w:color="auto" w:sz="6" w:space="1"/>
        </w:pBdr>
        <w:kinsoku/>
        <w:wordWrap/>
        <w:overflowPunct/>
        <w:topLinePunct w:val="0"/>
        <w:autoSpaceDE/>
        <w:autoSpaceDN/>
        <w:bidi w:val="0"/>
        <w:adjustRightInd/>
        <w:snapToGrid/>
        <w:spacing w:beforeLines="0" w:afterLines="0" w:line="240" w:lineRule="auto"/>
        <w:ind w:firstLine="0" w:firstLineChars="0"/>
        <w:textAlignment w:val="auto"/>
        <w:rPr>
          <w:rFonts w:hint="default" w:ascii="宋体" w:hAnsi="宋体" w:eastAsia="宋体"/>
          <w:color w:val="auto"/>
          <w:sz w:val="24"/>
          <w:szCs w:val="24"/>
          <w:highlight w:val="none"/>
        </w:rPr>
      </w:pPr>
    </w:p>
    <w:p w14:paraId="2D94BF74">
      <w:pPr>
        <w:spacing w:beforeLines="0" w:afterLines="0"/>
        <w:rPr>
          <w:rFonts w:hint="default"/>
        </w:rPr>
      </w:pPr>
    </w:p>
    <w:p w14:paraId="6D6370F3">
      <w:pPr>
        <w:spacing w:beforeLines="0" w:afterLines="0" w:line="360" w:lineRule="auto"/>
        <w:ind w:firstLine="420" w:firstLineChars="200"/>
        <w:rPr>
          <w:rFonts w:hint="default" w:ascii="楷体_GB2312" w:hAnsi="楷体_GB2312" w:eastAsia="楷体_GB2312" w:cs="楷体_GB2312"/>
          <w:color w:val="auto"/>
          <w:kern w:val="2"/>
          <w:sz w:val="21"/>
          <w:szCs w:val="21"/>
          <w:lang w:val="en-US" w:eastAsia="zh-CN" w:bidi="ar-SA"/>
        </w:rPr>
      </w:pPr>
      <w:r>
        <w:rPr>
          <w:rFonts w:hint="default" w:ascii="楷体_GB2312" w:hAnsi="楷体_GB2312" w:eastAsia="楷体_GB2312" w:cs="楷体_GB2312"/>
          <w:color w:val="auto"/>
          <w:kern w:val="2"/>
          <w:sz w:val="21"/>
          <w:szCs w:val="21"/>
          <w:lang w:val="en-US" w:eastAsia="zh-CN" w:bidi="ar-SA"/>
        </w:rPr>
        <w:t>注：以上修改，仅限于本范本中有可供选择条款的情形。</w:t>
      </w:r>
    </w:p>
    <w:p w14:paraId="3878F9E8">
      <w:pPr>
        <w:spacing w:beforeLines="0" w:afterLines="0"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（以下无正文）</w:t>
      </w:r>
    </w:p>
    <w:p w14:paraId="172DB9D1">
      <w:pPr>
        <w:pStyle w:val="7"/>
        <w:spacing w:beforeLines="0" w:afterLines="0"/>
        <w:rPr>
          <w:rFonts w:hint="default" w:ascii="宋体" w:hAnsi="宋体" w:eastAsia="宋体"/>
          <w:color w:val="auto"/>
          <w:sz w:val="24"/>
          <w:szCs w:val="24"/>
          <w:highlight w:val="none"/>
        </w:rPr>
      </w:pPr>
    </w:p>
    <w:p w14:paraId="29E96FBC">
      <w:pPr>
        <w:bidi w:val="0"/>
        <w:spacing w:beforeLines="0" w:afterLines="0"/>
        <w:rPr>
          <w:rFonts w:hint="eastAsia" w:ascii="宋体" w:hAnsi="宋体" w:eastAsia="宋体" w:cs="宋体"/>
          <w:b/>
          <w:bCs/>
          <w:sz w:val="28"/>
          <w:szCs w:val="28"/>
        </w:rPr>
      </w:pPr>
      <w:bookmarkStart w:id="66" w:name="_Toc25297"/>
      <w:bookmarkStart w:id="67" w:name="_Toc6604"/>
      <w:bookmarkStart w:id="68" w:name="_Toc30612"/>
      <w:bookmarkStart w:id="69" w:name="_Toc31696"/>
      <w:bookmarkStart w:id="70" w:name="_Toc8425"/>
      <w:bookmarkStart w:id="71" w:name="_Toc12009"/>
      <w:bookmarkStart w:id="72" w:name="_Toc492300564"/>
      <w:bookmarkStart w:id="73" w:name="_Toc19500"/>
      <w:bookmarkStart w:id="74" w:name="_Toc7456"/>
      <w:bookmarkStart w:id="75" w:name="_Toc18411"/>
      <w:bookmarkStart w:id="76" w:name="_Toc21340"/>
      <w:bookmarkStart w:id="77" w:name="_Toc26169"/>
      <w:bookmarkStart w:id="78" w:name="_Toc22444"/>
      <w:bookmarkStart w:id="79" w:name="_Toc22560"/>
      <w:bookmarkStart w:id="80" w:name="_Toc5705"/>
      <w:r>
        <w:rPr>
          <w:rFonts w:hint="eastAsia" w:ascii="宋体" w:hAnsi="宋体" w:eastAsia="宋体" w:cs="宋体"/>
          <w:b/>
          <w:bCs/>
          <w:sz w:val="28"/>
          <w:szCs w:val="28"/>
        </w:rPr>
        <w:t>1. 总则</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F8D9EAA">
      <w:pPr>
        <w:pStyle w:val="7"/>
        <w:spacing w:beforeLines="0" w:afterLines="0"/>
        <w:rPr>
          <w:rFonts w:hint="eastAsia"/>
        </w:rPr>
      </w:pPr>
    </w:p>
    <w:p w14:paraId="41271620">
      <w:pPr>
        <w:bidi w:val="0"/>
        <w:spacing w:beforeLines="0" w:afterLines="0"/>
        <w:rPr>
          <w:rFonts w:hint="eastAsia" w:ascii="宋体" w:hAnsi="宋体" w:eastAsia="宋体" w:cs="宋体"/>
          <w:b/>
          <w:bCs/>
          <w:sz w:val="28"/>
          <w:szCs w:val="28"/>
        </w:rPr>
      </w:pPr>
      <w:bookmarkStart w:id="81" w:name="_Toc21695"/>
      <w:bookmarkStart w:id="82" w:name="_Toc30770"/>
      <w:bookmarkStart w:id="83" w:name="_Toc3885"/>
      <w:bookmarkStart w:id="84" w:name="_Toc30803"/>
      <w:bookmarkStart w:id="85" w:name="_Toc29135"/>
      <w:bookmarkStart w:id="86" w:name="_Toc14769"/>
      <w:bookmarkStart w:id="87" w:name="_Toc290"/>
      <w:bookmarkStart w:id="88" w:name="_Toc11648"/>
      <w:bookmarkStart w:id="89" w:name="_Toc6176"/>
      <w:bookmarkStart w:id="90" w:name="_Toc725"/>
      <w:bookmarkStart w:id="91" w:name="_Toc11116"/>
      <w:bookmarkStart w:id="92" w:name="_Toc22496"/>
      <w:bookmarkStart w:id="93" w:name="_Toc492300565"/>
      <w:bookmarkStart w:id="94" w:name="_Toc17110"/>
      <w:bookmarkStart w:id="95" w:name="_Toc22345"/>
      <w:r>
        <w:rPr>
          <w:rFonts w:hint="eastAsia" w:ascii="宋体" w:hAnsi="宋体" w:eastAsia="宋体" w:cs="宋体"/>
          <w:b/>
          <w:bCs/>
          <w:sz w:val="28"/>
          <w:szCs w:val="28"/>
        </w:rPr>
        <w:t>1.1 招标项目概况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AD65ECF">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1.1.1根据《中华人民共和国招标投标法》、《中华人民共和国招标投标法实施条例》等有关法律、法规和规章的规定，本招标项目已具备招标条件，现对监理进行招标。</w:t>
      </w:r>
    </w:p>
    <w:p w14:paraId="11BAC6DB">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1.1.2招标人：见投标人须知前附表。</w:t>
      </w:r>
    </w:p>
    <w:p w14:paraId="12A3FA6C">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1.1.3招标代理机构：见投标人须知前附表。</w:t>
      </w:r>
    </w:p>
    <w:p w14:paraId="5497E0D7">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1.1.4招标项目名称：见投标人须知前附表。</w:t>
      </w:r>
    </w:p>
    <w:p w14:paraId="0789474F">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1.1.5项目建设地点：见投标人须知前附表。</w:t>
      </w:r>
    </w:p>
    <w:p w14:paraId="36DE45B1">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1.1.6项目建设规模：见投标人须知前附表。</w:t>
      </w:r>
    </w:p>
    <w:p w14:paraId="29036F11">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1.1.7工程项目施工预计开工日期和建设周期：见投标人须知前附表。</w:t>
      </w:r>
    </w:p>
    <w:p w14:paraId="476AE1CD">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1.1.8建筑安装工程费/工程概算：见投标人须知前附表。</w:t>
      </w:r>
    </w:p>
    <w:p w14:paraId="0DAF926F">
      <w:pPr>
        <w:pStyle w:val="7"/>
        <w:spacing w:beforeLines="0" w:afterLines="0"/>
      </w:pPr>
    </w:p>
    <w:p w14:paraId="5487FA68">
      <w:pPr>
        <w:bidi w:val="0"/>
        <w:spacing w:beforeLines="0" w:afterLines="0"/>
        <w:rPr>
          <w:rFonts w:hint="eastAsia" w:ascii="宋体" w:hAnsi="宋体" w:eastAsia="宋体" w:cs="宋体"/>
          <w:b/>
          <w:bCs/>
          <w:sz w:val="28"/>
          <w:szCs w:val="28"/>
        </w:rPr>
      </w:pPr>
      <w:bookmarkStart w:id="96" w:name="_Toc26231"/>
      <w:bookmarkStart w:id="97" w:name="_Toc15383"/>
      <w:bookmarkStart w:id="98" w:name="_Toc29969"/>
      <w:bookmarkStart w:id="99" w:name="_Toc29208"/>
      <w:bookmarkStart w:id="100" w:name="_Toc3649"/>
      <w:bookmarkStart w:id="101" w:name="_Toc8474"/>
      <w:bookmarkStart w:id="102" w:name="_Toc11422"/>
      <w:bookmarkStart w:id="103" w:name="_Toc27819"/>
      <w:bookmarkStart w:id="104" w:name="_Toc5642"/>
      <w:bookmarkStart w:id="105" w:name="_Toc2031"/>
      <w:bookmarkStart w:id="106" w:name="_Toc12092"/>
      <w:bookmarkStart w:id="107" w:name="_Toc32712"/>
      <w:bookmarkStart w:id="108" w:name="_Toc492300566"/>
      <w:bookmarkStart w:id="109" w:name="_Toc29508"/>
      <w:bookmarkStart w:id="110" w:name="_Toc4038"/>
      <w:r>
        <w:rPr>
          <w:rFonts w:hint="eastAsia" w:ascii="宋体" w:hAnsi="宋体" w:eastAsia="宋体" w:cs="宋体"/>
          <w:b/>
          <w:bCs/>
          <w:sz w:val="28"/>
          <w:szCs w:val="28"/>
        </w:rPr>
        <w:t>1.2 招标项目的资金来源和落实情况</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7E5F28F">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1.2.1 </w:t>
      </w:r>
      <w:r>
        <w:rPr>
          <w:rFonts w:hint="eastAsia" w:ascii="宋体" w:hAnsi="宋体" w:cs="宋体"/>
          <w:sz w:val="21"/>
          <w:szCs w:val="21"/>
        </w:rPr>
        <w:t>资金来源及比例：见投标人须知前附表。</w:t>
      </w:r>
    </w:p>
    <w:p w14:paraId="4C9ACEA2">
      <w:pPr>
        <w:spacing w:beforeLines="0" w:afterLines="0" w:line="360" w:lineRule="auto"/>
        <w:ind w:firstLine="420" w:firstLineChars="200"/>
        <w:rPr>
          <w:rFonts w:hint="eastAsia" w:ascii="宋体" w:hAnsi="宋体" w:cs="宋体"/>
          <w:sz w:val="21"/>
          <w:szCs w:val="21"/>
        </w:rPr>
      </w:pPr>
      <w:r>
        <w:rPr>
          <w:rFonts w:ascii="宋体" w:hAnsi="宋体" w:cs="宋体"/>
          <w:sz w:val="21"/>
          <w:szCs w:val="21"/>
        </w:rPr>
        <w:t xml:space="preserve">1.2.2 </w:t>
      </w:r>
      <w:r>
        <w:rPr>
          <w:rFonts w:hint="eastAsia" w:ascii="宋体" w:hAnsi="宋体" w:cs="宋体"/>
          <w:sz w:val="21"/>
          <w:szCs w:val="21"/>
        </w:rPr>
        <w:t>资金落实情况：见投标人须知前附表。</w:t>
      </w:r>
    </w:p>
    <w:p w14:paraId="3DC41539">
      <w:pPr>
        <w:pStyle w:val="7"/>
        <w:spacing w:beforeLines="0" w:afterLines="0"/>
      </w:pPr>
    </w:p>
    <w:p w14:paraId="4C5543BD">
      <w:pPr>
        <w:bidi w:val="0"/>
        <w:spacing w:beforeLines="0" w:afterLines="0"/>
        <w:rPr>
          <w:rFonts w:hint="eastAsia" w:ascii="宋体" w:hAnsi="宋体" w:eastAsia="宋体" w:cs="宋体"/>
          <w:b/>
          <w:bCs/>
          <w:sz w:val="28"/>
          <w:szCs w:val="28"/>
          <w:lang w:val="en-US" w:eastAsia="zh-CN"/>
        </w:rPr>
      </w:pPr>
      <w:bookmarkStart w:id="111" w:name="_Toc8798"/>
      <w:bookmarkStart w:id="112" w:name="_Toc17583"/>
      <w:bookmarkStart w:id="113" w:name="_Toc977"/>
      <w:bookmarkStart w:id="114" w:name="_Toc7007"/>
      <w:bookmarkStart w:id="115" w:name="_Toc32554"/>
      <w:bookmarkStart w:id="116" w:name="_Toc13153"/>
      <w:bookmarkStart w:id="117" w:name="_Toc26261"/>
      <w:bookmarkStart w:id="118" w:name="_Toc25902"/>
      <w:bookmarkStart w:id="119" w:name="_Toc32339"/>
      <w:bookmarkStart w:id="120" w:name="_Toc492300567"/>
      <w:bookmarkStart w:id="121" w:name="_Toc11163"/>
      <w:bookmarkStart w:id="122" w:name="_Toc10849"/>
      <w:bookmarkStart w:id="123" w:name="_Toc25003"/>
      <w:bookmarkStart w:id="124" w:name="_Toc32533"/>
      <w:bookmarkStart w:id="125" w:name="_Toc14372"/>
      <w:r>
        <w:rPr>
          <w:rFonts w:hint="eastAsia" w:ascii="宋体" w:hAnsi="宋体" w:eastAsia="宋体" w:cs="宋体"/>
          <w:b/>
          <w:bCs/>
          <w:sz w:val="28"/>
          <w:szCs w:val="28"/>
          <w:lang w:val="en-US" w:eastAsia="zh-CN"/>
        </w:rPr>
        <w:t>1.3招标范围、</w:t>
      </w:r>
      <w:r>
        <w:rPr>
          <w:rFonts w:hint="eastAsia" w:ascii="宋体" w:hAnsi="宋体" w:eastAsia="宋体" w:cs="宋体"/>
          <w:b/>
          <w:bCs/>
          <w:strike w:val="0"/>
          <w:dstrike w:val="0"/>
          <w:sz w:val="28"/>
          <w:szCs w:val="28"/>
          <w:lang w:val="en-US" w:eastAsia="zh-CN"/>
        </w:rPr>
        <w:t>监理</w:t>
      </w:r>
      <w:r>
        <w:rPr>
          <w:rFonts w:hint="eastAsia" w:ascii="宋体" w:hAnsi="宋体" w:eastAsia="宋体" w:cs="宋体"/>
          <w:b/>
          <w:bCs/>
          <w:sz w:val="28"/>
          <w:szCs w:val="28"/>
          <w:lang w:val="en-US" w:eastAsia="zh-CN"/>
        </w:rPr>
        <w:t>服务期限和质量标准</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CFEFB9A">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1.3.1 </w:t>
      </w:r>
      <w:r>
        <w:rPr>
          <w:rFonts w:hint="eastAsia" w:ascii="宋体" w:hAnsi="宋体" w:cs="宋体"/>
          <w:sz w:val="21"/>
          <w:szCs w:val="21"/>
        </w:rPr>
        <w:t>招标范围：见投标人须知前附表。</w:t>
      </w:r>
    </w:p>
    <w:p w14:paraId="22CA888F">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1.3.2 </w:t>
      </w:r>
      <w:r>
        <w:rPr>
          <w:rFonts w:hint="eastAsia" w:ascii="宋体" w:hAnsi="宋体" w:eastAsia="宋体" w:cs="宋体"/>
          <w:strike w:val="0"/>
          <w:dstrike w:val="0"/>
          <w:sz w:val="21"/>
          <w:szCs w:val="21"/>
        </w:rPr>
        <w:t>监理</w:t>
      </w:r>
      <w:r>
        <w:rPr>
          <w:rFonts w:hint="eastAsia" w:ascii="宋体" w:hAnsi="宋体" w:cs="宋体"/>
          <w:sz w:val="21"/>
          <w:szCs w:val="21"/>
        </w:rPr>
        <w:t>服务期限：见投标人须知前附表。</w:t>
      </w:r>
    </w:p>
    <w:p w14:paraId="50E73210">
      <w:pPr>
        <w:spacing w:beforeLines="0" w:afterLines="0" w:line="360" w:lineRule="auto"/>
        <w:ind w:firstLine="420" w:firstLineChars="200"/>
        <w:rPr>
          <w:rFonts w:hint="eastAsia" w:ascii="宋体" w:hAnsi="宋体" w:cs="宋体"/>
          <w:sz w:val="21"/>
          <w:szCs w:val="21"/>
        </w:rPr>
      </w:pPr>
      <w:r>
        <w:rPr>
          <w:rFonts w:ascii="宋体" w:hAnsi="宋体" w:cs="宋体"/>
          <w:sz w:val="21"/>
          <w:szCs w:val="21"/>
        </w:rPr>
        <w:t xml:space="preserve">1.3.3 </w:t>
      </w:r>
      <w:r>
        <w:rPr>
          <w:rFonts w:hint="eastAsia" w:ascii="宋体" w:hAnsi="宋体" w:cs="宋体"/>
          <w:sz w:val="21"/>
          <w:szCs w:val="21"/>
        </w:rPr>
        <w:t>质量标准：见投标人须知前附表。</w:t>
      </w:r>
    </w:p>
    <w:p w14:paraId="1317D8AD">
      <w:pPr>
        <w:pStyle w:val="7"/>
        <w:spacing w:beforeLines="0" w:afterLines="0"/>
      </w:pPr>
    </w:p>
    <w:p w14:paraId="2105A5D6">
      <w:pPr>
        <w:bidi w:val="0"/>
        <w:spacing w:beforeLines="0" w:afterLines="0"/>
        <w:rPr>
          <w:rFonts w:hint="eastAsia" w:ascii="宋体" w:hAnsi="宋体" w:eastAsia="宋体" w:cs="宋体"/>
          <w:b/>
          <w:bCs/>
          <w:sz w:val="28"/>
          <w:szCs w:val="28"/>
        </w:rPr>
      </w:pPr>
      <w:bookmarkStart w:id="126" w:name="_Toc3452"/>
      <w:bookmarkStart w:id="127" w:name="_Toc31590"/>
      <w:bookmarkStart w:id="128" w:name="_Toc19855"/>
      <w:bookmarkStart w:id="129" w:name="_Toc637"/>
      <w:bookmarkStart w:id="130" w:name="_Toc15209"/>
      <w:bookmarkStart w:id="131" w:name="_Toc4897"/>
      <w:bookmarkStart w:id="132" w:name="_Toc27705"/>
      <w:bookmarkStart w:id="133" w:name="_Toc31362"/>
      <w:bookmarkStart w:id="134" w:name="_Toc11096"/>
      <w:bookmarkStart w:id="135" w:name="_Toc22521"/>
      <w:bookmarkStart w:id="136" w:name="_Toc2674"/>
      <w:bookmarkStart w:id="137" w:name="_Toc10416"/>
      <w:bookmarkStart w:id="138" w:name="_Toc492300568"/>
      <w:bookmarkStart w:id="139" w:name="_Toc28503"/>
      <w:bookmarkStart w:id="140" w:name="_Toc26477"/>
      <w:r>
        <w:rPr>
          <w:rFonts w:hint="eastAsia" w:ascii="宋体" w:hAnsi="宋体" w:eastAsia="宋体" w:cs="宋体"/>
          <w:b/>
          <w:bCs/>
          <w:sz w:val="28"/>
          <w:szCs w:val="28"/>
        </w:rPr>
        <w:t>1.4投标人资格要求</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9E46152">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1.4.1 </w:t>
      </w:r>
      <w:r>
        <w:rPr>
          <w:rFonts w:hint="eastAsia" w:ascii="宋体" w:hAnsi="宋体" w:cs="宋体"/>
          <w:sz w:val="21"/>
          <w:szCs w:val="21"/>
        </w:rPr>
        <w:t>投标人应具备承担本招标项目资质条件、能力和信誉：</w:t>
      </w:r>
    </w:p>
    <w:p w14:paraId="5EEEBCEE">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（1）资质要求：见投标人须知前附表；</w:t>
      </w:r>
    </w:p>
    <w:p w14:paraId="01E09319">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）业绩要求：见投标人须知前附表；</w:t>
      </w:r>
    </w:p>
    <w:p w14:paraId="4E42D983">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）总监理工程师的资格要求：应当具备工程注册监理工程师执业资格（如有），具体要求见投标人须知前附表；</w:t>
      </w:r>
    </w:p>
    <w:p w14:paraId="52AA2F40">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）其他主要人员要求：见投标人须知前附表。</w:t>
      </w:r>
    </w:p>
    <w:p w14:paraId="3B3048CF">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）其他要求：见投标人须知前附表。</w:t>
      </w:r>
    </w:p>
    <w:p w14:paraId="63213F0C">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需要提交的相关证明材料见本章第3.5款的规定。</w:t>
      </w:r>
    </w:p>
    <w:p w14:paraId="38D35EA1">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1.4.2投标人须知前附表规定接受联合体投标的，联合体除应符合本章第1.4.1项和投标人须知前附表的要求外，还应遵守以下规定：</w:t>
      </w:r>
    </w:p>
    <w:p w14:paraId="0861CF9D">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（1）联合体各方应按招标文件提供的格式签订联合体协议书，明确联合体牵头人和各方权利义务，并承诺就中标项目向招标人承担连带责任；</w:t>
      </w:r>
    </w:p>
    <w:p w14:paraId="5CB312CD">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（2）由同一专业的单位组成的联合体，按照资质等级较低的单位确定资质等级；</w:t>
      </w:r>
    </w:p>
    <w:p w14:paraId="39BCD7E2">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（3）联合体各方不得再以自己名义单独或参加其他联合体在本招标项目中投标，否则各相关投标均无效。</w:t>
      </w:r>
    </w:p>
    <w:p w14:paraId="21F66AD3">
      <w:pPr>
        <w:spacing w:beforeLines="0" w:afterLines="0" w:line="360" w:lineRule="auto"/>
        <w:ind w:firstLine="420" w:firstLineChars="200"/>
        <w:rPr>
          <w:rFonts w:ascii="宋体" w:hAnsi="宋体" w:cs="宋体"/>
          <w:color w:val="auto"/>
          <w:sz w:val="21"/>
          <w:szCs w:val="21"/>
        </w:rPr>
      </w:pPr>
      <w:r>
        <w:rPr>
          <w:rFonts w:ascii="宋体" w:hAnsi="宋体" w:cs="宋体"/>
          <w:color w:val="auto"/>
          <w:sz w:val="21"/>
          <w:szCs w:val="21"/>
        </w:rPr>
        <w:t xml:space="preserve">1.4.3 </w:t>
      </w:r>
      <w:r>
        <w:rPr>
          <w:rFonts w:hint="eastAsia" w:ascii="宋体" w:hAnsi="宋体" w:cs="宋体"/>
          <w:color w:val="auto"/>
          <w:sz w:val="21"/>
          <w:szCs w:val="21"/>
        </w:rPr>
        <w:t>投标人不得存在下列情形之一：</w:t>
      </w:r>
    </w:p>
    <w:p w14:paraId="08A85586">
      <w:pPr>
        <w:spacing w:beforeLines="0" w:afterLines="0" w:line="360" w:lineRule="auto"/>
        <w:ind w:firstLine="420" w:firstLineChars="200"/>
        <w:rPr>
          <w:rFonts w:ascii="宋体" w:hAnsi="宋体" w:cs="宋体"/>
          <w:color w:val="auto"/>
          <w:sz w:val="21"/>
          <w:szCs w:val="21"/>
        </w:rPr>
      </w:pPr>
      <w:r>
        <w:rPr>
          <w:rFonts w:hint="eastAsia" w:ascii="宋体" w:hAnsi="宋体" w:cs="宋体"/>
          <w:color w:val="auto"/>
          <w:sz w:val="21"/>
          <w:szCs w:val="21"/>
        </w:rPr>
        <w:t>（1）为招标人不具有独立法人资格的附属机构（单位）；</w:t>
      </w:r>
    </w:p>
    <w:p w14:paraId="454B7A32">
      <w:pPr>
        <w:spacing w:beforeLines="0" w:afterLines="0" w:line="360" w:lineRule="auto"/>
        <w:ind w:firstLine="420" w:firstLineChars="200"/>
        <w:rPr>
          <w:rFonts w:ascii="宋体" w:hAnsi="宋体" w:cs="宋体"/>
          <w:color w:val="auto"/>
          <w:sz w:val="21"/>
          <w:szCs w:val="21"/>
        </w:rPr>
      </w:pPr>
      <w:r>
        <w:rPr>
          <w:rFonts w:hint="eastAsia" w:ascii="宋体" w:hAnsi="宋体" w:cs="宋体"/>
          <w:color w:val="auto"/>
          <w:sz w:val="21"/>
          <w:szCs w:val="21"/>
        </w:rPr>
        <w:t>（2）与招标人存在利害关系且可能影响招标公正性；</w:t>
      </w:r>
    </w:p>
    <w:p w14:paraId="282D4D3F">
      <w:pPr>
        <w:spacing w:beforeLines="0" w:afterLines="0" w:line="360" w:lineRule="auto"/>
        <w:ind w:firstLine="420" w:firstLineChars="200"/>
        <w:rPr>
          <w:rFonts w:ascii="宋体" w:hAnsi="宋体" w:cs="宋体"/>
          <w:color w:val="auto"/>
          <w:sz w:val="21"/>
          <w:szCs w:val="21"/>
        </w:rPr>
      </w:pPr>
      <w:r>
        <w:rPr>
          <w:rFonts w:hint="eastAsia" w:ascii="宋体" w:hAnsi="宋体" w:cs="宋体"/>
          <w:color w:val="auto"/>
          <w:sz w:val="21"/>
          <w:szCs w:val="21"/>
        </w:rPr>
        <w:t>（3）与本招标项目的其他投标人为同一个单位负责人；</w:t>
      </w:r>
    </w:p>
    <w:p w14:paraId="0DD12B25">
      <w:pPr>
        <w:spacing w:beforeLines="0" w:afterLines="0" w:line="360" w:lineRule="auto"/>
        <w:ind w:firstLine="420" w:firstLineChars="200"/>
        <w:rPr>
          <w:rFonts w:ascii="宋体" w:hAnsi="宋体" w:cs="宋体"/>
          <w:color w:val="auto"/>
          <w:sz w:val="21"/>
          <w:szCs w:val="21"/>
        </w:rPr>
      </w:pPr>
      <w:r>
        <w:rPr>
          <w:rFonts w:hint="eastAsia" w:ascii="宋体" w:hAnsi="宋体" w:cs="宋体"/>
          <w:color w:val="auto"/>
          <w:sz w:val="21"/>
          <w:szCs w:val="21"/>
        </w:rPr>
        <w:t>（4）与本招标项目的其他投标人存在控股、管理关系；</w:t>
      </w:r>
    </w:p>
    <w:p w14:paraId="1BF33CA5">
      <w:pPr>
        <w:spacing w:beforeLines="0" w:afterLines="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（5）为本招标项目的代建人或建设管理单位；</w:t>
      </w:r>
    </w:p>
    <w:p w14:paraId="36ECF8D4">
      <w:pPr>
        <w:spacing w:beforeLines="0" w:afterLines="0" w:line="360" w:lineRule="auto"/>
        <w:ind w:firstLine="420" w:firstLineChars="200"/>
        <w:rPr>
          <w:rFonts w:ascii="宋体" w:hAnsi="宋体" w:cs="宋体"/>
          <w:color w:val="auto"/>
          <w:sz w:val="21"/>
          <w:szCs w:val="21"/>
        </w:rPr>
      </w:pPr>
      <w:r>
        <w:rPr>
          <w:rFonts w:hint="eastAsia" w:ascii="宋体" w:hAnsi="宋体" w:cs="宋体"/>
          <w:color w:val="auto"/>
          <w:sz w:val="21"/>
          <w:szCs w:val="21"/>
        </w:rPr>
        <w:t>（6）为本招标项目的招标代理机构；</w:t>
      </w:r>
    </w:p>
    <w:p w14:paraId="3E6CE074">
      <w:pPr>
        <w:spacing w:beforeLines="0" w:afterLines="0" w:line="360" w:lineRule="auto"/>
        <w:ind w:firstLine="420" w:firstLineChars="200"/>
        <w:rPr>
          <w:rFonts w:ascii="宋体" w:hAnsi="宋体" w:cs="宋体"/>
          <w:color w:val="auto"/>
          <w:sz w:val="21"/>
          <w:szCs w:val="21"/>
        </w:rPr>
      </w:pPr>
      <w:r>
        <w:rPr>
          <w:rFonts w:hint="eastAsia" w:ascii="宋体" w:hAnsi="宋体" w:cs="宋体"/>
          <w:color w:val="auto"/>
          <w:sz w:val="21"/>
          <w:szCs w:val="21"/>
        </w:rPr>
        <w:t>（7）与本招标项目的招标代理机构同为一个法定代表人；</w:t>
      </w:r>
    </w:p>
    <w:p w14:paraId="187C1408">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（8）与本招标项目的</w:t>
      </w:r>
      <w:r>
        <w:rPr>
          <w:rFonts w:hint="eastAsia" w:ascii="宋体" w:hAnsi="宋体" w:cs="宋体"/>
          <w:color w:val="auto"/>
          <w:sz w:val="21"/>
          <w:szCs w:val="21"/>
          <w:lang w:eastAsia="zh-CN"/>
        </w:rPr>
        <w:t>代建人或</w:t>
      </w:r>
      <w:r>
        <w:rPr>
          <w:rFonts w:hint="eastAsia" w:ascii="宋体" w:hAnsi="宋体" w:cs="宋体"/>
          <w:color w:val="auto"/>
          <w:sz w:val="21"/>
          <w:szCs w:val="21"/>
        </w:rPr>
        <w:t>招标代理机构存在控股或参股关系；</w:t>
      </w:r>
    </w:p>
    <w:p w14:paraId="07D154DC">
      <w:pPr>
        <w:spacing w:beforeLines="0" w:afterLines="0"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w:t>
      </w:r>
      <w:r>
        <w:rPr>
          <w:rFonts w:hint="default" w:ascii="宋体" w:hAnsi="宋体" w:eastAsia="宋体" w:cs="宋体"/>
          <w:color w:val="auto"/>
          <w:kern w:val="2"/>
          <w:sz w:val="21"/>
          <w:szCs w:val="21"/>
          <w:lang w:val="en-US" w:eastAsia="zh-CN" w:bidi="ar-SA"/>
        </w:rPr>
        <w:t>与本招标项目的检测机构、建设</w:t>
      </w:r>
      <w:r>
        <w:rPr>
          <w:rFonts w:hint="eastAsia" w:ascii="宋体" w:hAnsi="宋体" w:eastAsia="宋体" w:cs="宋体"/>
          <w:color w:val="auto"/>
          <w:kern w:val="2"/>
          <w:sz w:val="21"/>
          <w:szCs w:val="21"/>
          <w:lang w:val="en-US" w:eastAsia="zh-CN" w:bidi="ar-SA"/>
        </w:rPr>
        <w:t>、施工</w:t>
      </w:r>
      <w:r>
        <w:rPr>
          <w:rFonts w:hint="default" w:ascii="宋体" w:hAnsi="宋体" w:eastAsia="宋体" w:cs="宋体"/>
          <w:color w:val="auto"/>
          <w:kern w:val="2"/>
          <w:sz w:val="21"/>
          <w:szCs w:val="21"/>
          <w:lang w:val="en-US" w:eastAsia="zh-CN" w:bidi="ar-SA"/>
        </w:rPr>
        <w:t>单位以及建筑材料、建筑构配件和设备供应商有隶属关系或者其他利害关系</w:t>
      </w:r>
      <w:r>
        <w:rPr>
          <w:rFonts w:hint="eastAsia" w:ascii="宋体" w:hAnsi="宋体" w:eastAsia="宋体" w:cs="宋体"/>
          <w:color w:val="auto"/>
          <w:kern w:val="2"/>
          <w:sz w:val="21"/>
          <w:szCs w:val="21"/>
          <w:lang w:val="en-US" w:eastAsia="zh-CN" w:bidi="ar-SA"/>
        </w:rPr>
        <w:t>；</w:t>
      </w:r>
    </w:p>
    <w:p w14:paraId="756822D2">
      <w:pPr>
        <w:spacing w:beforeLines="0" w:afterLines="0" w:line="360" w:lineRule="auto"/>
        <w:ind w:firstLine="420" w:firstLineChars="200"/>
        <w:rPr>
          <w:rFonts w:ascii="宋体" w:hAnsi="宋体" w:cs="宋体"/>
          <w:color w:val="auto"/>
          <w:sz w:val="21"/>
          <w:szCs w:val="21"/>
        </w:rPr>
      </w:pPr>
      <w:r>
        <w:rPr>
          <w:rFonts w:hint="eastAsia" w:ascii="宋体" w:hAnsi="宋体" w:eastAsia="宋体" w:cs="宋体"/>
          <w:color w:val="auto"/>
          <w:kern w:val="2"/>
          <w:sz w:val="21"/>
          <w:szCs w:val="21"/>
          <w:lang w:val="en-US" w:eastAsia="zh-CN" w:bidi="ar-SA"/>
        </w:rPr>
        <w:t>（10）被依法暂停</w:t>
      </w:r>
      <w:r>
        <w:rPr>
          <w:rFonts w:hint="eastAsia" w:ascii="宋体" w:hAnsi="宋体" w:cs="宋体"/>
          <w:color w:val="auto"/>
          <w:sz w:val="21"/>
          <w:szCs w:val="21"/>
        </w:rPr>
        <w:t>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60706A59">
      <w:pPr>
        <w:spacing w:beforeLines="0" w:afterLines="0" w:line="360" w:lineRule="auto"/>
        <w:ind w:firstLine="420" w:firstLineChars="200"/>
        <w:rPr>
          <w:rFonts w:ascii="宋体" w:hAnsi="宋体" w:cs="宋体"/>
          <w:color w:val="auto"/>
          <w:sz w:val="21"/>
          <w:szCs w:val="21"/>
        </w:rPr>
      </w:pPr>
      <w:r>
        <w:rPr>
          <w:rFonts w:hint="eastAsia" w:ascii="宋体" w:hAnsi="宋体" w:cs="宋体"/>
          <w:color w:val="auto"/>
          <w:sz w:val="21"/>
          <w:szCs w:val="21"/>
        </w:rPr>
        <w:t>（11）被责令停产停业、暂扣或者吊销许可证、暂扣或者吊销执照</w:t>
      </w:r>
      <w:r>
        <w:rPr>
          <w:rFonts w:hint="eastAsia"/>
          <w:color w:val="auto"/>
          <w:spacing w:val="-3"/>
        </w:rPr>
        <w:t>（</w:t>
      </w:r>
      <w:r>
        <w:rPr>
          <w:rFonts w:hint="eastAsia"/>
          <w:color w:val="auto"/>
        </w:rPr>
        <w:t>本项事实应当以根据《中华人民共和国行政处罚法》依法作出并已生效的行政处罚决定为认定依据）</w:t>
      </w:r>
      <w:r>
        <w:rPr>
          <w:rFonts w:hint="eastAsia" w:ascii="宋体" w:hAnsi="宋体" w:cs="宋体"/>
          <w:color w:val="auto"/>
          <w:sz w:val="21"/>
          <w:szCs w:val="21"/>
        </w:rPr>
        <w:t>；</w:t>
      </w:r>
    </w:p>
    <w:p w14:paraId="40761471">
      <w:pPr>
        <w:spacing w:beforeLines="0" w:afterLines="0" w:line="360" w:lineRule="auto"/>
        <w:ind w:firstLine="420" w:firstLineChars="200"/>
        <w:rPr>
          <w:rFonts w:ascii="宋体" w:hAnsi="宋体" w:cs="宋体"/>
          <w:color w:val="FF0000"/>
          <w:sz w:val="21"/>
          <w:szCs w:val="21"/>
        </w:rPr>
      </w:pPr>
      <w:r>
        <w:rPr>
          <w:rFonts w:hint="eastAsia" w:ascii="宋体" w:hAnsi="宋体" w:cs="宋体"/>
          <w:color w:val="auto"/>
          <w:sz w:val="21"/>
          <w:szCs w:val="21"/>
        </w:rPr>
        <w:t>（12）进入清算程序，或被宣告破产，或其他丧失履约能力的情形；</w:t>
      </w:r>
    </w:p>
    <w:p w14:paraId="4D361C8E">
      <w:pPr>
        <w:spacing w:beforeLines="0" w:afterLines="0" w:line="360" w:lineRule="auto"/>
        <w:ind w:firstLine="420" w:firstLineChars="200"/>
        <w:rPr>
          <w:rFonts w:ascii="宋体" w:hAnsi="宋体" w:cs="宋体"/>
          <w:color w:val="auto"/>
          <w:sz w:val="21"/>
          <w:szCs w:val="21"/>
        </w:rPr>
      </w:pPr>
      <w:r>
        <w:rPr>
          <w:rFonts w:hint="eastAsia" w:ascii="宋体" w:hAnsi="宋体" w:cs="宋体"/>
          <w:color w:val="auto"/>
          <w:sz w:val="21"/>
          <w:szCs w:val="21"/>
        </w:rPr>
        <w:t>（13）在最近三年内</w:t>
      </w:r>
      <w:r>
        <w:rPr>
          <w:rFonts w:hint="eastAsia"/>
          <w:color w:val="auto"/>
          <w:spacing w:val="-3"/>
        </w:rPr>
        <w:t>有严重违约或</w:t>
      </w:r>
      <w:r>
        <w:rPr>
          <w:rFonts w:hint="eastAsia" w:ascii="宋体" w:hAnsi="宋体" w:cs="宋体"/>
          <w:color w:val="auto"/>
          <w:sz w:val="21"/>
          <w:szCs w:val="21"/>
        </w:rPr>
        <w:t>发生重大监理质量问题（“严重违约”事实应当以司法机关、仲裁机构出具的认定文件为准。“重大</w:t>
      </w:r>
      <w:r>
        <w:rPr>
          <w:rFonts w:hint="eastAsia" w:ascii="宋体" w:hAnsi="宋体" w:cs="宋体"/>
          <w:color w:val="auto"/>
          <w:sz w:val="21"/>
          <w:szCs w:val="21"/>
          <w:lang w:eastAsia="zh-CN"/>
        </w:rPr>
        <w:t>监理</w:t>
      </w:r>
      <w:r>
        <w:rPr>
          <w:rFonts w:hint="eastAsia" w:ascii="宋体" w:hAnsi="宋体" w:cs="宋体"/>
          <w:color w:val="auto"/>
          <w:sz w:val="21"/>
          <w:szCs w:val="21"/>
        </w:rPr>
        <w:t>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2D77E996">
      <w:pPr>
        <w:spacing w:beforeLines="0" w:afterLines="0"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（14）法律法规或投标人须知前附表规定的其他情形。</w:t>
      </w:r>
    </w:p>
    <w:p w14:paraId="2C53EB5F">
      <w:pPr>
        <w:pStyle w:val="7"/>
        <w:spacing w:beforeLines="0" w:afterLines="0"/>
      </w:pPr>
    </w:p>
    <w:p w14:paraId="184FAC34">
      <w:pPr>
        <w:pStyle w:val="4"/>
        <w:bidi w:val="0"/>
        <w:spacing w:beforeLines="0" w:afterLines="0"/>
      </w:pPr>
      <w:bookmarkStart w:id="141" w:name="_Toc12621"/>
      <w:bookmarkStart w:id="142" w:name="_Toc27608"/>
      <w:bookmarkStart w:id="143" w:name="_Toc17400"/>
      <w:bookmarkStart w:id="144" w:name="_Toc7015"/>
      <w:bookmarkStart w:id="145" w:name="_Toc492300569"/>
      <w:bookmarkStart w:id="146" w:name="_Toc4707"/>
      <w:bookmarkStart w:id="147" w:name="_Toc872"/>
      <w:bookmarkStart w:id="148" w:name="_Toc8683"/>
      <w:bookmarkStart w:id="149" w:name="_Toc16570"/>
      <w:bookmarkStart w:id="150" w:name="_Toc11991"/>
      <w:bookmarkStart w:id="151" w:name="_Toc21938"/>
      <w:bookmarkStart w:id="152" w:name="_Toc24300"/>
      <w:bookmarkStart w:id="153" w:name="_Toc19960"/>
      <w:bookmarkStart w:id="154" w:name="_Toc20"/>
      <w:bookmarkStart w:id="155" w:name="_Toc14174"/>
      <w:bookmarkStart w:id="156" w:name="_Toc21274"/>
      <w:r>
        <w:t xml:space="preserve">1.5 </w:t>
      </w:r>
      <w:r>
        <w:rPr>
          <w:rFonts w:hint="eastAsia"/>
        </w:rPr>
        <w:t>费用承担</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AC05047">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投标人准备和参加投标活动发生的费用自理。</w:t>
      </w:r>
    </w:p>
    <w:p w14:paraId="1D7F194D">
      <w:pPr>
        <w:pStyle w:val="7"/>
        <w:spacing w:beforeLines="0" w:afterLines="0"/>
      </w:pPr>
    </w:p>
    <w:p w14:paraId="5C66E047">
      <w:pPr>
        <w:pStyle w:val="4"/>
        <w:bidi w:val="0"/>
        <w:spacing w:beforeLines="0" w:afterLines="0"/>
      </w:pPr>
      <w:bookmarkStart w:id="157" w:name="_Toc10184"/>
      <w:bookmarkStart w:id="158" w:name="_Toc7373"/>
      <w:bookmarkStart w:id="159" w:name="_Toc30935"/>
      <w:bookmarkStart w:id="160" w:name="_Toc9220"/>
      <w:bookmarkStart w:id="161" w:name="_Toc17762"/>
      <w:bookmarkStart w:id="162" w:name="_Toc14744"/>
      <w:bookmarkStart w:id="163" w:name="_Toc11860"/>
      <w:bookmarkStart w:id="164" w:name="_Toc22241"/>
      <w:bookmarkStart w:id="165" w:name="_Toc27939"/>
      <w:bookmarkStart w:id="166" w:name="_Toc6809"/>
      <w:bookmarkStart w:id="167" w:name="_Toc4949"/>
      <w:bookmarkStart w:id="168" w:name="_Toc31138"/>
      <w:bookmarkStart w:id="169" w:name="_Toc11941"/>
      <w:bookmarkStart w:id="170" w:name="_Toc540"/>
      <w:bookmarkStart w:id="171" w:name="_Toc492300570"/>
      <w:bookmarkStart w:id="172" w:name="_Toc12237"/>
      <w:r>
        <w:t>1.6</w:t>
      </w:r>
      <w:r>
        <w:rPr>
          <w:rFonts w:hint="eastAsia"/>
        </w:rPr>
        <w:t xml:space="preserve"> 保密</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06F8825F">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参与招标投标活动的各方应对招标文件和投标文件中</w:t>
      </w:r>
      <w:bookmarkStart w:id="173" w:name="_Toc5326"/>
      <w:bookmarkStart w:id="174" w:name="_Toc369531519"/>
      <w:bookmarkStart w:id="175" w:name="_Toc361508589"/>
      <w:bookmarkStart w:id="176" w:name="_Toc384308214"/>
      <w:bookmarkStart w:id="177" w:name="_Toc352691477"/>
      <w:r>
        <w:rPr>
          <w:rFonts w:hint="eastAsia" w:ascii="宋体" w:hAnsi="宋体" w:cs="宋体"/>
          <w:sz w:val="21"/>
          <w:szCs w:val="21"/>
        </w:rPr>
        <w:t>的商业和技术等秘密保密</w:t>
      </w:r>
      <w:bookmarkEnd w:id="173"/>
      <w:bookmarkEnd w:id="174"/>
      <w:bookmarkEnd w:id="175"/>
      <w:bookmarkEnd w:id="176"/>
      <w:bookmarkEnd w:id="177"/>
      <w:r>
        <w:rPr>
          <w:rFonts w:hint="eastAsia" w:ascii="宋体" w:hAnsi="宋体" w:cs="宋体"/>
          <w:sz w:val="21"/>
          <w:szCs w:val="21"/>
        </w:rPr>
        <w:t>，否则应承担相应的法律责任。</w:t>
      </w:r>
    </w:p>
    <w:p w14:paraId="50C740B7">
      <w:pPr>
        <w:pStyle w:val="7"/>
        <w:spacing w:beforeLines="0" w:afterLines="0"/>
      </w:pPr>
    </w:p>
    <w:p w14:paraId="60F793FE">
      <w:pPr>
        <w:pStyle w:val="4"/>
        <w:bidi w:val="0"/>
        <w:spacing w:beforeLines="0" w:afterLines="0"/>
      </w:pPr>
      <w:bookmarkStart w:id="178" w:name="_Toc31035"/>
      <w:bookmarkStart w:id="179" w:name="_Toc24881"/>
      <w:bookmarkStart w:id="180" w:name="_Toc31812"/>
      <w:bookmarkStart w:id="181" w:name="_Toc11868"/>
      <w:bookmarkStart w:id="182" w:name="_Toc492300571"/>
      <w:bookmarkStart w:id="183" w:name="_Toc8031"/>
      <w:bookmarkStart w:id="184" w:name="_Toc27294"/>
      <w:bookmarkStart w:id="185" w:name="_Toc25717"/>
      <w:bookmarkStart w:id="186" w:name="_Toc25417"/>
      <w:bookmarkStart w:id="187" w:name="_Toc22513"/>
      <w:bookmarkStart w:id="188" w:name="_Toc25860"/>
      <w:bookmarkStart w:id="189" w:name="_Toc6779"/>
      <w:bookmarkStart w:id="190" w:name="_Toc657"/>
      <w:bookmarkStart w:id="191" w:name="_Toc12300"/>
      <w:bookmarkStart w:id="192" w:name="_Toc10033"/>
      <w:bookmarkStart w:id="193" w:name="_Toc20693"/>
      <w:r>
        <w:t xml:space="preserve">1.7 </w:t>
      </w:r>
      <w:r>
        <w:rPr>
          <w:rFonts w:hint="eastAsia"/>
        </w:rPr>
        <w:t>语言文字</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5028D1D">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招标投标文件使用的语言文字为中文。专用术语使用外文的，应附有中文注释。</w:t>
      </w:r>
    </w:p>
    <w:p w14:paraId="5D64608C">
      <w:pPr>
        <w:pStyle w:val="7"/>
        <w:spacing w:beforeLines="0" w:afterLines="0"/>
      </w:pPr>
    </w:p>
    <w:p w14:paraId="26B5C752">
      <w:pPr>
        <w:pStyle w:val="4"/>
        <w:bidi w:val="0"/>
        <w:spacing w:beforeLines="0" w:afterLines="0"/>
      </w:pPr>
      <w:bookmarkStart w:id="194" w:name="_Toc24930"/>
      <w:bookmarkStart w:id="195" w:name="_Toc26583"/>
      <w:bookmarkStart w:id="196" w:name="_Toc23444"/>
      <w:bookmarkStart w:id="197" w:name="_Toc10804"/>
      <w:bookmarkStart w:id="198" w:name="_Toc19040"/>
      <w:bookmarkStart w:id="199" w:name="_Toc10746"/>
      <w:bookmarkStart w:id="200" w:name="_Toc20380"/>
      <w:bookmarkStart w:id="201" w:name="_Toc2860"/>
      <w:bookmarkStart w:id="202" w:name="_Toc492300572"/>
      <w:bookmarkStart w:id="203" w:name="_Toc3529"/>
      <w:bookmarkStart w:id="204" w:name="_Toc20276"/>
      <w:bookmarkStart w:id="205" w:name="_Toc26419"/>
      <w:bookmarkStart w:id="206" w:name="_Toc22062"/>
      <w:bookmarkStart w:id="207" w:name="_Toc2762"/>
      <w:bookmarkStart w:id="208" w:name="_Toc15081"/>
      <w:bookmarkStart w:id="209" w:name="_Toc3021"/>
      <w:r>
        <w:rPr>
          <w:rFonts w:hint="eastAsia"/>
        </w:rPr>
        <w:t>1.8 计量单位</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09769F28">
      <w:pPr>
        <w:spacing w:beforeLines="0" w:afterLines="0" w:line="360" w:lineRule="auto"/>
        <w:ind w:firstLine="420" w:firstLineChars="200"/>
        <w:rPr>
          <w:rFonts w:hint="eastAsia" w:ascii="宋体" w:hAnsi="宋体" w:cs="宋体"/>
          <w:sz w:val="21"/>
          <w:szCs w:val="21"/>
        </w:rPr>
      </w:pPr>
      <w:r>
        <w:rPr>
          <w:rFonts w:hint="eastAsia" w:ascii="宋体" w:hAnsi="宋体" w:cs="宋体"/>
          <w:sz w:val="21"/>
          <w:szCs w:val="21"/>
        </w:rPr>
        <w:t>所有计量均采用中华人民共和国法定计量单位。</w:t>
      </w:r>
    </w:p>
    <w:p w14:paraId="27DF0E31">
      <w:pPr>
        <w:pStyle w:val="7"/>
        <w:spacing w:beforeLines="0" w:afterLines="0"/>
      </w:pPr>
    </w:p>
    <w:p w14:paraId="14114D1C">
      <w:pPr>
        <w:pStyle w:val="4"/>
        <w:bidi w:val="0"/>
        <w:spacing w:beforeLines="0" w:afterLines="0"/>
      </w:pPr>
      <w:bookmarkStart w:id="210" w:name="_Toc10088"/>
      <w:bookmarkStart w:id="211" w:name="_Toc16766"/>
      <w:bookmarkStart w:id="212" w:name="_Toc300834959"/>
      <w:bookmarkStart w:id="213" w:name="_Toc30482"/>
      <w:bookmarkStart w:id="214" w:name="_Toc247513962"/>
      <w:bookmarkStart w:id="215" w:name="_Toc30318"/>
      <w:bookmarkStart w:id="216" w:name="_Toc152045539"/>
      <w:bookmarkStart w:id="217" w:name="_Toc247527563"/>
      <w:bookmarkStart w:id="218" w:name="_Toc492300573"/>
      <w:bookmarkStart w:id="219" w:name="_Toc384308219"/>
      <w:bookmarkStart w:id="220" w:name="_Toc27567"/>
      <w:bookmarkStart w:id="221" w:name="_Toc10219"/>
      <w:bookmarkStart w:id="222" w:name="_Toc6113"/>
      <w:bookmarkStart w:id="223" w:name="_Toc391393967"/>
      <w:bookmarkStart w:id="224" w:name="_Toc29990"/>
      <w:bookmarkStart w:id="225" w:name="_Toc482188480"/>
      <w:bookmarkStart w:id="226" w:name="_Toc8544"/>
      <w:bookmarkStart w:id="227" w:name="_Toc6165"/>
      <w:bookmarkStart w:id="228" w:name="_Toc15174"/>
      <w:bookmarkStart w:id="229" w:name="_Toc21883"/>
      <w:bookmarkStart w:id="230" w:name="_Toc3426"/>
      <w:bookmarkStart w:id="231" w:name="_Toc370676289"/>
      <w:bookmarkStart w:id="232" w:name="_Toc152042315"/>
      <w:bookmarkStart w:id="233" w:name="_Toc361508594"/>
      <w:bookmarkStart w:id="234" w:name="_Toc8007"/>
      <w:bookmarkStart w:id="235" w:name="_Toc144974507"/>
      <w:bookmarkStart w:id="236" w:name="_Toc20483"/>
      <w:r>
        <w:t xml:space="preserve">1.9 </w:t>
      </w:r>
      <w:r>
        <w:rPr>
          <w:rFonts w:hint="eastAsia"/>
        </w:rPr>
        <w:t>踏勘现场</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5227EA2">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1.9.1 </w:t>
      </w:r>
      <w:r>
        <w:rPr>
          <w:rFonts w:hint="eastAsia" w:ascii="宋体" w:hAnsi="宋体" w:cs="宋体"/>
          <w:sz w:val="21"/>
          <w:szCs w:val="21"/>
        </w:rPr>
        <w:t>投标人须知前附表规定组织踏勘现场的，招标人按投标人须知前附表规定的时间、地点组织投标人踏勘项目现场。部分投标人未按时参加踏勘现场的，不影响踏勘现场的正常进行。</w:t>
      </w:r>
    </w:p>
    <w:p w14:paraId="029E6C07">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1.9.2 </w:t>
      </w:r>
      <w:r>
        <w:rPr>
          <w:rFonts w:hint="eastAsia" w:ascii="宋体" w:hAnsi="宋体" w:cs="宋体"/>
          <w:sz w:val="21"/>
          <w:szCs w:val="21"/>
        </w:rPr>
        <w:t>投标人踏勘现场发生的费用自理。</w:t>
      </w:r>
    </w:p>
    <w:p w14:paraId="7E7F7EF0">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1.9.3 </w:t>
      </w:r>
      <w:r>
        <w:rPr>
          <w:rFonts w:hint="eastAsia" w:ascii="宋体" w:hAnsi="宋体" w:cs="宋体"/>
          <w:sz w:val="21"/>
          <w:szCs w:val="21"/>
        </w:rPr>
        <w:t>除招标人的原因外，投标人自行负责在踏勘现场中所发生的人员伤亡和财产损失。</w:t>
      </w:r>
    </w:p>
    <w:p w14:paraId="3CD542EB">
      <w:pPr>
        <w:spacing w:beforeLines="0" w:afterLines="0" w:line="360" w:lineRule="auto"/>
        <w:ind w:firstLine="420" w:firstLineChars="200"/>
        <w:rPr>
          <w:rFonts w:hint="eastAsia" w:ascii="宋体" w:hAnsi="宋体" w:cs="宋体"/>
          <w:sz w:val="21"/>
          <w:szCs w:val="21"/>
        </w:rPr>
      </w:pPr>
      <w:r>
        <w:rPr>
          <w:rFonts w:hint="eastAsia" w:ascii="宋体" w:hAnsi="宋体" w:eastAsia="宋体" w:cs="宋体"/>
          <w:sz w:val="21"/>
          <w:szCs w:val="21"/>
        </w:rPr>
        <w:t xml:space="preserve">1.9.4 </w:t>
      </w:r>
      <w:r>
        <w:rPr>
          <w:rFonts w:hint="eastAsia" w:ascii="宋体" w:hAnsi="宋体" w:eastAsia="宋体" w:cs="宋体"/>
          <w:sz w:val="21"/>
          <w:szCs w:val="21"/>
          <w:lang w:val="en-US" w:eastAsia="zh-CN"/>
        </w:rPr>
        <w:t>由于投标人没有对工程现场及周围环境进行</w:t>
      </w:r>
      <w:r>
        <w:rPr>
          <w:rFonts w:hint="eastAsia" w:ascii="宋体" w:hAnsi="宋体" w:eastAsia="宋体" w:cs="宋体"/>
          <w:sz w:val="21"/>
          <w:szCs w:val="21"/>
        </w:rPr>
        <w:t>踏勘</w:t>
      </w:r>
      <w:r>
        <w:rPr>
          <w:rFonts w:hint="eastAsia" w:ascii="宋体" w:hAnsi="宋体" w:eastAsia="宋体" w:cs="宋体"/>
          <w:sz w:val="21"/>
          <w:szCs w:val="21"/>
          <w:lang w:eastAsia="zh-CN"/>
        </w:rPr>
        <w:t>，造成投标失误的，由投标人自行承担责任和损失</w:t>
      </w:r>
      <w:r>
        <w:rPr>
          <w:rFonts w:hint="eastAsia" w:ascii="宋体" w:hAnsi="宋体" w:eastAsia="宋体" w:cs="宋体"/>
          <w:sz w:val="21"/>
          <w:szCs w:val="21"/>
        </w:rPr>
        <w:t>。</w:t>
      </w:r>
    </w:p>
    <w:p w14:paraId="1251DD99">
      <w:pPr>
        <w:pStyle w:val="7"/>
        <w:spacing w:beforeLines="0" w:afterLines="0"/>
      </w:pPr>
    </w:p>
    <w:p w14:paraId="37317244">
      <w:pPr>
        <w:pStyle w:val="4"/>
        <w:bidi w:val="0"/>
        <w:spacing w:beforeLines="0" w:afterLines="0"/>
      </w:pPr>
      <w:bookmarkStart w:id="237" w:name="_Toc6307"/>
      <w:bookmarkStart w:id="238" w:name="_Toc19565"/>
      <w:bookmarkStart w:id="239" w:name="_Toc27081"/>
      <w:bookmarkStart w:id="240" w:name="_Toc32425"/>
      <w:bookmarkStart w:id="241" w:name="_Toc18533"/>
      <w:bookmarkStart w:id="242" w:name="_Toc32411"/>
      <w:bookmarkStart w:id="243" w:name="_Toc2535"/>
      <w:bookmarkStart w:id="244" w:name="_Toc3908"/>
      <w:bookmarkStart w:id="245" w:name="_Toc9856"/>
      <w:bookmarkStart w:id="246" w:name="_Toc21252"/>
      <w:bookmarkStart w:id="247" w:name="_Toc26586"/>
      <w:bookmarkStart w:id="248" w:name="_Toc492300574"/>
      <w:bookmarkStart w:id="249" w:name="_Toc11535"/>
      <w:bookmarkStart w:id="250" w:name="_Toc5606"/>
      <w:bookmarkStart w:id="251" w:name="_Toc15928"/>
      <w:bookmarkStart w:id="252" w:name="_Toc21847"/>
      <w:r>
        <w:rPr>
          <w:rFonts w:hint="eastAsia"/>
        </w:rPr>
        <w:t>1.10 投标预备会</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63EE246">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1.10.1 </w:t>
      </w:r>
      <w:r>
        <w:rPr>
          <w:rFonts w:hint="eastAsia" w:ascii="宋体" w:hAnsi="宋体" w:cs="宋体"/>
          <w:sz w:val="21"/>
          <w:szCs w:val="21"/>
        </w:rPr>
        <w:t>投标人须知前附表规定召开投标预备会的，招标人按投标人须知前附表规定的时间和地点召开投标预备会，澄清投标人提出的问题。</w:t>
      </w:r>
    </w:p>
    <w:p w14:paraId="5037DCF9">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1.10.2 </w:t>
      </w:r>
      <w:r>
        <w:rPr>
          <w:rFonts w:hint="eastAsia" w:ascii="宋体" w:hAnsi="宋体" w:cs="宋体"/>
          <w:sz w:val="21"/>
          <w:szCs w:val="21"/>
        </w:rPr>
        <w:t>投标人应按投标人须知前附表规定的时间和形式将提出的问题送达招标人，以便招标人在会议期间澄清。</w:t>
      </w:r>
    </w:p>
    <w:p w14:paraId="67C787AE">
      <w:pPr>
        <w:spacing w:beforeLines="0" w:afterLines="0" w:line="360" w:lineRule="auto"/>
        <w:ind w:firstLine="420" w:firstLineChars="200"/>
        <w:rPr>
          <w:rFonts w:hint="eastAsia" w:ascii="宋体" w:hAnsi="宋体" w:cs="宋体"/>
          <w:sz w:val="21"/>
          <w:szCs w:val="21"/>
        </w:rPr>
      </w:pPr>
      <w:r>
        <w:rPr>
          <w:rFonts w:ascii="宋体" w:hAnsi="宋体" w:cs="宋体"/>
          <w:sz w:val="21"/>
          <w:szCs w:val="21"/>
        </w:rPr>
        <w:t xml:space="preserve">1.10.3 </w:t>
      </w:r>
      <w:r>
        <w:rPr>
          <w:rFonts w:hint="eastAsia" w:ascii="宋体" w:hAnsi="宋体" w:cs="宋体"/>
          <w:sz w:val="21"/>
          <w:szCs w:val="21"/>
        </w:rPr>
        <w:t>投标预备会后，招标人将对投标人所提问题的澄清，以投标人须知前附表规定的形式通知所有购买招标文件的投标人。该澄清内容为招标文件的组成部分。</w:t>
      </w:r>
    </w:p>
    <w:p w14:paraId="55919268">
      <w:pPr>
        <w:pStyle w:val="7"/>
        <w:spacing w:beforeLines="0" w:afterLines="0"/>
      </w:pPr>
    </w:p>
    <w:p w14:paraId="39580D1A">
      <w:pPr>
        <w:pStyle w:val="4"/>
        <w:bidi w:val="0"/>
        <w:spacing w:beforeLines="0" w:afterLines="0"/>
      </w:pPr>
      <w:bookmarkStart w:id="253" w:name="_Toc25071"/>
      <w:bookmarkStart w:id="254" w:name="_Toc25720"/>
      <w:bookmarkStart w:id="255" w:name="_Toc6867"/>
      <w:bookmarkStart w:id="256" w:name="_Toc7636"/>
      <w:bookmarkStart w:id="257" w:name="_Toc25550"/>
      <w:bookmarkStart w:id="258" w:name="_Toc12979"/>
      <w:bookmarkStart w:id="259" w:name="_Toc19968"/>
      <w:bookmarkStart w:id="260" w:name="_Toc11665"/>
      <w:bookmarkStart w:id="261" w:name="_Toc21429"/>
      <w:bookmarkStart w:id="262" w:name="_Toc21594"/>
      <w:bookmarkStart w:id="263" w:name="_Toc16569"/>
      <w:bookmarkStart w:id="264" w:name="_Toc13431"/>
      <w:bookmarkStart w:id="265" w:name="_Toc29345"/>
      <w:bookmarkStart w:id="266" w:name="_Toc5583"/>
      <w:bookmarkStart w:id="267" w:name="_Toc492300575"/>
      <w:bookmarkStart w:id="268" w:name="_Toc24540"/>
      <w:r>
        <w:t xml:space="preserve">1.11 </w:t>
      </w:r>
      <w:r>
        <w:rPr>
          <w:rFonts w:hint="eastAsia"/>
        </w:rPr>
        <w:t>分包</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00192D6A">
      <w:pPr>
        <w:spacing w:beforeLines="0" w:afterLines="0" w:line="360" w:lineRule="auto"/>
        <w:ind w:firstLine="420" w:firstLineChars="200"/>
        <w:rPr>
          <w:rFonts w:hint="default" w:ascii="宋体" w:hAnsi="宋体" w:eastAsia="宋体" w:cs="宋体"/>
          <w:szCs w:val="21"/>
        </w:rPr>
      </w:pPr>
      <w:bookmarkStart w:id="269" w:name="_Toc23487"/>
      <w:bookmarkStart w:id="270" w:name="_Toc16032"/>
      <w:bookmarkStart w:id="271" w:name="_Toc7090"/>
      <w:bookmarkStart w:id="272" w:name="_Toc492300576"/>
      <w:bookmarkStart w:id="273" w:name="_Toc32619"/>
      <w:bookmarkStart w:id="274" w:name="_Toc9275"/>
      <w:r>
        <w:rPr>
          <w:rFonts w:hint="default" w:ascii="宋体" w:hAnsi="宋体" w:eastAsia="宋体" w:cs="宋体"/>
          <w:szCs w:val="21"/>
        </w:rPr>
        <w:t xml:space="preserve">1.11.1 </w:t>
      </w:r>
      <w:r>
        <w:rPr>
          <w:rFonts w:hint="eastAsia" w:ascii="宋体" w:hAnsi="宋体" w:eastAsia="宋体" w:cs="宋体"/>
          <w:szCs w:val="21"/>
          <w:lang w:eastAsia="zh-CN"/>
        </w:rPr>
        <w:t>本项目</w:t>
      </w:r>
      <w:r>
        <w:rPr>
          <w:rFonts w:hint="default" w:ascii="宋体" w:hAnsi="宋体" w:eastAsia="宋体" w:cs="宋体"/>
          <w:szCs w:val="21"/>
        </w:rPr>
        <w:t>不得分包。</w:t>
      </w:r>
    </w:p>
    <w:p w14:paraId="07820B87">
      <w:pPr>
        <w:spacing w:beforeLines="0" w:afterLines="0" w:line="360" w:lineRule="auto"/>
        <w:ind w:firstLine="420" w:firstLineChars="200"/>
        <w:rPr>
          <w:rFonts w:hint="default" w:ascii="宋体" w:hAnsi="宋体" w:eastAsia="宋体" w:cs="宋体"/>
          <w:szCs w:val="21"/>
        </w:rPr>
      </w:pPr>
      <w:r>
        <w:rPr>
          <w:rFonts w:hint="default" w:ascii="宋体" w:hAnsi="宋体" w:eastAsia="宋体" w:cs="宋体"/>
          <w:szCs w:val="21"/>
        </w:rPr>
        <w:t>1.11.2  中标人不得向他人转让中标项目。</w:t>
      </w:r>
    </w:p>
    <w:p w14:paraId="608BAE77">
      <w:pPr>
        <w:pStyle w:val="7"/>
        <w:spacing w:beforeLines="0" w:afterLines="0"/>
        <w:rPr>
          <w:rFonts w:hint="default"/>
        </w:rPr>
      </w:pPr>
    </w:p>
    <w:p w14:paraId="5A285B47">
      <w:pPr>
        <w:pStyle w:val="4"/>
        <w:bidi w:val="0"/>
        <w:spacing w:beforeLines="0" w:afterLines="0"/>
      </w:pPr>
      <w:bookmarkStart w:id="275" w:name="_Toc1339"/>
      <w:bookmarkStart w:id="276" w:name="_Toc23278"/>
      <w:bookmarkStart w:id="277" w:name="_Toc428"/>
      <w:bookmarkStart w:id="278" w:name="_Toc22154"/>
      <w:bookmarkStart w:id="279" w:name="_Toc24008"/>
      <w:bookmarkStart w:id="280" w:name="_Toc11246"/>
      <w:bookmarkStart w:id="281" w:name="_Toc3789"/>
      <w:bookmarkStart w:id="282" w:name="_Toc20575"/>
      <w:bookmarkStart w:id="283" w:name="_Toc10275"/>
      <w:bookmarkStart w:id="284" w:name="_Toc13991"/>
      <w:r>
        <w:rPr>
          <w:rFonts w:hint="eastAsia"/>
        </w:rPr>
        <w:t>1.12响应和偏差</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53F7CA1">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1.12.1投标文件应当对招标文件的实质性要求和条件作出满足性或更有利于招标人的响应，否则，投标人的投标将被否决。实质性要求和条件见投标人须知前附表。</w:t>
      </w:r>
    </w:p>
    <w:p w14:paraId="72C566E0">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1.12.2 </w:t>
      </w:r>
      <w:r>
        <w:rPr>
          <w:rFonts w:hint="eastAsia" w:ascii="宋体" w:hAnsi="宋体" w:cs="宋体"/>
          <w:sz w:val="21"/>
          <w:szCs w:val="21"/>
        </w:rPr>
        <w:t>投标人应根据招标文件的要求提供投标监理大纲等内容以对招标文件作出响应。</w:t>
      </w:r>
    </w:p>
    <w:p w14:paraId="43F4306E">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1.12.3投标人须知前附表允许投标文件偏离招标文件某些要求的，偏差应当符合招标文件规定的偏差范围和幅度。</w:t>
      </w:r>
    </w:p>
    <w:p w14:paraId="499C25D7">
      <w:pPr>
        <w:pStyle w:val="3"/>
        <w:bidi w:val="0"/>
        <w:spacing w:before="0" w:beforeLines="0" w:after="0" w:afterLines="0"/>
        <w:rPr>
          <w:rFonts w:hint="eastAsia" w:ascii="宋体" w:hAnsi="宋体" w:eastAsia="宋体" w:cs="宋体"/>
          <w:b/>
          <w:bCs w:val="0"/>
          <w:szCs w:val="21"/>
        </w:rPr>
      </w:pPr>
      <w:bookmarkStart w:id="285" w:name="_Toc11778"/>
      <w:bookmarkStart w:id="286" w:name="_Toc31585"/>
      <w:bookmarkStart w:id="287" w:name="_Toc32477"/>
      <w:bookmarkStart w:id="288" w:name="_Toc19337"/>
      <w:bookmarkStart w:id="289" w:name="_Toc3361"/>
      <w:bookmarkStart w:id="290" w:name="_Toc23849"/>
      <w:bookmarkStart w:id="291" w:name="_Toc2173"/>
      <w:bookmarkStart w:id="292" w:name="_Toc32110"/>
      <w:bookmarkStart w:id="293" w:name="_Toc17049"/>
      <w:bookmarkStart w:id="294" w:name="_Toc24340"/>
      <w:bookmarkStart w:id="295" w:name="_Toc28327"/>
      <w:bookmarkStart w:id="296" w:name="_Toc30626"/>
      <w:bookmarkStart w:id="297" w:name="_Toc22732"/>
      <w:bookmarkStart w:id="298" w:name="_Toc492300577"/>
      <w:bookmarkStart w:id="299" w:name="_Toc2551"/>
      <w:bookmarkStart w:id="300" w:name="_Toc12512"/>
      <w:bookmarkStart w:id="301" w:name="_Toc13668"/>
      <w:r>
        <w:rPr>
          <w:rFonts w:hint="eastAsia" w:ascii="宋体" w:hAnsi="宋体" w:eastAsia="宋体" w:cs="宋体"/>
          <w:b/>
          <w:bCs w:val="0"/>
        </w:rPr>
        <w:t>2. 招标文件</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90C2C77">
      <w:pPr>
        <w:pStyle w:val="4"/>
        <w:bidi w:val="0"/>
        <w:spacing w:beforeLines="0" w:afterLines="0"/>
      </w:pPr>
      <w:bookmarkStart w:id="302" w:name="_Toc8603"/>
      <w:bookmarkStart w:id="303" w:name="_Toc22951"/>
      <w:bookmarkStart w:id="304" w:name="_Toc7923"/>
      <w:bookmarkStart w:id="305" w:name="_Toc21358"/>
      <w:bookmarkStart w:id="306" w:name="_Toc30202"/>
      <w:bookmarkStart w:id="307" w:name="_Toc32308"/>
      <w:bookmarkStart w:id="308" w:name="_Toc28912"/>
      <w:bookmarkStart w:id="309" w:name="_Toc16472"/>
      <w:bookmarkStart w:id="310" w:name="_Toc1039"/>
      <w:bookmarkStart w:id="311" w:name="_Toc12184"/>
      <w:bookmarkStart w:id="312" w:name="_Toc492300578"/>
      <w:bookmarkStart w:id="313" w:name="_Toc15515"/>
      <w:bookmarkStart w:id="314" w:name="_Toc28644"/>
      <w:bookmarkStart w:id="315" w:name="_Toc757"/>
      <w:bookmarkStart w:id="316" w:name="_Toc5111"/>
      <w:bookmarkStart w:id="317" w:name="_Toc29609"/>
      <w:r>
        <w:t xml:space="preserve">2.1 </w:t>
      </w:r>
      <w:r>
        <w:rPr>
          <w:rFonts w:hint="eastAsia"/>
        </w:rPr>
        <w:t>招标文件的组成</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DD4A4F3">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本招标文件包括：</w:t>
      </w:r>
    </w:p>
    <w:p w14:paraId="4C3C8F1F">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（1）招标公告；</w:t>
      </w:r>
    </w:p>
    <w:p w14:paraId="50D6777A">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（2）投标人须知；</w:t>
      </w:r>
    </w:p>
    <w:p w14:paraId="3F1F8381">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（3）评标办法；</w:t>
      </w:r>
    </w:p>
    <w:p w14:paraId="22840934">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（4）合同条款及格式；</w:t>
      </w:r>
    </w:p>
    <w:p w14:paraId="76F59127">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（5）委托人要求；</w:t>
      </w:r>
    </w:p>
    <w:p w14:paraId="3CB5CCB4">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（6）投标文件格式；</w:t>
      </w:r>
    </w:p>
    <w:p w14:paraId="5D55E28B">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（7）投标人须知前附表规定的其他资料。</w:t>
      </w:r>
    </w:p>
    <w:p w14:paraId="52F3CC8C">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根据本章第1.10款、第2.2款和第2.3款对招标文件所作的澄清、修改，构成招标文件的组成部分。</w:t>
      </w:r>
    </w:p>
    <w:p w14:paraId="15DC6B31">
      <w:pPr>
        <w:spacing w:beforeLines="0" w:afterLines="0"/>
      </w:pPr>
      <w:bookmarkStart w:id="318" w:name="_Toc31565"/>
      <w:bookmarkStart w:id="319" w:name="_Toc30224"/>
      <w:bookmarkStart w:id="320" w:name="_Toc20512"/>
      <w:bookmarkStart w:id="321" w:name="_Toc28881"/>
      <w:bookmarkStart w:id="322" w:name="_Toc29305"/>
      <w:bookmarkStart w:id="323" w:name="_Toc6695"/>
      <w:bookmarkStart w:id="324" w:name="_Toc492300579"/>
      <w:bookmarkStart w:id="325" w:name="_Toc9467"/>
      <w:bookmarkStart w:id="326" w:name="_Toc17542"/>
      <w:bookmarkStart w:id="327" w:name="_Toc27084"/>
      <w:bookmarkStart w:id="328" w:name="_Toc7775"/>
      <w:bookmarkStart w:id="329" w:name="_Toc3497"/>
      <w:bookmarkStart w:id="330" w:name="_Toc19191"/>
      <w:bookmarkStart w:id="331" w:name="_Toc15522"/>
      <w:bookmarkStart w:id="332" w:name="_Toc31226"/>
    </w:p>
    <w:p w14:paraId="63707E0D">
      <w:pPr>
        <w:pStyle w:val="4"/>
        <w:bidi w:val="0"/>
        <w:spacing w:beforeLines="0" w:afterLines="0"/>
        <w:rPr>
          <w:rFonts w:hint="eastAsia"/>
          <w:lang w:eastAsia="zh-CN"/>
        </w:rPr>
      </w:pPr>
      <w:bookmarkStart w:id="333" w:name="_Toc7710"/>
      <w:bookmarkStart w:id="334" w:name="_Toc23736"/>
      <w:bookmarkStart w:id="335" w:name="_Toc26635"/>
      <w:bookmarkStart w:id="336" w:name="_Toc21489"/>
      <w:bookmarkStart w:id="337" w:name="_Toc2206"/>
      <w:bookmarkStart w:id="338" w:name="_Toc11264"/>
      <w:r>
        <w:rPr>
          <w:rFonts w:hint="default"/>
          <w:lang w:val="en-US" w:eastAsia="zh-CN"/>
        </w:rPr>
        <w:t xml:space="preserve">2.2 </w:t>
      </w:r>
      <w:r>
        <w:rPr>
          <w:rFonts w:hint="eastAsia"/>
          <w:lang w:val="en-US" w:eastAsia="zh-CN"/>
        </w:rPr>
        <w:t>招标文件的</w:t>
      </w:r>
      <w:bookmarkEnd w:id="333"/>
      <w:bookmarkEnd w:id="334"/>
      <w:bookmarkEnd w:id="335"/>
      <w:bookmarkEnd w:id="336"/>
      <w:bookmarkEnd w:id="337"/>
      <w:r>
        <w:rPr>
          <w:rFonts w:hint="eastAsia"/>
          <w:lang w:val="en-US" w:eastAsia="zh-CN"/>
        </w:rPr>
        <w:t>答疑</w:t>
      </w:r>
      <w:bookmarkEnd w:id="338"/>
    </w:p>
    <w:p w14:paraId="1E714BAA">
      <w:pPr>
        <w:pStyle w:val="11"/>
        <w:pageBreakBefore w:val="0"/>
        <w:kinsoku w:val="0"/>
        <w:wordWrap/>
        <w:overflowPunct w:val="0"/>
        <w:topLinePunct w:val="0"/>
        <w:autoSpaceDE w:val="0"/>
        <w:autoSpaceDN w:val="0"/>
        <w:bidi w:val="0"/>
        <w:adjustRightInd/>
        <w:snapToGrid/>
        <w:spacing w:beforeLines="0" w:after="0" w:afterLines="0" w:line="360" w:lineRule="auto"/>
        <w:ind w:left="0" w:leftChars="0"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2.2.1 投标人应仔细阅读和检查招标文件的全部内容。如有疑问，应按投标人须知前附表规定的时间和形式将提出的问题送达招标人，要求招标人对招标文件予以澄清。</w:t>
      </w:r>
    </w:p>
    <w:p w14:paraId="148889CA">
      <w:pPr>
        <w:pStyle w:val="11"/>
        <w:pageBreakBefore w:val="0"/>
        <w:kinsoku w:val="0"/>
        <w:wordWrap/>
        <w:overflowPunct w:val="0"/>
        <w:topLinePunct w:val="0"/>
        <w:autoSpaceDE w:val="0"/>
        <w:autoSpaceDN w:val="0"/>
        <w:bidi w:val="0"/>
        <w:adjustRightInd/>
        <w:snapToGrid/>
        <w:spacing w:beforeLines="0" w:after="0" w:afterLines="0" w:line="360" w:lineRule="auto"/>
        <w:ind w:left="0" w:leftChars="0" w:firstLine="408" w:firstLineChars="200"/>
        <w:jc w:val="both"/>
        <w:textAlignment w:val="auto"/>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rPr>
        <w:t>2.2.2</w:t>
      </w:r>
      <w:r>
        <w:rPr>
          <w:rFonts w:hint="eastAsia" w:ascii="宋体" w:hAnsi="宋体"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招标答疑采用网上答疑方式进行。投标人若对招标文件有疑问的，</w:t>
      </w:r>
      <w:r>
        <w:rPr>
          <w:rFonts w:hint="eastAsia" w:ascii="宋体" w:hAnsi="宋体" w:eastAsia="宋体" w:cs="宋体"/>
          <w:color w:val="auto"/>
          <w:spacing w:val="-3"/>
          <w:sz w:val="21"/>
          <w:szCs w:val="21"/>
          <w:highlight w:val="none"/>
          <w:lang w:eastAsia="zh-CN"/>
        </w:rPr>
        <w:t>通过广州交易集团有限公司（广州公共资源交易中心）网站提交，</w:t>
      </w:r>
      <w:r>
        <w:rPr>
          <w:rFonts w:hint="eastAsia" w:ascii="宋体" w:hAnsi="宋体" w:eastAsia="宋体" w:cs="宋体"/>
          <w:color w:val="auto"/>
          <w:spacing w:val="-3"/>
          <w:sz w:val="21"/>
          <w:szCs w:val="21"/>
          <w:highlight w:val="none"/>
        </w:rPr>
        <w:t>应按照</w:t>
      </w:r>
      <w:r>
        <w:rPr>
          <w:rFonts w:hint="eastAsia" w:ascii="宋体" w:hAnsi="宋体" w:eastAsia="宋体" w:cs="宋体"/>
          <w:color w:val="auto"/>
          <w:spacing w:val="-3"/>
          <w:sz w:val="21"/>
          <w:szCs w:val="21"/>
          <w:highlight w:val="none"/>
          <w:lang w:eastAsia="zh-CN"/>
        </w:rPr>
        <w:t>广州交易集团有限公司（广州公共资源交易中心）网站关于全流程电子化项目的相关指南进行操作</w:t>
      </w:r>
      <w:r>
        <w:rPr>
          <w:rFonts w:hint="eastAsia" w:ascii="宋体" w:hAnsi="宋体" w:eastAsia="宋体" w:cs="宋体"/>
          <w:color w:val="auto"/>
          <w:spacing w:val="-3"/>
          <w:sz w:val="21"/>
          <w:szCs w:val="21"/>
          <w:highlight w:val="none"/>
        </w:rPr>
        <w:t>。提</w:t>
      </w:r>
      <w:r>
        <w:rPr>
          <w:rFonts w:hint="eastAsia" w:ascii="宋体" w:hAnsi="宋体" w:eastAsia="宋体" w:cs="宋体"/>
          <w:color w:val="auto"/>
          <w:spacing w:val="-3"/>
          <w:sz w:val="21"/>
          <w:szCs w:val="21"/>
          <w:highlight w:val="none"/>
          <w:lang w:eastAsia="zh-CN"/>
        </w:rPr>
        <w:t>问</w:t>
      </w:r>
      <w:r>
        <w:rPr>
          <w:rFonts w:hint="eastAsia" w:ascii="宋体" w:hAnsi="宋体" w:eastAsia="宋体" w:cs="宋体"/>
          <w:color w:val="auto"/>
          <w:spacing w:val="-3"/>
          <w:sz w:val="21"/>
          <w:szCs w:val="21"/>
          <w:highlight w:val="none"/>
        </w:rPr>
        <w:t>一律不得署名</w:t>
      </w:r>
      <w:r>
        <w:rPr>
          <w:rFonts w:hint="eastAsia" w:ascii="宋体" w:hAnsi="宋体" w:eastAsia="宋体" w:cs="宋体"/>
          <w:color w:val="auto"/>
          <w:spacing w:val="-3"/>
          <w:sz w:val="21"/>
          <w:szCs w:val="21"/>
          <w:highlight w:val="none"/>
          <w:lang w:eastAsia="zh-CN"/>
        </w:rPr>
        <w:t>。</w:t>
      </w:r>
    </w:p>
    <w:p w14:paraId="01B186D6">
      <w:pPr>
        <w:pStyle w:val="11"/>
        <w:pageBreakBefore w:val="0"/>
        <w:kinsoku w:val="0"/>
        <w:wordWrap/>
        <w:overflowPunct w:val="0"/>
        <w:topLinePunct w:val="0"/>
        <w:autoSpaceDE w:val="0"/>
        <w:autoSpaceDN w:val="0"/>
        <w:bidi w:val="0"/>
        <w:adjustRightInd/>
        <w:snapToGrid/>
        <w:spacing w:beforeLines="0" w:after="0" w:afterLines="0" w:line="360" w:lineRule="auto"/>
        <w:ind w:left="0" w:leftChars="0" w:firstLine="408" w:firstLineChars="200"/>
        <w:jc w:val="both"/>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sz w:val="21"/>
          <w:szCs w:val="21"/>
          <w:highlight w:val="none"/>
        </w:rPr>
        <w:t>2.2.</w:t>
      </w: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rPr>
        <w:t xml:space="preserve"> 招标答疑会会议纪要将在提交投标文件截止时间15日前在</w:t>
      </w:r>
      <w:r>
        <w:rPr>
          <w:rFonts w:hint="eastAsia" w:ascii="宋体" w:hAnsi="宋体" w:eastAsia="宋体" w:cs="宋体"/>
          <w:color w:val="auto"/>
          <w:spacing w:val="-3"/>
          <w:sz w:val="21"/>
          <w:szCs w:val="21"/>
          <w:highlight w:val="none"/>
          <w:lang w:eastAsia="zh-CN"/>
        </w:rPr>
        <w:t>广州交易集团有限公司（广州公共资源交易中心）网站</w:t>
      </w:r>
      <w:r>
        <w:rPr>
          <w:rFonts w:hint="eastAsia" w:ascii="宋体" w:hAnsi="宋体" w:eastAsia="宋体" w:cs="宋体"/>
          <w:color w:val="auto"/>
          <w:spacing w:val="-3"/>
          <w:sz w:val="21"/>
          <w:szCs w:val="21"/>
          <w:highlight w:val="none"/>
        </w:rPr>
        <w:t>“项目答疑纪要”专区公开发布。答疑纪要一经在</w:t>
      </w:r>
      <w:r>
        <w:rPr>
          <w:rFonts w:hint="eastAsia" w:ascii="宋体" w:hAnsi="宋体" w:eastAsia="宋体" w:cs="宋体"/>
          <w:color w:val="auto"/>
          <w:spacing w:val="-3"/>
          <w:sz w:val="21"/>
          <w:szCs w:val="21"/>
          <w:highlight w:val="none"/>
          <w:lang w:eastAsia="zh-CN"/>
        </w:rPr>
        <w:t>广州交易集团有限公司（广</w:t>
      </w:r>
      <w:r>
        <w:rPr>
          <w:rFonts w:hint="eastAsia" w:ascii="宋体" w:hAnsi="宋体" w:eastAsia="宋体" w:cs="宋体"/>
          <w:color w:val="auto"/>
          <w:spacing w:val="-3"/>
          <w:sz w:val="21"/>
          <w:szCs w:val="21"/>
          <w:highlight w:val="none"/>
          <w:u w:val="single"/>
          <w:lang w:eastAsia="zh-CN"/>
        </w:rPr>
        <w:t>州公共资源交易中心）</w:t>
      </w:r>
      <w:r>
        <w:rPr>
          <w:rFonts w:hint="eastAsia" w:ascii="宋体" w:hAnsi="宋体" w:eastAsia="宋体" w:cs="宋体"/>
          <w:color w:val="auto"/>
          <w:spacing w:val="-3"/>
          <w:sz w:val="21"/>
          <w:szCs w:val="21"/>
          <w:highlight w:val="none"/>
          <w:lang w:eastAsia="zh-CN"/>
        </w:rPr>
        <w:t>网站</w:t>
      </w:r>
      <w:r>
        <w:rPr>
          <w:rFonts w:hint="eastAsia" w:ascii="宋体" w:hAnsi="宋体" w:eastAsia="宋体" w:cs="宋体"/>
          <w:color w:val="auto"/>
          <w:spacing w:val="-3"/>
          <w:sz w:val="21"/>
          <w:szCs w:val="21"/>
          <w:highlight w:val="none"/>
        </w:rPr>
        <w:t>发布，视作已发放给所有投标人</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rPr>
        <w:t>澄清</w:t>
      </w:r>
      <w:r>
        <w:rPr>
          <w:rFonts w:hint="eastAsia" w:ascii="宋体" w:hAnsi="宋体" w:eastAsia="宋体" w:cs="宋体"/>
          <w:color w:val="auto"/>
          <w:spacing w:val="-3"/>
        </w:rPr>
        <w:t>发</w:t>
      </w:r>
      <w:r>
        <w:rPr>
          <w:rFonts w:hint="eastAsia" w:ascii="宋体" w:hAnsi="宋体" w:eastAsia="宋体" w:cs="宋体"/>
          <w:color w:val="auto"/>
        </w:rPr>
        <w:t>出</w:t>
      </w:r>
      <w:r>
        <w:rPr>
          <w:rFonts w:hint="eastAsia" w:ascii="宋体" w:hAnsi="宋体" w:eastAsia="宋体" w:cs="宋体"/>
          <w:color w:val="auto"/>
          <w:spacing w:val="-3"/>
        </w:rPr>
        <w:t>的</w:t>
      </w:r>
      <w:r>
        <w:rPr>
          <w:rFonts w:hint="eastAsia" w:ascii="宋体" w:hAnsi="宋体" w:eastAsia="宋体" w:cs="宋体"/>
          <w:color w:val="auto"/>
        </w:rPr>
        <w:t>时</w:t>
      </w:r>
      <w:r>
        <w:rPr>
          <w:rFonts w:hint="eastAsia" w:ascii="宋体" w:hAnsi="宋体" w:eastAsia="宋体" w:cs="宋体"/>
          <w:color w:val="auto"/>
          <w:spacing w:val="-3"/>
        </w:rPr>
        <w:t>间</w:t>
      </w:r>
      <w:r>
        <w:rPr>
          <w:rFonts w:hint="eastAsia" w:ascii="宋体" w:hAnsi="宋体" w:eastAsia="宋体" w:cs="宋体"/>
          <w:color w:val="auto"/>
        </w:rPr>
        <w:t>距</w:t>
      </w:r>
      <w:r>
        <w:rPr>
          <w:rFonts w:hint="eastAsia" w:ascii="宋体" w:hAnsi="宋体" w:eastAsia="宋体" w:cs="宋体"/>
          <w:color w:val="auto"/>
          <w:spacing w:val="-3"/>
        </w:rPr>
        <w:t>本</w:t>
      </w:r>
      <w:r>
        <w:rPr>
          <w:rFonts w:hint="eastAsia" w:ascii="宋体" w:hAnsi="宋体" w:eastAsia="宋体" w:cs="宋体"/>
          <w:color w:val="auto"/>
        </w:rPr>
        <w:t>章第</w:t>
      </w:r>
      <w:r>
        <w:rPr>
          <w:rFonts w:hint="eastAsia" w:ascii="宋体" w:hAnsi="宋体" w:eastAsia="宋体" w:cs="宋体"/>
          <w:color w:val="auto"/>
          <w:spacing w:val="-48"/>
        </w:rPr>
        <w:t xml:space="preserve"> </w:t>
      </w:r>
      <w:r>
        <w:rPr>
          <w:rFonts w:hint="eastAsia" w:ascii="宋体" w:hAnsi="宋体" w:eastAsia="宋体" w:cs="宋体"/>
          <w:color w:val="auto"/>
        </w:rPr>
        <w:t>4.2.1</w:t>
      </w:r>
      <w:r>
        <w:rPr>
          <w:rFonts w:hint="eastAsia" w:ascii="宋体" w:hAnsi="宋体" w:eastAsia="宋体" w:cs="宋体"/>
          <w:color w:val="auto"/>
          <w:spacing w:val="-3"/>
        </w:rPr>
        <w:t>项</w:t>
      </w:r>
      <w:r>
        <w:rPr>
          <w:rFonts w:hint="eastAsia" w:ascii="宋体" w:hAnsi="宋体" w:eastAsia="宋体" w:cs="宋体"/>
          <w:color w:val="auto"/>
        </w:rPr>
        <w:t>规</w:t>
      </w:r>
      <w:r>
        <w:rPr>
          <w:rFonts w:hint="eastAsia" w:ascii="宋体" w:hAnsi="宋体" w:eastAsia="宋体" w:cs="宋体"/>
          <w:color w:val="auto"/>
          <w:spacing w:val="-3"/>
        </w:rPr>
        <w:t>定</w:t>
      </w:r>
      <w:r>
        <w:rPr>
          <w:rFonts w:hint="eastAsia" w:ascii="宋体" w:hAnsi="宋体" w:eastAsia="宋体" w:cs="宋体"/>
          <w:color w:val="auto"/>
        </w:rPr>
        <w:t>的</w:t>
      </w:r>
      <w:r>
        <w:rPr>
          <w:rFonts w:hint="eastAsia" w:ascii="宋体" w:hAnsi="宋体" w:eastAsia="宋体" w:cs="宋体"/>
          <w:color w:val="auto"/>
          <w:spacing w:val="-3"/>
        </w:rPr>
        <w:t>投</w:t>
      </w:r>
      <w:r>
        <w:rPr>
          <w:rFonts w:hint="eastAsia" w:ascii="宋体" w:hAnsi="宋体" w:eastAsia="宋体" w:cs="宋体"/>
          <w:color w:val="auto"/>
        </w:rPr>
        <w:t>标</w:t>
      </w:r>
      <w:r>
        <w:rPr>
          <w:rFonts w:hint="eastAsia" w:ascii="宋体" w:hAnsi="宋体" w:eastAsia="宋体" w:cs="宋体"/>
          <w:color w:val="auto"/>
          <w:spacing w:val="-3"/>
        </w:rPr>
        <w:t>截</w:t>
      </w:r>
      <w:r>
        <w:rPr>
          <w:rFonts w:hint="eastAsia" w:ascii="宋体" w:hAnsi="宋体" w:eastAsia="宋体" w:cs="宋体"/>
          <w:color w:val="auto"/>
        </w:rPr>
        <w:t>止</w:t>
      </w:r>
      <w:r>
        <w:rPr>
          <w:rFonts w:hint="eastAsia" w:ascii="宋体" w:hAnsi="宋体" w:eastAsia="宋体" w:cs="宋体"/>
          <w:color w:val="auto"/>
          <w:spacing w:val="-3"/>
        </w:rPr>
        <w:t>时</w:t>
      </w:r>
      <w:r>
        <w:rPr>
          <w:rFonts w:hint="eastAsia" w:ascii="宋体" w:hAnsi="宋体" w:eastAsia="宋体" w:cs="宋体"/>
          <w:color w:val="auto"/>
        </w:rPr>
        <w:t>间不足</w:t>
      </w:r>
      <w:r>
        <w:rPr>
          <w:rFonts w:hint="eastAsia" w:ascii="宋体" w:hAnsi="宋体" w:eastAsia="宋体" w:cs="宋体"/>
          <w:color w:val="auto"/>
          <w:spacing w:val="-48"/>
        </w:rPr>
        <w:t xml:space="preserve"> </w:t>
      </w:r>
      <w:r>
        <w:rPr>
          <w:rFonts w:hint="eastAsia" w:ascii="宋体" w:hAnsi="宋体" w:eastAsia="宋体" w:cs="宋体"/>
          <w:color w:val="auto"/>
        </w:rPr>
        <w:t>15</w:t>
      </w:r>
      <w:r>
        <w:rPr>
          <w:rFonts w:hint="eastAsia" w:ascii="宋体" w:hAnsi="宋体" w:eastAsia="宋体" w:cs="宋体"/>
          <w:color w:val="auto"/>
          <w:spacing w:val="-3"/>
        </w:rPr>
        <w:t xml:space="preserve">日的， </w:t>
      </w:r>
      <w:r>
        <w:rPr>
          <w:rFonts w:hint="eastAsia" w:ascii="宋体" w:hAnsi="宋体" w:eastAsia="宋体" w:cs="宋体"/>
          <w:color w:val="auto"/>
        </w:rPr>
        <w:t>并且</w:t>
      </w:r>
      <w:r>
        <w:rPr>
          <w:rFonts w:hint="eastAsia" w:ascii="宋体" w:hAnsi="宋体" w:eastAsia="宋体" w:cs="宋体"/>
          <w:color w:val="auto"/>
          <w:spacing w:val="-3"/>
        </w:rPr>
        <w:t>澄</w:t>
      </w:r>
      <w:r>
        <w:rPr>
          <w:rFonts w:hint="eastAsia" w:ascii="宋体" w:hAnsi="宋体" w:eastAsia="宋体" w:cs="宋体"/>
          <w:color w:val="auto"/>
        </w:rPr>
        <w:t>清</w:t>
      </w:r>
      <w:r>
        <w:rPr>
          <w:rFonts w:hint="eastAsia" w:ascii="宋体" w:hAnsi="宋体" w:eastAsia="宋体" w:cs="宋体"/>
          <w:color w:val="auto"/>
          <w:spacing w:val="-3"/>
        </w:rPr>
        <w:t>内</w:t>
      </w:r>
      <w:r>
        <w:rPr>
          <w:rFonts w:hint="eastAsia" w:ascii="宋体" w:hAnsi="宋体" w:eastAsia="宋体" w:cs="宋体"/>
          <w:color w:val="auto"/>
        </w:rPr>
        <w:t>容</w:t>
      </w:r>
      <w:r>
        <w:rPr>
          <w:rFonts w:hint="eastAsia" w:ascii="宋体" w:hAnsi="宋体" w:eastAsia="宋体" w:cs="宋体"/>
          <w:color w:val="auto"/>
          <w:spacing w:val="-3"/>
        </w:rPr>
        <w:t>可</w:t>
      </w:r>
      <w:r>
        <w:rPr>
          <w:rFonts w:hint="eastAsia" w:ascii="宋体" w:hAnsi="宋体" w:eastAsia="宋体" w:cs="宋体"/>
          <w:color w:val="auto"/>
        </w:rPr>
        <w:t>能</w:t>
      </w:r>
      <w:r>
        <w:rPr>
          <w:rFonts w:hint="eastAsia" w:ascii="宋体" w:hAnsi="宋体" w:eastAsia="宋体" w:cs="宋体"/>
          <w:color w:val="auto"/>
          <w:spacing w:val="-3"/>
        </w:rPr>
        <w:t>影</w:t>
      </w:r>
      <w:r>
        <w:rPr>
          <w:rFonts w:hint="eastAsia" w:ascii="宋体" w:hAnsi="宋体" w:eastAsia="宋体" w:cs="宋体"/>
          <w:color w:val="auto"/>
        </w:rPr>
        <w:t>响</w:t>
      </w:r>
      <w:r>
        <w:rPr>
          <w:rFonts w:hint="eastAsia" w:ascii="宋体" w:hAnsi="宋体" w:eastAsia="宋体" w:cs="宋体"/>
          <w:color w:val="auto"/>
          <w:spacing w:val="-3"/>
        </w:rPr>
        <w:t>投</w:t>
      </w:r>
      <w:r>
        <w:rPr>
          <w:rFonts w:hint="eastAsia" w:ascii="宋体" w:hAnsi="宋体" w:eastAsia="宋体" w:cs="宋体"/>
          <w:color w:val="auto"/>
        </w:rPr>
        <w:t>标文</w:t>
      </w:r>
      <w:r>
        <w:rPr>
          <w:rFonts w:hint="eastAsia" w:ascii="宋体" w:hAnsi="宋体" w:eastAsia="宋体" w:cs="宋体"/>
          <w:color w:val="auto"/>
          <w:spacing w:val="-3"/>
        </w:rPr>
        <w:t>件</w:t>
      </w:r>
      <w:r>
        <w:rPr>
          <w:rFonts w:hint="eastAsia" w:ascii="宋体" w:hAnsi="宋体" w:eastAsia="宋体" w:cs="宋体"/>
          <w:color w:val="auto"/>
        </w:rPr>
        <w:t>编</w:t>
      </w:r>
      <w:r>
        <w:rPr>
          <w:rFonts w:hint="eastAsia" w:ascii="宋体" w:hAnsi="宋体" w:eastAsia="宋体" w:cs="宋体"/>
          <w:color w:val="auto"/>
          <w:spacing w:val="-3"/>
        </w:rPr>
        <w:t>制</w:t>
      </w:r>
      <w:r>
        <w:rPr>
          <w:rFonts w:hint="eastAsia" w:ascii="宋体" w:hAnsi="宋体" w:eastAsia="宋体" w:cs="宋体"/>
          <w:color w:val="auto"/>
        </w:rPr>
        <w:t>的</w:t>
      </w:r>
      <w:r>
        <w:rPr>
          <w:rFonts w:hint="eastAsia" w:ascii="宋体" w:hAnsi="宋体" w:eastAsia="宋体" w:cs="宋体"/>
          <w:color w:val="auto"/>
          <w:spacing w:val="-3"/>
        </w:rPr>
        <w:t>，</w:t>
      </w:r>
      <w:r>
        <w:rPr>
          <w:rFonts w:hint="eastAsia" w:ascii="宋体" w:hAnsi="宋体" w:eastAsia="宋体" w:cs="宋体"/>
          <w:color w:val="auto"/>
        </w:rPr>
        <w:t>将</w:t>
      </w:r>
      <w:r>
        <w:rPr>
          <w:rFonts w:hint="eastAsia" w:ascii="宋体" w:hAnsi="宋体" w:eastAsia="宋体" w:cs="宋体"/>
          <w:color w:val="auto"/>
          <w:spacing w:val="-3"/>
        </w:rPr>
        <w:t>相</w:t>
      </w:r>
      <w:r>
        <w:rPr>
          <w:rFonts w:hint="eastAsia" w:ascii="宋体" w:hAnsi="宋体" w:eastAsia="宋体" w:cs="宋体"/>
          <w:color w:val="auto"/>
          <w:spacing w:val="-3"/>
          <w:kern w:val="2"/>
          <w:sz w:val="21"/>
          <w:szCs w:val="21"/>
          <w:highlight w:val="none"/>
          <w:lang w:val="en-US" w:eastAsia="zh-CN" w:bidi="ar-SA"/>
        </w:rPr>
        <w:t>应延长投标截止时间。</w:t>
      </w:r>
    </w:p>
    <w:p w14:paraId="43D0E1EE">
      <w:pPr>
        <w:spacing w:before="0" w:beforeLines="0" w:afterLines="0" w:line="351" w:lineRule="auto"/>
        <w:ind w:left="0" w:right="0" w:firstLine="412"/>
        <w:jc w:val="both"/>
        <w:rPr>
          <w:rFonts w:hint="default"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2.2.4 招标答疑会会议纪要是招标文件的组成部分，对投标人起约束作用。若招标答疑会会议纪要与招标文件有矛盾时，以广州交易集团有限公司（广州公共资源交易中心）网站最后发布的答疑纪要为准。</w:t>
      </w:r>
    </w:p>
    <w:p w14:paraId="69FCF41A">
      <w:pPr>
        <w:spacing w:before="0" w:beforeLines="0" w:afterLines="0" w:line="351" w:lineRule="auto"/>
        <w:ind w:left="0" w:right="0" w:firstLine="412"/>
        <w:jc w:val="both"/>
        <w:rPr>
          <w:rFonts w:hint="eastAsia" w:ascii="宋体" w:hAnsi="宋体" w:eastAsia="宋体" w:cs="宋体"/>
          <w:b/>
          <w:bCs/>
          <w:color w:val="auto"/>
          <w:spacing w:val="-3"/>
          <w:kern w:val="2"/>
          <w:sz w:val="21"/>
          <w:szCs w:val="21"/>
          <w:highlight w:val="none"/>
          <w:lang w:val="en-US" w:eastAsia="zh-CN" w:bidi="ar-SA"/>
        </w:rPr>
      </w:pPr>
      <w:bookmarkStart w:id="339" w:name="_Toc19009"/>
      <w:r>
        <w:rPr>
          <w:rFonts w:hint="eastAsia" w:ascii="宋体" w:hAnsi="宋体" w:eastAsia="宋体" w:cs="宋体"/>
          <w:b/>
          <w:bCs/>
          <w:color w:val="auto"/>
          <w:spacing w:val="-3"/>
          <w:kern w:val="2"/>
          <w:sz w:val="21"/>
          <w:szCs w:val="21"/>
          <w:highlight w:val="none"/>
          <w:lang w:val="en-US" w:eastAsia="zh-CN" w:bidi="ar-SA"/>
        </w:rPr>
        <w:t>2.2.5 除非招标人认为确有必要答复，否则，招标人有权拒绝回复投标人在本章第 2.2.1 项规定的时间后的任何澄清要求。</w:t>
      </w:r>
      <w:bookmarkEnd w:id="339"/>
    </w:p>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14:paraId="599B864F">
      <w:pPr>
        <w:spacing w:beforeLines="0" w:afterLines="0"/>
      </w:pPr>
      <w:bookmarkStart w:id="340" w:name="_Toc6375"/>
      <w:bookmarkStart w:id="341" w:name="_Toc12034"/>
      <w:bookmarkStart w:id="342" w:name="_Toc12961"/>
      <w:bookmarkStart w:id="343" w:name="_Toc7628"/>
      <w:bookmarkStart w:id="344" w:name="_Toc17178"/>
      <w:bookmarkStart w:id="345" w:name="_Toc19220"/>
      <w:bookmarkStart w:id="346" w:name="_Toc11529"/>
      <w:bookmarkStart w:id="347" w:name="_Toc3799"/>
      <w:bookmarkStart w:id="348" w:name="_Toc16341"/>
      <w:bookmarkStart w:id="349" w:name="_Toc1787"/>
      <w:bookmarkStart w:id="350" w:name="_Toc492300580"/>
      <w:bookmarkStart w:id="351" w:name="_Toc28244"/>
      <w:bookmarkStart w:id="352" w:name="_Toc16508"/>
      <w:bookmarkStart w:id="353" w:name="_Toc7145"/>
      <w:bookmarkStart w:id="354" w:name="_Toc12456"/>
      <w:bookmarkStart w:id="355" w:name="_Toc352691479"/>
    </w:p>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14:paraId="4D13746D">
      <w:pPr>
        <w:pStyle w:val="4"/>
        <w:bidi w:val="0"/>
        <w:spacing w:beforeLines="0" w:afterLines="0"/>
        <w:rPr>
          <w:rFonts w:hint="eastAsia"/>
          <w:lang w:val="en-US" w:eastAsia="zh-CN"/>
        </w:rPr>
      </w:pPr>
      <w:bookmarkStart w:id="356" w:name="_Toc22892"/>
      <w:bookmarkStart w:id="357" w:name="_Toc9473"/>
      <w:bookmarkStart w:id="358" w:name="_Toc31245"/>
      <w:bookmarkStart w:id="359" w:name="_Toc10583"/>
      <w:bookmarkStart w:id="360" w:name="_Toc417"/>
      <w:bookmarkStart w:id="361" w:name="_Toc7665"/>
      <w:bookmarkStart w:id="362" w:name="_Toc18998"/>
      <w:bookmarkStart w:id="363" w:name="_Toc29243"/>
      <w:bookmarkStart w:id="364" w:name="_Toc8793"/>
      <w:bookmarkStart w:id="365" w:name="_Toc27467"/>
      <w:bookmarkStart w:id="366" w:name="_Toc8359"/>
      <w:bookmarkStart w:id="367" w:name="_Toc24578"/>
      <w:bookmarkStart w:id="368" w:name="_Toc12514"/>
      <w:bookmarkStart w:id="369" w:name="_Toc11693"/>
      <w:bookmarkStart w:id="370" w:name="_Toc31509"/>
      <w:bookmarkStart w:id="371" w:name="_Toc27522"/>
      <w:bookmarkStart w:id="372" w:name="_Toc492300582"/>
      <w:bookmarkStart w:id="373" w:name="_Toc27869"/>
      <w:bookmarkStart w:id="374" w:name="_Toc399"/>
      <w:bookmarkStart w:id="375" w:name="_Toc8405"/>
      <w:r>
        <w:rPr>
          <w:rFonts w:hint="default"/>
          <w:lang w:val="en-US" w:eastAsia="zh-CN"/>
        </w:rPr>
        <w:t xml:space="preserve">2.3 </w:t>
      </w:r>
      <w:r>
        <w:rPr>
          <w:rFonts w:hint="eastAsia"/>
          <w:lang w:val="en-US" w:eastAsia="zh-CN"/>
        </w:rPr>
        <w:t>招标文件的</w:t>
      </w:r>
      <w:bookmarkEnd w:id="356"/>
      <w:bookmarkEnd w:id="357"/>
      <w:bookmarkEnd w:id="358"/>
      <w:bookmarkEnd w:id="359"/>
      <w:r>
        <w:rPr>
          <w:rFonts w:hint="eastAsia"/>
          <w:lang w:val="en-US" w:eastAsia="zh-CN"/>
        </w:rPr>
        <w:t>澄清与修改</w:t>
      </w:r>
      <w:bookmarkEnd w:id="360"/>
    </w:p>
    <w:p w14:paraId="2D9EF71A">
      <w:pPr>
        <w:spacing w:before="0" w:beforeLines="0" w:afterLines="0" w:line="351" w:lineRule="auto"/>
        <w:ind w:left="0" w:right="0" w:firstLine="412"/>
        <w:jc w:val="both"/>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2.3.1 招标文件发出后，在提交投标文件截止时间15日前，招标人可对招标文件进行必要的澄清或修改。</w:t>
      </w:r>
    </w:p>
    <w:p w14:paraId="15E3C3E6">
      <w:pPr>
        <w:spacing w:before="0" w:beforeLines="0" w:afterLines="0" w:line="351" w:lineRule="auto"/>
        <w:ind w:left="0" w:right="0" w:firstLine="412"/>
        <w:jc w:val="both"/>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2.3.2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14:paraId="5DC5288C">
      <w:pPr>
        <w:spacing w:before="0" w:beforeLines="0" w:afterLines="0" w:line="351" w:lineRule="auto"/>
        <w:ind w:left="0" w:right="0" w:firstLine="412"/>
        <w:jc w:val="both"/>
        <w:rPr>
          <w:rFonts w:hint="default"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2.3.3 招标文件的澄清或修改是招标文件的组成部分，对投标人起约束作用。</w:t>
      </w:r>
    </w:p>
    <w:p w14:paraId="14398856">
      <w:pPr>
        <w:spacing w:before="0" w:beforeLines="0" w:afterLines="0" w:line="351" w:lineRule="auto"/>
        <w:ind w:left="0" w:right="0" w:firstLine="412"/>
        <w:jc w:val="both"/>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2.3.4 招标文件的澄清或修改均以广州交易集团有限公司（广州公共资源交易中心）网站发布的内容为准。当招标文件的澄清、修改、补充等在同一内容的表述不一致时，以广州交易集团有限公司（广州公共资源交易中心）网站最后发布的内容为准。</w:t>
      </w:r>
    </w:p>
    <w:p w14:paraId="24D84F4B">
      <w:pPr>
        <w:spacing w:before="0" w:beforeLines="0" w:afterLines="0" w:line="351" w:lineRule="auto"/>
        <w:ind w:left="0" w:right="0" w:firstLine="412"/>
        <w:jc w:val="both"/>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AF703E1">
      <w:pPr>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sz w:val="17"/>
        </w:rPr>
      </w:pPr>
    </w:p>
    <w:p w14:paraId="4048877A">
      <w:pPr>
        <w:pStyle w:val="4"/>
        <w:bidi w:val="0"/>
        <w:spacing w:beforeLines="0" w:afterLines="0"/>
        <w:rPr>
          <w:rFonts w:hint="eastAsia"/>
          <w:lang w:val="en-US" w:eastAsia="zh-CN"/>
        </w:rPr>
      </w:pPr>
      <w:bookmarkStart w:id="376" w:name="bookmark39"/>
      <w:bookmarkEnd w:id="376"/>
      <w:bookmarkStart w:id="377" w:name="_Toc7522"/>
      <w:bookmarkStart w:id="378" w:name="_Toc24265"/>
      <w:bookmarkStart w:id="379" w:name="_Toc19073"/>
      <w:bookmarkStart w:id="380" w:name="_Toc3881"/>
      <w:bookmarkStart w:id="381" w:name="_Toc21331"/>
      <w:bookmarkStart w:id="382" w:name="_Toc4803"/>
      <w:r>
        <w:rPr>
          <w:rFonts w:hint="default"/>
          <w:lang w:val="en-US" w:eastAsia="zh-CN"/>
        </w:rPr>
        <w:t xml:space="preserve">2.4 </w:t>
      </w:r>
      <w:r>
        <w:rPr>
          <w:rFonts w:hint="eastAsia"/>
          <w:lang w:val="en-US" w:eastAsia="zh-CN"/>
        </w:rPr>
        <w:t>招标文件的异议</w:t>
      </w:r>
      <w:bookmarkEnd w:id="377"/>
      <w:bookmarkEnd w:id="378"/>
      <w:bookmarkEnd w:id="379"/>
      <w:bookmarkEnd w:id="380"/>
      <w:bookmarkEnd w:id="381"/>
      <w:bookmarkEnd w:id="382"/>
    </w:p>
    <w:p w14:paraId="33C7A6AD">
      <w:pPr>
        <w:spacing w:before="0" w:beforeLines="0" w:afterLines="0" w:line="351" w:lineRule="auto"/>
        <w:ind w:left="0" w:right="0" w:firstLine="412"/>
        <w:jc w:val="both"/>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投标人或者其他利害关系人对招标文件有异议的，应当在投标截止时间 10 日前以书面形式提出。招标人将在收到异议之日起 3 日内作出答复；作出答复前，将暂停招标投标活动。</w:t>
      </w:r>
    </w:p>
    <w:p w14:paraId="566569FA">
      <w:pPr>
        <w:pStyle w:val="3"/>
        <w:bidi w:val="0"/>
        <w:spacing w:before="0" w:beforeLines="0" w:after="0" w:afterLines="0"/>
        <w:rPr>
          <w:rFonts w:hint="eastAsia" w:ascii="宋体" w:hAnsi="宋体" w:eastAsia="宋体" w:cs="宋体"/>
          <w:b/>
          <w:bCs w:val="0"/>
        </w:rPr>
      </w:pPr>
      <w:bookmarkStart w:id="383" w:name="_Toc20584"/>
      <w:bookmarkStart w:id="384" w:name="_Toc21943"/>
      <w:r>
        <w:rPr>
          <w:rFonts w:hint="eastAsia" w:ascii="宋体" w:hAnsi="宋体" w:eastAsia="宋体" w:cs="宋体"/>
          <w:b/>
          <w:bCs w:val="0"/>
        </w:rPr>
        <w:t>3. 投标文件</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83"/>
      <w:bookmarkEnd w:id="384"/>
    </w:p>
    <w:p w14:paraId="7DD5F461">
      <w:pPr>
        <w:pStyle w:val="4"/>
        <w:bidi w:val="0"/>
        <w:spacing w:beforeLines="0" w:afterLines="0"/>
      </w:pPr>
      <w:bookmarkStart w:id="385" w:name="_Toc14035"/>
      <w:bookmarkStart w:id="386" w:name="_Toc16439"/>
      <w:bookmarkStart w:id="387" w:name="_Toc31064"/>
      <w:bookmarkStart w:id="388" w:name="_Toc8509"/>
      <w:bookmarkStart w:id="389" w:name="_Toc16937"/>
      <w:bookmarkStart w:id="390" w:name="_Toc18023"/>
      <w:bookmarkStart w:id="391" w:name="_Toc8333"/>
      <w:bookmarkStart w:id="392" w:name="_Toc492300583"/>
      <w:bookmarkStart w:id="393" w:name="_Toc15644"/>
      <w:bookmarkStart w:id="394" w:name="_Toc5605"/>
      <w:bookmarkStart w:id="395" w:name="_Toc4118"/>
      <w:bookmarkStart w:id="396" w:name="_Toc15320"/>
      <w:bookmarkStart w:id="397" w:name="_Toc25712"/>
      <w:bookmarkStart w:id="398" w:name="_Toc806"/>
      <w:bookmarkStart w:id="399" w:name="_Toc26287"/>
      <w:bookmarkStart w:id="400" w:name="_Toc26484"/>
      <w:r>
        <w:t xml:space="preserve">3.1 </w:t>
      </w:r>
      <w:r>
        <w:rPr>
          <w:rFonts w:hint="eastAsia"/>
        </w:rPr>
        <w:t>投标文件的组成</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2E6A5A22">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3.1.1 </w:t>
      </w:r>
      <w:r>
        <w:rPr>
          <w:rFonts w:hint="eastAsia" w:ascii="宋体" w:hAnsi="宋体" w:cs="宋体"/>
          <w:sz w:val="21"/>
          <w:szCs w:val="21"/>
        </w:rPr>
        <w:t>投标文件应包括下列内容：</w:t>
      </w:r>
    </w:p>
    <w:p w14:paraId="75028C14">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（1）投标函及投标函附录；</w:t>
      </w:r>
    </w:p>
    <w:p w14:paraId="4523B249">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（2）法定代表人身份证明</w:t>
      </w:r>
      <w:r>
        <w:rPr>
          <w:rFonts w:hint="eastAsia" w:ascii="宋体" w:hAnsi="宋体" w:cs="宋体"/>
          <w:sz w:val="21"/>
          <w:szCs w:val="21"/>
          <w:lang w:val="en-US" w:eastAsia="zh-CN"/>
        </w:rPr>
        <w:t>书</w:t>
      </w:r>
      <w:r>
        <w:rPr>
          <w:rFonts w:hint="eastAsia" w:ascii="宋体" w:hAnsi="宋体" w:cs="宋体"/>
          <w:sz w:val="21"/>
          <w:szCs w:val="21"/>
        </w:rPr>
        <w:t>或授权委托书；</w:t>
      </w:r>
    </w:p>
    <w:p w14:paraId="0EEA0E3B">
      <w:pPr>
        <w:spacing w:beforeLines="0" w:afterLines="0" w:line="360" w:lineRule="auto"/>
        <w:ind w:firstLine="420" w:firstLineChars="200"/>
        <w:rPr>
          <w:rFonts w:hint="eastAsia" w:ascii="宋体" w:hAnsi="宋体" w:cs="宋体"/>
          <w:sz w:val="21"/>
          <w:szCs w:val="21"/>
          <w:lang w:eastAsia="zh-CN"/>
        </w:rPr>
      </w:pPr>
      <w:r>
        <w:rPr>
          <w:rFonts w:hint="eastAsia" w:ascii="宋体" w:hAnsi="宋体" w:cs="宋体"/>
          <w:sz w:val="21"/>
          <w:szCs w:val="21"/>
        </w:rPr>
        <w:t>（3）</w:t>
      </w:r>
      <w:r>
        <w:rPr>
          <w:rFonts w:hint="eastAsia" w:ascii="宋体" w:hAnsi="宋体" w:cs="宋体"/>
          <w:sz w:val="21"/>
          <w:szCs w:val="21"/>
          <w:lang w:eastAsia="zh-CN"/>
        </w:rPr>
        <w:t>联合体协议书；</w:t>
      </w:r>
    </w:p>
    <w:p w14:paraId="0916D92C">
      <w:pPr>
        <w:spacing w:beforeLines="0" w:afterLines="0" w:line="360" w:lineRule="auto"/>
        <w:ind w:firstLine="420" w:firstLineChars="200"/>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rPr>
        <w:t>投标保证金</w:t>
      </w:r>
      <w:r>
        <w:rPr>
          <w:rFonts w:hint="eastAsia" w:ascii="宋体" w:hAnsi="宋体" w:cs="宋体"/>
          <w:sz w:val="21"/>
          <w:szCs w:val="21"/>
          <w:lang w:eastAsia="zh-CN"/>
        </w:rPr>
        <w:t>（如有）</w:t>
      </w:r>
      <w:r>
        <w:rPr>
          <w:rFonts w:hint="eastAsia" w:ascii="宋体" w:hAnsi="宋体" w:cs="宋体"/>
          <w:sz w:val="21"/>
          <w:szCs w:val="21"/>
        </w:rPr>
        <w:t>；</w:t>
      </w:r>
    </w:p>
    <w:p w14:paraId="407C21E8">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）监理报酬清单；</w:t>
      </w:r>
    </w:p>
    <w:p w14:paraId="46CEDA12">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）资格审查资料；</w:t>
      </w:r>
    </w:p>
    <w:p w14:paraId="4EC7C2DE">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）监理大纲；</w:t>
      </w:r>
    </w:p>
    <w:p w14:paraId="0C10E6D1">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）投标人须知前附表规定的其他资料。</w:t>
      </w:r>
    </w:p>
    <w:p w14:paraId="42940E6F">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投标人在评标过程中作出的符合法律法规和招标文件规定的澄清确认，构成投标文件的组成部分。</w:t>
      </w:r>
    </w:p>
    <w:p w14:paraId="1C270643">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3.1.2 </w:t>
      </w:r>
      <w:r>
        <w:rPr>
          <w:rFonts w:hint="eastAsia" w:ascii="宋体" w:hAnsi="宋体" w:cs="宋体"/>
          <w:sz w:val="21"/>
          <w:szCs w:val="21"/>
        </w:rPr>
        <w:t>投标人须知前附表规定不接受联合体投标的，或投标人没有组成联合体的，投标文件不包括本章第3.1.1（3）目所指的联合体协议书。</w:t>
      </w:r>
    </w:p>
    <w:p w14:paraId="5F235C6C">
      <w:pPr>
        <w:spacing w:beforeLines="0" w:afterLines="0" w:line="360" w:lineRule="auto"/>
        <w:ind w:firstLine="420" w:firstLineChars="200"/>
        <w:rPr>
          <w:rFonts w:hint="eastAsia" w:ascii="宋体" w:hAnsi="宋体" w:cs="宋体"/>
          <w:sz w:val="21"/>
          <w:szCs w:val="21"/>
        </w:rPr>
      </w:pPr>
      <w:r>
        <w:rPr>
          <w:rFonts w:ascii="宋体" w:hAnsi="宋体" w:cs="宋体"/>
          <w:sz w:val="21"/>
          <w:szCs w:val="21"/>
        </w:rPr>
        <w:t xml:space="preserve">3.1.3 </w:t>
      </w:r>
      <w:r>
        <w:rPr>
          <w:rFonts w:hint="eastAsia" w:ascii="宋体" w:hAnsi="宋体" w:cs="宋体"/>
          <w:sz w:val="21"/>
          <w:szCs w:val="21"/>
        </w:rPr>
        <w:t>投标人须知前附表未要求提交投标保证金的，投标文件不包括本章第3.1.1（4）目所指的投标保证金。</w:t>
      </w:r>
    </w:p>
    <w:p w14:paraId="444215D0">
      <w:pPr>
        <w:pStyle w:val="7"/>
        <w:spacing w:beforeLines="0" w:afterLines="0"/>
      </w:pPr>
    </w:p>
    <w:p w14:paraId="59EE7241">
      <w:pPr>
        <w:pStyle w:val="4"/>
        <w:bidi w:val="0"/>
        <w:spacing w:beforeLines="0" w:afterLines="0"/>
      </w:pPr>
      <w:bookmarkStart w:id="401" w:name="_Toc32515"/>
      <w:bookmarkStart w:id="402" w:name="_Toc7196"/>
      <w:bookmarkStart w:id="403" w:name="_Toc4291"/>
      <w:bookmarkStart w:id="404" w:name="_Toc6445"/>
      <w:bookmarkStart w:id="405" w:name="_Toc27272"/>
      <w:bookmarkStart w:id="406" w:name="_Toc2313"/>
      <w:bookmarkStart w:id="407" w:name="_Toc8965"/>
      <w:bookmarkStart w:id="408" w:name="_Toc13408"/>
      <w:bookmarkStart w:id="409" w:name="_Toc2472"/>
      <w:bookmarkStart w:id="410" w:name="_Toc4671"/>
      <w:bookmarkStart w:id="411" w:name="_Toc16730"/>
      <w:bookmarkStart w:id="412" w:name="_Toc4902"/>
      <w:bookmarkStart w:id="413" w:name="_Toc492300584"/>
      <w:bookmarkStart w:id="414" w:name="_Toc5106"/>
      <w:bookmarkStart w:id="415" w:name="_Toc17351"/>
      <w:bookmarkStart w:id="416" w:name="_Toc15851"/>
      <w:r>
        <w:t xml:space="preserve">3.2 </w:t>
      </w:r>
      <w:r>
        <w:rPr>
          <w:rFonts w:hint="eastAsia"/>
        </w:rPr>
        <w:t>投标报价</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7285EB29">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3.2.1投标报价应包括国家规定的增值税税金，除投标人须知前附表另有规定外，增值税税金按一般计税方法计算。投标人应按第六章“投标文件格式”的要求在投标函中进行报价并填写监理报酬清单。</w:t>
      </w:r>
    </w:p>
    <w:p w14:paraId="7FB9D9C1">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3.2.2 </w:t>
      </w:r>
      <w:r>
        <w:rPr>
          <w:rFonts w:hint="eastAsia" w:ascii="宋体" w:hAnsi="宋体" w:cs="宋体"/>
          <w:sz w:val="21"/>
          <w:szCs w:val="21"/>
        </w:rPr>
        <w:t>投标人应充分了解该项目的总体情况以及影响投标报价的其他要素。</w:t>
      </w:r>
    </w:p>
    <w:p w14:paraId="53FE1352">
      <w:pPr>
        <w:spacing w:beforeLines="0" w:afterLines="0" w:line="360" w:lineRule="auto"/>
        <w:ind w:firstLine="420" w:firstLineChars="200"/>
        <w:rPr>
          <w:rFonts w:ascii="宋体" w:hAnsi="宋体" w:cs="宋体"/>
          <w:sz w:val="21"/>
          <w:szCs w:val="21"/>
        </w:rPr>
      </w:pPr>
      <w:r>
        <w:rPr>
          <w:rFonts w:hint="eastAsia" w:ascii="宋体" w:hAnsi="宋体" w:cs="宋体"/>
          <w:sz w:val="21"/>
          <w:szCs w:val="21"/>
        </w:rPr>
        <w:t>3.2.3 本项目的报价方式见投标人须知前附表。投标人在投标截止时间前修改投标函中的投标报价总额，应同时修改投标文件“监理报酬清单”中的相应报价。此修改须符合本章第4.3款的有关要求。</w:t>
      </w:r>
    </w:p>
    <w:p w14:paraId="7AB5B942">
      <w:pPr>
        <w:spacing w:beforeLines="0" w:afterLines="0" w:line="360" w:lineRule="auto"/>
        <w:ind w:firstLine="420" w:firstLineChars="200"/>
        <w:rPr>
          <w:rFonts w:ascii="宋体" w:hAnsi="宋体" w:cs="宋体"/>
          <w:sz w:val="21"/>
          <w:szCs w:val="21"/>
        </w:rPr>
      </w:pPr>
      <w:r>
        <w:rPr>
          <w:rFonts w:ascii="宋体" w:hAnsi="宋体" w:cs="宋体"/>
          <w:sz w:val="21"/>
          <w:szCs w:val="21"/>
        </w:rPr>
        <w:t>3.2.4</w:t>
      </w:r>
      <w:r>
        <w:rPr>
          <w:rFonts w:hint="eastAsia" w:ascii="宋体" w:hAnsi="宋体" w:cs="宋体"/>
          <w:sz w:val="21"/>
          <w:szCs w:val="21"/>
        </w:rPr>
        <w:t>招标人设有最高投标限价的，投标人的投标报价不得超过最高投标限价，最高投标限价在投标</w:t>
      </w:r>
      <w:bookmarkStart w:id="417" w:name="_Toc384308225"/>
      <w:bookmarkStart w:id="418" w:name="_Toc300834965"/>
      <w:bookmarkStart w:id="419" w:name="_Toc152042320"/>
      <w:bookmarkStart w:id="420" w:name="_Toc247513968"/>
      <w:bookmarkStart w:id="421" w:name="_Toc369531531"/>
      <w:bookmarkStart w:id="422" w:name="_Toc361508600"/>
      <w:bookmarkStart w:id="423" w:name="_Toc247527569"/>
      <w:bookmarkStart w:id="424" w:name="_Toc352691488"/>
      <w:bookmarkStart w:id="425" w:name="_Toc152045544"/>
      <w:bookmarkStart w:id="426" w:name="_Toc10429"/>
      <w:bookmarkStart w:id="427" w:name="_Toc144974512"/>
      <w:r>
        <w:rPr>
          <w:rFonts w:hint="eastAsia" w:ascii="宋体" w:hAnsi="宋体" w:cs="宋体"/>
          <w:sz w:val="21"/>
          <w:szCs w:val="21"/>
        </w:rPr>
        <w:t>人须知前附表中载明。</w:t>
      </w:r>
      <w:bookmarkEnd w:id="417"/>
      <w:bookmarkEnd w:id="418"/>
      <w:bookmarkEnd w:id="419"/>
      <w:bookmarkEnd w:id="420"/>
      <w:bookmarkEnd w:id="421"/>
      <w:bookmarkEnd w:id="422"/>
      <w:bookmarkEnd w:id="423"/>
      <w:bookmarkEnd w:id="424"/>
      <w:bookmarkEnd w:id="425"/>
      <w:bookmarkEnd w:id="426"/>
      <w:bookmarkEnd w:id="427"/>
    </w:p>
    <w:p w14:paraId="0BAC5103">
      <w:pPr>
        <w:spacing w:beforeLines="0" w:afterLines="0" w:line="360" w:lineRule="auto"/>
        <w:ind w:firstLine="420" w:firstLineChars="200"/>
        <w:rPr>
          <w:rFonts w:hint="eastAsia" w:ascii="宋体" w:hAnsi="宋体" w:cs="宋体"/>
          <w:sz w:val="21"/>
          <w:szCs w:val="21"/>
        </w:rPr>
      </w:pPr>
      <w:r>
        <w:rPr>
          <w:rFonts w:ascii="宋体" w:hAnsi="宋体" w:cs="宋体"/>
          <w:sz w:val="21"/>
          <w:szCs w:val="21"/>
        </w:rPr>
        <w:t xml:space="preserve">3.2.5 </w:t>
      </w:r>
      <w:r>
        <w:rPr>
          <w:rFonts w:hint="eastAsia" w:ascii="宋体" w:hAnsi="宋体" w:cs="宋体"/>
          <w:sz w:val="21"/>
          <w:szCs w:val="21"/>
        </w:rPr>
        <w:t>投标报价的其他要求见投标人须知前附表。</w:t>
      </w:r>
    </w:p>
    <w:p w14:paraId="1DB85D63">
      <w:pPr>
        <w:pStyle w:val="7"/>
        <w:spacing w:beforeLines="0" w:afterLines="0"/>
      </w:pPr>
    </w:p>
    <w:p w14:paraId="38AFD197">
      <w:pPr>
        <w:pStyle w:val="4"/>
        <w:bidi w:val="0"/>
        <w:spacing w:beforeLines="0" w:afterLines="0"/>
      </w:pPr>
      <w:bookmarkStart w:id="428" w:name="_Toc4398"/>
      <w:bookmarkStart w:id="429" w:name="_Toc20883"/>
      <w:bookmarkStart w:id="430" w:name="_Toc12495"/>
      <w:bookmarkStart w:id="431" w:name="_Toc4335"/>
      <w:bookmarkStart w:id="432" w:name="_Toc28097"/>
      <w:bookmarkStart w:id="433" w:name="_Toc20912"/>
      <w:bookmarkStart w:id="434" w:name="_Toc492300585"/>
      <w:bookmarkStart w:id="435" w:name="_Toc17768"/>
      <w:bookmarkStart w:id="436" w:name="_Toc19059"/>
      <w:bookmarkStart w:id="437" w:name="_Toc21676"/>
      <w:bookmarkStart w:id="438" w:name="_Toc25774"/>
      <w:bookmarkStart w:id="439" w:name="_Toc2810"/>
      <w:bookmarkStart w:id="440" w:name="_Toc16866"/>
      <w:bookmarkStart w:id="441" w:name="_Toc20172"/>
      <w:bookmarkStart w:id="442" w:name="_Toc26775"/>
      <w:bookmarkStart w:id="443" w:name="_Toc10185"/>
      <w:r>
        <w:t xml:space="preserve">3.3 </w:t>
      </w:r>
      <w:r>
        <w:rPr>
          <w:rFonts w:hint="eastAsia"/>
        </w:rPr>
        <w:t>投标有效期</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3A62507E">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3.3.1 </w:t>
      </w:r>
      <w:r>
        <w:rPr>
          <w:rFonts w:hint="eastAsia" w:ascii="宋体" w:hAnsi="宋体" w:cs="宋体"/>
          <w:sz w:val="21"/>
          <w:szCs w:val="21"/>
        </w:rPr>
        <w:t>除投标人须知前附表另有规定外，投标有效期</w:t>
      </w:r>
      <w:r>
        <w:rPr>
          <w:rFonts w:hint="eastAsia" w:ascii="宋体" w:hAnsi="宋体" w:cs="宋体"/>
          <w:sz w:val="21"/>
          <w:szCs w:val="21"/>
          <w:lang w:eastAsia="zh-CN"/>
        </w:rPr>
        <w:t>不少于</w:t>
      </w:r>
      <w:r>
        <w:rPr>
          <w:rFonts w:hint="eastAsia" w:ascii="宋体" w:hAnsi="宋体" w:cs="宋体"/>
          <w:sz w:val="21"/>
          <w:szCs w:val="21"/>
        </w:rPr>
        <w:t>90天。</w:t>
      </w:r>
    </w:p>
    <w:p w14:paraId="5EACDFDA">
      <w:pPr>
        <w:spacing w:beforeLines="0" w:afterLines="0" w:line="360" w:lineRule="auto"/>
        <w:ind w:firstLine="420" w:firstLineChars="200"/>
        <w:rPr>
          <w:rFonts w:ascii="宋体" w:hAnsi="宋体" w:cs="宋体"/>
          <w:sz w:val="21"/>
          <w:szCs w:val="21"/>
        </w:rPr>
      </w:pPr>
      <w:r>
        <w:rPr>
          <w:rFonts w:ascii="宋体" w:hAnsi="宋体" w:cs="宋体"/>
          <w:sz w:val="21"/>
          <w:szCs w:val="21"/>
        </w:rPr>
        <w:t xml:space="preserve">3.3.2 </w:t>
      </w:r>
      <w:r>
        <w:rPr>
          <w:rFonts w:hint="eastAsia" w:ascii="宋体" w:hAnsi="宋体" w:cs="宋体"/>
          <w:sz w:val="21"/>
          <w:szCs w:val="21"/>
        </w:rPr>
        <w:t>在投标有效期内，投标人撤销投标文件的，应承担招标文件和法律规定的责任。</w:t>
      </w:r>
    </w:p>
    <w:p w14:paraId="6F5EB3D8">
      <w:pPr>
        <w:spacing w:beforeLines="0" w:afterLines="0" w:line="360" w:lineRule="auto"/>
        <w:ind w:firstLine="420" w:firstLineChars="200"/>
        <w:rPr>
          <w:rFonts w:hint="eastAsia" w:ascii="宋体" w:hAnsi="宋体" w:cs="宋体"/>
          <w:sz w:val="21"/>
          <w:szCs w:val="21"/>
        </w:rPr>
      </w:pPr>
      <w:r>
        <w:rPr>
          <w:rFonts w:ascii="宋体" w:hAnsi="宋体" w:cs="宋体"/>
          <w:sz w:val="21"/>
          <w:szCs w:val="21"/>
        </w:rPr>
        <w:t xml:space="preserve">3.3.3 </w:t>
      </w:r>
      <w:r>
        <w:rPr>
          <w:rFonts w:hint="eastAsia" w:ascii="宋体" w:hAnsi="宋体" w:cs="宋体"/>
          <w:sz w:val="21"/>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C72AAB8">
      <w:pPr>
        <w:pStyle w:val="7"/>
        <w:spacing w:beforeLines="0" w:afterLines="0"/>
      </w:pPr>
    </w:p>
    <w:p w14:paraId="67D879D7">
      <w:pPr>
        <w:pStyle w:val="4"/>
        <w:bidi w:val="0"/>
        <w:spacing w:beforeLines="0" w:afterLines="0"/>
      </w:pPr>
      <w:bookmarkStart w:id="444" w:name="_Toc22677"/>
      <w:bookmarkStart w:id="445" w:name="_Toc5522"/>
      <w:bookmarkStart w:id="446" w:name="_Toc21599"/>
      <w:bookmarkStart w:id="447" w:name="_Toc16740"/>
      <w:bookmarkStart w:id="448" w:name="_Toc18165"/>
      <w:bookmarkStart w:id="449" w:name="_Toc9274"/>
      <w:bookmarkStart w:id="450" w:name="_Toc26401"/>
      <w:bookmarkStart w:id="451" w:name="_Toc492300586"/>
      <w:bookmarkStart w:id="452" w:name="_Toc4747"/>
      <w:bookmarkStart w:id="453" w:name="_Toc4342"/>
      <w:bookmarkStart w:id="454" w:name="_Toc12714"/>
      <w:bookmarkStart w:id="455" w:name="_Toc29424"/>
      <w:bookmarkStart w:id="456" w:name="_Toc4569"/>
      <w:bookmarkStart w:id="457" w:name="_Toc204"/>
      <w:bookmarkStart w:id="458" w:name="_Toc29543"/>
      <w:bookmarkStart w:id="459" w:name="_Toc17498"/>
      <w:r>
        <w:t xml:space="preserve">3.4 </w:t>
      </w:r>
      <w:r>
        <w:rPr>
          <w:rFonts w:hint="eastAsia"/>
        </w:rPr>
        <w:t>投标保证金</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5D870F7E">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3.4.1 投标人应按投标人须知前附表规定的金额</w:t>
      </w:r>
      <w:r>
        <w:rPr>
          <w:rFonts w:hint="eastAsia" w:ascii="宋体" w:hAnsi="宋体" w:eastAsia="宋体" w:cs="宋体"/>
          <w:sz w:val="21"/>
          <w:szCs w:val="21"/>
          <w:lang w:eastAsia="zh-CN"/>
        </w:rPr>
        <w:t>和时间</w:t>
      </w:r>
      <w:r>
        <w:rPr>
          <w:rFonts w:hint="eastAsia" w:ascii="宋体" w:hAnsi="宋体" w:eastAsia="宋体" w:cs="宋体"/>
          <w:sz w:val="21"/>
          <w:szCs w:val="21"/>
        </w:rPr>
        <w:t>递交投标保证金。招标人应当允许投标人自主选择现金、银行保函、保证保险、专业工程担保公司担保等方式缴纳投标保证金。</w:t>
      </w:r>
      <w:r>
        <w:rPr>
          <w:rFonts w:hint="eastAsia" w:ascii="宋体" w:hAnsi="宋体" w:eastAsia="宋体" w:cs="宋体"/>
          <w:sz w:val="21"/>
          <w:szCs w:val="21"/>
          <w:lang w:eastAsia="zh-CN"/>
        </w:rPr>
        <w:t>采用现金或者支票形式提交的，投标保证金须从投标人的银行基本账户转出。</w:t>
      </w:r>
      <w:r>
        <w:rPr>
          <w:rFonts w:hint="eastAsia" w:ascii="宋体" w:hAnsi="宋体" w:eastAsia="宋体" w:cs="宋体"/>
          <w:sz w:val="21"/>
          <w:szCs w:val="21"/>
        </w:rPr>
        <w:t>联合体投标的，其投标</w:t>
      </w:r>
      <w:r>
        <w:rPr>
          <w:rFonts w:hint="eastAsia" w:ascii="宋体" w:hAnsi="宋体" w:eastAsia="宋体" w:cs="宋体"/>
          <w:sz w:val="21"/>
          <w:szCs w:val="21"/>
          <w:lang w:eastAsia="zh-CN"/>
        </w:rPr>
        <w:t>保证金</w:t>
      </w:r>
      <w:r>
        <w:rPr>
          <w:rFonts w:hint="eastAsia" w:ascii="宋体" w:hAnsi="宋体" w:eastAsia="宋体" w:cs="宋体"/>
          <w:sz w:val="21"/>
          <w:szCs w:val="21"/>
        </w:rPr>
        <w:t>可以由</w:t>
      </w:r>
      <w:r>
        <w:rPr>
          <w:rFonts w:hint="eastAsia" w:ascii="宋体" w:hAnsi="宋体" w:eastAsia="宋体" w:cs="宋体"/>
          <w:sz w:val="21"/>
          <w:szCs w:val="21"/>
          <w:lang w:eastAsia="zh-CN"/>
        </w:rPr>
        <w:t>主办方</w:t>
      </w:r>
      <w:r>
        <w:rPr>
          <w:rFonts w:hint="eastAsia" w:ascii="宋体" w:hAnsi="宋体" w:eastAsia="宋体" w:cs="宋体"/>
          <w:sz w:val="21"/>
          <w:szCs w:val="21"/>
        </w:rPr>
        <w:t>递交，并应符合投标人须知前附表的规定。</w:t>
      </w:r>
    </w:p>
    <w:p w14:paraId="298C829F">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3.4.2 投标人不按本章第 3.4.1 项要求提交投标保证金的，评标委员会将否决其投标。未按招标文件要求提交符合免予提供投标保证金相关证明材料，且未提交投标保证金的投标人，视为未按要求提供投标保证金。</w:t>
      </w:r>
    </w:p>
    <w:p w14:paraId="0F94F48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3.4.3 中标候选人以外的投标人的投标保证金将尽快退还，最迟不超过中标通知书发出之日起五日内</w:t>
      </w:r>
      <w:r>
        <w:rPr>
          <w:rFonts w:hint="eastAsia" w:ascii="宋体" w:hAnsi="宋体" w:eastAsia="宋体" w:cs="宋体"/>
          <w:sz w:val="21"/>
          <w:szCs w:val="21"/>
          <w:lang w:eastAsia="zh-CN"/>
        </w:rPr>
        <w:t>；</w:t>
      </w:r>
      <w:r>
        <w:rPr>
          <w:rFonts w:hint="eastAsia" w:ascii="宋体" w:hAnsi="宋体" w:eastAsia="宋体" w:cs="宋体"/>
          <w:sz w:val="21"/>
          <w:szCs w:val="21"/>
        </w:rPr>
        <w:t>中标人和其他中标候选人的投标保证金，在书面合同订立之日起五日内予以退还。投标保证金以现金或者支票形式递交的，还应退还银行同期存款利息。</w:t>
      </w:r>
    </w:p>
    <w:p w14:paraId="784CF18F">
      <w:pPr>
        <w:spacing w:beforeLines="0" w:afterLines="0"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3.4.4 </w:t>
      </w:r>
      <w:r>
        <w:rPr>
          <w:rFonts w:hint="eastAsia" w:ascii="宋体" w:hAnsi="宋体" w:eastAsia="宋体" w:cs="宋体"/>
          <w:sz w:val="21"/>
          <w:szCs w:val="21"/>
        </w:rPr>
        <w:t>在提交投标文件截止时间后到招标文件规定的投标有效期终止之前，投标人不得撤销其投标文件，否则招标人可以不退还投标保证金</w:t>
      </w:r>
      <w:r>
        <w:rPr>
          <w:rFonts w:hint="eastAsia" w:ascii="宋体" w:hAnsi="宋体" w:eastAsia="宋体" w:cs="宋体"/>
          <w:sz w:val="21"/>
          <w:szCs w:val="21"/>
          <w:lang w:eastAsia="zh-CN"/>
        </w:rPr>
        <w:t>。</w:t>
      </w:r>
    </w:p>
    <w:p w14:paraId="213D83A9">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有下列情形之一的，投标保证金将不予退还：</w:t>
      </w:r>
    </w:p>
    <w:p w14:paraId="48B7A42C">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（1）投标人在提交投标文件截止时间后到招标文件规定的投标有效期终止之前撤销投标文件；</w:t>
      </w:r>
    </w:p>
    <w:p w14:paraId="737CA3DA">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（2）中标人在收到中标通知书后，无正当理由不与招标人订立合同，在签订合同时向招标人提出附加条件，或者不按照招标文件要求提交履约保证金；</w:t>
      </w:r>
    </w:p>
    <w:p w14:paraId="1353A491">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（3）发生投标人须知前附表规定的其他可以不予退还投标保证金的情形。</w:t>
      </w:r>
    </w:p>
    <w:p w14:paraId="2C947DDF">
      <w:pPr>
        <w:spacing w:beforeLines="0" w:afterLines="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532A9EE1">
      <w:pPr>
        <w:pStyle w:val="7"/>
        <w:spacing w:beforeLines="0" w:afterLines="0"/>
      </w:pPr>
    </w:p>
    <w:p w14:paraId="269CFD7A">
      <w:pPr>
        <w:pStyle w:val="4"/>
        <w:bidi w:val="0"/>
      </w:pPr>
      <w:bookmarkStart w:id="460" w:name="_Toc5941"/>
      <w:bookmarkStart w:id="461" w:name="_Toc10645"/>
      <w:bookmarkStart w:id="462" w:name="_Toc10632"/>
      <w:bookmarkStart w:id="463" w:name="_Toc11224"/>
      <w:bookmarkStart w:id="464" w:name="_Toc5131"/>
      <w:bookmarkStart w:id="465" w:name="_Toc26392"/>
      <w:bookmarkStart w:id="466" w:name="_Toc15036"/>
      <w:bookmarkStart w:id="467" w:name="_Toc10690"/>
      <w:bookmarkStart w:id="468" w:name="_Toc11822"/>
      <w:bookmarkStart w:id="469" w:name="_Toc7411"/>
      <w:bookmarkStart w:id="470" w:name="_Toc7163"/>
      <w:bookmarkStart w:id="471" w:name="_Toc24524"/>
      <w:bookmarkStart w:id="472" w:name="_Toc5639"/>
      <w:bookmarkStart w:id="473" w:name="_Toc30937"/>
      <w:bookmarkStart w:id="474" w:name="_Toc6692"/>
      <w:bookmarkStart w:id="475" w:name="_Toc492300588"/>
      <w:r>
        <w:t xml:space="preserve">3.5 </w:t>
      </w:r>
      <w:r>
        <w:rPr>
          <w:rFonts w:hint="eastAsia"/>
        </w:rPr>
        <w:t>资格审查资料（适用于</w:t>
      </w:r>
      <w:r>
        <w:rPr>
          <w:rFonts w:hint="eastAsia"/>
          <w:lang w:eastAsia="zh-CN"/>
        </w:rPr>
        <w:t>未进行</w:t>
      </w:r>
      <w:r>
        <w:rPr>
          <w:rFonts w:hint="eastAsia"/>
        </w:rPr>
        <w:t>资格</w:t>
      </w:r>
      <w:r>
        <w:rPr>
          <w:rFonts w:hint="eastAsia"/>
          <w:lang w:eastAsia="zh-CN"/>
        </w:rPr>
        <w:t>预</w:t>
      </w:r>
      <w:r>
        <w:rPr>
          <w:rFonts w:hint="eastAsia"/>
        </w:rPr>
        <w:t>审的）</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5F09E085">
      <w:pPr>
        <w:spacing w:line="360" w:lineRule="auto"/>
        <w:ind w:firstLine="420" w:firstLineChars="200"/>
        <w:rPr>
          <w:rFonts w:ascii="宋体" w:hAnsi="宋体" w:cs="宋体"/>
          <w:sz w:val="21"/>
          <w:szCs w:val="21"/>
        </w:rPr>
      </w:pPr>
      <w:r>
        <w:rPr>
          <w:rFonts w:hint="eastAsia" w:ascii="宋体" w:hAnsi="宋体" w:cs="宋体"/>
          <w:sz w:val="21"/>
          <w:szCs w:val="21"/>
        </w:rPr>
        <w:t>除投标人须知前附表另有规定外，投标人应按</w:t>
      </w:r>
      <w:r>
        <w:rPr>
          <w:rFonts w:hint="eastAsia" w:ascii="宋体" w:hAnsi="宋体" w:cs="宋体"/>
          <w:sz w:val="21"/>
          <w:szCs w:val="21"/>
          <w:u w:val="single"/>
        </w:rPr>
        <w:t>招标公告投标人资格要求及</w:t>
      </w:r>
      <w:r>
        <w:rPr>
          <w:rFonts w:hint="eastAsia" w:ascii="宋体" w:hAnsi="宋体" w:cs="宋体"/>
          <w:sz w:val="21"/>
          <w:szCs w:val="21"/>
        </w:rPr>
        <w:t>下列规定提供资格审查资料，以证明其满足本章第1.4款规定的资质、业绩等要求。</w:t>
      </w:r>
    </w:p>
    <w:p w14:paraId="69EB7E0D">
      <w:pPr>
        <w:spacing w:line="360" w:lineRule="auto"/>
        <w:ind w:firstLine="420" w:firstLineChars="200"/>
        <w:rPr>
          <w:rFonts w:ascii="宋体" w:hAnsi="宋体" w:cs="宋体"/>
          <w:sz w:val="21"/>
          <w:szCs w:val="21"/>
        </w:rPr>
      </w:pPr>
      <w:r>
        <w:rPr>
          <w:rFonts w:ascii="宋体" w:hAnsi="宋体" w:cs="宋体"/>
          <w:sz w:val="21"/>
          <w:szCs w:val="21"/>
        </w:rPr>
        <w:t xml:space="preserve">3.5.1 </w:t>
      </w:r>
      <w:r>
        <w:rPr>
          <w:rFonts w:hint="eastAsia" w:ascii="宋体" w:hAnsi="宋体" w:cs="宋体"/>
          <w:sz w:val="21"/>
          <w:szCs w:val="21"/>
        </w:rPr>
        <w:t>“投标人基本情况表”应附投标人营业执照和组织机构代码证的扫描件（按照“三证合一”或“五证合一”登记制度进行登记的，可仅提供营业执照扫描件）、投标人监理资质证书副本等材料的扫描件。</w:t>
      </w:r>
    </w:p>
    <w:p w14:paraId="2B694345">
      <w:pPr>
        <w:spacing w:line="360" w:lineRule="auto"/>
        <w:ind w:firstLine="420" w:firstLineChars="200"/>
        <w:rPr>
          <w:rFonts w:hint="eastAsia" w:ascii="宋体" w:hAnsi="宋体" w:cs="宋体"/>
          <w:sz w:val="21"/>
          <w:szCs w:val="21"/>
        </w:rPr>
      </w:pPr>
      <w:r>
        <w:rPr>
          <w:rFonts w:hint="eastAsia" w:ascii="宋体" w:hAnsi="宋体" w:cs="宋体"/>
          <w:sz w:val="21"/>
          <w:szCs w:val="21"/>
        </w:rPr>
        <w:t>3.5.2  “近年完成的类似监理项目情况表”应附中标通知书和（或）合同协议书、委托人出具的证明文件；具体时间要求见投标人须知前附表，每张表格只填写一个项目，并标明序号。</w:t>
      </w:r>
    </w:p>
    <w:p w14:paraId="25E53EF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default" w:ascii="宋体" w:hAnsi="宋体" w:eastAsia="宋体" w:cs="宋体"/>
          <w:sz w:val="21"/>
          <w:szCs w:val="21"/>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ascii="宋体" w:hAnsi="宋体" w:eastAsia="宋体" w:cs="宋体"/>
          <w:sz w:val="21"/>
          <w:szCs w:val="21"/>
          <w:lang w:eastAsia="zh-CN"/>
        </w:rPr>
        <w:t>（</w:t>
      </w:r>
      <w:r>
        <w:rPr>
          <w:rFonts w:hint="eastAsia" w:ascii="宋体" w:hAnsi="宋体" w:eastAsia="宋体" w:cs="宋体"/>
          <w:sz w:val="21"/>
          <w:szCs w:val="21"/>
          <w:lang w:val="en-US" w:eastAsia="zh-CN"/>
        </w:rPr>
        <w:t>如</w:t>
      </w:r>
      <w:r>
        <w:rPr>
          <w:rFonts w:hint="default" w:ascii="宋体" w:hAnsi="宋体" w:eastAsia="宋体" w:cs="宋体"/>
          <w:sz w:val="21"/>
          <w:szCs w:val="21"/>
          <w:lang w:eastAsia="zh-CN"/>
        </w:rPr>
        <w:t>有）</w:t>
      </w:r>
      <w:r>
        <w:rPr>
          <w:rFonts w:hint="default" w:ascii="宋体" w:hAnsi="宋体" w:eastAsia="宋体" w:cs="宋体"/>
          <w:sz w:val="21"/>
          <w:szCs w:val="21"/>
        </w:rPr>
        <w:t>；其他主要人员应附身份证、学历证、职称证、有关证书和社保缴费证明</w:t>
      </w:r>
      <w:r>
        <w:rPr>
          <w:rFonts w:hint="default" w:ascii="宋体" w:hAnsi="宋体" w:eastAsia="宋体" w:cs="宋体"/>
          <w:sz w:val="21"/>
          <w:szCs w:val="21"/>
          <w:lang w:eastAsia="zh-CN"/>
        </w:rPr>
        <w:t>（</w:t>
      </w:r>
      <w:r>
        <w:rPr>
          <w:rFonts w:hint="eastAsia" w:ascii="宋体" w:hAnsi="宋体" w:eastAsia="宋体" w:cs="宋体"/>
          <w:sz w:val="21"/>
          <w:szCs w:val="21"/>
          <w:lang w:val="en-US" w:eastAsia="zh-CN"/>
        </w:rPr>
        <w:t>如</w:t>
      </w:r>
      <w:r>
        <w:rPr>
          <w:rFonts w:hint="default" w:ascii="宋体" w:hAnsi="宋体" w:eastAsia="宋体" w:cs="宋体"/>
          <w:sz w:val="21"/>
          <w:szCs w:val="21"/>
          <w:lang w:eastAsia="zh-CN"/>
        </w:rPr>
        <w:t>有）</w:t>
      </w:r>
      <w:r>
        <w:rPr>
          <w:rFonts w:hint="default" w:ascii="宋体" w:hAnsi="宋体" w:eastAsia="宋体" w:cs="宋体"/>
          <w:sz w:val="21"/>
          <w:szCs w:val="21"/>
        </w:rPr>
        <w:t>。</w:t>
      </w:r>
      <w:r>
        <w:rPr>
          <w:rFonts w:hint="eastAsia" w:ascii="宋体" w:hAnsi="宋体" w:eastAsia="宋体" w:cs="宋体"/>
          <w:sz w:val="21"/>
          <w:szCs w:val="21"/>
          <w:lang w:eastAsia="zh-CN"/>
        </w:rPr>
        <w:t>（注：以上人员社保要求：具有离投标截止时间最近</w:t>
      </w:r>
      <w:r>
        <w:rPr>
          <w:rFonts w:hint="eastAsia" w:ascii="宋体" w:hAnsi="宋体" w:eastAsia="宋体" w:cs="宋体"/>
          <w:sz w:val="21"/>
          <w:szCs w:val="21"/>
          <w:lang w:val="en-US" w:eastAsia="zh-CN"/>
        </w:rPr>
        <w:t>的至少</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lang w:eastAsia="zh-CN"/>
        </w:rPr>
        <w:t>个月</w:t>
      </w:r>
      <w:r>
        <w:rPr>
          <w:rFonts w:hint="eastAsia" w:ascii="宋体" w:hAnsi="宋体" w:eastAsia="宋体" w:cs="宋体"/>
          <w:sz w:val="21"/>
          <w:szCs w:val="21"/>
          <w:lang w:eastAsia="zh-CN"/>
        </w:rPr>
        <w:t>在本单位缴纳的社保证明文件，</w:t>
      </w:r>
      <w:r>
        <w:rPr>
          <w:rFonts w:hint="eastAsia" w:ascii="宋体" w:hAnsi="宋体" w:eastAsia="宋体" w:cs="宋体"/>
          <w:sz w:val="21"/>
          <w:szCs w:val="21"/>
          <w:lang w:val="en-US" w:eastAsia="zh-CN"/>
        </w:rPr>
        <w:t>由招标人自行确定</w:t>
      </w:r>
      <w:r>
        <w:rPr>
          <w:rFonts w:hint="eastAsia" w:ascii="宋体" w:hAnsi="宋体" w:eastAsia="宋体" w:cs="宋体"/>
          <w:sz w:val="21"/>
          <w:szCs w:val="21"/>
          <w:lang w:eastAsia="zh-CN"/>
        </w:rPr>
        <w:t>。）</w:t>
      </w:r>
    </w:p>
    <w:p w14:paraId="677D04B2">
      <w:pPr>
        <w:spacing w:line="360" w:lineRule="auto"/>
        <w:ind w:firstLine="420" w:firstLineChars="200"/>
        <w:rPr>
          <w:rFonts w:ascii="宋体" w:hAnsi="宋体" w:cs="宋体"/>
          <w:sz w:val="21"/>
          <w:szCs w:val="21"/>
        </w:rPr>
      </w:pPr>
      <w:r>
        <w:rPr>
          <w:rFonts w:ascii="宋体" w:hAnsi="宋体" w:cs="宋体"/>
          <w:sz w:val="21"/>
          <w:szCs w:val="21"/>
        </w:rPr>
        <w:t>3.5.</w:t>
      </w:r>
      <w:r>
        <w:rPr>
          <w:rFonts w:hint="eastAsia" w:ascii="宋体" w:hAnsi="宋体" w:cs="宋体"/>
          <w:sz w:val="21"/>
          <w:szCs w:val="21"/>
          <w:lang w:val="en-US" w:eastAsia="zh-CN"/>
        </w:rPr>
        <w:t>4</w:t>
      </w:r>
      <w:r>
        <w:rPr>
          <w:rFonts w:hint="eastAsia" w:ascii="宋体" w:hAnsi="宋体" w:cs="宋体"/>
          <w:sz w:val="21"/>
          <w:szCs w:val="21"/>
        </w:rPr>
        <w:t>投标人须知前附表规定接受联合体投标的，本章第3.5.1项至第3.5.</w:t>
      </w:r>
      <w:r>
        <w:rPr>
          <w:rFonts w:hint="eastAsia" w:ascii="宋体" w:hAnsi="宋体" w:cs="宋体"/>
          <w:sz w:val="21"/>
          <w:szCs w:val="21"/>
          <w:lang w:val="en-US" w:eastAsia="zh-CN"/>
        </w:rPr>
        <w:t>3</w:t>
      </w:r>
      <w:r>
        <w:rPr>
          <w:rFonts w:hint="eastAsia" w:ascii="宋体" w:hAnsi="宋体" w:cs="宋体"/>
          <w:sz w:val="21"/>
          <w:szCs w:val="21"/>
        </w:rPr>
        <w:t>项规定的表格和资料应包括联合体各方相关情况。</w:t>
      </w:r>
    </w:p>
    <w:p w14:paraId="70B7CF74">
      <w:pPr>
        <w:pStyle w:val="4"/>
        <w:bidi w:val="0"/>
      </w:pPr>
      <w:bookmarkStart w:id="476" w:name="_Toc14983"/>
      <w:bookmarkStart w:id="477" w:name="_Toc22361"/>
      <w:bookmarkStart w:id="478" w:name="_Toc2832"/>
      <w:bookmarkStart w:id="479" w:name="_Toc14962"/>
      <w:bookmarkStart w:id="480" w:name="_Toc5239"/>
      <w:bookmarkStart w:id="481" w:name="_Toc15775"/>
      <w:bookmarkStart w:id="482" w:name="_Toc492300589"/>
      <w:bookmarkStart w:id="483" w:name="_Toc19891"/>
      <w:bookmarkStart w:id="484" w:name="_Toc15790"/>
      <w:bookmarkStart w:id="485" w:name="_Toc1340"/>
      <w:bookmarkStart w:id="486" w:name="_Toc5110"/>
      <w:bookmarkStart w:id="487" w:name="_Toc21646"/>
      <w:bookmarkStart w:id="488" w:name="_Toc2520"/>
      <w:bookmarkStart w:id="489" w:name="_Toc8890"/>
      <w:bookmarkStart w:id="490" w:name="_Toc19046"/>
      <w:bookmarkStart w:id="491" w:name="_Toc32674"/>
      <w:r>
        <w:t xml:space="preserve">3.6 </w:t>
      </w:r>
      <w:r>
        <w:rPr>
          <w:rFonts w:hint="eastAsia"/>
        </w:rPr>
        <w:t>备选投标方案</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16A9D617">
      <w:pPr>
        <w:spacing w:line="360" w:lineRule="auto"/>
        <w:ind w:firstLine="420" w:firstLineChars="200"/>
        <w:rPr>
          <w:rFonts w:ascii="宋体" w:hAnsi="宋体" w:cs="宋体"/>
          <w:sz w:val="21"/>
          <w:szCs w:val="21"/>
        </w:rPr>
      </w:pPr>
      <w:r>
        <w:rPr>
          <w:rFonts w:ascii="宋体" w:hAnsi="宋体" w:cs="宋体"/>
          <w:sz w:val="21"/>
          <w:szCs w:val="21"/>
        </w:rPr>
        <w:t xml:space="preserve">3.6.1 </w:t>
      </w:r>
      <w:r>
        <w:rPr>
          <w:rFonts w:hint="eastAsia" w:ascii="宋体" w:hAnsi="宋体" w:cs="宋体"/>
          <w:sz w:val="21"/>
          <w:szCs w:val="21"/>
        </w:rPr>
        <w:t>除投标人须知前附表规定允许外，投标人不得递交备选投标方案，否则其投标将被否决。</w:t>
      </w:r>
    </w:p>
    <w:p w14:paraId="5805678E">
      <w:pPr>
        <w:spacing w:line="360" w:lineRule="auto"/>
        <w:ind w:firstLine="420" w:firstLineChars="200"/>
        <w:rPr>
          <w:rFonts w:ascii="宋体" w:hAnsi="宋体" w:cs="宋体"/>
          <w:sz w:val="21"/>
          <w:szCs w:val="21"/>
        </w:rPr>
      </w:pPr>
      <w:r>
        <w:rPr>
          <w:rFonts w:ascii="宋体" w:hAnsi="宋体" w:cs="宋体"/>
          <w:sz w:val="21"/>
          <w:szCs w:val="21"/>
        </w:rPr>
        <w:t xml:space="preserve">3.6.2 </w:t>
      </w:r>
      <w:r>
        <w:rPr>
          <w:rFonts w:hint="eastAsia" w:ascii="宋体" w:hAnsi="宋体" w:cs="宋体"/>
          <w:sz w:val="21"/>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58A86CBB">
      <w:pPr>
        <w:spacing w:line="360" w:lineRule="auto"/>
        <w:ind w:firstLine="420" w:firstLineChars="200"/>
        <w:rPr>
          <w:rFonts w:hint="eastAsia" w:ascii="宋体" w:hAnsi="宋体" w:cs="宋体"/>
          <w:sz w:val="21"/>
          <w:szCs w:val="21"/>
        </w:rPr>
      </w:pPr>
      <w:r>
        <w:rPr>
          <w:rFonts w:ascii="宋体" w:hAnsi="宋体" w:cs="宋体"/>
          <w:sz w:val="21"/>
          <w:szCs w:val="21"/>
        </w:rPr>
        <w:t xml:space="preserve">3.6.3 </w:t>
      </w:r>
      <w:r>
        <w:rPr>
          <w:rFonts w:hint="eastAsia" w:ascii="宋体" w:hAnsi="宋体" w:cs="宋体"/>
          <w:sz w:val="21"/>
          <w:szCs w:val="21"/>
        </w:rPr>
        <w:t>投标人提供两个或两个以上投标报价，或者在投标文件中提供一个报价，但同时提供两个或两个以上</w:t>
      </w:r>
      <w:bookmarkStart w:id="492" w:name="_Toc152042326"/>
      <w:bookmarkStart w:id="493" w:name="_Toc369531538"/>
      <w:bookmarkStart w:id="494" w:name="_Toc352691495"/>
      <w:bookmarkStart w:id="495" w:name="_Toc300834971"/>
      <w:bookmarkStart w:id="496" w:name="_Toc152045550"/>
      <w:bookmarkStart w:id="497" w:name="_Toc29902"/>
      <w:bookmarkStart w:id="498" w:name="_Toc247513974"/>
      <w:bookmarkStart w:id="499" w:name="_Toc144974518"/>
      <w:bookmarkStart w:id="500" w:name="_Toc384308232"/>
      <w:bookmarkStart w:id="501" w:name="_Toc361508607"/>
      <w:bookmarkStart w:id="502" w:name="_Toc247527575"/>
      <w:r>
        <w:rPr>
          <w:rFonts w:hint="eastAsia" w:ascii="宋体" w:hAnsi="宋体" w:cs="宋体"/>
          <w:sz w:val="21"/>
          <w:szCs w:val="21"/>
        </w:rPr>
        <w:t>监理方案的</w:t>
      </w:r>
      <w:bookmarkEnd w:id="492"/>
      <w:bookmarkEnd w:id="493"/>
      <w:bookmarkEnd w:id="494"/>
      <w:bookmarkEnd w:id="495"/>
      <w:bookmarkEnd w:id="496"/>
      <w:bookmarkEnd w:id="497"/>
      <w:bookmarkEnd w:id="498"/>
      <w:bookmarkEnd w:id="499"/>
      <w:bookmarkEnd w:id="500"/>
      <w:bookmarkEnd w:id="501"/>
      <w:bookmarkEnd w:id="502"/>
      <w:r>
        <w:rPr>
          <w:rFonts w:hint="eastAsia" w:ascii="宋体" w:hAnsi="宋体" w:cs="宋体"/>
          <w:sz w:val="21"/>
          <w:szCs w:val="21"/>
        </w:rPr>
        <w:t>，视为提供备选方案。</w:t>
      </w:r>
    </w:p>
    <w:p w14:paraId="0D91DDBD">
      <w:pPr>
        <w:pStyle w:val="7"/>
      </w:pPr>
    </w:p>
    <w:p w14:paraId="751B68E1">
      <w:pPr>
        <w:pStyle w:val="4"/>
        <w:bidi w:val="0"/>
      </w:pPr>
      <w:bookmarkStart w:id="503" w:name="_Toc20279"/>
      <w:bookmarkStart w:id="504" w:name="_Toc12540"/>
      <w:bookmarkStart w:id="505" w:name="_Toc21755"/>
      <w:bookmarkStart w:id="506" w:name="_Toc19082"/>
      <w:bookmarkStart w:id="507" w:name="_Toc27474"/>
      <w:bookmarkStart w:id="508" w:name="_Toc29860"/>
      <w:bookmarkStart w:id="509" w:name="_Toc19725"/>
      <w:bookmarkStart w:id="510" w:name="_Toc9431"/>
      <w:bookmarkStart w:id="511" w:name="_Toc21879"/>
      <w:bookmarkStart w:id="512" w:name="_Toc32464"/>
      <w:bookmarkStart w:id="513" w:name="_Toc6577"/>
      <w:bookmarkStart w:id="514" w:name="_Toc28209"/>
      <w:bookmarkStart w:id="515" w:name="_Toc9765"/>
      <w:bookmarkStart w:id="516" w:name="_Toc3945"/>
      <w:bookmarkStart w:id="517" w:name="_Toc18836"/>
      <w:bookmarkStart w:id="518" w:name="_Toc492300590"/>
      <w:r>
        <w:t xml:space="preserve">3.7 </w:t>
      </w:r>
      <w:r>
        <w:rPr>
          <w:rFonts w:hint="eastAsia"/>
        </w:rPr>
        <w:t>投标文件的编制</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4D031FA0">
      <w:pPr>
        <w:spacing w:line="360" w:lineRule="auto"/>
        <w:ind w:firstLine="420" w:firstLineChars="200"/>
        <w:rPr>
          <w:rFonts w:ascii="宋体" w:hAnsi="宋体" w:cs="宋体"/>
          <w:sz w:val="21"/>
          <w:szCs w:val="21"/>
        </w:rPr>
      </w:pPr>
      <w:r>
        <w:rPr>
          <w:rFonts w:ascii="宋体" w:hAnsi="宋体" w:cs="宋体"/>
          <w:sz w:val="21"/>
          <w:szCs w:val="21"/>
        </w:rPr>
        <w:t xml:space="preserve">3.7.1 </w:t>
      </w:r>
      <w:r>
        <w:rPr>
          <w:rFonts w:hint="eastAsia" w:ascii="宋体" w:hAnsi="宋体" w:cs="宋体"/>
          <w:sz w:val="21"/>
          <w:szCs w:val="21"/>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5722225C">
      <w:pPr>
        <w:spacing w:line="360" w:lineRule="auto"/>
        <w:ind w:firstLine="420" w:firstLineChars="200"/>
        <w:rPr>
          <w:rFonts w:ascii="宋体" w:hAnsi="宋体" w:cs="宋体"/>
          <w:sz w:val="21"/>
          <w:szCs w:val="21"/>
        </w:rPr>
      </w:pPr>
      <w:r>
        <w:rPr>
          <w:rFonts w:ascii="宋体" w:hAnsi="宋体" w:cs="宋体"/>
          <w:sz w:val="21"/>
          <w:szCs w:val="21"/>
        </w:rPr>
        <w:t xml:space="preserve">3.7.2 </w:t>
      </w:r>
      <w:r>
        <w:rPr>
          <w:rFonts w:hint="eastAsia" w:ascii="宋体" w:hAnsi="宋体" w:cs="宋体"/>
          <w:sz w:val="21"/>
          <w:szCs w:val="21"/>
        </w:rPr>
        <w:t>投标文件应当对招标文件有关服务期限、投标有效期、委托人要求、招标范围等实质性内容作出响应。</w:t>
      </w:r>
    </w:p>
    <w:p w14:paraId="77A4E75B">
      <w:pPr>
        <w:spacing w:before="2" w:line="351" w:lineRule="auto"/>
        <w:ind w:left="5" w:right="46" w:firstLine="415"/>
        <w:rPr>
          <w:rFonts w:hint="eastAsia" w:ascii="宋体" w:hAnsi="宋体" w:cs="宋体"/>
          <w:sz w:val="21"/>
          <w:szCs w:val="21"/>
        </w:rPr>
      </w:pPr>
      <w:r>
        <w:rPr>
          <w:rFonts w:hint="eastAsia" w:ascii="宋体" w:hAnsi="宋体" w:cs="宋体"/>
          <w:sz w:val="21"/>
          <w:szCs w:val="21"/>
        </w:rPr>
        <w:t>3.7.3</w:t>
      </w:r>
      <w:r>
        <w:rPr>
          <w:rFonts w:hint="eastAsia" w:ascii="Times New Roman" w:hAnsi="Times New Roman" w:eastAsia="Times New Roman" w:cs="Times New Roman"/>
          <w:color w:val="auto"/>
          <w:spacing w:val="-2"/>
          <w:sz w:val="21"/>
          <w:szCs w:val="21"/>
          <w:highlight w:val="none"/>
        </w:rPr>
        <w:t>投标文件全部采用电子文档，投标文件所附证书证件均为原件扫描件</w:t>
      </w:r>
      <w:r>
        <w:rPr>
          <w:rFonts w:hint="eastAsia" w:ascii="Times New Roman" w:hAnsi="Times New Roman" w:eastAsia="宋体" w:cs="Times New Roman"/>
          <w:color w:val="auto"/>
          <w:spacing w:val="-2"/>
          <w:sz w:val="21"/>
          <w:szCs w:val="21"/>
          <w:highlight w:val="none"/>
          <w:lang w:eastAsia="zh-CN"/>
        </w:rPr>
        <w:t>或电子证书</w:t>
      </w:r>
      <w:r>
        <w:rPr>
          <w:rFonts w:hint="eastAsia" w:ascii="Times New Roman" w:hAnsi="Times New Roman" w:eastAsia="Times New Roman" w:cs="Times New Roman"/>
          <w:color w:val="auto"/>
          <w:spacing w:val="-2"/>
          <w:sz w:val="21"/>
          <w:szCs w:val="21"/>
          <w:highlight w:val="none"/>
        </w:rPr>
        <w:t>，并采用单位数字证书，按招标文件要求在相应位置加盖电子印章。投标文件中需个人签字或盖章的，应加盖个人电子印章或在线下完成后扫描上传</w:t>
      </w:r>
      <w:r>
        <w:rPr>
          <w:rFonts w:hint="eastAsia" w:ascii="宋体" w:hAnsi="宋体"/>
          <w:color w:val="auto"/>
          <w:szCs w:val="21"/>
          <w:highlight w:val="none"/>
          <w:lang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ascii="宋体" w:hAnsi="宋体"/>
          <w:color w:val="auto"/>
          <w:szCs w:val="21"/>
          <w:highlight w:val="none"/>
          <w:lang w:eastAsia="zh-CN"/>
        </w:rPr>
        <w:t>）</w:t>
      </w:r>
      <w:r>
        <w:rPr>
          <w:rFonts w:hint="eastAsia" w:ascii="Times New Roman" w:hAnsi="Times New Roman" w:eastAsia="Times New Roman" w:cs="Times New Roman"/>
          <w:color w:val="auto"/>
          <w:spacing w:val="-2"/>
          <w:sz w:val="21"/>
          <w:szCs w:val="21"/>
          <w:highlight w:val="none"/>
        </w:rPr>
        <w:t>。按照</w:t>
      </w:r>
      <w:r>
        <w:rPr>
          <w:rFonts w:hint="eastAsia" w:ascii="Times New Roman" w:hAnsi="Times New Roman" w:eastAsia="宋体" w:cs="Times New Roman"/>
          <w:color w:val="auto"/>
          <w:spacing w:val="-2"/>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2"/>
          <w:sz w:val="21"/>
          <w:szCs w:val="21"/>
          <w:highlight w:val="none"/>
          <w:lang w:eastAsia="zh-CN"/>
        </w:rPr>
        <w:t>网站关于全流程电子化项目的相关指南进行操作</w:t>
      </w:r>
      <w:r>
        <w:rPr>
          <w:rFonts w:hint="eastAsia" w:ascii="宋体" w:hAnsi="宋体" w:cs="宋体"/>
          <w:sz w:val="21"/>
          <w:szCs w:val="21"/>
        </w:rPr>
        <w:t>。</w:t>
      </w:r>
    </w:p>
    <w:p w14:paraId="5C1B19BE">
      <w:pPr>
        <w:spacing w:before="2" w:line="351" w:lineRule="auto"/>
        <w:ind w:left="5" w:right="46" w:firstLine="415"/>
        <w:rPr>
          <w:rFonts w:hint="eastAsia" w:ascii="Times New Roman" w:hAnsi="Times New Roman" w:eastAsia="Times New Roman" w:cs="Times New Roman"/>
          <w:color w:val="auto"/>
          <w:spacing w:val="-2"/>
          <w:sz w:val="21"/>
          <w:szCs w:val="21"/>
          <w:highlight w:val="none"/>
        </w:rPr>
      </w:pPr>
      <w:r>
        <w:rPr>
          <w:rFonts w:hint="eastAsia" w:ascii="Times New Roman" w:hAnsi="Times New Roman" w:eastAsia="Times New Roman" w:cs="Times New Roman"/>
          <w:color w:val="auto"/>
          <w:spacing w:val="-2"/>
          <w:sz w:val="21"/>
          <w:szCs w:val="21"/>
          <w:highlight w:val="none"/>
          <w:lang w:val="en-US" w:eastAsia="zh-CN"/>
        </w:rPr>
        <w:t>3.7.4联</w:t>
      </w:r>
      <w:r>
        <w:rPr>
          <w:rFonts w:hint="eastAsia" w:ascii="Times New Roman" w:hAnsi="Times New Roman" w:eastAsia="Times New Roman" w:cs="Times New Roman"/>
          <w:color w:val="auto"/>
          <w:spacing w:val="-2"/>
          <w:sz w:val="21"/>
          <w:szCs w:val="21"/>
          <w:highlight w:val="none"/>
        </w:rPr>
        <w:t>合体投标时，</w:t>
      </w:r>
      <w:r>
        <w:rPr>
          <w:rFonts w:hint="eastAsia" w:ascii="Times New Roman" w:hAnsi="Times New Roman" w:eastAsia="Times New Roman" w:cs="Times New Roman"/>
          <w:color w:val="auto"/>
          <w:spacing w:val="-2"/>
          <w:sz w:val="21"/>
          <w:szCs w:val="21"/>
          <w:highlight w:val="none"/>
          <w:lang w:eastAsia="zh-CN"/>
        </w:rPr>
        <w:t>投标人封面及其他内容落款中的“投标人”应填写联合体各方的单位全称【格式为：（主）XXXX公司（成）XXXX公司】。除</w:t>
      </w:r>
      <w:r>
        <w:rPr>
          <w:rFonts w:hint="eastAsia" w:ascii="Times New Roman" w:hAnsi="Times New Roman" w:eastAsia="Times New Roman" w:cs="Times New Roman"/>
          <w:color w:val="auto"/>
          <w:spacing w:val="-2"/>
          <w:sz w:val="21"/>
          <w:szCs w:val="21"/>
          <w:highlight w:val="none"/>
        </w:rPr>
        <w:t>联合体共同投标协议需联合体各方按要求共同盖章签字，其余可由联合体</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签字、盖章即可，由联合体</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法人签字的电子投标文件需提供</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法定代表人证明书，若由联合体</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法定代表人授权签字的电子投标文件需提供法定代表人证明书及其授权委托书、授权委托人身份证</w:t>
      </w:r>
      <w:r>
        <w:rPr>
          <w:rFonts w:hint="eastAsia" w:ascii="Times New Roman" w:hAnsi="Times New Roman" w:eastAsia="Times New Roman" w:cs="Times New Roman"/>
          <w:color w:val="auto"/>
          <w:spacing w:val="-2"/>
          <w:sz w:val="21"/>
          <w:szCs w:val="21"/>
          <w:highlight w:val="none"/>
          <w:lang w:eastAsia="zh-CN"/>
        </w:rPr>
        <w:t>扫描</w:t>
      </w:r>
      <w:r>
        <w:rPr>
          <w:rFonts w:hint="eastAsia" w:ascii="Times New Roman" w:hAnsi="Times New Roman" w:eastAsia="Times New Roman" w:cs="Times New Roman"/>
          <w:color w:val="auto"/>
          <w:spacing w:val="-2"/>
          <w:sz w:val="21"/>
          <w:szCs w:val="21"/>
          <w:highlight w:val="none"/>
        </w:rPr>
        <w:t>件。</w:t>
      </w:r>
    </w:p>
    <w:p w14:paraId="66B7DCCF">
      <w:pPr>
        <w:spacing w:line="360" w:lineRule="auto"/>
        <w:ind w:firstLine="412" w:firstLineChars="200"/>
        <w:rPr>
          <w:rFonts w:ascii="宋体" w:hAnsi="宋体" w:cs="宋体"/>
          <w:sz w:val="21"/>
          <w:szCs w:val="21"/>
        </w:rPr>
      </w:pPr>
      <w:r>
        <w:rPr>
          <w:rFonts w:hint="eastAsia" w:ascii="Times New Roman" w:hAnsi="Times New Roman" w:eastAsia="Times New Roman" w:cs="Times New Roman"/>
          <w:color w:val="auto"/>
          <w:spacing w:val="-2"/>
          <w:sz w:val="21"/>
          <w:szCs w:val="21"/>
          <w:highlight w:val="none"/>
          <w:lang w:eastAsia="zh-CN"/>
        </w:rPr>
        <w:t>3.</w:t>
      </w:r>
      <w:r>
        <w:rPr>
          <w:rFonts w:hint="eastAsia" w:ascii="Times New Roman" w:hAnsi="Times New Roman" w:eastAsia="Times New Roman" w:cs="Times New Roman"/>
          <w:color w:val="auto"/>
          <w:spacing w:val="-2"/>
          <w:sz w:val="21"/>
          <w:szCs w:val="21"/>
          <w:highlight w:val="none"/>
          <w:lang w:val="en-US" w:eastAsia="zh-CN"/>
        </w:rPr>
        <w:t>7</w:t>
      </w:r>
      <w:r>
        <w:rPr>
          <w:rFonts w:hint="eastAsia" w:ascii="Times New Roman" w:hAnsi="Times New Roman" w:eastAsia="Times New Roman" w:cs="Times New Roman"/>
          <w:color w:val="auto"/>
          <w:spacing w:val="-2"/>
          <w:sz w:val="21"/>
          <w:szCs w:val="21"/>
          <w:highlight w:val="none"/>
          <w:lang w:eastAsia="zh-CN"/>
        </w:rPr>
        <w:t>.</w:t>
      </w:r>
      <w:r>
        <w:rPr>
          <w:rFonts w:hint="eastAsia" w:ascii="Times New Roman" w:hAnsi="Times New Roman" w:eastAsia="Times New Roman" w:cs="Times New Roman"/>
          <w:color w:val="auto"/>
          <w:spacing w:val="-2"/>
          <w:sz w:val="21"/>
          <w:szCs w:val="21"/>
          <w:highlight w:val="none"/>
          <w:lang w:val="en-US" w:eastAsia="zh-CN"/>
        </w:rPr>
        <w:t xml:space="preserve">5   </w:t>
      </w:r>
      <w:r>
        <w:rPr>
          <w:rFonts w:hint="eastAsia" w:ascii="Times New Roman" w:hAnsi="Times New Roman" w:eastAsia="Times New Roman" w:cs="Times New Roman"/>
          <w:color w:val="auto"/>
          <w:spacing w:val="-2"/>
          <w:sz w:val="21"/>
          <w:szCs w:val="21"/>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34BEAC5B">
      <w:pPr>
        <w:pStyle w:val="3"/>
        <w:bidi w:val="0"/>
        <w:rPr>
          <w:rFonts w:hint="eastAsia" w:ascii="宋体" w:hAnsi="宋体" w:eastAsia="宋体" w:cs="宋体"/>
          <w:b/>
          <w:bCs w:val="0"/>
        </w:rPr>
      </w:pPr>
      <w:bookmarkStart w:id="519" w:name="_Toc19566"/>
      <w:bookmarkStart w:id="520" w:name="_Toc12822"/>
      <w:bookmarkStart w:id="521" w:name="_Toc1464"/>
      <w:bookmarkStart w:id="522" w:name="_Toc12982"/>
      <w:bookmarkStart w:id="523" w:name="_Toc23870"/>
      <w:bookmarkStart w:id="524" w:name="_Toc31038"/>
      <w:bookmarkStart w:id="525" w:name="_Toc26827"/>
      <w:bookmarkStart w:id="526" w:name="_Toc10101"/>
      <w:bookmarkStart w:id="527" w:name="_Toc492300591"/>
      <w:bookmarkStart w:id="528" w:name="_Toc14859"/>
      <w:bookmarkStart w:id="529" w:name="_Toc5686"/>
      <w:bookmarkStart w:id="530" w:name="_Toc26591"/>
      <w:bookmarkStart w:id="531" w:name="_Toc21775"/>
      <w:bookmarkStart w:id="532" w:name="_Toc5957"/>
      <w:bookmarkStart w:id="533" w:name="_Toc31476"/>
      <w:bookmarkStart w:id="534" w:name="_Toc28166"/>
      <w:bookmarkStart w:id="535" w:name="_Toc5182"/>
      <w:r>
        <w:rPr>
          <w:rFonts w:hint="eastAsia" w:ascii="宋体" w:hAnsi="宋体" w:eastAsia="宋体" w:cs="宋体"/>
          <w:b/>
          <w:bCs w:val="0"/>
        </w:rPr>
        <w:t>4. 投标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19678A8">
      <w:pPr>
        <w:pStyle w:val="4"/>
        <w:bidi w:val="0"/>
      </w:pPr>
      <w:bookmarkStart w:id="536" w:name="_Toc24517"/>
      <w:bookmarkStart w:id="537" w:name="_Toc11175"/>
      <w:bookmarkStart w:id="538" w:name="_Toc5289"/>
      <w:bookmarkStart w:id="539" w:name="_Toc20798"/>
      <w:bookmarkStart w:id="540" w:name="_Toc1661"/>
      <w:bookmarkStart w:id="541" w:name="_Toc16071"/>
      <w:bookmarkStart w:id="542" w:name="_Toc22613"/>
      <w:bookmarkStart w:id="543" w:name="_Toc8288"/>
      <w:bookmarkStart w:id="544" w:name="_Toc492300592"/>
      <w:bookmarkStart w:id="545" w:name="_Toc31622"/>
      <w:bookmarkStart w:id="546" w:name="_Toc30207"/>
      <w:bookmarkStart w:id="547" w:name="_Toc195"/>
      <w:bookmarkStart w:id="548" w:name="_Toc2284"/>
      <w:bookmarkStart w:id="549" w:name="_Toc13412"/>
      <w:bookmarkStart w:id="550" w:name="_Toc30488"/>
      <w:bookmarkStart w:id="551" w:name="_Toc26160"/>
      <w:r>
        <w:t xml:space="preserve">4.1 </w:t>
      </w:r>
      <w:r>
        <w:rPr>
          <w:rFonts w:hint="eastAsia"/>
        </w:rPr>
        <w:t>投标文件的密封和标记</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2C69D126">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rPr>
      </w:pPr>
      <w:r>
        <w:rPr>
          <w:rFonts w:ascii="宋体" w:hAnsi="宋体" w:eastAsia="宋体" w:cs="Times New Roman"/>
          <w:color w:val="auto"/>
        </w:rPr>
        <w:t>4.1.1</w:t>
      </w:r>
      <w:r>
        <w:rPr>
          <w:rFonts w:hint="eastAsia" w:ascii="宋体" w:hAnsi="宋体" w:eastAsia="宋体" w:cs="Times New Roman"/>
          <w:color w:val="auto"/>
          <w:lang w:val="en-US" w:eastAsia="zh-CN"/>
        </w:rPr>
        <w:t xml:space="preserve"> </w:t>
      </w:r>
      <w:r>
        <w:rPr>
          <w:rFonts w:ascii="宋体" w:hAnsi="宋体" w:eastAsia="宋体" w:cs="Times New Roman"/>
          <w:color w:val="auto"/>
        </w:rPr>
        <w:t>投标人应当按照招标文件和电子招标投标交易平台的要求加密投标文件</w:t>
      </w:r>
      <w:r>
        <w:rPr>
          <w:rFonts w:hint="eastAsia" w:ascii="宋体" w:hAnsi="宋体" w:eastAsia="宋体" w:cs="Times New Roman"/>
          <w:color w:val="auto"/>
          <w:lang w:eastAsia="zh-CN"/>
        </w:rPr>
        <w:t>（不含备用光盘）</w:t>
      </w:r>
      <w:r>
        <w:rPr>
          <w:rFonts w:ascii="宋体" w:hAnsi="宋体" w:eastAsia="宋体" w:cs="Times New Roman"/>
          <w:color w:val="auto"/>
        </w:rPr>
        <w:t>，具体要求见投标人须知前附表。</w:t>
      </w:r>
    </w:p>
    <w:p w14:paraId="1891DDF5">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rPr>
      </w:pPr>
      <w:r>
        <w:rPr>
          <w:rFonts w:ascii="宋体" w:hAnsi="宋体" w:eastAsia="宋体" w:cs="Times New Roman"/>
          <w:color w:val="auto"/>
        </w:rPr>
        <w:t xml:space="preserve">4.1.2 </w:t>
      </w:r>
      <w:r>
        <w:rPr>
          <w:rFonts w:hint="eastAsia" w:ascii="宋体" w:hAnsi="宋体" w:eastAsia="宋体" w:cs="Times New Roman"/>
          <w:color w:val="auto"/>
          <w:lang w:eastAsia="zh-CN"/>
        </w:rPr>
        <w:t>（如有）</w:t>
      </w:r>
      <w:r>
        <w:rPr>
          <w:rFonts w:ascii="宋体" w:hAnsi="宋体" w:eastAsia="宋体" w:cs="Times New Roman"/>
          <w:color w:val="auto"/>
        </w:rPr>
        <w:t>投标文件</w:t>
      </w:r>
      <w:r>
        <w:rPr>
          <w:rFonts w:hint="eastAsia" w:ascii="宋体" w:hAnsi="宋体" w:eastAsia="宋体" w:cs="Times New Roman"/>
          <w:color w:val="auto"/>
          <w:lang w:eastAsia="zh-CN"/>
        </w:rPr>
        <w:t>备用光盘</w:t>
      </w:r>
      <w:r>
        <w:rPr>
          <w:rFonts w:ascii="宋体" w:hAnsi="宋体" w:eastAsia="宋体" w:cs="Times New Roman"/>
          <w:color w:val="auto"/>
        </w:rPr>
        <w:t>封套上应写明的内容见投标人须知前附表。</w:t>
      </w:r>
    </w:p>
    <w:p w14:paraId="13D547DA">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rPr>
      </w:pPr>
      <w:r>
        <w:rPr>
          <w:rFonts w:ascii="宋体" w:hAnsi="宋体" w:eastAsia="宋体" w:cs="Times New Roman"/>
          <w:color w:val="auto"/>
        </w:rPr>
        <w:t>4.1.3 未按本章</w:t>
      </w:r>
      <w:r>
        <w:rPr>
          <w:rFonts w:hint="eastAsia" w:ascii="宋体" w:hAnsi="宋体" w:eastAsia="宋体" w:cs="Times New Roman"/>
          <w:color w:val="auto"/>
          <w:lang w:eastAsia="zh-CN"/>
        </w:rPr>
        <w:t>第 4.1.1 项要求加密</w:t>
      </w:r>
      <w:r>
        <w:rPr>
          <w:rFonts w:ascii="宋体" w:hAnsi="宋体" w:eastAsia="宋体" w:cs="Times New Roman"/>
          <w:color w:val="auto"/>
        </w:rPr>
        <w:t>的投标文件，招标人将</w:t>
      </w:r>
      <w:r>
        <w:rPr>
          <w:rFonts w:hint="eastAsia" w:ascii="宋体" w:hAnsi="宋体" w:eastAsia="宋体" w:cs="Times New Roman"/>
          <w:color w:val="auto"/>
          <w:lang w:eastAsia="zh-CN"/>
        </w:rPr>
        <w:t>授权</w:t>
      </w:r>
      <w:r>
        <w:rPr>
          <w:rFonts w:hint="eastAsia" w:ascii="宋体" w:hAnsi="宋体" w:eastAsia="宋体" w:cs="Times New Roman"/>
          <w:color w:val="auto"/>
          <w:u w:val="single"/>
          <w:lang w:eastAsia="zh-CN"/>
        </w:rPr>
        <w:t>广州交易集团有限公司（广州公共资源交易中心）</w:t>
      </w:r>
      <w:r>
        <w:rPr>
          <w:rFonts w:hint="eastAsia" w:ascii="宋体" w:hAnsi="宋体" w:eastAsia="宋体" w:cs="Times New Roman"/>
          <w:color w:val="auto"/>
          <w:lang w:eastAsia="zh-CN"/>
        </w:rPr>
        <w:t>网站交易</w:t>
      </w:r>
      <w:r>
        <w:rPr>
          <w:rFonts w:hint="eastAsia" w:ascii="宋体" w:hAnsi="宋体" w:eastAsia="宋体" w:cs="Times New Roman"/>
          <w:color w:val="auto"/>
        </w:rPr>
        <w:t>平台</w:t>
      </w:r>
      <w:r>
        <w:rPr>
          <w:rFonts w:ascii="宋体" w:hAnsi="宋体" w:eastAsia="宋体" w:cs="Times New Roman"/>
          <w:color w:val="auto"/>
        </w:rPr>
        <w:t>予以拒收。</w:t>
      </w:r>
    </w:p>
    <w:p w14:paraId="0E1E12BC">
      <w:pPr>
        <w:spacing w:line="360" w:lineRule="auto"/>
        <w:ind w:firstLine="420" w:firstLineChars="200"/>
        <w:rPr>
          <w:rFonts w:ascii="宋体" w:hAnsi="宋体" w:cs="宋体"/>
          <w:sz w:val="21"/>
          <w:szCs w:val="21"/>
        </w:rPr>
      </w:pPr>
    </w:p>
    <w:p w14:paraId="0994D485">
      <w:pPr>
        <w:pStyle w:val="4"/>
        <w:bidi w:val="0"/>
      </w:pPr>
      <w:bookmarkStart w:id="552" w:name="_Toc18806"/>
      <w:bookmarkStart w:id="553" w:name="_Toc12448"/>
      <w:bookmarkStart w:id="554" w:name="_Toc9789"/>
      <w:bookmarkStart w:id="555" w:name="_Toc1921"/>
      <w:bookmarkStart w:id="556" w:name="_Toc12173"/>
      <w:bookmarkStart w:id="557" w:name="_Toc21455"/>
      <w:bookmarkStart w:id="558" w:name="_Toc492300593"/>
      <w:bookmarkStart w:id="559" w:name="_Toc22506"/>
      <w:bookmarkStart w:id="560" w:name="_Toc2950"/>
      <w:bookmarkStart w:id="561" w:name="_Toc8542"/>
      <w:bookmarkStart w:id="562" w:name="_Toc11549"/>
      <w:bookmarkStart w:id="563" w:name="_Toc12842"/>
      <w:bookmarkStart w:id="564" w:name="_Toc12700"/>
      <w:bookmarkStart w:id="565" w:name="_Toc29912"/>
      <w:bookmarkStart w:id="566" w:name="_Toc27247"/>
      <w:bookmarkStart w:id="567" w:name="_Toc32479"/>
      <w:r>
        <w:t xml:space="preserve">4.2 </w:t>
      </w:r>
      <w:r>
        <w:rPr>
          <w:rFonts w:hint="eastAsia"/>
        </w:rPr>
        <w:t>投标文件的递交</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36010608">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rPr>
      </w:pPr>
      <w:r>
        <w:rPr>
          <w:rFonts w:ascii="宋体" w:hAnsi="宋体" w:eastAsia="宋体" w:cs="Times New Roman"/>
          <w:color w:val="auto"/>
        </w:rPr>
        <w:t>4.2.1 投标人应在投标人须知前附表规定的投标截止时间前</w:t>
      </w:r>
      <w:r>
        <w:rPr>
          <w:rFonts w:hint="eastAsia" w:ascii="宋体" w:hAnsi="宋体" w:eastAsia="宋体" w:cs="Times New Roman"/>
          <w:color w:val="auto"/>
        </w:rPr>
        <w:t>通过</w:t>
      </w:r>
      <w:r>
        <w:rPr>
          <w:rFonts w:hint="eastAsia" w:ascii="宋体" w:hAnsi="宋体" w:eastAsia="宋体" w:cs="Times New Roman"/>
          <w:color w:val="auto"/>
          <w:u w:val="single"/>
          <w:lang w:eastAsia="zh-CN"/>
        </w:rPr>
        <w:t>广州交易集团有限公司（广州公共资源交易中心）</w:t>
      </w:r>
      <w:r>
        <w:rPr>
          <w:rFonts w:hint="eastAsia" w:ascii="宋体" w:hAnsi="宋体" w:eastAsia="宋体" w:cs="Times New Roman"/>
          <w:color w:val="auto"/>
          <w:lang w:eastAsia="zh-CN"/>
        </w:rPr>
        <w:t>网站</w:t>
      </w:r>
      <w:r>
        <w:rPr>
          <w:rFonts w:hint="eastAsia" w:ascii="宋体" w:hAnsi="宋体" w:eastAsia="宋体" w:cs="Times New Roman"/>
          <w:color w:val="auto"/>
        </w:rPr>
        <w:t>交易平台递交电子投标文件</w:t>
      </w:r>
      <w:r>
        <w:rPr>
          <w:rFonts w:ascii="宋体" w:hAnsi="宋体" w:eastAsia="宋体" w:cs="Times New Roman"/>
          <w:color w:val="auto"/>
        </w:rPr>
        <w:t>。</w:t>
      </w:r>
    </w:p>
    <w:p w14:paraId="3AF30172">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rPr>
      </w:pPr>
      <w:r>
        <w:rPr>
          <w:rFonts w:ascii="宋体" w:hAnsi="宋体" w:eastAsia="宋体" w:cs="Times New Roman"/>
          <w:color w:val="auto"/>
        </w:rPr>
        <w:t>4.2.2</w:t>
      </w:r>
      <w:r>
        <w:rPr>
          <w:rFonts w:hint="eastAsia" w:ascii="宋体" w:hAnsi="宋体" w:eastAsia="宋体" w:cs="Times New Roman"/>
          <w:color w:val="auto"/>
          <w:lang w:val="en-US" w:eastAsia="zh-CN"/>
        </w:rPr>
        <w:t xml:space="preserve"> </w:t>
      </w:r>
      <w:r>
        <w:rPr>
          <w:rFonts w:hint="eastAsia" w:ascii="宋体" w:hAnsi="宋体" w:eastAsia="宋体" w:cs="Times New Roman"/>
          <w:color w:val="auto"/>
        </w:rPr>
        <w:t>投标人完成电子投标文件上传后，</w:t>
      </w:r>
      <w:r>
        <w:rPr>
          <w:rFonts w:hint="eastAsia" w:ascii="宋体" w:hAnsi="宋体" w:eastAsia="宋体" w:cs="Times New Roman"/>
          <w:color w:val="auto"/>
          <w:u w:val="single"/>
          <w:lang w:eastAsia="zh-CN"/>
        </w:rPr>
        <w:t>广州交易集团有限公司（广州公共资源交易中心）</w:t>
      </w:r>
      <w:r>
        <w:rPr>
          <w:rFonts w:hint="eastAsia" w:ascii="宋体" w:hAnsi="宋体" w:eastAsia="宋体" w:cs="Times New Roman"/>
          <w:color w:val="auto"/>
          <w:lang w:eastAsia="zh-CN"/>
        </w:rPr>
        <w:t>网站</w:t>
      </w:r>
      <w:r>
        <w:rPr>
          <w:rFonts w:hint="eastAsia" w:ascii="宋体" w:hAnsi="宋体" w:eastAsia="宋体" w:cs="Times New Roman"/>
          <w:color w:val="auto"/>
        </w:rPr>
        <w:t>交易平台即时向投标人发出递交回执通知。递交时间以递交回执通知载明的传输完成时间为准</w:t>
      </w:r>
      <w:r>
        <w:rPr>
          <w:rFonts w:ascii="宋体" w:hAnsi="宋体" w:eastAsia="宋体" w:cs="Times New Roman"/>
          <w:color w:val="auto"/>
        </w:rPr>
        <w:t>。</w:t>
      </w:r>
    </w:p>
    <w:p w14:paraId="55214550">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rPr>
      </w:pPr>
      <w:r>
        <w:rPr>
          <w:rFonts w:ascii="宋体" w:hAnsi="宋体" w:eastAsia="宋体" w:cs="Times New Roman"/>
          <w:color w:val="auto"/>
        </w:rPr>
        <w:t xml:space="preserve">4.2.3 </w:t>
      </w:r>
      <w:r>
        <w:rPr>
          <w:rFonts w:hint="eastAsia" w:ascii="宋体" w:hAnsi="宋体" w:eastAsia="宋体" w:cs="Times New Roman"/>
          <w:color w:val="auto"/>
        </w:rPr>
        <w:t>逾期送达的电子投标文件，</w:t>
      </w:r>
      <w:r>
        <w:rPr>
          <w:rFonts w:hint="eastAsia" w:ascii="宋体" w:hAnsi="宋体" w:eastAsia="宋体" w:cs="Times New Roman"/>
          <w:color w:val="auto"/>
          <w:u w:val="single"/>
          <w:lang w:eastAsia="zh-CN"/>
        </w:rPr>
        <w:t>广州交易集团有限公司（广州公共资源交易中心）</w:t>
      </w:r>
      <w:r>
        <w:rPr>
          <w:rFonts w:hint="eastAsia" w:ascii="宋体" w:hAnsi="宋体" w:eastAsia="宋体" w:cs="Times New Roman"/>
          <w:color w:val="auto"/>
          <w:lang w:eastAsia="zh-CN"/>
        </w:rPr>
        <w:t>网站</w:t>
      </w:r>
      <w:r>
        <w:rPr>
          <w:rFonts w:hint="eastAsia" w:ascii="宋体" w:hAnsi="宋体" w:eastAsia="宋体" w:cs="Times New Roman"/>
          <w:color w:val="auto"/>
        </w:rPr>
        <w:t>交易平台将予以拒收。</w:t>
      </w:r>
    </w:p>
    <w:p w14:paraId="2895B698">
      <w:pPr>
        <w:spacing w:line="360" w:lineRule="auto"/>
        <w:ind w:firstLine="420" w:firstLineChars="200"/>
        <w:rPr>
          <w:rFonts w:ascii="宋体" w:hAnsi="宋体" w:eastAsia="宋体" w:cs="Times New Roman"/>
          <w:color w:val="auto"/>
        </w:rPr>
      </w:pPr>
      <w:r>
        <w:rPr>
          <w:rFonts w:ascii="宋体" w:hAnsi="宋体" w:eastAsia="宋体" w:cs="Times New Roman"/>
          <w:color w:val="auto"/>
        </w:rPr>
        <w:t>4.2.</w:t>
      </w:r>
      <w:r>
        <w:rPr>
          <w:rFonts w:hint="eastAsia" w:ascii="宋体" w:hAnsi="宋体" w:eastAsia="宋体" w:cs="Times New Roman"/>
          <w:color w:val="auto"/>
          <w:lang w:val="en-US" w:eastAsia="zh-CN"/>
        </w:rPr>
        <w:t xml:space="preserve">4 </w:t>
      </w:r>
      <w:r>
        <w:rPr>
          <w:rFonts w:hint="eastAsia" w:ascii="宋体" w:hAnsi="宋体" w:eastAsia="宋体" w:cs="Times New Roman"/>
          <w:color w:val="auto"/>
        </w:rPr>
        <w:t>投标截止前，招标人拒绝接收符合条件的投标文件，投标人可向招标监督机构投</w:t>
      </w:r>
      <w:r>
        <w:rPr>
          <w:rFonts w:hint="eastAsia" w:ascii="宋体" w:hAnsi="宋体" w:eastAsia="宋体" w:cs="Times New Roman"/>
          <w:color w:val="auto"/>
          <w:lang w:eastAsia="zh-CN"/>
        </w:rPr>
        <w:t>诉</w:t>
      </w:r>
      <w:r>
        <w:rPr>
          <w:rFonts w:ascii="宋体" w:hAnsi="宋体" w:eastAsia="宋体" w:cs="Times New Roman"/>
          <w:color w:val="auto"/>
        </w:rPr>
        <w:t>。</w:t>
      </w:r>
    </w:p>
    <w:p w14:paraId="3E9FC1CF">
      <w:pPr>
        <w:pStyle w:val="7"/>
      </w:pPr>
    </w:p>
    <w:p w14:paraId="4608370F">
      <w:pPr>
        <w:pStyle w:val="4"/>
        <w:bidi w:val="0"/>
      </w:pPr>
      <w:bookmarkStart w:id="568" w:name="_Toc17532"/>
      <w:bookmarkStart w:id="569" w:name="_Toc26387"/>
      <w:bookmarkStart w:id="570" w:name="_Toc492300594"/>
      <w:bookmarkStart w:id="571" w:name="_Toc30869"/>
      <w:bookmarkStart w:id="572" w:name="_Toc15299"/>
      <w:bookmarkStart w:id="573" w:name="_Toc9147"/>
      <w:bookmarkStart w:id="574" w:name="_Toc8217"/>
      <w:bookmarkStart w:id="575" w:name="_Toc23826"/>
      <w:bookmarkStart w:id="576" w:name="_Toc3485"/>
      <w:bookmarkStart w:id="577" w:name="_Toc16381"/>
      <w:bookmarkStart w:id="578" w:name="_Toc1455"/>
      <w:bookmarkStart w:id="579" w:name="_Toc16702"/>
      <w:bookmarkStart w:id="580" w:name="_Toc4752"/>
      <w:bookmarkStart w:id="581" w:name="_Toc26046"/>
      <w:bookmarkStart w:id="582" w:name="_Toc26319"/>
      <w:bookmarkStart w:id="583" w:name="_Toc22854"/>
      <w:r>
        <w:t xml:space="preserve">4.3 </w:t>
      </w:r>
      <w:r>
        <w:rPr>
          <w:rFonts w:hint="eastAsia"/>
        </w:rPr>
        <w:t>投标文件的修改与撤回</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0CD09B7B">
      <w:pPr>
        <w:spacing w:before="68" w:line="352" w:lineRule="auto"/>
        <w:ind w:firstLine="420" w:firstLineChars="200"/>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4.3.1 在规定的投标截止时间前， 投标人可以修改或撤回已递交的投标文件， 但应以书面形式通知招标人。</w:t>
      </w:r>
    </w:p>
    <w:p w14:paraId="480E3C29">
      <w:pPr>
        <w:spacing w:before="1" w:line="351" w:lineRule="auto"/>
        <w:ind w:left="1" w:right="60" w:firstLine="415"/>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4.3.2 投标人修改或撤回已递交投标文件，需在交易平台发出修改或撤回通知，并按要求加盖电子印章。电子招标投标交易平台收到通知后，即时向投标人发出确认回执通知。</w:t>
      </w:r>
    </w:p>
    <w:p w14:paraId="356A3F16">
      <w:pPr>
        <w:spacing w:before="2" w:line="351" w:lineRule="auto"/>
        <w:ind w:left="18" w:right="60" w:firstLine="397"/>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4.3.3 修改后再次递交的，按第4.2项的规定执行。</w:t>
      </w:r>
    </w:p>
    <w:p w14:paraId="664F8661">
      <w:pPr>
        <w:spacing w:before="2" w:line="351" w:lineRule="auto"/>
        <w:ind w:left="18" w:right="60" w:firstLine="397"/>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4.3.4 在投标截止时间之后，投标人不得补充、修改和更换投标文件。</w:t>
      </w:r>
    </w:p>
    <w:p w14:paraId="5CDED873">
      <w:pPr>
        <w:spacing w:line="360" w:lineRule="auto"/>
        <w:ind w:firstLine="420" w:firstLineChars="200"/>
        <w:rPr>
          <w:rFonts w:ascii="宋体" w:hAnsi="宋体" w:cs="宋体"/>
          <w:sz w:val="21"/>
          <w:szCs w:val="21"/>
        </w:rPr>
      </w:pPr>
      <w:r>
        <w:rPr>
          <w:rFonts w:hint="eastAsia" w:ascii="宋体" w:hAnsi="宋体" w:eastAsia="宋体" w:cs="Times New Roman"/>
          <w:color w:val="auto"/>
          <w:sz w:val="21"/>
          <w:lang w:val="en-US" w:eastAsia="zh-CN" w:bidi="ar-SA"/>
        </w:rPr>
        <w:t>4.3.5 投标人撤回投标文件的，招标人自收到投标人书面撤回通知之日起 5 日内退还已收取的投标保证金</w:t>
      </w:r>
      <w:r>
        <w:rPr>
          <w:rFonts w:hint="eastAsia" w:ascii="宋体" w:hAnsi="宋体" w:cs="宋体"/>
          <w:sz w:val="21"/>
          <w:szCs w:val="21"/>
        </w:rPr>
        <w:t>。</w:t>
      </w:r>
    </w:p>
    <w:p w14:paraId="0733BDF9">
      <w:pPr>
        <w:pStyle w:val="3"/>
        <w:bidi w:val="0"/>
        <w:rPr>
          <w:rFonts w:hint="eastAsia" w:ascii="宋体" w:hAnsi="宋体" w:eastAsia="宋体" w:cs="宋体"/>
          <w:b/>
          <w:bCs w:val="0"/>
        </w:rPr>
      </w:pPr>
      <w:bookmarkStart w:id="584" w:name="_Toc24926"/>
      <w:bookmarkStart w:id="585" w:name="_Toc614"/>
      <w:bookmarkStart w:id="586" w:name="_Toc17589"/>
      <w:bookmarkStart w:id="587" w:name="_Toc3924"/>
      <w:bookmarkStart w:id="588" w:name="_Toc492300595"/>
      <w:bookmarkStart w:id="589" w:name="_Toc17579"/>
      <w:bookmarkStart w:id="590" w:name="_Toc26810"/>
      <w:bookmarkStart w:id="591" w:name="_Toc20390"/>
      <w:bookmarkStart w:id="592" w:name="_Toc12919"/>
      <w:bookmarkStart w:id="593" w:name="_Toc18317"/>
      <w:bookmarkStart w:id="594" w:name="_Toc22040"/>
      <w:bookmarkStart w:id="595" w:name="_Toc19839"/>
      <w:bookmarkStart w:id="596" w:name="_Toc266"/>
      <w:bookmarkStart w:id="597" w:name="_Toc25847"/>
      <w:bookmarkStart w:id="598" w:name="_Toc18056"/>
      <w:bookmarkStart w:id="599" w:name="_Toc26783"/>
      <w:bookmarkStart w:id="600" w:name="_Toc453"/>
      <w:r>
        <w:rPr>
          <w:rFonts w:hint="eastAsia" w:ascii="宋体" w:hAnsi="宋体" w:eastAsia="宋体" w:cs="宋体"/>
          <w:b/>
          <w:bCs w:val="0"/>
        </w:rPr>
        <w:t>5. 开标</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58EBF98">
      <w:pPr>
        <w:pStyle w:val="4"/>
        <w:bidi w:val="0"/>
      </w:pPr>
      <w:bookmarkStart w:id="601" w:name="_Toc8341"/>
      <w:bookmarkStart w:id="602" w:name="_Toc32584"/>
      <w:bookmarkStart w:id="603" w:name="_Toc23813"/>
      <w:bookmarkStart w:id="604" w:name="_Toc1027"/>
      <w:bookmarkStart w:id="605" w:name="_Toc492300597"/>
      <w:bookmarkStart w:id="606" w:name="_Toc7330"/>
      <w:bookmarkStart w:id="607" w:name="_Toc3269"/>
      <w:bookmarkStart w:id="608" w:name="_Toc20139"/>
      <w:bookmarkStart w:id="609" w:name="_Toc10875"/>
      <w:bookmarkStart w:id="610" w:name="_Toc27378"/>
      <w:bookmarkStart w:id="611" w:name="_Toc15929"/>
      <w:bookmarkStart w:id="612" w:name="_Toc21586"/>
      <w:bookmarkStart w:id="613" w:name="_Toc24387"/>
      <w:bookmarkStart w:id="614" w:name="_Toc7349"/>
      <w:bookmarkStart w:id="615" w:name="_Toc31439"/>
      <w:bookmarkStart w:id="616" w:name="_Toc24094"/>
      <w:r>
        <w:t xml:space="preserve">5.1 </w:t>
      </w:r>
      <w:r>
        <w:rPr>
          <w:rFonts w:hint="eastAsia"/>
        </w:rPr>
        <w:t>开标时间和地点</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067BDA18">
      <w:pPr>
        <w:spacing w:before="2" w:line="351" w:lineRule="auto"/>
        <w:ind w:left="18" w:right="60" w:firstLine="397"/>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5.1.1 招标人按投标须知前附表规定的时间和地点公开开标。截标后，开标开始时间因故推迟的，相关评标信息仍以原定的开标开始时间的信息为准。</w:t>
      </w:r>
    </w:p>
    <w:p w14:paraId="003DC4A9">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Times New Roman"/>
          <w:color w:val="auto"/>
          <w:sz w:val="21"/>
          <w:lang w:val="en-US" w:eastAsia="zh-CN" w:bidi="ar-SA"/>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r>
        <w:rPr>
          <w:rFonts w:hint="eastAsia" w:ascii="宋体" w:hAnsi="宋体" w:cs="宋体"/>
          <w:sz w:val="21"/>
          <w:szCs w:val="21"/>
          <w:lang w:eastAsia="zh-CN"/>
        </w:rPr>
        <w:t>。</w:t>
      </w:r>
    </w:p>
    <w:p w14:paraId="12780C41">
      <w:pPr>
        <w:pStyle w:val="4"/>
        <w:bidi w:val="0"/>
      </w:pPr>
      <w:bookmarkStart w:id="617" w:name="_Toc22409"/>
      <w:bookmarkStart w:id="618" w:name="_Toc21132"/>
      <w:bookmarkStart w:id="619" w:name="_Toc17353"/>
      <w:bookmarkStart w:id="620" w:name="_Toc1756"/>
      <w:bookmarkStart w:id="621" w:name="_Toc25527"/>
      <w:bookmarkStart w:id="622" w:name="_Toc30900"/>
      <w:bookmarkStart w:id="623" w:name="_Toc1866"/>
      <w:bookmarkStart w:id="624" w:name="_Toc24429"/>
      <w:bookmarkStart w:id="625" w:name="_Toc20423"/>
      <w:bookmarkStart w:id="626" w:name="_Toc1630"/>
      <w:bookmarkStart w:id="627" w:name="_Toc26133"/>
      <w:bookmarkStart w:id="628" w:name="_Toc2757"/>
      <w:bookmarkStart w:id="629" w:name="_Toc492300598"/>
      <w:bookmarkStart w:id="630" w:name="_Toc1229"/>
      <w:bookmarkStart w:id="631" w:name="_Toc27222"/>
      <w:bookmarkStart w:id="632" w:name="_Toc13430"/>
      <w:r>
        <w:t xml:space="preserve">5.2 </w:t>
      </w:r>
      <w:r>
        <w:rPr>
          <w:rFonts w:hint="eastAsia"/>
        </w:rPr>
        <w:t>开标程序</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06D20FBE">
      <w:pPr>
        <w:spacing w:before="2" w:line="351" w:lineRule="auto"/>
        <w:ind w:left="18" w:right="60" w:firstLine="397"/>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5.2.1 在投标截止时间后</w:t>
      </w:r>
      <w:r>
        <w:rPr>
          <w:rFonts w:hint="eastAsia" w:ascii="宋体" w:hAnsi="宋体" w:eastAsia="宋体" w:cs="Times New Roman"/>
          <w:color w:val="auto"/>
          <w:sz w:val="21"/>
          <w:u w:val="single"/>
          <w:lang w:val="en-US" w:eastAsia="zh-CN" w:bidi="ar-SA"/>
        </w:rPr>
        <w:t>一小时</w:t>
      </w:r>
      <w:r>
        <w:rPr>
          <w:rFonts w:hint="eastAsia" w:ascii="宋体" w:hAnsi="宋体" w:eastAsia="宋体" w:cs="Times New Roman"/>
          <w:color w:val="auto"/>
          <w:sz w:val="21"/>
          <w:lang w:val="en-US" w:eastAsia="zh-CN" w:bidi="ar-SA"/>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7E5E8B84">
      <w:pPr>
        <w:spacing w:before="2" w:line="351" w:lineRule="auto"/>
        <w:ind w:left="18" w:right="60" w:firstLine="397"/>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5.2.2 按开标记录表规定的内容进行唱标。</w:t>
      </w:r>
    </w:p>
    <w:p w14:paraId="09C11283">
      <w:pPr>
        <w:spacing w:before="2" w:line="351" w:lineRule="auto"/>
        <w:ind w:left="18" w:right="60" w:firstLine="397"/>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5.2.3 投标人代表、招标人代表等有关人员在开标记录上签字确认；若有关人员不签字的，不影响开标程序。</w:t>
      </w:r>
    </w:p>
    <w:p w14:paraId="514DF802">
      <w:pPr>
        <w:spacing w:before="2" w:line="351" w:lineRule="auto"/>
        <w:ind w:left="18" w:right="60" w:firstLine="397"/>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5.2.4 开标结束。</w:t>
      </w:r>
    </w:p>
    <w:p w14:paraId="2178BC22">
      <w:pPr>
        <w:spacing w:before="2" w:line="351" w:lineRule="auto"/>
        <w:ind w:left="18" w:right="60" w:firstLine="397"/>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4C3424B">
      <w:pPr>
        <w:spacing w:line="360" w:lineRule="auto"/>
        <w:ind w:firstLine="420" w:firstLineChars="200"/>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5.2.6 开标时，两个（含两个）以上的投标人加密打包投标文件的硬件特征码（含MAC地址、硬盘序列号、CPU名称、主板等）一致的，由评标委员会否决其投标。</w:t>
      </w:r>
    </w:p>
    <w:p w14:paraId="29F4F03F">
      <w:pPr>
        <w:pStyle w:val="7"/>
        <w:rPr>
          <w:rFonts w:hint="eastAsia"/>
        </w:rPr>
      </w:pPr>
    </w:p>
    <w:p w14:paraId="3798E042">
      <w:pPr>
        <w:pStyle w:val="4"/>
        <w:bidi w:val="0"/>
      </w:pPr>
      <w:bookmarkStart w:id="633" w:name="_Toc9628"/>
      <w:bookmarkStart w:id="634" w:name="_Toc16728"/>
      <w:bookmarkStart w:id="635" w:name="_Toc23605"/>
      <w:bookmarkStart w:id="636" w:name="_Toc22136"/>
      <w:bookmarkStart w:id="637" w:name="_Toc12797"/>
      <w:bookmarkStart w:id="638" w:name="_Toc27376"/>
      <w:bookmarkStart w:id="639" w:name="_Toc13616"/>
      <w:bookmarkStart w:id="640" w:name="_Toc15293"/>
      <w:bookmarkStart w:id="641" w:name="_Toc15625"/>
      <w:bookmarkStart w:id="642" w:name="_Toc17039"/>
      <w:bookmarkStart w:id="643" w:name="_Toc30713"/>
      <w:bookmarkStart w:id="644" w:name="_Toc8923"/>
      <w:bookmarkStart w:id="645" w:name="_Toc26239"/>
      <w:bookmarkStart w:id="646" w:name="_Toc23754"/>
      <w:bookmarkStart w:id="647" w:name="_Toc492300599"/>
      <w:bookmarkStart w:id="648" w:name="_Toc18350"/>
      <w:r>
        <w:t xml:space="preserve">5.3 </w:t>
      </w:r>
      <w:r>
        <w:rPr>
          <w:rFonts w:hint="eastAsia"/>
        </w:rPr>
        <w:t>开标异议</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0BB4B46F">
      <w:pPr>
        <w:pageBreakBefore w:val="0"/>
        <w:wordWrap/>
        <w:topLinePunct w:val="0"/>
        <w:autoSpaceDE w:val="0"/>
        <w:autoSpaceDN w:val="0"/>
        <w:bidi w:val="0"/>
        <w:adjustRightInd/>
        <w:snapToGrid/>
        <w:spacing w:line="360" w:lineRule="auto"/>
        <w:ind w:firstLine="420" w:firstLineChars="200"/>
        <w:jc w:val="both"/>
        <w:textAlignment w:val="auto"/>
        <w:rPr>
          <w:rFonts w:hint="eastAsia"/>
          <w:color w:val="auto"/>
          <w:sz w:val="21"/>
          <w:szCs w:val="21"/>
        </w:rPr>
      </w:pPr>
      <w:r>
        <w:rPr>
          <w:color w:val="auto"/>
          <w:sz w:val="21"/>
          <w:szCs w:val="21"/>
        </w:rPr>
        <w:t>5.3.</w:t>
      </w:r>
      <w:r>
        <w:rPr>
          <w:rFonts w:hint="eastAsia"/>
          <w:color w:val="auto"/>
          <w:sz w:val="21"/>
          <w:szCs w:val="21"/>
        </w:rPr>
        <w:t>1</w:t>
      </w:r>
      <w:r>
        <w:rPr>
          <w:rFonts w:hint="eastAsia"/>
          <w:color w:val="auto"/>
          <w:sz w:val="21"/>
          <w:szCs w:val="21"/>
          <w:lang w:val="en-US" w:eastAsia="zh-CN"/>
        </w:rPr>
        <w:t xml:space="preserve"> </w:t>
      </w:r>
      <w:r>
        <w:rPr>
          <w:rFonts w:hint="eastAsia"/>
          <w:color w:val="auto"/>
          <w:sz w:val="21"/>
          <w:szCs w:val="21"/>
        </w:rPr>
        <w:t>参加现场开标的投标人对开标结果有异议的，应当在开标现场提出，该投标人代表须同时出示本人身份证原件，招标人应当当场作出答复，并制作记录。未答复的，开标程序不得结束。</w:t>
      </w:r>
    </w:p>
    <w:p w14:paraId="36080EEB">
      <w:pPr>
        <w:spacing w:before="2" w:line="351" w:lineRule="auto"/>
        <w:ind w:left="18" w:right="60" w:firstLine="397"/>
        <w:rPr>
          <w:rFonts w:hint="eastAsia"/>
          <w:color w:val="auto"/>
          <w:sz w:val="21"/>
          <w:szCs w:val="21"/>
        </w:rPr>
      </w:pPr>
      <w:r>
        <w:rPr>
          <w:color w:val="auto"/>
          <w:sz w:val="21"/>
          <w:szCs w:val="21"/>
        </w:rPr>
        <w:t>5.3.</w:t>
      </w:r>
      <w:r>
        <w:rPr>
          <w:rFonts w:hint="eastAsia"/>
          <w:color w:val="auto"/>
          <w:sz w:val="21"/>
          <w:szCs w:val="21"/>
        </w:rPr>
        <w:t>2</w:t>
      </w:r>
      <w:r>
        <w:rPr>
          <w:rFonts w:hint="eastAsia"/>
          <w:color w:val="auto"/>
          <w:sz w:val="21"/>
          <w:szCs w:val="21"/>
          <w:lang w:val="en-US" w:eastAsia="zh-CN"/>
        </w:rPr>
        <w:t xml:space="preserve"> </w:t>
      </w:r>
      <w:r>
        <w:rPr>
          <w:rFonts w:hint="eastAsia"/>
          <w:color w:val="auto"/>
          <w:sz w:val="21"/>
          <w:szCs w:val="21"/>
        </w:rPr>
        <w:t>参加在线开标的投标人对开标结果有异议的，应当在唱标结束后的规定时间内使用单位数字证书登</w:t>
      </w:r>
      <w:r>
        <w:rPr>
          <w:rFonts w:hint="eastAsia" w:ascii="Times New Roman" w:hAnsi="Times New Roman" w:eastAsia="宋体" w:cs="Times New Roman"/>
          <w:color w:val="auto"/>
          <w:sz w:val="21"/>
          <w:szCs w:val="21"/>
        </w:rPr>
        <w:t>录</w:t>
      </w:r>
      <w:r>
        <w:rPr>
          <w:rFonts w:hint="eastAsia" w:ascii="Times New Roman" w:hAnsi="Times New Roman" w:eastAsia="宋体" w:cs="Times New Roman"/>
          <w:color w:val="auto"/>
          <w:sz w:val="21"/>
          <w:szCs w:val="21"/>
          <w:u w:val="single"/>
          <w:lang w:eastAsia="zh-CN"/>
        </w:rPr>
        <w:t>广州交易集团有限公司（广州公共资源交易中心）</w:t>
      </w:r>
      <w:r>
        <w:rPr>
          <w:rFonts w:hint="eastAsia"/>
          <w:color w:val="auto"/>
          <w:sz w:val="21"/>
          <w:szCs w:val="21"/>
          <w:lang w:eastAsia="zh-CN"/>
        </w:rPr>
        <w:t>（</w:t>
      </w:r>
      <w:r>
        <w:rPr>
          <w:rFonts w:hint="eastAsia"/>
          <w:color w:val="auto"/>
          <w:sz w:val="21"/>
          <w:szCs w:val="21"/>
        </w:rPr>
        <w:t>电子招标投标交易平台</w:t>
      </w:r>
      <w:r>
        <w:rPr>
          <w:rFonts w:hint="eastAsia"/>
          <w:color w:val="auto"/>
          <w:sz w:val="21"/>
          <w:szCs w:val="21"/>
          <w:lang w:eastAsia="zh-CN"/>
        </w:rPr>
        <w:t>）</w:t>
      </w:r>
      <w:r>
        <w:rPr>
          <w:rFonts w:hint="eastAsia"/>
          <w:color w:val="auto"/>
          <w:sz w:val="21"/>
          <w:szCs w:val="21"/>
        </w:rPr>
        <w:t>后通过电子招标投标交易平台提出。</w:t>
      </w:r>
      <w:r>
        <w:rPr>
          <w:rFonts w:hint="eastAsia"/>
          <w:color w:val="auto"/>
          <w:sz w:val="21"/>
          <w:szCs w:val="21"/>
          <w:lang w:eastAsia="zh-CN"/>
        </w:rPr>
        <w:t>若</w:t>
      </w:r>
      <w:r>
        <w:rPr>
          <w:rFonts w:hint="eastAsia"/>
          <w:color w:val="auto"/>
          <w:sz w:val="21"/>
          <w:szCs w:val="21"/>
        </w:rPr>
        <w:t>招标人授权招标代理机构工作人员使用招标代理机构数字证书登录电子招标投标交易平台答复异议，异议答复是招标人真实意思表示。未答复的，开标程序不得结束。</w:t>
      </w:r>
    </w:p>
    <w:p w14:paraId="618D8511">
      <w:pPr>
        <w:spacing w:before="2" w:line="351" w:lineRule="auto"/>
        <w:ind w:left="18" w:right="60" w:firstLine="397"/>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5.3.3  </w:t>
      </w:r>
      <w:r>
        <w:rPr>
          <w:rFonts w:hint="eastAsia" w:ascii="Times New Roman" w:hAnsi="Times New Roman" w:eastAsia="宋体" w:cs="Times New Roman"/>
          <w:color w:val="auto"/>
          <w:sz w:val="21"/>
          <w:szCs w:val="21"/>
          <w:lang w:eastAsia="zh-CN"/>
        </w:rPr>
        <w:t>投标人未参加开标或在规定的时间内未提出异议的，视为对开标无异议。</w:t>
      </w:r>
    </w:p>
    <w:p w14:paraId="3B367A72">
      <w:pPr>
        <w:pStyle w:val="3"/>
        <w:bidi w:val="0"/>
        <w:rPr>
          <w:rFonts w:hint="eastAsia" w:ascii="宋体" w:hAnsi="宋体" w:eastAsia="宋体" w:cs="宋体"/>
          <w:b/>
          <w:bCs w:val="0"/>
        </w:rPr>
      </w:pPr>
      <w:bookmarkStart w:id="649" w:name="_Toc30726"/>
      <w:bookmarkStart w:id="650" w:name="_Toc598"/>
      <w:bookmarkStart w:id="651" w:name="_Toc9100"/>
      <w:bookmarkStart w:id="652" w:name="_Toc19845"/>
      <w:bookmarkStart w:id="653" w:name="_Toc31048"/>
      <w:bookmarkStart w:id="654" w:name="_Toc21175"/>
      <w:bookmarkStart w:id="655" w:name="_Toc3417"/>
      <w:bookmarkStart w:id="656" w:name="_Toc4522"/>
      <w:bookmarkStart w:id="657" w:name="_Toc12131"/>
      <w:bookmarkStart w:id="658" w:name="_Toc25058"/>
      <w:bookmarkStart w:id="659" w:name="_Toc8499"/>
      <w:bookmarkStart w:id="660" w:name="_Toc492300600"/>
      <w:bookmarkStart w:id="661" w:name="_Toc27635"/>
      <w:bookmarkStart w:id="662" w:name="_Toc10923"/>
      <w:bookmarkStart w:id="663" w:name="_Toc14100"/>
      <w:bookmarkStart w:id="664" w:name="_Toc16886"/>
      <w:bookmarkStart w:id="665" w:name="_Toc3701"/>
      <w:r>
        <w:rPr>
          <w:rFonts w:hint="eastAsia" w:ascii="宋体" w:hAnsi="宋体" w:eastAsia="宋体" w:cs="宋体"/>
          <w:b/>
          <w:bCs w:val="0"/>
        </w:rPr>
        <w:t>6. 评标</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BFB17B7">
      <w:pPr>
        <w:pStyle w:val="4"/>
        <w:bidi w:val="0"/>
      </w:pPr>
      <w:bookmarkStart w:id="666" w:name="_Toc1011"/>
      <w:bookmarkStart w:id="667" w:name="_Toc24485"/>
      <w:bookmarkStart w:id="668" w:name="_Toc492300601"/>
      <w:bookmarkStart w:id="669" w:name="_Toc7722"/>
      <w:bookmarkStart w:id="670" w:name="_Toc9698"/>
      <w:bookmarkStart w:id="671" w:name="_Toc9495"/>
      <w:bookmarkStart w:id="672" w:name="_Toc32557"/>
      <w:bookmarkStart w:id="673" w:name="_Toc1544"/>
      <w:bookmarkStart w:id="674" w:name="_Toc11695"/>
      <w:bookmarkStart w:id="675" w:name="_Toc29125"/>
      <w:bookmarkStart w:id="676" w:name="_Toc28004"/>
      <w:bookmarkStart w:id="677" w:name="_Toc6806"/>
      <w:bookmarkStart w:id="678" w:name="_Toc25188"/>
      <w:bookmarkStart w:id="679" w:name="_Toc20632"/>
      <w:bookmarkStart w:id="680" w:name="_Toc16262"/>
      <w:bookmarkStart w:id="681" w:name="_Toc349"/>
      <w:r>
        <w:t xml:space="preserve">6.1 </w:t>
      </w:r>
      <w:r>
        <w:rPr>
          <w:rFonts w:hint="eastAsia"/>
        </w:rPr>
        <w:t>评标委员会</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6E3C00D2">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rPr>
        <w:t>6.1.1</w:t>
      </w:r>
      <w:r>
        <w:rPr>
          <w:rFonts w:hint="eastAsia" w:ascii="宋体" w:hAnsi="宋体" w:eastAsia="宋体" w:cs="宋体"/>
          <w:color w:val="auto"/>
          <w:spacing w:val="50"/>
        </w:rPr>
        <w:t xml:space="preserve"> </w:t>
      </w:r>
      <w:r>
        <w:rPr>
          <w:rFonts w:hint="eastAsia" w:ascii="宋体" w:hAnsi="宋体" w:eastAsia="宋体" w:cs="宋体"/>
          <w:color w:val="auto"/>
        </w:rPr>
        <w:t>评</w:t>
      </w:r>
      <w:r>
        <w:rPr>
          <w:rFonts w:hint="eastAsia" w:ascii="宋体" w:hAnsi="宋体" w:eastAsia="宋体" w:cs="宋体"/>
          <w:color w:val="auto"/>
          <w:spacing w:val="-3"/>
          <w:highlight w:val="none"/>
        </w:rPr>
        <w:t>标</w:t>
      </w:r>
      <w:r>
        <w:rPr>
          <w:rFonts w:hint="eastAsia" w:ascii="宋体" w:hAnsi="宋体" w:eastAsia="宋体" w:cs="宋体"/>
          <w:color w:val="auto"/>
          <w:highlight w:val="none"/>
        </w:rPr>
        <w:t>由</w:t>
      </w:r>
      <w:r>
        <w:rPr>
          <w:rFonts w:hint="eastAsia" w:ascii="宋体" w:hAnsi="宋体" w:eastAsia="宋体" w:cs="宋体"/>
          <w:color w:val="auto"/>
          <w:spacing w:val="-3"/>
          <w:highlight w:val="none"/>
        </w:rPr>
        <w:t>招</w:t>
      </w:r>
      <w:r>
        <w:rPr>
          <w:rFonts w:hint="eastAsia" w:ascii="宋体" w:hAnsi="宋体" w:eastAsia="宋体" w:cs="宋体"/>
          <w:color w:val="auto"/>
          <w:highlight w:val="none"/>
        </w:rPr>
        <w:t>标</w:t>
      </w:r>
      <w:r>
        <w:rPr>
          <w:rFonts w:hint="eastAsia" w:ascii="宋体" w:hAnsi="宋体" w:eastAsia="宋体" w:cs="宋体"/>
          <w:color w:val="auto"/>
          <w:spacing w:val="-3"/>
          <w:highlight w:val="none"/>
        </w:rPr>
        <w:t>人</w:t>
      </w:r>
      <w:r>
        <w:rPr>
          <w:rFonts w:hint="eastAsia" w:ascii="宋体" w:hAnsi="宋体" w:eastAsia="宋体" w:cs="宋体"/>
          <w:color w:val="auto"/>
          <w:highlight w:val="none"/>
        </w:rPr>
        <w:t>依</w:t>
      </w:r>
      <w:r>
        <w:rPr>
          <w:rFonts w:hint="eastAsia" w:ascii="宋体" w:hAnsi="宋体" w:eastAsia="宋体" w:cs="宋体"/>
          <w:color w:val="auto"/>
          <w:spacing w:val="-3"/>
          <w:highlight w:val="none"/>
        </w:rPr>
        <w:t>法组</w:t>
      </w:r>
      <w:r>
        <w:rPr>
          <w:rFonts w:hint="eastAsia" w:ascii="宋体" w:hAnsi="宋体" w:eastAsia="宋体" w:cs="宋体"/>
          <w:color w:val="auto"/>
          <w:highlight w:val="none"/>
        </w:rPr>
        <w:t>建的</w:t>
      </w:r>
      <w:r>
        <w:rPr>
          <w:rFonts w:hint="eastAsia" w:ascii="宋体" w:hAnsi="宋体" w:eastAsia="宋体" w:cs="宋体"/>
          <w:color w:val="auto"/>
          <w:spacing w:val="-3"/>
          <w:highlight w:val="none"/>
        </w:rPr>
        <w:t>评</w:t>
      </w:r>
      <w:r>
        <w:rPr>
          <w:rFonts w:hint="eastAsia" w:ascii="宋体" w:hAnsi="宋体" w:eastAsia="宋体" w:cs="宋体"/>
          <w:color w:val="auto"/>
          <w:highlight w:val="none"/>
        </w:rPr>
        <w:t>标</w:t>
      </w:r>
      <w:r>
        <w:rPr>
          <w:rFonts w:hint="eastAsia" w:ascii="宋体" w:hAnsi="宋体" w:eastAsia="宋体" w:cs="宋体"/>
          <w:color w:val="auto"/>
          <w:spacing w:val="-3"/>
          <w:highlight w:val="none"/>
        </w:rPr>
        <w:t>委</w:t>
      </w:r>
      <w:r>
        <w:rPr>
          <w:rFonts w:hint="eastAsia" w:ascii="宋体" w:hAnsi="宋体" w:eastAsia="宋体" w:cs="宋体"/>
          <w:color w:val="auto"/>
          <w:highlight w:val="none"/>
        </w:rPr>
        <w:t>员</w:t>
      </w:r>
      <w:r>
        <w:rPr>
          <w:rFonts w:hint="eastAsia" w:ascii="宋体" w:hAnsi="宋体" w:eastAsia="宋体" w:cs="宋体"/>
          <w:color w:val="auto"/>
          <w:spacing w:val="-3"/>
          <w:highlight w:val="none"/>
        </w:rPr>
        <w:t>会</w:t>
      </w:r>
      <w:r>
        <w:rPr>
          <w:rFonts w:hint="eastAsia" w:ascii="宋体" w:hAnsi="宋体" w:eastAsia="宋体" w:cs="宋体"/>
          <w:color w:val="auto"/>
          <w:highlight w:val="none"/>
        </w:rPr>
        <w:t>负</w:t>
      </w:r>
      <w:r>
        <w:rPr>
          <w:rFonts w:hint="eastAsia" w:ascii="宋体" w:hAnsi="宋体" w:eastAsia="宋体" w:cs="宋体"/>
          <w:color w:val="auto"/>
          <w:spacing w:val="-3"/>
          <w:highlight w:val="none"/>
        </w:rPr>
        <w:t>责</w:t>
      </w:r>
      <w:r>
        <w:rPr>
          <w:rFonts w:hint="eastAsia" w:ascii="宋体" w:hAnsi="宋体" w:eastAsia="宋体" w:cs="宋体"/>
          <w:color w:val="auto"/>
          <w:spacing w:val="-77"/>
          <w:highlight w:val="none"/>
        </w:rPr>
        <w:t>。</w:t>
      </w:r>
      <w:r>
        <w:rPr>
          <w:rFonts w:hint="eastAsia" w:ascii="宋体" w:hAnsi="宋体" w:eastAsia="宋体" w:cs="宋体"/>
          <w:color w:val="auto"/>
          <w:sz w:val="21"/>
          <w:szCs w:val="21"/>
          <w:highlight w:val="none"/>
        </w:rPr>
        <w:t>评标委员会由有关技术、经济等方面的专家和招标人代表组成，专家</w:t>
      </w:r>
      <w:r>
        <w:rPr>
          <w:rFonts w:hint="eastAsia" w:ascii="宋体" w:hAnsi="宋体" w:eastAsia="宋体" w:cs="宋体"/>
          <w:color w:val="auto"/>
          <w:sz w:val="21"/>
          <w:szCs w:val="21"/>
          <w:highlight w:val="none"/>
          <w:lang w:eastAsia="zh-CN"/>
        </w:rPr>
        <w:t>从</w:t>
      </w:r>
      <w:r>
        <w:rPr>
          <w:rFonts w:hint="eastAsia" w:ascii="宋体" w:hAnsi="宋体" w:eastAsia="宋体" w:cs="宋体"/>
          <w:color w:val="auto"/>
          <w:sz w:val="21"/>
          <w:szCs w:val="21"/>
          <w:highlight w:val="none"/>
          <w:u w:val="single"/>
          <w:lang w:eastAsia="zh-CN"/>
        </w:rPr>
        <w:t>广东省综合评标评审</w:t>
      </w:r>
      <w:r>
        <w:rPr>
          <w:rFonts w:hint="eastAsia" w:ascii="宋体" w:hAnsi="宋体" w:eastAsia="宋体" w:cs="宋体"/>
          <w:color w:val="auto"/>
          <w:sz w:val="21"/>
          <w:szCs w:val="21"/>
          <w:highlight w:val="none"/>
          <w:u w:val="single"/>
        </w:rPr>
        <w:t>专家库</w:t>
      </w:r>
      <w:r>
        <w:rPr>
          <w:rFonts w:hint="eastAsia" w:ascii="宋体" w:hAnsi="宋体" w:eastAsia="宋体" w:cs="宋体"/>
          <w:color w:val="auto"/>
          <w:sz w:val="21"/>
          <w:szCs w:val="21"/>
          <w:highlight w:val="none"/>
        </w:rPr>
        <w:t>中抽取或按远程异地评标专家抽取相关规定组建</w:t>
      </w:r>
      <w:r>
        <w:rPr>
          <w:rFonts w:hint="eastAsia" w:ascii="宋体" w:hAnsi="宋体" w:eastAsia="宋体" w:cs="宋体"/>
          <w:color w:val="auto"/>
          <w:spacing w:val="-3"/>
          <w:highlight w:val="none"/>
        </w:rPr>
        <w:t>。</w:t>
      </w:r>
      <w:r>
        <w:rPr>
          <w:rFonts w:hint="eastAsia" w:ascii="宋体" w:hAnsi="宋体" w:eastAsia="宋体" w:cs="宋体"/>
          <w:color w:val="auto"/>
          <w:highlight w:val="none"/>
        </w:rPr>
        <w:t>评标</w:t>
      </w:r>
      <w:r>
        <w:rPr>
          <w:rFonts w:hint="eastAsia" w:ascii="宋体" w:hAnsi="宋体" w:eastAsia="宋体" w:cs="宋体"/>
          <w:color w:val="auto"/>
          <w:spacing w:val="-3"/>
          <w:highlight w:val="none"/>
        </w:rPr>
        <w:t>委</w:t>
      </w:r>
      <w:r>
        <w:rPr>
          <w:rFonts w:hint="eastAsia" w:ascii="宋体" w:hAnsi="宋体" w:eastAsia="宋体" w:cs="宋体"/>
          <w:color w:val="auto"/>
          <w:highlight w:val="none"/>
        </w:rPr>
        <w:t>员会成员人数</w:t>
      </w:r>
      <w:r>
        <w:rPr>
          <w:rFonts w:hint="eastAsia" w:ascii="宋体" w:hAnsi="宋体" w:eastAsia="宋体" w:cs="宋体"/>
          <w:color w:val="auto"/>
          <w:spacing w:val="-3"/>
          <w:highlight w:val="none"/>
        </w:rPr>
        <w:t>以</w:t>
      </w:r>
      <w:r>
        <w:rPr>
          <w:rFonts w:hint="eastAsia" w:ascii="宋体" w:hAnsi="宋体" w:eastAsia="宋体" w:cs="宋体"/>
          <w:color w:val="auto"/>
          <w:highlight w:val="none"/>
        </w:rPr>
        <w:t>及技术</w:t>
      </w:r>
      <w:r>
        <w:rPr>
          <w:rFonts w:hint="eastAsia" w:ascii="宋体" w:hAnsi="宋体" w:eastAsia="宋体" w:cs="宋体"/>
          <w:color w:val="auto"/>
          <w:spacing w:val="-3"/>
          <w:highlight w:val="none"/>
        </w:rPr>
        <w:t>、</w:t>
      </w:r>
      <w:r>
        <w:rPr>
          <w:rFonts w:hint="eastAsia" w:ascii="宋体" w:hAnsi="宋体" w:eastAsia="宋体" w:cs="宋体"/>
          <w:color w:val="auto"/>
          <w:highlight w:val="none"/>
        </w:rPr>
        <w:t>经</w:t>
      </w:r>
      <w:r>
        <w:rPr>
          <w:rFonts w:hint="eastAsia" w:ascii="宋体" w:hAnsi="宋体" w:eastAsia="宋体" w:cs="宋体"/>
          <w:color w:val="auto"/>
          <w:spacing w:val="-3"/>
          <w:highlight w:val="none"/>
        </w:rPr>
        <w:t>济</w:t>
      </w:r>
      <w:r>
        <w:rPr>
          <w:rFonts w:hint="eastAsia" w:ascii="宋体" w:hAnsi="宋体" w:eastAsia="宋体" w:cs="宋体"/>
          <w:color w:val="auto"/>
          <w:highlight w:val="none"/>
        </w:rPr>
        <w:t>等</w:t>
      </w:r>
      <w:r>
        <w:rPr>
          <w:rFonts w:hint="eastAsia" w:ascii="宋体" w:hAnsi="宋体" w:eastAsia="宋体" w:cs="宋体"/>
          <w:color w:val="auto"/>
          <w:spacing w:val="-3"/>
          <w:highlight w:val="none"/>
        </w:rPr>
        <w:t>方</w:t>
      </w:r>
      <w:r>
        <w:rPr>
          <w:rFonts w:hint="eastAsia" w:ascii="宋体" w:hAnsi="宋体" w:eastAsia="宋体" w:cs="宋体"/>
          <w:color w:val="auto"/>
          <w:highlight w:val="none"/>
        </w:rPr>
        <w:t>面</w:t>
      </w:r>
      <w:r>
        <w:rPr>
          <w:rFonts w:hint="eastAsia" w:ascii="宋体" w:hAnsi="宋体" w:eastAsia="宋体" w:cs="宋体"/>
          <w:color w:val="auto"/>
          <w:spacing w:val="-3"/>
          <w:highlight w:val="none"/>
        </w:rPr>
        <w:t>专</w:t>
      </w:r>
      <w:r>
        <w:rPr>
          <w:rFonts w:hint="eastAsia" w:ascii="宋体" w:hAnsi="宋体" w:eastAsia="宋体" w:cs="宋体"/>
          <w:color w:val="auto"/>
          <w:highlight w:val="none"/>
        </w:rPr>
        <w:t>家</w:t>
      </w:r>
      <w:r>
        <w:rPr>
          <w:rFonts w:hint="eastAsia" w:ascii="宋体" w:hAnsi="宋体" w:eastAsia="宋体" w:cs="宋体"/>
          <w:color w:val="auto"/>
          <w:spacing w:val="-3"/>
          <w:highlight w:val="none"/>
        </w:rPr>
        <w:t>的</w:t>
      </w:r>
      <w:r>
        <w:rPr>
          <w:rFonts w:hint="eastAsia" w:ascii="宋体" w:hAnsi="宋体" w:eastAsia="宋体" w:cs="宋体"/>
          <w:color w:val="auto"/>
          <w:highlight w:val="none"/>
        </w:rPr>
        <w:t>确定</w:t>
      </w:r>
      <w:r>
        <w:rPr>
          <w:rFonts w:hint="eastAsia" w:ascii="宋体" w:hAnsi="宋体" w:eastAsia="宋体" w:cs="宋体"/>
          <w:color w:val="auto"/>
          <w:spacing w:val="-3"/>
          <w:highlight w:val="none"/>
        </w:rPr>
        <w:t>方</w:t>
      </w:r>
      <w:r>
        <w:rPr>
          <w:rFonts w:hint="eastAsia" w:ascii="宋体" w:hAnsi="宋体" w:eastAsia="宋体" w:cs="宋体"/>
          <w:color w:val="auto"/>
          <w:highlight w:val="none"/>
        </w:rPr>
        <w:t>式</w:t>
      </w:r>
      <w:r>
        <w:rPr>
          <w:rFonts w:hint="eastAsia" w:ascii="宋体" w:hAnsi="宋体" w:eastAsia="宋体" w:cs="宋体"/>
          <w:color w:val="auto"/>
          <w:spacing w:val="-3"/>
          <w:highlight w:val="none"/>
        </w:rPr>
        <w:t>见</w:t>
      </w:r>
      <w:r>
        <w:rPr>
          <w:rFonts w:hint="eastAsia" w:ascii="宋体" w:hAnsi="宋体" w:eastAsia="宋体" w:cs="宋体"/>
          <w:color w:val="auto"/>
          <w:highlight w:val="none"/>
        </w:rPr>
        <w:t>投</w:t>
      </w:r>
      <w:r>
        <w:rPr>
          <w:rFonts w:hint="eastAsia" w:ascii="宋体" w:hAnsi="宋体" w:eastAsia="宋体" w:cs="宋体"/>
          <w:color w:val="auto"/>
          <w:spacing w:val="-3"/>
          <w:highlight w:val="none"/>
        </w:rPr>
        <w:t>标</w:t>
      </w:r>
      <w:r>
        <w:rPr>
          <w:rFonts w:hint="eastAsia" w:ascii="宋体" w:hAnsi="宋体" w:eastAsia="宋体" w:cs="宋体"/>
          <w:color w:val="auto"/>
          <w:highlight w:val="none"/>
        </w:rPr>
        <w:t>人</w:t>
      </w:r>
      <w:r>
        <w:rPr>
          <w:rFonts w:hint="eastAsia" w:ascii="宋体" w:hAnsi="宋体" w:eastAsia="宋体" w:cs="宋体"/>
          <w:color w:val="auto"/>
          <w:spacing w:val="-3"/>
          <w:highlight w:val="none"/>
        </w:rPr>
        <w:t>须</w:t>
      </w:r>
      <w:r>
        <w:rPr>
          <w:rFonts w:hint="eastAsia" w:ascii="宋体" w:hAnsi="宋体" w:eastAsia="宋体" w:cs="宋体"/>
          <w:color w:val="auto"/>
          <w:highlight w:val="none"/>
        </w:rPr>
        <w:t>知</w:t>
      </w:r>
      <w:r>
        <w:rPr>
          <w:rFonts w:hint="eastAsia" w:ascii="宋体" w:hAnsi="宋体" w:eastAsia="宋体" w:cs="宋体"/>
          <w:color w:val="auto"/>
          <w:spacing w:val="-3"/>
          <w:highlight w:val="none"/>
        </w:rPr>
        <w:t>前</w:t>
      </w:r>
      <w:r>
        <w:rPr>
          <w:rFonts w:hint="eastAsia" w:ascii="宋体" w:hAnsi="宋体" w:eastAsia="宋体" w:cs="宋体"/>
          <w:color w:val="auto"/>
          <w:highlight w:val="none"/>
        </w:rPr>
        <w:t>附表。</w:t>
      </w:r>
    </w:p>
    <w:p w14:paraId="2FB9FD1E">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right="0" w:firstLine="408" w:firstLineChars="200"/>
        <w:jc w:val="both"/>
        <w:textAlignment w:val="auto"/>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6.1.2 评标委员会成员有下列情形之一的，应当回避：</w:t>
      </w:r>
    </w:p>
    <w:p w14:paraId="61B8407E">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right="0" w:firstLine="408" w:firstLineChars="200"/>
        <w:jc w:val="both"/>
        <w:textAlignment w:val="auto"/>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(1)投标人或投标人主要负责人的近亲属；</w:t>
      </w:r>
    </w:p>
    <w:p w14:paraId="584869CF">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right="0" w:firstLine="408" w:firstLineChars="200"/>
        <w:jc w:val="both"/>
        <w:textAlignment w:val="auto"/>
        <w:rPr>
          <w:rFonts w:hint="eastAsia" w:ascii="宋体" w:hAnsi="宋体" w:eastAsia="宋体" w:cs="宋体"/>
          <w:color w:val="auto"/>
          <w:spacing w:val="-3"/>
        </w:rPr>
      </w:pPr>
      <w:r>
        <w:rPr>
          <w:rFonts w:hint="eastAsia" w:ascii="宋体" w:hAnsi="宋体" w:eastAsia="宋体" w:cs="宋体"/>
          <w:color w:val="auto"/>
          <w:spacing w:val="-3"/>
        </w:rPr>
        <w:t>(2)项目主管部门或者行政监督部门的人员；</w:t>
      </w:r>
    </w:p>
    <w:p w14:paraId="2EAFB6F3">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right="0" w:firstLine="408" w:firstLineChars="200"/>
        <w:jc w:val="both"/>
        <w:textAlignment w:val="auto"/>
        <w:rPr>
          <w:rFonts w:hint="eastAsia" w:ascii="宋体" w:hAnsi="宋体" w:eastAsia="宋体" w:cs="宋体"/>
          <w:color w:val="auto"/>
          <w:spacing w:val="-3"/>
        </w:rPr>
      </w:pPr>
      <w:r>
        <w:rPr>
          <w:rFonts w:hint="eastAsia" w:ascii="宋体" w:hAnsi="宋体" w:eastAsia="宋体" w:cs="宋体"/>
          <w:color w:val="auto"/>
          <w:spacing w:val="-3"/>
        </w:rPr>
        <w:t>(3)招标人或投标人的工作人员、退休或离职未满3年的人员；</w:t>
      </w:r>
    </w:p>
    <w:p w14:paraId="47005C1A">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right="0" w:firstLine="408" w:firstLineChars="200"/>
        <w:jc w:val="both"/>
        <w:textAlignment w:val="auto"/>
        <w:rPr>
          <w:rFonts w:hint="eastAsia" w:ascii="宋体" w:hAnsi="宋体" w:eastAsia="宋体" w:cs="宋体"/>
          <w:color w:val="auto"/>
          <w:spacing w:val="-3"/>
        </w:rPr>
      </w:pPr>
      <w:r>
        <w:rPr>
          <w:rFonts w:hint="eastAsia" w:ascii="宋体" w:hAnsi="宋体" w:eastAsia="宋体" w:cs="宋体"/>
          <w:color w:val="auto"/>
          <w:spacing w:val="-3"/>
        </w:rPr>
        <w:t>(</w:t>
      </w:r>
      <w:r>
        <w:rPr>
          <w:rFonts w:hint="eastAsia" w:ascii="宋体" w:hAnsi="宋体" w:eastAsia="宋体" w:cs="宋体"/>
          <w:color w:val="auto"/>
          <w:spacing w:val="-3"/>
          <w:lang w:val="en-US" w:eastAsia="zh-CN"/>
        </w:rPr>
        <w:t>4</w:t>
      </w:r>
      <w:r>
        <w:rPr>
          <w:rFonts w:hint="eastAsia" w:ascii="宋体" w:hAnsi="宋体" w:eastAsia="宋体" w:cs="宋体"/>
          <w:color w:val="auto"/>
          <w:spacing w:val="-3"/>
        </w:rPr>
        <w:t>)与投标人有经济利益关系，可能影响对投标公正评审的；</w:t>
      </w:r>
    </w:p>
    <w:p w14:paraId="1EBE6E74">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right="0" w:firstLine="408" w:firstLineChars="200"/>
        <w:jc w:val="both"/>
        <w:textAlignment w:val="auto"/>
        <w:rPr>
          <w:rFonts w:hint="eastAsia" w:ascii="宋体" w:hAnsi="宋体" w:eastAsia="宋体" w:cs="宋体"/>
          <w:color w:val="auto"/>
          <w:spacing w:val="-3"/>
        </w:rPr>
      </w:pPr>
      <w:r>
        <w:rPr>
          <w:rFonts w:hint="eastAsia" w:ascii="宋体" w:hAnsi="宋体" w:eastAsia="宋体" w:cs="宋体"/>
          <w:color w:val="auto"/>
          <w:spacing w:val="-3"/>
        </w:rPr>
        <w:t>(</w:t>
      </w:r>
      <w:r>
        <w:rPr>
          <w:rFonts w:hint="eastAsia" w:ascii="宋体" w:hAnsi="宋体" w:eastAsia="宋体" w:cs="宋体"/>
          <w:color w:val="auto"/>
          <w:spacing w:val="-3"/>
          <w:lang w:val="en-US" w:eastAsia="zh-CN"/>
        </w:rPr>
        <w:t>5</w:t>
      </w:r>
      <w:r>
        <w:rPr>
          <w:rFonts w:hint="eastAsia" w:ascii="宋体" w:hAnsi="宋体" w:eastAsia="宋体" w:cs="宋体"/>
          <w:color w:val="auto"/>
          <w:spacing w:val="-3"/>
        </w:rPr>
        <w:t>)曾因在招标、评标以及其他与招标投标有关活动中从事违法行为而受过行政处罚或刑事处罚的；</w:t>
      </w:r>
    </w:p>
    <w:p w14:paraId="7507BD73">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right="0" w:firstLine="408" w:firstLineChars="200"/>
        <w:jc w:val="both"/>
        <w:textAlignment w:val="auto"/>
        <w:rPr>
          <w:rFonts w:hint="eastAsia" w:ascii="宋体" w:hAnsi="宋体" w:eastAsia="宋体" w:cs="宋体"/>
          <w:color w:val="auto"/>
          <w:spacing w:val="-3"/>
        </w:rPr>
      </w:pPr>
      <w:r>
        <w:rPr>
          <w:rFonts w:hint="eastAsia" w:ascii="宋体" w:hAnsi="宋体" w:eastAsia="宋体" w:cs="宋体"/>
          <w:color w:val="auto"/>
          <w:spacing w:val="-3"/>
        </w:rPr>
        <w:t>(</w:t>
      </w:r>
      <w:r>
        <w:rPr>
          <w:rFonts w:hint="eastAsia" w:ascii="宋体" w:hAnsi="宋体" w:eastAsia="宋体" w:cs="宋体"/>
          <w:color w:val="auto"/>
          <w:spacing w:val="-3"/>
          <w:lang w:val="en-US" w:eastAsia="zh-CN"/>
        </w:rPr>
        <w:t>6</w:t>
      </w:r>
      <w:r>
        <w:rPr>
          <w:rFonts w:hint="eastAsia" w:ascii="宋体" w:hAnsi="宋体" w:eastAsia="宋体" w:cs="宋体"/>
          <w:color w:val="auto"/>
          <w:spacing w:val="-3"/>
        </w:rPr>
        <w:t>)与投标人有其他利害关系。</w:t>
      </w:r>
    </w:p>
    <w:p w14:paraId="2A075561">
      <w:pPr>
        <w:keepNext w:val="0"/>
        <w:keepLines w:val="0"/>
        <w:pageBreakBefore w:val="0"/>
        <w:widowControl w:val="0"/>
        <w:wordWrap/>
        <w:topLinePunct w:val="0"/>
        <w:bidi w:val="0"/>
        <w:adjustRightInd/>
        <w:snapToGrid/>
        <w:spacing w:line="360" w:lineRule="auto"/>
        <w:ind w:left="0" w:right="0" w:firstLine="408" w:firstLineChars="200"/>
        <w:textAlignment w:val="auto"/>
        <w:rPr>
          <w:rFonts w:hint="eastAsia" w:ascii="宋体" w:hAnsi="宋体" w:eastAsia="宋体" w:cs="宋体"/>
          <w:color w:val="auto"/>
          <w:spacing w:val="-3"/>
        </w:rPr>
      </w:pPr>
      <w:r>
        <w:rPr>
          <w:rFonts w:hint="eastAsia" w:ascii="宋体" w:hAnsi="宋体" w:eastAsia="宋体" w:cs="宋体"/>
          <w:color w:val="auto"/>
          <w:spacing w:val="-3"/>
        </w:rPr>
        <w:t>6.1.3 评标过程中，评标委员会成员有回避事由、擅离职守或者因健康等原因不能继续评标的，招标人有权更换。被更换的评标委员会成员作出的评审结论无效，由更换后的评标委员会成员重新进行评审。</w:t>
      </w:r>
    </w:p>
    <w:p w14:paraId="50D4EF15">
      <w:pPr>
        <w:pStyle w:val="7"/>
      </w:pPr>
    </w:p>
    <w:p w14:paraId="6E072C81">
      <w:pPr>
        <w:pStyle w:val="4"/>
        <w:bidi w:val="0"/>
      </w:pPr>
      <w:bookmarkStart w:id="682" w:name="_Toc7627"/>
      <w:bookmarkStart w:id="683" w:name="_Toc11767"/>
      <w:bookmarkStart w:id="684" w:name="_Toc6715"/>
      <w:bookmarkStart w:id="685" w:name="_Toc21494"/>
      <w:bookmarkStart w:id="686" w:name="_Toc1118"/>
      <w:bookmarkStart w:id="687" w:name="_Toc27652"/>
      <w:bookmarkStart w:id="688" w:name="_Toc19021"/>
      <w:bookmarkStart w:id="689" w:name="_Toc11730"/>
      <w:bookmarkStart w:id="690" w:name="_Toc10644"/>
      <w:bookmarkStart w:id="691" w:name="_Toc1536"/>
      <w:bookmarkStart w:id="692" w:name="_Toc32590"/>
      <w:bookmarkStart w:id="693" w:name="_Toc14668"/>
      <w:bookmarkStart w:id="694" w:name="_Toc492300602"/>
      <w:bookmarkStart w:id="695" w:name="_Toc6444"/>
      <w:bookmarkStart w:id="696" w:name="_Toc4668"/>
      <w:bookmarkStart w:id="697" w:name="_Toc31918"/>
      <w:r>
        <w:t xml:space="preserve">6.2 </w:t>
      </w:r>
      <w:r>
        <w:rPr>
          <w:rFonts w:hint="eastAsia"/>
        </w:rPr>
        <w:t>评标原则</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188BACBD">
      <w:pPr>
        <w:spacing w:line="360" w:lineRule="auto"/>
        <w:ind w:firstLine="420" w:firstLineChars="200"/>
        <w:rPr>
          <w:rFonts w:hint="eastAsia" w:ascii="宋体" w:hAnsi="宋体" w:cs="宋体"/>
          <w:sz w:val="21"/>
          <w:szCs w:val="21"/>
        </w:rPr>
      </w:pPr>
      <w:r>
        <w:rPr>
          <w:rFonts w:hint="eastAsia" w:ascii="宋体" w:hAnsi="宋体" w:cs="宋体"/>
          <w:sz w:val="21"/>
          <w:szCs w:val="21"/>
        </w:rPr>
        <w:t>评标活动遵循公平、公正、科学和择优的原</w:t>
      </w:r>
      <w:bookmarkStart w:id="698" w:name="_Toc18949"/>
      <w:bookmarkStart w:id="699" w:name="_Toc352691501"/>
      <w:bookmarkStart w:id="700" w:name="_Toc361508614"/>
      <w:bookmarkStart w:id="701" w:name="_Toc384308239"/>
      <w:bookmarkStart w:id="702" w:name="_Toc369531545"/>
      <w:bookmarkStart w:id="703" w:name="_Toc300834978"/>
      <w:bookmarkStart w:id="704" w:name="_Toc144974525"/>
      <w:bookmarkStart w:id="705" w:name="_Toc247513981"/>
      <w:bookmarkStart w:id="706" w:name="_Toc247527582"/>
      <w:bookmarkStart w:id="707" w:name="_Toc152042333"/>
      <w:bookmarkStart w:id="708" w:name="_Toc152045557"/>
      <w:r>
        <w:rPr>
          <w:rFonts w:hint="eastAsia" w:ascii="宋体" w:hAnsi="宋体" w:cs="宋体"/>
          <w:sz w:val="21"/>
          <w:szCs w:val="21"/>
        </w:rPr>
        <w:t>则。</w:t>
      </w:r>
    </w:p>
    <w:p w14:paraId="0C323242">
      <w:pPr>
        <w:pStyle w:val="7"/>
      </w:pPr>
    </w:p>
    <w:p w14:paraId="1B68E3CF">
      <w:pPr>
        <w:pStyle w:val="4"/>
        <w:bidi w:val="0"/>
      </w:pPr>
      <w:bookmarkStart w:id="709" w:name="_Toc492300603"/>
      <w:bookmarkStart w:id="710" w:name="_Toc22317"/>
      <w:bookmarkStart w:id="711" w:name="_Toc10558"/>
      <w:bookmarkStart w:id="712" w:name="_Toc8776"/>
      <w:bookmarkStart w:id="713" w:name="_Toc4749"/>
      <w:bookmarkStart w:id="714" w:name="_Toc11509"/>
      <w:bookmarkStart w:id="715" w:name="_Toc26119"/>
      <w:bookmarkStart w:id="716" w:name="_Toc20426"/>
      <w:bookmarkStart w:id="717" w:name="_Toc27685"/>
      <w:bookmarkStart w:id="718" w:name="_Toc32128"/>
      <w:bookmarkStart w:id="719" w:name="_Toc15309"/>
      <w:bookmarkStart w:id="720" w:name="_Toc15075"/>
      <w:bookmarkStart w:id="721" w:name="_Toc2802"/>
      <w:bookmarkStart w:id="722" w:name="_Toc19270"/>
      <w:bookmarkStart w:id="723" w:name="_Toc30279"/>
      <w:bookmarkStart w:id="724" w:name="_Toc8027"/>
      <w:r>
        <w:t xml:space="preserve">6.3 </w:t>
      </w:r>
      <w:r>
        <w:rPr>
          <w:rFonts w:hint="eastAsia"/>
        </w:rPr>
        <w:t>评标</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34BAC118">
      <w:pPr>
        <w:spacing w:line="360" w:lineRule="auto"/>
        <w:ind w:firstLine="420" w:firstLineChars="200"/>
        <w:rPr>
          <w:rFonts w:ascii="宋体" w:hAnsi="宋体" w:cs="宋体"/>
          <w:sz w:val="21"/>
          <w:szCs w:val="21"/>
        </w:rPr>
      </w:pPr>
      <w:r>
        <w:rPr>
          <w:rFonts w:ascii="宋体" w:hAnsi="宋体" w:cs="宋体"/>
          <w:sz w:val="21"/>
          <w:szCs w:val="21"/>
        </w:rPr>
        <w:t>6</w:t>
      </w:r>
      <w:bookmarkEnd w:id="698"/>
      <w:bookmarkEnd w:id="699"/>
      <w:bookmarkEnd w:id="700"/>
      <w:bookmarkEnd w:id="701"/>
      <w:bookmarkEnd w:id="702"/>
      <w:bookmarkEnd w:id="703"/>
      <w:bookmarkEnd w:id="704"/>
      <w:bookmarkEnd w:id="705"/>
      <w:bookmarkEnd w:id="706"/>
      <w:bookmarkEnd w:id="707"/>
      <w:bookmarkEnd w:id="708"/>
      <w:r>
        <w:rPr>
          <w:rFonts w:hint="eastAsia" w:ascii="宋体" w:hAnsi="宋体" w:cs="宋体"/>
          <w:sz w:val="21"/>
          <w:szCs w:val="21"/>
        </w:rPr>
        <w:t>.3.1评标委员会按照第三章“评标办法”规定的方法、评审因素、标准和程序对投标文件进行评审。第三章“评标办法”没有规定的方法、评审因素和标准，不作为评标依据。</w:t>
      </w:r>
    </w:p>
    <w:p w14:paraId="5BAACE54">
      <w:pPr>
        <w:spacing w:line="360" w:lineRule="auto"/>
        <w:ind w:firstLine="420" w:firstLineChars="200"/>
        <w:rPr>
          <w:rFonts w:ascii="宋体" w:hAnsi="宋体" w:cs="宋体"/>
          <w:sz w:val="21"/>
          <w:szCs w:val="21"/>
        </w:rPr>
      </w:pPr>
      <w:r>
        <w:rPr>
          <w:rFonts w:hint="eastAsia" w:ascii="宋体" w:hAnsi="宋体" w:cs="宋体"/>
          <w:sz w:val="21"/>
          <w:szCs w:val="21"/>
        </w:rPr>
        <w:t>6.3.2评标完成后，评标委员会应当向招标人提交书面评标报告和中标候选人名单。评标委员会推荐中标</w:t>
      </w:r>
      <w:bookmarkStart w:id="725" w:name="_Toc247513982"/>
      <w:bookmarkStart w:id="726" w:name="_Toc361508615"/>
      <w:bookmarkStart w:id="727" w:name="_Toc247527583"/>
      <w:bookmarkStart w:id="728" w:name="_Toc152042334"/>
      <w:bookmarkStart w:id="729" w:name="_Toc369531546"/>
      <w:bookmarkStart w:id="730" w:name="_Toc300834979"/>
      <w:bookmarkStart w:id="731" w:name="_Toc384308240"/>
      <w:bookmarkStart w:id="732" w:name="_Toc152045558"/>
      <w:bookmarkStart w:id="733" w:name="_Toc352691502"/>
      <w:bookmarkStart w:id="734" w:name="_Toc12259"/>
      <w:bookmarkStart w:id="735" w:name="_Toc144974526"/>
      <w:r>
        <w:rPr>
          <w:rFonts w:hint="eastAsia" w:ascii="宋体" w:hAnsi="宋体" w:cs="宋体"/>
          <w:sz w:val="21"/>
          <w:szCs w:val="21"/>
        </w:rPr>
        <w:t>候选人的人数见投标人须知前附</w:t>
      </w:r>
      <w:bookmarkEnd w:id="725"/>
      <w:bookmarkEnd w:id="726"/>
      <w:bookmarkEnd w:id="727"/>
      <w:bookmarkEnd w:id="728"/>
      <w:bookmarkEnd w:id="729"/>
      <w:bookmarkEnd w:id="730"/>
      <w:bookmarkEnd w:id="731"/>
      <w:bookmarkEnd w:id="732"/>
      <w:bookmarkEnd w:id="733"/>
      <w:bookmarkEnd w:id="734"/>
      <w:bookmarkEnd w:id="735"/>
      <w:r>
        <w:rPr>
          <w:rFonts w:hint="eastAsia" w:ascii="宋体" w:hAnsi="宋体" w:cs="宋体"/>
          <w:sz w:val="21"/>
          <w:szCs w:val="21"/>
        </w:rPr>
        <w:t>表。</w:t>
      </w:r>
    </w:p>
    <w:p w14:paraId="3A55A404">
      <w:pPr>
        <w:pStyle w:val="3"/>
        <w:bidi w:val="0"/>
        <w:rPr>
          <w:rFonts w:hint="eastAsia" w:ascii="宋体" w:hAnsi="宋体" w:eastAsia="宋体" w:cs="宋体"/>
          <w:b/>
          <w:bCs w:val="0"/>
          <w:szCs w:val="21"/>
        </w:rPr>
      </w:pPr>
      <w:bookmarkStart w:id="736" w:name="_Toc6873"/>
      <w:bookmarkStart w:id="737" w:name="_Toc162"/>
      <w:bookmarkStart w:id="738" w:name="_Toc25633"/>
      <w:bookmarkStart w:id="739" w:name="_Toc12925"/>
      <w:bookmarkStart w:id="740" w:name="_Toc10110"/>
      <w:bookmarkStart w:id="741" w:name="_Toc15386"/>
      <w:bookmarkStart w:id="742" w:name="_Toc16324"/>
      <w:bookmarkStart w:id="743" w:name="_Toc28512"/>
      <w:bookmarkStart w:id="744" w:name="_Toc18180"/>
      <w:bookmarkStart w:id="745" w:name="_Toc5657"/>
      <w:bookmarkStart w:id="746" w:name="_Toc22674"/>
      <w:bookmarkStart w:id="747" w:name="_Toc5038"/>
      <w:bookmarkStart w:id="748" w:name="_Toc26531"/>
      <w:bookmarkStart w:id="749" w:name="_Toc28355"/>
      <w:bookmarkStart w:id="750" w:name="_Toc30295"/>
      <w:bookmarkStart w:id="751" w:name="_Toc23139"/>
      <w:bookmarkStart w:id="752" w:name="_Toc492300604"/>
      <w:r>
        <w:rPr>
          <w:rFonts w:hint="eastAsia" w:ascii="宋体" w:hAnsi="宋体" w:eastAsia="宋体" w:cs="宋体"/>
          <w:b/>
          <w:bCs w:val="0"/>
        </w:rPr>
        <w:t>7. 合同授予</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7D8E620C">
      <w:pPr>
        <w:pStyle w:val="4"/>
        <w:bidi w:val="0"/>
      </w:pPr>
      <w:bookmarkStart w:id="753" w:name="_Toc3032"/>
      <w:bookmarkStart w:id="754" w:name="_Toc6277"/>
      <w:bookmarkStart w:id="755" w:name="_Toc16687"/>
      <w:bookmarkStart w:id="756" w:name="_Toc492300605"/>
      <w:bookmarkStart w:id="757" w:name="_Toc958"/>
      <w:bookmarkStart w:id="758" w:name="_Toc16049"/>
      <w:bookmarkStart w:id="759" w:name="_Toc30180"/>
      <w:bookmarkStart w:id="760" w:name="_Toc1924"/>
      <w:bookmarkStart w:id="761" w:name="_Toc9192"/>
      <w:bookmarkStart w:id="762" w:name="_Toc9013"/>
      <w:bookmarkStart w:id="763" w:name="_Toc30502"/>
      <w:bookmarkStart w:id="764" w:name="_Toc29583"/>
      <w:bookmarkStart w:id="765" w:name="_Toc4024"/>
      <w:bookmarkStart w:id="766" w:name="_Toc29617"/>
      <w:bookmarkStart w:id="767" w:name="_Toc31803"/>
      <w:bookmarkStart w:id="768" w:name="_Toc30992"/>
      <w:r>
        <w:t xml:space="preserve">7.1 </w:t>
      </w:r>
      <w:r>
        <w:rPr>
          <w:rFonts w:hint="eastAsia"/>
        </w:rPr>
        <w:t>中标候选人公示</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38D8BF46">
      <w:pPr>
        <w:keepNext w:val="0"/>
        <w:keepLines w:val="0"/>
        <w:pageBreakBefore w:val="0"/>
        <w:widowControl w:val="0"/>
        <w:wordWrap/>
        <w:topLinePunct w:val="0"/>
        <w:bidi w:val="0"/>
        <w:adjustRightInd/>
        <w:snapToGrid/>
        <w:spacing w:line="360" w:lineRule="auto"/>
        <w:ind w:left="0" w:right="0" w:firstLine="416" w:firstLineChars="200"/>
        <w:textAlignment w:val="auto"/>
        <w:rPr>
          <w:rFonts w:hint="eastAsia" w:ascii="宋体" w:hAnsi="宋体" w:eastAsia="宋体" w:cs="宋体"/>
          <w:color w:val="auto"/>
          <w:spacing w:val="-5"/>
          <w:sz w:val="21"/>
          <w:szCs w:val="21"/>
          <w:highlight w:val="none"/>
        </w:rPr>
      </w:pPr>
      <w:bookmarkStart w:id="769" w:name="_Toc14915"/>
      <w:bookmarkStart w:id="770" w:name="_Toc29273"/>
      <w:bookmarkStart w:id="771" w:name="_Toc31907"/>
      <w:bookmarkStart w:id="772" w:name="_Toc492300606"/>
      <w:bookmarkStart w:id="773" w:name="_Toc26910"/>
      <w:bookmarkStart w:id="774" w:name="_Toc19277"/>
      <w:bookmarkStart w:id="775" w:name="_Toc19700"/>
      <w:bookmarkStart w:id="776" w:name="_Toc25877"/>
      <w:bookmarkStart w:id="777" w:name="_Toc16494"/>
      <w:bookmarkStart w:id="778" w:name="_Toc18991"/>
      <w:bookmarkStart w:id="779" w:name="_Toc25492"/>
      <w:bookmarkStart w:id="780" w:name="_Toc9109"/>
      <w:bookmarkStart w:id="781" w:name="_Toc11891"/>
      <w:bookmarkStart w:id="782" w:name="_Toc28060"/>
      <w:bookmarkStart w:id="783" w:name="_Toc1957"/>
      <w:r>
        <w:rPr>
          <w:rFonts w:hint="eastAsia" w:ascii="宋体" w:hAnsi="宋体" w:eastAsia="宋体" w:cs="宋体"/>
          <w:color w:val="auto"/>
          <w:spacing w:val="-1"/>
          <w:sz w:val="21"/>
          <w:szCs w:val="21"/>
          <w:highlight w:val="none"/>
          <w:lang w:val="en-US" w:eastAsia="zh-CN"/>
        </w:rPr>
        <w:t>7.1</w:t>
      </w: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招标人在收到评标报告之日起 3 日内，按照投标人须知前附表规定的公示</w:t>
      </w:r>
      <w:r>
        <w:rPr>
          <w:rFonts w:hint="eastAsia" w:ascii="宋体" w:hAnsi="宋体" w:eastAsia="宋体" w:cs="宋体"/>
          <w:color w:val="auto"/>
          <w:sz w:val="21"/>
          <w:szCs w:val="21"/>
          <w:highlight w:val="none"/>
        </w:rPr>
        <w:t>媒介和期限公示</w:t>
      </w:r>
      <w:r>
        <w:rPr>
          <w:rFonts w:hint="eastAsia" w:ascii="宋体" w:hAnsi="宋体" w:eastAsia="宋体" w:cs="宋体"/>
          <w:color w:val="auto"/>
          <w:spacing w:val="-5"/>
          <w:sz w:val="21"/>
          <w:szCs w:val="21"/>
          <w:highlight w:val="none"/>
        </w:rPr>
        <w:t>中标候选人，公示期不得少于 3 天</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最后一天应为工作日</w:t>
      </w:r>
      <w:r>
        <w:rPr>
          <w:rFonts w:hint="eastAsia" w:ascii="宋体" w:hAnsi="宋体" w:eastAsia="宋体" w:cs="宋体"/>
          <w:color w:val="auto"/>
          <w:spacing w:val="-5"/>
          <w:sz w:val="21"/>
          <w:szCs w:val="21"/>
          <w:highlight w:val="none"/>
        </w:rPr>
        <w:t>。</w:t>
      </w:r>
    </w:p>
    <w:p w14:paraId="75203B56">
      <w:pPr>
        <w:keepNext w:val="0"/>
        <w:keepLines w:val="0"/>
        <w:pageBreakBefore w:val="0"/>
        <w:widowControl w:val="0"/>
        <w:wordWrap/>
        <w:topLinePunct w:val="0"/>
        <w:bidi w:val="0"/>
        <w:adjustRightInd/>
        <w:snapToGrid/>
        <w:spacing w:line="360" w:lineRule="auto"/>
        <w:ind w:left="0" w:right="0" w:firstLine="416"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1"/>
          <w:sz w:val="21"/>
          <w:szCs w:val="21"/>
          <w:highlight w:val="none"/>
          <w:lang w:val="en-US" w:eastAsia="zh-CN"/>
        </w:rPr>
        <w:t>7.1</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 xml:space="preserve">2  </w:t>
      </w:r>
      <w:r>
        <w:rPr>
          <w:rFonts w:hint="eastAsia" w:ascii="宋体" w:hAnsi="宋体" w:eastAsia="宋体" w:cs="宋体"/>
          <w:color w:val="auto"/>
          <w:spacing w:val="-1"/>
          <w:sz w:val="21"/>
          <w:szCs w:val="21"/>
          <w:highlight w:val="none"/>
        </w:rPr>
        <w:t>在产生中标候选人后，招标人将中标候选人的投标文件商务部分</w:t>
      </w:r>
      <w:r>
        <w:rPr>
          <w:rFonts w:hint="eastAsia" w:ascii="宋体" w:hAnsi="宋体" w:eastAsia="宋体" w:cs="宋体"/>
          <w:color w:val="auto"/>
          <w:spacing w:val="-1"/>
          <w:sz w:val="21"/>
          <w:szCs w:val="21"/>
          <w:highlight w:val="none"/>
          <w:lang w:eastAsia="zh-CN"/>
        </w:rPr>
        <w:t>（包括、</w:t>
      </w:r>
      <w:r>
        <w:rPr>
          <w:rFonts w:hint="eastAsia" w:ascii="宋体" w:hAnsi="宋体" w:eastAsia="宋体" w:cs="宋体"/>
          <w:color w:val="auto"/>
          <w:spacing w:val="-1"/>
          <w:sz w:val="21"/>
          <w:szCs w:val="21"/>
          <w:highlight w:val="none"/>
        </w:rPr>
        <w:t>人员、业绩、奖项等资料</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在</w:t>
      </w:r>
      <w:r>
        <w:rPr>
          <w:rFonts w:hint="eastAsia" w:ascii="宋体" w:hAnsi="宋体" w:eastAsia="宋体" w:cs="宋体"/>
          <w:color w:val="auto"/>
          <w:spacing w:val="-1"/>
          <w:sz w:val="21"/>
          <w:szCs w:val="21"/>
          <w:highlight w:val="none"/>
          <w:u w:val="single"/>
          <w:lang w:eastAsia="zh-CN"/>
        </w:rPr>
        <w:t>广州交易集团有限公司（广州公共资源交易中心）</w:t>
      </w:r>
      <w:r>
        <w:rPr>
          <w:rFonts w:hint="eastAsia" w:ascii="宋体" w:hAnsi="宋体" w:eastAsia="宋体" w:cs="宋体"/>
          <w:color w:val="auto"/>
          <w:spacing w:val="-1"/>
          <w:sz w:val="21"/>
          <w:szCs w:val="21"/>
          <w:highlight w:val="none"/>
          <w:lang w:eastAsia="zh-CN"/>
        </w:rPr>
        <w:t>网站和广东省招标投标监管网</w:t>
      </w:r>
      <w:r>
        <w:rPr>
          <w:rFonts w:hint="eastAsia" w:ascii="宋体" w:hAnsi="宋体" w:eastAsia="宋体" w:cs="宋体"/>
          <w:color w:val="auto"/>
          <w:spacing w:val="-1"/>
          <w:sz w:val="21"/>
          <w:szCs w:val="21"/>
          <w:highlight w:val="none"/>
        </w:rPr>
        <w:t>公开。</w:t>
      </w:r>
    </w:p>
    <w:p w14:paraId="7C80FCBC">
      <w:pPr>
        <w:pStyle w:val="11"/>
        <w:keepNext w:val="0"/>
        <w:keepLines w:val="0"/>
        <w:pageBreakBefore w:val="0"/>
        <w:widowControl w:val="0"/>
        <w:kinsoku w:val="0"/>
        <w:wordWrap/>
        <w:overflowPunct w:val="0"/>
        <w:topLinePunct w:val="0"/>
        <w:autoSpaceDE w:val="0"/>
        <w:autoSpaceDN w:val="0"/>
        <w:bidi w:val="0"/>
        <w:adjustRightInd/>
        <w:snapToGrid/>
        <w:spacing w:after="0" w:line="360" w:lineRule="auto"/>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注：根据《国家发展改革委等部门关于严格执行招标投标法规制度进一步规范招标投标主体行为的若干意见》（发改法规规〔</w:t>
      </w:r>
      <w:r>
        <w:rPr>
          <w:rFonts w:hint="eastAsia" w:ascii="宋体" w:hAnsi="宋体" w:eastAsia="宋体" w:cs="宋体"/>
          <w:color w:val="auto"/>
          <w:sz w:val="21"/>
          <w:szCs w:val="21"/>
          <w:lang w:val="en-US" w:eastAsia="zh-CN"/>
        </w:rPr>
        <w:t>2022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1117号），招标人应当在中标候选人公示前认真审查评标委员会提交的书面评标报告，发现异常情形的，依照法定程序进行复核，确认存在问题的，依照法定程序予以纠正。</w:t>
      </w:r>
    </w:p>
    <w:p w14:paraId="111ABB57">
      <w:pPr>
        <w:pStyle w:val="4"/>
        <w:bidi w:val="0"/>
      </w:pPr>
      <w:bookmarkStart w:id="784" w:name="_Toc27346"/>
      <w:r>
        <w:t xml:space="preserve">7.2 </w:t>
      </w:r>
      <w:r>
        <w:rPr>
          <w:rFonts w:hint="eastAsia"/>
        </w:rPr>
        <w:t>评标结果异议</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72E76D6E">
      <w:pPr>
        <w:spacing w:line="360" w:lineRule="auto"/>
        <w:ind w:firstLine="420" w:firstLineChars="200"/>
        <w:rPr>
          <w:rFonts w:hint="eastAsia" w:ascii="宋体" w:hAnsi="宋体" w:cs="宋体"/>
          <w:sz w:val="21"/>
          <w:szCs w:val="21"/>
        </w:rPr>
      </w:pPr>
      <w:r>
        <w:rPr>
          <w:rFonts w:hint="eastAsia" w:ascii="宋体" w:hAnsi="宋体" w:cs="宋体"/>
          <w:sz w:val="21"/>
          <w:szCs w:val="21"/>
        </w:rPr>
        <w:t>投标人或者其他利</w:t>
      </w:r>
      <w:bookmarkStart w:id="785" w:name="_Toc152042337"/>
      <w:bookmarkStart w:id="786" w:name="_Toc369531549"/>
      <w:bookmarkStart w:id="787" w:name="_Toc361508618"/>
      <w:bookmarkStart w:id="788" w:name="_Toc152045561"/>
      <w:bookmarkStart w:id="789" w:name="_Toc300834982"/>
      <w:bookmarkStart w:id="790" w:name="_Toc247527586"/>
      <w:bookmarkStart w:id="791" w:name="_Toc247513985"/>
      <w:bookmarkStart w:id="792" w:name="_Toc352691505"/>
      <w:bookmarkStart w:id="793" w:name="_Toc384308243"/>
      <w:bookmarkStart w:id="794" w:name="_Toc144974529"/>
      <w:bookmarkStart w:id="795" w:name="_Toc30095"/>
      <w:r>
        <w:rPr>
          <w:rFonts w:hint="eastAsia" w:ascii="宋体" w:hAnsi="宋体" w:cs="宋体"/>
          <w:sz w:val="21"/>
          <w:szCs w:val="21"/>
        </w:rPr>
        <w:t>害关系人对评标结</w:t>
      </w:r>
      <w:bookmarkEnd w:id="785"/>
      <w:bookmarkEnd w:id="786"/>
      <w:bookmarkEnd w:id="787"/>
      <w:bookmarkEnd w:id="788"/>
      <w:bookmarkEnd w:id="789"/>
      <w:bookmarkEnd w:id="790"/>
      <w:bookmarkEnd w:id="791"/>
      <w:bookmarkEnd w:id="792"/>
      <w:bookmarkEnd w:id="793"/>
      <w:bookmarkEnd w:id="794"/>
      <w:bookmarkEnd w:id="795"/>
      <w:r>
        <w:rPr>
          <w:rFonts w:hint="eastAsia" w:ascii="宋体" w:hAnsi="宋体" w:cs="宋体"/>
          <w:sz w:val="21"/>
          <w:szCs w:val="21"/>
        </w:rPr>
        <w:t>果有异议的，应当在中标候选人公示期间提出。招标人将在收到异议之日起3日内作出答复；作出答复前，将暂停招标投标活动。</w:t>
      </w:r>
    </w:p>
    <w:p w14:paraId="0AEAD8F6">
      <w:bookmarkStart w:id="796" w:name="_Toc492300607"/>
      <w:bookmarkStart w:id="797" w:name="_Toc16663"/>
      <w:bookmarkStart w:id="798" w:name="_Toc14492"/>
      <w:bookmarkStart w:id="799" w:name="_Toc2317"/>
      <w:bookmarkStart w:id="800" w:name="_Toc533"/>
      <w:bookmarkStart w:id="801" w:name="_Toc22681"/>
      <w:bookmarkStart w:id="802" w:name="_Toc8456"/>
      <w:bookmarkStart w:id="803" w:name="_Toc7255"/>
      <w:bookmarkStart w:id="804" w:name="_Toc12436"/>
      <w:bookmarkStart w:id="805" w:name="_Toc11242"/>
      <w:bookmarkStart w:id="806" w:name="_Toc28050"/>
      <w:bookmarkStart w:id="807" w:name="_Toc17651"/>
      <w:bookmarkStart w:id="808" w:name="_Toc10747"/>
      <w:bookmarkStart w:id="809" w:name="_Toc17193"/>
      <w:bookmarkStart w:id="810" w:name="_Toc7236"/>
    </w:p>
    <w:p w14:paraId="5DFDE085">
      <w:pPr>
        <w:pStyle w:val="4"/>
        <w:bidi w:val="0"/>
      </w:pPr>
      <w:bookmarkStart w:id="811" w:name="_Toc8909"/>
      <w:r>
        <w:t xml:space="preserve">7.3 </w:t>
      </w:r>
      <w:r>
        <w:rPr>
          <w:rFonts w:hint="eastAsia"/>
        </w:rPr>
        <w:t>中标候选人履约能力审查</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0C9C148B">
      <w:pPr>
        <w:spacing w:line="360" w:lineRule="auto"/>
        <w:ind w:firstLine="420" w:firstLineChars="200"/>
        <w:rPr>
          <w:rFonts w:hint="eastAsia" w:ascii="宋体" w:hAnsi="宋体" w:cs="宋体"/>
          <w:sz w:val="21"/>
          <w:szCs w:val="21"/>
        </w:rPr>
      </w:pPr>
      <w:r>
        <w:rPr>
          <w:rFonts w:hint="eastAsia" w:ascii="宋体" w:hAnsi="宋体" w:cs="宋体"/>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0D543437">
      <w:pPr>
        <w:pStyle w:val="7"/>
      </w:pPr>
    </w:p>
    <w:p w14:paraId="328AB16A">
      <w:pPr>
        <w:pStyle w:val="4"/>
        <w:bidi w:val="0"/>
      </w:pPr>
      <w:bookmarkStart w:id="812" w:name="_Toc19696"/>
      <w:bookmarkStart w:id="813" w:name="_Toc12304"/>
      <w:bookmarkStart w:id="814" w:name="_Toc23392"/>
      <w:bookmarkStart w:id="815" w:name="_Toc24532"/>
      <w:bookmarkStart w:id="816" w:name="_Toc26714"/>
      <w:bookmarkStart w:id="817" w:name="_Toc21014"/>
      <w:bookmarkStart w:id="818" w:name="_Toc13911"/>
      <w:bookmarkStart w:id="819" w:name="_Toc20037"/>
      <w:bookmarkStart w:id="820" w:name="_Toc1651"/>
      <w:bookmarkStart w:id="821" w:name="_Toc25871"/>
      <w:bookmarkStart w:id="822" w:name="_Toc492300608"/>
      <w:bookmarkStart w:id="823" w:name="_Toc9284"/>
      <w:bookmarkStart w:id="824" w:name="_Toc28673"/>
      <w:bookmarkStart w:id="825" w:name="_Toc9704"/>
      <w:bookmarkStart w:id="826" w:name="_Toc16645"/>
      <w:bookmarkStart w:id="827" w:name="_Toc15357"/>
      <w:r>
        <w:t xml:space="preserve">7.4 </w:t>
      </w:r>
      <w:r>
        <w:rPr>
          <w:rFonts w:hint="eastAsia"/>
        </w:rPr>
        <w:t>定标</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66B381F3">
      <w:pPr>
        <w:spacing w:line="360" w:lineRule="auto"/>
        <w:ind w:firstLine="420" w:firstLineChars="200"/>
        <w:rPr>
          <w:rFonts w:hint="eastAsia" w:ascii="宋体" w:hAnsi="宋体" w:cs="宋体"/>
          <w:sz w:val="21"/>
          <w:szCs w:val="21"/>
        </w:rPr>
      </w:pPr>
      <w:r>
        <w:rPr>
          <w:rFonts w:hint="eastAsia" w:ascii="宋体" w:hAnsi="宋体" w:cs="宋体"/>
          <w:sz w:val="21"/>
          <w:szCs w:val="21"/>
        </w:rPr>
        <w:t>按照投标人须知前附表的规定，招标人或招标人授权的评标委员会依法确定中标人。</w:t>
      </w:r>
    </w:p>
    <w:p w14:paraId="631A0D33">
      <w:pPr>
        <w:pStyle w:val="7"/>
      </w:pPr>
    </w:p>
    <w:p w14:paraId="52E27D8F">
      <w:pPr>
        <w:pStyle w:val="4"/>
        <w:bidi w:val="0"/>
      </w:pPr>
      <w:bookmarkStart w:id="828" w:name="_Toc31128"/>
      <w:bookmarkStart w:id="829" w:name="_Toc18770"/>
      <w:bookmarkStart w:id="830" w:name="_Toc4856"/>
      <w:bookmarkStart w:id="831" w:name="_Toc2936"/>
      <w:bookmarkStart w:id="832" w:name="_Toc26282"/>
      <w:bookmarkStart w:id="833" w:name="_Toc9845"/>
      <w:bookmarkStart w:id="834" w:name="_Toc28083"/>
      <w:bookmarkStart w:id="835" w:name="_Toc20477"/>
      <w:bookmarkStart w:id="836" w:name="_Toc20023"/>
      <w:bookmarkStart w:id="837" w:name="_Toc24787"/>
      <w:bookmarkStart w:id="838" w:name="_Toc492300609"/>
      <w:bookmarkStart w:id="839" w:name="_Toc12343"/>
      <w:bookmarkStart w:id="840" w:name="_Toc23772"/>
      <w:bookmarkStart w:id="841" w:name="_Toc23927"/>
      <w:bookmarkStart w:id="842" w:name="_Toc19047"/>
      <w:bookmarkStart w:id="843" w:name="_Toc28694"/>
      <w:r>
        <w:t xml:space="preserve">7.5 </w:t>
      </w:r>
      <w:r>
        <w:rPr>
          <w:rFonts w:hint="eastAsia"/>
        </w:rPr>
        <w:t>中标通知</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2B63A687">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7.5.1</w:t>
      </w:r>
      <w:r>
        <w:rPr>
          <w:rFonts w:hint="eastAsia" w:ascii="宋体" w:hAnsi="宋体" w:cs="宋体"/>
          <w:sz w:val="21"/>
          <w:szCs w:val="21"/>
        </w:rPr>
        <w:t>在本章第3.3款规定的投标有效期内，招标人向中标人发出中标</w:t>
      </w:r>
      <w:bookmarkStart w:id="844" w:name="_Toc5668"/>
      <w:bookmarkStart w:id="845" w:name="_Toc384308244"/>
      <w:bookmarkStart w:id="846" w:name="_Toc369531550"/>
      <w:bookmarkStart w:id="847" w:name="_Toc361508619"/>
      <w:bookmarkStart w:id="848" w:name="_Toc300834983"/>
      <w:bookmarkStart w:id="849" w:name="_Toc352691506"/>
      <w:r>
        <w:rPr>
          <w:rFonts w:hint="eastAsia" w:ascii="宋体" w:hAnsi="宋体" w:cs="宋体"/>
          <w:sz w:val="21"/>
          <w:szCs w:val="21"/>
        </w:rPr>
        <w:t>通知书</w:t>
      </w:r>
      <w:r>
        <w:rPr>
          <w:rFonts w:hint="eastAsia" w:ascii="宋体" w:hAnsi="宋体" w:cs="宋体"/>
          <w:sz w:val="21"/>
          <w:szCs w:val="21"/>
          <w:lang w:eastAsia="zh-CN"/>
        </w:rPr>
        <w:t>。</w:t>
      </w:r>
      <w:r>
        <w:rPr>
          <w:rFonts w:hint="eastAsia" w:ascii="宋体" w:hAnsi="宋体" w:eastAsia="宋体" w:cs="Times New Roman"/>
          <w:color w:val="auto"/>
          <w:sz w:val="21"/>
          <w:lang w:val="en-US" w:eastAsia="zh-CN" w:bidi="ar-SA"/>
        </w:rPr>
        <w:t>在</w:t>
      </w:r>
      <w:r>
        <w:rPr>
          <w:rFonts w:hint="eastAsia" w:ascii="宋体" w:hAnsi="宋体" w:eastAsia="宋体" w:cs="宋体"/>
          <w:b w:val="0"/>
          <w:bCs w:val="0"/>
          <w:color w:val="auto"/>
          <w:spacing w:val="-1"/>
          <w:sz w:val="21"/>
          <w:szCs w:val="21"/>
          <w:highlight w:val="none"/>
          <w:lang w:eastAsia="zh-CN"/>
        </w:rPr>
        <w:t>广东省招标投标监管网和</w:t>
      </w:r>
      <w:r>
        <w:rPr>
          <w:rFonts w:hint="eastAsia" w:ascii="宋体" w:hAnsi="宋体" w:eastAsia="宋体" w:cs="Times New Roman"/>
          <w:color w:val="auto"/>
          <w:sz w:val="21"/>
          <w:u w:val="single"/>
          <w:lang w:val="en-US" w:eastAsia="zh-CN" w:bidi="ar-SA"/>
        </w:rPr>
        <w:t>广州交易集团有限公司（广州公共资源交易中心）</w:t>
      </w:r>
      <w:r>
        <w:rPr>
          <w:rFonts w:hint="eastAsia" w:ascii="宋体" w:hAnsi="宋体" w:eastAsia="宋体" w:cs="Times New Roman"/>
          <w:color w:val="auto"/>
          <w:sz w:val="21"/>
          <w:lang w:val="en-US" w:eastAsia="zh-CN" w:bidi="ar-SA"/>
        </w:rPr>
        <w:t>网站发布中标信息，视同将中标结果通知未中标的投标人。</w:t>
      </w:r>
      <w:bookmarkEnd w:id="844"/>
      <w:bookmarkEnd w:id="845"/>
      <w:bookmarkEnd w:id="846"/>
      <w:bookmarkEnd w:id="847"/>
      <w:bookmarkEnd w:id="848"/>
      <w:bookmarkEnd w:id="849"/>
    </w:p>
    <w:p w14:paraId="57114F19">
      <w:pPr>
        <w:pStyle w:val="7"/>
        <w:rPr>
          <w:rFonts w:hint="default" w:eastAsia="宋体"/>
          <w:lang w:val="en-US" w:eastAsia="zh-CN"/>
        </w:rPr>
      </w:pPr>
      <w:r>
        <w:rPr>
          <w:rFonts w:hint="eastAsia" w:ascii="宋体" w:hAnsi="宋体" w:cs="宋体"/>
          <w:sz w:val="21"/>
          <w:szCs w:val="21"/>
          <w:lang w:val="en-US" w:eastAsia="zh-CN"/>
        </w:rPr>
        <w:t>7.5.2</w:t>
      </w:r>
      <w:r>
        <w:rPr>
          <w:rFonts w:hint="eastAsia" w:ascii="宋体" w:hAnsi="宋体" w:eastAsia="宋体" w:cs="Times New Roman"/>
          <w:color w:val="auto"/>
          <w:sz w:val="21"/>
          <w:lang w:val="en-US" w:eastAsia="zh-CN" w:bidi="ar-SA"/>
        </w:rPr>
        <w:t>政府投资项目，中标通知书发出前，中标人应未被纳入失信惩戒名单，否则招标人将取消其中标资格。失信联合惩戒名单以“信用广州”网站公布的为准。</w:t>
      </w:r>
    </w:p>
    <w:p w14:paraId="297D8A11">
      <w:pPr>
        <w:pStyle w:val="7"/>
      </w:pPr>
    </w:p>
    <w:p w14:paraId="2F26C799">
      <w:pPr>
        <w:pStyle w:val="4"/>
        <w:bidi w:val="0"/>
      </w:pPr>
      <w:bookmarkStart w:id="850" w:name="_Toc30379"/>
      <w:bookmarkStart w:id="851" w:name="_Toc15849"/>
      <w:bookmarkStart w:id="852" w:name="_Toc31889"/>
      <w:bookmarkStart w:id="853" w:name="_Toc3414"/>
      <w:bookmarkStart w:id="854" w:name="_Toc7444"/>
      <w:bookmarkStart w:id="855" w:name="_Toc25854"/>
      <w:bookmarkStart w:id="856" w:name="_Toc7702"/>
      <w:bookmarkStart w:id="857" w:name="_Toc28838"/>
      <w:bookmarkStart w:id="858" w:name="_Toc11255"/>
      <w:bookmarkStart w:id="859" w:name="_Toc1934"/>
      <w:bookmarkStart w:id="860" w:name="_Toc19280"/>
      <w:bookmarkStart w:id="861" w:name="_Toc492300610"/>
      <w:bookmarkStart w:id="862" w:name="_Toc29895"/>
      <w:bookmarkStart w:id="863" w:name="_Toc10579"/>
      <w:bookmarkStart w:id="864" w:name="_Toc14148"/>
      <w:bookmarkStart w:id="865" w:name="_Toc8209"/>
      <w:r>
        <w:t xml:space="preserve">7.6 </w:t>
      </w:r>
      <w:r>
        <w:rPr>
          <w:rFonts w:hint="eastAsia"/>
        </w:rPr>
        <w:t>履约保证金</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1B6819B7">
      <w:pPr>
        <w:spacing w:line="360" w:lineRule="auto"/>
        <w:ind w:firstLine="420" w:firstLineChars="200"/>
        <w:rPr>
          <w:rFonts w:ascii="宋体" w:hAnsi="宋体" w:cs="宋体"/>
          <w:sz w:val="21"/>
          <w:szCs w:val="21"/>
        </w:rPr>
      </w:pPr>
      <w:r>
        <w:rPr>
          <w:rFonts w:ascii="宋体" w:hAnsi="宋体" w:cs="宋体"/>
          <w:sz w:val="21"/>
          <w:szCs w:val="21"/>
        </w:rPr>
        <w:t xml:space="preserve">7.6.1 </w:t>
      </w:r>
      <w:r>
        <w:rPr>
          <w:rFonts w:hint="eastAsia" w:ascii="宋体" w:hAnsi="宋体" w:cs="宋体"/>
          <w:sz w:val="21"/>
          <w:szCs w:val="21"/>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3177DD8">
      <w:pPr>
        <w:spacing w:line="360" w:lineRule="auto"/>
        <w:ind w:firstLine="420" w:firstLineChars="200"/>
        <w:rPr>
          <w:rFonts w:hint="eastAsia" w:ascii="宋体" w:hAnsi="宋体" w:cs="宋体"/>
          <w:sz w:val="21"/>
          <w:szCs w:val="21"/>
        </w:rPr>
      </w:pPr>
      <w:r>
        <w:rPr>
          <w:rFonts w:ascii="宋体" w:hAnsi="宋体" w:cs="宋体"/>
          <w:sz w:val="21"/>
          <w:szCs w:val="21"/>
        </w:rPr>
        <w:t xml:space="preserve">7.6.2 </w:t>
      </w:r>
      <w:r>
        <w:rPr>
          <w:rFonts w:hint="eastAsia" w:ascii="宋体" w:hAnsi="宋体" w:cs="宋体"/>
          <w:sz w:val="21"/>
          <w:szCs w:val="21"/>
        </w:rPr>
        <w:t>中标人不能按本章第7.6.1项要求提交履约保证金的，视为放弃中标，其投标保证金不予退还，给招标人造成的损失超过投标保证金数额的，中标人还应当对超过部分予以赔偿。</w:t>
      </w:r>
    </w:p>
    <w:p w14:paraId="4522B1FC">
      <w:pPr>
        <w:pStyle w:val="7"/>
      </w:pPr>
    </w:p>
    <w:p w14:paraId="41E4DBD4">
      <w:pPr>
        <w:pStyle w:val="4"/>
        <w:bidi w:val="0"/>
      </w:pPr>
      <w:bookmarkStart w:id="866" w:name="_Toc25308"/>
      <w:bookmarkStart w:id="867" w:name="_Toc11103"/>
      <w:bookmarkStart w:id="868" w:name="_Toc10884"/>
      <w:bookmarkStart w:id="869" w:name="_Toc15411"/>
      <w:bookmarkStart w:id="870" w:name="_Toc25434"/>
      <w:bookmarkStart w:id="871" w:name="_Toc6660"/>
      <w:bookmarkStart w:id="872" w:name="_Toc28497"/>
      <w:bookmarkStart w:id="873" w:name="_Toc4249"/>
      <w:bookmarkStart w:id="874" w:name="_Toc859"/>
      <w:bookmarkStart w:id="875" w:name="_Toc25176"/>
      <w:bookmarkStart w:id="876" w:name="_Toc6210"/>
      <w:bookmarkStart w:id="877" w:name="_Toc15813"/>
      <w:bookmarkStart w:id="878" w:name="_Toc21691"/>
      <w:bookmarkStart w:id="879" w:name="_Toc492300611"/>
      <w:bookmarkStart w:id="880" w:name="_Toc13253"/>
      <w:bookmarkStart w:id="881" w:name="_Toc5349"/>
      <w:r>
        <w:t xml:space="preserve">7.7 </w:t>
      </w:r>
      <w:r>
        <w:rPr>
          <w:rFonts w:hint="eastAsia"/>
        </w:rPr>
        <w:t>签订合同</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25E346D9">
      <w:pPr>
        <w:pStyle w:val="11"/>
        <w:pageBreakBefore w:val="0"/>
        <w:kinsoku w:val="0"/>
        <w:wordWrap/>
        <w:overflowPunct w:val="0"/>
        <w:topLinePunct w:val="0"/>
        <w:autoSpaceDE w:val="0"/>
        <w:autoSpaceDN w:val="0"/>
        <w:bidi w:val="0"/>
        <w:adjustRightInd/>
        <w:snapToGrid/>
        <w:spacing w:beforeLines="0" w:afterLines="0" w:line="360" w:lineRule="auto"/>
        <w:ind w:left="0" w:leftChars="0" w:right="213" w:firstLine="408" w:firstLineChars="200"/>
        <w:jc w:val="both"/>
        <w:textAlignment w:val="auto"/>
        <w:rPr>
          <w:color w:val="auto"/>
        </w:rPr>
      </w:pPr>
      <w:r>
        <w:rPr>
          <w:rFonts w:ascii="宋体" w:hAnsi="宋体" w:eastAsia="宋体" w:cs="Times New Roman"/>
          <w:color w:val="auto"/>
          <w:spacing w:val="-3"/>
        </w:rPr>
        <w:t>7.8.1 招</w:t>
      </w:r>
      <w:r>
        <w:rPr>
          <w:color w:val="auto"/>
          <w:spacing w:val="-3"/>
        </w:rPr>
        <w:t>标</w:t>
      </w:r>
      <w:r>
        <w:rPr>
          <w:color w:val="auto"/>
        </w:rPr>
        <w:t>人</w:t>
      </w:r>
      <w:r>
        <w:rPr>
          <w:color w:val="auto"/>
          <w:spacing w:val="-3"/>
        </w:rPr>
        <w:t>和</w:t>
      </w:r>
      <w:r>
        <w:rPr>
          <w:color w:val="auto"/>
        </w:rPr>
        <w:t>中</w:t>
      </w:r>
      <w:r>
        <w:rPr>
          <w:color w:val="auto"/>
          <w:spacing w:val="-3"/>
        </w:rPr>
        <w:t>标</w:t>
      </w:r>
      <w:r>
        <w:rPr>
          <w:color w:val="auto"/>
        </w:rPr>
        <w:t>人</w:t>
      </w:r>
      <w:r>
        <w:rPr>
          <w:color w:val="auto"/>
          <w:spacing w:val="-3"/>
        </w:rPr>
        <w:t>应当</w:t>
      </w:r>
      <w:r>
        <w:rPr>
          <w:color w:val="auto"/>
        </w:rPr>
        <w:t>在中</w:t>
      </w:r>
      <w:r>
        <w:rPr>
          <w:color w:val="auto"/>
          <w:spacing w:val="-3"/>
        </w:rPr>
        <w:t>标</w:t>
      </w:r>
      <w:r>
        <w:rPr>
          <w:color w:val="auto"/>
        </w:rPr>
        <w:t>通</w:t>
      </w:r>
      <w:r>
        <w:rPr>
          <w:color w:val="auto"/>
          <w:spacing w:val="-3"/>
        </w:rPr>
        <w:t>知</w:t>
      </w:r>
      <w:r>
        <w:rPr>
          <w:color w:val="auto"/>
        </w:rPr>
        <w:t>书</w:t>
      </w:r>
      <w:r>
        <w:rPr>
          <w:color w:val="auto"/>
          <w:spacing w:val="-3"/>
        </w:rPr>
        <w:t>发</w:t>
      </w:r>
      <w:r>
        <w:rPr>
          <w:color w:val="auto"/>
        </w:rPr>
        <w:t>出</w:t>
      </w:r>
      <w:r>
        <w:rPr>
          <w:color w:val="auto"/>
          <w:spacing w:val="-3"/>
        </w:rPr>
        <w:t>之</w:t>
      </w:r>
      <w:r>
        <w:rPr>
          <w:color w:val="auto"/>
        </w:rPr>
        <w:t>日起</w:t>
      </w:r>
      <w:r>
        <w:rPr>
          <w:color w:val="auto"/>
          <w:spacing w:val="-40"/>
        </w:rPr>
        <w:t xml:space="preserve"> </w:t>
      </w:r>
      <w:r>
        <w:rPr>
          <w:rFonts w:ascii="Times New Roman" w:hAnsi="Times New Roman" w:eastAsia="Times New Roman"/>
          <w:color w:val="auto"/>
        </w:rPr>
        <w:t>30</w:t>
      </w:r>
      <w:r>
        <w:rPr>
          <w:rFonts w:ascii="Times New Roman" w:hAnsi="Times New Roman" w:eastAsia="Times New Roman"/>
          <w:color w:val="auto"/>
          <w:spacing w:val="14"/>
        </w:rPr>
        <w:t xml:space="preserve"> </w:t>
      </w:r>
      <w:r>
        <w:rPr>
          <w:color w:val="auto"/>
        </w:rPr>
        <w:t>日</w:t>
      </w:r>
      <w:r>
        <w:rPr>
          <w:color w:val="auto"/>
          <w:spacing w:val="-3"/>
        </w:rPr>
        <w:t>内</w:t>
      </w:r>
      <w:r>
        <w:rPr>
          <w:color w:val="auto"/>
        </w:rPr>
        <w:t>，</w:t>
      </w:r>
      <w:r>
        <w:rPr>
          <w:color w:val="auto"/>
          <w:spacing w:val="-3"/>
        </w:rPr>
        <w:t>根</w:t>
      </w:r>
      <w:r>
        <w:rPr>
          <w:color w:val="auto"/>
        </w:rPr>
        <w:t>据</w:t>
      </w:r>
      <w:r>
        <w:rPr>
          <w:color w:val="auto"/>
          <w:spacing w:val="-3"/>
        </w:rPr>
        <w:t>招</w:t>
      </w:r>
      <w:r>
        <w:rPr>
          <w:color w:val="auto"/>
        </w:rPr>
        <w:t>标</w:t>
      </w:r>
      <w:r>
        <w:rPr>
          <w:color w:val="auto"/>
          <w:spacing w:val="-3"/>
        </w:rPr>
        <w:t>文</w:t>
      </w:r>
      <w:r>
        <w:rPr>
          <w:color w:val="auto"/>
        </w:rPr>
        <w:t>件</w:t>
      </w:r>
      <w:r>
        <w:rPr>
          <w:color w:val="auto"/>
          <w:spacing w:val="-3"/>
        </w:rPr>
        <w:t>和</w:t>
      </w:r>
      <w:r>
        <w:rPr>
          <w:color w:val="auto"/>
        </w:rPr>
        <w:t>中标</w:t>
      </w:r>
      <w:r>
        <w:rPr>
          <w:color w:val="auto"/>
          <w:spacing w:val="-3"/>
        </w:rPr>
        <w:t>人</w:t>
      </w:r>
      <w:r>
        <w:rPr>
          <w:color w:val="auto"/>
        </w:rPr>
        <w:t>的投标文件订立书面</w:t>
      </w:r>
      <w:r>
        <w:rPr>
          <w:color w:val="auto"/>
          <w:spacing w:val="-3"/>
        </w:rPr>
        <w:t>合</w:t>
      </w:r>
      <w:r>
        <w:rPr>
          <w:color w:val="auto"/>
        </w:rPr>
        <w:t>同</w:t>
      </w:r>
      <w:r>
        <w:rPr>
          <w:rFonts w:hint="eastAsia"/>
          <w:color w:val="auto"/>
          <w:sz w:val="21"/>
          <w:szCs w:val="21"/>
          <w:highlight w:val="none"/>
          <w:lang w:eastAsia="zh-CN"/>
        </w:rPr>
        <w:t>，并通过电子交易系统与中标人在线签订合同，</w:t>
      </w:r>
      <w:r>
        <w:rPr>
          <w:rFonts w:hint="eastAsia"/>
          <w:color w:val="auto"/>
          <w:lang w:eastAsia="zh-CN"/>
        </w:rPr>
        <w:t>并在</w:t>
      </w:r>
      <w:r>
        <w:rPr>
          <w:rFonts w:hint="eastAsia" w:ascii="宋体" w:hAnsi="宋体" w:eastAsia="宋体" w:cs="宋体"/>
          <w:b w:val="0"/>
          <w:bCs w:val="0"/>
          <w:color w:val="auto"/>
          <w:spacing w:val="-1"/>
          <w:sz w:val="21"/>
          <w:szCs w:val="21"/>
          <w:highlight w:val="none"/>
          <w:lang w:eastAsia="zh-CN"/>
        </w:rPr>
        <w:t>广东省招标投标监管网和</w:t>
      </w:r>
      <w:r>
        <w:rPr>
          <w:rFonts w:hint="eastAsia" w:ascii="宋体" w:hAnsi="宋体" w:eastAsia="宋体" w:cs="Times New Roman"/>
          <w:color w:val="auto"/>
          <w:sz w:val="21"/>
          <w:u w:val="single"/>
          <w:lang w:val="en-US" w:eastAsia="zh-CN" w:bidi="ar-SA"/>
        </w:rPr>
        <w:t>广州交易集团有限公司（广州公共资源交易中心）</w:t>
      </w:r>
      <w:r>
        <w:rPr>
          <w:rFonts w:hint="eastAsia" w:ascii="宋体" w:hAnsi="宋体" w:eastAsia="宋体" w:cs="Times New Roman"/>
          <w:color w:val="auto"/>
          <w:sz w:val="21"/>
          <w:lang w:val="en-US" w:eastAsia="zh-CN" w:bidi="ar-SA"/>
        </w:rPr>
        <w:t>网站公示合同主要信息。</w:t>
      </w:r>
      <w:r>
        <w:rPr>
          <w:color w:val="auto"/>
          <w:spacing w:val="-3"/>
        </w:rPr>
        <w:t>中</w:t>
      </w:r>
      <w:r>
        <w:rPr>
          <w:color w:val="auto"/>
        </w:rPr>
        <w:t>标人无正当理由</w:t>
      </w:r>
      <w:r>
        <w:rPr>
          <w:color w:val="auto"/>
          <w:spacing w:val="-3"/>
        </w:rPr>
        <w:t>拒</w:t>
      </w:r>
      <w:r>
        <w:rPr>
          <w:color w:val="auto"/>
        </w:rPr>
        <w:t>签合</w:t>
      </w:r>
      <w:r>
        <w:rPr>
          <w:color w:val="auto"/>
          <w:spacing w:val="-3"/>
        </w:rPr>
        <w:t>同</w:t>
      </w:r>
      <w:r>
        <w:rPr>
          <w:color w:val="auto"/>
        </w:rPr>
        <w:t>，在签订合同时</w:t>
      </w:r>
      <w:r>
        <w:rPr>
          <w:color w:val="auto"/>
          <w:spacing w:val="-3"/>
        </w:rPr>
        <w:t>向</w:t>
      </w:r>
      <w:r>
        <w:rPr>
          <w:color w:val="auto"/>
        </w:rPr>
        <w:t>招标</w:t>
      </w:r>
      <w:r>
        <w:rPr>
          <w:color w:val="auto"/>
          <w:spacing w:val="-3"/>
        </w:rPr>
        <w:t>人</w:t>
      </w:r>
      <w:r>
        <w:rPr>
          <w:color w:val="auto"/>
        </w:rPr>
        <w:t>提出附加条件</w:t>
      </w:r>
      <w:r>
        <w:rPr>
          <w:color w:val="auto"/>
          <w:spacing w:val="-3"/>
        </w:rPr>
        <w:t>，</w:t>
      </w:r>
      <w:r>
        <w:rPr>
          <w:color w:val="auto"/>
        </w:rPr>
        <w:t>或者不按照招标文</w:t>
      </w:r>
      <w:r>
        <w:rPr>
          <w:color w:val="auto"/>
          <w:spacing w:val="-3"/>
        </w:rPr>
        <w:t>件</w:t>
      </w:r>
      <w:r>
        <w:rPr>
          <w:color w:val="auto"/>
        </w:rPr>
        <w:t>要求</w:t>
      </w:r>
      <w:r>
        <w:rPr>
          <w:color w:val="auto"/>
          <w:spacing w:val="-3"/>
        </w:rPr>
        <w:t>提</w:t>
      </w:r>
      <w:r>
        <w:rPr>
          <w:color w:val="auto"/>
        </w:rPr>
        <w:t>交履约保证金的</w:t>
      </w:r>
      <w:r>
        <w:rPr>
          <w:color w:val="auto"/>
          <w:spacing w:val="-3"/>
        </w:rPr>
        <w:t>，</w:t>
      </w:r>
      <w:r>
        <w:rPr>
          <w:color w:val="auto"/>
        </w:rPr>
        <w:t>招标</w:t>
      </w:r>
      <w:r>
        <w:rPr>
          <w:color w:val="auto"/>
          <w:spacing w:val="-3"/>
        </w:rPr>
        <w:t>人</w:t>
      </w:r>
      <w:r>
        <w:rPr>
          <w:color w:val="auto"/>
        </w:rPr>
        <w:t>有权取消其中标</w:t>
      </w:r>
      <w:r>
        <w:rPr>
          <w:color w:val="auto"/>
          <w:spacing w:val="-3"/>
        </w:rPr>
        <w:t>资</w:t>
      </w:r>
      <w:r>
        <w:rPr>
          <w:color w:val="auto"/>
        </w:rPr>
        <w:t>格，</w:t>
      </w:r>
      <w:r>
        <w:rPr>
          <w:color w:val="auto"/>
          <w:spacing w:val="-3"/>
        </w:rPr>
        <w:t>其</w:t>
      </w:r>
      <w:r>
        <w:rPr>
          <w:color w:val="auto"/>
        </w:rPr>
        <w:t>投标保证金不</w:t>
      </w:r>
      <w:r>
        <w:rPr>
          <w:color w:val="auto"/>
          <w:spacing w:val="-3"/>
        </w:rPr>
        <w:t>予</w:t>
      </w:r>
      <w:r>
        <w:rPr>
          <w:color w:val="auto"/>
        </w:rPr>
        <w:t>退还；</w:t>
      </w:r>
      <w:r>
        <w:rPr>
          <w:color w:val="auto"/>
          <w:spacing w:val="-3"/>
        </w:rPr>
        <w:t>给</w:t>
      </w:r>
      <w:r>
        <w:rPr>
          <w:color w:val="auto"/>
        </w:rPr>
        <w:t>招</w:t>
      </w:r>
      <w:r>
        <w:rPr>
          <w:color w:val="auto"/>
          <w:spacing w:val="-3"/>
        </w:rPr>
        <w:t>标</w:t>
      </w:r>
      <w:r>
        <w:rPr>
          <w:color w:val="auto"/>
        </w:rPr>
        <w:t>人</w:t>
      </w:r>
      <w:r>
        <w:rPr>
          <w:color w:val="auto"/>
          <w:spacing w:val="-3"/>
        </w:rPr>
        <w:t>造</w:t>
      </w:r>
      <w:r>
        <w:rPr>
          <w:color w:val="auto"/>
        </w:rPr>
        <w:t>成</w:t>
      </w:r>
      <w:r>
        <w:rPr>
          <w:color w:val="auto"/>
          <w:spacing w:val="-3"/>
        </w:rPr>
        <w:t>的</w:t>
      </w:r>
      <w:r>
        <w:rPr>
          <w:color w:val="auto"/>
        </w:rPr>
        <w:t>损</w:t>
      </w:r>
      <w:r>
        <w:rPr>
          <w:color w:val="auto"/>
          <w:spacing w:val="-3"/>
        </w:rPr>
        <w:t>失</w:t>
      </w:r>
      <w:r>
        <w:rPr>
          <w:color w:val="auto"/>
        </w:rPr>
        <w:t>超过</w:t>
      </w:r>
      <w:r>
        <w:rPr>
          <w:color w:val="auto"/>
          <w:spacing w:val="-3"/>
        </w:rPr>
        <w:t>投</w:t>
      </w:r>
      <w:r>
        <w:rPr>
          <w:color w:val="auto"/>
        </w:rPr>
        <w:t>标</w:t>
      </w:r>
      <w:r>
        <w:rPr>
          <w:color w:val="auto"/>
          <w:spacing w:val="-3"/>
        </w:rPr>
        <w:t>保</w:t>
      </w:r>
      <w:r>
        <w:rPr>
          <w:color w:val="auto"/>
        </w:rPr>
        <w:t>证</w:t>
      </w:r>
      <w:r>
        <w:rPr>
          <w:color w:val="auto"/>
          <w:spacing w:val="-3"/>
        </w:rPr>
        <w:t>金</w:t>
      </w:r>
      <w:r>
        <w:rPr>
          <w:color w:val="auto"/>
        </w:rPr>
        <w:t>数</w:t>
      </w:r>
      <w:r>
        <w:rPr>
          <w:color w:val="auto"/>
          <w:spacing w:val="-3"/>
        </w:rPr>
        <w:t>额</w:t>
      </w:r>
      <w:r>
        <w:rPr>
          <w:color w:val="auto"/>
        </w:rPr>
        <w:t>的</w:t>
      </w:r>
      <w:r>
        <w:rPr>
          <w:rFonts w:hint="eastAsia"/>
          <w:color w:val="auto"/>
          <w:lang w:eastAsia="zh-CN"/>
        </w:rPr>
        <w:t>，</w:t>
      </w:r>
      <w:r>
        <w:rPr>
          <w:color w:val="auto"/>
        </w:rPr>
        <w:t>中标</w:t>
      </w:r>
      <w:r>
        <w:rPr>
          <w:color w:val="auto"/>
          <w:spacing w:val="-3"/>
        </w:rPr>
        <w:t>人</w:t>
      </w:r>
      <w:r>
        <w:rPr>
          <w:color w:val="auto"/>
        </w:rPr>
        <w:t>还</w:t>
      </w:r>
      <w:r>
        <w:rPr>
          <w:color w:val="auto"/>
          <w:spacing w:val="-3"/>
        </w:rPr>
        <w:t>应</w:t>
      </w:r>
      <w:r>
        <w:rPr>
          <w:color w:val="auto"/>
        </w:rPr>
        <w:t>当</w:t>
      </w:r>
      <w:r>
        <w:rPr>
          <w:color w:val="auto"/>
          <w:spacing w:val="-3"/>
        </w:rPr>
        <w:t>对</w:t>
      </w:r>
      <w:r>
        <w:rPr>
          <w:color w:val="auto"/>
        </w:rPr>
        <w:t>超</w:t>
      </w:r>
      <w:r>
        <w:rPr>
          <w:color w:val="auto"/>
          <w:spacing w:val="-3"/>
        </w:rPr>
        <w:t>过</w:t>
      </w:r>
      <w:r>
        <w:rPr>
          <w:color w:val="auto"/>
        </w:rPr>
        <w:t>部</w:t>
      </w:r>
      <w:r>
        <w:rPr>
          <w:color w:val="auto"/>
          <w:spacing w:val="-3"/>
        </w:rPr>
        <w:t>分</w:t>
      </w:r>
      <w:r>
        <w:rPr>
          <w:color w:val="auto"/>
        </w:rPr>
        <w:t>予以</w:t>
      </w:r>
      <w:r>
        <w:rPr>
          <w:color w:val="auto"/>
          <w:spacing w:val="-3"/>
        </w:rPr>
        <w:t>赔</w:t>
      </w:r>
      <w:r>
        <w:rPr>
          <w:color w:val="auto"/>
        </w:rPr>
        <w:t>偿。</w:t>
      </w:r>
    </w:p>
    <w:p w14:paraId="1F6162AB">
      <w:pPr>
        <w:pStyle w:val="11"/>
        <w:pageBreakBefore w:val="0"/>
        <w:kinsoku w:val="0"/>
        <w:wordWrap/>
        <w:overflowPunct w:val="0"/>
        <w:topLinePunct w:val="0"/>
        <w:autoSpaceDE w:val="0"/>
        <w:autoSpaceDN w:val="0"/>
        <w:bidi w:val="0"/>
        <w:adjustRightInd/>
        <w:snapToGrid/>
        <w:spacing w:beforeLines="0" w:afterLines="0" w:line="360" w:lineRule="auto"/>
        <w:ind w:left="0" w:leftChars="0" w:right="213" w:firstLine="420" w:firstLineChars="200"/>
        <w:jc w:val="both"/>
        <w:textAlignment w:val="auto"/>
        <w:rPr>
          <w:rFonts w:ascii="宋体" w:hAnsi="宋体" w:eastAsia="宋体" w:cs="Times New Roman"/>
          <w:color w:val="auto"/>
        </w:rPr>
      </w:pPr>
      <w:r>
        <w:rPr>
          <w:rFonts w:ascii="宋体" w:hAnsi="宋体" w:eastAsia="宋体" w:cs="Times New Roman"/>
          <w:color w:val="auto"/>
        </w:rPr>
        <w:t>7.8.2</w:t>
      </w:r>
      <w:r>
        <w:rPr>
          <w:rFonts w:hint="eastAsia" w:ascii="宋体" w:hAnsi="宋体" w:eastAsia="宋体" w:cs="Times New Roman"/>
          <w:color w:val="auto"/>
          <w:lang w:val="en-US" w:eastAsia="zh-CN"/>
        </w:rPr>
        <w:t xml:space="preserve"> </w:t>
      </w:r>
      <w:r>
        <w:rPr>
          <w:rFonts w:ascii="宋体" w:hAnsi="宋体" w:eastAsia="宋体" w:cs="Times New Roman"/>
          <w:color w:val="auto"/>
        </w:rPr>
        <w:t>发出中标通知书后，招标人无正当理由拒签合同，或者在签订合同时向中标人提出附加条件的，招标人向中标人退还投标保证金；给中标人造成损失的，还应当赔偿损失。</w:t>
      </w:r>
    </w:p>
    <w:p w14:paraId="590CBB9B">
      <w:pPr>
        <w:spacing w:line="360" w:lineRule="auto"/>
        <w:ind w:firstLine="420" w:firstLineChars="200"/>
        <w:rPr>
          <w:rFonts w:ascii="宋体" w:hAnsi="宋体" w:cs="宋体"/>
          <w:sz w:val="21"/>
          <w:szCs w:val="21"/>
        </w:rPr>
      </w:pPr>
      <w:r>
        <w:rPr>
          <w:rFonts w:ascii="宋体" w:hAnsi="宋体" w:eastAsia="宋体" w:cs="Times New Roman"/>
          <w:color w:val="auto"/>
        </w:rPr>
        <w:t>7.8.3 联合体中标的，联合体各方应当共同与招标人签订合同，就中标项目向招标人承担连带责任</w:t>
      </w:r>
      <w:r>
        <w:rPr>
          <w:rFonts w:hint="eastAsia" w:ascii="宋体" w:hAnsi="宋体" w:cs="宋体"/>
          <w:sz w:val="21"/>
          <w:szCs w:val="21"/>
        </w:rPr>
        <w:t>。</w:t>
      </w:r>
    </w:p>
    <w:p w14:paraId="252868BD">
      <w:pPr>
        <w:pStyle w:val="3"/>
        <w:bidi w:val="0"/>
        <w:rPr>
          <w:rFonts w:hint="eastAsia" w:ascii="宋体" w:hAnsi="宋体" w:eastAsia="宋体" w:cs="宋体"/>
          <w:b/>
          <w:bCs w:val="0"/>
        </w:rPr>
      </w:pPr>
      <w:bookmarkStart w:id="882" w:name="_Toc24067"/>
      <w:bookmarkStart w:id="883" w:name="_Toc361508627"/>
      <w:bookmarkStart w:id="884" w:name="_Toc384308252"/>
      <w:bookmarkStart w:id="885" w:name="_Toc5519"/>
      <w:bookmarkStart w:id="886" w:name="_Toc24520"/>
      <w:bookmarkStart w:id="887" w:name="_Toc21335"/>
      <w:bookmarkStart w:id="888" w:name="_Toc15061"/>
      <w:bookmarkStart w:id="889" w:name="_Toc23318"/>
      <w:bookmarkStart w:id="890" w:name="_Toc492300612"/>
      <w:bookmarkStart w:id="891" w:name="_Toc22338"/>
      <w:bookmarkStart w:id="892" w:name="_Toc19702"/>
      <w:bookmarkStart w:id="893" w:name="_Toc4333"/>
      <w:bookmarkStart w:id="894" w:name="_Toc642"/>
      <w:bookmarkStart w:id="895" w:name="_Toc29011"/>
      <w:bookmarkStart w:id="896" w:name="_Toc19422"/>
      <w:bookmarkStart w:id="897" w:name="_Toc1004"/>
      <w:bookmarkStart w:id="898" w:name="_Toc5455"/>
      <w:bookmarkStart w:id="899" w:name="_Toc16626"/>
      <w:bookmarkStart w:id="900" w:name="_Toc31097"/>
      <w:bookmarkStart w:id="901" w:name="_Toc27233"/>
      <w:bookmarkStart w:id="902" w:name="_Toc247527593"/>
      <w:bookmarkStart w:id="903" w:name="_Toc300834991"/>
      <w:bookmarkStart w:id="904" w:name="_Toc144974536"/>
      <w:bookmarkStart w:id="905" w:name="_Toc152045568"/>
      <w:bookmarkStart w:id="906" w:name="_Toc152042344"/>
      <w:bookmarkStart w:id="907" w:name="_Toc247513992"/>
      <w:r>
        <w:rPr>
          <w:rFonts w:hint="eastAsia" w:ascii="宋体" w:hAnsi="宋体" w:eastAsia="宋体" w:cs="宋体"/>
          <w:b/>
          <w:bCs w:val="0"/>
        </w:rPr>
        <w:t>8.</w:t>
      </w:r>
      <w:bookmarkEnd w:id="882"/>
      <w:bookmarkEnd w:id="883"/>
      <w:bookmarkEnd w:id="884"/>
      <w:r>
        <w:rPr>
          <w:rFonts w:hint="eastAsia" w:ascii="宋体" w:hAnsi="宋体" w:eastAsia="宋体" w:cs="宋体"/>
          <w:b/>
          <w:bCs w:val="0"/>
        </w:rPr>
        <w:t>纪律和监督</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5C5F062F">
      <w:pPr>
        <w:pStyle w:val="4"/>
        <w:bidi w:val="0"/>
      </w:pPr>
      <w:bookmarkStart w:id="908" w:name="_Toc18491"/>
      <w:bookmarkStart w:id="909" w:name="_Toc18110"/>
      <w:bookmarkStart w:id="910" w:name="_Toc20825"/>
      <w:bookmarkStart w:id="911" w:name="_Toc7984"/>
      <w:bookmarkStart w:id="912" w:name="_Toc27406"/>
      <w:bookmarkStart w:id="913" w:name="_Toc4178"/>
      <w:bookmarkStart w:id="914" w:name="_Toc9299"/>
      <w:bookmarkStart w:id="915" w:name="_Toc21921"/>
      <w:bookmarkStart w:id="916" w:name="_Toc9581"/>
      <w:bookmarkStart w:id="917" w:name="_Toc19869"/>
      <w:bookmarkStart w:id="918" w:name="_Toc32544"/>
      <w:bookmarkStart w:id="919" w:name="_Toc29364"/>
      <w:bookmarkStart w:id="920" w:name="_Toc18488"/>
      <w:bookmarkStart w:id="921" w:name="_Toc26233"/>
      <w:bookmarkStart w:id="922" w:name="_Toc492300613"/>
      <w:bookmarkStart w:id="923" w:name="_Toc1428"/>
      <w:r>
        <w:t xml:space="preserve">8.1 </w:t>
      </w:r>
      <w:r>
        <w:rPr>
          <w:rFonts w:hint="eastAsia"/>
        </w:rPr>
        <w:t>对招标人的纪律要求</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10CA3EF7">
      <w:pPr>
        <w:spacing w:line="360" w:lineRule="auto"/>
        <w:ind w:firstLine="420" w:firstLineChars="200"/>
        <w:rPr>
          <w:rFonts w:hint="eastAsia" w:ascii="宋体" w:hAnsi="宋体" w:cs="宋体"/>
          <w:sz w:val="21"/>
          <w:szCs w:val="21"/>
        </w:rPr>
      </w:pPr>
      <w:r>
        <w:rPr>
          <w:rFonts w:hint="eastAsia" w:ascii="宋体" w:hAnsi="宋体" w:cs="宋体"/>
          <w:sz w:val="21"/>
          <w:szCs w:val="21"/>
        </w:rPr>
        <w:t>招标人不得泄露招标投标活动中应当保密的情况和资料，不得与投标人串通损害国家利益、社会公共利益或者他人合法权益。</w:t>
      </w:r>
    </w:p>
    <w:p w14:paraId="556D4BB3">
      <w:pPr>
        <w:pStyle w:val="7"/>
      </w:pPr>
    </w:p>
    <w:p w14:paraId="5E5112C2">
      <w:pPr>
        <w:pStyle w:val="4"/>
        <w:bidi w:val="0"/>
        <w:rPr>
          <w:rFonts w:ascii="宋体" w:hAnsi="宋体" w:eastAsia="宋体" w:cs="宋体"/>
          <w:szCs w:val="21"/>
        </w:rPr>
      </w:pPr>
      <w:bookmarkStart w:id="924" w:name="_Toc24744"/>
      <w:bookmarkStart w:id="925" w:name="_Toc7625"/>
      <w:bookmarkStart w:id="926" w:name="_Toc16808"/>
      <w:bookmarkStart w:id="927" w:name="_Toc8530"/>
      <w:bookmarkStart w:id="928" w:name="_Toc23526"/>
      <w:bookmarkStart w:id="929" w:name="_Toc11989"/>
      <w:bookmarkStart w:id="930" w:name="_Toc29761"/>
      <w:bookmarkStart w:id="931" w:name="_Toc8183"/>
      <w:bookmarkStart w:id="932" w:name="_Toc14517"/>
      <w:bookmarkStart w:id="933" w:name="_Toc31178"/>
      <w:bookmarkStart w:id="934" w:name="_Toc5638"/>
      <w:bookmarkStart w:id="935" w:name="_Toc32615"/>
      <w:bookmarkStart w:id="936" w:name="_Toc13302"/>
      <w:bookmarkStart w:id="937" w:name="_Toc22773"/>
      <w:bookmarkStart w:id="938" w:name="_Toc492300614"/>
      <w:bookmarkStart w:id="939" w:name="_Toc7748"/>
      <w:r>
        <w:t xml:space="preserve">8.2 </w:t>
      </w:r>
      <w:r>
        <w:rPr>
          <w:rFonts w:hint="eastAsia"/>
        </w:rPr>
        <w:t>对投标人的纪律要求</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744DECEE">
      <w:pPr>
        <w:spacing w:line="360" w:lineRule="auto"/>
        <w:ind w:firstLine="420" w:firstLineChars="200"/>
        <w:rPr>
          <w:rFonts w:hint="eastAsia" w:ascii="宋体" w:hAnsi="宋体" w:cs="宋体"/>
          <w:sz w:val="21"/>
          <w:szCs w:val="21"/>
        </w:rPr>
      </w:pPr>
      <w:r>
        <w:rPr>
          <w:rFonts w:hint="eastAsia" w:ascii="宋体" w:hAnsi="宋体" w:cs="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BB4E985">
      <w:pPr>
        <w:pStyle w:val="7"/>
      </w:pPr>
    </w:p>
    <w:p w14:paraId="26F52D85">
      <w:pPr>
        <w:pStyle w:val="4"/>
        <w:bidi w:val="0"/>
      </w:pPr>
      <w:bookmarkStart w:id="940" w:name="_Toc21541"/>
      <w:bookmarkStart w:id="941" w:name="_Toc14054"/>
      <w:bookmarkStart w:id="942" w:name="_Toc24699"/>
      <w:bookmarkStart w:id="943" w:name="_Toc7745"/>
      <w:bookmarkStart w:id="944" w:name="_Toc13808"/>
      <w:bookmarkStart w:id="945" w:name="_Toc3262"/>
      <w:bookmarkStart w:id="946" w:name="_Toc28223"/>
      <w:bookmarkStart w:id="947" w:name="_Toc10360"/>
      <w:bookmarkStart w:id="948" w:name="_Toc492300615"/>
      <w:bookmarkStart w:id="949" w:name="_Toc30792"/>
      <w:bookmarkStart w:id="950" w:name="_Toc8883"/>
      <w:bookmarkStart w:id="951" w:name="_Toc6527"/>
      <w:bookmarkStart w:id="952" w:name="_Toc30851"/>
      <w:bookmarkStart w:id="953" w:name="_Toc25078"/>
      <w:bookmarkStart w:id="954" w:name="_Toc7612"/>
      <w:bookmarkStart w:id="955" w:name="_Toc31525"/>
      <w:r>
        <w:t xml:space="preserve">8.3 </w:t>
      </w:r>
      <w:r>
        <w:rPr>
          <w:rFonts w:hint="eastAsia"/>
        </w:rPr>
        <w:t>对评标委员会成员的纪律要求</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bookmarkEnd w:id="902"/>
    <w:bookmarkEnd w:id="903"/>
    <w:bookmarkEnd w:id="904"/>
    <w:bookmarkEnd w:id="905"/>
    <w:bookmarkEnd w:id="906"/>
    <w:bookmarkEnd w:id="907"/>
    <w:p w14:paraId="695D40CE">
      <w:pPr>
        <w:pStyle w:val="11"/>
        <w:keepNext w:val="0"/>
        <w:keepLines w:val="0"/>
        <w:pageBreakBefore w:val="0"/>
        <w:widowControl w:val="0"/>
        <w:kinsoku w:val="0"/>
        <w:wordWrap/>
        <w:overflowPunct w:val="0"/>
        <w:topLinePunct w:val="0"/>
        <w:autoSpaceDE w:val="0"/>
        <w:autoSpaceDN w:val="0"/>
        <w:bidi w:val="0"/>
        <w:adjustRightInd/>
        <w:snapToGrid/>
        <w:spacing w:beforeLines="0" w:after="0" w:afterLines="0" w:line="360" w:lineRule="auto"/>
        <w:ind w:left="0" w:right="0" w:firstLine="420" w:firstLineChars="200"/>
        <w:jc w:val="both"/>
        <w:textAlignment w:val="auto"/>
        <w:rPr>
          <w:rFonts w:hint="eastAsia" w:ascii="宋体" w:hAnsi="宋体" w:eastAsia="宋体" w:cs="Times New Roman"/>
          <w:color w:val="auto"/>
          <w:lang w:val="en-US" w:eastAsia="zh-CN"/>
        </w:rPr>
      </w:pPr>
      <w:r>
        <w:rPr>
          <w:rFonts w:ascii="宋体" w:hAnsi="宋体" w:eastAsia="宋体" w:cs="Times New Roman"/>
          <w:color w:val="auto"/>
        </w:rPr>
        <w:t>在评标活动中，评标委员会成员应当客观、公正地履行职责，遵守职业道德，不得擅离职守，影响评标程序正常进行，不得使用第三章“评标办法”没有规定的评审因素和标准进行评标。</w:t>
      </w:r>
      <w:bookmarkStart w:id="956" w:name="bookmark75"/>
      <w:bookmarkEnd w:id="956"/>
      <w:r>
        <w:rPr>
          <w:rFonts w:hint="eastAsia" w:ascii="宋体" w:hAnsi="宋体" w:eastAsia="宋体" w:cs="Times New Roman"/>
          <w:color w:val="auto"/>
          <w:lang w:val="en-US" w:eastAsia="zh-CN"/>
        </w:rPr>
        <w:t>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2E4E1551">
      <w:pPr>
        <w:pStyle w:val="11"/>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eastAsia" w:ascii="宋体" w:hAnsi="宋体" w:eastAsia="宋体" w:cs="Times New Roman"/>
          <w:color w:val="auto"/>
          <w:lang w:val="en-US" w:eastAsia="zh-CN"/>
        </w:rPr>
      </w:pPr>
    </w:p>
    <w:p w14:paraId="3CFE9440">
      <w:pPr>
        <w:pStyle w:val="4"/>
        <w:bidi w:val="0"/>
      </w:pPr>
      <w:bookmarkStart w:id="957" w:name="_Toc16811"/>
      <w:bookmarkStart w:id="958" w:name="_Toc492300616"/>
      <w:bookmarkStart w:id="959" w:name="_Toc4234"/>
      <w:bookmarkStart w:id="960" w:name="_Toc28731"/>
      <w:bookmarkStart w:id="961" w:name="_Toc282"/>
      <w:bookmarkStart w:id="962" w:name="_Toc9649"/>
      <w:bookmarkStart w:id="963" w:name="_Toc684"/>
      <w:bookmarkStart w:id="964" w:name="_Toc4142"/>
      <w:bookmarkStart w:id="965" w:name="_Toc8050"/>
      <w:bookmarkStart w:id="966" w:name="_Toc22625"/>
      <w:bookmarkStart w:id="967" w:name="_Toc9735"/>
      <w:bookmarkStart w:id="968" w:name="_Toc28843"/>
      <w:bookmarkStart w:id="969" w:name="_Toc28320"/>
      <w:bookmarkStart w:id="970" w:name="_Toc491"/>
      <w:bookmarkStart w:id="971" w:name="_Toc5380"/>
      <w:bookmarkStart w:id="972" w:name="_Toc28214"/>
      <w:r>
        <w:t xml:space="preserve">8.4 </w:t>
      </w:r>
      <w:r>
        <w:rPr>
          <w:rFonts w:hint="eastAsia"/>
        </w:rPr>
        <w:t>对与评标活动有关的工作人员的纪律要求</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262C89B9">
      <w:pPr>
        <w:spacing w:line="360" w:lineRule="auto"/>
        <w:ind w:firstLine="420" w:firstLineChars="200"/>
        <w:rPr>
          <w:rFonts w:hint="eastAsia" w:ascii="宋体" w:hAnsi="宋体" w:cs="宋体"/>
          <w:sz w:val="21"/>
          <w:szCs w:val="21"/>
        </w:rPr>
      </w:pPr>
      <w:r>
        <w:rPr>
          <w:rFonts w:hint="eastAsia" w:ascii="宋体" w:hAnsi="宋体" w:cs="宋体"/>
          <w:sz w:val="21"/>
          <w:szCs w:val="21"/>
        </w:rPr>
        <w:t>与评标活动有关的工作人员不得收受他人的财物或者其他好处，不得向他人透露对投标文件</w:t>
      </w:r>
      <w:bookmarkStart w:id="973" w:name="_Toc144974537"/>
      <w:bookmarkStart w:id="974" w:name="_Toc247513993"/>
      <w:bookmarkStart w:id="975" w:name="_Toc152042345"/>
      <w:bookmarkStart w:id="976" w:name="_Toc247527594"/>
      <w:bookmarkStart w:id="977" w:name="_Toc369531560"/>
      <w:bookmarkStart w:id="978" w:name="_Toc19429"/>
      <w:bookmarkStart w:id="979" w:name="_Toc152045569"/>
      <w:bookmarkStart w:id="980" w:name="_Toc361508629"/>
      <w:bookmarkStart w:id="981" w:name="_Toc352691516"/>
      <w:bookmarkStart w:id="982" w:name="_Toc384308254"/>
      <w:bookmarkStart w:id="983" w:name="_Toc300834992"/>
      <w:r>
        <w:rPr>
          <w:rFonts w:hint="eastAsia" w:ascii="宋体" w:hAnsi="宋体" w:cs="宋体"/>
          <w:sz w:val="21"/>
          <w:szCs w:val="21"/>
        </w:rPr>
        <w:t>的评审和比较、中标</w:t>
      </w:r>
      <w:bookmarkEnd w:id="973"/>
      <w:bookmarkEnd w:id="974"/>
      <w:bookmarkEnd w:id="975"/>
      <w:bookmarkEnd w:id="976"/>
      <w:bookmarkEnd w:id="977"/>
      <w:bookmarkEnd w:id="978"/>
      <w:bookmarkEnd w:id="979"/>
      <w:bookmarkEnd w:id="980"/>
      <w:bookmarkEnd w:id="981"/>
      <w:bookmarkEnd w:id="982"/>
      <w:bookmarkEnd w:id="983"/>
      <w:r>
        <w:rPr>
          <w:rFonts w:hint="eastAsia" w:ascii="宋体" w:hAnsi="宋体" w:cs="宋体"/>
          <w:sz w:val="21"/>
          <w:szCs w:val="21"/>
        </w:rPr>
        <w:t>候选人的推荐情况以及评标有关的其他情况。在评标活动中，与评标活动有关的工作人员不得擅离职守，影响评标程序正常进行。</w:t>
      </w:r>
    </w:p>
    <w:p w14:paraId="5DFFE225">
      <w:pPr>
        <w:pStyle w:val="7"/>
      </w:pPr>
    </w:p>
    <w:p w14:paraId="6125DA86">
      <w:pPr>
        <w:pStyle w:val="4"/>
        <w:bidi w:val="0"/>
        <w:rPr>
          <w:rFonts w:ascii="宋体" w:hAnsi="宋体" w:eastAsia="宋体" w:cs="宋体"/>
          <w:szCs w:val="21"/>
        </w:rPr>
      </w:pPr>
      <w:bookmarkStart w:id="984" w:name="_Toc14715"/>
      <w:bookmarkStart w:id="985" w:name="_Toc12604"/>
      <w:bookmarkStart w:id="986" w:name="_Toc29154"/>
      <w:bookmarkStart w:id="987" w:name="_Toc19832"/>
      <w:bookmarkStart w:id="988" w:name="_Toc17336"/>
      <w:bookmarkStart w:id="989" w:name="_Toc31528"/>
      <w:bookmarkStart w:id="990" w:name="_Toc15494"/>
      <w:bookmarkStart w:id="991" w:name="_Toc26019"/>
      <w:bookmarkStart w:id="992" w:name="_Toc18526"/>
      <w:bookmarkStart w:id="993" w:name="_Toc29884"/>
      <w:bookmarkStart w:id="994" w:name="_Toc13636"/>
      <w:bookmarkStart w:id="995" w:name="_Toc2142"/>
      <w:bookmarkStart w:id="996" w:name="_Toc12743"/>
      <w:bookmarkStart w:id="997" w:name="_Toc28539"/>
      <w:bookmarkStart w:id="998" w:name="_Toc492300617"/>
      <w:bookmarkStart w:id="999" w:name="_Toc27306"/>
      <w:r>
        <w:t xml:space="preserve">8.5 </w:t>
      </w:r>
      <w:r>
        <w:rPr>
          <w:rFonts w:hint="eastAsia"/>
        </w:rPr>
        <w:t>投诉</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3A7F261E">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ascii="宋体" w:hAnsi="宋体" w:eastAsia="宋体" w:cs="宋体"/>
          <w:color w:val="auto"/>
        </w:rPr>
      </w:pPr>
      <w:r>
        <w:rPr>
          <w:rFonts w:hint="eastAsia" w:ascii="宋体" w:hAnsi="宋体" w:eastAsia="宋体" w:cs="宋体"/>
          <w:color w:val="auto"/>
        </w:rPr>
        <w:t>8.5.1</w:t>
      </w:r>
      <w:r>
        <w:rPr>
          <w:rFonts w:hint="eastAsia" w:ascii="宋体" w:hAnsi="宋体" w:eastAsia="宋体" w:cs="宋体"/>
          <w:color w:val="auto"/>
          <w:spacing w:val="50"/>
        </w:rPr>
        <w:t xml:space="preserve"> </w:t>
      </w:r>
      <w:r>
        <w:rPr>
          <w:rFonts w:hint="eastAsia" w:ascii="宋体" w:hAnsi="宋体" w:eastAsia="宋体" w:cs="宋体"/>
          <w:color w:val="auto"/>
        </w:rPr>
        <w:t>投</w:t>
      </w:r>
      <w:r>
        <w:rPr>
          <w:rFonts w:hint="eastAsia" w:ascii="宋体" w:hAnsi="宋体" w:eastAsia="宋体" w:cs="宋体"/>
          <w:color w:val="auto"/>
          <w:spacing w:val="-3"/>
        </w:rPr>
        <w:t>标</w:t>
      </w:r>
      <w:r>
        <w:rPr>
          <w:rFonts w:hint="eastAsia" w:ascii="宋体" w:hAnsi="宋体" w:eastAsia="宋体" w:cs="宋体"/>
          <w:color w:val="auto"/>
        </w:rPr>
        <w:t>人</w:t>
      </w:r>
      <w:r>
        <w:rPr>
          <w:rFonts w:hint="eastAsia" w:ascii="宋体" w:hAnsi="宋体" w:eastAsia="宋体" w:cs="宋体"/>
          <w:color w:val="auto"/>
          <w:spacing w:val="-3"/>
        </w:rPr>
        <w:t>或</w:t>
      </w:r>
      <w:r>
        <w:rPr>
          <w:rFonts w:hint="eastAsia" w:ascii="宋体" w:hAnsi="宋体" w:eastAsia="宋体" w:cs="宋体"/>
          <w:color w:val="auto"/>
        </w:rPr>
        <w:t>者</w:t>
      </w:r>
      <w:r>
        <w:rPr>
          <w:rFonts w:hint="eastAsia" w:ascii="宋体" w:hAnsi="宋体" w:eastAsia="宋体" w:cs="宋体"/>
          <w:color w:val="auto"/>
          <w:spacing w:val="-3"/>
        </w:rPr>
        <w:t>其</w:t>
      </w:r>
      <w:r>
        <w:rPr>
          <w:rFonts w:hint="eastAsia" w:ascii="宋体" w:hAnsi="宋体" w:eastAsia="宋体" w:cs="宋体"/>
          <w:color w:val="auto"/>
        </w:rPr>
        <w:t>他</w:t>
      </w:r>
      <w:r>
        <w:rPr>
          <w:rFonts w:hint="eastAsia" w:ascii="宋体" w:hAnsi="宋体" w:eastAsia="宋体" w:cs="宋体"/>
          <w:color w:val="auto"/>
          <w:spacing w:val="-3"/>
        </w:rPr>
        <w:t>利害</w:t>
      </w:r>
      <w:r>
        <w:rPr>
          <w:rFonts w:hint="eastAsia" w:ascii="宋体" w:hAnsi="宋体" w:eastAsia="宋体" w:cs="宋体"/>
          <w:color w:val="auto"/>
        </w:rPr>
        <w:t>关系</w:t>
      </w:r>
      <w:r>
        <w:rPr>
          <w:rFonts w:hint="eastAsia" w:ascii="宋体" w:hAnsi="宋体" w:eastAsia="宋体" w:cs="宋体"/>
          <w:color w:val="auto"/>
          <w:spacing w:val="-3"/>
        </w:rPr>
        <w:t>人</w:t>
      </w:r>
      <w:r>
        <w:rPr>
          <w:rFonts w:hint="eastAsia" w:ascii="宋体" w:hAnsi="宋体" w:eastAsia="宋体" w:cs="宋体"/>
          <w:color w:val="auto"/>
        </w:rPr>
        <w:t>认</w:t>
      </w:r>
      <w:r>
        <w:rPr>
          <w:rFonts w:hint="eastAsia" w:ascii="宋体" w:hAnsi="宋体" w:eastAsia="宋体" w:cs="宋体"/>
          <w:color w:val="auto"/>
          <w:spacing w:val="-3"/>
        </w:rPr>
        <w:t>为</w:t>
      </w:r>
      <w:r>
        <w:rPr>
          <w:rFonts w:hint="eastAsia" w:ascii="宋体" w:hAnsi="宋体" w:eastAsia="宋体" w:cs="宋体"/>
          <w:color w:val="auto"/>
        </w:rPr>
        <w:t>招</w:t>
      </w:r>
      <w:r>
        <w:rPr>
          <w:rFonts w:hint="eastAsia" w:ascii="宋体" w:hAnsi="宋体" w:eastAsia="宋体" w:cs="宋体"/>
          <w:color w:val="auto"/>
          <w:spacing w:val="-3"/>
        </w:rPr>
        <w:t>标</w:t>
      </w:r>
      <w:r>
        <w:rPr>
          <w:rFonts w:hint="eastAsia" w:ascii="宋体" w:hAnsi="宋体" w:eastAsia="宋体" w:cs="宋体"/>
          <w:color w:val="auto"/>
        </w:rPr>
        <w:t>投</w:t>
      </w:r>
      <w:r>
        <w:rPr>
          <w:rFonts w:hint="eastAsia" w:ascii="宋体" w:hAnsi="宋体" w:eastAsia="宋体" w:cs="宋体"/>
          <w:color w:val="auto"/>
          <w:spacing w:val="-3"/>
        </w:rPr>
        <w:t>标</w:t>
      </w:r>
      <w:r>
        <w:rPr>
          <w:rFonts w:hint="eastAsia" w:ascii="宋体" w:hAnsi="宋体" w:eastAsia="宋体" w:cs="宋体"/>
          <w:color w:val="auto"/>
        </w:rPr>
        <w:t>活</w:t>
      </w:r>
      <w:r>
        <w:rPr>
          <w:rFonts w:hint="eastAsia" w:ascii="宋体" w:hAnsi="宋体" w:eastAsia="宋体" w:cs="宋体"/>
          <w:color w:val="auto"/>
          <w:spacing w:val="-3"/>
        </w:rPr>
        <w:t>动</w:t>
      </w:r>
      <w:r>
        <w:rPr>
          <w:rFonts w:hint="eastAsia" w:ascii="宋体" w:hAnsi="宋体" w:eastAsia="宋体" w:cs="宋体"/>
          <w:color w:val="auto"/>
        </w:rPr>
        <w:t>不符</w:t>
      </w:r>
      <w:r>
        <w:rPr>
          <w:rFonts w:hint="eastAsia" w:ascii="宋体" w:hAnsi="宋体" w:eastAsia="宋体" w:cs="宋体"/>
          <w:color w:val="auto"/>
          <w:spacing w:val="-3"/>
        </w:rPr>
        <w:t>合</w:t>
      </w:r>
      <w:r>
        <w:rPr>
          <w:rFonts w:hint="eastAsia" w:ascii="宋体" w:hAnsi="宋体" w:eastAsia="宋体" w:cs="宋体"/>
          <w:color w:val="auto"/>
        </w:rPr>
        <w:t>法</w:t>
      </w:r>
      <w:r>
        <w:rPr>
          <w:rFonts w:hint="eastAsia" w:ascii="宋体" w:hAnsi="宋体" w:eastAsia="宋体" w:cs="宋体"/>
          <w:color w:val="auto"/>
          <w:spacing w:val="-3"/>
        </w:rPr>
        <w:t>律</w:t>
      </w:r>
      <w:r>
        <w:rPr>
          <w:rFonts w:hint="eastAsia" w:ascii="宋体" w:hAnsi="宋体" w:eastAsia="宋体" w:cs="宋体"/>
          <w:color w:val="auto"/>
          <w:spacing w:val="-39"/>
        </w:rPr>
        <w:t>、</w:t>
      </w:r>
      <w:r>
        <w:rPr>
          <w:rFonts w:hint="eastAsia" w:ascii="宋体" w:hAnsi="宋体" w:eastAsia="宋体" w:cs="宋体"/>
          <w:color w:val="auto"/>
          <w:spacing w:val="-3"/>
        </w:rPr>
        <w:t>行</w:t>
      </w:r>
      <w:r>
        <w:rPr>
          <w:rFonts w:hint="eastAsia" w:ascii="宋体" w:hAnsi="宋体" w:eastAsia="宋体" w:cs="宋体"/>
          <w:color w:val="auto"/>
        </w:rPr>
        <w:t>政</w:t>
      </w:r>
      <w:r>
        <w:rPr>
          <w:rFonts w:hint="eastAsia" w:ascii="宋体" w:hAnsi="宋体" w:eastAsia="宋体" w:cs="宋体"/>
          <w:color w:val="auto"/>
          <w:spacing w:val="-3"/>
        </w:rPr>
        <w:t>法</w:t>
      </w:r>
      <w:r>
        <w:rPr>
          <w:rFonts w:hint="eastAsia" w:ascii="宋体" w:hAnsi="宋体" w:eastAsia="宋体" w:cs="宋体"/>
          <w:color w:val="auto"/>
        </w:rPr>
        <w:t>规</w:t>
      </w:r>
      <w:r>
        <w:rPr>
          <w:rFonts w:hint="eastAsia" w:ascii="宋体" w:hAnsi="宋体" w:eastAsia="宋体" w:cs="宋体"/>
          <w:color w:val="auto"/>
          <w:spacing w:val="-3"/>
        </w:rPr>
        <w:t>规</w:t>
      </w:r>
      <w:r>
        <w:rPr>
          <w:rFonts w:hint="eastAsia" w:ascii="宋体" w:hAnsi="宋体" w:eastAsia="宋体" w:cs="宋体"/>
          <w:color w:val="auto"/>
        </w:rPr>
        <w:t>定的</w:t>
      </w:r>
      <w:r>
        <w:rPr>
          <w:rFonts w:hint="eastAsia" w:ascii="宋体" w:hAnsi="宋体" w:eastAsia="宋体" w:cs="宋体"/>
          <w:color w:val="auto"/>
          <w:spacing w:val="-41"/>
        </w:rPr>
        <w:t>，</w:t>
      </w:r>
      <w:r>
        <w:rPr>
          <w:rFonts w:hint="eastAsia" w:ascii="宋体" w:hAnsi="宋体" w:eastAsia="宋体" w:cs="宋体"/>
          <w:color w:val="auto"/>
        </w:rPr>
        <w:t>可</w:t>
      </w:r>
      <w:r>
        <w:rPr>
          <w:rFonts w:hint="eastAsia" w:ascii="宋体" w:hAnsi="宋体" w:eastAsia="宋体" w:cs="宋体"/>
          <w:color w:val="auto"/>
          <w:spacing w:val="-3"/>
        </w:rPr>
        <w:t>以</w:t>
      </w:r>
      <w:r>
        <w:rPr>
          <w:rFonts w:hint="eastAsia" w:ascii="宋体" w:hAnsi="宋体" w:eastAsia="宋体" w:cs="宋体"/>
          <w:color w:val="auto"/>
        </w:rPr>
        <w:t>自知道</w:t>
      </w:r>
      <w:r>
        <w:rPr>
          <w:rFonts w:hint="eastAsia" w:ascii="宋体" w:hAnsi="宋体" w:eastAsia="宋体" w:cs="宋体"/>
          <w:color w:val="auto"/>
          <w:spacing w:val="-3"/>
        </w:rPr>
        <w:t>或</w:t>
      </w:r>
      <w:r>
        <w:rPr>
          <w:rFonts w:hint="eastAsia" w:ascii="宋体" w:hAnsi="宋体" w:eastAsia="宋体" w:cs="宋体"/>
          <w:color w:val="auto"/>
        </w:rPr>
        <w:t>者</w:t>
      </w:r>
      <w:r>
        <w:rPr>
          <w:rFonts w:hint="eastAsia" w:ascii="宋体" w:hAnsi="宋体" w:eastAsia="宋体" w:cs="宋体"/>
          <w:color w:val="auto"/>
          <w:spacing w:val="-3"/>
        </w:rPr>
        <w:t>应</w:t>
      </w:r>
      <w:r>
        <w:rPr>
          <w:rFonts w:hint="eastAsia" w:ascii="宋体" w:hAnsi="宋体" w:eastAsia="宋体" w:cs="宋体"/>
          <w:color w:val="auto"/>
        </w:rPr>
        <w:t>当</w:t>
      </w:r>
      <w:r>
        <w:rPr>
          <w:rFonts w:hint="eastAsia" w:ascii="宋体" w:hAnsi="宋体" w:eastAsia="宋体" w:cs="宋体"/>
          <w:color w:val="auto"/>
          <w:spacing w:val="-3"/>
        </w:rPr>
        <w:t>知</w:t>
      </w:r>
      <w:r>
        <w:rPr>
          <w:rFonts w:hint="eastAsia" w:ascii="宋体" w:hAnsi="宋体" w:eastAsia="宋体" w:cs="宋体"/>
          <w:color w:val="auto"/>
        </w:rPr>
        <w:t>道</w:t>
      </w:r>
      <w:r>
        <w:rPr>
          <w:rFonts w:hint="eastAsia" w:ascii="宋体" w:hAnsi="宋体" w:eastAsia="宋体" w:cs="宋体"/>
          <w:color w:val="auto"/>
          <w:spacing w:val="-3"/>
        </w:rPr>
        <w:t>之日</w:t>
      </w:r>
      <w:r>
        <w:rPr>
          <w:rFonts w:hint="eastAsia" w:ascii="宋体" w:hAnsi="宋体" w:eastAsia="宋体" w:cs="宋体"/>
          <w:color w:val="auto"/>
        </w:rPr>
        <w:t>起</w:t>
      </w:r>
      <w:r>
        <w:rPr>
          <w:rFonts w:hint="eastAsia" w:ascii="宋体" w:hAnsi="宋体" w:eastAsia="宋体" w:cs="宋体"/>
          <w:color w:val="auto"/>
          <w:spacing w:val="-55"/>
        </w:rPr>
        <w:t xml:space="preserve"> </w:t>
      </w:r>
      <w:r>
        <w:rPr>
          <w:rFonts w:hint="eastAsia" w:ascii="宋体" w:hAnsi="宋体" w:eastAsia="宋体" w:cs="宋体"/>
          <w:color w:val="auto"/>
        </w:rPr>
        <w:t xml:space="preserve">10 </w:t>
      </w:r>
      <w:r>
        <w:rPr>
          <w:rFonts w:hint="eastAsia" w:ascii="宋体" w:hAnsi="宋体" w:eastAsia="宋体" w:cs="宋体"/>
          <w:color w:val="auto"/>
          <w:spacing w:val="-3"/>
        </w:rPr>
        <w:t>日</w:t>
      </w:r>
      <w:r>
        <w:rPr>
          <w:rFonts w:hint="eastAsia" w:ascii="宋体" w:hAnsi="宋体" w:eastAsia="宋体" w:cs="宋体"/>
          <w:color w:val="auto"/>
        </w:rPr>
        <w:t>内</w:t>
      </w:r>
      <w:r>
        <w:rPr>
          <w:rFonts w:hint="eastAsia" w:ascii="宋体" w:hAnsi="宋体" w:eastAsia="宋体" w:cs="宋体"/>
          <w:color w:val="auto"/>
          <w:spacing w:val="-3"/>
        </w:rPr>
        <w:t>向</w:t>
      </w:r>
      <w:r>
        <w:rPr>
          <w:rFonts w:hint="eastAsia" w:ascii="宋体" w:hAnsi="宋体" w:eastAsia="宋体" w:cs="宋体"/>
          <w:color w:val="auto"/>
        </w:rPr>
        <w:t>有</w:t>
      </w:r>
      <w:r>
        <w:rPr>
          <w:rFonts w:hint="eastAsia" w:ascii="宋体" w:hAnsi="宋体" w:eastAsia="宋体" w:cs="宋体"/>
          <w:color w:val="auto"/>
          <w:spacing w:val="-3"/>
        </w:rPr>
        <w:t>关</w:t>
      </w:r>
      <w:r>
        <w:rPr>
          <w:rFonts w:hint="eastAsia" w:ascii="宋体" w:hAnsi="宋体" w:eastAsia="宋体" w:cs="宋体"/>
          <w:color w:val="auto"/>
        </w:rPr>
        <w:t>行</w:t>
      </w:r>
      <w:r>
        <w:rPr>
          <w:rFonts w:hint="eastAsia" w:ascii="宋体" w:hAnsi="宋体" w:eastAsia="宋体" w:cs="宋体"/>
          <w:color w:val="auto"/>
          <w:spacing w:val="-3"/>
        </w:rPr>
        <w:t>政</w:t>
      </w:r>
      <w:r>
        <w:rPr>
          <w:rFonts w:hint="eastAsia" w:ascii="宋体" w:hAnsi="宋体" w:eastAsia="宋体" w:cs="宋体"/>
          <w:color w:val="auto"/>
        </w:rPr>
        <w:t>监</w:t>
      </w:r>
      <w:r>
        <w:rPr>
          <w:rFonts w:hint="eastAsia" w:ascii="宋体" w:hAnsi="宋体" w:eastAsia="宋体" w:cs="宋体"/>
          <w:color w:val="auto"/>
          <w:spacing w:val="-3"/>
        </w:rPr>
        <w:t>督部</w:t>
      </w:r>
      <w:r>
        <w:rPr>
          <w:rFonts w:hint="eastAsia" w:ascii="宋体" w:hAnsi="宋体" w:eastAsia="宋体" w:cs="宋体"/>
          <w:color w:val="auto"/>
        </w:rPr>
        <w:t>门投</w:t>
      </w:r>
      <w:r>
        <w:rPr>
          <w:rFonts w:hint="eastAsia" w:ascii="宋体" w:hAnsi="宋体" w:eastAsia="宋体" w:cs="宋体"/>
          <w:color w:val="auto"/>
          <w:spacing w:val="-3"/>
        </w:rPr>
        <w:t>诉</w:t>
      </w:r>
      <w:r>
        <w:rPr>
          <w:rFonts w:hint="eastAsia" w:ascii="宋体" w:hAnsi="宋体" w:eastAsia="宋体" w:cs="宋体"/>
          <w:color w:val="auto"/>
          <w:spacing w:val="-77"/>
        </w:rPr>
        <w:t>。</w:t>
      </w:r>
      <w:r>
        <w:rPr>
          <w:rFonts w:hint="eastAsia" w:ascii="宋体" w:hAnsi="宋体" w:eastAsia="宋体" w:cs="宋体"/>
          <w:color w:val="auto"/>
        </w:rPr>
        <w:t>投</w:t>
      </w:r>
      <w:r>
        <w:rPr>
          <w:rFonts w:hint="eastAsia" w:ascii="宋体" w:hAnsi="宋体" w:eastAsia="宋体" w:cs="宋体"/>
          <w:color w:val="auto"/>
          <w:spacing w:val="-3"/>
        </w:rPr>
        <w:t>诉</w:t>
      </w:r>
      <w:r>
        <w:rPr>
          <w:rFonts w:hint="eastAsia" w:ascii="宋体" w:hAnsi="宋体" w:eastAsia="宋体" w:cs="宋体"/>
          <w:color w:val="auto"/>
        </w:rPr>
        <w:t>应</w:t>
      </w:r>
      <w:r>
        <w:rPr>
          <w:rFonts w:hint="eastAsia" w:ascii="宋体" w:hAnsi="宋体" w:eastAsia="宋体" w:cs="宋体"/>
          <w:color w:val="auto"/>
          <w:spacing w:val="-3"/>
        </w:rPr>
        <w:t>当</w:t>
      </w:r>
      <w:r>
        <w:rPr>
          <w:rFonts w:hint="eastAsia" w:ascii="宋体" w:hAnsi="宋体" w:eastAsia="宋体" w:cs="宋体"/>
          <w:color w:val="auto"/>
        </w:rPr>
        <w:t>有</w:t>
      </w:r>
      <w:r>
        <w:rPr>
          <w:rFonts w:hint="eastAsia" w:ascii="宋体" w:hAnsi="宋体" w:eastAsia="宋体" w:cs="宋体"/>
          <w:color w:val="auto"/>
          <w:spacing w:val="-3"/>
        </w:rPr>
        <w:t>明</w:t>
      </w:r>
      <w:r>
        <w:rPr>
          <w:rFonts w:hint="eastAsia" w:ascii="宋体" w:hAnsi="宋体" w:eastAsia="宋体" w:cs="宋体"/>
          <w:color w:val="auto"/>
        </w:rPr>
        <w:t>确</w:t>
      </w:r>
      <w:r>
        <w:rPr>
          <w:rFonts w:hint="eastAsia" w:ascii="宋体" w:hAnsi="宋体" w:eastAsia="宋体" w:cs="宋体"/>
          <w:color w:val="auto"/>
          <w:spacing w:val="-3"/>
        </w:rPr>
        <w:t>的</w:t>
      </w:r>
      <w:r>
        <w:rPr>
          <w:rFonts w:hint="eastAsia" w:ascii="宋体" w:hAnsi="宋体" w:eastAsia="宋体" w:cs="宋体"/>
          <w:color w:val="auto"/>
        </w:rPr>
        <w:t>请求</w:t>
      </w:r>
      <w:r>
        <w:rPr>
          <w:rFonts w:hint="eastAsia" w:ascii="宋体" w:hAnsi="宋体" w:eastAsia="宋体" w:cs="宋体"/>
          <w:color w:val="auto"/>
          <w:spacing w:val="-3"/>
        </w:rPr>
        <w:t>和</w:t>
      </w:r>
      <w:r>
        <w:rPr>
          <w:rFonts w:hint="eastAsia" w:ascii="宋体" w:hAnsi="宋体" w:eastAsia="宋体" w:cs="宋体"/>
          <w:color w:val="auto"/>
        </w:rPr>
        <w:t>必</w:t>
      </w:r>
      <w:r>
        <w:rPr>
          <w:rFonts w:hint="eastAsia" w:ascii="宋体" w:hAnsi="宋体" w:eastAsia="宋体" w:cs="宋体"/>
          <w:color w:val="auto"/>
          <w:spacing w:val="-3"/>
        </w:rPr>
        <w:t>要</w:t>
      </w:r>
      <w:r>
        <w:rPr>
          <w:rFonts w:hint="eastAsia" w:ascii="宋体" w:hAnsi="宋体" w:eastAsia="宋体" w:cs="宋体"/>
          <w:color w:val="auto"/>
        </w:rPr>
        <w:t>的证 明材</w:t>
      </w:r>
      <w:r>
        <w:rPr>
          <w:rFonts w:hint="eastAsia" w:ascii="宋体" w:hAnsi="宋体" w:eastAsia="宋体" w:cs="宋体"/>
          <w:color w:val="auto"/>
          <w:spacing w:val="-3"/>
        </w:rPr>
        <w:t>料</w:t>
      </w:r>
      <w:r>
        <w:rPr>
          <w:rFonts w:hint="eastAsia" w:ascii="宋体" w:hAnsi="宋体" w:eastAsia="宋体" w:cs="宋体"/>
          <w:color w:val="auto"/>
        </w:rPr>
        <w:t>。</w:t>
      </w:r>
    </w:p>
    <w:p w14:paraId="1F0D1DA0">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auto"/>
        </w:rPr>
        <w:t>8.5.2</w:t>
      </w:r>
      <w:r>
        <w:rPr>
          <w:rFonts w:hint="eastAsia" w:ascii="宋体" w:hAnsi="宋体" w:eastAsia="宋体" w:cs="宋体"/>
          <w:color w:val="auto"/>
          <w:spacing w:val="50"/>
        </w:rPr>
        <w:t xml:space="preserve"> </w:t>
      </w:r>
      <w:r>
        <w:rPr>
          <w:rFonts w:hint="eastAsia" w:ascii="宋体" w:hAnsi="宋体" w:eastAsia="宋体" w:cs="宋体"/>
          <w:color w:val="auto"/>
        </w:rPr>
        <w:t>投</w:t>
      </w:r>
      <w:r>
        <w:rPr>
          <w:rFonts w:hint="eastAsia" w:ascii="宋体" w:hAnsi="宋体" w:eastAsia="宋体" w:cs="宋体"/>
          <w:color w:val="auto"/>
          <w:spacing w:val="-3"/>
        </w:rPr>
        <w:t>标</w:t>
      </w:r>
      <w:r>
        <w:rPr>
          <w:rFonts w:hint="eastAsia" w:ascii="宋体" w:hAnsi="宋体" w:eastAsia="宋体" w:cs="宋体"/>
          <w:color w:val="auto"/>
        </w:rPr>
        <w:t>人</w:t>
      </w:r>
      <w:r>
        <w:rPr>
          <w:rFonts w:hint="eastAsia" w:ascii="宋体" w:hAnsi="宋体" w:eastAsia="宋体" w:cs="宋体"/>
          <w:color w:val="auto"/>
          <w:spacing w:val="-3"/>
        </w:rPr>
        <w:t>或</w:t>
      </w:r>
      <w:r>
        <w:rPr>
          <w:rFonts w:hint="eastAsia" w:ascii="宋体" w:hAnsi="宋体" w:eastAsia="宋体" w:cs="宋体"/>
          <w:color w:val="auto"/>
        </w:rPr>
        <w:t>者</w:t>
      </w:r>
      <w:r>
        <w:rPr>
          <w:rFonts w:hint="eastAsia" w:ascii="宋体" w:hAnsi="宋体" w:eastAsia="宋体" w:cs="宋体"/>
          <w:color w:val="auto"/>
          <w:spacing w:val="-3"/>
        </w:rPr>
        <w:t>其</w:t>
      </w:r>
      <w:r>
        <w:rPr>
          <w:rFonts w:hint="eastAsia" w:ascii="宋体" w:hAnsi="宋体" w:eastAsia="宋体" w:cs="宋体"/>
          <w:color w:val="auto"/>
        </w:rPr>
        <w:t>他</w:t>
      </w:r>
      <w:r>
        <w:rPr>
          <w:rFonts w:hint="eastAsia" w:ascii="宋体" w:hAnsi="宋体" w:eastAsia="宋体" w:cs="宋体"/>
          <w:color w:val="auto"/>
          <w:spacing w:val="-3"/>
        </w:rPr>
        <w:t>利害</w:t>
      </w:r>
      <w:r>
        <w:rPr>
          <w:rFonts w:hint="eastAsia" w:ascii="宋体" w:hAnsi="宋体" w:eastAsia="宋体" w:cs="宋体"/>
          <w:color w:val="auto"/>
        </w:rPr>
        <w:t>关系</w:t>
      </w:r>
      <w:r>
        <w:rPr>
          <w:rFonts w:hint="eastAsia" w:ascii="宋体" w:hAnsi="宋体" w:eastAsia="宋体" w:cs="宋体"/>
          <w:color w:val="auto"/>
          <w:spacing w:val="-3"/>
        </w:rPr>
        <w:t>人</w:t>
      </w:r>
      <w:r>
        <w:rPr>
          <w:rFonts w:hint="eastAsia" w:ascii="宋体" w:hAnsi="宋体" w:eastAsia="宋体" w:cs="宋体"/>
          <w:color w:val="auto"/>
        </w:rPr>
        <w:t>对</w:t>
      </w:r>
      <w:r>
        <w:rPr>
          <w:rFonts w:hint="eastAsia" w:ascii="宋体" w:hAnsi="宋体" w:eastAsia="宋体" w:cs="宋体"/>
          <w:color w:val="auto"/>
          <w:spacing w:val="-3"/>
        </w:rPr>
        <w:t>招</w:t>
      </w:r>
      <w:r>
        <w:rPr>
          <w:rFonts w:hint="eastAsia" w:ascii="宋体" w:hAnsi="宋体" w:eastAsia="宋体" w:cs="宋体"/>
          <w:color w:val="auto"/>
        </w:rPr>
        <w:t>标</w:t>
      </w:r>
      <w:r>
        <w:rPr>
          <w:rFonts w:hint="eastAsia" w:ascii="宋体" w:hAnsi="宋体" w:eastAsia="宋体" w:cs="宋体"/>
          <w:color w:val="auto"/>
          <w:spacing w:val="-3"/>
        </w:rPr>
        <w:t>文</w:t>
      </w:r>
      <w:r>
        <w:rPr>
          <w:rFonts w:hint="eastAsia" w:ascii="宋体" w:hAnsi="宋体" w:eastAsia="宋体" w:cs="宋体"/>
          <w:color w:val="auto"/>
        </w:rPr>
        <w:t>件</w:t>
      </w:r>
      <w:r>
        <w:rPr>
          <w:rFonts w:hint="eastAsia" w:ascii="宋体" w:hAnsi="宋体" w:eastAsia="宋体" w:cs="宋体"/>
          <w:color w:val="auto"/>
          <w:spacing w:val="-41"/>
        </w:rPr>
        <w:t>、</w:t>
      </w:r>
      <w:r>
        <w:rPr>
          <w:rFonts w:hint="eastAsia" w:ascii="宋体" w:hAnsi="宋体" w:eastAsia="宋体" w:cs="宋体"/>
          <w:color w:val="auto"/>
        </w:rPr>
        <w:t>开</w:t>
      </w:r>
      <w:r>
        <w:rPr>
          <w:rFonts w:hint="eastAsia" w:ascii="宋体" w:hAnsi="宋体" w:eastAsia="宋体" w:cs="宋体"/>
          <w:color w:val="auto"/>
          <w:spacing w:val="-3"/>
        </w:rPr>
        <w:t>标</w:t>
      </w:r>
      <w:r>
        <w:rPr>
          <w:rFonts w:hint="eastAsia" w:ascii="宋体" w:hAnsi="宋体" w:eastAsia="宋体" w:cs="宋体"/>
          <w:color w:val="auto"/>
        </w:rPr>
        <w:t>和评</w:t>
      </w:r>
      <w:r>
        <w:rPr>
          <w:rFonts w:hint="eastAsia" w:ascii="宋体" w:hAnsi="宋体" w:eastAsia="宋体" w:cs="宋体"/>
          <w:color w:val="auto"/>
          <w:spacing w:val="-3"/>
        </w:rPr>
        <w:t>标</w:t>
      </w:r>
      <w:r>
        <w:rPr>
          <w:rFonts w:hint="eastAsia" w:ascii="宋体" w:hAnsi="宋体" w:eastAsia="宋体" w:cs="宋体"/>
          <w:color w:val="auto"/>
        </w:rPr>
        <w:t>结</w:t>
      </w:r>
      <w:r>
        <w:rPr>
          <w:rFonts w:hint="eastAsia" w:ascii="宋体" w:hAnsi="宋体" w:eastAsia="宋体" w:cs="宋体"/>
          <w:color w:val="auto"/>
          <w:spacing w:val="-3"/>
        </w:rPr>
        <w:t>果</w:t>
      </w:r>
      <w:r>
        <w:rPr>
          <w:rFonts w:hint="eastAsia" w:ascii="宋体" w:hAnsi="宋体" w:eastAsia="宋体" w:cs="宋体"/>
          <w:color w:val="auto"/>
        </w:rPr>
        <w:t>提</w:t>
      </w:r>
      <w:r>
        <w:rPr>
          <w:rFonts w:hint="eastAsia" w:ascii="宋体" w:hAnsi="宋体" w:eastAsia="宋体" w:cs="宋体"/>
          <w:color w:val="auto"/>
          <w:spacing w:val="-3"/>
        </w:rPr>
        <w:t>出</w:t>
      </w:r>
      <w:r>
        <w:rPr>
          <w:rFonts w:hint="eastAsia" w:ascii="宋体" w:hAnsi="宋体" w:eastAsia="宋体" w:cs="宋体"/>
          <w:color w:val="auto"/>
        </w:rPr>
        <w:t>投</w:t>
      </w:r>
      <w:r>
        <w:rPr>
          <w:rFonts w:hint="eastAsia" w:ascii="宋体" w:hAnsi="宋体" w:eastAsia="宋体" w:cs="宋体"/>
          <w:color w:val="auto"/>
          <w:spacing w:val="-3"/>
        </w:rPr>
        <w:t>诉</w:t>
      </w:r>
      <w:r>
        <w:rPr>
          <w:rFonts w:hint="eastAsia" w:ascii="宋体" w:hAnsi="宋体" w:eastAsia="宋体" w:cs="宋体"/>
          <w:color w:val="auto"/>
        </w:rPr>
        <w:t>的</w:t>
      </w:r>
      <w:r>
        <w:rPr>
          <w:rFonts w:hint="eastAsia" w:ascii="宋体" w:hAnsi="宋体" w:eastAsia="宋体" w:cs="宋体"/>
          <w:color w:val="auto"/>
          <w:spacing w:val="-41"/>
        </w:rPr>
        <w:t>，</w:t>
      </w:r>
      <w:r>
        <w:rPr>
          <w:rFonts w:hint="eastAsia" w:ascii="宋体" w:hAnsi="宋体" w:eastAsia="宋体" w:cs="宋体"/>
          <w:color w:val="auto"/>
        </w:rPr>
        <w:t>应当</w:t>
      </w:r>
      <w:r>
        <w:rPr>
          <w:rFonts w:hint="eastAsia" w:ascii="宋体" w:hAnsi="宋体" w:eastAsia="宋体" w:cs="宋体"/>
          <w:color w:val="auto"/>
          <w:spacing w:val="-3"/>
        </w:rPr>
        <w:t>按</w:t>
      </w:r>
      <w:r>
        <w:rPr>
          <w:rFonts w:hint="eastAsia" w:ascii="宋体" w:hAnsi="宋体" w:eastAsia="宋体" w:cs="宋体"/>
          <w:color w:val="auto"/>
        </w:rPr>
        <w:t>照</w:t>
      </w:r>
      <w:r>
        <w:rPr>
          <w:rFonts w:hint="eastAsia" w:ascii="宋体" w:hAnsi="宋体" w:eastAsia="宋体" w:cs="宋体"/>
          <w:color w:val="auto"/>
          <w:spacing w:val="-3"/>
        </w:rPr>
        <w:t>投</w:t>
      </w:r>
      <w:r>
        <w:rPr>
          <w:rFonts w:hint="eastAsia" w:ascii="宋体" w:hAnsi="宋体" w:eastAsia="宋体" w:cs="宋体"/>
          <w:color w:val="auto"/>
        </w:rPr>
        <w:t>标人须</w:t>
      </w:r>
      <w:r>
        <w:rPr>
          <w:rFonts w:hint="eastAsia" w:ascii="宋体" w:hAnsi="宋体" w:eastAsia="宋体" w:cs="宋体"/>
          <w:color w:val="auto"/>
          <w:spacing w:val="-3"/>
        </w:rPr>
        <w:t>知</w:t>
      </w:r>
      <w:r>
        <w:rPr>
          <w:rFonts w:hint="eastAsia" w:ascii="宋体" w:hAnsi="宋体" w:eastAsia="宋体" w:cs="宋体"/>
          <w:color w:val="auto"/>
        </w:rPr>
        <w:t>第</w:t>
      </w:r>
      <w:r>
        <w:rPr>
          <w:rFonts w:hint="eastAsia" w:ascii="宋体" w:hAnsi="宋体" w:eastAsia="宋体" w:cs="宋体"/>
          <w:color w:val="auto"/>
          <w:spacing w:val="-65"/>
        </w:rPr>
        <w:t xml:space="preserve"> </w:t>
      </w:r>
      <w:r>
        <w:rPr>
          <w:rFonts w:hint="eastAsia" w:ascii="宋体" w:hAnsi="宋体" w:eastAsia="宋体" w:cs="宋体"/>
          <w:color w:val="auto"/>
        </w:rPr>
        <w:t>2.4</w:t>
      </w:r>
      <w:r>
        <w:rPr>
          <w:rFonts w:hint="eastAsia" w:ascii="宋体" w:hAnsi="宋体" w:eastAsia="宋体" w:cs="宋体"/>
          <w:color w:val="auto"/>
          <w:spacing w:val="-12"/>
        </w:rPr>
        <w:t xml:space="preserve"> </w:t>
      </w:r>
      <w:r>
        <w:rPr>
          <w:rFonts w:hint="eastAsia" w:ascii="宋体" w:hAnsi="宋体" w:eastAsia="宋体" w:cs="宋体"/>
          <w:color w:val="auto"/>
          <w:spacing w:val="-3"/>
        </w:rPr>
        <w:t>款</w:t>
      </w:r>
      <w:r>
        <w:rPr>
          <w:rFonts w:hint="eastAsia" w:ascii="宋体" w:hAnsi="宋体" w:eastAsia="宋体" w:cs="宋体"/>
          <w:color w:val="auto"/>
          <w:spacing w:val="-106"/>
        </w:rPr>
        <w:t>、</w:t>
      </w:r>
      <w:r>
        <w:rPr>
          <w:rFonts w:hint="eastAsia" w:ascii="宋体" w:hAnsi="宋体" w:eastAsia="宋体" w:cs="宋体"/>
          <w:color w:val="auto"/>
        </w:rPr>
        <w:t>第</w:t>
      </w:r>
      <w:r>
        <w:rPr>
          <w:rFonts w:hint="eastAsia" w:ascii="宋体" w:hAnsi="宋体" w:eastAsia="宋体" w:cs="宋体"/>
          <w:color w:val="auto"/>
          <w:spacing w:val="-65"/>
        </w:rPr>
        <w:t xml:space="preserve"> </w:t>
      </w:r>
      <w:r>
        <w:rPr>
          <w:rFonts w:hint="eastAsia" w:ascii="宋体" w:hAnsi="宋体" w:eastAsia="宋体" w:cs="宋体"/>
          <w:color w:val="auto"/>
        </w:rPr>
        <w:t>5.3</w:t>
      </w:r>
      <w:r>
        <w:rPr>
          <w:rFonts w:hint="eastAsia" w:ascii="宋体" w:hAnsi="宋体" w:eastAsia="宋体" w:cs="宋体"/>
          <w:color w:val="auto"/>
          <w:spacing w:val="-12"/>
        </w:rPr>
        <w:t xml:space="preserve"> </w:t>
      </w:r>
      <w:r>
        <w:rPr>
          <w:rFonts w:hint="eastAsia" w:ascii="宋体" w:hAnsi="宋体" w:eastAsia="宋体" w:cs="宋体"/>
          <w:color w:val="auto"/>
          <w:spacing w:val="-3"/>
        </w:rPr>
        <w:t>款</w:t>
      </w:r>
      <w:r>
        <w:rPr>
          <w:rFonts w:hint="eastAsia" w:ascii="宋体" w:hAnsi="宋体" w:eastAsia="宋体" w:cs="宋体"/>
          <w:color w:val="auto"/>
        </w:rPr>
        <w:t>和第</w:t>
      </w:r>
      <w:r>
        <w:rPr>
          <w:rFonts w:hint="eastAsia" w:ascii="宋体" w:hAnsi="宋体" w:eastAsia="宋体" w:cs="宋体"/>
          <w:color w:val="auto"/>
          <w:spacing w:val="-64"/>
        </w:rPr>
        <w:t xml:space="preserve"> </w:t>
      </w:r>
      <w:r>
        <w:rPr>
          <w:rFonts w:hint="eastAsia" w:ascii="宋体" w:hAnsi="宋体" w:eastAsia="宋体" w:cs="宋体"/>
          <w:color w:val="auto"/>
        </w:rPr>
        <w:t>7.2</w:t>
      </w:r>
      <w:r>
        <w:rPr>
          <w:rFonts w:hint="eastAsia" w:ascii="宋体" w:hAnsi="宋体" w:eastAsia="宋体" w:cs="宋体"/>
          <w:color w:val="auto"/>
          <w:spacing w:val="-12"/>
        </w:rPr>
        <w:t xml:space="preserve"> </w:t>
      </w:r>
      <w:r>
        <w:rPr>
          <w:rFonts w:hint="eastAsia" w:ascii="宋体" w:hAnsi="宋体" w:eastAsia="宋体" w:cs="宋体"/>
          <w:color w:val="auto"/>
          <w:spacing w:val="-3"/>
        </w:rPr>
        <w:t>款</w:t>
      </w:r>
      <w:r>
        <w:rPr>
          <w:rFonts w:hint="eastAsia" w:ascii="宋体" w:hAnsi="宋体" w:eastAsia="宋体" w:cs="宋体"/>
          <w:color w:val="auto"/>
        </w:rPr>
        <w:t>的</w:t>
      </w:r>
      <w:r>
        <w:rPr>
          <w:rFonts w:hint="eastAsia" w:ascii="宋体" w:hAnsi="宋体" w:eastAsia="宋体" w:cs="宋体"/>
          <w:color w:val="auto"/>
          <w:spacing w:val="-3"/>
        </w:rPr>
        <w:t>规</w:t>
      </w:r>
      <w:r>
        <w:rPr>
          <w:rFonts w:hint="eastAsia" w:ascii="宋体" w:hAnsi="宋体" w:eastAsia="宋体" w:cs="宋体"/>
          <w:color w:val="auto"/>
        </w:rPr>
        <w:t>定</w:t>
      </w:r>
      <w:r>
        <w:rPr>
          <w:rFonts w:hint="eastAsia" w:ascii="宋体" w:hAnsi="宋体" w:eastAsia="宋体" w:cs="宋体"/>
          <w:color w:val="auto"/>
          <w:spacing w:val="-3"/>
        </w:rPr>
        <w:t>先</w:t>
      </w:r>
      <w:r>
        <w:rPr>
          <w:rFonts w:hint="eastAsia" w:ascii="宋体" w:hAnsi="宋体" w:eastAsia="宋体" w:cs="宋体"/>
          <w:color w:val="auto"/>
        </w:rPr>
        <w:t>向</w:t>
      </w:r>
      <w:r>
        <w:rPr>
          <w:rFonts w:hint="eastAsia" w:ascii="宋体" w:hAnsi="宋体" w:eastAsia="宋体" w:cs="宋体"/>
          <w:color w:val="auto"/>
          <w:spacing w:val="-3"/>
        </w:rPr>
        <w:t>招标</w:t>
      </w:r>
      <w:r>
        <w:rPr>
          <w:rFonts w:hint="eastAsia" w:ascii="宋体" w:hAnsi="宋体" w:eastAsia="宋体" w:cs="宋体"/>
          <w:color w:val="auto"/>
        </w:rPr>
        <w:t>人提</w:t>
      </w:r>
      <w:r>
        <w:rPr>
          <w:rFonts w:hint="eastAsia" w:ascii="宋体" w:hAnsi="宋体" w:eastAsia="宋体" w:cs="宋体"/>
          <w:color w:val="auto"/>
          <w:spacing w:val="-3"/>
        </w:rPr>
        <w:t>出</w:t>
      </w:r>
      <w:r>
        <w:rPr>
          <w:rFonts w:hint="eastAsia" w:ascii="宋体" w:hAnsi="宋体" w:eastAsia="宋体" w:cs="宋体"/>
          <w:color w:val="auto"/>
        </w:rPr>
        <w:t>异</w:t>
      </w:r>
      <w:r>
        <w:rPr>
          <w:rFonts w:hint="eastAsia" w:ascii="宋体" w:hAnsi="宋体" w:eastAsia="宋体" w:cs="宋体"/>
          <w:color w:val="auto"/>
          <w:spacing w:val="-3"/>
        </w:rPr>
        <w:t>议</w:t>
      </w:r>
      <w:r>
        <w:rPr>
          <w:rFonts w:hint="eastAsia" w:ascii="宋体" w:hAnsi="宋体" w:eastAsia="宋体" w:cs="宋体"/>
          <w:color w:val="auto"/>
          <w:spacing w:val="-106"/>
        </w:rPr>
        <w:t>。</w:t>
      </w:r>
      <w:r>
        <w:rPr>
          <w:rFonts w:hint="eastAsia" w:ascii="宋体" w:hAnsi="宋体" w:eastAsia="宋体" w:cs="宋体"/>
          <w:color w:val="auto"/>
          <w:spacing w:val="-3"/>
        </w:rPr>
        <w:t>异</w:t>
      </w:r>
      <w:r>
        <w:rPr>
          <w:rFonts w:hint="eastAsia" w:ascii="宋体" w:hAnsi="宋体" w:eastAsia="宋体" w:cs="宋体"/>
          <w:color w:val="auto"/>
        </w:rPr>
        <w:t>议</w:t>
      </w:r>
      <w:r>
        <w:rPr>
          <w:rFonts w:hint="eastAsia" w:ascii="宋体" w:hAnsi="宋体" w:eastAsia="宋体" w:cs="宋体"/>
          <w:color w:val="auto"/>
          <w:spacing w:val="-3"/>
        </w:rPr>
        <w:t>答</w:t>
      </w:r>
      <w:r>
        <w:rPr>
          <w:rFonts w:hint="eastAsia" w:ascii="宋体" w:hAnsi="宋体" w:eastAsia="宋体" w:cs="宋体"/>
          <w:color w:val="auto"/>
        </w:rPr>
        <w:t>复</w:t>
      </w:r>
      <w:r>
        <w:rPr>
          <w:rFonts w:hint="eastAsia" w:ascii="宋体" w:hAnsi="宋体" w:eastAsia="宋体" w:cs="宋体"/>
          <w:color w:val="auto"/>
          <w:spacing w:val="-3"/>
        </w:rPr>
        <w:t>期间</w:t>
      </w:r>
      <w:r>
        <w:rPr>
          <w:rFonts w:hint="eastAsia" w:ascii="宋体" w:hAnsi="宋体" w:eastAsia="宋体" w:cs="宋体"/>
          <w:color w:val="auto"/>
        </w:rPr>
        <w:t>不计</w:t>
      </w:r>
      <w:r>
        <w:rPr>
          <w:rFonts w:hint="eastAsia" w:ascii="宋体" w:hAnsi="宋体" w:eastAsia="宋体" w:cs="宋体"/>
          <w:color w:val="auto"/>
          <w:spacing w:val="-3"/>
        </w:rPr>
        <w:t>算</w:t>
      </w:r>
      <w:r>
        <w:rPr>
          <w:rFonts w:hint="eastAsia" w:ascii="宋体" w:hAnsi="宋体" w:eastAsia="宋体" w:cs="宋体"/>
          <w:color w:val="auto"/>
        </w:rPr>
        <w:t>在第</w:t>
      </w:r>
      <w:r>
        <w:rPr>
          <w:rFonts w:hint="eastAsia" w:ascii="宋体" w:hAnsi="宋体" w:eastAsia="宋体" w:cs="宋体"/>
          <w:color w:val="auto"/>
          <w:spacing w:val="-65"/>
        </w:rPr>
        <w:t xml:space="preserve"> </w:t>
      </w:r>
      <w:r>
        <w:rPr>
          <w:rFonts w:hint="eastAsia" w:ascii="宋体" w:hAnsi="宋体" w:eastAsia="宋体" w:cs="宋体"/>
          <w:color w:val="auto"/>
        </w:rPr>
        <w:t>8</w:t>
      </w:r>
      <w:r>
        <w:rPr>
          <w:rFonts w:hint="eastAsia" w:ascii="宋体" w:hAnsi="宋体" w:eastAsia="宋体" w:cs="宋体"/>
          <w:color w:val="auto"/>
          <w:spacing w:val="-3"/>
        </w:rPr>
        <w:t>.</w:t>
      </w:r>
      <w:r>
        <w:rPr>
          <w:rFonts w:hint="eastAsia" w:ascii="宋体" w:hAnsi="宋体" w:eastAsia="宋体" w:cs="宋体"/>
          <w:color w:val="auto"/>
        </w:rPr>
        <w:t>5.1项规</w:t>
      </w:r>
      <w:r>
        <w:rPr>
          <w:rFonts w:hint="eastAsia" w:ascii="宋体" w:hAnsi="宋体" w:eastAsia="宋体" w:cs="宋体"/>
          <w:color w:val="auto"/>
          <w:spacing w:val="-3"/>
        </w:rPr>
        <w:t>定</w:t>
      </w:r>
      <w:r>
        <w:rPr>
          <w:rFonts w:hint="eastAsia" w:ascii="宋体" w:hAnsi="宋体" w:eastAsia="宋体" w:cs="宋体"/>
          <w:color w:val="auto"/>
        </w:rPr>
        <w:t>的</w:t>
      </w:r>
      <w:r>
        <w:rPr>
          <w:rFonts w:hint="eastAsia" w:ascii="宋体" w:hAnsi="宋体" w:eastAsia="宋体" w:cs="宋体"/>
          <w:color w:val="auto"/>
          <w:spacing w:val="-3"/>
        </w:rPr>
        <w:t>期</w:t>
      </w:r>
      <w:r>
        <w:rPr>
          <w:rFonts w:hint="eastAsia" w:ascii="宋体" w:hAnsi="宋体" w:eastAsia="宋体" w:cs="宋体"/>
          <w:color w:val="auto"/>
        </w:rPr>
        <w:t>限</w:t>
      </w:r>
      <w:r>
        <w:rPr>
          <w:rFonts w:hint="eastAsia" w:ascii="宋体" w:hAnsi="宋体" w:eastAsia="宋体" w:cs="宋体"/>
          <w:color w:val="auto"/>
          <w:spacing w:val="-3"/>
        </w:rPr>
        <w:t>内</w:t>
      </w:r>
      <w:r>
        <w:rPr>
          <w:rFonts w:hint="eastAsia" w:ascii="宋体" w:hAnsi="宋体" w:eastAsia="宋体" w:cs="宋体"/>
          <w:sz w:val="21"/>
          <w:szCs w:val="21"/>
        </w:rPr>
        <w:t>。</w:t>
      </w:r>
    </w:p>
    <w:p w14:paraId="2066FFF2">
      <w:pPr>
        <w:pStyle w:val="3"/>
        <w:bidi w:val="0"/>
        <w:rPr>
          <w:rFonts w:hint="eastAsia" w:ascii="宋体" w:hAnsi="宋体" w:eastAsia="宋体" w:cs="宋体"/>
          <w:b/>
          <w:bCs w:val="0"/>
        </w:rPr>
      </w:pPr>
      <w:bookmarkStart w:id="1000" w:name="_Toc8988"/>
      <w:bookmarkStart w:id="1001" w:name="_Toc477134992"/>
      <w:bookmarkStart w:id="1002" w:name="_Toc15620"/>
      <w:bookmarkStart w:id="1003" w:name="_Toc6758"/>
      <w:bookmarkStart w:id="1004" w:name="_Toc31311"/>
      <w:bookmarkStart w:id="1005" w:name="_Toc20616"/>
      <w:bookmarkStart w:id="1006" w:name="_Toc17880"/>
      <w:bookmarkStart w:id="1007" w:name="_Toc27422"/>
      <w:bookmarkStart w:id="1008" w:name="_Toc6573"/>
      <w:bookmarkStart w:id="1009" w:name="_Toc21761"/>
      <w:bookmarkStart w:id="1010" w:name="_Toc10277"/>
      <w:bookmarkStart w:id="1011" w:name="_Toc19651"/>
      <w:bookmarkStart w:id="1012" w:name="_Toc9137"/>
      <w:bookmarkStart w:id="1013" w:name="_Toc25642"/>
      <w:bookmarkStart w:id="1014" w:name="_Toc27523"/>
      <w:bookmarkStart w:id="1015" w:name="_Toc14188"/>
      <w:bookmarkStart w:id="1016" w:name="_Toc492300618"/>
      <w:bookmarkStart w:id="1017" w:name="_Toc21593"/>
      <w:r>
        <w:rPr>
          <w:rFonts w:hint="eastAsia" w:ascii="宋体" w:hAnsi="宋体" w:eastAsia="宋体" w:cs="宋体"/>
          <w:b/>
          <w:bCs w:val="0"/>
        </w:rPr>
        <w:t>9. 是否采用电子招标投标</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61C09410">
      <w:pPr>
        <w:spacing w:line="360" w:lineRule="auto"/>
        <w:ind w:firstLine="420" w:firstLineChars="200"/>
        <w:rPr>
          <w:rFonts w:hint="eastAsia" w:ascii="宋体" w:hAnsi="宋体" w:cs="宋体"/>
          <w:sz w:val="21"/>
          <w:szCs w:val="21"/>
        </w:rPr>
      </w:pPr>
      <w:r>
        <w:rPr>
          <w:rFonts w:hint="eastAsia" w:ascii="宋体" w:hAnsi="宋体" w:eastAsia="宋体" w:cs="宋体"/>
          <w:color w:val="auto"/>
        </w:rPr>
        <w:t>本招</w:t>
      </w:r>
      <w:r>
        <w:rPr>
          <w:rFonts w:hint="eastAsia" w:ascii="宋体" w:hAnsi="宋体" w:eastAsia="宋体" w:cs="宋体"/>
          <w:color w:val="auto"/>
          <w:spacing w:val="-3"/>
        </w:rPr>
        <w:t>标</w:t>
      </w:r>
      <w:r>
        <w:rPr>
          <w:rFonts w:hint="eastAsia" w:ascii="宋体" w:hAnsi="宋体" w:eastAsia="宋体" w:cs="宋体"/>
          <w:color w:val="auto"/>
        </w:rPr>
        <w:t>项</w:t>
      </w:r>
      <w:r>
        <w:rPr>
          <w:rFonts w:hint="eastAsia" w:ascii="宋体" w:hAnsi="宋体" w:eastAsia="宋体" w:cs="宋体"/>
          <w:color w:val="auto"/>
          <w:spacing w:val="-3"/>
        </w:rPr>
        <w:t>目</w:t>
      </w:r>
      <w:r>
        <w:rPr>
          <w:rFonts w:hint="eastAsia" w:ascii="宋体" w:hAnsi="宋体" w:eastAsia="宋体" w:cs="宋体"/>
          <w:i w:val="0"/>
          <w:iCs w:val="0"/>
          <w:caps w:val="0"/>
          <w:color w:val="auto"/>
          <w:spacing w:val="-4"/>
          <w:sz w:val="21"/>
          <w:szCs w:val="21"/>
          <w:highlight w:val="none"/>
          <w:shd w:val="clear" w:color="auto" w:fill="auto"/>
          <w:lang w:val="en-US" w:eastAsia="zh-CN" w:bidi="ar-SA"/>
        </w:rPr>
        <w:t>采用</w:t>
      </w:r>
      <w:r>
        <w:rPr>
          <w:rFonts w:hint="eastAsia" w:ascii="宋体" w:hAnsi="宋体" w:eastAsia="宋体" w:cs="宋体"/>
          <w:color w:val="auto"/>
        </w:rPr>
        <w:t>电</w:t>
      </w:r>
      <w:r>
        <w:rPr>
          <w:rFonts w:hint="eastAsia" w:ascii="宋体" w:hAnsi="宋体" w:eastAsia="宋体" w:cs="宋体"/>
          <w:color w:val="auto"/>
          <w:spacing w:val="-3"/>
        </w:rPr>
        <w:t>子</w:t>
      </w:r>
      <w:r>
        <w:rPr>
          <w:rFonts w:hint="eastAsia" w:ascii="宋体" w:hAnsi="宋体" w:eastAsia="宋体" w:cs="宋体"/>
          <w:color w:val="auto"/>
        </w:rPr>
        <w:t>招标</w:t>
      </w:r>
      <w:r>
        <w:rPr>
          <w:rFonts w:hint="eastAsia" w:ascii="宋体" w:hAnsi="宋体" w:eastAsia="宋体" w:cs="宋体"/>
          <w:color w:val="auto"/>
          <w:spacing w:val="-3"/>
        </w:rPr>
        <w:t>投</w:t>
      </w:r>
      <w:r>
        <w:rPr>
          <w:rFonts w:hint="eastAsia" w:ascii="宋体" w:hAnsi="宋体" w:eastAsia="宋体" w:cs="宋体"/>
          <w:color w:val="auto"/>
        </w:rPr>
        <w:t>标</w:t>
      </w:r>
      <w:r>
        <w:rPr>
          <w:rFonts w:hint="eastAsia" w:ascii="宋体" w:hAnsi="宋体" w:eastAsia="宋体" w:cs="宋体"/>
          <w:color w:val="auto"/>
          <w:spacing w:val="-3"/>
        </w:rPr>
        <w:t>方</w:t>
      </w:r>
      <w:r>
        <w:rPr>
          <w:rFonts w:hint="eastAsia" w:ascii="宋体" w:hAnsi="宋体" w:eastAsia="宋体" w:cs="宋体"/>
          <w:color w:val="auto"/>
        </w:rPr>
        <w:t>式</w:t>
      </w:r>
      <w:r>
        <w:rPr>
          <w:rFonts w:hint="eastAsia" w:ascii="宋体" w:hAnsi="宋体" w:eastAsia="宋体" w:cs="宋体"/>
          <w:color w:val="auto"/>
          <w:spacing w:val="-3"/>
        </w:rPr>
        <w:t>，</w:t>
      </w:r>
      <w:r>
        <w:rPr>
          <w:rFonts w:hint="eastAsia" w:ascii="宋体" w:hAnsi="宋体" w:eastAsia="宋体" w:cs="宋体"/>
          <w:color w:val="auto"/>
          <w:spacing w:val="-8"/>
          <w:sz w:val="21"/>
          <w:szCs w:val="21"/>
          <w:highlight w:val="none"/>
          <w:lang w:eastAsia="zh-CN"/>
        </w:rPr>
        <w:t>按照</w:t>
      </w:r>
      <w:r>
        <w:rPr>
          <w:rFonts w:hint="eastAsia" w:ascii="宋体" w:hAnsi="宋体" w:eastAsia="宋体" w:cs="宋体"/>
          <w:color w:val="auto"/>
          <w:spacing w:val="-8"/>
          <w:sz w:val="21"/>
          <w:szCs w:val="21"/>
          <w:highlight w:val="none"/>
          <w:u w:val="single"/>
          <w:lang w:eastAsia="zh-CN"/>
        </w:rPr>
        <w:t>广州交易集团有限公司（广州公共资源交易中心）</w:t>
      </w:r>
      <w:r>
        <w:rPr>
          <w:rFonts w:hint="eastAsia" w:ascii="宋体" w:hAnsi="宋体" w:eastAsia="宋体" w:cs="宋体"/>
          <w:color w:val="auto"/>
          <w:spacing w:val="-8"/>
          <w:sz w:val="21"/>
          <w:szCs w:val="21"/>
          <w:highlight w:val="none"/>
          <w:lang w:eastAsia="zh-CN"/>
        </w:rPr>
        <w:t>网站关于全流程电子化项目的相关指南进行操作</w:t>
      </w:r>
      <w:r>
        <w:rPr>
          <w:rFonts w:hint="eastAsia" w:ascii="宋体" w:hAnsi="宋体" w:eastAsia="宋体" w:cs="宋体"/>
          <w:sz w:val="21"/>
          <w:szCs w:val="21"/>
        </w:rPr>
        <w:t>。</w:t>
      </w:r>
    </w:p>
    <w:p w14:paraId="5CD09C93">
      <w:pPr>
        <w:pStyle w:val="7"/>
      </w:pPr>
    </w:p>
    <w:p w14:paraId="2FF91F56">
      <w:pPr>
        <w:pStyle w:val="3"/>
        <w:pageBreakBefore w:val="0"/>
        <w:wordWrap/>
        <w:topLinePunct w:val="0"/>
        <w:autoSpaceDE w:val="0"/>
        <w:autoSpaceDN w:val="0"/>
        <w:bidi w:val="0"/>
        <w:adjustRightInd/>
        <w:snapToGrid/>
        <w:spacing w:before="0" w:after="0" w:line="360" w:lineRule="auto"/>
        <w:jc w:val="both"/>
        <w:textAlignment w:val="auto"/>
        <w:rPr>
          <w:rFonts w:hint="eastAsia" w:ascii="黑体" w:hAnsi="黑体" w:eastAsia="宋体" w:cs="黑体"/>
          <w:b w:val="0"/>
          <w:bCs w:val="0"/>
          <w:color w:val="auto"/>
          <w:lang w:eastAsia="zh-CN"/>
        </w:rPr>
      </w:pPr>
      <w:bookmarkStart w:id="1018" w:name="_Toc743"/>
      <w:bookmarkStart w:id="1019" w:name="_Toc11065"/>
      <w:r>
        <w:rPr>
          <w:rFonts w:hint="eastAsia" w:ascii="宋体" w:hAnsi="宋体" w:eastAsia="宋体" w:cs="宋体"/>
          <w:b/>
          <w:bCs/>
          <w:color w:val="auto"/>
        </w:rPr>
        <w:t xml:space="preserve">10. </w:t>
      </w:r>
      <w:r>
        <w:rPr>
          <w:rFonts w:hint="eastAsia" w:ascii="宋体" w:hAnsi="宋体" w:cs="宋体"/>
          <w:b/>
          <w:bCs/>
          <w:color w:val="auto"/>
          <w:lang w:eastAsia="zh-CN"/>
        </w:rPr>
        <w:t>重新招标情形</w:t>
      </w:r>
      <w:bookmarkEnd w:id="1018"/>
      <w:bookmarkEnd w:id="1019"/>
    </w:p>
    <w:p w14:paraId="6EF42E3C">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在下列情况下，依法必须招标项目的招标人在分析招标失败的原因并采取相应措施后，应当依照本办法重新招标：</w:t>
      </w:r>
    </w:p>
    <w:p w14:paraId="59F598E3">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（一）资格</w:t>
      </w:r>
      <w:r>
        <w:rPr>
          <w:rFonts w:hint="eastAsia" w:ascii="宋体" w:hAnsi="宋体" w:eastAsia="宋体" w:cs="宋体"/>
          <w:i w:val="0"/>
          <w:iCs w:val="0"/>
          <w:caps w:val="0"/>
          <w:color w:val="auto"/>
          <w:spacing w:val="-4"/>
          <w:sz w:val="21"/>
          <w:szCs w:val="21"/>
          <w:highlight w:val="none"/>
          <w:shd w:val="clear" w:color="auto" w:fill="auto"/>
          <w:lang w:val="en-US" w:eastAsia="zh-CN" w:bidi="ar-SA"/>
        </w:rPr>
        <w:t>审查</w:t>
      </w:r>
      <w:r>
        <w:rPr>
          <w:rFonts w:hint="default" w:ascii="宋体" w:hAnsi="宋体" w:eastAsia="宋体" w:cs="宋体"/>
          <w:i w:val="0"/>
          <w:iCs w:val="0"/>
          <w:caps w:val="0"/>
          <w:color w:val="auto"/>
          <w:spacing w:val="-4"/>
          <w:sz w:val="21"/>
          <w:szCs w:val="21"/>
          <w:highlight w:val="none"/>
          <w:shd w:val="clear" w:color="auto" w:fill="auto"/>
          <w:lang w:val="en-US" w:eastAsia="zh-CN" w:bidi="ar-SA"/>
        </w:rPr>
        <w:t>合格的投标人不足三个的；</w:t>
      </w:r>
    </w:p>
    <w:p w14:paraId="63FF6F48">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（二）在投标截止时间前提交投标文件的投标人少于三个的；</w:t>
      </w:r>
    </w:p>
    <w:p w14:paraId="4CE7628D">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（三）所有投标均被否决的；</w:t>
      </w:r>
    </w:p>
    <w:p w14:paraId="5B57CA71">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（四）评标委员会否决不合格投标后，因有效投标不足三个使得投标明显缺乏竞争，评标委员会决定否决全部投标的；</w:t>
      </w:r>
    </w:p>
    <w:p w14:paraId="2F26A85D">
      <w:pPr>
        <w:spacing w:before="3" w:line="357"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eastAsia" w:ascii="宋体" w:hAnsi="宋体" w:eastAsia="宋体" w:cs="宋体"/>
          <w:i w:val="0"/>
          <w:iCs w:val="0"/>
          <w:caps w:val="0"/>
          <w:color w:val="auto"/>
          <w:spacing w:val="-4"/>
          <w:sz w:val="21"/>
          <w:szCs w:val="21"/>
          <w:highlight w:val="none"/>
          <w:shd w:val="clear" w:color="auto" w:fill="auto"/>
          <w:lang w:val="en-US" w:eastAsia="zh-CN" w:bidi="ar-SA"/>
        </w:rPr>
        <w:t>（五）符合法律法规需重新招标的其他情形</w:t>
      </w:r>
      <w:r>
        <w:rPr>
          <w:rFonts w:hint="default" w:ascii="宋体" w:hAnsi="宋体" w:eastAsia="宋体" w:cs="宋体"/>
          <w:i w:val="0"/>
          <w:iCs w:val="0"/>
          <w:caps w:val="0"/>
          <w:color w:val="auto"/>
          <w:spacing w:val="-4"/>
          <w:sz w:val="21"/>
          <w:szCs w:val="21"/>
          <w:highlight w:val="none"/>
          <w:shd w:val="clear" w:color="auto" w:fill="auto"/>
          <w:lang w:val="en-US" w:eastAsia="zh-CN" w:bidi="ar-SA"/>
        </w:rPr>
        <w:t>。</w:t>
      </w:r>
    </w:p>
    <w:p w14:paraId="4713115C">
      <w:pPr>
        <w:pStyle w:val="11"/>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rPr>
      </w:pPr>
    </w:p>
    <w:p w14:paraId="28DE38EA">
      <w:pPr>
        <w:pStyle w:val="3"/>
        <w:pageBreakBefore w:val="0"/>
        <w:wordWrap/>
        <w:topLinePunct w:val="0"/>
        <w:autoSpaceDE w:val="0"/>
        <w:autoSpaceDN w:val="0"/>
        <w:bidi w:val="0"/>
        <w:adjustRightInd/>
        <w:snapToGrid/>
        <w:spacing w:before="0" w:after="0" w:line="360" w:lineRule="auto"/>
        <w:jc w:val="both"/>
        <w:textAlignment w:val="auto"/>
        <w:rPr>
          <w:rFonts w:hint="eastAsia" w:ascii="黑体" w:hAnsi="黑体" w:eastAsia="黑体" w:cs="黑体"/>
          <w:b w:val="0"/>
          <w:bCs w:val="0"/>
          <w:color w:val="auto"/>
        </w:rPr>
      </w:pPr>
      <w:bookmarkStart w:id="1020" w:name="_Toc701"/>
      <w:bookmarkStart w:id="1021" w:name="_Toc28373"/>
      <w:r>
        <w:rPr>
          <w:rFonts w:hint="eastAsia" w:ascii="宋体" w:hAnsi="宋体" w:eastAsia="宋体" w:cs="宋体"/>
          <w:b/>
          <w:bCs/>
          <w:color w:val="auto"/>
          <w:lang w:val="en-US" w:eastAsia="zh-CN"/>
        </w:rPr>
        <w:t>11</w:t>
      </w:r>
      <w:r>
        <w:rPr>
          <w:rFonts w:hint="eastAsia" w:ascii="宋体" w:hAnsi="宋体" w:eastAsia="宋体" w:cs="宋体"/>
          <w:b/>
          <w:bCs/>
          <w:color w:val="auto"/>
        </w:rPr>
        <w:t>. 需要补充的其他内容</w:t>
      </w:r>
      <w:bookmarkEnd w:id="1020"/>
      <w:bookmarkEnd w:id="1021"/>
    </w:p>
    <w:p w14:paraId="70394661">
      <w:pPr>
        <w:pStyle w:val="3"/>
        <w:bidi w:val="0"/>
        <w:ind w:firstLine="404" w:firstLineChars="200"/>
        <w:jc w:val="both"/>
        <w:rPr>
          <w:rFonts w:hint="eastAsia" w:ascii="宋体" w:hAnsi="宋体" w:eastAsia="宋体" w:cs="宋体"/>
          <w:b w:val="0"/>
          <w:i w:val="0"/>
          <w:iCs w:val="0"/>
          <w:caps w:val="0"/>
          <w:color w:val="auto"/>
          <w:spacing w:val="-4"/>
          <w:kern w:val="2"/>
          <w:sz w:val="21"/>
          <w:szCs w:val="21"/>
          <w:highlight w:val="none"/>
          <w:shd w:val="clear" w:color="auto" w:fill="auto"/>
          <w:lang w:val="en-US" w:eastAsia="zh-CN" w:bidi="ar-SA"/>
        </w:rPr>
      </w:pPr>
      <w:bookmarkStart w:id="1022" w:name="_Toc29460"/>
      <w:bookmarkStart w:id="1023" w:name="_Toc534"/>
      <w:r>
        <w:rPr>
          <w:rFonts w:hint="eastAsia" w:ascii="宋体" w:hAnsi="宋体" w:eastAsia="宋体" w:cs="宋体"/>
          <w:b w:val="0"/>
          <w:i w:val="0"/>
          <w:iCs w:val="0"/>
          <w:caps w:val="0"/>
          <w:color w:val="auto"/>
          <w:spacing w:val="-4"/>
          <w:kern w:val="2"/>
          <w:sz w:val="21"/>
          <w:szCs w:val="21"/>
          <w:highlight w:val="none"/>
          <w:shd w:val="clear" w:color="auto" w:fill="auto"/>
          <w:lang w:val="en-US" w:eastAsia="zh-CN" w:bidi="ar-SA"/>
        </w:rPr>
        <w:t>需要补充的其他内容：见投标人须知前附表。</w:t>
      </w:r>
      <w:bookmarkEnd w:id="1022"/>
      <w:bookmarkEnd w:id="1023"/>
    </w:p>
    <w:p w14:paraId="0974FD42">
      <w:pPr>
        <w:pStyle w:val="3"/>
        <w:bidi w:val="0"/>
        <w:ind w:firstLine="404" w:firstLineChars="200"/>
        <w:jc w:val="center"/>
        <w:rPr>
          <w:color w:val="auto"/>
          <w:sz w:val="32"/>
          <w:szCs w:val="32"/>
        </w:rPr>
      </w:pPr>
      <w:r>
        <w:rPr>
          <w:rFonts w:hint="eastAsia" w:ascii="宋体" w:hAnsi="宋体" w:eastAsia="宋体" w:cs="宋体"/>
          <w:b w:val="0"/>
          <w:i w:val="0"/>
          <w:iCs w:val="0"/>
          <w:caps w:val="0"/>
          <w:color w:val="auto"/>
          <w:spacing w:val="-4"/>
          <w:kern w:val="2"/>
          <w:sz w:val="21"/>
          <w:szCs w:val="21"/>
          <w:highlight w:val="none"/>
          <w:shd w:val="clear" w:color="auto" w:fill="auto"/>
          <w:lang w:val="en-US" w:eastAsia="zh-CN" w:bidi="ar-SA"/>
        </w:rPr>
        <w:br w:type="page"/>
      </w:r>
      <w:bookmarkStart w:id="1024" w:name="_Toc31728"/>
      <w:bookmarkStart w:id="1025" w:name="_Toc6923"/>
      <w:bookmarkStart w:id="1026" w:name="_Toc5644"/>
      <w:bookmarkStart w:id="1027" w:name="_Toc28363"/>
      <w:bookmarkStart w:id="1028" w:name="_Toc16952"/>
      <w:bookmarkStart w:id="1029" w:name="_Toc24184"/>
      <w:bookmarkStart w:id="1030" w:name="_Toc29878"/>
      <w:r>
        <w:rPr>
          <w:color w:val="auto"/>
          <w:sz w:val="32"/>
          <w:szCs w:val="32"/>
        </w:rPr>
        <w:t>第三章</w:t>
      </w:r>
      <w:r>
        <w:rPr>
          <w:rFonts w:hint="eastAsia"/>
          <w:color w:val="auto"/>
          <w:sz w:val="32"/>
          <w:szCs w:val="32"/>
          <w:lang w:val="en-US" w:eastAsia="zh-CN"/>
        </w:rPr>
        <w:t xml:space="preserve"> </w:t>
      </w:r>
      <w:r>
        <w:rPr>
          <w:color w:val="auto"/>
          <w:sz w:val="32"/>
          <w:szCs w:val="32"/>
        </w:rPr>
        <w:t>评标办法（综合评估法）</w:t>
      </w:r>
      <w:bookmarkEnd w:id="1024"/>
      <w:bookmarkEnd w:id="1025"/>
      <w:bookmarkEnd w:id="1026"/>
      <w:bookmarkEnd w:id="1027"/>
      <w:bookmarkEnd w:id="1028"/>
      <w:bookmarkEnd w:id="1029"/>
      <w:bookmarkEnd w:id="1030"/>
    </w:p>
    <w:p w14:paraId="014E1BD0">
      <w:pPr>
        <w:bidi w:val="0"/>
        <w:jc w:val="center"/>
        <w:rPr>
          <w:rFonts w:hint="eastAsia"/>
          <w:b/>
          <w:bCs/>
          <w:sz w:val="28"/>
          <w:szCs w:val="28"/>
        </w:rPr>
      </w:pPr>
      <w:bookmarkStart w:id="1031" w:name="_Toc4827"/>
      <w:bookmarkStart w:id="1032" w:name="_Toc8283"/>
      <w:bookmarkStart w:id="1033" w:name="_Toc24664"/>
      <w:bookmarkStart w:id="1034" w:name="_Toc7095"/>
      <w:bookmarkStart w:id="1035" w:name="_Toc12145"/>
      <w:bookmarkStart w:id="1036" w:name="_Toc25449"/>
      <w:bookmarkStart w:id="1037" w:name="_Toc511140226"/>
      <w:bookmarkStart w:id="1038" w:name="_Toc11578"/>
      <w:bookmarkStart w:id="1039" w:name="_Toc3573"/>
      <w:bookmarkStart w:id="1040" w:name="_Toc23332"/>
      <w:r>
        <w:rPr>
          <w:rFonts w:hint="eastAsia"/>
          <w:b/>
          <w:bCs/>
          <w:sz w:val="28"/>
          <w:szCs w:val="28"/>
        </w:rPr>
        <w:t>评标办法前附表</w:t>
      </w:r>
      <w:bookmarkEnd w:id="1031"/>
      <w:bookmarkEnd w:id="1032"/>
      <w:bookmarkEnd w:id="1033"/>
      <w:bookmarkEnd w:id="1034"/>
      <w:bookmarkEnd w:id="1035"/>
      <w:bookmarkEnd w:id="1036"/>
      <w:bookmarkEnd w:id="1037"/>
      <w:bookmarkEnd w:id="1038"/>
      <w:bookmarkEnd w:id="1039"/>
      <w:bookmarkEnd w:id="1040"/>
    </w:p>
    <w:tbl>
      <w:tblPr>
        <w:tblStyle w:val="28"/>
        <w:tblW w:w="933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047"/>
        <w:gridCol w:w="5263"/>
      </w:tblGrid>
      <w:tr w14:paraId="3FD39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2F4D3CD0">
            <w:pPr>
              <w:spacing w:line="0" w:lineRule="atLeast"/>
              <w:jc w:val="center"/>
              <w:rPr>
                <w:rFonts w:ascii="Times New Roman" w:hAnsi="Times New Roman"/>
                <w:b/>
                <w:color w:val="000000"/>
              </w:rPr>
            </w:pPr>
            <w:r>
              <w:rPr>
                <w:rFonts w:hint="eastAsia" w:ascii="Times New Roman" w:hAnsi="Times New Roman"/>
                <w:b/>
                <w:color w:val="000000"/>
              </w:rPr>
              <w:t>条款号</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709A8189">
            <w:pPr>
              <w:spacing w:line="0" w:lineRule="atLeast"/>
              <w:jc w:val="center"/>
              <w:rPr>
                <w:rFonts w:ascii="Times New Roman" w:hAnsi="Times New Roman"/>
                <w:b/>
                <w:color w:val="000000"/>
              </w:rPr>
            </w:pPr>
            <w:r>
              <w:rPr>
                <w:rFonts w:hint="eastAsia" w:ascii="Times New Roman" w:hAnsi="Times New Roman"/>
                <w:b/>
                <w:color w:val="000000"/>
              </w:rPr>
              <w:t>评审因素</w:t>
            </w:r>
          </w:p>
        </w:tc>
        <w:tc>
          <w:tcPr>
            <w:tcW w:w="5263" w:type="dxa"/>
            <w:tcBorders>
              <w:top w:val="single" w:color="auto" w:sz="4" w:space="0"/>
              <w:left w:val="single" w:color="auto" w:sz="4" w:space="0"/>
              <w:bottom w:val="single" w:color="auto" w:sz="4" w:space="0"/>
            </w:tcBorders>
            <w:noWrap w:val="0"/>
            <w:vAlign w:val="center"/>
          </w:tcPr>
          <w:p w14:paraId="7FB20982">
            <w:pPr>
              <w:spacing w:line="0" w:lineRule="atLeast"/>
              <w:jc w:val="center"/>
              <w:rPr>
                <w:rFonts w:ascii="Times New Roman" w:hAnsi="Times New Roman"/>
                <w:b/>
                <w:color w:val="000000"/>
              </w:rPr>
            </w:pPr>
            <w:r>
              <w:rPr>
                <w:rFonts w:hint="eastAsia" w:ascii="Times New Roman" w:hAnsi="Times New Roman"/>
                <w:b/>
                <w:color w:val="000000"/>
              </w:rPr>
              <w:t>评审标准</w:t>
            </w:r>
          </w:p>
        </w:tc>
      </w:tr>
      <w:tr w14:paraId="277ED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bottom w:val="single" w:color="auto" w:sz="4" w:space="0"/>
              <w:right w:val="single" w:color="auto" w:sz="4" w:space="0"/>
            </w:tcBorders>
            <w:noWrap w:val="0"/>
            <w:vAlign w:val="center"/>
          </w:tcPr>
          <w:p w14:paraId="7C64069D">
            <w:pPr>
              <w:spacing w:line="0" w:lineRule="atLeast"/>
              <w:jc w:val="center"/>
              <w:rPr>
                <w:rFonts w:ascii="Times New Roman" w:hAnsi="Times New Roman"/>
                <w:color w:val="000000"/>
              </w:rPr>
            </w:pPr>
            <w:r>
              <w:rPr>
                <w:rFonts w:ascii="Times New Roman" w:hAnsi="Times New Roman"/>
                <w:color w:val="000000"/>
              </w:rPr>
              <w:t>1</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2B611F2D">
            <w:pPr>
              <w:spacing w:line="0" w:lineRule="atLeast"/>
              <w:jc w:val="center"/>
              <w:rPr>
                <w:rFonts w:ascii="Times New Roman" w:hAnsi="Times New Roman"/>
                <w:color w:val="000000"/>
              </w:rPr>
            </w:pPr>
            <w:r>
              <w:rPr>
                <w:rFonts w:hint="eastAsia" w:ascii="Times New Roman" w:hAnsi="Times New Roman"/>
                <w:color w:val="000000"/>
              </w:rPr>
              <w:t>评标方法</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4D769825">
            <w:pPr>
              <w:spacing w:line="0" w:lineRule="atLeast"/>
              <w:jc w:val="center"/>
              <w:rPr>
                <w:rFonts w:ascii="Times New Roman" w:hAnsi="Times New Roman"/>
                <w:color w:val="000000"/>
              </w:rPr>
            </w:pPr>
            <w:r>
              <w:rPr>
                <w:rFonts w:hint="eastAsia" w:ascii="宋体" w:hAnsi="宋体"/>
                <w:color w:val="auto"/>
                <w:highlight w:val="none"/>
                <w:u w:val="single"/>
              </w:rPr>
              <w:t>评标采用“定量评审”</w:t>
            </w:r>
            <w:r>
              <w:rPr>
                <w:rFonts w:hint="eastAsia" w:ascii="宋体" w:hAnsi="宋体"/>
                <w:color w:val="auto"/>
                <w:highlight w:val="none"/>
                <w:u w:val="single"/>
                <w:lang w:eastAsia="zh-CN"/>
              </w:rPr>
              <w:t>的评标办法</w:t>
            </w:r>
          </w:p>
        </w:tc>
        <w:tc>
          <w:tcPr>
            <w:tcW w:w="5263" w:type="dxa"/>
            <w:tcBorders>
              <w:top w:val="single" w:color="auto" w:sz="4" w:space="0"/>
              <w:left w:val="single" w:color="auto" w:sz="4" w:space="0"/>
              <w:bottom w:val="single" w:color="auto" w:sz="4" w:space="0"/>
            </w:tcBorders>
            <w:noWrap w:val="0"/>
            <w:vAlign w:val="top"/>
          </w:tcPr>
          <w:p w14:paraId="6BBF8DB1">
            <w:pPr>
              <w:spacing w:line="0" w:lineRule="atLeast"/>
              <w:jc w:val="left"/>
              <w:rPr>
                <w:rFonts w:hint="eastAsia"/>
                <w:lang w:eastAsia="zh-CN"/>
              </w:rPr>
            </w:pPr>
            <w:r>
              <w:rPr>
                <w:rFonts w:hint="eastAsia" w:ascii="宋体" w:hAnsi="宋体"/>
                <w:color w:val="auto"/>
                <w:highlight w:val="none"/>
                <w:u w:val="single"/>
              </w:rPr>
              <w:t>本项目采用评定分离定标办法，其中：评标采用“定量评审”的评标办法，通过投标文件初步审查的投标人中，按第三章评标、定标办法第3.2 详细评审要求确定的投标人总得分排序，推荐进入定标阶段的合格中标候选人名单[中标候选人不排序，按统一社会信用代码后4位（除校验码外）大小排位，如统一社会信用代码后4位出现字母情况的，字母以“0”进行代替大小排位；如出现后4位（除校验码外）大小一致的，则随机排位]，并编制评标报告。若通过初步审查的投标人大于等于 3 名且少于等于</w:t>
            </w:r>
            <w:r>
              <w:rPr>
                <w:rFonts w:hint="eastAsia" w:ascii="宋体" w:hAnsi="宋体"/>
                <w:color w:val="auto"/>
                <w:highlight w:val="none"/>
                <w:u w:val="single"/>
                <w:lang w:val="en-US" w:eastAsia="zh-CN"/>
              </w:rPr>
              <w:t>20</w:t>
            </w:r>
            <w:r>
              <w:rPr>
                <w:rFonts w:hint="eastAsia" w:ascii="宋体" w:hAnsi="宋体"/>
                <w:color w:val="auto"/>
                <w:highlight w:val="none"/>
                <w:u w:val="single"/>
              </w:rPr>
              <w:t>名，则全部为合格的中标候选人，不排序进入定标阶段；若通过初步审查的投标人大于</w:t>
            </w:r>
            <w:r>
              <w:rPr>
                <w:rFonts w:hint="eastAsia" w:ascii="宋体" w:hAnsi="宋体"/>
                <w:color w:val="auto"/>
                <w:highlight w:val="none"/>
                <w:u w:val="single"/>
                <w:lang w:val="en-US" w:eastAsia="zh-CN"/>
              </w:rPr>
              <w:t>20</w:t>
            </w:r>
            <w:r>
              <w:rPr>
                <w:rFonts w:hint="eastAsia" w:ascii="宋体" w:hAnsi="宋体"/>
                <w:color w:val="auto"/>
                <w:highlight w:val="none"/>
                <w:u w:val="single"/>
              </w:rPr>
              <w:t>名，按投标人总得分由高到低顺序推荐前</w:t>
            </w:r>
            <w:r>
              <w:rPr>
                <w:rFonts w:hint="eastAsia" w:ascii="宋体" w:hAnsi="宋体"/>
                <w:color w:val="auto"/>
                <w:highlight w:val="none"/>
                <w:u w:val="single"/>
                <w:lang w:val="en-US" w:eastAsia="zh-CN"/>
              </w:rPr>
              <w:t>20</w:t>
            </w:r>
            <w:r>
              <w:rPr>
                <w:rFonts w:hint="eastAsia" w:ascii="宋体" w:hAnsi="宋体"/>
                <w:color w:val="auto"/>
                <w:highlight w:val="none"/>
                <w:u w:val="single"/>
              </w:rPr>
              <w:t>名不排序的合格的中标候选人（总得分相同的，以资信业绩得分高的排前；资信业绩得分也相同的，以</w:t>
            </w:r>
            <w:r>
              <w:rPr>
                <w:rFonts w:hint="eastAsia" w:ascii="宋体" w:hAnsi="宋体"/>
                <w:color w:val="auto"/>
                <w:highlight w:val="none"/>
                <w:u w:val="single"/>
                <w:lang w:eastAsia="zh-CN"/>
              </w:rPr>
              <w:t>项目实施方案</w:t>
            </w:r>
            <w:r>
              <w:rPr>
                <w:rFonts w:hint="eastAsia" w:ascii="宋体" w:hAnsi="宋体"/>
                <w:color w:val="auto"/>
                <w:highlight w:val="none"/>
                <w:u w:val="single"/>
              </w:rPr>
              <w:t>得分高的排前；</w:t>
            </w:r>
            <w:r>
              <w:rPr>
                <w:rFonts w:hint="eastAsia" w:ascii="宋体" w:hAnsi="宋体"/>
                <w:color w:val="auto"/>
                <w:highlight w:val="none"/>
                <w:u w:val="single"/>
                <w:lang w:eastAsia="zh-CN"/>
              </w:rPr>
              <w:t>项目实施方案</w:t>
            </w:r>
            <w:r>
              <w:rPr>
                <w:rFonts w:hint="eastAsia" w:ascii="宋体" w:hAnsi="宋体"/>
                <w:color w:val="auto"/>
                <w:highlight w:val="none"/>
                <w:u w:val="single"/>
              </w:rPr>
              <w:t>得分也相同的，以报价低的排前；如均相同的，则以评标委员会通过记名投票方式确定排序。其排名顺序只作为评标阶段确定进入定标阶段的依据,不对定标工作产生影响），进入定标阶段。</w:t>
            </w:r>
          </w:p>
        </w:tc>
      </w:tr>
      <w:tr w14:paraId="55A7C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60F496B9">
            <w:pPr>
              <w:spacing w:line="0" w:lineRule="atLeast"/>
              <w:jc w:val="center"/>
              <w:rPr>
                <w:rFonts w:ascii="Times New Roman" w:hAnsi="Times New Roman"/>
                <w:color w:val="000000"/>
              </w:rPr>
            </w:pPr>
            <w:r>
              <w:rPr>
                <w:rFonts w:ascii="Times New Roman" w:hAnsi="Times New Roman"/>
                <w:color w:val="000000"/>
              </w:rPr>
              <w:t>2.1.1</w:t>
            </w:r>
          </w:p>
        </w:tc>
        <w:tc>
          <w:tcPr>
            <w:tcW w:w="1124" w:type="dxa"/>
            <w:vMerge w:val="restart"/>
            <w:tcBorders>
              <w:top w:val="single" w:color="auto" w:sz="4" w:space="0"/>
              <w:right w:val="single" w:color="auto" w:sz="4" w:space="0"/>
            </w:tcBorders>
            <w:noWrap w:val="0"/>
            <w:vAlign w:val="center"/>
          </w:tcPr>
          <w:p w14:paraId="3EDF9624">
            <w:pPr>
              <w:spacing w:line="0" w:lineRule="atLeast"/>
              <w:jc w:val="center"/>
              <w:rPr>
                <w:rFonts w:ascii="Times New Roman" w:hAnsi="Times New Roman"/>
                <w:color w:val="000000"/>
              </w:rPr>
            </w:pPr>
            <w:r>
              <w:rPr>
                <w:rFonts w:hint="eastAsia" w:ascii="Times New Roman" w:hAnsi="Times New Roman"/>
                <w:color w:val="000000"/>
              </w:rPr>
              <w:t>形式评审标准</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543F9E6D">
            <w:pPr>
              <w:spacing w:line="0" w:lineRule="atLeast"/>
              <w:jc w:val="center"/>
              <w:rPr>
                <w:rFonts w:ascii="Times New Roman" w:hAnsi="Times New Roman"/>
                <w:color w:val="000000"/>
              </w:rPr>
            </w:pPr>
            <w:r>
              <w:rPr>
                <w:rFonts w:hint="eastAsia" w:ascii="Times New Roman" w:hAnsi="Times New Roman"/>
                <w:color w:val="000000"/>
              </w:rPr>
              <w:t>投标人名称</w:t>
            </w:r>
          </w:p>
        </w:tc>
        <w:tc>
          <w:tcPr>
            <w:tcW w:w="5263" w:type="dxa"/>
            <w:tcBorders>
              <w:top w:val="single" w:color="auto" w:sz="4" w:space="0"/>
              <w:left w:val="single" w:color="auto" w:sz="4" w:space="0"/>
              <w:bottom w:val="single" w:color="auto" w:sz="4" w:space="0"/>
            </w:tcBorders>
            <w:noWrap w:val="0"/>
            <w:vAlign w:val="center"/>
          </w:tcPr>
          <w:p w14:paraId="284BC2B8">
            <w:pPr>
              <w:spacing w:line="0" w:lineRule="atLeast"/>
              <w:rPr>
                <w:rFonts w:hint="eastAsia" w:ascii="Times New Roman" w:hAnsi="Times New Roman" w:eastAsia="宋体"/>
                <w:color w:val="000000"/>
                <w:lang w:eastAsia="zh-CN"/>
              </w:rPr>
            </w:pPr>
            <w:r>
              <w:rPr>
                <w:rFonts w:hint="eastAsia" w:ascii="Times New Roman" w:hAnsi="Times New Roman"/>
                <w:color w:val="000000"/>
              </w:rPr>
              <w:t>与营业执照或事业单位登记机构核发的事业单位法人证书、资质证书一致</w:t>
            </w:r>
            <w:r>
              <w:rPr>
                <w:rFonts w:hint="eastAsia" w:ascii="Times New Roman" w:hAnsi="Times New Roman"/>
                <w:color w:val="000000"/>
                <w:lang w:eastAsia="zh-CN"/>
              </w:rPr>
              <w:t>。</w:t>
            </w:r>
          </w:p>
        </w:tc>
      </w:tr>
      <w:tr w14:paraId="552D1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18F6D387">
            <w:pPr>
              <w:spacing w:line="0" w:lineRule="atLeast"/>
              <w:jc w:val="center"/>
              <w:rPr>
                <w:rFonts w:ascii="Times New Roman" w:hAnsi="Times New Roman"/>
                <w:color w:val="000000"/>
              </w:rPr>
            </w:pPr>
          </w:p>
        </w:tc>
        <w:tc>
          <w:tcPr>
            <w:tcW w:w="1124" w:type="dxa"/>
            <w:vMerge w:val="continue"/>
            <w:tcBorders>
              <w:right w:val="single" w:color="auto" w:sz="4" w:space="0"/>
            </w:tcBorders>
            <w:noWrap w:val="0"/>
            <w:vAlign w:val="center"/>
          </w:tcPr>
          <w:p w14:paraId="2928BF1A">
            <w:pPr>
              <w:spacing w:line="0" w:lineRule="atLeast"/>
              <w:jc w:val="center"/>
              <w:rPr>
                <w:rFonts w:hint="eastAsia" w:ascii="Times New Roman" w:hAnsi="Times New Roman"/>
                <w:color w:val="000000"/>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284FC5AB">
            <w:pPr>
              <w:spacing w:line="0" w:lineRule="atLeast"/>
              <w:jc w:val="both"/>
              <w:rPr>
                <w:rFonts w:hint="eastAsia" w:ascii="Times New Roman" w:hAnsi="Times New Roman"/>
                <w:color w:val="000000"/>
              </w:rPr>
            </w:pPr>
            <w:r>
              <w:rPr>
                <w:rFonts w:hint="eastAsia" w:ascii="宋体" w:hAnsi="宋体" w:eastAsia="宋体" w:cs="Times New Roman"/>
                <w:color w:val="auto"/>
                <w:spacing w:val="-3"/>
                <w:sz w:val="21"/>
              </w:rPr>
              <w:t>投标人参加投标的意思表达清楚，投标人代表被授权有效</w:t>
            </w:r>
          </w:p>
        </w:tc>
        <w:tc>
          <w:tcPr>
            <w:tcW w:w="5263" w:type="dxa"/>
            <w:tcBorders>
              <w:top w:val="single" w:color="auto" w:sz="4" w:space="0"/>
              <w:left w:val="single" w:color="auto" w:sz="4" w:space="0"/>
              <w:bottom w:val="single" w:color="auto" w:sz="4" w:space="0"/>
            </w:tcBorders>
            <w:noWrap w:val="0"/>
            <w:vAlign w:val="center"/>
          </w:tcPr>
          <w:p w14:paraId="07F1693D">
            <w:pPr>
              <w:spacing w:line="0" w:lineRule="atLeast"/>
              <w:rPr>
                <w:rFonts w:hint="eastAsia" w:ascii="Times New Roman" w:hAnsi="Times New Roman"/>
                <w:color w:val="000000"/>
              </w:rPr>
            </w:pPr>
            <w:r>
              <w:rPr>
                <w:rFonts w:hint="eastAsia" w:ascii="宋体" w:hAnsi="宋体" w:eastAsia="宋体" w:cs="Times New Roman"/>
                <w:color w:val="auto"/>
                <w:sz w:val="21"/>
                <w:szCs w:val="21"/>
              </w:rPr>
              <w:t>投标人声明、投标人廉洁承诺书、法定代表人证明书；委托投标的还应提供法人授权委托证明书</w:t>
            </w:r>
            <w:r>
              <w:rPr>
                <w:rFonts w:hint="eastAsia" w:ascii="宋体" w:hAnsi="宋体" w:eastAsia="宋体" w:cs="Times New Roman"/>
                <w:color w:val="auto"/>
                <w:sz w:val="21"/>
                <w:szCs w:val="21"/>
                <w:lang w:eastAsia="zh-CN"/>
              </w:rPr>
              <w:t>。</w:t>
            </w:r>
          </w:p>
        </w:tc>
      </w:tr>
      <w:tr w14:paraId="00141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04E605E8">
            <w:pPr>
              <w:spacing w:line="0" w:lineRule="atLeast"/>
              <w:rPr>
                <w:rFonts w:ascii="Times New Roman" w:hAnsi="Times New Roman"/>
              </w:rPr>
            </w:pPr>
          </w:p>
        </w:tc>
        <w:tc>
          <w:tcPr>
            <w:tcW w:w="1124" w:type="dxa"/>
            <w:vMerge w:val="continue"/>
            <w:tcBorders>
              <w:right w:val="single" w:color="auto" w:sz="4" w:space="0"/>
            </w:tcBorders>
            <w:noWrap w:val="0"/>
            <w:vAlign w:val="center"/>
          </w:tcPr>
          <w:p w14:paraId="3BA42D30">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685D9272">
            <w:pPr>
              <w:spacing w:line="0" w:lineRule="atLeast"/>
              <w:jc w:val="center"/>
              <w:rPr>
                <w:rFonts w:ascii="Times New Roman" w:hAnsi="Times New Roman"/>
                <w:color w:val="000000"/>
              </w:rPr>
            </w:pPr>
            <w:r>
              <w:rPr>
                <w:rFonts w:hint="eastAsia" w:ascii="Times New Roman" w:hAnsi="Times New Roman"/>
                <w:color w:val="000000"/>
              </w:rPr>
              <w:t>投标函及投标函附录签字盖章</w:t>
            </w:r>
          </w:p>
        </w:tc>
        <w:tc>
          <w:tcPr>
            <w:tcW w:w="5263" w:type="dxa"/>
            <w:tcBorders>
              <w:top w:val="single" w:color="auto" w:sz="4" w:space="0"/>
              <w:left w:val="single" w:color="auto" w:sz="4" w:space="0"/>
              <w:bottom w:val="single" w:color="auto" w:sz="4" w:space="0"/>
            </w:tcBorders>
            <w:noWrap w:val="0"/>
            <w:vAlign w:val="center"/>
          </w:tcPr>
          <w:p w14:paraId="1CDFB696">
            <w:pPr>
              <w:spacing w:line="0" w:lineRule="atLeast"/>
              <w:rPr>
                <w:rFonts w:ascii="Times New Roman" w:hAnsi="Times New Roman"/>
                <w:color w:val="000000"/>
              </w:rPr>
            </w:pPr>
            <w:r>
              <w:rPr>
                <w:rFonts w:hint="eastAsia" w:ascii="宋体" w:hAnsi="宋体" w:eastAsia="宋体" w:cs="Times New Roman"/>
                <w:color w:val="auto"/>
                <w:sz w:val="21"/>
                <w:szCs w:val="21"/>
              </w:rPr>
              <w:t>有法定代表人或其委托代理人签字</w:t>
            </w:r>
            <w:r>
              <w:rPr>
                <w:rFonts w:hint="eastAsia" w:ascii="宋体" w:hAnsi="宋体" w:eastAsia="宋体" w:cs="Times New Roman"/>
                <w:color w:val="auto"/>
                <w:sz w:val="21"/>
                <w:szCs w:val="21"/>
                <w:lang w:eastAsia="zh-CN"/>
              </w:rPr>
              <w:t>和加</w:t>
            </w:r>
            <w:r>
              <w:rPr>
                <w:rFonts w:hint="eastAsia" w:ascii="宋体" w:hAnsi="宋体" w:eastAsia="宋体" w:cs="Times New Roman"/>
                <w:color w:val="auto"/>
                <w:sz w:val="21"/>
                <w:szCs w:val="21"/>
              </w:rPr>
              <w:t>盖</w:t>
            </w:r>
            <w:r>
              <w:rPr>
                <w:rFonts w:hint="eastAsia" w:ascii="宋体" w:hAnsi="宋体" w:eastAsia="宋体" w:cs="Times New Roman"/>
                <w:color w:val="auto"/>
                <w:sz w:val="21"/>
                <w:szCs w:val="21"/>
                <w:lang w:eastAsia="zh-CN"/>
              </w:rPr>
              <w:t>单位</w:t>
            </w:r>
            <w:r>
              <w:rPr>
                <w:rFonts w:hint="eastAsia" w:ascii="宋体" w:hAnsi="宋体" w:cs="Times New Roman"/>
                <w:color w:val="auto"/>
                <w:sz w:val="21"/>
                <w:szCs w:val="21"/>
                <w:lang w:val="en-US" w:eastAsia="zh-CN"/>
              </w:rPr>
              <w:t>公</w:t>
            </w:r>
            <w:r>
              <w:rPr>
                <w:rFonts w:hint="eastAsia" w:ascii="宋体" w:hAnsi="宋体" w:eastAsia="宋体" w:cs="Times New Roman"/>
                <w:color w:val="auto"/>
                <w:sz w:val="21"/>
                <w:szCs w:val="21"/>
              </w:rPr>
              <w:t>章。由法定代表人签字的，应附法定代表人身份证明</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由代理人签字的，应附</w:t>
            </w:r>
            <w:r>
              <w:rPr>
                <w:rFonts w:hint="eastAsia" w:ascii="宋体" w:hAnsi="宋体" w:eastAsia="宋体" w:cs="Times New Roman"/>
                <w:color w:val="auto"/>
                <w:sz w:val="21"/>
                <w:szCs w:val="21"/>
                <w:lang w:eastAsia="zh-CN"/>
              </w:rPr>
              <w:t>法定代表人身份证明及</w:t>
            </w:r>
            <w:r>
              <w:rPr>
                <w:rFonts w:hint="eastAsia" w:ascii="宋体" w:hAnsi="宋体" w:eastAsia="宋体" w:cs="Times New Roman"/>
                <w:color w:val="auto"/>
                <w:sz w:val="21"/>
                <w:szCs w:val="21"/>
              </w:rPr>
              <w:t>授权委托书，身份证明或授权委托书</w:t>
            </w:r>
            <w:r>
              <w:rPr>
                <w:rFonts w:hint="eastAsia" w:ascii="宋体" w:hAnsi="宋体" w:eastAsia="宋体" w:cs="Times New Roman"/>
                <w:color w:val="auto"/>
                <w:sz w:val="21"/>
                <w:szCs w:val="21"/>
                <w:lang w:eastAsia="zh-CN"/>
              </w:rPr>
              <w:t>参考</w:t>
            </w:r>
            <w:r>
              <w:rPr>
                <w:rFonts w:hint="eastAsia" w:ascii="宋体" w:hAnsi="宋体" w:eastAsia="宋体" w:cs="Times New Roman"/>
                <w:color w:val="auto"/>
                <w:sz w:val="21"/>
                <w:szCs w:val="21"/>
              </w:rPr>
              <w:t>第六章“投标文件格式”的规定。</w:t>
            </w:r>
          </w:p>
        </w:tc>
      </w:tr>
      <w:tr w14:paraId="1358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02F40525">
            <w:pPr>
              <w:spacing w:line="0" w:lineRule="atLeast"/>
              <w:rPr>
                <w:rFonts w:ascii="Times New Roman" w:hAnsi="Times New Roman"/>
              </w:rPr>
            </w:pPr>
          </w:p>
        </w:tc>
        <w:tc>
          <w:tcPr>
            <w:tcW w:w="1124" w:type="dxa"/>
            <w:vMerge w:val="continue"/>
            <w:tcBorders>
              <w:right w:val="single" w:color="auto" w:sz="4" w:space="0"/>
            </w:tcBorders>
            <w:noWrap w:val="0"/>
            <w:vAlign w:val="center"/>
          </w:tcPr>
          <w:p w14:paraId="535F1D66">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16219C72">
            <w:pPr>
              <w:spacing w:line="0" w:lineRule="atLeast"/>
              <w:jc w:val="center"/>
              <w:rPr>
                <w:rFonts w:ascii="Times New Roman" w:hAnsi="Times New Roman"/>
                <w:color w:val="000000"/>
              </w:rPr>
            </w:pPr>
            <w:r>
              <w:rPr>
                <w:rFonts w:hint="eastAsia" w:ascii="Times New Roman" w:hAnsi="Times New Roman"/>
                <w:color w:val="000000"/>
              </w:rPr>
              <w:t>投标文件格式</w:t>
            </w:r>
          </w:p>
        </w:tc>
        <w:tc>
          <w:tcPr>
            <w:tcW w:w="5263" w:type="dxa"/>
            <w:tcBorders>
              <w:top w:val="single" w:color="auto" w:sz="4" w:space="0"/>
              <w:left w:val="single" w:color="auto" w:sz="4" w:space="0"/>
              <w:bottom w:val="single" w:color="auto" w:sz="4" w:space="0"/>
            </w:tcBorders>
            <w:noWrap w:val="0"/>
            <w:vAlign w:val="center"/>
          </w:tcPr>
          <w:p w14:paraId="7298C6D4">
            <w:pPr>
              <w:spacing w:line="0" w:lineRule="atLeast"/>
              <w:rPr>
                <w:rFonts w:hint="eastAsia" w:ascii="Times New Roman" w:hAnsi="Times New Roman" w:eastAsia="宋体"/>
                <w:color w:val="000000"/>
                <w:lang w:eastAsia="zh-CN"/>
              </w:rPr>
            </w:pPr>
            <w:r>
              <w:rPr>
                <w:rFonts w:hint="eastAsia" w:ascii="Times New Roman" w:hAnsi="Times New Roman"/>
                <w:color w:val="000000"/>
              </w:rPr>
              <w:t>符合第六章</w:t>
            </w:r>
            <w:r>
              <w:rPr>
                <w:rFonts w:ascii="Times New Roman" w:hAnsi="Times New Roman"/>
                <w:color w:val="000000"/>
              </w:rPr>
              <w:t>“</w:t>
            </w:r>
            <w:r>
              <w:rPr>
                <w:rFonts w:hint="eastAsia" w:ascii="Times New Roman" w:hAnsi="Times New Roman"/>
                <w:color w:val="000000"/>
              </w:rPr>
              <w:t>投标文件格式</w:t>
            </w:r>
            <w:r>
              <w:rPr>
                <w:rFonts w:ascii="Times New Roman" w:hAnsi="Times New Roman"/>
                <w:color w:val="000000"/>
              </w:rPr>
              <w:t>”</w:t>
            </w:r>
            <w:r>
              <w:rPr>
                <w:rFonts w:hint="eastAsia" w:ascii="Times New Roman" w:hAnsi="Times New Roman"/>
                <w:color w:val="000000"/>
              </w:rPr>
              <w:t>的规定</w:t>
            </w:r>
            <w:r>
              <w:rPr>
                <w:rFonts w:hint="eastAsia" w:ascii="Times New Roman" w:hAnsi="Times New Roman"/>
                <w:color w:val="000000"/>
                <w:lang w:eastAsia="zh-CN"/>
              </w:rPr>
              <w:t>。</w:t>
            </w:r>
          </w:p>
        </w:tc>
      </w:tr>
      <w:tr w14:paraId="2E0E5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900" w:type="dxa"/>
            <w:vMerge w:val="continue"/>
            <w:tcBorders>
              <w:top w:val="nil"/>
              <w:bottom w:val="single" w:color="auto" w:sz="4" w:space="0"/>
              <w:right w:val="single" w:color="auto" w:sz="4" w:space="0"/>
            </w:tcBorders>
            <w:noWrap w:val="0"/>
            <w:vAlign w:val="center"/>
          </w:tcPr>
          <w:p w14:paraId="299097DE">
            <w:pPr>
              <w:spacing w:line="0" w:lineRule="atLeast"/>
              <w:rPr>
                <w:rFonts w:ascii="Times New Roman" w:hAnsi="Times New Roman"/>
              </w:rPr>
            </w:pPr>
          </w:p>
        </w:tc>
        <w:tc>
          <w:tcPr>
            <w:tcW w:w="1124" w:type="dxa"/>
            <w:vMerge w:val="continue"/>
            <w:tcBorders>
              <w:right w:val="single" w:color="auto" w:sz="4" w:space="0"/>
            </w:tcBorders>
            <w:noWrap w:val="0"/>
            <w:vAlign w:val="center"/>
          </w:tcPr>
          <w:p w14:paraId="778044E2">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2F09139C">
            <w:pPr>
              <w:spacing w:line="0" w:lineRule="atLeast"/>
              <w:jc w:val="center"/>
              <w:rPr>
                <w:rFonts w:hint="eastAsia" w:ascii="宋体" w:hAnsi="Times New Roman" w:cs="宋体"/>
                <w:kern w:val="0"/>
                <w:sz w:val="22"/>
                <w:szCs w:val="22"/>
                <w:lang w:val="zh-CN" w:eastAsia="zh-CN" w:bidi="zh-CN"/>
              </w:rPr>
            </w:pPr>
            <w:r>
              <w:rPr>
                <w:rFonts w:hint="eastAsia" w:ascii="Times New Roman" w:hAnsi="Times New Roman"/>
                <w:color w:val="000000"/>
              </w:rPr>
              <w:t>联合体投标人</w:t>
            </w:r>
          </w:p>
        </w:tc>
        <w:tc>
          <w:tcPr>
            <w:tcW w:w="5263" w:type="dxa"/>
            <w:tcBorders>
              <w:top w:val="single" w:color="auto" w:sz="4" w:space="0"/>
              <w:left w:val="single" w:color="auto" w:sz="4" w:space="0"/>
              <w:bottom w:val="single" w:color="auto" w:sz="4" w:space="0"/>
            </w:tcBorders>
            <w:noWrap w:val="0"/>
            <w:vAlign w:val="center"/>
          </w:tcPr>
          <w:p w14:paraId="77EF0FC5">
            <w:pPr>
              <w:spacing w:line="0" w:lineRule="atLeast"/>
              <w:rPr>
                <w:rFonts w:hint="eastAsia" w:ascii="宋体" w:hAnsi="Times New Roman" w:eastAsia="宋体" w:cs="宋体"/>
                <w:kern w:val="0"/>
                <w:sz w:val="22"/>
                <w:szCs w:val="22"/>
                <w:lang w:val="zh-CN" w:eastAsia="zh-CN" w:bidi="zh-CN"/>
              </w:rPr>
            </w:pPr>
            <w:r>
              <w:rPr>
                <w:rFonts w:hint="eastAsia" w:ascii="宋体" w:hAnsi="宋体" w:cs="宋体"/>
                <w:szCs w:val="21"/>
                <w:highlight w:val="none"/>
              </w:rPr>
              <w:t>不允许</w:t>
            </w:r>
          </w:p>
        </w:tc>
      </w:tr>
      <w:tr w14:paraId="2EB0C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6C3FCB8C">
            <w:pPr>
              <w:spacing w:line="0" w:lineRule="atLeast"/>
              <w:rPr>
                <w:rFonts w:ascii="Times New Roman" w:hAnsi="Times New Roman"/>
              </w:rPr>
            </w:pPr>
          </w:p>
        </w:tc>
        <w:tc>
          <w:tcPr>
            <w:tcW w:w="1124" w:type="dxa"/>
            <w:vMerge w:val="continue"/>
            <w:tcBorders>
              <w:right w:val="single" w:color="auto" w:sz="4" w:space="0"/>
            </w:tcBorders>
            <w:noWrap w:val="0"/>
            <w:vAlign w:val="center"/>
          </w:tcPr>
          <w:p w14:paraId="4677A209">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5167B16E">
            <w:pPr>
              <w:spacing w:line="0" w:lineRule="atLeast"/>
              <w:jc w:val="center"/>
              <w:rPr>
                <w:rFonts w:hint="eastAsia" w:ascii="Times New Roman" w:hAnsi="Times New Roman" w:eastAsia="宋体"/>
                <w:color w:val="000000"/>
                <w:lang w:eastAsia="zh-CN"/>
              </w:rPr>
            </w:pPr>
            <w:r>
              <w:rPr>
                <w:rFonts w:hint="eastAsia" w:ascii="Times New Roman" w:hAnsi="Times New Roman"/>
                <w:color w:val="000000"/>
                <w:lang w:eastAsia="zh-CN"/>
              </w:rPr>
              <w:t>备选投标方案</w:t>
            </w:r>
          </w:p>
        </w:tc>
        <w:tc>
          <w:tcPr>
            <w:tcW w:w="5263" w:type="dxa"/>
            <w:tcBorders>
              <w:top w:val="single" w:color="auto" w:sz="4" w:space="0"/>
              <w:left w:val="single" w:color="auto" w:sz="4" w:space="0"/>
              <w:bottom w:val="single" w:color="auto" w:sz="4" w:space="0"/>
            </w:tcBorders>
            <w:noWrap w:val="0"/>
            <w:vAlign w:val="center"/>
          </w:tcPr>
          <w:p w14:paraId="16C06316">
            <w:pPr>
              <w:spacing w:line="0" w:lineRule="atLeast"/>
              <w:rPr>
                <w:rFonts w:hint="eastAsia" w:ascii="Times New Roman" w:hAnsi="Times New Roman" w:eastAsia="宋体"/>
                <w:color w:val="000000"/>
                <w:lang w:eastAsia="zh-CN"/>
              </w:rPr>
            </w:pPr>
            <w:r>
              <w:rPr>
                <w:rFonts w:hint="eastAsia" w:ascii="宋体" w:hAnsi="宋体" w:cs="宋体"/>
                <w:szCs w:val="21"/>
                <w:highlight w:val="none"/>
              </w:rPr>
              <w:t>不允许</w:t>
            </w:r>
          </w:p>
        </w:tc>
      </w:tr>
      <w:tr w14:paraId="0ADED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11B99571">
            <w:pPr>
              <w:spacing w:line="0" w:lineRule="atLeast"/>
              <w:rPr>
                <w:rFonts w:ascii="Times New Roman" w:hAnsi="Times New Roman"/>
              </w:rPr>
            </w:pPr>
          </w:p>
        </w:tc>
        <w:tc>
          <w:tcPr>
            <w:tcW w:w="1124" w:type="dxa"/>
            <w:vMerge w:val="continue"/>
            <w:tcBorders>
              <w:right w:val="single" w:color="auto" w:sz="4" w:space="0"/>
            </w:tcBorders>
            <w:noWrap w:val="0"/>
            <w:vAlign w:val="center"/>
          </w:tcPr>
          <w:p w14:paraId="6CBA3283">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4C09A5DB">
            <w:pPr>
              <w:spacing w:line="0" w:lineRule="atLeast"/>
              <w:jc w:val="center"/>
              <w:rPr>
                <w:rFonts w:ascii="Times New Roman" w:hAnsi="Times New Roman"/>
                <w:color w:val="auto"/>
              </w:rPr>
            </w:pPr>
            <w:r>
              <w:rPr>
                <w:rFonts w:hint="eastAsia" w:ascii="宋体" w:hAnsi="宋体"/>
                <w:color w:val="auto"/>
                <w:spacing w:val="-3"/>
                <w:sz w:val="21"/>
              </w:rPr>
              <w:t>投标人</w:t>
            </w:r>
            <w:r>
              <w:rPr>
                <w:rFonts w:hint="eastAsia" w:ascii="宋体" w:hAnsi="宋体"/>
                <w:color w:val="auto"/>
                <w:spacing w:val="-3"/>
                <w:sz w:val="21"/>
                <w:lang w:eastAsia="zh-CN"/>
              </w:rPr>
              <w:t>硬件特征</w:t>
            </w:r>
            <w:r>
              <w:rPr>
                <w:rFonts w:hint="eastAsia" w:ascii="宋体" w:hAnsi="宋体"/>
                <w:color w:val="auto"/>
                <w:spacing w:val="-3"/>
                <w:sz w:val="21"/>
              </w:rPr>
              <w:t>码</w:t>
            </w:r>
          </w:p>
        </w:tc>
        <w:tc>
          <w:tcPr>
            <w:tcW w:w="5263" w:type="dxa"/>
            <w:tcBorders>
              <w:top w:val="single" w:color="auto" w:sz="4" w:space="0"/>
              <w:left w:val="single" w:color="auto" w:sz="4" w:space="0"/>
              <w:bottom w:val="single" w:color="auto" w:sz="4" w:space="0"/>
            </w:tcBorders>
            <w:noWrap w:val="0"/>
            <w:vAlign w:val="center"/>
          </w:tcPr>
          <w:p w14:paraId="33D3FCFA">
            <w:pPr>
              <w:spacing w:line="0" w:lineRule="atLeast"/>
              <w:rPr>
                <w:rFonts w:hint="eastAsia" w:ascii="Times New Roman" w:hAnsi="Times New Roman" w:eastAsia="宋体"/>
                <w:color w:val="auto"/>
                <w:lang w:eastAsia="zh-CN"/>
              </w:rPr>
            </w:pPr>
            <w:r>
              <w:rPr>
                <w:rFonts w:hint="eastAsia" w:ascii="宋体" w:hAnsi="宋体" w:eastAsia="宋体" w:cs="Times New Roman"/>
                <w:color w:val="auto"/>
                <w:sz w:val="21"/>
                <w:szCs w:val="21"/>
              </w:rPr>
              <w:t>投标人与</w:t>
            </w:r>
            <w:r>
              <w:rPr>
                <w:rFonts w:hint="eastAsia" w:ascii="宋体" w:hAnsi="宋体" w:cs="Times New Roman"/>
                <w:color w:val="auto"/>
                <w:sz w:val="21"/>
                <w:szCs w:val="21"/>
                <w:lang w:val="en-US" w:eastAsia="zh-CN"/>
              </w:rPr>
              <w:t>本项目</w:t>
            </w:r>
            <w:r>
              <w:rPr>
                <w:rFonts w:hint="eastAsia" w:ascii="宋体" w:hAnsi="宋体" w:eastAsia="宋体" w:cs="Times New Roman"/>
                <w:color w:val="auto"/>
                <w:sz w:val="21"/>
                <w:szCs w:val="21"/>
              </w:rPr>
              <w:t>其他投标人加密打包投标文件</w:t>
            </w:r>
            <w:r>
              <w:rPr>
                <w:rFonts w:hint="eastAsia" w:ascii="宋体" w:hAnsi="宋体" w:eastAsia="宋体" w:cs="Times New Roman"/>
                <w:color w:val="auto"/>
                <w:sz w:val="21"/>
                <w:szCs w:val="21"/>
                <w:lang w:eastAsia="zh-CN"/>
              </w:rPr>
              <w:t>硬件特征</w:t>
            </w:r>
            <w:r>
              <w:rPr>
                <w:rFonts w:hint="eastAsia" w:ascii="宋体" w:hAnsi="宋体" w:eastAsia="宋体" w:cs="Times New Roman"/>
                <w:color w:val="auto"/>
                <w:sz w:val="21"/>
                <w:szCs w:val="21"/>
              </w:rPr>
              <w:t>码</w:t>
            </w:r>
            <w:r>
              <w:rPr>
                <w:rFonts w:hint="eastAsia" w:ascii="宋体" w:hAnsi="宋体" w:eastAsia="宋体" w:cs="Times New Roman"/>
                <w:color w:val="auto"/>
                <w:sz w:val="21"/>
                <w:szCs w:val="21"/>
                <w:lang w:eastAsia="zh-CN"/>
              </w:rPr>
              <w:t>不</w:t>
            </w:r>
            <w:r>
              <w:rPr>
                <w:rFonts w:hint="eastAsia" w:ascii="宋体" w:hAnsi="宋体" w:eastAsia="宋体" w:cs="Times New Roman"/>
                <w:color w:val="auto"/>
                <w:sz w:val="21"/>
                <w:szCs w:val="21"/>
              </w:rPr>
              <w:t>一致的（以</w:t>
            </w:r>
            <w:r>
              <w:rPr>
                <w:rFonts w:hint="eastAsia" w:ascii="宋体" w:hAnsi="宋体" w:eastAsia="宋体" w:cs="Times New Roman"/>
                <w:color w:val="auto"/>
                <w:sz w:val="21"/>
                <w:szCs w:val="21"/>
                <w:u w:val="single"/>
                <w:lang w:eastAsia="zh-CN"/>
              </w:rPr>
              <w:t>广州交易集团有限公司（广州公共资源交易中心）交易</w:t>
            </w:r>
            <w:r>
              <w:rPr>
                <w:rFonts w:hint="eastAsia" w:ascii="宋体" w:hAnsi="宋体" w:eastAsia="宋体" w:cs="Times New Roman"/>
                <w:color w:val="auto"/>
                <w:sz w:val="21"/>
                <w:szCs w:val="21"/>
                <w:u w:val="single"/>
              </w:rPr>
              <w:t>平台</w:t>
            </w:r>
            <w:r>
              <w:rPr>
                <w:rFonts w:hint="eastAsia" w:ascii="宋体" w:hAnsi="宋体" w:eastAsia="宋体" w:cs="Times New Roman"/>
                <w:color w:val="auto"/>
                <w:sz w:val="21"/>
                <w:szCs w:val="21"/>
                <w:u w:val="single"/>
                <w:lang w:eastAsia="zh-CN"/>
              </w:rPr>
              <w:t>开标</w:t>
            </w:r>
            <w:r>
              <w:rPr>
                <w:rFonts w:hint="eastAsia" w:ascii="宋体" w:hAnsi="宋体" w:eastAsia="宋体" w:cs="Times New Roman"/>
                <w:color w:val="auto"/>
                <w:sz w:val="21"/>
                <w:szCs w:val="21"/>
                <w:u w:val="single"/>
              </w:rPr>
              <w:t>系统</w:t>
            </w:r>
            <w:r>
              <w:rPr>
                <w:rFonts w:hint="eastAsia" w:ascii="宋体" w:hAnsi="宋体" w:eastAsia="宋体" w:cs="Times New Roman"/>
                <w:color w:val="auto"/>
                <w:sz w:val="21"/>
                <w:szCs w:val="21"/>
              </w:rPr>
              <w:t>的检索信息为准）。</w:t>
            </w:r>
          </w:p>
        </w:tc>
      </w:tr>
      <w:tr w14:paraId="44CB2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5B0D9F55">
            <w:pPr>
              <w:spacing w:line="0" w:lineRule="atLeast"/>
              <w:jc w:val="center"/>
              <w:rPr>
                <w:rFonts w:ascii="Times New Roman" w:hAnsi="Times New Roman"/>
                <w:color w:val="000000"/>
              </w:rPr>
            </w:pPr>
            <w:r>
              <w:rPr>
                <w:rFonts w:ascii="Times New Roman" w:hAnsi="Times New Roman"/>
                <w:color w:val="000000"/>
              </w:rPr>
              <w:t>2.1.2</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25B095DF">
            <w:pPr>
              <w:spacing w:line="0" w:lineRule="atLeast"/>
              <w:jc w:val="center"/>
              <w:rPr>
                <w:rFonts w:ascii="Times New Roman" w:hAnsi="Times New Roman"/>
                <w:color w:val="000000"/>
              </w:rPr>
            </w:pPr>
            <w:r>
              <w:rPr>
                <w:rFonts w:hint="eastAsia" w:ascii="Times New Roman" w:hAnsi="Times New Roman"/>
                <w:color w:val="000000"/>
              </w:rPr>
              <w:t>资格评审标准</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2A726008">
            <w:pPr>
              <w:spacing w:line="0" w:lineRule="atLeast"/>
              <w:jc w:val="center"/>
              <w:rPr>
                <w:rFonts w:ascii="Times New Roman" w:hAnsi="Times New Roman"/>
                <w:color w:val="000000"/>
              </w:rPr>
            </w:pPr>
            <w:r>
              <w:rPr>
                <w:rFonts w:hint="eastAsia" w:ascii="Times New Roman" w:hAnsi="Times New Roman"/>
                <w:color w:val="000000"/>
              </w:rPr>
              <w:t>营业执照和组织机构代码证</w:t>
            </w:r>
          </w:p>
        </w:tc>
        <w:tc>
          <w:tcPr>
            <w:tcW w:w="5263" w:type="dxa"/>
            <w:tcBorders>
              <w:top w:val="single" w:color="auto" w:sz="4" w:space="0"/>
              <w:left w:val="single" w:color="auto" w:sz="4" w:space="0"/>
              <w:bottom w:val="single" w:color="auto" w:sz="4" w:space="0"/>
            </w:tcBorders>
            <w:noWrap w:val="0"/>
            <w:vAlign w:val="center"/>
          </w:tcPr>
          <w:p w14:paraId="0437CB58">
            <w:pPr>
              <w:spacing w:line="0" w:lineRule="atLeast"/>
              <w:rPr>
                <w:rFonts w:ascii="Times New Roman" w:hAnsi="Times New Roman"/>
                <w:color w:val="000000"/>
              </w:rPr>
            </w:pPr>
            <w:r>
              <w:rPr>
                <w:rFonts w:hint="eastAsia" w:ascii="Times New Roman" w:hAnsi="Times New Roman"/>
                <w:color w:val="000000"/>
              </w:rPr>
              <w:t>符合第二章</w:t>
            </w:r>
            <w:r>
              <w:rPr>
                <w:rFonts w:ascii="Times New Roman" w:hAnsi="Times New Roman"/>
                <w:color w:val="000000"/>
              </w:rPr>
              <w:t>“</w:t>
            </w:r>
            <w:r>
              <w:rPr>
                <w:rFonts w:hint="eastAsia" w:ascii="Times New Roman" w:hAnsi="Times New Roman"/>
                <w:color w:val="000000"/>
              </w:rPr>
              <w:t>投标人须知</w:t>
            </w:r>
            <w:r>
              <w:rPr>
                <w:rFonts w:ascii="Times New Roman" w:hAnsi="Times New Roman"/>
                <w:color w:val="000000"/>
              </w:rPr>
              <w:t>”</w:t>
            </w:r>
            <w:r>
              <w:rPr>
                <w:rFonts w:hint="eastAsia" w:ascii="Times New Roman" w:hAnsi="Times New Roman"/>
                <w:color w:val="000000"/>
              </w:rPr>
              <w:t>第</w:t>
            </w:r>
            <w:r>
              <w:rPr>
                <w:rFonts w:ascii="Times New Roman" w:hAnsi="Times New Roman"/>
                <w:color w:val="000000"/>
              </w:rPr>
              <w:t>3.5.1</w:t>
            </w:r>
            <w:r>
              <w:rPr>
                <w:rFonts w:hint="eastAsia" w:ascii="Times New Roman" w:hAnsi="Times New Roman"/>
                <w:color w:val="000000"/>
              </w:rPr>
              <w:t>项规定，具备有效的营业执照和组织机构代码证。按照“三证合一”或“五证合一”登记制度进行登记的投标人，可仅提供营业执照或事业单位法人证书。</w:t>
            </w:r>
          </w:p>
        </w:tc>
      </w:tr>
      <w:tr w14:paraId="1BC2B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7" w:hRule="atLeast"/>
        </w:trPr>
        <w:tc>
          <w:tcPr>
            <w:tcW w:w="900" w:type="dxa"/>
            <w:vMerge w:val="continue"/>
            <w:tcBorders>
              <w:top w:val="single" w:color="auto" w:sz="4" w:space="0"/>
              <w:bottom w:val="single" w:color="auto" w:sz="4" w:space="0"/>
              <w:right w:val="single" w:color="auto" w:sz="4" w:space="0"/>
            </w:tcBorders>
            <w:noWrap w:val="0"/>
            <w:vAlign w:val="center"/>
          </w:tcPr>
          <w:p w14:paraId="7D820D60">
            <w:pPr>
              <w:spacing w:line="0" w:lineRule="atLeast"/>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0BA9C59C">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3618402A">
            <w:pPr>
              <w:spacing w:line="0" w:lineRule="atLeast"/>
              <w:jc w:val="center"/>
              <w:rPr>
                <w:rFonts w:ascii="Times New Roman" w:hAnsi="Times New Roman"/>
                <w:color w:val="000000"/>
              </w:rPr>
            </w:pPr>
            <w:r>
              <w:rPr>
                <w:rFonts w:hint="eastAsia" w:ascii="Times New Roman" w:hAnsi="Times New Roman"/>
                <w:color w:val="000000"/>
              </w:rPr>
              <w:t>资质要求</w:t>
            </w:r>
          </w:p>
        </w:tc>
        <w:tc>
          <w:tcPr>
            <w:tcW w:w="5263" w:type="dxa"/>
            <w:tcBorders>
              <w:top w:val="single" w:color="auto" w:sz="4" w:space="0"/>
              <w:left w:val="single" w:color="auto" w:sz="4" w:space="0"/>
              <w:bottom w:val="single" w:color="auto" w:sz="4" w:space="0"/>
            </w:tcBorders>
            <w:noWrap w:val="0"/>
            <w:vAlign w:val="center"/>
          </w:tcPr>
          <w:p w14:paraId="688A54F2">
            <w:pPr>
              <w:spacing w:line="0" w:lineRule="atLeast"/>
              <w:rPr>
                <w:rFonts w:ascii="Times New Roman" w:hAnsi="Times New Roman"/>
                <w:color w:val="000000"/>
              </w:rPr>
            </w:pPr>
            <w:r>
              <w:rPr>
                <w:rFonts w:hint="eastAsia" w:ascii="Times New Roman" w:hAnsi="Times New Roman"/>
                <w:color w:val="000000"/>
              </w:rPr>
              <w:t>符合第二章</w:t>
            </w:r>
            <w:r>
              <w:rPr>
                <w:rFonts w:ascii="Times New Roman" w:hAnsi="Times New Roman"/>
                <w:color w:val="000000"/>
              </w:rPr>
              <w:t>“</w:t>
            </w:r>
            <w:r>
              <w:rPr>
                <w:rFonts w:hint="eastAsia" w:ascii="Times New Roman" w:hAnsi="Times New Roman"/>
                <w:color w:val="000000"/>
              </w:rPr>
              <w:t>投标人须知</w:t>
            </w:r>
            <w:r>
              <w:rPr>
                <w:rFonts w:ascii="Times New Roman" w:hAnsi="Times New Roman"/>
                <w:color w:val="000000"/>
              </w:rPr>
              <w:t>”</w:t>
            </w:r>
            <w:r>
              <w:rPr>
                <w:rFonts w:hint="eastAsia" w:ascii="Times New Roman" w:hAnsi="Times New Roman"/>
                <w:color w:val="000000"/>
              </w:rPr>
              <w:t>第</w:t>
            </w:r>
            <w:r>
              <w:rPr>
                <w:rFonts w:ascii="Times New Roman" w:hAnsi="Times New Roman"/>
                <w:color w:val="000000"/>
              </w:rPr>
              <w:t>1.4.1</w:t>
            </w:r>
            <w:r>
              <w:rPr>
                <w:rFonts w:hint="eastAsia" w:ascii="Times New Roman" w:hAnsi="Times New Roman"/>
                <w:color w:val="000000"/>
              </w:rPr>
              <w:t>项规定</w:t>
            </w:r>
          </w:p>
        </w:tc>
      </w:tr>
      <w:tr w14:paraId="6C524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900" w:type="dxa"/>
            <w:vMerge w:val="continue"/>
            <w:tcBorders>
              <w:top w:val="single" w:color="auto" w:sz="4" w:space="0"/>
              <w:bottom w:val="single" w:color="auto" w:sz="4" w:space="0"/>
              <w:right w:val="single" w:color="auto" w:sz="4" w:space="0"/>
            </w:tcBorders>
            <w:noWrap w:val="0"/>
            <w:vAlign w:val="center"/>
          </w:tcPr>
          <w:p w14:paraId="1496C34E">
            <w:pPr>
              <w:spacing w:line="0" w:lineRule="atLeast"/>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29960E1F">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4B7D73D5">
            <w:pPr>
              <w:spacing w:line="0" w:lineRule="atLeast"/>
              <w:jc w:val="center"/>
              <w:rPr>
                <w:rFonts w:ascii="Times New Roman" w:hAnsi="Times New Roman"/>
                <w:color w:val="000000"/>
              </w:rPr>
            </w:pPr>
            <w:r>
              <w:rPr>
                <w:rFonts w:hint="eastAsia" w:ascii="Times New Roman" w:hAnsi="Times New Roman"/>
                <w:color w:val="000000"/>
              </w:rPr>
              <w:t>其他要求</w:t>
            </w:r>
          </w:p>
        </w:tc>
        <w:tc>
          <w:tcPr>
            <w:tcW w:w="5263" w:type="dxa"/>
            <w:tcBorders>
              <w:top w:val="single" w:color="auto" w:sz="4" w:space="0"/>
              <w:left w:val="single" w:color="auto" w:sz="4" w:space="0"/>
              <w:bottom w:val="single" w:color="auto" w:sz="4" w:space="0"/>
            </w:tcBorders>
            <w:noWrap w:val="0"/>
            <w:vAlign w:val="center"/>
          </w:tcPr>
          <w:p w14:paraId="2D84AA58">
            <w:pPr>
              <w:spacing w:line="0" w:lineRule="atLeast"/>
              <w:rPr>
                <w:rFonts w:ascii="Times New Roman" w:hAnsi="Times New Roman"/>
                <w:color w:val="000000"/>
              </w:rPr>
            </w:pPr>
            <w:r>
              <w:rPr>
                <w:rFonts w:hint="eastAsia" w:ascii="Times New Roman" w:hAnsi="Times New Roman"/>
                <w:color w:val="000000"/>
              </w:rPr>
              <w:t>符合第二章</w:t>
            </w:r>
            <w:r>
              <w:rPr>
                <w:rFonts w:ascii="Times New Roman" w:hAnsi="Times New Roman"/>
                <w:color w:val="000000"/>
              </w:rPr>
              <w:t>“</w:t>
            </w:r>
            <w:r>
              <w:rPr>
                <w:rFonts w:hint="eastAsia" w:ascii="Times New Roman" w:hAnsi="Times New Roman"/>
                <w:color w:val="000000"/>
              </w:rPr>
              <w:t>投标人须知</w:t>
            </w:r>
            <w:r>
              <w:rPr>
                <w:rFonts w:ascii="Times New Roman" w:hAnsi="Times New Roman"/>
                <w:color w:val="000000"/>
              </w:rPr>
              <w:t>”</w:t>
            </w:r>
            <w:r>
              <w:rPr>
                <w:rFonts w:hint="eastAsia" w:ascii="Times New Roman" w:hAnsi="Times New Roman"/>
                <w:color w:val="000000"/>
              </w:rPr>
              <w:t>第</w:t>
            </w:r>
            <w:r>
              <w:rPr>
                <w:rFonts w:ascii="Times New Roman" w:hAnsi="Times New Roman"/>
                <w:color w:val="000000"/>
              </w:rPr>
              <w:t>1.4.1</w:t>
            </w:r>
            <w:r>
              <w:rPr>
                <w:rFonts w:hint="eastAsia" w:ascii="Times New Roman" w:hAnsi="Times New Roman"/>
                <w:color w:val="000000"/>
              </w:rPr>
              <w:t>项规定</w:t>
            </w:r>
          </w:p>
        </w:tc>
      </w:tr>
      <w:tr w14:paraId="54AAA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trPr>
        <w:tc>
          <w:tcPr>
            <w:tcW w:w="900" w:type="dxa"/>
            <w:vMerge w:val="continue"/>
            <w:tcBorders>
              <w:top w:val="single" w:color="auto" w:sz="4" w:space="0"/>
              <w:bottom w:val="single" w:color="auto" w:sz="4" w:space="0"/>
              <w:right w:val="single" w:color="auto" w:sz="4" w:space="0"/>
            </w:tcBorders>
            <w:noWrap w:val="0"/>
            <w:vAlign w:val="center"/>
          </w:tcPr>
          <w:p w14:paraId="4ACD6E06">
            <w:pPr>
              <w:spacing w:line="0" w:lineRule="atLeast"/>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05CD33EA">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7DE97C2A">
            <w:pPr>
              <w:spacing w:line="0" w:lineRule="atLeast"/>
              <w:jc w:val="center"/>
              <w:rPr>
                <w:rFonts w:ascii="Times New Roman" w:hAnsi="Times New Roman"/>
                <w:color w:val="000000"/>
              </w:rPr>
            </w:pPr>
            <w:r>
              <w:rPr>
                <w:rFonts w:hint="eastAsia" w:ascii="Times New Roman" w:hAnsi="Times New Roman"/>
                <w:color w:val="000000"/>
              </w:rPr>
              <w:t>联合体投标人</w:t>
            </w:r>
          </w:p>
        </w:tc>
        <w:tc>
          <w:tcPr>
            <w:tcW w:w="5263" w:type="dxa"/>
            <w:tcBorders>
              <w:top w:val="single" w:color="auto" w:sz="4" w:space="0"/>
              <w:left w:val="single" w:color="auto" w:sz="4" w:space="0"/>
              <w:bottom w:val="single" w:color="auto" w:sz="4" w:space="0"/>
            </w:tcBorders>
            <w:noWrap w:val="0"/>
            <w:vAlign w:val="center"/>
          </w:tcPr>
          <w:p w14:paraId="035CE74D">
            <w:pPr>
              <w:spacing w:line="0" w:lineRule="atLeast"/>
              <w:rPr>
                <w:rFonts w:ascii="Times New Roman" w:hAnsi="Times New Roman"/>
                <w:color w:val="000000"/>
              </w:rPr>
            </w:pPr>
            <w:r>
              <w:rPr>
                <w:rFonts w:hint="eastAsia" w:ascii="宋体" w:hAnsi="宋体" w:cs="宋体"/>
                <w:szCs w:val="21"/>
                <w:highlight w:val="none"/>
              </w:rPr>
              <w:t>不允许</w:t>
            </w:r>
          </w:p>
        </w:tc>
      </w:tr>
      <w:tr w14:paraId="14BDB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524BB8E0">
            <w:pPr>
              <w:spacing w:line="0" w:lineRule="atLeast"/>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2BCD6F04">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64EB7E2B">
            <w:pPr>
              <w:spacing w:line="0" w:lineRule="atLeast"/>
              <w:jc w:val="center"/>
              <w:rPr>
                <w:rFonts w:ascii="Times New Roman" w:hAnsi="Times New Roman"/>
                <w:color w:val="000000"/>
              </w:rPr>
            </w:pPr>
            <w:r>
              <w:rPr>
                <w:rFonts w:hint="eastAsia" w:ascii="Times New Roman" w:hAnsi="Times New Roman"/>
                <w:color w:val="000000"/>
              </w:rPr>
              <w:t>不存在禁止投标的情形</w:t>
            </w:r>
          </w:p>
        </w:tc>
        <w:tc>
          <w:tcPr>
            <w:tcW w:w="5263" w:type="dxa"/>
            <w:tcBorders>
              <w:top w:val="single" w:color="auto" w:sz="4" w:space="0"/>
              <w:left w:val="single" w:color="auto" w:sz="4" w:space="0"/>
              <w:bottom w:val="single" w:color="auto" w:sz="4" w:space="0"/>
            </w:tcBorders>
            <w:noWrap w:val="0"/>
            <w:vAlign w:val="center"/>
          </w:tcPr>
          <w:p w14:paraId="563344BF">
            <w:pPr>
              <w:spacing w:line="0" w:lineRule="atLeast"/>
              <w:rPr>
                <w:rFonts w:ascii="Times New Roman" w:hAnsi="Times New Roman"/>
                <w:color w:val="000000"/>
              </w:rPr>
            </w:pPr>
            <w:r>
              <w:rPr>
                <w:rFonts w:hint="eastAsia" w:ascii="Times New Roman" w:hAnsi="Times New Roman"/>
                <w:color w:val="000000"/>
              </w:rPr>
              <w:t>不存在第二章</w:t>
            </w:r>
            <w:r>
              <w:rPr>
                <w:rFonts w:ascii="Times New Roman" w:hAnsi="Times New Roman"/>
                <w:color w:val="000000"/>
              </w:rPr>
              <w:t>“</w:t>
            </w:r>
            <w:r>
              <w:rPr>
                <w:rFonts w:hint="eastAsia" w:ascii="Times New Roman" w:hAnsi="Times New Roman"/>
                <w:color w:val="000000"/>
              </w:rPr>
              <w:t>投标人须知</w:t>
            </w:r>
            <w:r>
              <w:rPr>
                <w:rFonts w:ascii="Times New Roman" w:hAnsi="Times New Roman"/>
                <w:color w:val="000000"/>
              </w:rPr>
              <w:t>”</w:t>
            </w:r>
            <w:r>
              <w:rPr>
                <w:rFonts w:hint="eastAsia" w:ascii="Times New Roman" w:hAnsi="Times New Roman"/>
                <w:color w:val="000000"/>
              </w:rPr>
              <w:t>第</w:t>
            </w:r>
            <w:r>
              <w:rPr>
                <w:rFonts w:ascii="Times New Roman" w:hAnsi="Times New Roman"/>
                <w:color w:val="000000"/>
              </w:rPr>
              <w:t>1.4.3</w:t>
            </w:r>
            <w:r>
              <w:rPr>
                <w:rFonts w:hint="eastAsia" w:ascii="Times New Roman" w:hAnsi="Times New Roman"/>
                <w:color w:val="000000"/>
              </w:rPr>
              <w:t>项规定的任何一种情形</w:t>
            </w:r>
            <w:r>
              <w:rPr>
                <w:rFonts w:hint="eastAsia" w:ascii="Times New Roman" w:hAnsi="Times New Roman" w:eastAsia="宋体" w:cs="Times New Roman"/>
                <w:color w:val="000000"/>
              </w:rPr>
              <w:t>（</w:t>
            </w:r>
            <w:r>
              <w:rPr>
                <w:rFonts w:hint="eastAsia" w:ascii="Times New Roman" w:hAnsi="Times New Roman" w:eastAsia="宋体" w:cs="Times New Roman"/>
                <w:b w:val="0"/>
                <w:color w:val="000000"/>
                <w:sz w:val="21"/>
                <w:szCs w:val="22"/>
              </w:rPr>
              <w:t>提供书面声明，详见《投标函及投标函附录》）</w:t>
            </w:r>
          </w:p>
        </w:tc>
      </w:tr>
      <w:tr w14:paraId="1AAF2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noWrap w:val="0"/>
            <w:vAlign w:val="center"/>
          </w:tcPr>
          <w:p w14:paraId="00FF6964">
            <w:pPr>
              <w:spacing w:line="0" w:lineRule="atLeast"/>
              <w:rPr>
                <w:rFonts w:ascii="Times New Roman" w:hAnsi="Times New Roman"/>
              </w:rPr>
            </w:pPr>
          </w:p>
        </w:tc>
        <w:tc>
          <w:tcPr>
            <w:tcW w:w="1124" w:type="dxa"/>
            <w:vMerge w:val="restart"/>
            <w:tcBorders>
              <w:top w:val="single" w:color="auto" w:sz="4" w:space="0"/>
              <w:left w:val="single" w:color="auto" w:sz="4" w:space="0"/>
              <w:right w:val="single" w:color="auto" w:sz="4" w:space="0"/>
            </w:tcBorders>
            <w:noWrap w:val="0"/>
            <w:vAlign w:val="center"/>
          </w:tcPr>
          <w:p w14:paraId="505282B0">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67B39A71">
            <w:pPr>
              <w:spacing w:line="0" w:lineRule="atLeast"/>
              <w:jc w:val="center"/>
              <w:rPr>
                <w:rFonts w:hint="default" w:ascii="Times New Roman" w:hAnsi="Times New Roman" w:eastAsia="宋体" w:cs="Times New Roman"/>
                <w:color w:val="000000"/>
                <w:kern w:val="2"/>
                <w:sz w:val="21"/>
                <w:szCs w:val="22"/>
                <w:highlight w:val="none"/>
                <w:lang w:val="en-US" w:eastAsia="zh-CN" w:bidi="ar-SA"/>
              </w:rPr>
            </w:pPr>
            <w:r>
              <w:rPr>
                <w:rFonts w:hint="default" w:ascii="Times New Roman" w:hAnsi="Times New Roman" w:eastAsia="宋体" w:cs="Times New Roman"/>
                <w:b w:val="0"/>
                <w:bCs w:val="0"/>
                <w:color w:val="000000"/>
                <w:sz w:val="21"/>
                <w:szCs w:val="22"/>
                <w:highlight w:val="none"/>
                <w:u w:val="none"/>
                <w:lang w:eastAsia="zh-CN"/>
              </w:rPr>
              <w:t>投标人</w:t>
            </w:r>
            <w:r>
              <w:rPr>
                <w:rFonts w:hint="default" w:ascii="Times New Roman" w:hAnsi="Times New Roman" w:eastAsia="宋体" w:cs="Times New Roman"/>
                <w:b w:val="0"/>
                <w:bCs w:val="0"/>
                <w:color w:val="000000"/>
                <w:sz w:val="21"/>
                <w:szCs w:val="22"/>
                <w:highlight w:val="none"/>
                <w:u w:val="none"/>
              </w:rPr>
              <w:t>未被列入拖欠农民工工资失信联合惩戒对象名单</w:t>
            </w:r>
          </w:p>
        </w:tc>
        <w:tc>
          <w:tcPr>
            <w:tcW w:w="5263" w:type="dxa"/>
            <w:tcBorders>
              <w:top w:val="single" w:color="auto" w:sz="4" w:space="0"/>
              <w:left w:val="single" w:color="auto" w:sz="4" w:space="0"/>
              <w:bottom w:val="single" w:color="auto" w:sz="4" w:space="0"/>
            </w:tcBorders>
            <w:noWrap w:val="0"/>
            <w:vAlign w:val="center"/>
          </w:tcPr>
          <w:p w14:paraId="01A63B38">
            <w:pPr>
              <w:spacing w:line="0" w:lineRule="atLeast"/>
              <w:jc w:val="center"/>
              <w:rPr>
                <w:rFonts w:hint="default" w:ascii="Times New Roman" w:hAnsi="Times New Roman" w:eastAsia="宋体" w:cs="Times New Roman"/>
                <w:color w:val="000000"/>
                <w:kern w:val="2"/>
                <w:sz w:val="21"/>
                <w:szCs w:val="22"/>
                <w:highlight w:val="none"/>
                <w:lang w:val="en-US" w:eastAsia="zh-CN" w:bidi="ar-SA"/>
              </w:rPr>
            </w:pPr>
            <w:r>
              <w:rPr>
                <w:rFonts w:hint="default" w:ascii="Times New Roman" w:hAnsi="Times New Roman" w:eastAsia="宋体" w:cs="Times New Roman"/>
                <w:color w:val="000000"/>
                <w:sz w:val="21"/>
                <w:szCs w:val="22"/>
                <w:highlight w:val="none"/>
              </w:rPr>
              <w:t>投标人无需提供资料，按交易系统比对的结果进行评审</w:t>
            </w:r>
          </w:p>
        </w:tc>
      </w:tr>
      <w:tr w14:paraId="6E097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noWrap w:val="0"/>
            <w:vAlign w:val="center"/>
          </w:tcPr>
          <w:p w14:paraId="6395D065">
            <w:pPr>
              <w:spacing w:line="0" w:lineRule="atLeast"/>
              <w:rPr>
                <w:rFonts w:ascii="Times New Roman" w:hAnsi="Times New Roman"/>
              </w:rPr>
            </w:pPr>
          </w:p>
        </w:tc>
        <w:tc>
          <w:tcPr>
            <w:tcW w:w="1124" w:type="dxa"/>
            <w:vMerge w:val="continue"/>
            <w:tcBorders>
              <w:left w:val="single" w:color="auto" w:sz="4" w:space="0"/>
              <w:bottom w:val="single" w:color="auto" w:sz="4" w:space="0"/>
              <w:right w:val="single" w:color="auto" w:sz="4" w:space="0"/>
            </w:tcBorders>
            <w:noWrap w:val="0"/>
            <w:vAlign w:val="center"/>
          </w:tcPr>
          <w:p w14:paraId="0FD24BA9">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4BAA0DD0">
            <w:pPr>
              <w:spacing w:line="0" w:lineRule="atLeast"/>
              <w:jc w:val="center"/>
              <w:rPr>
                <w:rFonts w:hint="default" w:ascii="Times New Roman" w:hAnsi="Times New Roman" w:eastAsia="宋体" w:cs="Times New Roman"/>
                <w:b w:val="0"/>
                <w:bCs w:val="0"/>
                <w:color w:val="000000"/>
                <w:kern w:val="2"/>
                <w:sz w:val="21"/>
                <w:szCs w:val="22"/>
                <w:highlight w:val="none"/>
                <w:u w:val="none"/>
                <w:lang w:val="en-US" w:eastAsia="zh-CN" w:bidi="ar-SA"/>
              </w:rPr>
            </w:pPr>
            <w:r>
              <w:rPr>
                <w:rFonts w:hint="default" w:ascii="Times New Roman" w:hAnsi="Times New Roman" w:eastAsia="宋体" w:cs="Times New Roman"/>
                <w:b w:val="0"/>
                <w:bCs w:val="0"/>
                <w:color w:val="000000"/>
                <w:sz w:val="21"/>
                <w:szCs w:val="22"/>
                <w:highlight w:val="none"/>
                <w:u w:val="none"/>
                <w:lang w:val="en-US" w:eastAsia="zh-CN"/>
              </w:rPr>
              <w:t>政府投资项目，投标人未被列入“失信被执行人”名单</w:t>
            </w:r>
          </w:p>
        </w:tc>
        <w:tc>
          <w:tcPr>
            <w:tcW w:w="5263" w:type="dxa"/>
            <w:tcBorders>
              <w:top w:val="single" w:color="auto" w:sz="4" w:space="0"/>
              <w:left w:val="single" w:color="auto" w:sz="4" w:space="0"/>
              <w:bottom w:val="single" w:color="auto" w:sz="4" w:space="0"/>
            </w:tcBorders>
            <w:noWrap w:val="0"/>
            <w:vAlign w:val="center"/>
          </w:tcPr>
          <w:p w14:paraId="208646CB">
            <w:pPr>
              <w:spacing w:line="0" w:lineRule="atLeast"/>
              <w:jc w:val="center"/>
              <w:rPr>
                <w:rFonts w:hint="default" w:ascii="Times New Roman" w:hAnsi="Times New Roman" w:eastAsia="宋体" w:cs="Times New Roman"/>
                <w:color w:val="000000"/>
                <w:kern w:val="2"/>
                <w:sz w:val="21"/>
                <w:szCs w:val="22"/>
                <w:highlight w:val="none"/>
                <w:lang w:val="en-US" w:eastAsia="zh-CN" w:bidi="ar-SA"/>
              </w:rPr>
            </w:pPr>
            <w:r>
              <w:rPr>
                <w:rFonts w:hint="default" w:ascii="Times New Roman" w:hAnsi="Times New Roman" w:eastAsia="宋体" w:cs="Times New Roman"/>
                <w:color w:val="000000"/>
                <w:sz w:val="21"/>
                <w:szCs w:val="22"/>
                <w:highlight w:val="none"/>
              </w:rPr>
              <w:t>投标人无需提供资料，按交易系统比对的结果进行评审</w:t>
            </w:r>
          </w:p>
        </w:tc>
      </w:tr>
      <w:tr w14:paraId="0B6F7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5" w:hRule="atLeast"/>
        </w:trPr>
        <w:tc>
          <w:tcPr>
            <w:tcW w:w="900" w:type="dxa"/>
            <w:vMerge w:val="restart"/>
            <w:tcBorders>
              <w:top w:val="single" w:color="auto" w:sz="4" w:space="0"/>
              <w:bottom w:val="single" w:color="auto" w:sz="4" w:space="0"/>
              <w:right w:val="single" w:color="auto" w:sz="4" w:space="0"/>
            </w:tcBorders>
            <w:noWrap w:val="0"/>
            <w:vAlign w:val="center"/>
          </w:tcPr>
          <w:p w14:paraId="0492F8D4">
            <w:pPr>
              <w:spacing w:line="0" w:lineRule="atLeast"/>
              <w:jc w:val="center"/>
              <w:rPr>
                <w:rFonts w:ascii="Times New Roman" w:hAnsi="Times New Roman"/>
                <w:color w:val="000000"/>
              </w:rPr>
            </w:pPr>
            <w:r>
              <w:rPr>
                <w:rFonts w:ascii="Times New Roman" w:hAnsi="Times New Roman"/>
                <w:color w:val="000000"/>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3A789BCB">
            <w:pPr>
              <w:spacing w:line="0" w:lineRule="atLeast"/>
              <w:jc w:val="center"/>
              <w:rPr>
                <w:rFonts w:ascii="Times New Roman" w:hAnsi="Times New Roman"/>
                <w:color w:val="000000"/>
              </w:rPr>
            </w:pPr>
            <w:r>
              <w:rPr>
                <w:rFonts w:hint="eastAsia" w:ascii="Times New Roman" w:hAnsi="Times New Roman"/>
                <w:color w:val="000000"/>
              </w:rPr>
              <w:t>响应性评审标准</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00A74550">
            <w:pPr>
              <w:spacing w:line="0" w:lineRule="atLeast"/>
              <w:jc w:val="center"/>
              <w:rPr>
                <w:rFonts w:ascii="Times New Roman" w:hAnsi="Times New Roman"/>
                <w:color w:val="000000"/>
              </w:rPr>
            </w:pPr>
            <w:r>
              <w:rPr>
                <w:rFonts w:hint="eastAsia" w:ascii="Times New Roman" w:hAnsi="Times New Roman"/>
                <w:color w:val="000000"/>
              </w:rPr>
              <w:t>投标报价</w:t>
            </w:r>
          </w:p>
        </w:tc>
        <w:tc>
          <w:tcPr>
            <w:tcW w:w="5263" w:type="dxa"/>
            <w:tcBorders>
              <w:top w:val="single" w:color="auto" w:sz="4" w:space="0"/>
              <w:left w:val="single" w:color="auto" w:sz="4" w:space="0"/>
              <w:bottom w:val="single" w:color="auto" w:sz="4" w:space="0"/>
            </w:tcBorders>
            <w:noWrap w:val="0"/>
            <w:vAlign w:val="center"/>
          </w:tcPr>
          <w:p w14:paraId="1DE9B080">
            <w:pPr>
              <w:spacing w:line="0" w:lineRule="atLeast"/>
              <w:rPr>
                <w:rFonts w:ascii="Times New Roman" w:hAnsi="Times New Roman"/>
                <w:color w:val="000000"/>
              </w:rPr>
            </w:pPr>
            <w:r>
              <w:rPr>
                <w:rFonts w:hint="eastAsia" w:ascii="Times New Roman" w:hAnsi="Times New Roman"/>
                <w:color w:val="000000"/>
              </w:rPr>
              <w:t>符合第二章</w:t>
            </w:r>
            <w:r>
              <w:rPr>
                <w:rFonts w:ascii="Times New Roman" w:hAnsi="Times New Roman"/>
                <w:color w:val="000000"/>
              </w:rPr>
              <w:t>“</w:t>
            </w:r>
            <w:r>
              <w:rPr>
                <w:rFonts w:hint="eastAsia" w:ascii="Times New Roman" w:hAnsi="Times New Roman"/>
                <w:color w:val="000000"/>
              </w:rPr>
              <w:t>投标人须知</w:t>
            </w:r>
            <w:r>
              <w:rPr>
                <w:rFonts w:ascii="Times New Roman" w:hAnsi="Times New Roman"/>
                <w:color w:val="000000"/>
              </w:rPr>
              <w:t>”</w:t>
            </w:r>
            <w:r>
              <w:rPr>
                <w:rFonts w:hint="eastAsia" w:ascii="Times New Roman" w:hAnsi="Times New Roman"/>
                <w:color w:val="000000"/>
              </w:rPr>
              <w:t>第</w:t>
            </w:r>
            <w:r>
              <w:rPr>
                <w:rFonts w:ascii="Times New Roman" w:hAnsi="Times New Roman"/>
                <w:color w:val="000000"/>
              </w:rPr>
              <w:t>3.2</w:t>
            </w:r>
            <w:r>
              <w:rPr>
                <w:rFonts w:hint="eastAsia" w:ascii="Times New Roman" w:hAnsi="Times New Roman"/>
                <w:color w:val="000000"/>
              </w:rPr>
              <w:t>款规定</w:t>
            </w:r>
          </w:p>
        </w:tc>
      </w:tr>
      <w:tr w14:paraId="12587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900" w:type="dxa"/>
            <w:vMerge w:val="continue"/>
            <w:tcBorders>
              <w:top w:val="single" w:color="auto" w:sz="4" w:space="0"/>
              <w:bottom w:val="single" w:color="auto" w:sz="4" w:space="0"/>
              <w:right w:val="single" w:color="auto" w:sz="4" w:space="0"/>
            </w:tcBorders>
            <w:noWrap w:val="0"/>
            <w:vAlign w:val="center"/>
          </w:tcPr>
          <w:p w14:paraId="0BD2B278">
            <w:pPr>
              <w:spacing w:line="0" w:lineRule="atLeast"/>
              <w:jc w:val="center"/>
              <w:rPr>
                <w:rFonts w:ascii="Times New Roman" w:hAnsi="Times New Roman"/>
                <w:color w:val="000000"/>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1F993F72">
            <w:pPr>
              <w:spacing w:line="0" w:lineRule="atLeast"/>
              <w:jc w:val="center"/>
              <w:rPr>
                <w:rFonts w:ascii="Times New Roman" w:hAnsi="Times New Roman"/>
                <w:color w:val="000000"/>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1624F120">
            <w:pPr>
              <w:spacing w:line="0" w:lineRule="atLeast"/>
              <w:jc w:val="center"/>
              <w:rPr>
                <w:rFonts w:ascii="Times New Roman" w:hAnsi="Times New Roman"/>
                <w:color w:val="000000"/>
              </w:rPr>
            </w:pPr>
            <w:r>
              <w:rPr>
                <w:rFonts w:hint="eastAsia" w:ascii="Times New Roman" w:hAnsi="Times New Roman"/>
                <w:color w:val="000000"/>
              </w:rPr>
              <w:t>投标内容</w:t>
            </w:r>
          </w:p>
        </w:tc>
        <w:tc>
          <w:tcPr>
            <w:tcW w:w="5263" w:type="dxa"/>
            <w:tcBorders>
              <w:top w:val="single" w:color="auto" w:sz="4" w:space="0"/>
              <w:left w:val="single" w:color="auto" w:sz="4" w:space="0"/>
              <w:bottom w:val="single" w:color="auto" w:sz="4" w:space="0"/>
            </w:tcBorders>
            <w:noWrap w:val="0"/>
            <w:vAlign w:val="center"/>
          </w:tcPr>
          <w:p w14:paraId="699E2F05">
            <w:pPr>
              <w:spacing w:line="0" w:lineRule="atLeast"/>
              <w:jc w:val="left"/>
              <w:rPr>
                <w:rFonts w:ascii="Times New Roman" w:hAnsi="Times New Roman"/>
                <w:color w:val="000000"/>
              </w:rPr>
            </w:pPr>
            <w:r>
              <w:rPr>
                <w:rFonts w:hint="eastAsia" w:ascii="Times New Roman" w:hAnsi="Times New Roman"/>
                <w:color w:val="000000"/>
              </w:rPr>
              <w:t>符合第二章</w:t>
            </w:r>
            <w:r>
              <w:rPr>
                <w:rFonts w:ascii="Times New Roman" w:hAnsi="Times New Roman"/>
                <w:color w:val="000000"/>
              </w:rPr>
              <w:t>“</w:t>
            </w:r>
            <w:r>
              <w:rPr>
                <w:rFonts w:hint="eastAsia" w:ascii="Times New Roman" w:hAnsi="Times New Roman"/>
                <w:color w:val="000000"/>
              </w:rPr>
              <w:t>投标人须知</w:t>
            </w:r>
            <w:r>
              <w:rPr>
                <w:rFonts w:ascii="Times New Roman" w:hAnsi="Times New Roman"/>
                <w:color w:val="000000"/>
              </w:rPr>
              <w:t>”</w:t>
            </w:r>
            <w:r>
              <w:rPr>
                <w:rFonts w:hint="eastAsia" w:ascii="Times New Roman" w:hAnsi="Times New Roman"/>
                <w:color w:val="000000"/>
              </w:rPr>
              <w:t>第</w:t>
            </w:r>
            <w:r>
              <w:rPr>
                <w:rFonts w:ascii="Times New Roman" w:hAnsi="Times New Roman"/>
                <w:color w:val="000000"/>
              </w:rPr>
              <w:t>1.3.1</w:t>
            </w:r>
            <w:r>
              <w:rPr>
                <w:rFonts w:hint="eastAsia" w:ascii="Times New Roman" w:hAnsi="Times New Roman"/>
                <w:color w:val="000000"/>
              </w:rPr>
              <w:t>项规定</w:t>
            </w:r>
          </w:p>
        </w:tc>
      </w:tr>
      <w:tr w14:paraId="48212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900" w:type="dxa"/>
            <w:vMerge w:val="continue"/>
            <w:tcBorders>
              <w:top w:val="single" w:color="auto" w:sz="4" w:space="0"/>
              <w:bottom w:val="single" w:color="auto" w:sz="4" w:space="0"/>
              <w:right w:val="single" w:color="auto" w:sz="4" w:space="0"/>
            </w:tcBorders>
            <w:noWrap w:val="0"/>
            <w:vAlign w:val="center"/>
          </w:tcPr>
          <w:p w14:paraId="01C42975">
            <w:pPr>
              <w:spacing w:line="0" w:lineRule="atLeast"/>
              <w:jc w:val="center"/>
              <w:rPr>
                <w:rFonts w:ascii="Times New Roman" w:hAnsi="Times New Roman"/>
                <w:color w:val="000000"/>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18DBA53E">
            <w:pPr>
              <w:spacing w:line="0" w:lineRule="atLeast"/>
              <w:jc w:val="center"/>
              <w:rPr>
                <w:rFonts w:ascii="Times New Roman" w:hAnsi="Times New Roman"/>
                <w:color w:val="000000"/>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27CC18E2">
            <w:pPr>
              <w:spacing w:line="0" w:lineRule="atLeast"/>
              <w:jc w:val="center"/>
              <w:rPr>
                <w:rFonts w:ascii="Times New Roman" w:hAnsi="Times New Roman"/>
                <w:color w:val="000000"/>
              </w:rPr>
            </w:pPr>
            <w:r>
              <w:rPr>
                <w:rFonts w:hint="eastAsia" w:ascii="Times New Roman" w:hAnsi="Times New Roman"/>
                <w:color w:val="000000"/>
              </w:rPr>
              <w:t>服务期限</w:t>
            </w:r>
          </w:p>
        </w:tc>
        <w:tc>
          <w:tcPr>
            <w:tcW w:w="5263" w:type="dxa"/>
            <w:tcBorders>
              <w:top w:val="single" w:color="auto" w:sz="4" w:space="0"/>
              <w:left w:val="single" w:color="auto" w:sz="4" w:space="0"/>
              <w:bottom w:val="single" w:color="auto" w:sz="4" w:space="0"/>
            </w:tcBorders>
            <w:noWrap w:val="0"/>
            <w:vAlign w:val="center"/>
          </w:tcPr>
          <w:p w14:paraId="560647A0">
            <w:pPr>
              <w:spacing w:line="0" w:lineRule="atLeast"/>
              <w:jc w:val="left"/>
              <w:rPr>
                <w:rFonts w:ascii="Times New Roman" w:hAnsi="Times New Roman"/>
                <w:color w:val="000000"/>
              </w:rPr>
            </w:pPr>
            <w:r>
              <w:rPr>
                <w:rFonts w:hint="eastAsia" w:ascii="Times New Roman" w:hAnsi="Times New Roman"/>
                <w:color w:val="000000"/>
              </w:rPr>
              <w:t>符合第二章</w:t>
            </w:r>
            <w:r>
              <w:rPr>
                <w:rFonts w:ascii="Times New Roman" w:hAnsi="Times New Roman"/>
                <w:color w:val="000000"/>
              </w:rPr>
              <w:t>“</w:t>
            </w:r>
            <w:r>
              <w:rPr>
                <w:rFonts w:hint="eastAsia" w:ascii="Times New Roman" w:hAnsi="Times New Roman"/>
                <w:color w:val="000000"/>
              </w:rPr>
              <w:t>投标</w:t>
            </w:r>
            <w:r>
              <w:rPr>
                <w:rFonts w:ascii="Times New Roman" w:hAnsi="Times New Roman"/>
                <w:color w:val="000000"/>
              </w:rPr>
              <w:t xml:space="preserve">  </w:t>
            </w:r>
            <w:r>
              <w:rPr>
                <w:rFonts w:hint="eastAsia" w:ascii="Times New Roman" w:hAnsi="Times New Roman"/>
                <w:color w:val="000000"/>
              </w:rPr>
              <w:t>人须知</w:t>
            </w:r>
            <w:r>
              <w:rPr>
                <w:rFonts w:ascii="Times New Roman" w:hAnsi="Times New Roman"/>
                <w:color w:val="000000"/>
              </w:rPr>
              <w:t>”</w:t>
            </w:r>
            <w:r>
              <w:rPr>
                <w:rFonts w:hint="eastAsia" w:ascii="Times New Roman" w:hAnsi="Times New Roman"/>
                <w:color w:val="000000"/>
              </w:rPr>
              <w:t>第</w:t>
            </w:r>
            <w:r>
              <w:rPr>
                <w:rFonts w:ascii="Times New Roman" w:hAnsi="Times New Roman"/>
                <w:color w:val="000000"/>
              </w:rPr>
              <w:t>1.3.2</w:t>
            </w:r>
            <w:r>
              <w:rPr>
                <w:rFonts w:hint="eastAsia" w:ascii="Times New Roman" w:hAnsi="Times New Roman"/>
                <w:color w:val="000000"/>
              </w:rPr>
              <w:t>项规定</w:t>
            </w:r>
          </w:p>
        </w:tc>
      </w:tr>
      <w:tr w14:paraId="49181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900" w:type="dxa"/>
            <w:vMerge w:val="continue"/>
            <w:tcBorders>
              <w:top w:val="single" w:color="auto" w:sz="4" w:space="0"/>
              <w:bottom w:val="single" w:color="auto" w:sz="4" w:space="0"/>
              <w:right w:val="single" w:color="auto" w:sz="4" w:space="0"/>
            </w:tcBorders>
            <w:noWrap w:val="0"/>
            <w:vAlign w:val="center"/>
          </w:tcPr>
          <w:p w14:paraId="2B6BDA06">
            <w:pPr>
              <w:spacing w:line="0" w:lineRule="atLeast"/>
              <w:jc w:val="center"/>
              <w:rPr>
                <w:rFonts w:ascii="Times New Roman" w:hAnsi="Times New Roman"/>
                <w:color w:val="000000"/>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C126B27">
            <w:pPr>
              <w:spacing w:line="0" w:lineRule="atLeast"/>
              <w:jc w:val="center"/>
              <w:rPr>
                <w:rFonts w:ascii="Times New Roman" w:hAnsi="Times New Roman"/>
                <w:color w:val="000000"/>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411BAF43">
            <w:pPr>
              <w:spacing w:line="0" w:lineRule="atLeast"/>
              <w:jc w:val="center"/>
              <w:rPr>
                <w:rFonts w:ascii="Times New Roman" w:hAnsi="Times New Roman"/>
                <w:color w:val="000000"/>
              </w:rPr>
            </w:pPr>
            <w:r>
              <w:rPr>
                <w:rFonts w:hint="eastAsia" w:ascii="Times New Roman" w:hAnsi="Times New Roman"/>
                <w:color w:val="000000"/>
              </w:rPr>
              <w:t>质量标准</w:t>
            </w:r>
          </w:p>
        </w:tc>
        <w:tc>
          <w:tcPr>
            <w:tcW w:w="5263" w:type="dxa"/>
            <w:tcBorders>
              <w:top w:val="single" w:color="auto" w:sz="4" w:space="0"/>
              <w:left w:val="single" w:color="auto" w:sz="4" w:space="0"/>
              <w:bottom w:val="single" w:color="auto" w:sz="4" w:space="0"/>
            </w:tcBorders>
            <w:noWrap w:val="0"/>
            <w:vAlign w:val="center"/>
          </w:tcPr>
          <w:p w14:paraId="3880B69C">
            <w:pPr>
              <w:spacing w:line="0" w:lineRule="atLeast"/>
              <w:jc w:val="left"/>
              <w:rPr>
                <w:rFonts w:ascii="Times New Roman" w:hAnsi="Times New Roman"/>
                <w:color w:val="000000"/>
              </w:rPr>
            </w:pPr>
            <w:r>
              <w:rPr>
                <w:rFonts w:hint="eastAsia" w:ascii="Times New Roman" w:hAnsi="Times New Roman"/>
                <w:color w:val="000000"/>
              </w:rPr>
              <w:t>符合第二章</w:t>
            </w:r>
            <w:r>
              <w:rPr>
                <w:rFonts w:ascii="Times New Roman" w:hAnsi="Times New Roman"/>
                <w:color w:val="000000"/>
              </w:rPr>
              <w:t>“</w:t>
            </w:r>
            <w:r>
              <w:rPr>
                <w:rFonts w:hint="eastAsia" w:ascii="Times New Roman" w:hAnsi="Times New Roman"/>
                <w:color w:val="000000"/>
              </w:rPr>
              <w:t>投标人须知</w:t>
            </w:r>
            <w:r>
              <w:rPr>
                <w:rFonts w:ascii="Times New Roman" w:hAnsi="Times New Roman"/>
                <w:color w:val="000000"/>
              </w:rPr>
              <w:t>”</w:t>
            </w:r>
            <w:r>
              <w:rPr>
                <w:rFonts w:hint="eastAsia" w:ascii="Times New Roman" w:hAnsi="Times New Roman"/>
                <w:color w:val="000000"/>
              </w:rPr>
              <w:t>第</w:t>
            </w:r>
            <w:r>
              <w:rPr>
                <w:rFonts w:ascii="Times New Roman" w:hAnsi="Times New Roman"/>
                <w:color w:val="000000"/>
              </w:rPr>
              <w:t>1.3.3</w:t>
            </w:r>
            <w:r>
              <w:rPr>
                <w:rFonts w:hint="eastAsia" w:ascii="Times New Roman" w:hAnsi="Times New Roman"/>
                <w:color w:val="000000"/>
              </w:rPr>
              <w:t>项规定</w:t>
            </w:r>
          </w:p>
        </w:tc>
      </w:tr>
      <w:tr w14:paraId="440C5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7" w:hRule="atLeast"/>
        </w:trPr>
        <w:tc>
          <w:tcPr>
            <w:tcW w:w="900" w:type="dxa"/>
            <w:vMerge w:val="continue"/>
            <w:tcBorders>
              <w:top w:val="single" w:color="auto" w:sz="4" w:space="0"/>
              <w:bottom w:val="single" w:color="auto" w:sz="4" w:space="0"/>
              <w:right w:val="single" w:color="auto" w:sz="4" w:space="0"/>
            </w:tcBorders>
            <w:noWrap w:val="0"/>
            <w:vAlign w:val="center"/>
          </w:tcPr>
          <w:p w14:paraId="2EE1990E">
            <w:pPr>
              <w:spacing w:line="0" w:lineRule="atLeast"/>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099B677F">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250B856F">
            <w:pPr>
              <w:spacing w:line="0" w:lineRule="atLeast"/>
              <w:jc w:val="center"/>
              <w:rPr>
                <w:rFonts w:ascii="Times New Roman" w:hAnsi="Times New Roman"/>
                <w:color w:val="000000"/>
              </w:rPr>
            </w:pPr>
            <w:r>
              <w:rPr>
                <w:rFonts w:hint="eastAsia" w:ascii="Times New Roman" w:hAnsi="Times New Roman"/>
                <w:color w:val="000000"/>
              </w:rPr>
              <w:t>投标</w:t>
            </w:r>
            <w:r>
              <w:rPr>
                <w:rFonts w:hint="eastAsia" w:ascii="Times New Roman" w:hAnsi="Times New Roman"/>
              </w:rPr>
              <w:t>有效期</w:t>
            </w:r>
          </w:p>
        </w:tc>
        <w:tc>
          <w:tcPr>
            <w:tcW w:w="5263" w:type="dxa"/>
            <w:tcBorders>
              <w:top w:val="single" w:color="auto" w:sz="4" w:space="0"/>
              <w:left w:val="single" w:color="auto" w:sz="4" w:space="0"/>
              <w:bottom w:val="single" w:color="auto" w:sz="4" w:space="0"/>
            </w:tcBorders>
            <w:noWrap w:val="0"/>
            <w:vAlign w:val="top"/>
          </w:tcPr>
          <w:p w14:paraId="469F9204">
            <w:pPr>
              <w:spacing w:line="0" w:lineRule="atLeast"/>
              <w:rPr>
                <w:rFonts w:ascii="Times New Roman" w:hAnsi="Times New Roman"/>
              </w:rPr>
            </w:pPr>
            <w:r>
              <w:rPr>
                <w:rFonts w:hint="eastAsia" w:ascii="Times New Roman" w:hAnsi="Times New Roman"/>
                <w:color w:val="000000"/>
              </w:rPr>
              <w:t>符合第二章</w:t>
            </w:r>
            <w:r>
              <w:rPr>
                <w:rFonts w:ascii="Times New Roman" w:hAnsi="Times New Roman"/>
                <w:color w:val="000000"/>
              </w:rPr>
              <w:t>“</w:t>
            </w:r>
            <w:r>
              <w:rPr>
                <w:rFonts w:hint="eastAsia" w:ascii="Times New Roman" w:hAnsi="Times New Roman"/>
                <w:color w:val="000000"/>
              </w:rPr>
              <w:t>投标人须知</w:t>
            </w:r>
            <w:r>
              <w:rPr>
                <w:rFonts w:ascii="Times New Roman" w:hAnsi="Times New Roman"/>
                <w:color w:val="000000"/>
              </w:rPr>
              <w:t>”</w:t>
            </w:r>
            <w:r>
              <w:rPr>
                <w:rFonts w:hint="eastAsia" w:ascii="Times New Roman" w:hAnsi="Times New Roman"/>
                <w:color w:val="000000"/>
              </w:rPr>
              <w:t>第</w:t>
            </w:r>
            <w:r>
              <w:rPr>
                <w:rFonts w:ascii="Times New Roman" w:hAnsi="Times New Roman"/>
                <w:color w:val="000000"/>
              </w:rPr>
              <w:t>3.</w:t>
            </w:r>
            <w:r>
              <w:rPr>
                <w:rFonts w:ascii="Times New Roman" w:hAnsi="Times New Roman"/>
              </w:rPr>
              <w:t>3.1</w:t>
            </w:r>
            <w:r>
              <w:rPr>
                <w:rFonts w:hint="eastAsia" w:ascii="Times New Roman" w:hAnsi="Times New Roman"/>
              </w:rPr>
              <w:t>项规定</w:t>
            </w:r>
          </w:p>
        </w:tc>
      </w:tr>
      <w:tr w14:paraId="51F1C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7" w:hRule="atLeast"/>
        </w:trPr>
        <w:tc>
          <w:tcPr>
            <w:tcW w:w="900" w:type="dxa"/>
            <w:vMerge w:val="continue"/>
            <w:tcBorders>
              <w:top w:val="single" w:color="auto" w:sz="4" w:space="0"/>
              <w:bottom w:val="single" w:color="auto" w:sz="4" w:space="0"/>
              <w:right w:val="single" w:color="auto" w:sz="4" w:space="0"/>
            </w:tcBorders>
            <w:noWrap w:val="0"/>
            <w:vAlign w:val="center"/>
          </w:tcPr>
          <w:p w14:paraId="6F7B8C8F">
            <w:pPr>
              <w:spacing w:line="0" w:lineRule="atLeast"/>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425AE314">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46D0BE46">
            <w:pPr>
              <w:spacing w:line="0" w:lineRule="atLeast"/>
              <w:jc w:val="center"/>
              <w:rPr>
                <w:rFonts w:ascii="Times New Roman" w:hAnsi="Times New Roman"/>
              </w:rPr>
            </w:pPr>
            <w:r>
              <w:rPr>
                <w:rFonts w:hint="eastAsia" w:ascii="Times New Roman" w:hAnsi="Times New Roman"/>
              </w:rPr>
              <w:t>投标保证金</w:t>
            </w:r>
          </w:p>
        </w:tc>
        <w:tc>
          <w:tcPr>
            <w:tcW w:w="5263" w:type="dxa"/>
            <w:tcBorders>
              <w:top w:val="single" w:color="auto" w:sz="4" w:space="0"/>
              <w:left w:val="single" w:color="auto" w:sz="4" w:space="0"/>
              <w:bottom w:val="single" w:color="auto" w:sz="4" w:space="0"/>
            </w:tcBorders>
            <w:noWrap w:val="0"/>
            <w:vAlign w:val="top"/>
          </w:tcPr>
          <w:p w14:paraId="400DC573">
            <w:pPr>
              <w:spacing w:line="0" w:lineRule="atLeast"/>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w:t>
            </w:r>
            <w:r>
              <w:rPr>
                <w:rFonts w:ascii="Times New Roman" w:hAnsi="Times New Roman"/>
              </w:rPr>
              <w:t>”</w:t>
            </w:r>
            <w:r>
              <w:rPr>
                <w:rFonts w:hint="eastAsia" w:ascii="Times New Roman" w:hAnsi="Times New Roman"/>
              </w:rPr>
              <w:t>第</w:t>
            </w:r>
            <w:r>
              <w:rPr>
                <w:rFonts w:ascii="Times New Roman" w:hAnsi="Times New Roman"/>
              </w:rPr>
              <w:t>3.4.1</w:t>
            </w:r>
            <w:r>
              <w:rPr>
                <w:rFonts w:hint="eastAsia" w:ascii="Times New Roman" w:hAnsi="Times New Roman"/>
              </w:rPr>
              <w:t>项规定</w:t>
            </w:r>
          </w:p>
        </w:tc>
      </w:tr>
      <w:tr w14:paraId="3EC18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7" w:hRule="atLeast"/>
        </w:trPr>
        <w:tc>
          <w:tcPr>
            <w:tcW w:w="900" w:type="dxa"/>
            <w:vMerge w:val="continue"/>
            <w:tcBorders>
              <w:top w:val="single" w:color="auto" w:sz="4" w:space="0"/>
              <w:bottom w:val="single" w:color="auto" w:sz="4" w:space="0"/>
              <w:right w:val="single" w:color="auto" w:sz="4" w:space="0"/>
            </w:tcBorders>
            <w:noWrap w:val="0"/>
            <w:vAlign w:val="center"/>
          </w:tcPr>
          <w:p w14:paraId="46269CAE">
            <w:pPr>
              <w:spacing w:line="0" w:lineRule="atLeast"/>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65A27D7">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B2756B">
            <w:pPr>
              <w:spacing w:line="0" w:lineRule="atLeast"/>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串通投标情形</w:t>
            </w:r>
          </w:p>
        </w:tc>
        <w:tc>
          <w:tcPr>
            <w:tcW w:w="5263" w:type="dxa"/>
            <w:tcBorders>
              <w:top w:val="single" w:color="auto" w:sz="4" w:space="0"/>
              <w:left w:val="single" w:color="auto" w:sz="4" w:space="0"/>
              <w:bottom w:val="single" w:color="auto" w:sz="4" w:space="0"/>
            </w:tcBorders>
            <w:shd w:val="clear" w:color="auto" w:fill="auto"/>
            <w:noWrap w:val="0"/>
            <w:vAlign w:val="top"/>
          </w:tcPr>
          <w:p w14:paraId="64B7663A">
            <w:pPr>
              <w:spacing w:line="0" w:lineRule="atLeast"/>
              <w:rPr>
                <w:rFonts w:hint="eastAsia" w:ascii="Times New Roman" w:hAnsi="Times New Roman" w:eastAsia="宋体" w:cs="Times New Roman"/>
                <w:kern w:val="2"/>
                <w:sz w:val="21"/>
                <w:szCs w:val="22"/>
                <w:lang w:val="en-US" w:eastAsia="zh-CN" w:bidi="ar-SA"/>
              </w:rPr>
            </w:pPr>
            <w:r>
              <w:rPr>
                <w:rFonts w:hint="eastAsia" w:ascii="Times New Roman" w:hAnsi="Times New Roman"/>
              </w:rPr>
              <w:t>不存在串通投标情形（串通投标情形以</w:t>
            </w:r>
            <w:r>
              <w:rPr>
                <w:rFonts w:hint="eastAsia" w:ascii="Times New Roman" w:hAnsi="Times New Roman"/>
                <w:lang w:eastAsia="zh-CN"/>
              </w:rPr>
              <w:t>广东省实施</w:t>
            </w:r>
            <w:r>
              <w:rPr>
                <w:rFonts w:hint="eastAsia" w:ascii="Times New Roman" w:hAnsi="Times New Roman"/>
              </w:rPr>
              <w:t>《中华人民共和国招标投标法》</w:t>
            </w:r>
            <w:r>
              <w:rPr>
                <w:rFonts w:hint="eastAsia" w:ascii="Times New Roman" w:hAnsi="Times New Roman"/>
                <w:lang w:eastAsia="zh-CN"/>
              </w:rPr>
              <w:t>办法第十六条</w:t>
            </w:r>
            <w:r>
              <w:rPr>
                <w:rFonts w:hint="eastAsia" w:ascii="Times New Roman" w:hAnsi="Times New Roman"/>
              </w:rPr>
              <w:t>的规定为准）</w:t>
            </w:r>
          </w:p>
        </w:tc>
      </w:tr>
      <w:tr w14:paraId="08C7C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152EE24F">
            <w:pPr>
              <w:spacing w:line="0" w:lineRule="atLeast"/>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1598CF18">
            <w:pPr>
              <w:spacing w:line="0" w:lineRule="atLeast"/>
              <w:rPr>
                <w:rFonts w:ascii="Times New Roman" w:hAnsi="Times New Roman"/>
              </w:rPr>
            </w:pPr>
          </w:p>
        </w:tc>
        <w:tc>
          <w:tcPr>
            <w:tcW w:w="2047" w:type="dxa"/>
            <w:tcBorders>
              <w:top w:val="single" w:color="auto" w:sz="4" w:space="0"/>
              <w:left w:val="single" w:color="auto" w:sz="4" w:space="0"/>
              <w:bottom w:val="single" w:color="auto" w:sz="4" w:space="0"/>
              <w:right w:val="single" w:color="auto" w:sz="4" w:space="0"/>
            </w:tcBorders>
            <w:noWrap w:val="0"/>
            <w:vAlign w:val="center"/>
          </w:tcPr>
          <w:p w14:paraId="3EF3E10B">
            <w:pPr>
              <w:spacing w:line="0" w:lineRule="atLeast"/>
              <w:jc w:val="center"/>
              <w:rPr>
                <w:rFonts w:hint="default" w:ascii="Times New Roman" w:hAnsi="Times New Roman" w:eastAsia="宋体"/>
                <w:lang w:val="en-US" w:eastAsia="zh-CN"/>
              </w:rPr>
            </w:pPr>
            <w:r>
              <w:rPr>
                <w:rFonts w:hint="eastAsia" w:ascii="Times New Roman" w:hAnsi="Times New Roman"/>
              </w:rPr>
              <w:t>★</w:t>
            </w:r>
            <w:r>
              <w:rPr>
                <w:rFonts w:hint="eastAsia" w:ascii="Times New Roman" w:hAnsi="Times New Roman"/>
                <w:lang w:val="en-US" w:eastAsia="zh-CN"/>
              </w:rPr>
              <w:t>条款响应</w:t>
            </w:r>
          </w:p>
        </w:tc>
        <w:tc>
          <w:tcPr>
            <w:tcW w:w="5263" w:type="dxa"/>
            <w:tcBorders>
              <w:top w:val="single" w:color="auto" w:sz="4" w:space="0"/>
              <w:left w:val="single" w:color="auto" w:sz="4" w:space="0"/>
              <w:bottom w:val="single" w:color="auto" w:sz="4" w:space="0"/>
            </w:tcBorders>
            <w:noWrap w:val="0"/>
            <w:vAlign w:val="top"/>
          </w:tcPr>
          <w:p w14:paraId="3EBE7165">
            <w:pPr>
              <w:spacing w:line="0" w:lineRule="atLeast"/>
              <w:rPr>
                <w:rFonts w:hint="eastAsia" w:ascii="Times New Roman" w:hAnsi="Times New Roman" w:eastAsia="宋体"/>
                <w:lang w:eastAsia="zh-CN"/>
              </w:rPr>
            </w:pPr>
            <w:r>
              <w:rPr>
                <w:rFonts w:hint="eastAsia" w:ascii="Times New Roman" w:hAnsi="Times New Roman"/>
                <w:lang w:val="en-US" w:eastAsia="zh-CN"/>
              </w:rPr>
              <w:t>投标</w:t>
            </w:r>
            <w:r>
              <w:rPr>
                <w:rFonts w:hint="eastAsia" w:ascii="Times New Roman" w:hAnsi="Times New Roman"/>
              </w:rPr>
              <w:t>文件完全满足</w:t>
            </w:r>
            <w:r>
              <w:rPr>
                <w:rFonts w:hint="eastAsia" w:ascii="Times New Roman" w:hAnsi="Times New Roman"/>
                <w:lang w:val="en-US" w:eastAsia="zh-CN"/>
              </w:rPr>
              <w:t>招标</w:t>
            </w:r>
            <w:r>
              <w:rPr>
                <w:rFonts w:hint="eastAsia" w:ascii="Times New Roman" w:hAnsi="Times New Roman"/>
              </w:rPr>
              <w:t>文件</w:t>
            </w:r>
            <w:r>
              <w:rPr>
                <w:rFonts w:hint="eastAsia" w:ascii="Times New Roman" w:hAnsi="Times New Roman"/>
                <w:lang w:eastAsia="zh-CN"/>
              </w:rPr>
              <w:t>“</w:t>
            </w:r>
            <w:r>
              <w:rPr>
                <w:rFonts w:hint="eastAsia" w:ascii="Times New Roman" w:hAnsi="Times New Roman"/>
                <w:lang w:val="en-US" w:eastAsia="zh-CN"/>
              </w:rPr>
              <w:t>用户需求书</w:t>
            </w:r>
            <w:r>
              <w:rPr>
                <w:rFonts w:hint="eastAsia" w:ascii="Times New Roman" w:hAnsi="Times New Roman"/>
                <w:lang w:eastAsia="zh-CN"/>
              </w:rPr>
              <w:t>”</w:t>
            </w:r>
            <w:r>
              <w:rPr>
                <w:rFonts w:hint="eastAsia" w:ascii="Times New Roman" w:hAnsi="Times New Roman"/>
              </w:rPr>
              <w:t>中带★号的条款和指标。</w:t>
            </w:r>
            <w:r>
              <w:rPr>
                <w:rFonts w:hint="eastAsia" w:ascii="Times New Roman" w:hAnsi="Times New Roman"/>
                <w:lang w:eastAsia="zh-CN"/>
              </w:rPr>
              <w:t>（</w:t>
            </w:r>
            <w:r>
              <w:rPr>
                <w:rFonts w:hint="eastAsia" w:ascii="宋体" w:hAnsi="宋体" w:eastAsia="宋体" w:cs="宋体"/>
                <w:color w:val="auto"/>
                <w:szCs w:val="21"/>
                <w:u w:val="none"/>
                <w:lang w:val="en-US" w:eastAsia="zh-CN"/>
              </w:rPr>
              <w:t>按投标人提供的《</w:t>
            </w:r>
            <w:r>
              <w:rPr>
                <w:rFonts w:hint="eastAsia" w:ascii="Times New Roman" w:hAnsi="Times New Roman"/>
                <w:lang w:eastAsia="zh-CN"/>
              </w:rPr>
              <w:t>实质性响应条款一览表</w:t>
            </w:r>
            <w:r>
              <w:rPr>
                <w:rFonts w:hint="eastAsia" w:ascii="宋体" w:hAnsi="宋体" w:eastAsia="宋体" w:cs="宋体"/>
                <w:color w:val="auto"/>
                <w:szCs w:val="21"/>
                <w:u w:val="none"/>
                <w:lang w:val="en-US" w:eastAsia="zh-CN"/>
              </w:rPr>
              <w:t>》内容进行评审</w:t>
            </w:r>
            <w:r>
              <w:rPr>
                <w:rFonts w:hint="eastAsia" w:ascii="Times New Roman" w:hAnsi="Times New Roman"/>
                <w:lang w:eastAsia="zh-CN"/>
              </w:rPr>
              <w:t>）</w:t>
            </w:r>
          </w:p>
        </w:tc>
      </w:tr>
      <w:tr w14:paraId="4AE23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024" w:type="dxa"/>
            <w:gridSpan w:val="2"/>
            <w:tcBorders>
              <w:top w:val="single" w:color="auto" w:sz="4" w:space="0"/>
              <w:bottom w:val="single" w:color="auto" w:sz="4" w:space="0"/>
              <w:right w:val="single" w:color="auto" w:sz="4" w:space="0"/>
            </w:tcBorders>
            <w:noWrap w:val="0"/>
            <w:vAlign w:val="center"/>
          </w:tcPr>
          <w:p w14:paraId="746576E7">
            <w:pPr>
              <w:spacing w:line="0" w:lineRule="atLeast"/>
              <w:jc w:val="center"/>
              <w:rPr>
                <w:rFonts w:ascii="Times New Roman" w:hAnsi="Times New Roman"/>
                <w:b/>
                <w:color w:val="000000"/>
              </w:rPr>
            </w:pPr>
            <w:r>
              <w:rPr>
                <w:rFonts w:hint="eastAsia" w:ascii="Times New Roman" w:hAnsi="Times New Roman"/>
                <w:b/>
                <w:color w:val="000000"/>
              </w:rPr>
              <w:t>条款号</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6F296236">
            <w:pPr>
              <w:spacing w:line="0" w:lineRule="atLeast"/>
              <w:jc w:val="center"/>
              <w:rPr>
                <w:rFonts w:ascii="Times New Roman" w:hAnsi="Times New Roman"/>
                <w:b/>
                <w:color w:val="000000"/>
              </w:rPr>
            </w:pPr>
            <w:r>
              <w:rPr>
                <w:rFonts w:hint="eastAsia" w:ascii="Times New Roman" w:hAnsi="Times New Roman"/>
                <w:b/>
                <w:color w:val="000000"/>
              </w:rPr>
              <w:t>条款内容</w:t>
            </w:r>
          </w:p>
        </w:tc>
        <w:tc>
          <w:tcPr>
            <w:tcW w:w="5263" w:type="dxa"/>
            <w:tcBorders>
              <w:top w:val="single" w:color="auto" w:sz="4" w:space="0"/>
              <w:left w:val="single" w:color="auto" w:sz="4" w:space="0"/>
              <w:bottom w:val="single" w:color="auto" w:sz="4" w:space="0"/>
            </w:tcBorders>
            <w:noWrap w:val="0"/>
            <w:vAlign w:val="center"/>
          </w:tcPr>
          <w:p w14:paraId="01E4B972">
            <w:pPr>
              <w:spacing w:line="0" w:lineRule="atLeast"/>
              <w:jc w:val="center"/>
              <w:rPr>
                <w:rFonts w:ascii="Times New Roman" w:hAnsi="Times New Roman"/>
                <w:b/>
                <w:color w:val="000000"/>
              </w:rPr>
            </w:pPr>
            <w:r>
              <w:rPr>
                <w:rFonts w:hint="eastAsia" w:ascii="Times New Roman" w:hAnsi="Times New Roman"/>
                <w:b/>
                <w:color w:val="000000"/>
              </w:rPr>
              <w:t>编列内容</w:t>
            </w:r>
          </w:p>
        </w:tc>
      </w:tr>
      <w:tr w14:paraId="165A0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bottom w:val="single" w:color="auto" w:sz="4" w:space="0"/>
              <w:right w:val="single" w:color="auto" w:sz="4" w:space="0"/>
            </w:tcBorders>
            <w:noWrap w:val="0"/>
            <w:vAlign w:val="center"/>
          </w:tcPr>
          <w:p w14:paraId="7BA42F1B">
            <w:pPr>
              <w:spacing w:line="0" w:lineRule="atLeast"/>
              <w:jc w:val="center"/>
              <w:rPr>
                <w:rFonts w:hint="eastAsia" w:ascii="Times New Roman" w:hAnsi="Times New Roman"/>
                <w:color w:val="000000"/>
              </w:rPr>
            </w:pPr>
            <w:r>
              <w:rPr>
                <w:rFonts w:ascii="Times New Roman" w:hAnsi="Times New Roman"/>
                <w:color w:val="000000"/>
              </w:rPr>
              <w:t>2.2.1</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6B739D8F">
            <w:pPr>
              <w:spacing w:line="0" w:lineRule="atLeast"/>
              <w:jc w:val="center"/>
              <w:rPr>
                <w:rFonts w:ascii="Times New Roman" w:hAnsi="Times New Roman"/>
                <w:color w:val="000000"/>
              </w:rPr>
            </w:pPr>
            <w:r>
              <w:rPr>
                <w:rFonts w:hint="eastAsia" w:ascii="Times New Roman" w:hAnsi="Times New Roman"/>
                <w:color w:val="000000"/>
              </w:rPr>
              <w:t>分值构成</w:t>
            </w:r>
          </w:p>
          <w:p w14:paraId="5EE0312F">
            <w:pPr>
              <w:spacing w:line="0" w:lineRule="atLeast"/>
              <w:jc w:val="center"/>
              <w:rPr>
                <w:rFonts w:ascii="Times New Roman" w:hAnsi="Times New Roman"/>
                <w:color w:val="000000"/>
              </w:rPr>
            </w:pPr>
            <w:r>
              <w:rPr>
                <w:rFonts w:ascii="Times New Roman" w:hAnsi="Times New Roman"/>
                <w:color w:val="000000"/>
              </w:rPr>
              <w:t>(</w:t>
            </w:r>
            <w:r>
              <w:rPr>
                <w:rFonts w:hint="eastAsia" w:ascii="Times New Roman" w:hAnsi="Times New Roman"/>
                <w:color w:val="000000"/>
              </w:rPr>
              <w:t>总分</w:t>
            </w:r>
            <w:r>
              <w:rPr>
                <w:rFonts w:ascii="Times New Roman" w:hAnsi="Times New Roman"/>
                <w:color w:val="000000"/>
              </w:rPr>
              <w:t>100</w:t>
            </w:r>
            <w:r>
              <w:rPr>
                <w:rFonts w:hint="eastAsia" w:ascii="Times New Roman" w:hAnsi="Times New Roman"/>
                <w:color w:val="000000"/>
              </w:rPr>
              <w:t>分</w:t>
            </w:r>
            <w:r>
              <w:rPr>
                <w:rFonts w:ascii="Times New Roman" w:hAnsi="Times New Roman"/>
                <w:color w:val="000000"/>
              </w:rPr>
              <w:t>)</w:t>
            </w:r>
          </w:p>
        </w:tc>
        <w:tc>
          <w:tcPr>
            <w:tcW w:w="5263" w:type="dxa"/>
            <w:tcBorders>
              <w:top w:val="single" w:color="auto" w:sz="4" w:space="0"/>
              <w:left w:val="single" w:color="auto" w:sz="4" w:space="0"/>
              <w:bottom w:val="single" w:color="auto" w:sz="4" w:space="0"/>
            </w:tcBorders>
            <w:noWrap w:val="0"/>
            <w:vAlign w:val="center"/>
          </w:tcPr>
          <w:p w14:paraId="6CF01E61">
            <w:pPr>
              <w:spacing w:line="0" w:lineRule="atLeast"/>
              <w:rPr>
                <w:rFonts w:ascii="Times New Roman" w:hAnsi="Times New Roman"/>
                <w:color w:val="000000"/>
              </w:rPr>
            </w:pPr>
            <w:r>
              <w:rPr>
                <w:rFonts w:hint="eastAsia" w:ascii="Times New Roman" w:hAnsi="Times New Roman"/>
                <w:color w:val="000000"/>
              </w:rPr>
              <w:t>资信业绩部分：</w:t>
            </w:r>
            <w:r>
              <w:rPr>
                <w:rFonts w:ascii="Times New Roman" w:hAnsi="Times New Roman"/>
                <w:color w:val="000000"/>
                <w:u w:val="single"/>
              </w:rPr>
              <w:t xml:space="preserve"> </w:t>
            </w:r>
            <w:r>
              <w:rPr>
                <w:rFonts w:hint="eastAsia" w:ascii="Times New Roman" w:hAnsi="Times New Roman"/>
                <w:color w:val="000000"/>
                <w:u w:val="single"/>
                <w:lang w:val="en-US" w:eastAsia="zh-CN"/>
              </w:rPr>
              <w:t>60</w:t>
            </w:r>
            <w:r>
              <w:rPr>
                <w:rFonts w:ascii="Times New Roman" w:hAnsi="Times New Roman"/>
                <w:color w:val="000000"/>
                <w:u w:val="single"/>
              </w:rPr>
              <w:t xml:space="preserve">  </w:t>
            </w:r>
            <w:r>
              <w:rPr>
                <w:rFonts w:hint="eastAsia" w:ascii="Times New Roman" w:hAnsi="Times New Roman"/>
                <w:color w:val="000000"/>
              </w:rPr>
              <w:t>分</w:t>
            </w:r>
          </w:p>
          <w:p w14:paraId="26374BB8">
            <w:pPr>
              <w:spacing w:line="0" w:lineRule="atLeast"/>
              <w:rPr>
                <w:rFonts w:hint="eastAsia" w:ascii="Times New Roman" w:hAnsi="Times New Roman"/>
                <w:color w:val="000000"/>
              </w:rPr>
            </w:pPr>
            <w:r>
              <w:rPr>
                <w:rFonts w:hint="eastAsia" w:ascii="Times New Roman" w:hAnsi="Times New Roman"/>
                <w:color w:val="000000"/>
                <w:lang w:eastAsia="zh-CN"/>
              </w:rPr>
              <w:t>项目实施方案</w:t>
            </w:r>
            <w:r>
              <w:rPr>
                <w:rFonts w:hint="eastAsia" w:ascii="Times New Roman" w:hAnsi="Times New Roman"/>
                <w:color w:val="000000"/>
              </w:rPr>
              <w:t>部分：</w:t>
            </w:r>
            <w:r>
              <w:rPr>
                <w:rFonts w:ascii="Times New Roman" w:hAnsi="Times New Roman"/>
                <w:color w:val="000000"/>
                <w:u w:val="single"/>
              </w:rPr>
              <w:t xml:space="preserve"> </w:t>
            </w:r>
            <w:r>
              <w:rPr>
                <w:rFonts w:hint="eastAsia" w:ascii="Times New Roman" w:hAnsi="Times New Roman"/>
                <w:color w:val="000000"/>
                <w:u w:val="single"/>
                <w:lang w:val="en-US" w:eastAsia="zh-CN"/>
              </w:rPr>
              <w:t>40</w:t>
            </w:r>
            <w:r>
              <w:rPr>
                <w:rFonts w:ascii="Times New Roman" w:hAnsi="Times New Roman"/>
                <w:color w:val="000000"/>
                <w:u w:val="single"/>
              </w:rPr>
              <w:t xml:space="preserve"> </w:t>
            </w:r>
            <w:r>
              <w:rPr>
                <w:rFonts w:hint="eastAsia" w:ascii="Times New Roman" w:hAnsi="Times New Roman"/>
                <w:color w:val="000000"/>
              </w:rPr>
              <w:t>分</w:t>
            </w:r>
          </w:p>
          <w:p w14:paraId="30ECDCB1">
            <w:pPr>
              <w:spacing w:line="0" w:lineRule="atLeast"/>
              <w:rPr>
                <w:rFonts w:hint="eastAsia" w:ascii="Times New Roman" w:hAnsi="Times New Roman" w:eastAsia="宋体"/>
                <w:color w:val="000000"/>
                <w:u w:val="single"/>
                <w:lang w:val="en-US" w:eastAsia="zh-CN"/>
              </w:rPr>
            </w:pPr>
            <w:r>
              <w:rPr>
                <w:rFonts w:hint="eastAsia" w:ascii="Times New Roman" w:hAnsi="Times New Roman"/>
              </w:rPr>
              <w:t>投标报价</w:t>
            </w:r>
            <w:r>
              <w:rPr>
                <w:rFonts w:hint="eastAsia" w:ascii="Times New Roman" w:hAnsi="Times New Roman"/>
                <w:color w:val="000000"/>
              </w:rPr>
              <w:t>：</w:t>
            </w:r>
            <w:r>
              <w:rPr>
                <w:rFonts w:hint="eastAsia" w:ascii="Times New Roman" w:hAnsi="Times New Roman"/>
                <w:color w:val="000000"/>
                <w:u w:val="single"/>
                <w:lang w:val="en-US" w:eastAsia="zh-CN"/>
              </w:rPr>
              <w:t>/</w:t>
            </w:r>
          </w:p>
          <w:p w14:paraId="555BB3FC">
            <w:pPr>
              <w:spacing w:line="0" w:lineRule="atLeast"/>
              <w:rPr>
                <w:rFonts w:hint="eastAsia" w:ascii="Times New Roman" w:hAnsi="Times New Roman" w:eastAsia="宋体"/>
                <w:color w:val="000000"/>
                <w:lang w:val="en-US" w:eastAsia="zh-CN"/>
              </w:rPr>
            </w:pPr>
            <w:r>
              <w:rPr>
                <w:rFonts w:hint="eastAsia" w:ascii="Times New Roman" w:hAnsi="Times New Roman"/>
                <w:color w:val="000000"/>
              </w:rPr>
              <w:t>其他评分因素：</w:t>
            </w:r>
            <w:r>
              <w:rPr>
                <w:rFonts w:hint="eastAsia" w:ascii="Times New Roman" w:hAnsi="Times New Roman"/>
                <w:color w:val="000000"/>
                <w:u w:val="single"/>
                <w:lang w:val="en-US" w:eastAsia="zh-CN"/>
              </w:rPr>
              <w:t>/</w:t>
            </w:r>
          </w:p>
        </w:tc>
      </w:tr>
      <w:tr w14:paraId="3A8FA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6471D062">
            <w:pPr>
              <w:spacing w:line="0" w:lineRule="atLeast"/>
              <w:jc w:val="center"/>
              <w:rPr>
                <w:rFonts w:hint="eastAsia" w:ascii="Times New Roman" w:hAnsi="Times New Roman"/>
                <w:color w:val="000000"/>
              </w:rPr>
            </w:pPr>
            <w:r>
              <w:rPr>
                <w:rFonts w:ascii="Times New Roman" w:hAnsi="Times New Roman"/>
                <w:color w:val="000000"/>
              </w:rPr>
              <w:t>2.2.2</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73796374">
            <w:pPr>
              <w:spacing w:line="0" w:lineRule="atLeast"/>
              <w:jc w:val="center"/>
              <w:rPr>
                <w:rFonts w:ascii="Times New Roman" w:hAnsi="Times New Roman"/>
                <w:color w:val="000000"/>
              </w:rPr>
            </w:pPr>
            <w:r>
              <w:rPr>
                <w:rFonts w:hint="eastAsia" w:ascii="Times New Roman" w:hAnsi="Times New Roman"/>
                <w:color w:val="000000"/>
              </w:rPr>
              <w:t>评标基准价计算方法</w:t>
            </w:r>
          </w:p>
        </w:tc>
        <w:tc>
          <w:tcPr>
            <w:tcW w:w="5263" w:type="dxa"/>
            <w:tcBorders>
              <w:top w:val="single" w:color="auto" w:sz="4" w:space="0"/>
              <w:left w:val="single" w:color="auto" w:sz="4" w:space="0"/>
              <w:bottom w:val="single" w:color="auto" w:sz="4" w:space="0"/>
            </w:tcBorders>
            <w:noWrap w:val="0"/>
            <w:vAlign w:val="center"/>
          </w:tcPr>
          <w:p w14:paraId="4F210962">
            <w:pPr>
              <w:spacing w:line="0" w:lineRule="atLeast"/>
              <w:rPr>
                <w:rFonts w:hint="eastAsia" w:ascii="Times New Roman" w:hAnsi="Times New Roman" w:eastAsia="宋体"/>
                <w:color w:val="000000"/>
                <w:lang w:val="en-US" w:eastAsia="zh-CN"/>
              </w:rPr>
            </w:pPr>
            <w:r>
              <w:rPr>
                <w:rFonts w:hint="eastAsia" w:ascii="宋体" w:hAnsi="宋体" w:eastAsia="宋体" w:cs="宋体"/>
                <w:color w:val="auto"/>
                <w:szCs w:val="21"/>
                <w:highlight w:val="none"/>
                <w:lang w:val="en-US" w:eastAsia="zh-CN"/>
              </w:rPr>
              <w:t>/</w:t>
            </w:r>
          </w:p>
        </w:tc>
      </w:tr>
      <w:tr w14:paraId="129BC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024" w:type="dxa"/>
            <w:gridSpan w:val="2"/>
            <w:tcBorders>
              <w:top w:val="single" w:color="auto" w:sz="4" w:space="0"/>
              <w:bottom w:val="single" w:color="auto" w:sz="4" w:space="0"/>
              <w:right w:val="single" w:color="auto" w:sz="4" w:space="0"/>
            </w:tcBorders>
            <w:noWrap w:val="0"/>
            <w:vAlign w:val="center"/>
          </w:tcPr>
          <w:p w14:paraId="28B8F3A0">
            <w:pPr>
              <w:spacing w:line="0" w:lineRule="atLeast"/>
              <w:jc w:val="center"/>
              <w:rPr>
                <w:rFonts w:hint="eastAsia" w:ascii="Times New Roman" w:hAnsi="Times New Roman"/>
                <w:color w:val="000000"/>
              </w:rPr>
            </w:pPr>
            <w:r>
              <w:rPr>
                <w:rFonts w:ascii="Times New Roman" w:hAnsi="Times New Roman"/>
                <w:color w:val="000000"/>
              </w:rPr>
              <w:t>2.2.3</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4395FA24">
            <w:pPr>
              <w:spacing w:line="0" w:lineRule="atLeast"/>
              <w:jc w:val="center"/>
              <w:rPr>
                <w:rFonts w:ascii="Times New Roman" w:hAnsi="Times New Roman"/>
                <w:color w:val="000000"/>
              </w:rPr>
            </w:pPr>
            <w:r>
              <w:rPr>
                <w:rFonts w:hint="eastAsia" w:ascii="Times New Roman" w:hAnsi="Times New Roman"/>
                <w:color w:val="000000"/>
              </w:rPr>
              <w:t>投标报价的偏差率</w:t>
            </w:r>
          </w:p>
          <w:p w14:paraId="23084F7E">
            <w:pPr>
              <w:spacing w:line="0" w:lineRule="atLeast"/>
              <w:jc w:val="center"/>
              <w:rPr>
                <w:rFonts w:ascii="Times New Roman" w:hAnsi="Times New Roman"/>
                <w:color w:val="000000"/>
              </w:rPr>
            </w:pPr>
            <w:r>
              <w:rPr>
                <w:rFonts w:hint="eastAsia" w:ascii="Times New Roman" w:hAnsi="Times New Roman"/>
                <w:color w:val="000000"/>
              </w:rPr>
              <w:t>计算公式</w:t>
            </w:r>
          </w:p>
        </w:tc>
        <w:tc>
          <w:tcPr>
            <w:tcW w:w="5263" w:type="dxa"/>
            <w:tcBorders>
              <w:top w:val="single" w:color="auto" w:sz="4" w:space="0"/>
              <w:left w:val="single" w:color="auto" w:sz="4" w:space="0"/>
              <w:bottom w:val="single" w:color="auto" w:sz="4" w:space="0"/>
            </w:tcBorders>
            <w:noWrap w:val="0"/>
            <w:vAlign w:val="center"/>
          </w:tcPr>
          <w:p w14:paraId="53C901DC">
            <w:pPr>
              <w:spacing w:line="0" w:lineRule="atLeast"/>
              <w:rPr>
                <w:rFonts w:hint="eastAsia" w:ascii="Times New Roman" w:hAnsi="Times New Roman" w:eastAsia="宋体"/>
                <w:color w:val="auto"/>
                <w:lang w:eastAsia="zh-CN"/>
              </w:rPr>
            </w:pPr>
            <w:r>
              <w:rPr>
                <w:rFonts w:hint="eastAsia" w:ascii="宋体" w:hAnsi="宋体" w:eastAsia="宋体" w:cs="宋体"/>
                <w:color w:val="auto"/>
                <w:sz w:val="21"/>
                <w:szCs w:val="21"/>
                <w:highlight w:val="none"/>
                <w:lang w:val="en-US" w:eastAsia="zh-CN"/>
              </w:rPr>
              <w:t>/</w:t>
            </w:r>
          </w:p>
        </w:tc>
      </w:tr>
      <w:tr w14:paraId="4CFDC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024" w:type="dxa"/>
            <w:gridSpan w:val="2"/>
            <w:tcBorders>
              <w:top w:val="single" w:color="auto" w:sz="4" w:space="0"/>
              <w:bottom w:val="single" w:color="auto" w:sz="4" w:space="0"/>
              <w:right w:val="single" w:color="auto" w:sz="4" w:space="0"/>
            </w:tcBorders>
            <w:noWrap w:val="0"/>
            <w:vAlign w:val="center"/>
          </w:tcPr>
          <w:p w14:paraId="6375013F">
            <w:pPr>
              <w:widowControl/>
              <w:spacing w:line="0" w:lineRule="atLeast"/>
              <w:jc w:val="center"/>
              <w:rPr>
                <w:rFonts w:ascii="宋体" w:hAnsi="宋体"/>
                <w:strike/>
                <w:color w:val="auto"/>
                <w:highlight w:val="none"/>
              </w:rPr>
            </w:pPr>
            <w:r>
              <w:rPr>
                <w:rFonts w:cs="Calibri"/>
                <w:color w:val="auto"/>
                <w:szCs w:val="21"/>
                <w:highlight w:val="none"/>
                <w:u w:val="single"/>
              </w:rPr>
              <w:t>4</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7F0857CB">
            <w:pPr>
              <w:widowControl/>
              <w:spacing w:line="0" w:lineRule="atLeast"/>
              <w:jc w:val="center"/>
              <w:rPr>
                <w:rFonts w:hint="eastAsia" w:ascii="Times New Roman" w:hAnsi="Times New Roman"/>
                <w:color w:val="000000"/>
              </w:rPr>
            </w:pPr>
            <w:r>
              <w:rPr>
                <w:rFonts w:hint="eastAsia" w:ascii="宋体" w:hAnsi="宋体" w:cs="宋体"/>
                <w:color w:val="auto"/>
                <w:szCs w:val="21"/>
                <w:highlight w:val="none"/>
              </w:rPr>
              <w:t>定标</w:t>
            </w:r>
          </w:p>
        </w:tc>
        <w:tc>
          <w:tcPr>
            <w:tcW w:w="5263" w:type="dxa"/>
            <w:tcBorders>
              <w:top w:val="single" w:color="auto" w:sz="4" w:space="0"/>
              <w:left w:val="single" w:color="auto" w:sz="4" w:space="0"/>
              <w:bottom w:val="single" w:color="auto" w:sz="4" w:space="0"/>
            </w:tcBorders>
            <w:noWrap w:val="0"/>
            <w:vAlign w:val="center"/>
          </w:tcPr>
          <w:p w14:paraId="61663BF0">
            <w:pPr>
              <w:spacing w:line="0" w:lineRule="atLeast"/>
              <w:rPr>
                <w:rFonts w:ascii="宋体" w:hAnsi="宋体"/>
                <w:b/>
                <w:color w:val="auto"/>
                <w:szCs w:val="21"/>
                <w:highlight w:val="none"/>
              </w:rPr>
            </w:pPr>
            <w:r>
              <w:rPr>
                <w:rFonts w:hint="eastAsia" w:ascii="宋体" w:hAnsi="宋体" w:cs="宋体"/>
                <w:b/>
                <w:color w:val="auto"/>
                <w:szCs w:val="21"/>
                <w:highlight w:val="none"/>
              </w:rPr>
              <w:t>1.定标委员会的组成</w:t>
            </w:r>
          </w:p>
          <w:p w14:paraId="31C84505">
            <w:pPr>
              <w:spacing w:line="0" w:lineRule="atLeast"/>
              <w:rPr>
                <w:rFonts w:ascii="宋体" w:hAnsi="宋体" w:cs="楷体"/>
                <w:bCs/>
                <w:color w:val="auto"/>
                <w:kern w:val="0"/>
                <w:szCs w:val="21"/>
                <w:highlight w:val="none"/>
              </w:rPr>
            </w:pPr>
            <w:r>
              <w:rPr>
                <w:rFonts w:hint="eastAsia" w:ascii="宋体" w:hAnsi="宋体" w:cs="宋体"/>
                <w:bCs/>
                <w:color w:val="auto"/>
                <w:kern w:val="0"/>
                <w:szCs w:val="21"/>
                <w:highlight w:val="none"/>
              </w:rPr>
              <w:t>（1）定标委员会</w:t>
            </w:r>
          </w:p>
          <w:p w14:paraId="0B70DC1B">
            <w:pPr>
              <w:spacing w:line="0" w:lineRule="atLeast"/>
              <w:rPr>
                <w:rFonts w:ascii="宋体" w:hAnsi="宋体" w:cs="楷体"/>
                <w:bCs/>
                <w:color w:val="auto"/>
                <w:kern w:val="0"/>
                <w:szCs w:val="21"/>
                <w:highlight w:val="none"/>
              </w:rPr>
            </w:pPr>
            <w:r>
              <w:rPr>
                <w:rFonts w:hint="eastAsia" w:ascii="宋体" w:hAnsi="宋体" w:cs="宋体"/>
                <w:bCs/>
                <w:color w:val="auto"/>
                <w:kern w:val="0"/>
                <w:szCs w:val="21"/>
                <w:highlight w:val="none"/>
              </w:rPr>
              <w:t>定标委员会由招标人依法组建。</w:t>
            </w:r>
          </w:p>
          <w:p w14:paraId="559C9AFF">
            <w:pPr>
              <w:spacing w:line="0" w:lineRule="atLeast"/>
              <w:rPr>
                <w:rFonts w:ascii="宋体" w:hAnsi="宋体" w:cs="楷体"/>
                <w:bCs/>
                <w:color w:val="auto"/>
                <w:kern w:val="0"/>
                <w:szCs w:val="21"/>
                <w:highlight w:val="none"/>
              </w:rPr>
            </w:pPr>
            <w:r>
              <w:rPr>
                <w:rFonts w:hint="eastAsia" w:ascii="宋体" w:hAnsi="宋体" w:cs="宋体"/>
                <w:bCs/>
                <w:color w:val="auto"/>
                <w:kern w:val="0"/>
                <w:szCs w:val="21"/>
                <w:highlight w:val="none"/>
              </w:rPr>
              <w:t>（2）定标会召开的时间地点：</w:t>
            </w:r>
          </w:p>
          <w:p w14:paraId="6986FAFA">
            <w:pPr>
              <w:spacing w:line="0" w:lineRule="atLeast"/>
              <w:rPr>
                <w:rFonts w:ascii="宋体" w:hAnsi="宋体" w:cs="楷体"/>
                <w:bCs/>
                <w:color w:val="auto"/>
                <w:kern w:val="0"/>
                <w:szCs w:val="21"/>
                <w:highlight w:val="none"/>
              </w:rPr>
            </w:pPr>
            <w:r>
              <w:rPr>
                <w:rFonts w:hint="eastAsia" w:ascii="宋体" w:hAnsi="宋体" w:cs="宋体"/>
                <w:bCs/>
                <w:color w:val="auto"/>
                <w:kern w:val="0"/>
                <w:szCs w:val="21"/>
                <w:highlight w:val="none"/>
              </w:rPr>
              <w:t>定标会召开时间在合格的中标候选人公示完成后</w:t>
            </w:r>
            <w:r>
              <w:rPr>
                <w:rFonts w:hint="eastAsia" w:ascii="宋体" w:hAnsi="宋体" w:cs="楷体"/>
                <w:bCs/>
                <w:color w:val="auto"/>
                <w:kern w:val="0"/>
                <w:szCs w:val="21"/>
                <w:highlight w:val="none"/>
                <w:lang w:val="en-US" w:eastAsia="zh-CN"/>
              </w:rPr>
              <w:t>5</w:t>
            </w:r>
            <w:r>
              <w:rPr>
                <w:rFonts w:hint="eastAsia" w:ascii="宋体" w:hAnsi="宋体" w:cs="楷体"/>
                <w:bCs/>
                <w:color w:val="auto"/>
                <w:kern w:val="0"/>
                <w:szCs w:val="21"/>
                <w:highlight w:val="none"/>
              </w:rPr>
              <w:t>个工作日内在广州交易集团有限公司（广州公共资源交易中心）举行，定标会全程在广州交易集团有限公司（广州公共资源交易中心）见证人员见证下进行。</w:t>
            </w:r>
          </w:p>
          <w:p w14:paraId="6B29D078">
            <w:pPr>
              <w:spacing w:line="0" w:lineRule="atLeast"/>
              <w:rPr>
                <w:rFonts w:ascii="宋体" w:hAnsi="宋体" w:cs="楷体"/>
                <w:b/>
                <w:color w:val="auto"/>
                <w:kern w:val="0"/>
                <w:szCs w:val="21"/>
                <w:highlight w:val="none"/>
              </w:rPr>
            </w:pPr>
            <w:r>
              <w:rPr>
                <w:rFonts w:hint="eastAsia" w:ascii="宋体" w:hAnsi="宋体" w:cs="宋体"/>
                <w:b/>
                <w:color w:val="auto"/>
                <w:kern w:val="0"/>
                <w:szCs w:val="21"/>
                <w:highlight w:val="none"/>
              </w:rPr>
              <w:t>2.定标原则</w:t>
            </w:r>
          </w:p>
          <w:p w14:paraId="7D9914E1">
            <w:pPr>
              <w:spacing w:line="0" w:lineRule="atLeast"/>
              <w:rPr>
                <w:rFonts w:hint="eastAsia" w:ascii="宋体" w:hAnsi="宋体"/>
                <w:strike/>
                <w:color w:val="auto"/>
                <w:highlight w:val="none"/>
                <w:lang w:val="en-US" w:eastAsia="zh-CN"/>
              </w:rPr>
            </w:pPr>
            <w:r>
              <w:rPr>
                <w:rFonts w:hint="eastAsia" w:ascii="宋体" w:hAnsi="宋体"/>
                <w:color w:val="auto"/>
                <w:highlight w:val="none"/>
                <w:u w:val="single"/>
              </w:rPr>
              <w:t>详见</w:t>
            </w:r>
            <w:r>
              <w:rPr>
                <w:rFonts w:hint="eastAsia" w:ascii="宋体" w:hAnsi="宋体" w:cs="宋体"/>
                <w:bCs/>
                <w:color w:val="auto"/>
                <w:szCs w:val="21"/>
                <w:highlight w:val="none"/>
                <w:u w:val="single"/>
              </w:rPr>
              <w:t>本章第4款。</w:t>
            </w:r>
          </w:p>
        </w:tc>
      </w:tr>
      <w:tr w14:paraId="5F6D0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024" w:type="dxa"/>
            <w:gridSpan w:val="2"/>
            <w:tcBorders>
              <w:top w:val="single" w:color="auto" w:sz="4" w:space="0"/>
              <w:bottom w:val="single" w:color="auto" w:sz="4" w:space="0"/>
              <w:right w:val="single" w:color="auto" w:sz="4" w:space="0"/>
            </w:tcBorders>
            <w:noWrap w:val="0"/>
            <w:vAlign w:val="center"/>
          </w:tcPr>
          <w:p w14:paraId="5216D241">
            <w:pPr>
              <w:widowControl/>
              <w:spacing w:line="0" w:lineRule="atLeast"/>
              <w:jc w:val="center"/>
              <w:rPr>
                <w:rFonts w:ascii="宋体" w:hAnsi="宋体"/>
                <w:strike/>
                <w:color w:val="auto"/>
                <w:highlight w:val="none"/>
              </w:rPr>
            </w:pPr>
            <w:r>
              <w:rPr>
                <w:rFonts w:cs="Calibri"/>
                <w:color w:val="auto"/>
                <w:szCs w:val="21"/>
                <w:highlight w:val="none"/>
                <w:u w:val="single"/>
              </w:rPr>
              <w:t>5</w:t>
            </w:r>
          </w:p>
        </w:tc>
        <w:tc>
          <w:tcPr>
            <w:tcW w:w="2047" w:type="dxa"/>
            <w:tcBorders>
              <w:top w:val="single" w:color="auto" w:sz="4" w:space="0"/>
              <w:left w:val="single" w:color="auto" w:sz="4" w:space="0"/>
              <w:bottom w:val="single" w:color="auto" w:sz="4" w:space="0"/>
              <w:right w:val="single" w:color="auto" w:sz="4" w:space="0"/>
            </w:tcBorders>
            <w:noWrap w:val="0"/>
            <w:vAlign w:val="center"/>
          </w:tcPr>
          <w:p w14:paraId="502D9F73">
            <w:pPr>
              <w:widowControl/>
              <w:spacing w:line="0" w:lineRule="atLeast"/>
              <w:jc w:val="center"/>
              <w:rPr>
                <w:rFonts w:hint="eastAsia" w:ascii="Times New Roman" w:hAnsi="Times New Roman"/>
                <w:color w:val="000000"/>
              </w:rPr>
            </w:pPr>
            <w:r>
              <w:rPr>
                <w:rFonts w:hint="eastAsia" w:ascii="宋体" w:hAnsi="宋体" w:cs="宋体"/>
                <w:color w:val="auto"/>
                <w:szCs w:val="21"/>
                <w:highlight w:val="none"/>
              </w:rPr>
              <w:t>定标表格</w:t>
            </w:r>
          </w:p>
        </w:tc>
        <w:tc>
          <w:tcPr>
            <w:tcW w:w="5263" w:type="dxa"/>
            <w:tcBorders>
              <w:top w:val="single" w:color="auto" w:sz="4" w:space="0"/>
              <w:left w:val="single" w:color="auto" w:sz="4" w:space="0"/>
              <w:bottom w:val="single" w:color="auto" w:sz="4" w:space="0"/>
            </w:tcBorders>
            <w:noWrap w:val="0"/>
            <w:vAlign w:val="center"/>
          </w:tcPr>
          <w:p w14:paraId="47215E34">
            <w:pPr>
              <w:widowControl/>
              <w:spacing w:line="0" w:lineRule="atLeast"/>
              <w:jc w:val="left"/>
              <w:rPr>
                <w:rFonts w:hint="eastAsia" w:ascii="宋体" w:hAnsi="宋体"/>
                <w:strike/>
                <w:color w:val="auto"/>
                <w:highlight w:val="none"/>
                <w:lang w:val="en-US" w:eastAsia="zh-CN"/>
              </w:rPr>
            </w:pPr>
            <w:r>
              <w:rPr>
                <w:rFonts w:hint="eastAsia" w:ascii="宋体" w:hAnsi="宋体"/>
                <w:color w:val="auto"/>
                <w:highlight w:val="none"/>
                <w:u w:val="single"/>
              </w:rPr>
              <w:t>详见本章第5款附表</w:t>
            </w:r>
            <w:r>
              <w:rPr>
                <w:rFonts w:hint="eastAsia" w:ascii="宋体" w:hAnsi="宋体" w:cs="宋体"/>
                <w:color w:val="auto"/>
                <w:szCs w:val="21"/>
                <w:highlight w:val="none"/>
              </w:rPr>
              <w:t>。</w:t>
            </w:r>
          </w:p>
        </w:tc>
      </w:tr>
    </w:tbl>
    <w:p w14:paraId="4546EA25">
      <w:pPr>
        <w:jc w:val="center"/>
        <w:rPr>
          <w:rFonts w:hint="eastAsia"/>
          <w:b/>
          <w:sz w:val="32"/>
          <w:szCs w:val="32"/>
          <w:highlight w:val="yellow"/>
        </w:rPr>
      </w:pPr>
      <w:r>
        <w:rPr>
          <w:rFonts w:hint="eastAsia"/>
          <w:b/>
          <w:sz w:val="32"/>
          <w:szCs w:val="32"/>
          <w:highlight w:val="yellow"/>
        </w:rPr>
        <w:br w:type="page"/>
      </w:r>
      <w:r>
        <w:rPr>
          <w:rFonts w:hint="eastAsia"/>
          <w:b/>
          <w:sz w:val="32"/>
          <w:szCs w:val="32"/>
          <w:highlight w:val="none"/>
        </w:rPr>
        <w:t>综合评分表</w:t>
      </w:r>
    </w:p>
    <w:tbl>
      <w:tblPr>
        <w:tblStyle w:val="28"/>
        <w:tblW w:w="9163" w:type="dxa"/>
        <w:tblInd w:w="28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605"/>
        <w:gridCol w:w="1350"/>
        <w:gridCol w:w="5533"/>
      </w:tblGrid>
      <w:tr w14:paraId="16C31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062FCF99">
            <w:pPr>
              <w:widowControl/>
              <w:spacing w:line="0" w:lineRule="atLeast"/>
              <w:rPr>
                <w:rFonts w:hint="eastAsia" w:ascii="宋体" w:hAnsi="宋体" w:eastAsia="宋体" w:cs="宋体"/>
                <w:szCs w:val="21"/>
                <w:highlight w:val="none"/>
              </w:rPr>
            </w:pPr>
            <w:r>
              <w:rPr>
                <w:rFonts w:hint="eastAsia" w:ascii="宋体" w:hAnsi="宋体" w:eastAsia="宋体" w:cs="宋体"/>
                <w:szCs w:val="21"/>
                <w:highlight w:val="none"/>
              </w:rPr>
              <w:t>2.2.4（1）</w:t>
            </w:r>
          </w:p>
        </w:tc>
        <w:tc>
          <w:tcPr>
            <w:tcW w:w="1605" w:type="dxa"/>
            <w:vMerge w:val="restart"/>
            <w:tcBorders>
              <w:top w:val="single" w:color="auto" w:sz="4" w:space="0"/>
              <w:left w:val="single" w:color="auto" w:sz="4" w:space="0"/>
              <w:bottom w:val="single" w:color="auto" w:sz="4" w:space="0"/>
              <w:right w:val="single" w:color="auto" w:sz="4" w:space="0"/>
            </w:tcBorders>
            <w:noWrap w:val="0"/>
            <w:vAlign w:val="center"/>
          </w:tcPr>
          <w:p w14:paraId="33AA25A1">
            <w:pPr>
              <w:widowControl/>
              <w:spacing w:line="0" w:lineRule="atLeast"/>
              <w:rPr>
                <w:rFonts w:hint="eastAsia" w:ascii="宋体" w:hAnsi="宋体" w:eastAsia="宋体" w:cs="宋体"/>
                <w:szCs w:val="21"/>
                <w:highlight w:val="none"/>
              </w:rPr>
            </w:pPr>
            <w:r>
              <w:rPr>
                <w:rFonts w:hint="eastAsia" w:ascii="宋体" w:hAnsi="宋体" w:eastAsia="宋体" w:cs="宋体"/>
                <w:szCs w:val="21"/>
                <w:highlight w:val="none"/>
              </w:rPr>
              <w:t>资信业绩评分标准（</w:t>
            </w:r>
            <w:r>
              <w:rPr>
                <w:rFonts w:hint="eastAsia" w:ascii="宋体" w:hAnsi="宋体" w:cs="宋体"/>
                <w:szCs w:val="21"/>
                <w:highlight w:val="none"/>
                <w:lang w:val="en-US" w:eastAsia="zh-CN"/>
              </w:rPr>
              <w:t>6</w:t>
            </w:r>
            <w:r>
              <w:rPr>
                <w:rFonts w:hint="eastAsia" w:ascii="宋体" w:hAnsi="宋体" w:eastAsia="宋体" w:cs="宋体"/>
                <w:szCs w:val="21"/>
                <w:highlight w:val="none"/>
              </w:rPr>
              <w:t>0分）</w:t>
            </w:r>
          </w:p>
        </w:tc>
        <w:tc>
          <w:tcPr>
            <w:tcW w:w="1350" w:type="dxa"/>
            <w:vMerge w:val="restart"/>
            <w:tcBorders>
              <w:top w:val="single" w:color="auto" w:sz="4" w:space="0"/>
              <w:left w:val="single" w:color="auto" w:sz="4" w:space="0"/>
              <w:right w:val="single" w:color="auto" w:sz="4" w:space="0"/>
            </w:tcBorders>
            <w:noWrap w:val="0"/>
            <w:vAlign w:val="center"/>
          </w:tcPr>
          <w:p w14:paraId="799D32B1">
            <w:pPr>
              <w:spacing w:line="0" w:lineRule="atLeast"/>
              <w:rPr>
                <w:rFonts w:hint="eastAsia" w:ascii="宋体" w:hAnsi="宋体" w:eastAsia="宋体" w:cs="宋体"/>
                <w:szCs w:val="21"/>
                <w:highlight w:val="none"/>
              </w:rPr>
            </w:pPr>
            <w:r>
              <w:rPr>
                <w:rFonts w:hint="eastAsia" w:ascii="宋体" w:hAnsi="宋体" w:cs="宋体"/>
                <w:color w:val="auto"/>
                <w:highlight w:val="none"/>
              </w:rPr>
              <w:t>企业类似业绩（25分）</w:t>
            </w:r>
          </w:p>
        </w:tc>
        <w:tc>
          <w:tcPr>
            <w:tcW w:w="5533" w:type="dxa"/>
            <w:tcBorders>
              <w:top w:val="single" w:color="auto" w:sz="4" w:space="0"/>
              <w:left w:val="single" w:color="auto" w:sz="4" w:space="0"/>
              <w:right w:val="single" w:color="auto" w:sz="4" w:space="0"/>
            </w:tcBorders>
            <w:noWrap w:val="0"/>
            <w:vAlign w:val="center"/>
          </w:tcPr>
          <w:p w14:paraId="15C9ED26">
            <w:pPr>
              <w:snapToGrid w:val="0"/>
              <w:rPr>
                <w:rFonts w:hint="eastAsia" w:ascii="宋体" w:hAnsi="宋体" w:cs="宋体"/>
                <w:color w:val="auto"/>
                <w:highlight w:val="none"/>
              </w:rPr>
            </w:pPr>
            <w:r>
              <w:rPr>
                <w:rFonts w:hint="eastAsia" w:ascii="宋体" w:hAnsi="宋体" w:cs="宋体"/>
                <w:color w:val="auto"/>
                <w:highlight w:val="none"/>
              </w:rPr>
              <w:t>投标人近3年（自2022年1月1日至今）完成过单项合同金额350万元或以上的类似项目业绩的，每项得5分。本项最高得25分。</w:t>
            </w:r>
          </w:p>
          <w:p w14:paraId="7FD88EF0">
            <w:pPr>
              <w:spacing w:line="0" w:lineRule="atLeast"/>
              <w:rPr>
                <w:rFonts w:hint="eastAsia" w:ascii="宋体" w:hAnsi="宋体" w:eastAsia="宋体" w:cs="宋体"/>
                <w:szCs w:val="21"/>
                <w:highlight w:val="none"/>
              </w:rPr>
            </w:pPr>
            <w:r>
              <w:rPr>
                <w:rFonts w:hint="eastAsia" w:ascii="宋体" w:hAnsi="宋体" w:cs="宋体"/>
                <w:color w:val="auto"/>
                <w:highlight w:val="none"/>
              </w:rPr>
              <w:t>注：企业类似项目业绩是指公共交通信息化系统运维项目，金额以中标通知书（免招标项目则以签订的合同（不含补充合同）；中标通知无金额显示的，以合同金额为准）为准，时间以合同验收或竣工验收时间为准，不含施工合同保修期的运维项目；需提供中标通知书（同时提供中标结果公示在招标平台的网上查询的截图和链接）或免招标证明、管养合同（不含补充合同）、验收报告或业主评价证明，业绩所属的业主名称、地址、联系人及联系电话，随时接受查询。</w:t>
            </w:r>
          </w:p>
        </w:tc>
      </w:tr>
      <w:tr w14:paraId="3B6E3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5" w:type="dxa"/>
            <w:vMerge w:val="continue"/>
            <w:tcBorders>
              <w:left w:val="single" w:color="auto" w:sz="4" w:space="0"/>
              <w:right w:val="single" w:color="auto" w:sz="4" w:space="0"/>
            </w:tcBorders>
            <w:noWrap w:val="0"/>
            <w:vAlign w:val="center"/>
          </w:tcPr>
          <w:p w14:paraId="0A7B0C13">
            <w:pPr>
              <w:widowControl/>
              <w:spacing w:line="0" w:lineRule="atLeast"/>
              <w:rPr>
                <w:rFonts w:hint="eastAsia" w:ascii="宋体" w:hAnsi="宋体" w:eastAsia="宋体" w:cs="宋体"/>
                <w:szCs w:val="21"/>
                <w:highlight w:val="none"/>
              </w:rPr>
            </w:pPr>
          </w:p>
        </w:tc>
        <w:tc>
          <w:tcPr>
            <w:tcW w:w="1605" w:type="dxa"/>
            <w:vMerge w:val="continue"/>
            <w:tcBorders>
              <w:left w:val="single" w:color="auto" w:sz="4" w:space="0"/>
              <w:right w:val="single" w:color="auto" w:sz="4" w:space="0"/>
            </w:tcBorders>
            <w:noWrap w:val="0"/>
            <w:vAlign w:val="center"/>
          </w:tcPr>
          <w:p w14:paraId="09ACD804">
            <w:pPr>
              <w:widowControl/>
              <w:spacing w:line="0" w:lineRule="atLeast"/>
              <w:rPr>
                <w:rFonts w:hint="eastAsia" w:ascii="宋体" w:hAnsi="宋体" w:eastAsia="宋体" w:cs="宋体"/>
                <w:szCs w:val="21"/>
                <w:highlight w:val="none"/>
              </w:rPr>
            </w:pPr>
          </w:p>
        </w:tc>
        <w:tc>
          <w:tcPr>
            <w:tcW w:w="1350" w:type="dxa"/>
            <w:tcBorders>
              <w:top w:val="single" w:color="auto" w:sz="4" w:space="0"/>
              <w:left w:val="single" w:color="auto" w:sz="4" w:space="0"/>
              <w:right w:val="single" w:color="auto" w:sz="4" w:space="0"/>
            </w:tcBorders>
            <w:noWrap w:val="0"/>
            <w:vAlign w:val="center"/>
          </w:tcPr>
          <w:p w14:paraId="3989C775">
            <w:pPr>
              <w:jc w:val="center"/>
              <w:rPr>
                <w:rFonts w:hint="eastAsia" w:ascii="宋体" w:hAnsi="宋体" w:eastAsia="宋体" w:cs="宋体"/>
                <w:szCs w:val="21"/>
                <w:highlight w:val="none"/>
              </w:rPr>
            </w:pPr>
            <w:r>
              <w:rPr>
                <w:rFonts w:hint="eastAsia" w:ascii="宋体" w:hAnsi="宋体" w:cs="宋体"/>
                <w:color w:val="auto"/>
                <w:highlight w:val="none"/>
              </w:rPr>
              <w:t>技术能力（</w:t>
            </w:r>
            <w:r>
              <w:rPr>
                <w:rFonts w:hint="eastAsia" w:ascii="宋体" w:hAnsi="宋体" w:cs="宋体"/>
                <w:color w:val="auto"/>
                <w:highlight w:val="none"/>
                <w:lang w:val="en-US" w:eastAsia="zh-CN"/>
              </w:rPr>
              <w:t>10</w:t>
            </w:r>
            <w:r>
              <w:rPr>
                <w:rFonts w:hint="eastAsia" w:ascii="宋体" w:hAnsi="宋体" w:cs="宋体"/>
                <w:color w:val="auto"/>
                <w:highlight w:val="none"/>
              </w:rPr>
              <w:t>分）</w:t>
            </w:r>
          </w:p>
        </w:tc>
        <w:tc>
          <w:tcPr>
            <w:tcW w:w="5533" w:type="dxa"/>
            <w:tcBorders>
              <w:top w:val="single" w:color="auto" w:sz="4" w:space="0"/>
              <w:left w:val="single" w:color="auto" w:sz="4" w:space="0"/>
              <w:right w:val="single" w:color="auto" w:sz="4" w:space="0"/>
            </w:tcBorders>
            <w:noWrap w:val="0"/>
            <w:vAlign w:val="center"/>
          </w:tcPr>
          <w:p w14:paraId="6D80D88B">
            <w:pPr>
              <w:snapToGrid w:val="0"/>
              <w:rPr>
                <w:rFonts w:hint="eastAsia" w:ascii="宋体" w:hAnsi="宋体" w:cs="宋体"/>
                <w:color w:val="auto"/>
                <w:highlight w:val="none"/>
              </w:rPr>
            </w:pPr>
            <w:r>
              <w:rPr>
                <w:rFonts w:hint="eastAsia" w:ascii="宋体" w:hAnsi="宋体" w:cs="宋体"/>
                <w:color w:val="auto"/>
                <w:highlight w:val="none"/>
              </w:rPr>
              <w:t>投标人具有本项目相关自主知识产权的专利或著作权（需提供专利权人、著作权人为投标人自身的知识产权登记证书扫描件，同一名称不同版本号的登记证书只算一个），每个得1分，最高得6分。其中属于“闸机”和“安全门”类的知识产权的，每个加2分，累计最高加4分。</w:t>
            </w:r>
          </w:p>
          <w:p w14:paraId="2A3FA36B">
            <w:pPr>
              <w:snapToGrid w:val="0"/>
              <w:rPr>
                <w:rFonts w:hint="eastAsia" w:ascii="宋体" w:hAnsi="宋体" w:eastAsia="宋体" w:cs="宋体"/>
                <w:spacing w:val="-3"/>
                <w:kern w:val="0"/>
                <w:sz w:val="21"/>
                <w:szCs w:val="21"/>
                <w:highlight w:val="none"/>
                <w:lang w:val="en-US" w:eastAsia="zh-CN" w:bidi="ar-SA"/>
              </w:rPr>
            </w:pPr>
            <w:r>
              <w:rPr>
                <w:rFonts w:hint="eastAsia" w:ascii="宋体" w:hAnsi="宋体" w:cs="宋体"/>
                <w:color w:val="auto"/>
                <w:highlight w:val="none"/>
              </w:rPr>
              <w:t>本项最高得10分。</w:t>
            </w:r>
          </w:p>
        </w:tc>
      </w:tr>
      <w:tr w14:paraId="5A156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5" w:type="dxa"/>
            <w:vMerge w:val="continue"/>
            <w:tcBorders>
              <w:left w:val="single" w:color="auto" w:sz="4" w:space="0"/>
              <w:right w:val="single" w:color="auto" w:sz="4" w:space="0"/>
            </w:tcBorders>
            <w:noWrap w:val="0"/>
            <w:vAlign w:val="center"/>
          </w:tcPr>
          <w:p w14:paraId="5AD2D80A">
            <w:pPr>
              <w:widowControl/>
              <w:spacing w:line="0" w:lineRule="atLeast"/>
              <w:rPr>
                <w:rFonts w:hint="eastAsia" w:ascii="宋体" w:hAnsi="宋体" w:eastAsia="宋体" w:cs="宋体"/>
                <w:szCs w:val="21"/>
                <w:highlight w:val="none"/>
              </w:rPr>
            </w:pPr>
          </w:p>
        </w:tc>
        <w:tc>
          <w:tcPr>
            <w:tcW w:w="1605" w:type="dxa"/>
            <w:vMerge w:val="continue"/>
            <w:tcBorders>
              <w:left w:val="single" w:color="auto" w:sz="4" w:space="0"/>
              <w:right w:val="single" w:color="auto" w:sz="4" w:space="0"/>
            </w:tcBorders>
            <w:noWrap w:val="0"/>
            <w:vAlign w:val="center"/>
          </w:tcPr>
          <w:p w14:paraId="2FACE673">
            <w:pPr>
              <w:widowControl/>
              <w:spacing w:line="0" w:lineRule="atLeast"/>
              <w:rPr>
                <w:rFonts w:hint="eastAsia" w:ascii="宋体" w:hAnsi="宋体" w:eastAsia="宋体" w:cs="宋体"/>
                <w:szCs w:val="21"/>
                <w:highlight w:val="none"/>
              </w:rPr>
            </w:pPr>
          </w:p>
        </w:tc>
        <w:tc>
          <w:tcPr>
            <w:tcW w:w="1350" w:type="dxa"/>
            <w:tcBorders>
              <w:top w:val="single" w:color="auto" w:sz="4" w:space="0"/>
              <w:left w:val="single" w:color="auto" w:sz="4" w:space="0"/>
              <w:right w:val="single" w:color="auto" w:sz="4" w:space="0"/>
            </w:tcBorders>
            <w:noWrap w:val="0"/>
            <w:vAlign w:val="center"/>
          </w:tcPr>
          <w:p w14:paraId="65CFB2E4">
            <w:pPr>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企业信用</w:t>
            </w:r>
          </w:p>
          <w:p w14:paraId="0685211E">
            <w:pPr>
              <w:jc w:val="center"/>
              <w:rPr>
                <w:rFonts w:hint="eastAsia" w:ascii="宋体" w:hAnsi="宋体" w:eastAsia="宋体" w:cs="宋体"/>
                <w:szCs w:val="21"/>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分)</w:t>
            </w:r>
          </w:p>
        </w:tc>
        <w:tc>
          <w:tcPr>
            <w:tcW w:w="5533" w:type="dxa"/>
            <w:tcBorders>
              <w:top w:val="single" w:color="auto" w:sz="4" w:space="0"/>
              <w:left w:val="single" w:color="auto" w:sz="4" w:space="0"/>
              <w:right w:val="single" w:color="auto" w:sz="4" w:space="0"/>
            </w:tcBorders>
            <w:noWrap w:val="0"/>
            <w:vAlign w:val="center"/>
          </w:tcPr>
          <w:p w14:paraId="3379741D">
            <w:pPr>
              <w:snapToGrid w:val="0"/>
              <w:rPr>
                <w:rFonts w:hint="eastAsia" w:ascii="宋体" w:hAnsi="宋体" w:cs="宋体"/>
                <w:color w:val="auto"/>
                <w:highlight w:val="none"/>
              </w:rPr>
            </w:pPr>
            <w:r>
              <w:rPr>
                <w:rFonts w:hint="eastAsia" w:ascii="宋体" w:hAnsi="宋体" w:cs="宋体"/>
                <w:color w:val="auto"/>
                <w:highlight w:val="none"/>
              </w:rPr>
              <w:t>投标人具有有效期内的认证证书：</w:t>
            </w:r>
          </w:p>
          <w:p w14:paraId="1CEC5A6B">
            <w:pPr>
              <w:snapToGrid w:val="0"/>
              <w:rPr>
                <w:rFonts w:hint="eastAsia" w:ascii="宋体" w:hAnsi="宋体" w:cs="宋体"/>
                <w:color w:val="auto"/>
                <w:highlight w:val="none"/>
              </w:rPr>
            </w:pPr>
            <w:r>
              <w:rPr>
                <w:rFonts w:hint="eastAsia" w:ascii="宋体" w:hAnsi="宋体" w:cs="宋体"/>
                <w:color w:val="auto"/>
                <w:highlight w:val="none"/>
              </w:rPr>
              <w:t>1.信息安全服务资质认证证书；</w:t>
            </w:r>
          </w:p>
          <w:p w14:paraId="6DF67DEE">
            <w:pPr>
              <w:snapToGrid w:val="0"/>
              <w:rPr>
                <w:rFonts w:hint="eastAsia" w:ascii="宋体" w:hAnsi="宋体" w:cs="宋体"/>
                <w:color w:val="auto"/>
                <w:highlight w:val="none"/>
              </w:rPr>
            </w:pPr>
            <w:r>
              <w:rPr>
                <w:rFonts w:hint="eastAsia" w:ascii="宋体" w:hAnsi="宋体" w:cs="宋体"/>
                <w:color w:val="auto"/>
                <w:highlight w:val="none"/>
              </w:rPr>
              <w:t>2.知识产权管理体系认证证书；</w:t>
            </w:r>
          </w:p>
          <w:p w14:paraId="6C1A1156">
            <w:pPr>
              <w:snapToGrid w:val="0"/>
              <w:rPr>
                <w:rFonts w:hint="eastAsia" w:ascii="宋体" w:hAnsi="宋体" w:cs="宋体"/>
                <w:color w:val="auto"/>
                <w:highlight w:val="none"/>
              </w:rPr>
            </w:pPr>
            <w:r>
              <w:rPr>
                <w:rFonts w:hint="eastAsia" w:ascii="宋体" w:hAnsi="宋体" w:cs="宋体"/>
                <w:color w:val="auto"/>
                <w:highlight w:val="none"/>
              </w:rPr>
              <w:t>3.职业健康安全管理体系认证证书；</w:t>
            </w:r>
          </w:p>
          <w:p w14:paraId="16ED5EFB">
            <w:pPr>
              <w:snapToGrid w:val="0"/>
              <w:rPr>
                <w:rFonts w:hint="eastAsia" w:ascii="宋体" w:hAnsi="宋体" w:cs="宋体"/>
                <w:color w:val="auto"/>
                <w:highlight w:val="none"/>
              </w:rPr>
            </w:pPr>
            <w:r>
              <w:rPr>
                <w:rFonts w:hint="eastAsia" w:ascii="宋体" w:hAnsi="宋体" w:cs="宋体"/>
                <w:color w:val="auto"/>
                <w:highlight w:val="none"/>
              </w:rPr>
              <w:t>4.质量管理体系认证证书；</w:t>
            </w:r>
          </w:p>
          <w:p w14:paraId="2F31DCD4">
            <w:pPr>
              <w:snapToGrid w:val="0"/>
              <w:rPr>
                <w:rFonts w:hint="eastAsia" w:ascii="宋体" w:hAnsi="宋体" w:cs="宋体"/>
                <w:color w:val="auto"/>
                <w:highlight w:val="none"/>
              </w:rPr>
            </w:pPr>
            <w:r>
              <w:rPr>
                <w:rFonts w:hint="eastAsia" w:ascii="宋体" w:hAnsi="宋体" w:cs="宋体"/>
                <w:color w:val="auto"/>
                <w:highlight w:val="none"/>
              </w:rPr>
              <w:t>5.环境管理体系认证证书。</w:t>
            </w:r>
          </w:p>
          <w:p w14:paraId="5354D225">
            <w:pPr>
              <w:snapToGrid w:val="0"/>
              <w:rPr>
                <w:rFonts w:hint="eastAsia" w:ascii="宋体" w:hAnsi="宋体" w:cs="宋体"/>
                <w:color w:val="auto"/>
                <w:highlight w:val="none"/>
              </w:rPr>
            </w:pPr>
            <w:r>
              <w:rPr>
                <w:rFonts w:hint="eastAsia" w:ascii="宋体" w:hAnsi="宋体" w:cs="宋体"/>
                <w:color w:val="auto"/>
                <w:highlight w:val="none"/>
              </w:rPr>
              <w:t>每个得1分，最高得5分。</w:t>
            </w:r>
          </w:p>
          <w:p w14:paraId="1D4BD987">
            <w:pPr>
              <w:snapToGrid w:val="0"/>
              <w:rPr>
                <w:rFonts w:hint="eastAsia" w:eastAsia="宋体"/>
                <w:szCs w:val="21"/>
                <w:highlight w:val="none"/>
              </w:rPr>
            </w:pPr>
            <w:r>
              <w:rPr>
                <w:rFonts w:hint="eastAsia" w:ascii="宋体" w:hAnsi="宋体" w:cs="宋体"/>
                <w:color w:val="auto"/>
                <w:highlight w:val="none"/>
              </w:rPr>
              <w:t>注：须提供有效认证证书扫描件及认证认可信息平台（http://www.cnca.gov.cn/）查询结果有效截图，没有提供或提供证明材料无效的均不得分。</w:t>
            </w:r>
          </w:p>
        </w:tc>
      </w:tr>
      <w:tr w14:paraId="694BC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675" w:type="dxa"/>
            <w:vMerge w:val="continue"/>
            <w:tcBorders>
              <w:left w:val="single" w:color="auto" w:sz="4" w:space="0"/>
              <w:right w:val="single" w:color="auto" w:sz="4" w:space="0"/>
            </w:tcBorders>
            <w:noWrap w:val="0"/>
            <w:vAlign w:val="center"/>
          </w:tcPr>
          <w:p w14:paraId="33660C37">
            <w:pPr>
              <w:widowControl/>
              <w:spacing w:line="0" w:lineRule="atLeast"/>
              <w:rPr>
                <w:rFonts w:hint="eastAsia" w:ascii="宋体" w:hAnsi="宋体" w:eastAsia="宋体" w:cs="宋体"/>
                <w:szCs w:val="21"/>
                <w:highlight w:val="none"/>
              </w:rPr>
            </w:pPr>
          </w:p>
        </w:tc>
        <w:tc>
          <w:tcPr>
            <w:tcW w:w="1605" w:type="dxa"/>
            <w:vMerge w:val="continue"/>
            <w:tcBorders>
              <w:left w:val="single" w:color="auto" w:sz="4" w:space="0"/>
              <w:right w:val="single" w:color="auto" w:sz="4" w:space="0"/>
            </w:tcBorders>
            <w:noWrap w:val="0"/>
            <w:vAlign w:val="center"/>
          </w:tcPr>
          <w:p w14:paraId="15653AF8">
            <w:pPr>
              <w:widowControl/>
              <w:spacing w:line="0" w:lineRule="atLeast"/>
              <w:rPr>
                <w:rFonts w:hint="eastAsia" w:ascii="宋体" w:hAnsi="宋体" w:eastAsia="宋体" w:cs="宋体"/>
                <w:szCs w:val="21"/>
                <w:highlight w:val="none"/>
              </w:rPr>
            </w:pPr>
          </w:p>
        </w:tc>
        <w:tc>
          <w:tcPr>
            <w:tcW w:w="1350" w:type="dxa"/>
            <w:vMerge w:val="restart"/>
            <w:tcBorders>
              <w:top w:val="single" w:color="auto" w:sz="4" w:space="0"/>
              <w:left w:val="single" w:color="auto" w:sz="4" w:space="0"/>
              <w:right w:val="single" w:color="auto" w:sz="4" w:space="0"/>
            </w:tcBorders>
            <w:noWrap w:val="0"/>
            <w:vAlign w:val="center"/>
          </w:tcPr>
          <w:p w14:paraId="7B947C9E">
            <w:pPr>
              <w:jc w:val="center"/>
              <w:rPr>
                <w:rFonts w:hint="eastAsia" w:ascii="宋体" w:hAnsi="宋体" w:cs="宋体"/>
                <w:color w:val="auto"/>
                <w:highlight w:val="none"/>
              </w:rPr>
            </w:pPr>
            <w:r>
              <w:rPr>
                <w:rFonts w:hint="eastAsia" w:ascii="宋体" w:hAnsi="宋体" w:cs="宋体"/>
                <w:color w:val="auto"/>
                <w:highlight w:val="none"/>
              </w:rPr>
              <w:t>人员配备</w:t>
            </w:r>
          </w:p>
          <w:p w14:paraId="025F653B">
            <w:pPr>
              <w:spacing w:line="0" w:lineRule="atLeast"/>
              <w:jc w:val="center"/>
              <w:rPr>
                <w:rFonts w:hint="eastAsia" w:ascii="宋体" w:hAnsi="宋体" w:eastAsia="宋体" w:cs="宋体"/>
                <w:szCs w:val="21"/>
                <w:highlight w:val="none"/>
              </w:rPr>
            </w:pPr>
            <w:r>
              <w:rPr>
                <w:rFonts w:hint="eastAsia" w:ascii="宋体" w:hAnsi="宋体" w:cs="宋体"/>
                <w:color w:val="auto"/>
                <w:highlight w:val="none"/>
              </w:rPr>
              <w:t>（20分）</w:t>
            </w:r>
          </w:p>
        </w:tc>
        <w:tc>
          <w:tcPr>
            <w:tcW w:w="5533" w:type="dxa"/>
            <w:tcBorders>
              <w:top w:val="single" w:color="auto" w:sz="4" w:space="0"/>
              <w:left w:val="single" w:color="auto" w:sz="4" w:space="0"/>
              <w:right w:val="single" w:color="auto" w:sz="4" w:space="0"/>
            </w:tcBorders>
            <w:noWrap w:val="0"/>
            <w:vAlign w:val="center"/>
          </w:tcPr>
          <w:p w14:paraId="53E2B0EC">
            <w:pPr>
              <w:snapToGrid w:val="0"/>
              <w:rPr>
                <w:rFonts w:hint="eastAsia" w:ascii="宋体" w:hAnsi="宋体" w:cs="宋体"/>
                <w:color w:val="auto"/>
                <w:highlight w:val="none"/>
              </w:rPr>
            </w:pPr>
            <w:r>
              <w:rPr>
                <w:rFonts w:hint="eastAsia" w:ascii="宋体" w:hAnsi="宋体" w:cs="宋体"/>
                <w:color w:val="auto"/>
                <w:highlight w:val="none"/>
              </w:rPr>
              <w:t>1.拟投入的基础人员的要求：满足用户需求书《人员最低基本要求配备》的，得2分。无或其他不得分。</w:t>
            </w:r>
          </w:p>
          <w:p w14:paraId="76E5FA24">
            <w:pPr>
              <w:snapToGrid w:val="0"/>
              <w:rPr>
                <w:rFonts w:hint="eastAsia" w:ascii="宋体" w:hAnsi="宋体" w:cs="宋体"/>
                <w:color w:val="auto"/>
                <w:highlight w:val="none"/>
              </w:rPr>
            </w:pPr>
            <w:r>
              <w:rPr>
                <w:rFonts w:hint="eastAsia" w:ascii="宋体" w:hAnsi="宋体" w:cs="宋体"/>
                <w:color w:val="auto"/>
                <w:highlight w:val="none"/>
              </w:rPr>
              <w:t xml:space="preserve">2.拟投入的基础人员中，项目负责人具有以下情况可相应加分： </w:t>
            </w:r>
          </w:p>
          <w:p w14:paraId="55247B17">
            <w:pPr>
              <w:snapToGrid w:val="0"/>
              <w:rPr>
                <w:rFonts w:hint="eastAsia" w:ascii="宋体" w:hAnsi="宋体" w:cs="宋体"/>
                <w:color w:val="auto"/>
                <w:highlight w:val="none"/>
              </w:rPr>
            </w:pPr>
            <w:r>
              <w:rPr>
                <w:rFonts w:hint="eastAsia" w:ascii="宋体" w:hAnsi="宋体" w:cs="宋体"/>
                <w:color w:val="auto"/>
                <w:highlight w:val="none"/>
              </w:rPr>
              <w:t>（1）具有信息系统项目管理师高级资格证书，得2分。</w:t>
            </w:r>
          </w:p>
          <w:p w14:paraId="5BE51B39">
            <w:pPr>
              <w:snapToGrid w:val="0"/>
              <w:rPr>
                <w:rFonts w:hint="eastAsia" w:ascii="宋体" w:hAnsi="宋体" w:cs="宋体"/>
                <w:color w:val="auto"/>
                <w:highlight w:val="none"/>
              </w:rPr>
            </w:pPr>
            <w:r>
              <w:rPr>
                <w:rFonts w:hint="eastAsia" w:ascii="宋体" w:hAnsi="宋体" w:cs="宋体"/>
                <w:color w:val="auto"/>
                <w:highlight w:val="none"/>
              </w:rPr>
              <w:t>（2）具有信息安全保障人员认证证书，得2分。</w:t>
            </w:r>
          </w:p>
          <w:p w14:paraId="7B485627">
            <w:pPr>
              <w:snapToGrid w:val="0"/>
              <w:rPr>
                <w:rFonts w:hint="eastAsia" w:ascii="宋体" w:hAnsi="宋体" w:cs="宋体"/>
                <w:color w:val="auto"/>
                <w:highlight w:val="none"/>
              </w:rPr>
            </w:pPr>
            <w:r>
              <w:rPr>
                <w:rFonts w:hint="eastAsia" w:ascii="宋体" w:hAnsi="宋体" w:cs="宋体"/>
                <w:color w:val="auto"/>
                <w:highlight w:val="none"/>
              </w:rPr>
              <w:t>（3）具有ITSS认证（IT服务项目经理认证），得2分</w:t>
            </w:r>
          </w:p>
          <w:p w14:paraId="239F38ED">
            <w:pPr>
              <w:snapToGrid w:val="0"/>
              <w:rPr>
                <w:rFonts w:hint="eastAsia" w:ascii="宋体" w:hAnsi="宋体" w:cs="宋体"/>
                <w:color w:val="auto"/>
                <w:highlight w:val="none"/>
              </w:rPr>
            </w:pPr>
            <w:r>
              <w:rPr>
                <w:rFonts w:hint="eastAsia" w:ascii="宋体" w:hAnsi="宋体" w:cs="宋体"/>
                <w:color w:val="auto"/>
                <w:highlight w:val="none"/>
              </w:rPr>
              <w:t>不满足上述要求不得分，本项最高得6分。</w:t>
            </w:r>
          </w:p>
          <w:p w14:paraId="79A03702">
            <w:pPr>
              <w:snapToGrid w:val="0"/>
              <w:rPr>
                <w:rFonts w:hint="eastAsia" w:ascii="宋体" w:hAnsi="宋体" w:cs="宋体"/>
                <w:color w:val="auto"/>
                <w:highlight w:val="none"/>
              </w:rPr>
            </w:pPr>
            <w:r>
              <w:rPr>
                <w:rFonts w:hint="eastAsia" w:ascii="宋体" w:hAnsi="宋体" w:cs="宋体"/>
                <w:color w:val="auto"/>
                <w:highlight w:val="none"/>
              </w:rPr>
              <w:t>3.拟投入的基础人员中，本项目的管理及技术人员具有以下情况可相应加分：</w:t>
            </w:r>
          </w:p>
          <w:p w14:paraId="13562947">
            <w:pPr>
              <w:snapToGrid w:val="0"/>
              <w:rPr>
                <w:rFonts w:hint="eastAsia" w:ascii="宋体" w:hAnsi="宋体" w:cs="宋体"/>
                <w:color w:val="auto"/>
                <w:highlight w:val="none"/>
              </w:rPr>
            </w:pPr>
            <w:r>
              <w:rPr>
                <w:rFonts w:hint="eastAsia" w:ascii="宋体" w:hAnsi="宋体" w:cs="宋体"/>
                <w:color w:val="auto"/>
                <w:highlight w:val="none"/>
              </w:rPr>
              <w:t>（1）设备巡检维护人员，须同时具备低压电工证、高处作业证证书，每人1分，本项最高得5分。</w:t>
            </w:r>
          </w:p>
          <w:p w14:paraId="1A1EEBCB">
            <w:pPr>
              <w:snapToGrid w:val="0"/>
              <w:rPr>
                <w:rFonts w:hint="eastAsia" w:ascii="宋体" w:hAnsi="宋体" w:cs="宋体"/>
                <w:color w:val="auto"/>
                <w:highlight w:val="none"/>
              </w:rPr>
            </w:pPr>
            <w:r>
              <w:rPr>
                <w:rFonts w:hint="eastAsia" w:ascii="宋体" w:hAnsi="宋体" w:cs="宋体"/>
                <w:color w:val="auto"/>
                <w:highlight w:val="none"/>
              </w:rPr>
              <w:t>（2）网络工程师，具有全国计算机技术与软件专业技术资格(水平)网络工程师证书或华为HCIE认证，每人1分，本项最高得2分。</w:t>
            </w:r>
          </w:p>
          <w:p w14:paraId="3BF7F764">
            <w:pPr>
              <w:snapToGrid w:val="0"/>
              <w:rPr>
                <w:rFonts w:hint="eastAsia" w:ascii="宋体" w:hAnsi="宋体" w:cs="宋体"/>
                <w:color w:val="auto"/>
                <w:highlight w:val="none"/>
              </w:rPr>
            </w:pPr>
            <w:r>
              <w:rPr>
                <w:rFonts w:hint="eastAsia" w:ascii="宋体" w:hAnsi="宋体" w:cs="宋体"/>
                <w:color w:val="auto"/>
                <w:highlight w:val="none"/>
              </w:rPr>
              <w:t>（3）服务器及主要维护人员，具有全国计算机技术与软件专业技术资格(水平)数据库系统工程师证书，每人1分，本项最高得2分。</w:t>
            </w:r>
          </w:p>
          <w:p w14:paraId="6C855317">
            <w:pPr>
              <w:snapToGrid w:val="0"/>
              <w:rPr>
                <w:rFonts w:hint="eastAsia" w:ascii="宋体" w:hAnsi="宋体" w:cs="宋体"/>
                <w:color w:val="auto"/>
                <w:highlight w:val="none"/>
              </w:rPr>
            </w:pPr>
            <w:r>
              <w:rPr>
                <w:rFonts w:hint="eastAsia" w:ascii="宋体" w:hAnsi="宋体" w:cs="宋体"/>
                <w:color w:val="auto"/>
                <w:highlight w:val="none"/>
              </w:rPr>
              <w:t>（4）信息安全管理员，具有注册信息安全专业人员证书CISP (Certified Information Security Professional)认证，每人1分，本项最高得2分。</w:t>
            </w:r>
          </w:p>
          <w:p w14:paraId="0DACBDBA">
            <w:pPr>
              <w:snapToGrid w:val="0"/>
              <w:rPr>
                <w:rFonts w:hint="eastAsia" w:ascii="宋体" w:hAnsi="宋体" w:cs="宋体"/>
                <w:color w:val="auto"/>
                <w:highlight w:val="none"/>
              </w:rPr>
            </w:pPr>
            <w:r>
              <w:rPr>
                <w:rFonts w:hint="eastAsia" w:ascii="宋体" w:hAnsi="宋体" w:cs="宋体"/>
                <w:color w:val="auto"/>
                <w:highlight w:val="none"/>
              </w:rPr>
              <w:t>（5）虚拟化平台维护工程师，具有信息技术虚拟化技术类认证(例如: VCP(VMware Certified Professional)等) ，每人1分，本项最高得1分。</w:t>
            </w:r>
          </w:p>
          <w:p w14:paraId="2877A8B1">
            <w:pPr>
              <w:snapToGrid w:val="0"/>
              <w:rPr>
                <w:rFonts w:hint="eastAsia" w:ascii="宋体" w:hAnsi="宋体" w:cs="宋体"/>
                <w:color w:val="auto"/>
                <w:highlight w:val="none"/>
              </w:rPr>
            </w:pPr>
            <w:r>
              <w:rPr>
                <w:rFonts w:hint="eastAsia" w:ascii="宋体" w:hAnsi="宋体" w:cs="宋体"/>
                <w:color w:val="auto"/>
                <w:highlight w:val="none"/>
              </w:rPr>
              <w:t>如一个人拥有多个证书的，只计算一次且只计算最高分值的证书。</w:t>
            </w:r>
          </w:p>
          <w:p w14:paraId="274DA044">
            <w:pPr>
              <w:snapToGrid w:val="0"/>
              <w:rPr>
                <w:rFonts w:hint="eastAsia" w:ascii="宋体" w:hAnsi="宋体" w:cs="宋体"/>
                <w:color w:val="auto"/>
                <w:highlight w:val="none"/>
              </w:rPr>
            </w:pPr>
            <w:r>
              <w:rPr>
                <w:rFonts w:hint="eastAsia" w:ascii="宋体" w:hAnsi="宋体" w:cs="宋体"/>
                <w:color w:val="auto"/>
                <w:highlight w:val="none"/>
              </w:rPr>
              <w:t>不满足上述要求不得分，本项最高得12分。</w:t>
            </w:r>
          </w:p>
          <w:p w14:paraId="7DC9CE8A">
            <w:pPr>
              <w:widowControl w:val="0"/>
              <w:spacing w:line="0" w:lineRule="atLeast"/>
              <w:jc w:val="both"/>
              <w:rPr>
                <w:rFonts w:hint="eastAsia" w:ascii="宋体" w:hAnsi="宋体" w:eastAsia="宋体" w:cs="宋体"/>
                <w:kern w:val="2"/>
                <w:sz w:val="21"/>
                <w:szCs w:val="21"/>
                <w:highlight w:val="none"/>
                <w:lang w:val="en-US" w:eastAsia="zh-CN" w:bidi="ar-SA"/>
              </w:rPr>
            </w:pPr>
            <w:r>
              <w:rPr>
                <w:rFonts w:hint="eastAsia" w:ascii="宋体" w:hAnsi="宋体" w:cs="宋体"/>
                <w:color w:val="auto"/>
                <w:highlight w:val="none"/>
              </w:rPr>
              <w:t>上述人员提供资质材料扫描件，并提供在投标人参保的最近一个月社保参保证明。</w:t>
            </w:r>
          </w:p>
        </w:tc>
      </w:tr>
      <w:tr w14:paraId="76DF4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996B111">
            <w:pPr>
              <w:spacing w:line="0" w:lineRule="atLeast"/>
              <w:rPr>
                <w:rFonts w:hint="eastAsia" w:ascii="宋体" w:hAnsi="宋体" w:eastAsia="宋体" w:cs="宋体"/>
                <w:szCs w:val="21"/>
                <w:highlight w:val="none"/>
              </w:rPr>
            </w:pPr>
            <w:r>
              <w:rPr>
                <w:rFonts w:hint="eastAsia" w:ascii="宋体" w:hAnsi="宋体" w:eastAsia="宋体" w:cs="宋体"/>
                <w:szCs w:val="21"/>
                <w:highlight w:val="none"/>
              </w:rPr>
              <w:t>2.2.4（2）</w:t>
            </w:r>
          </w:p>
        </w:tc>
        <w:tc>
          <w:tcPr>
            <w:tcW w:w="1605" w:type="dxa"/>
            <w:vMerge w:val="restart"/>
            <w:tcBorders>
              <w:top w:val="single" w:color="auto" w:sz="4" w:space="0"/>
              <w:left w:val="single" w:color="auto" w:sz="4" w:space="0"/>
              <w:bottom w:val="single" w:color="auto" w:sz="4" w:space="0"/>
              <w:right w:val="single" w:color="auto" w:sz="4" w:space="0"/>
            </w:tcBorders>
            <w:noWrap w:val="0"/>
            <w:vAlign w:val="center"/>
          </w:tcPr>
          <w:p w14:paraId="7B9BC749">
            <w:pPr>
              <w:spacing w:line="0" w:lineRule="atLeast"/>
              <w:rPr>
                <w:rFonts w:hint="eastAsia" w:ascii="宋体" w:hAnsi="宋体" w:eastAsia="宋体" w:cs="宋体"/>
                <w:szCs w:val="21"/>
                <w:highlight w:val="none"/>
              </w:rPr>
            </w:pPr>
            <w:r>
              <w:rPr>
                <w:rFonts w:hint="eastAsia" w:ascii="宋体" w:hAnsi="宋体" w:cs="宋体"/>
                <w:szCs w:val="21"/>
                <w:highlight w:val="none"/>
                <w:lang w:eastAsia="zh-CN"/>
              </w:rPr>
              <w:t>项目实施方案</w:t>
            </w:r>
            <w:r>
              <w:rPr>
                <w:rFonts w:hint="eastAsia" w:ascii="宋体" w:hAnsi="宋体" w:eastAsia="宋体" w:cs="宋体"/>
                <w:szCs w:val="21"/>
                <w:highlight w:val="none"/>
              </w:rPr>
              <w:t>部分</w:t>
            </w:r>
          </w:p>
          <w:p w14:paraId="796F3D74">
            <w:pPr>
              <w:spacing w:line="0" w:lineRule="atLeas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0分）</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6D18F51">
            <w:pPr>
              <w:spacing w:line="0" w:lineRule="atLeast"/>
              <w:rPr>
                <w:rFonts w:hint="eastAsia" w:ascii="宋体" w:hAnsi="宋体" w:eastAsia="宋体" w:cs="宋体"/>
                <w:szCs w:val="21"/>
                <w:highlight w:val="none"/>
              </w:rPr>
            </w:pPr>
            <w:r>
              <w:rPr>
                <w:rFonts w:hint="eastAsia" w:ascii="宋体" w:hAnsi="宋体" w:cs="宋体"/>
                <w:color w:val="auto"/>
                <w:highlight w:val="none"/>
              </w:rPr>
              <w:t>项目背景及重点难点分析（10分）</w:t>
            </w:r>
          </w:p>
        </w:tc>
        <w:tc>
          <w:tcPr>
            <w:tcW w:w="5533" w:type="dxa"/>
            <w:tcBorders>
              <w:top w:val="single" w:color="auto" w:sz="4" w:space="0"/>
              <w:left w:val="single" w:color="auto" w:sz="4" w:space="0"/>
              <w:bottom w:val="single" w:color="auto" w:sz="4" w:space="0"/>
              <w:right w:val="single" w:color="auto" w:sz="4" w:space="0"/>
            </w:tcBorders>
            <w:noWrap w:val="0"/>
            <w:vAlign w:val="center"/>
          </w:tcPr>
          <w:p w14:paraId="76C3C952">
            <w:pPr>
              <w:snapToGrid w:val="0"/>
              <w:rPr>
                <w:rFonts w:hint="eastAsia" w:ascii="宋体" w:hAnsi="宋体" w:cs="宋体"/>
                <w:color w:val="auto"/>
                <w:highlight w:val="none"/>
              </w:rPr>
            </w:pPr>
            <w:r>
              <w:rPr>
                <w:rFonts w:hint="eastAsia" w:ascii="宋体" w:hAnsi="宋体" w:cs="宋体"/>
                <w:color w:val="auto"/>
                <w:highlight w:val="none"/>
              </w:rPr>
              <w:t>投标人对本项目是否把握项目维护重点、难点，结合设备设施的实际情况提出针对性的维护方案、维护保养措施、配件提供情况等方面进行分析：</w:t>
            </w:r>
          </w:p>
          <w:p w14:paraId="36CBDB9C">
            <w:pPr>
              <w:snapToGrid w:val="0"/>
              <w:rPr>
                <w:rFonts w:hint="eastAsia" w:ascii="宋体" w:hAnsi="宋体" w:cs="宋体"/>
                <w:color w:val="auto"/>
                <w:highlight w:val="none"/>
              </w:rPr>
            </w:pPr>
            <w:r>
              <w:rPr>
                <w:rFonts w:hint="eastAsia" w:ascii="宋体" w:hAnsi="宋体" w:cs="宋体"/>
                <w:color w:val="auto"/>
                <w:highlight w:val="none"/>
              </w:rPr>
              <w:t>1.维护方案内容全面完整，表述清晰，完全满足或优于采购需求的，得10分；</w:t>
            </w:r>
          </w:p>
          <w:p w14:paraId="0DDDAA78">
            <w:pPr>
              <w:snapToGrid w:val="0"/>
              <w:rPr>
                <w:rFonts w:hint="eastAsia" w:ascii="宋体" w:hAnsi="宋体" w:cs="宋体"/>
                <w:color w:val="auto"/>
                <w:highlight w:val="none"/>
              </w:rPr>
            </w:pPr>
            <w:r>
              <w:rPr>
                <w:rFonts w:hint="eastAsia" w:ascii="宋体" w:hAnsi="宋体" w:cs="宋体"/>
                <w:color w:val="auto"/>
                <w:highlight w:val="none"/>
              </w:rPr>
              <w:t>2.维护方案内容基本完整、表述基本清晰，部分满足采购需求的，得6分；</w:t>
            </w:r>
          </w:p>
          <w:p w14:paraId="0CBC1C3F">
            <w:pPr>
              <w:snapToGrid w:val="0"/>
              <w:rPr>
                <w:rFonts w:hint="eastAsia" w:ascii="宋体" w:hAnsi="宋体" w:cs="宋体"/>
                <w:color w:val="auto"/>
                <w:highlight w:val="none"/>
              </w:rPr>
            </w:pPr>
            <w:r>
              <w:rPr>
                <w:rFonts w:hint="eastAsia" w:ascii="宋体" w:hAnsi="宋体" w:cs="宋体"/>
                <w:color w:val="auto"/>
                <w:highlight w:val="none"/>
              </w:rPr>
              <w:t>3.维护方案内容不完整表述不清晰，无法满足采购需求，得2分；</w:t>
            </w:r>
          </w:p>
          <w:p w14:paraId="4A7C1053">
            <w:pPr>
              <w:spacing w:line="0" w:lineRule="atLeast"/>
              <w:rPr>
                <w:rFonts w:hint="eastAsia" w:ascii="宋体" w:hAnsi="宋体" w:eastAsia="宋体" w:cs="宋体"/>
                <w:spacing w:val="-3"/>
                <w:szCs w:val="21"/>
                <w:highlight w:val="none"/>
              </w:rPr>
            </w:pPr>
            <w:r>
              <w:rPr>
                <w:rFonts w:hint="eastAsia" w:ascii="宋体" w:hAnsi="宋体" w:cs="宋体"/>
                <w:color w:val="auto"/>
                <w:highlight w:val="none"/>
              </w:rPr>
              <w:t>4.其他或无响应，得0分。</w:t>
            </w:r>
          </w:p>
        </w:tc>
      </w:tr>
      <w:tr w14:paraId="317F7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E00CD12">
            <w:pPr>
              <w:widowControl/>
              <w:spacing w:line="0" w:lineRule="atLeast"/>
              <w:rPr>
                <w:rFonts w:hint="eastAsia" w:ascii="宋体" w:hAnsi="宋体" w:eastAsia="宋体" w:cs="宋体"/>
                <w:szCs w:val="21"/>
                <w:highlight w:val="none"/>
              </w:rPr>
            </w:pPr>
          </w:p>
        </w:tc>
        <w:tc>
          <w:tcPr>
            <w:tcW w:w="1605" w:type="dxa"/>
            <w:vMerge w:val="continue"/>
            <w:tcBorders>
              <w:top w:val="single" w:color="auto" w:sz="4" w:space="0"/>
              <w:left w:val="single" w:color="auto" w:sz="4" w:space="0"/>
              <w:bottom w:val="single" w:color="auto" w:sz="4" w:space="0"/>
              <w:right w:val="single" w:color="auto" w:sz="4" w:space="0"/>
            </w:tcBorders>
            <w:noWrap w:val="0"/>
            <w:vAlign w:val="center"/>
          </w:tcPr>
          <w:p w14:paraId="0A5DF82E">
            <w:pPr>
              <w:widowControl/>
              <w:spacing w:line="0" w:lineRule="atLeast"/>
              <w:rPr>
                <w:rFonts w:hint="eastAsia" w:ascii="宋体" w:hAnsi="宋体" w:eastAsia="宋体" w:cs="宋体"/>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17ED650">
            <w:pPr>
              <w:spacing w:line="0" w:lineRule="atLeast"/>
              <w:rPr>
                <w:rFonts w:hint="eastAsia" w:ascii="宋体" w:hAnsi="宋体" w:eastAsia="宋体" w:cs="宋体"/>
                <w:szCs w:val="21"/>
                <w:highlight w:val="none"/>
              </w:rPr>
            </w:pPr>
            <w:r>
              <w:rPr>
                <w:rFonts w:hint="eastAsia" w:ascii="宋体" w:hAnsi="宋体" w:eastAsia="宋体" w:cs="宋体"/>
                <w:szCs w:val="21"/>
                <w:highlight w:val="none"/>
              </w:rPr>
              <w:t>项目管理方案（15分）</w:t>
            </w:r>
          </w:p>
        </w:tc>
        <w:tc>
          <w:tcPr>
            <w:tcW w:w="5533" w:type="dxa"/>
            <w:tcBorders>
              <w:top w:val="single" w:color="auto" w:sz="4" w:space="0"/>
              <w:left w:val="single" w:color="auto" w:sz="4" w:space="0"/>
              <w:bottom w:val="single" w:color="auto" w:sz="4" w:space="0"/>
              <w:right w:val="single" w:color="auto" w:sz="4" w:space="0"/>
            </w:tcBorders>
            <w:noWrap w:val="0"/>
            <w:vAlign w:val="center"/>
          </w:tcPr>
          <w:p w14:paraId="074341DF">
            <w:pPr>
              <w:snapToGrid w:val="0"/>
              <w:rPr>
                <w:rFonts w:hint="eastAsia" w:ascii="宋体" w:hAnsi="宋体" w:cs="宋体"/>
                <w:color w:val="auto"/>
                <w:highlight w:val="none"/>
              </w:rPr>
            </w:pPr>
            <w:r>
              <w:rPr>
                <w:rFonts w:hint="eastAsia" w:ascii="宋体" w:hAnsi="宋体" w:cs="宋体"/>
                <w:color w:val="auto"/>
                <w:highlight w:val="none"/>
              </w:rPr>
              <w:t>运维组织方案（包括但不限于运维服务原则、运维服务指标、运维总体框架、运维服务管理、运维服务组织架构、实施计划、质量考核管理、故障处理报告机制、资源配备等。）</w:t>
            </w:r>
          </w:p>
          <w:p w14:paraId="1FFC4564">
            <w:pPr>
              <w:snapToGrid w:val="0"/>
              <w:rPr>
                <w:rFonts w:hint="eastAsia" w:ascii="宋体" w:hAnsi="宋体" w:cs="宋体"/>
                <w:color w:val="auto"/>
                <w:highlight w:val="none"/>
              </w:rPr>
            </w:pPr>
            <w:r>
              <w:rPr>
                <w:rFonts w:hint="eastAsia" w:ascii="宋体" w:hAnsi="宋体" w:cs="宋体"/>
                <w:color w:val="auto"/>
                <w:highlight w:val="none"/>
              </w:rPr>
              <w:t>1.管理方案内容全面完整，表述清晰，完全满足或优于采购需求的，得15分；</w:t>
            </w:r>
          </w:p>
          <w:p w14:paraId="3D20155C">
            <w:pPr>
              <w:snapToGrid w:val="0"/>
              <w:rPr>
                <w:rFonts w:hint="eastAsia" w:ascii="宋体" w:hAnsi="宋体" w:cs="宋体"/>
                <w:color w:val="auto"/>
                <w:highlight w:val="none"/>
              </w:rPr>
            </w:pPr>
            <w:r>
              <w:rPr>
                <w:rFonts w:hint="eastAsia" w:ascii="宋体" w:hAnsi="宋体" w:cs="宋体"/>
                <w:color w:val="auto"/>
                <w:highlight w:val="none"/>
              </w:rPr>
              <w:t>2.管理方案内容基本完整、表述基本清晰，部分满足采购需求的，得10分；</w:t>
            </w:r>
          </w:p>
          <w:p w14:paraId="4B51CE7A">
            <w:pPr>
              <w:snapToGrid w:val="0"/>
              <w:rPr>
                <w:rFonts w:hint="eastAsia" w:ascii="宋体" w:hAnsi="宋体" w:cs="宋体"/>
                <w:color w:val="auto"/>
                <w:highlight w:val="none"/>
              </w:rPr>
            </w:pPr>
            <w:r>
              <w:rPr>
                <w:rFonts w:hint="eastAsia" w:ascii="宋体" w:hAnsi="宋体" w:cs="宋体"/>
                <w:color w:val="auto"/>
                <w:highlight w:val="none"/>
              </w:rPr>
              <w:t>3.管理方案内容不完整表述不清晰，无法满足采购需求，得5分；</w:t>
            </w:r>
          </w:p>
          <w:p w14:paraId="7309850A">
            <w:pPr>
              <w:snapToGrid w:val="0"/>
              <w:spacing w:line="0" w:lineRule="atLeast"/>
              <w:rPr>
                <w:rFonts w:hint="eastAsia" w:ascii="宋体" w:hAnsi="宋体" w:eastAsia="宋体" w:cs="宋体"/>
                <w:spacing w:val="-3"/>
                <w:szCs w:val="21"/>
                <w:highlight w:val="none"/>
              </w:rPr>
            </w:pPr>
            <w:r>
              <w:rPr>
                <w:rFonts w:hint="eastAsia" w:ascii="宋体" w:hAnsi="宋体" w:cs="宋体"/>
                <w:color w:val="auto"/>
                <w:highlight w:val="none"/>
              </w:rPr>
              <w:t>4.其他或无响应，得0分。</w:t>
            </w:r>
          </w:p>
        </w:tc>
      </w:tr>
      <w:tr w14:paraId="36216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85236B9">
            <w:pPr>
              <w:widowControl/>
              <w:spacing w:line="0" w:lineRule="atLeast"/>
              <w:rPr>
                <w:rFonts w:hint="eastAsia" w:ascii="宋体" w:hAnsi="宋体" w:eastAsia="宋体" w:cs="宋体"/>
                <w:szCs w:val="21"/>
                <w:highlight w:val="none"/>
              </w:rPr>
            </w:pPr>
          </w:p>
        </w:tc>
        <w:tc>
          <w:tcPr>
            <w:tcW w:w="1605" w:type="dxa"/>
            <w:vMerge w:val="continue"/>
            <w:tcBorders>
              <w:top w:val="single" w:color="auto" w:sz="4" w:space="0"/>
              <w:left w:val="single" w:color="auto" w:sz="4" w:space="0"/>
              <w:bottom w:val="single" w:color="auto" w:sz="4" w:space="0"/>
              <w:right w:val="single" w:color="auto" w:sz="4" w:space="0"/>
            </w:tcBorders>
            <w:noWrap w:val="0"/>
            <w:vAlign w:val="center"/>
          </w:tcPr>
          <w:p w14:paraId="6F5D62C8">
            <w:pPr>
              <w:widowControl/>
              <w:spacing w:line="0" w:lineRule="atLeast"/>
              <w:rPr>
                <w:rFonts w:hint="eastAsia" w:ascii="宋体" w:hAnsi="宋体" w:eastAsia="宋体" w:cs="宋体"/>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5769B73">
            <w:pPr>
              <w:spacing w:line="0" w:lineRule="atLeast"/>
              <w:jc w:val="left"/>
              <w:rPr>
                <w:rFonts w:hint="eastAsia" w:ascii="宋体" w:hAnsi="宋体" w:eastAsia="宋体" w:cs="宋体"/>
                <w:szCs w:val="21"/>
                <w:highlight w:val="none"/>
              </w:rPr>
            </w:pPr>
            <w:r>
              <w:rPr>
                <w:rFonts w:hint="eastAsia" w:ascii="宋体" w:hAnsi="宋体" w:cs="宋体"/>
                <w:color w:val="auto"/>
                <w:highlight w:val="none"/>
              </w:rPr>
              <w:t>重大节假日应急保障运维方案（15分）</w:t>
            </w:r>
          </w:p>
        </w:tc>
        <w:tc>
          <w:tcPr>
            <w:tcW w:w="5533" w:type="dxa"/>
            <w:tcBorders>
              <w:top w:val="single" w:color="auto" w:sz="4" w:space="0"/>
              <w:left w:val="single" w:color="auto" w:sz="4" w:space="0"/>
              <w:bottom w:val="single" w:color="auto" w:sz="4" w:space="0"/>
              <w:right w:val="single" w:color="auto" w:sz="4" w:space="0"/>
            </w:tcBorders>
            <w:noWrap w:val="0"/>
            <w:vAlign w:val="center"/>
          </w:tcPr>
          <w:p w14:paraId="6A823D69">
            <w:pPr>
              <w:snapToGrid w:val="0"/>
              <w:rPr>
                <w:rFonts w:hint="eastAsia" w:ascii="宋体" w:hAnsi="宋体" w:cs="宋体"/>
                <w:color w:val="auto"/>
                <w:highlight w:val="none"/>
              </w:rPr>
            </w:pPr>
            <w:r>
              <w:rPr>
                <w:rFonts w:hint="eastAsia" w:ascii="宋体" w:hAnsi="宋体" w:cs="宋体"/>
                <w:color w:val="auto"/>
                <w:highlight w:val="none"/>
              </w:rPr>
              <w:t>投标人对招标人重大节假日重点工作情况的理解程度，投标人是否具备把握重大节假日应急维护重点、难点的能力，结合采购人重大节假日实际运维需求情况提出有针对性的维护方案，包括节前全面巡检、应急线路调试、应急信息化设备供应、现场运维值守、节假日应急预案等应急保障运维方案：</w:t>
            </w:r>
          </w:p>
          <w:p w14:paraId="7F461599">
            <w:pPr>
              <w:snapToGrid w:val="0"/>
              <w:rPr>
                <w:rFonts w:hint="eastAsia" w:ascii="宋体" w:hAnsi="宋体" w:cs="宋体"/>
                <w:color w:val="auto"/>
                <w:highlight w:val="none"/>
              </w:rPr>
            </w:pPr>
            <w:r>
              <w:rPr>
                <w:rFonts w:hint="eastAsia" w:ascii="宋体" w:hAnsi="宋体" w:cs="宋体"/>
                <w:color w:val="auto"/>
                <w:highlight w:val="none"/>
              </w:rPr>
              <w:t>1.保障方案内容全面完整，表述清晰，完全满足或优于采购需求的，得15分；</w:t>
            </w:r>
          </w:p>
          <w:p w14:paraId="0C1C9B4A">
            <w:pPr>
              <w:snapToGrid w:val="0"/>
              <w:rPr>
                <w:rFonts w:hint="eastAsia" w:ascii="宋体" w:hAnsi="宋体" w:cs="宋体"/>
                <w:color w:val="auto"/>
                <w:highlight w:val="none"/>
              </w:rPr>
            </w:pPr>
            <w:r>
              <w:rPr>
                <w:rFonts w:hint="eastAsia" w:ascii="宋体" w:hAnsi="宋体" w:cs="宋体"/>
                <w:color w:val="auto"/>
                <w:highlight w:val="none"/>
              </w:rPr>
              <w:t>2.保障方案内容基本完整、表述基本清晰，部分满足采购需求的，得10分；</w:t>
            </w:r>
          </w:p>
          <w:p w14:paraId="05D02422">
            <w:pPr>
              <w:snapToGrid w:val="0"/>
              <w:rPr>
                <w:rFonts w:hint="eastAsia" w:ascii="宋体" w:hAnsi="宋体" w:cs="宋体"/>
                <w:color w:val="auto"/>
                <w:highlight w:val="none"/>
              </w:rPr>
            </w:pPr>
            <w:r>
              <w:rPr>
                <w:rFonts w:hint="eastAsia" w:ascii="宋体" w:hAnsi="宋体" w:cs="宋体"/>
                <w:color w:val="auto"/>
                <w:highlight w:val="none"/>
              </w:rPr>
              <w:t>3.保障方案内容不完整表述不清晰，无法满足采购需求，得5分；</w:t>
            </w:r>
          </w:p>
          <w:p w14:paraId="77649BB7">
            <w:pPr>
              <w:spacing w:line="0" w:lineRule="atLeast"/>
              <w:jc w:val="left"/>
              <w:rPr>
                <w:rFonts w:hint="eastAsia" w:ascii="宋体" w:hAnsi="宋体" w:eastAsia="宋体" w:cs="宋体"/>
                <w:spacing w:val="-3"/>
                <w:szCs w:val="21"/>
                <w:highlight w:val="none"/>
              </w:rPr>
            </w:pPr>
            <w:r>
              <w:rPr>
                <w:rFonts w:hint="eastAsia" w:ascii="宋体" w:hAnsi="宋体" w:cs="宋体"/>
                <w:color w:val="auto"/>
                <w:highlight w:val="none"/>
              </w:rPr>
              <w:t>4、其他或无响应，得0分。</w:t>
            </w:r>
          </w:p>
        </w:tc>
      </w:tr>
      <w:tr w14:paraId="3520F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3B5EA9A7">
            <w:pPr>
              <w:spacing w:line="0" w:lineRule="atLeast"/>
              <w:rPr>
                <w:rFonts w:hint="eastAsia" w:ascii="宋体" w:hAnsi="宋体" w:eastAsia="宋体" w:cs="宋体"/>
                <w:szCs w:val="21"/>
                <w:highlight w:val="none"/>
              </w:rPr>
            </w:pPr>
            <w:r>
              <w:rPr>
                <w:rFonts w:hint="eastAsia" w:ascii="宋体" w:hAnsi="宋体" w:eastAsia="宋体" w:cs="宋体"/>
                <w:szCs w:val="21"/>
                <w:highlight w:val="none"/>
              </w:rPr>
              <w:t>2.2.4（3）</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86FF578">
            <w:pPr>
              <w:spacing w:line="0" w:lineRule="atLeast"/>
              <w:rPr>
                <w:rFonts w:hint="eastAsia" w:ascii="宋体" w:hAnsi="宋体" w:eastAsia="宋体" w:cs="宋体"/>
                <w:szCs w:val="21"/>
                <w:highlight w:val="none"/>
              </w:rPr>
            </w:pPr>
            <w:r>
              <w:rPr>
                <w:rFonts w:hint="eastAsia" w:ascii="宋体" w:hAnsi="宋体" w:eastAsia="宋体" w:cs="宋体"/>
                <w:szCs w:val="21"/>
                <w:highlight w:val="none"/>
              </w:rPr>
              <w:t>投标报价评分标准</w:t>
            </w:r>
          </w:p>
        </w:tc>
        <w:tc>
          <w:tcPr>
            <w:tcW w:w="6883" w:type="dxa"/>
            <w:gridSpan w:val="2"/>
            <w:tcBorders>
              <w:top w:val="single" w:color="auto" w:sz="4" w:space="0"/>
              <w:left w:val="single" w:color="auto" w:sz="4" w:space="0"/>
              <w:bottom w:val="single" w:color="auto" w:sz="4" w:space="0"/>
              <w:right w:val="single" w:color="auto" w:sz="4" w:space="0"/>
            </w:tcBorders>
            <w:noWrap w:val="0"/>
            <w:vAlign w:val="center"/>
          </w:tcPr>
          <w:p w14:paraId="47100592">
            <w:pPr>
              <w:spacing w:line="0" w:lineRule="atLeas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无</w:t>
            </w:r>
          </w:p>
        </w:tc>
      </w:tr>
      <w:tr w14:paraId="3481E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67CD46D">
            <w:pPr>
              <w:spacing w:line="0" w:lineRule="atLeast"/>
              <w:rPr>
                <w:rFonts w:hint="eastAsia" w:ascii="宋体" w:hAnsi="宋体" w:eastAsia="宋体" w:cs="宋体"/>
                <w:szCs w:val="21"/>
                <w:highlight w:val="none"/>
              </w:rPr>
            </w:pPr>
            <w:r>
              <w:rPr>
                <w:rFonts w:hint="eastAsia" w:ascii="宋体" w:hAnsi="宋体" w:eastAsia="宋体" w:cs="宋体"/>
                <w:szCs w:val="21"/>
                <w:highlight w:val="none"/>
              </w:rPr>
              <w:t>2.2.4(4)</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E045D11">
            <w:pPr>
              <w:spacing w:line="0" w:lineRule="atLeast"/>
              <w:rPr>
                <w:rFonts w:hint="eastAsia" w:ascii="宋体" w:hAnsi="宋体" w:eastAsia="宋体" w:cs="宋体"/>
                <w:szCs w:val="21"/>
                <w:highlight w:val="none"/>
              </w:rPr>
            </w:pPr>
            <w:r>
              <w:rPr>
                <w:rFonts w:hint="eastAsia" w:ascii="宋体" w:hAnsi="宋体" w:eastAsia="宋体" w:cs="宋体"/>
                <w:szCs w:val="21"/>
                <w:highlight w:val="none"/>
              </w:rPr>
              <w:t>其他因素评分标准</w:t>
            </w:r>
          </w:p>
        </w:tc>
        <w:tc>
          <w:tcPr>
            <w:tcW w:w="6883" w:type="dxa"/>
            <w:gridSpan w:val="2"/>
            <w:tcBorders>
              <w:top w:val="single" w:color="auto" w:sz="4" w:space="0"/>
              <w:left w:val="single" w:color="auto" w:sz="4" w:space="0"/>
              <w:bottom w:val="single" w:color="auto" w:sz="4" w:space="0"/>
              <w:right w:val="single" w:color="auto" w:sz="4" w:space="0"/>
            </w:tcBorders>
            <w:noWrap w:val="0"/>
            <w:vAlign w:val="center"/>
          </w:tcPr>
          <w:p w14:paraId="44C1B806">
            <w:pPr>
              <w:spacing w:line="0" w:lineRule="atLeast"/>
              <w:rPr>
                <w:rFonts w:hint="eastAsia" w:ascii="宋体" w:hAnsi="宋体" w:eastAsia="宋体" w:cs="宋体"/>
                <w:szCs w:val="21"/>
                <w:highlight w:val="none"/>
              </w:rPr>
            </w:pPr>
            <w:r>
              <w:rPr>
                <w:rFonts w:hint="eastAsia" w:ascii="宋体" w:hAnsi="宋体" w:eastAsia="宋体" w:cs="宋体"/>
                <w:szCs w:val="21"/>
                <w:highlight w:val="none"/>
              </w:rPr>
              <w:t>无</w:t>
            </w:r>
          </w:p>
        </w:tc>
      </w:tr>
      <w:tr w14:paraId="12749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87C52AD">
            <w:pPr>
              <w:spacing w:line="0" w:lineRule="atLeast"/>
              <w:rPr>
                <w:rFonts w:hint="eastAsia" w:ascii="宋体" w:hAnsi="宋体" w:eastAsia="宋体" w:cs="宋体"/>
                <w:szCs w:val="21"/>
                <w:highlight w:val="none"/>
              </w:rPr>
            </w:pPr>
            <w:r>
              <w:rPr>
                <w:rFonts w:hint="eastAsia" w:ascii="宋体" w:hAnsi="宋体" w:eastAsia="宋体" w:cs="宋体"/>
                <w:szCs w:val="21"/>
                <w:highlight w:val="none"/>
              </w:rPr>
              <w:t>2.2.4说明</w:t>
            </w:r>
          </w:p>
        </w:tc>
        <w:tc>
          <w:tcPr>
            <w:tcW w:w="8488" w:type="dxa"/>
            <w:gridSpan w:val="3"/>
            <w:tcBorders>
              <w:top w:val="single" w:color="auto" w:sz="4" w:space="0"/>
              <w:left w:val="single" w:color="auto" w:sz="4" w:space="0"/>
              <w:bottom w:val="single" w:color="auto" w:sz="4" w:space="0"/>
              <w:right w:val="single" w:color="auto" w:sz="4" w:space="0"/>
            </w:tcBorders>
            <w:noWrap w:val="0"/>
            <w:vAlign w:val="center"/>
          </w:tcPr>
          <w:p w14:paraId="17319C61">
            <w:pPr>
              <w:widowControl w:val="0"/>
              <w:spacing w:line="0" w:lineRule="atLeast"/>
              <w:jc w:val="both"/>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说明：评分如出现小数点，则保留小数点后两位有效数，第三位四舍五入。</w:t>
            </w:r>
          </w:p>
        </w:tc>
      </w:tr>
    </w:tbl>
    <w:p w14:paraId="0FA45F84">
      <w:pPr>
        <w:bidi w:val="0"/>
        <w:jc w:val="center"/>
        <w:rPr>
          <w:rFonts w:hint="default"/>
          <w:color w:val="auto"/>
          <w:sz w:val="32"/>
          <w:szCs w:val="24"/>
          <w:highlight w:val="none"/>
        </w:rPr>
      </w:pPr>
      <w:r>
        <w:rPr>
          <w:rFonts w:hint="eastAsia"/>
          <w:b/>
          <w:sz w:val="32"/>
          <w:szCs w:val="32"/>
        </w:rPr>
        <w:br w:type="page"/>
      </w:r>
      <w:bookmarkStart w:id="1041" w:name="_Toc30563"/>
      <w:bookmarkStart w:id="1042" w:name="_Toc18099"/>
      <w:bookmarkStart w:id="1043" w:name="_Toc30060"/>
      <w:bookmarkStart w:id="1044" w:name="_Toc13647"/>
      <w:bookmarkStart w:id="1045" w:name="_Toc17823"/>
      <w:bookmarkStart w:id="1046" w:name="_Toc12072"/>
      <w:bookmarkStart w:id="1047" w:name="_Toc9805"/>
      <w:r>
        <w:rPr>
          <w:rFonts w:hint="eastAsia"/>
          <w:b/>
          <w:sz w:val="32"/>
          <w:szCs w:val="32"/>
          <w:lang w:eastAsia="zh-CN"/>
        </w:rPr>
        <w:t>评标办法</w:t>
      </w:r>
      <w:r>
        <w:rPr>
          <w:rFonts w:hint="default"/>
          <w:b/>
          <w:bCs w:val="0"/>
          <w:color w:val="auto"/>
          <w:sz w:val="32"/>
          <w:szCs w:val="24"/>
          <w:highlight w:val="none"/>
        </w:rPr>
        <w:t>修改表</w:t>
      </w:r>
    </w:p>
    <w:p w14:paraId="36D23F06">
      <w:pPr>
        <w:pStyle w:val="27"/>
        <w:spacing w:line="360" w:lineRule="auto"/>
        <w:rPr>
          <w:rFonts w:hint="default" w:ascii="宋体" w:hAnsi="宋体" w:eastAsia="宋体"/>
          <w:b/>
          <w:color w:val="auto"/>
          <w:sz w:val="24"/>
          <w:szCs w:val="24"/>
          <w:highlight w:val="none"/>
          <w:lang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GZJTZB2025-2</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w:t>
      </w:r>
      <w:r>
        <w:rPr>
          <w:rFonts w:hint="eastAsia" w:ascii="宋体" w:hAnsi="宋体" w:eastAsia="宋体"/>
          <w:b/>
          <w:color w:val="auto"/>
          <w:sz w:val="24"/>
          <w:szCs w:val="24"/>
          <w:highlight w:val="none"/>
          <w:lang w:eastAsia="zh-CN"/>
        </w:rPr>
        <w:t>评标办法</w:t>
      </w:r>
      <w:r>
        <w:rPr>
          <w:rFonts w:hint="default" w:ascii="宋体" w:hAnsi="宋体" w:eastAsia="宋体"/>
          <w:b/>
          <w:color w:val="auto"/>
          <w:sz w:val="24"/>
          <w:szCs w:val="24"/>
          <w:highlight w:val="none"/>
        </w:rPr>
        <w:t>条款，与该条款不同之处，均在本表中列明，并以现文为准，原文不再有效。</w:t>
      </w:r>
      <w:r>
        <w:rPr>
          <w:rFonts w:hint="eastAsia" w:ascii="宋体" w:hAnsi="宋体"/>
          <w:b w:val="0"/>
          <w:bCs/>
          <w:color w:val="auto"/>
          <w:sz w:val="24"/>
          <w:szCs w:val="24"/>
          <w:highlight w:val="none"/>
          <w:lang w:eastAsia="zh-CN"/>
        </w:rPr>
        <w:t>（注：招标人按《评标办法修改表》修改的内容对应修改通用条款，属于删除的采用“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”；属于新增、修改的内容，用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083AC3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条款号：</w:t>
      </w:r>
      <w:r>
        <w:rPr>
          <w:rFonts w:hint="eastAsia" w:ascii="宋体" w:hAnsi="宋体" w:eastAsia="宋体"/>
          <w:color w:val="auto"/>
          <w:sz w:val="21"/>
          <w:szCs w:val="21"/>
          <w:highlight w:val="none"/>
          <w:lang w:val="en-US" w:eastAsia="zh-CN"/>
        </w:rPr>
        <w:t>1</w:t>
      </w:r>
      <w:r>
        <w:rPr>
          <w:rFonts w:hint="default" w:ascii="宋体" w:hAnsi="宋体" w:eastAsia="宋体"/>
          <w:color w:val="auto"/>
          <w:sz w:val="21"/>
          <w:szCs w:val="21"/>
          <w:highlight w:val="none"/>
        </w:rPr>
        <w:t xml:space="preserve">             修改类型：修改</w:t>
      </w:r>
    </w:p>
    <w:p w14:paraId="74281C0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default" w:ascii="宋体" w:hAnsi="宋体" w:eastAsia="宋体" w:cs="Times New Roman"/>
          <w:b/>
          <w:bCs/>
          <w:color w:val="auto"/>
          <w:sz w:val="21"/>
          <w:szCs w:val="21"/>
          <w:highlight w:val="none"/>
        </w:rPr>
      </w:pPr>
      <w:r>
        <w:rPr>
          <w:rFonts w:hint="default" w:ascii="宋体" w:hAnsi="宋体" w:eastAsia="宋体" w:cs="Times New Roman"/>
          <w:b/>
          <w:bCs/>
          <w:color w:val="auto"/>
          <w:sz w:val="21"/>
          <w:szCs w:val="21"/>
          <w:highlight w:val="none"/>
        </w:rPr>
        <w:t>原文：</w:t>
      </w:r>
    </w:p>
    <w:p w14:paraId="14B705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eastAsia="宋体" w:cs="Times New Roman"/>
          <w:color w:val="auto"/>
          <w:sz w:val="21"/>
          <w:szCs w:val="21"/>
          <w:highlight w:val="none"/>
        </w:rPr>
      </w:pPr>
      <w:r>
        <w:rPr>
          <w:rStyle w:val="40"/>
          <w:rFonts w:hint="default" w:ascii="宋体" w:hAnsi="宋体" w:eastAsia="宋体" w:cs="Times New Roman"/>
          <w:b w:val="0"/>
          <w:bCs w:val="0"/>
          <w:color w:val="auto"/>
          <w:sz w:val="21"/>
          <w:szCs w:val="21"/>
          <w:highlight w:val="none"/>
          <w:lang w:val="en-US" w:eastAsia="zh-CN"/>
        </w:rPr>
        <w:t>1.评标方法</w:t>
      </w:r>
    </w:p>
    <w:p w14:paraId="3F0BB2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eastAsia="宋体" w:cs="Times New Roman"/>
          <w:color w:val="auto"/>
          <w:sz w:val="21"/>
          <w:szCs w:val="21"/>
          <w:highlight w:val="none"/>
        </w:rPr>
      </w:pPr>
      <w:r>
        <w:rPr>
          <w:rFonts w:hint="default" w:ascii="宋体" w:hAnsi="宋体" w:eastAsia="宋体" w:cs="Times New Roman"/>
          <w:color w:val="auto"/>
          <w:sz w:val="21"/>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r>
        <w:rPr>
          <w:rFonts w:hint="default" w:ascii="宋体" w:hAnsi="宋体" w:eastAsia="宋体" w:cs="Times New Roman"/>
          <w:color w:val="auto"/>
          <w:sz w:val="21"/>
          <w:szCs w:val="21"/>
          <w:highlight w:val="none"/>
          <w:lang w:eastAsia="zh-CN"/>
        </w:rPr>
        <w:t>以投标报价低的优先，投标报价也相等的，以监理大纲得分高的优先；如果监理大纲得分也相等，</w:t>
      </w:r>
      <w:r>
        <w:rPr>
          <w:rFonts w:hint="default" w:ascii="宋体" w:hAnsi="宋体" w:eastAsia="宋体" w:cs="Times New Roman"/>
          <w:color w:val="auto"/>
          <w:sz w:val="21"/>
          <w:szCs w:val="21"/>
          <w:highlight w:val="none"/>
        </w:rPr>
        <w:t>按照评标办法前附表的规定确定中标候选人顺序。</w:t>
      </w:r>
    </w:p>
    <w:p w14:paraId="562AF3B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default" w:ascii="宋体" w:hAnsi="宋体" w:eastAsia="宋体" w:cs="Times New Roman"/>
          <w:b/>
          <w:bCs/>
          <w:color w:val="auto"/>
          <w:sz w:val="21"/>
          <w:szCs w:val="21"/>
          <w:highlight w:val="none"/>
        </w:rPr>
      </w:pPr>
      <w:r>
        <w:rPr>
          <w:rFonts w:hint="default" w:ascii="宋体" w:hAnsi="宋体" w:eastAsia="宋体" w:cs="Times New Roman"/>
          <w:b/>
          <w:bCs/>
          <w:color w:val="auto"/>
          <w:sz w:val="21"/>
          <w:szCs w:val="21"/>
          <w:highlight w:val="none"/>
        </w:rPr>
        <w:t>现文：</w:t>
      </w:r>
      <w:bookmarkStart w:id="1048" w:name="_Toc59200688"/>
      <w:bookmarkStart w:id="1049" w:name="_Toc14873661"/>
    </w:p>
    <w:p w14:paraId="742AFE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1.</w:t>
      </w:r>
      <w:r>
        <w:rPr>
          <w:rFonts w:hint="default" w:ascii="宋体" w:hAnsi="宋体" w:eastAsia="宋体" w:cs="Times New Roman"/>
          <w:color w:val="auto"/>
          <w:sz w:val="21"/>
          <w:szCs w:val="21"/>
          <w:highlight w:val="none"/>
        </w:rPr>
        <w:t>评标方法</w:t>
      </w:r>
      <w:bookmarkEnd w:id="1048"/>
      <w:bookmarkEnd w:id="1049"/>
    </w:p>
    <w:p w14:paraId="5F58A4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Times New Roman"/>
          <w:color w:val="auto"/>
          <w:sz w:val="21"/>
          <w:szCs w:val="21"/>
          <w:highlight w:val="none"/>
          <w:u w:val="none"/>
          <w:lang w:eastAsia="zh-CN"/>
        </w:rPr>
      </w:pPr>
      <w:r>
        <w:rPr>
          <w:rFonts w:hint="default" w:ascii="宋体" w:hAnsi="宋体" w:eastAsia="宋体" w:cs="Times New Roman"/>
          <w:color w:val="auto"/>
          <w:spacing w:val="0"/>
          <w:sz w:val="21"/>
          <w:szCs w:val="21"/>
          <w:highlight w:val="none"/>
          <w:u w:val="none"/>
        </w:rPr>
        <w:t>本项目采用评定分离定标办法，其中：评标采用“</w:t>
      </w:r>
      <w:r>
        <w:rPr>
          <w:rFonts w:hint="default" w:ascii="宋体" w:hAnsi="宋体" w:eastAsia="宋体" w:cs="Times New Roman"/>
          <w:color w:val="auto"/>
          <w:spacing w:val="0"/>
          <w:sz w:val="21"/>
          <w:szCs w:val="21"/>
          <w:highlight w:val="none"/>
          <w:u w:val="none"/>
          <w:lang w:eastAsia="zh-CN"/>
        </w:rPr>
        <w:t>定量评审</w:t>
      </w:r>
      <w:r>
        <w:rPr>
          <w:rFonts w:hint="default" w:ascii="宋体" w:hAnsi="宋体" w:eastAsia="宋体" w:cs="Times New Roman"/>
          <w:color w:val="auto"/>
          <w:spacing w:val="0"/>
          <w:sz w:val="21"/>
          <w:szCs w:val="21"/>
          <w:highlight w:val="none"/>
          <w:u w:val="none"/>
        </w:rPr>
        <w:t>”</w:t>
      </w:r>
      <w:r>
        <w:rPr>
          <w:rFonts w:hint="default" w:ascii="宋体" w:hAnsi="宋体" w:eastAsia="宋体" w:cs="Times New Roman"/>
          <w:color w:val="auto"/>
          <w:spacing w:val="0"/>
          <w:sz w:val="21"/>
          <w:szCs w:val="21"/>
          <w:highlight w:val="none"/>
          <w:u w:val="none"/>
          <w:lang w:eastAsia="zh-CN"/>
        </w:rPr>
        <w:t>的</w:t>
      </w:r>
      <w:r>
        <w:rPr>
          <w:rFonts w:hint="default" w:ascii="宋体" w:hAnsi="宋体" w:eastAsia="宋体" w:cs="Times New Roman"/>
          <w:color w:val="auto"/>
          <w:spacing w:val="0"/>
          <w:sz w:val="21"/>
          <w:szCs w:val="21"/>
          <w:highlight w:val="none"/>
          <w:u w:val="none"/>
        </w:rPr>
        <w:t>评标办法，通过投标文件初步审查的投标人中，按第三章评标、定标办法第3.2 详细评审要求确定的投标人总得分排序，推荐进入定标阶段的合格中标候选人名单[中标候选人不排序，按统一社会信用代码后4位（除校验码外）大小排位，如统一社会信用代码后4位出现字母情况的，字母以“0”进行代替大小排位；如出现后4位（除校验码外）大小一致的，则随机排位]，并编制评标报告。若通</w:t>
      </w:r>
      <w:r>
        <w:rPr>
          <w:rFonts w:hint="default" w:ascii="宋体" w:hAnsi="宋体" w:eastAsia="宋体" w:cs="Times New Roman"/>
          <w:color w:val="auto"/>
          <w:spacing w:val="0"/>
          <w:sz w:val="21"/>
          <w:szCs w:val="21"/>
          <w:highlight w:val="none"/>
          <w:u w:val="none"/>
          <w:lang w:eastAsia="zh-CN"/>
        </w:rPr>
        <w:t>过</w:t>
      </w:r>
      <w:r>
        <w:rPr>
          <w:rFonts w:hint="default" w:ascii="宋体" w:hAnsi="宋体" w:eastAsia="宋体" w:cs="Times New Roman"/>
          <w:color w:val="auto"/>
          <w:spacing w:val="0"/>
          <w:sz w:val="21"/>
          <w:szCs w:val="21"/>
          <w:highlight w:val="none"/>
          <w:u w:val="none"/>
        </w:rPr>
        <w:t>初步审查的投标人大于等于 3 名且少于等于</w:t>
      </w:r>
      <w:r>
        <w:rPr>
          <w:rFonts w:hint="eastAsia" w:ascii="宋体" w:hAnsi="宋体" w:eastAsia="宋体" w:cs="Times New Roman"/>
          <w:color w:val="auto"/>
          <w:spacing w:val="0"/>
          <w:sz w:val="21"/>
          <w:szCs w:val="21"/>
          <w:highlight w:val="none"/>
          <w:u w:val="none"/>
          <w:lang w:eastAsia="zh-CN"/>
        </w:rPr>
        <w:t>2</w:t>
      </w:r>
      <w:r>
        <w:rPr>
          <w:rFonts w:hint="default" w:ascii="宋体" w:hAnsi="宋体" w:eastAsia="宋体" w:cs="Times New Roman"/>
          <w:color w:val="auto"/>
          <w:spacing w:val="0"/>
          <w:sz w:val="21"/>
          <w:szCs w:val="21"/>
          <w:highlight w:val="none"/>
          <w:u w:val="none"/>
        </w:rPr>
        <w:t>0名，则全部为合格的中标候选人，不排序进入定标阶段；若通过初步审查的投标人大于</w:t>
      </w:r>
      <w:r>
        <w:rPr>
          <w:rFonts w:hint="eastAsia" w:ascii="宋体" w:hAnsi="宋体" w:eastAsia="宋体" w:cs="Times New Roman"/>
          <w:color w:val="auto"/>
          <w:spacing w:val="0"/>
          <w:sz w:val="21"/>
          <w:szCs w:val="21"/>
          <w:highlight w:val="none"/>
          <w:u w:val="none"/>
          <w:lang w:eastAsia="zh-CN"/>
        </w:rPr>
        <w:t>2</w:t>
      </w:r>
      <w:r>
        <w:rPr>
          <w:rFonts w:hint="default" w:ascii="宋体" w:hAnsi="宋体" w:eastAsia="宋体" w:cs="Times New Roman"/>
          <w:color w:val="auto"/>
          <w:spacing w:val="0"/>
          <w:sz w:val="21"/>
          <w:szCs w:val="21"/>
          <w:highlight w:val="none"/>
          <w:u w:val="none"/>
        </w:rPr>
        <w:t>0名，按投标人总得分由高到低顺序推荐前</w:t>
      </w:r>
      <w:r>
        <w:rPr>
          <w:rFonts w:hint="eastAsia" w:ascii="宋体" w:hAnsi="宋体" w:eastAsia="宋体" w:cs="Times New Roman"/>
          <w:color w:val="auto"/>
          <w:spacing w:val="0"/>
          <w:sz w:val="21"/>
          <w:szCs w:val="21"/>
          <w:highlight w:val="none"/>
          <w:u w:val="none"/>
          <w:lang w:eastAsia="zh-CN"/>
        </w:rPr>
        <w:t>2</w:t>
      </w:r>
      <w:r>
        <w:rPr>
          <w:rFonts w:hint="default" w:ascii="宋体" w:hAnsi="宋体" w:eastAsia="宋体" w:cs="Times New Roman"/>
          <w:color w:val="auto"/>
          <w:spacing w:val="0"/>
          <w:sz w:val="21"/>
          <w:szCs w:val="21"/>
          <w:highlight w:val="none"/>
          <w:u w:val="none"/>
        </w:rPr>
        <w:t>0名不排序的合格的中标候选人（总得分相同的，以资信业绩得分高的排前；资信业绩得分也相同的，以</w:t>
      </w:r>
      <w:r>
        <w:rPr>
          <w:rFonts w:hint="eastAsia" w:ascii="宋体" w:hAnsi="宋体" w:cs="Times New Roman"/>
          <w:color w:val="auto"/>
          <w:spacing w:val="0"/>
          <w:sz w:val="21"/>
          <w:szCs w:val="21"/>
          <w:highlight w:val="none"/>
          <w:u w:val="none"/>
          <w:lang w:eastAsia="zh-CN"/>
        </w:rPr>
        <w:t>项目实施方案</w:t>
      </w:r>
      <w:r>
        <w:rPr>
          <w:rFonts w:hint="default" w:ascii="宋体" w:hAnsi="宋体" w:eastAsia="宋体" w:cs="Times New Roman"/>
          <w:color w:val="auto"/>
          <w:spacing w:val="0"/>
          <w:sz w:val="21"/>
          <w:szCs w:val="21"/>
          <w:highlight w:val="none"/>
          <w:u w:val="none"/>
        </w:rPr>
        <w:t>得分高的排前；</w:t>
      </w:r>
      <w:r>
        <w:rPr>
          <w:rFonts w:hint="eastAsia" w:ascii="宋体" w:hAnsi="宋体" w:cs="Times New Roman"/>
          <w:color w:val="auto"/>
          <w:spacing w:val="0"/>
          <w:sz w:val="21"/>
          <w:szCs w:val="21"/>
          <w:highlight w:val="none"/>
          <w:u w:val="none"/>
          <w:lang w:eastAsia="zh-CN"/>
        </w:rPr>
        <w:t>项目实施方案</w:t>
      </w:r>
      <w:r>
        <w:rPr>
          <w:rFonts w:hint="default" w:ascii="宋体" w:hAnsi="宋体" w:eastAsia="宋体" w:cs="Times New Roman"/>
          <w:color w:val="auto"/>
          <w:spacing w:val="0"/>
          <w:sz w:val="21"/>
          <w:szCs w:val="21"/>
          <w:highlight w:val="none"/>
          <w:u w:val="none"/>
        </w:rPr>
        <w:t>得分也相同的，以报价低的排前；如均相同的，则以评标委员会通过记名投票方式确定排序。其排名顺序只作为评标阶段确定进入定标阶段的依据,不对定标工作产生影响），进入定标阶段</w:t>
      </w:r>
      <w:r>
        <w:rPr>
          <w:rFonts w:hint="default" w:ascii="宋体" w:hAnsi="宋体" w:eastAsia="宋体" w:cs="Times New Roman"/>
          <w:color w:val="auto"/>
          <w:spacing w:val="0"/>
          <w:sz w:val="21"/>
          <w:szCs w:val="21"/>
          <w:highlight w:val="none"/>
          <w:u w:val="none"/>
          <w:lang w:eastAsia="zh-CN"/>
        </w:rPr>
        <w:t>。</w:t>
      </w:r>
    </w:p>
    <w:p w14:paraId="6F0B41D8">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ind w:firstLine="470" w:firstLineChars="224"/>
        <w:textAlignment w:val="auto"/>
        <w:rPr>
          <w:rFonts w:hint="default" w:ascii="宋体" w:hAnsi="宋体" w:eastAsia="宋体"/>
          <w:color w:val="auto"/>
          <w:sz w:val="21"/>
          <w:szCs w:val="21"/>
          <w:highlight w:val="none"/>
        </w:rPr>
      </w:pPr>
    </w:p>
    <w:p w14:paraId="4D2393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条款号：3.2             修改类型：修改</w:t>
      </w:r>
    </w:p>
    <w:p w14:paraId="0FE4EC6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原文：</w:t>
      </w:r>
    </w:p>
    <w:p w14:paraId="269D2B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3.2 详细评审</w:t>
      </w:r>
    </w:p>
    <w:p w14:paraId="2D39A0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3.2.1 评标委员会按本章第2.2款规定的量化因素和分值进行打分，并计算出综合评估得分。</w:t>
      </w:r>
    </w:p>
    <w:p w14:paraId="3AE1C5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1）按本章第2.2.4（1）目规定的评审因素和分值对资信业绩部分计算出得分A，资信业绩部分评审得分A为评标委员会各成员打分的算术平均值（由招标人自行设置），分数出现小数点，保留小数点后二位，第三位小数四舍五入。</w:t>
      </w:r>
    </w:p>
    <w:p w14:paraId="684F0D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2）按本章第2.2.4（2）目规定的评审因素和分值对监理大纲部分计算出得分B，（以下两种方法招标人自行选择）①监理大纲部分评审得分B为从评标委员会各成员打分中去掉一个最高分和去掉一个最低分后的剩余评标委员会成员打分的算术平均值或②监理大纲部分评审得分B为评标委员会各成员打分的算术平均值，分数出现小数点，保留小数点后二位，第三位小数四舍五入。</w:t>
      </w:r>
    </w:p>
    <w:p w14:paraId="58A0DD81">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现文：</w:t>
      </w:r>
    </w:p>
    <w:p w14:paraId="3D4152F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3.2 详细评审</w:t>
      </w:r>
    </w:p>
    <w:p w14:paraId="2C11566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3.2.1 评标委员会按本章第2.2款规定的量化因素和分值进行打分，并计算出综合评估得分。</w:t>
      </w:r>
    </w:p>
    <w:p w14:paraId="5A46744E">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（1）按本章第2.2.4（1）目规定的评审因素和分值对资信业绩部分计算出得分A，资信业绩部分评审得分A为评标委员会各成员打分的算术平均值，分数出现小数点，保留小数点后二位，第三位小数四舍五入。</w:t>
      </w:r>
    </w:p>
    <w:p w14:paraId="3AE6CBC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（2）按本章第2.2.4（2）目规定的评审因素和分值对</w:t>
      </w:r>
      <w:r>
        <w:rPr>
          <w:rFonts w:hint="eastAsia" w:ascii="宋体" w:hAnsi="宋体"/>
          <w:color w:val="auto"/>
          <w:sz w:val="21"/>
          <w:szCs w:val="21"/>
          <w:highlight w:val="none"/>
          <w:lang w:eastAsia="zh-CN"/>
        </w:rPr>
        <w:t>项目实施方案</w:t>
      </w:r>
      <w:r>
        <w:rPr>
          <w:rFonts w:hint="default" w:ascii="宋体" w:hAnsi="宋体" w:eastAsia="宋体"/>
          <w:color w:val="auto"/>
          <w:sz w:val="21"/>
          <w:szCs w:val="21"/>
          <w:highlight w:val="none"/>
        </w:rPr>
        <w:t>部分计算出得分B，</w:t>
      </w:r>
      <w:r>
        <w:rPr>
          <w:rFonts w:hint="eastAsia" w:ascii="宋体" w:hAnsi="宋体"/>
          <w:color w:val="auto"/>
          <w:sz w:val="21"/>
          <w:szCs w:val="21"/>
          <w:highlight w:val="none"/>
          <w:lang w:eastAsia="zh-CN"/>
        </w:rPr>
        <w:t>项目实施方案</w:t>
      </w:r>
      <w:r>
        <w:rPr>
          <w:rFonts w:hint="default" w:ascii="宋体" w:hAnsi="宋体" w:eastAsia="宋体"/>
          <w:color w:val="auto"/>
          <w:sz w:val="21"/>
          <w:szCs w:val="21"/>
          <w:highlight w:val="none"/>
        </w:rPr>
        <w:t>部分评审得分B为评标委员会各成员打分的算术平均值，分数出现小数点，保留小数点后二位，第三位小数四舍五入。</w:t>
      </w:r>
    </w:p>
    <w:p w14:paraId="0AF3C5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条款号：</w:t>
      </w:r>
      <w:r>
        <w:rPr>
          <w:rFonts w:hint="eastAsia" w:ascii="宋体" w:hAnsi="宋体" w:eastAsia="宋体"/>
          <w:color w:val="auto"/>
          <w:sz w:val="21"/>
          <w:szCs w:val="21"/>
          <w:highlight w:val="none"/>
          <w:lang w:val="en-US" w:eastAsia="zh-CN"/>
        </w:rPr>
        <w:t>3.4</w:t>
      </w:r>
      <w:r>
        <w:rPr>
          <w:rFonts w:hint="default" w:ascii="宋体" w:hAnsi="宋体" w:eastAsia="宋体"/>
          <w:color w:val="auto"/>
          <w:sz w:val="21"/>
          <w:szCs w:val="21"/>
          <w:highlight w:val="none"/>
        </w:rPr>
        <w:t xml:space="preserve">             修改类型：修改</w:t>
      </w:r>
    </w:p>
    <w:p w14:paraId="710D3EC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Times New Roman"/>
          <w:color w:val="auto"/>
          <w:sz w:val="21"/>
          <w:szCs w:val="21"/>
          <w:highlight w:val="none"/>
        </w:rPr>
      </w:pPr>
      <w:r>
        <w:rPr>
          <w:rFonts w:hint="default" w:ascii="宋体" w:hAnsi="宋体" w:eastAsia="宋体" w:cs="Times New Roman"/>
          <w:b/>
          <w:bCs/>
          <w:color w:val="auto"/>
          <w:sz w:val="21"/>
          <w:szCs w:val="21"/>
          <w:highlight w:val="none"/>
        </w:rPr>
        <w:t>原文：</w:t>
      </w:r>
    </w:p>
    <w:p w14:paraId="764BF30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color w:val="auto"/>
          <w:sz w:val="21"/>
          <w:szCs w:val="21"/>
          <w:highlight w:val="none"/>
        </w:rPr>
      </w:pPr>
      <w:r>
        <w:rPr>
          <w:rFonts w:hint="default" w:ascii="宋体" w:hAnsi="宋体" w:eastAsia="宋体" w:cs="Times New Roman"/>
          <w:color w:val="auto"/>
          <w:sz w:val="21"/>
          <w:szCs w:val="21"/>
          <w:highlight w:val="none"/>
        </w:rPr>
        <w:t>3.4 评标结果</w:t>
      </w:r>
    </w:p>
    <w:p w14:paraId="1FC5B73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left="0" w:right="0" w:firstLine="420" w:firstLineChars="200"/>
        <w:textAlignment w:val="auto"/>
        <w:rPr>
          <w:rFonts w:hint="default" w:ascii="宋体" w:hAnsi="宋体" w:eastAsia="宋体" w:cs="Times New Roman"/>
          <w:color w:val="auto"/>
          <w:sz w:val="21"/>
          <w:szCs w:val="21"/>
          <w:highlight w:val="none"/>
        </w:rPr>
      </w:pPr>
      <w:r>
        <w:rPr>
          <w:rFonts w:ascii="宋体" w:hAnsi="宋体" w:eastAsia="宋体" w:cs="Times New Roman"/>
          <w:color w:val="auto"/>
          <w:sz w:val="21"/>
          <w:szCs w:val="21"/>
          <w:highlight w:val="none"/>
        </w:rPr>
        <w:t xml:space="preserve">3.4.1 </w:t>
      </w:r>
      <w:r>
        <w:rPr>
          <w:rFonts w:hint="default" w:ascii="宋体" w:hAnsi="宋体" w:eastAsia="宋体" w:cs="Times New Roman"/>
          <w:color w:val="auto"/>
          <w:sz w:val="21"/>
          <w:szCs w:val="21"/>
          <w:highlight w:val="none"/>
        </w:rPr>
        <w:t>除第二章“投标人须知”前附表授权直接确定中标人外，评标委员会按照得分由高到低的顺序推荐中标候选人，并标明排序。</w:t>
      </w:r>
    </w:p>
    <w:p w14:paraId="52D06C4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left="0" w:right="0" w:firstLine="420" w:firstLineChars="200"/>
        <w:textAlignment w:val="auto"/>
        <w:rPr>
          <w:rFonts w:hint="default" w:ascii="宋体" w:hAnsi="宋体" w:eastAsia="宋体" w:cs="Times New Roman"/>
          <w:color w:val="auto"/>
          <w:sz w:val="21"/>
          <w:szCs w:val="21"/>
          <w:highlight w:val="none"/>
        </w:rPr>
      </w:pPr>
      <w:r>
        <w:rPr>
          <w:rFonts w:ascii="宋体" w:hAnsi="宋体" w:eastAsia="宋体" w:cs="Times New Roman"/>
          <w:color w:val="auto"/>
          <w:sz w:val="21"/>
          <w:szCs w:val="21"/>
          <w:highlight w:val="none"/>
        </w:rPr>
        <w:t xml:space="preserve">3.4.2 </w:t>
      </w:r>
      <w:r>
        <w:rPr>
          <w:rFonts w:hint="default" w:ascii="宋体" w:hAnsi="宋体" w:eastAsia="宋体" w:cs="Times New Roman"/>
          <w:color w:val="auto"/>
          <w:sz w:val="21"/>
          <w:szCs w:val="21"/>
          <w:highlight w:val="none"/>
        </w:rPr>
        <w:t>评标委员会完成评标后，应当向招标人提交书面评标报告和中标候选人名单。</w:t>
      </w:r>
    </w:p>
    <w:p w14:paraId="490393E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left="0" w:right="0" w:firstLine="420" w:firstLineChars="200"/>
        <w:textAlignment w:val="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3.4.3 如采用评标定标分离方法的，按相关规定执行。</w:t>
      </w:r>
    </w:p>
    <w:p w14:paraId="162BDE9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left="0" w:right="0" w:firstLine="422" w:firstLineChars="200"/>
        <w:textAlignment w:val="auto"/>
        <w:rPr>
          <w:rFonts w:hint="default" w:ascii="宋体" w:hAnsi="宋体" w:eastAsia="宋体"/>
          <w:color w:val="auto"/>
          <w:sz w:val="21"/>
          <w:szCs w:val="21"/>
          <w:highlight w:val="none"/>
        </w:rPr>
      </w:pPr>
      <w:r>
        <w:rPr>
          <w:rFonts w:hint="default" w:ascii="宋体" w:hAnsi="宋体" w:eastAsia="宋体"/>
          <w:b/>
          <w:bCs/>
          <w:color w:val="auto"/>
          <w:sz w:val="21"/>
          <w:szCs w:val="21"/>
          <w:highlight w:val="none"/>
        </w:rPr>
        <w:t>现文：</w:t>
      </w:r>
    </w:p>
    <w:p w14:paraId="03D8884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color w:val="auto"/>
          <w:sz w:val="21"/>
          <w:szCs w:val="21"/>
          <w:highlight w:val="none"/>
        </w:rPr>
      </w:pPr>
      <w:r>
        <w:rPr>
          <w:rFonts w:ascii="宋体" w:hAnsi="宋体"/>
          <w:color w:val="auto"/>
          <w:sz w:val="21"/>
          <w:szCs w:val="21"/>
          <w:highlight w:val="none"/>
        </w:rPr>
        <w:t xml:space="preserve">3.4 </w:t>
      </w:r>
      <w:r>
        <w:rPr>
          <w:rFonts w:hint="eastAsia" w:ascii="宋体" w:hAnsi="宋体"/>
          <w:color w:val="auto"/>
          <w:sz w:val="21"/>
          <w:szCs w:val="21"/>
          <w:highlight w:val="none"/>
        </w:rPr>
        <w:t>评标结果</w:t>
      </w:r>
    </w:p>
    <w:p w14:paraId="34A1096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color w:val="auto"/>
          <w:sz w:val="21"/>
          <w:szCs w:val="21"/>
          <w:highlight w:val="none"/>
          <w:u w:val="none"/>
        </w:rPr>
      </w:pPr>
      <w:r>
        <w:rPr>
          <w:rFonts w:ascii="宋体" w:hAnsi="宋体"/>
          <w:color w:val="auto"/>
          <w:sz w:val="21"/>
          <w:szCs w:val="21"/>
          <w:highlight w:val="none"/>
          <w:u w:val="none"/>
        </w:rPr>
        <w:t>3.4.1</w:t>
      </w:r>
      <w:r>
        <w:rPr>
          <w:rFonts w:hint="eastAsia" w:ascii="宋体" w:hAnsi="宋体"/>
          <w:color w:val="auto"/>
          <w:sz w:val="21"/>
          <w:szCs w:val="21"/>
          <w:highlight w:val="none"/>
          <w:u w:val="none"/>
          <w:lang w:eastAsia="zh-CN"/>
        </w:rPr>
        <w:t>评标委员会按照招标文件要求，对</w:t>
      </w:r>
      <w:r>
        <w:rPr>
          <w:rFonts w:hint="eastAsia" w:ascii="宋体" w:hAnsi="宋体"/>
          <w:color w:val="auto"/>
          <w:spacing w:val="-3"/>
          <w:sz w:val="21"/>
          <w:szCs w:val="21"/>
          <w:highlight w:val="none"/>
          <w:u w:val="none"/>
        </w:rPr>
        <w:t>通过投标文件初步审查的投标人中，按第三章评标、定标办法第3.2 详细评审要求确定的投标人总得分排序，推荐进入定标阶段的合格中标候选人名单[中标候选人不排序，按统一社会信用代码后4位（除校验码外）大小排位，如统一社会信用代码后4位出现字母情况的，字母以“0”进行代替大小排位；如出现后4位（除校验码外）大小一致的，则随机排位]，并编制评标报告。若通初步审查的投标人大于等于 3 名且少于等于</w:t>
      </w:r>
      <w:r>
        <w:rPr>
          <w:rFonts w:hint="eastAsia" w:ascii="宋体" w:hAnsi="宋体"/>
          <w:color w:val="auto"/>
          <w:spacing w:val="-3"/>
          <w:sz w:val="21"/>
          <w:szCs w:val="21"/>
          <w:highlight w:val="none"/>
          <w:u w:val="none"/>
          <w:lang w:val="en-US" w:eastAsia="zh-CN"/>
        </w:rPr>
        <w:t>20</w:t>
      </w:r>
      <w:r>
        <w:rPr>
          <w:rFonts w:hint="eastAsia" w:ascii="宋体" w:hAnsi="宋体"/>
          <w:color w:val="auto"/>
          <w:spacing w:val="-3"/>
          <w:sz w:val="21"/>
          <w:szCs w:val="21"/>
          <w:highlight w:val="none"/>
          <w:u w:val="none"/>
        </w:rPr>
        <w:t>名，则全部为合格的中标候选人，不排序进入定标阶段；若通过初步审查的投标人大于</w:t>
      </w:r>
      <w:r>
        <w:rPr>
          <w:rFonts w:hint="eastAsia" w:ascii="宋体" w:hAnsi="宋体"/>
          <w:color w:val="auto"/>
          <w:spacing w:val="-3"/>
          <w:sz w:val="21"/>
          <w:szCs w:val="21"/>
          <w:highlight w:val="none"/>
          <w:u w:val="none"/>
          <w:lang w:val="en-US" w:eastAsia="zh-CN"/>
        </w:rPr>
        <w:t>20</w:t>
      </w:r>
      <w:r>
        <w:rPr>
          <w:rFonts w:hint="eastAsia" w:ascii="宋体" w:hAnsi="宋体"/>
          <w:color w:val="auto"/>
          <w:spacing w:val="-3"/>
          <w:sz w:val="21"/>
          <w:szCs w:val="21"/>
          <w:highlight w:val="none"/>
          <w:u w:val="none"/>
        </w:rPr>
        <w:t>名，按投标人总得分由高到低顺序推荐前</w:t>
      </w:r>
      <w:r>
        <w:rPr>
          <w:rFonts w:hint="eastAsia" w:ascii="宋体" w:hAnsi="宋体"/>
          <w:color w:val="auto"/>
          <w:spacing w:val="-3"/>
          <w:sz w:val="21"/>
          <w:szCs w:val="21"/>
          <w:highlight w:val="none"/>
          <w:u w:val="none"/>
          <w:lang w:val="en-US" w:eastAsia="zh-CN"/>
        </w:rPr>
        <w:t>20</w:t>
      </w:r>
      <w:r>
        <w:rPr>
          <w:rFonts w:hint="eastAsia" w:ascii="宋体" w:hAnsi="宋体"/>
          <w:color w:val="auto"/>
          <w:spacing w:val="-3"/>
          <w:sz w:val="21"/>
          <w:szCs w:val="21"/>
          <w:highlight w:val="none"/>
          <w:u w:val="none"/>
        </w:rPr>
        <w:t>名不排序的合格的中标候选人（总得分相同的，以资信业绩得分高的排前；资信业绩得分也相同的，以</w:t>
      </w:r>
      <w:r>
        <w:rPr>
          <w:rFonts w:hint="eastAsia" w:ascii="宋体" w:hAnsi="宋体"/>
          <w:color w:val="auto"/>
          <w:spacing w:val="-3"/>
          <w:sz w:val="21"/>
          <w:szCs w:val="21"/>
          <w:highlight w:val="none"/>
          <w:u w:val="none"/>
          <w:lang w:eastAsia="zh-CN"/>
        </w:rPr>
        <w:t>项目实施方案</w:t>
      </w:r>
      <w:r>
        <w:rPr>
          <w:rFonts w:hint="eastAsia" w:ascii="宋体" w:hAnsi="宋体"/>
          <w:color w:val="auto"/>
          <w:spacing w:val="-3"/>
          <w:sz w:val="21"/>
          <w:szCs w:val="21"/>
          <w:highlight w:val="none"/>
          <w:u w:val="none"/>
        </w:rPr>
        <w:t>得分高的排前；</w:t>
      </w:r>
      <w:r>
        <w:rPr>
          <w:rFonts w:hint="eastAsia" w:ascii="宋体" w:hAnsi="宋体"/>
          <w:color w:val="auto"/>
          <w:spacing w:val="-3"/>
          <w:sz w:val="21"/>
          <w:szCs w:val="21"/>
          <w:highlight w:val="none"/>
          <w:u w:val="none"/>
          <w:lang w:eastAsia="zh-CN"/>
        </w:rPr>
        <w:t>项目实施方案</w:t>
      </w:r>
      <w:r>
        <w:rPr>
          <w:rFonts w:hint="eastAsia" w:ascii="宋体" w:hAnsi="宋体"/>
          <w:color w:val="auto"/>
          <w:spacing w:val="-3"/>
          <w:sz w:val="21"/>
          <w:szCs w:val="21"/>
          <w:highlight w:val="none"/>
          <w:u w:val="none"/>
        </w:rPr>
        <w:t>得分也相同的，以报价低的排前；如均相同的，则以评标委员会通过记名投票方式确定排序。其排名顺序只作为评标阶段确定进入定标阶段的依据,不对定标工作产生影响），进入定标阶段</w:t>
      </w:r>
      <w:r>
        <w:rPr>
          <w:rFonts w:hint="eastAsia" w:ascii="宋体" w:hAnsi="宋体"/>
          <w:color w:val="auto"/>
          <w:sz w:val="21"/>
          <w:szCs w:val="21"/>
          <w:highlight w:val="none"/>
          <w:u w:val="none"/>
        </w:rPr>
        <w:t>。</w:t>
      </w:r>
    </w:p>
    <w:p w14:paraId="3653C8F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color w:val="auto"/>
          <w:sz w:val="21"/>
          <w:szCs w:val="21"/>
          <w:highlight w:val="none"/>
        </w:rPr>
      </w:pPr>
      <w:r>
        <w:rPr>
          <w:rFonts w:ascii="宋体" w:hAnsi="宋体"/>
          <w:color w:val="auto"/>
          <w:sz w:val="21"/>
          <w:szCs w:val="21"/>
          <w:highlight w:val="none"/>
        </w:rPr>
        <w:t>3.4.2</w:t>
      </w:r>
      <w:r>
        <w:rPr>
          <w:rFonts w:hint="eastAsia" w:ascii="宋体" w:hAnsi="宋体"/>
          <w:color w:val="auto"/>
          <w:sz w:val="21"/>
          <w:szCs w:val="21"/>
          <w:highlight w:val="none"/>
        </w:rPr>
        <w:t>评标委员会完成评标后，应当向招标人提交书面评标报告和</w:t>
      </w:r>
      <w:r>
        <w:rPr>
          <w:rFonts w:hint="eastAsia" w:ascii="宋体" w:hAnsi="宋体"/>
          <w:color w:val="auto"/>
          <w:sz w:val="21"/>
          <w:szCs w:val="21"/>
          <w:highlight w:val="none"/>
          <w:u w:val="none"/>
          <w:lang w:eastAsia="zh-CN"/>
        </w:rPr>
        <w:t>合格的</w:t>
      </w:r>
      <w:r>
        <w:rPr>
          <w:rFonts w:hint="eastAsia" w:ascii="宋体" w:hAnsi="宋体"/>
          <w:color w:val="auto"/>
          <w:sz w:val="21"/>
          <w:szCs w:val="21"/>
          <w:highlight w:val="none"/>
        </w:rPr>
        <w:t>中标候选人名单。</w:t>
      </w:r>
    </w:p>
    <w:p w14:paraId="25A6D65A">
      <w:pPr>
        <w:pBdr>
          <w:bottom w:val="single" w:color="auto" w:sz="6" w:space="1"/>
        </w:pBdr>
        <w:spacing w:line="480" w:lineRule="auto"/>
        <w:ind w:firstLine="470" w:firstLineChars="224"/>
        <w:rPr>
          <w:rFonts w:hint="default" w:ascii="宋体" w:hAnsi="宋体" w:eastAsia="宋体" w:cs="Times New Roman"/>
          <w:color w:val="auto"/>
          <w:sz w:val="21"/>
          <w:szCs w:val="21"/>
          <w:highlight w:val="none"/>
          <w:lang w:val="en-US" w:eastAsia="zh-CN"/>
        </w:rPr>
      </w:pPr>
    </w:p>
    <w:p w14:paraId="76C4F978">
      <w:pPr>
        <w:spacing w:line="480" w:lineRule="auto"/>
        <w:ind w:firstLine="470" w:firstLineChars="224"/>
        <w:rPr>
          <w:rFonts w:hint="default" w:ascii="宋体" w:hAnsi="宋体" w:eastAsia="宋体"/>
          <w:color w:val="auto"/>
          <w:sz w:val="21"/>
          <w:szCs w:val="21"/>
          <w:highlight w:val="none"/>
        </w:rPr>
      </w:pPr>
      <w:r>
        <w:rPr>
          <w:rFonts w:hint="default" w:ascii="宋体" w:hAnsi="宋体" w:eastAsia="宋体"/>
          <w:color w:val="auto"/>
          <w:sz w:val="21"/>
          <w:szCs w:val="21"/>
          <w:highlight w:val="none"/>
        </w:rPr>
        <w:t>条款号：</w:t>
      </w:r>
      <w:r>
        <w:rPr>
          <w:rFonts w:hint="eastAsia" w:ascii="宋体" w:hAnsi="宋体" w:eastAsia="宋体"/>
          <w:color w:val="auto"/>
          <w:sz w:val="21"/>
          <w:szCs w:val="21"/>
          <w:highlight w:val="none"/>
          <w:lang w:val="en-US" w:eastAsia="zh-CN"/>
        </w:rPr>
        <w:t>4</w:t>
      </w:r>
      <w:r>
        <w:rPr>
          <w:rFonts w:hint="default" w:ascii="宋体" w:hAnsi="宋体" w:eastAsia="宋体"/>
          <w:color w:val="auto"/>
          <w:sz w:val="21"/>
          <w:szCs w:val="21"/>
          <w:highlight w:val="none"/>
        </w:rPr>
        <w:t xml:space="preserve">            修改类型：增加</w:t>
      </w:r>
    </w:p>
    <w:p w14:paraId="4D789578">
      <w:pPr>
        <w:spacing w:line="360" w:lineRule="auto"/>
        <w:ind w:firstLine="422" w:firstLineChars="200"/>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现文：</w:t>
      </w:r>
    </w:p>
    <w:p w14:paraId="7EEFB559">
      <w:pPr>
        <w:spacing w:line="360" w:lineRule="auto"/>
        <w:ind w:firstLine="422" w:firstLineChars="200"/>
        <w:rPr>
          <w:rFonts w:ascii="宋体" w:hAnsi="宋体" w:eastAsia="宋体" w:cs="Times New Roman"/>
          <w:b/>
          <w:bCs/>
          <w:color w:val="auto"/>
          <w:sz w:val="21"/>
          <w:szCs w:val="21"/>
          <w:highlight w:val="none"/>
          <w:u w:val="none"/>
        </w:rPr>
      </w:pPr>
      <w:r>
        <w:rPr>
          <w:rFonts w:hint="default" w:ascii="宋体" w:hAnsi="宋体" w:eastAsia="宋体" w:cs="Times New Roman"/>
          <w:b/>
          <w:bCs/>
          <w:color w:val="auto"/>
          <w:sz w:val="21"/>
          <w:szCs w:val="21"/>
          <w:highlight w:val="none"/>
          <w:u w:val="none"/>
        </w:rPr>
        <w:t>4.定标</w:t>
      </w:r>
      <w:r>
        <w:rPr>
          <w:rFonts w:ascii="宋体" w:hAnsi="宋体" w:eastAsia="宋体" w:cs="Times New Roman"/>
          <w:b/>
          <w:bCs/>
          <w:color w:val="auto"/>
          <w:sz w:val="21"/>
          <w:szCs w:val="21"/>
          <w:highlight w:val="none"/>
          <w:u w:val="none"/>
        </w:rPr>
        <w:t>原则</w:t>
      </w:r>
    </w:p>
    <w:p w14:paraId="33FA635C">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ascii="宋体" w:hAnsi="宋体" w:eastAsia="宋体" w:cs="Times New Roman"/>
          <w:color w:val="auto"/>
          <w:sz w:val="21"/>
          <w:szCs w:val="21"/>
          <w:highlight w:val="none"/>
          <w:u w:val="none"/>
        </w:rPr>
      </w:pPr>
      <w:r>
        <w:rPr>
          <w:rFonts w:hint="default" w:ascii="宋体" w:hAnsi="宋体" w:eastAsia="宋体" w:cs="Times New Roman"/>
          <w:color w:val="auto"/>
          <w:sz w:val="21"/>
          <w:szCs w:val="21"/>
          <w:highlight w:val="none"/>
          <w:u w:val="none"/>
        </w:rPr>
        <w:t>4.1本项目定标办法采用“价格因素+</w:t>
      </w:r>
      <w:r>
        <w:rPr>
          <w:rFonts w:hint="eastAsia" w:ascii="宋体" w:hAnsi="宋体" w:cs="Times New Roman"/>
          <w:color w:val="auto"/>
          <w:sz w:val="21"/>
          <w:szCs w:val="21"/>
          <w:highlight w:val="none"/>
          <w:u w:val="none"/>
          <w:lang w:eastAsia="zh-CN"/>
        </w:rPr>
        <w:t>履约能力因素</w:t>
      </w:r>
      <w:r>
        <w:rPr>
          <w:rFonts w:hint="default" w:ascii="宋体" w:hAnsi="宋体" w:eastAsia="宋体" w:cs="Times New Roman"/>
          <w:color w:val="auto"/>
          <w:sz w:val="21"/>
          <w:szCs w:val="21"/>
          <w:highlight w:val="none"/>
          <w:u w:val="none"/>
        </w:rPr>
        <w:t>”评分法。定标委员会成员根据评标过程资料，对比合格的中标候选人的投标文件等情况，综合考虑各中标候选人的情况，根据定标因素（详见《定标因素表》）对各合格的中标候选人进行评审比较后，采用</w:t>
      </w:r>
      <w:r>
        <w:rPr>
          <w:rFonts w:hint="eastAsia" w:ascii="宋体" w:hAnsi="宋体" w:eastAsia="宋体" w:cs="Times New Roman"/>
          <w:color w:val="auto"/>
          <w:sz w:val="21"/>
          <w:szCs w:val="21"/>
          <w:highlight w:val="none"/>
          <w:u w:val="none"/>
          <w:lang w:eastAsia="zh-CN"/>
        </w:rPr>
        <w:t>评分法的</w:t>
      </w:r>
      <w:r>
        <w:rPr>
          <w:rFonts w:hint="default" w:ascii="宋体" w:hAnsi="宋体" w:eastAsia="宋体" w:cs="Times New Roman"/>
          <w:color w:val="auto"/>
          <w:sz w:val="21"/>
          <w:szCs w:val="21"/>
          <w:highlight w:val="none"/>
          <w:u w:val="none"/>
        </w:rPr>
        <w:t>方式确定中标人。</w:t>
      </w:r>
    </w:p>
    <w:p w14:paraId="6746BFF7">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4.2组建监督小组</w:t>
      </w:r>
    </w:p>
    <w:p w14:paraId="17DC2725">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招标开始前，招标人组建监督小组，监督小组由2人或以上人数组成。监督小组对招标投标活动全过程进行监督，有权对定标委员会的组建、定标过程及招标人在定标前的清标和对中标候选人的考察等（如有）进行全程监督，有权对定标委员会违反定标规则的行为进行质询，确保定标过程公平、公正。监督小组对发现的异常情况应及时提醒并纠正，但不得就评标、定标涉及的实质内容发表意见或者参与评标、定标讨论。</w:t>
      </w:r>
    </w:p>
    <w:p w14:paraId="7A34D1C9">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ascii="宋体" w:hAnsi="宋体" w:eastAsia="宋体" w:cs="Times New Roman"/>
          <w:color w:val="auto"/>
          <w:sz w:val="21"/>
          <w:szCs w:val="21"/>
          <w:highlight w:val="none"/>
          <w:u w:val="none"/>
        </w:rPr>
      </w:pPr>
      <w:r>
        <w:rPr>
          <w:rFonts w:hint="default" w:ascii="宋体" w:hAnsi="宋体" w:eastAsia="宋体" w:cs="Times New Roman"/>
          <w:color w:val="auto"/>
          <w:sz w:val="21"/>
          <w:szCs w:val="21"/>
          <w:highlight w:val="none"/>
          <w:u w:val="none"/>
        </w:rPr>
        <w:t>4.</w:t>
      </w:r>
      <w:r>
        <w:rPr>
          <w:rFonts w:hint="eastAsia" w:ascii="宋体" w:hAnsi="宋体" w:eastAsia="宋体" w:cs="Times New Roman"/>
          <w:color w:val="auto"/>
          <w:sz w:val="21"/>
          <w:szCs w:val="21"/>
          <w:highlight w:val="none"/>
          <w:u w:val="none"/>
          <w:lang w:val="en-US" w:eastAsia="zh-CN"/>
        </w:rPr>
        <w:t>3</w:t>
      </w:r>
      <w:r>
        <w:rPr>
          <w:rFonts w:hint="default" w:ascii="宋体" w:hAnsi="宋体" w:eastAsia="宋体" w:cs="Times New Roman"/>
          <w:color w:val="auto"/>
          <w:sz w:val="21"/>
          <w:szCs w:val="21"/>
          <w:highlight w:val="none"/>
          <w:u w:val="none"/>
        </w:rPr>
        <w:t>定标</w:t>
      </w:r>
    </w:p>
    <w:p w14:paraId="4ABFD3AF">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default" w:ascii="宋体" w:hAnsi="宋体" w:eastAsia="宋体" w:cs="Times New Roman"/>
          <w:color w:val="auto"/>
          <w:sz w:val="21"/>
          <w:szCs w:val="21"/>
          <w:highlight w:val="none"/>
          <w:u w:val="none"/>
        </w:rPr>
        <w:t>评标结束后，招标人按以下规定组建定标委员会，在评标委员会推荐的合格投标人中确定中标人：</w:t>
      </w:r>
    </w:p>
    <w:p w14:paraId="380FB24D">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default" w:ascii="宋体" w:hAnsi="宋体" w:eastAsia="宋体" w:cs="Times New Roman"/>
          <w:color w:val="auto"/>
          <w:sz w:val="21"/>
          <w:szCs w:val="21"/>
          <w:highlight w:val="none"/>
          <w:u w:val="none"/>
        </w:rPr>
        <w:t>定标由招标人依法组建的定标委员会负责。</w:t>
      </w:r>
    </w:p>
    <w:p w14:paraId="5D470B1E">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lang w:val="en-US" w:eastAsia="zh-CN"/>
        </w:rPr>
        <w:t>4.3.1</w:t>
      </w:r>
      <w:r>
        <w:rPr>
          <w:rFonts w:hint="default" w:ascii="宋体" w:hAnsi="宋体" w:eastAsia="宋体" w:cs="Times New Roman"/>
          <w:color w:val="auto"/>
          <w:sz w:val="21"/>
          <w:szCs w:val="21"/>
          <w:highlight w:val="none"/>
          <w:u w:val="none"/>
        </w:rPr>
        <w:t>定标时间和地点</w:t>
      </w:r>
    </w:p>
    <w:p w14:paraId="27041482">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default" w:ascii="宋体" w:hAnsi="宋体" w:eastAsia="宋体" w:cs="Times New Roman"/>
          <w:color w:val="auto"/>
          <w:sz w:val="21"/>
          <w:szCs w:val="21"/>
          <w:highlight w:val="none"/>
          <w:u w:val="none"/>
        </w:rPr>
        <w:t>招标人在合格的中标候选人公示完成后</w:t>
      </w:r>
      <w:r>
        <w:rPr>
          <w:rFonts w:hint="eastAsia" w:ascii="宋体" w:hAnsi="宋体" w:eastAsia="宋体" w:cs="Times New Roman"/>
          <w:color w:val="auto"/>
          <w:sz w:val="21"/>
          <w:szCs w:val="21"/>
          <w:highlight w:val="none"/>
          <w:u w:val="none"/>
          <w:lang w:val="en-US" w:eastAsia="zh-CN"/>
        </w:rPr>
        <w:t>5</w:t>
      </w:r>
      <w:r>
        <w:rPr>
          <w:rFonts w:hint="default" w:ascii="宋体" w:hAnsi="宋体" w:eastAsia="宋体" w:cs="Times New Roman"/>
          <w:color w:val="auto"/>
          <w:sz w:val="21"/>
          <w:szCs w:val="21"/>
          <w:highlight w:val="none"/>
          <w:u w:val="none"/>
        </w:rPr>
        <w:t>个工作日内在广州公共资源交易中心开展定标工作，招标人按规定程序在投标人须知的时间和地点完成定标工作。</w:t>
      </w:r>
    </w:p>
    <w:p w14:paraId="658E5827">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lang w:val="en-US" w:eastAsia="zh-CN"/>
        </w:rPr>
        <w:t>4</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3.2</w:t>
      </w:r>
      <w:r>
        <w:rPr>
          <w:rFonts w:hint="default" w:ascii="宋体" w:hAnsi="宋体" w:eastAsia="宋体" w:cs="Times New Roman"/>
          <w:color w:val="auto"/>
          <w:sz w:val="21"/>
          <w:szCs w:val="21"/>
          <w:highlight w:val="none"/>
          <w:u w:val="none"/>
        </w:rPr>
        <w:t xml:space="preserve"> 定标规则</w:t>
      </w:r>
    </w:p>
    <w:p w14:paraId="1A28A7AE">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default" w:ascii="宋体" w:hAnsi="宋体" w:eastAsia="宋体" w:cs="Times New Roman"/>
          <w:color w:val="auto"/>
          <w:sz w:val="21"/>
          <w:szCs w:val="21"/>
          <w:highlight w:val="none"/>
          <w:u w:val="none"/>
        </w:rPr>
        <w:t>本项目采用</w:t>
      </w:r>
      <w:r>
        <w:rPr>
          <w:rFonts w:hint="eastAsia" w:ascii="宋体" w:hAnsi="宋体" w:eastAsia="宋体" w:cs="Times New Roman"/>
          <w:color w:val="auto"/>
          <w:sz w:val="21"/>
          <w:szCs w:val="21"/>
          <w:highlight w:val="none"/>
          <w:u w:val="none"/>
          <w:lang w:eastAsia="zh-CN"/>
        </w:rPr>
        <w:t>“</w:t>
      </w:r>
      <w:r>
        <w:rPr>
          <w:rFonts w:hint="default" w:ascii="宋体" w:hAnsi="宋体" w:eastAsia="宋体" w:cs="Times New Roman"/>
          <w:color w:val="auto"/>
          <w:sz w:val="21"/>
          <w:szCs w:val="21"/>
          <w:highlight w:val="none"/>
          <w:u w:val="none"/>
        </w:rPr>
        <w:t>价格因素+</w:t>
      </w:r>
      <w:r>
        <w:rPr>
          <w:rFonts w:hint="eastAsia" w:ascii="宋体" w:hAnsi="宋体" w:cs="Times New Roman"/>
          <w:color w:val="auto"/>
          <w:sz w:val="21"/>
          <w:szCs w:val="21"/>
          <w:highlight w:val="none"/>
          <w:u w:val="none"/>
          <w:lang w:eastAsia="zh-CN"/>
        </w:rPr>
        <w:t>履约能力因素</w:t>
      </w:r>
      <w:r>
        <w:rPr>
          <w:rFonts w:hint="eastAsia" w:ascii="宋体" w:hAnsi="宋体" w:eastAsia="宋体" w:cs="Times New Roman"/>
          <w:color w:val="auto"/>
          <w:sz w:val="21"/>
          <w:szCs w:val="21"/>
          <w:highlight w:val="none"/>
          <w:u w:val="none"/>
          <w:lang w:eastAsia="zh-CN"/>
        </w:rPr>
        <w:t>”</w:t>
      </w:r>
      <w:r>
        <w:rPr>
          <w:rFonts w:hint="default" w:ascii="宋体" w:hAnsi="宋体" w:eastAsia="宋体" w:cs="Times New Roman"/>
          <w:color w:val="auto"/>
          <w:sz w:val="21"/>
          <w:szCs w:val="21"/>
          <w:highlight w:val="none"/>
          <w:u w:val="none"/>
        </w:rPr>
        <w:t>评</w:t>
      </w:r>
      <w:r>
        <w:rPr>
          <w:rFonts w:hint="eastAsia" w:ascii="宋体" w:hAnsi="宋体" w:eastAsia="宋体" w:cs="Times New Roman"/>
          <w:color w:val="auto"/>
          <w:sz w:val="21"/>
          <w:szCs w:val="21"/>
          <w:highlight w:val="none"/>
          <w:u w:val="none"/>
          <w:lang w:eastAsia="zh-CN"/>
        </w:rPr>
        <w:t>分</w:t>
      </w:r>
      <w:r>
        <w:rPr>
          <w:rFonts w:hint="default" w:ascii="宋体" w:hAnsi="宋体" w:eastAsia="宋体" w:cs="Times New Roman"/>
          <w:color w:val="auto"/>
          <w:sz w:val="21"/>
          <w:szCs w:val="21"/>
          <w:highlight w:val="none"/>
          <w:u w:val="none"/>
        </w:rPr>
        <w:t>法,具体定标方法如下：</w:t>
      </w:r>
    </w:p>
    <w:p w14:paraId="78C8829A">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lang w:val="en-US" w:eastAsia="zh-CN"/>
        </w:rPr>
        <w:t>4</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3</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2.1</w:t>
      </w:r>
      <w:r>
        <w:rPr>
          <w:rFonts w:hint="default" w:ascii="宋体" w:hAnsi="宋体" w:eastAsia="宋体" w:cs="Times New Roman"/>
          <w:color w:val="auto"/>
          <w:sz w:val="21"/>
          <w:szCs w:val="21"/>
          <w:highlight w:val="none"/>
          <w:u w:val="none"/>
        </w:rPr>
        <w:t xml:space="preserve"> 定标程序</w:t>
      </w:r>
    </w:p>
    <w:p w14:paraId="5277376F">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lang w:val="en-US" w:eastAsia="zh-CN"/>
        </w:rPr>
        <w:t>4</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3</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2</w:t>
      </w:r>
      <w:r>
        <w:rPr>
          <w:rFonts w:hint="default" w:ascii="宋体" w:hAnsi="宋体" w:eastAsia="宋体" w:cs="Times New Roman"/>
          <w:color w:val="auto"/>
          <w:sz w:val="21"/>
          <w:szCs w:val="21"/>
          <w:highlight w:val="none"/>
          <w:u w:val="none"/>
        </w:rPr>
        <w:t>.1</w:t>
      </w:r>
      <w:r>
        <w:rPr>
          <w:rFonts w:hint="eastAsia" w:ascii="宋体" w:hAnsi="宋体" w:eastAsia="宋体" w:cs="Times New Roman"/>
          <w:color w:val="auto"/>
          <w:sz w:val="21"/>
          <w:szCs w:val="21"/>
          <w:highlight w:val="none"/>
          <w:u w:val="none"/>
          <w:lang w:val="en-US" w:eastAsia="zh-CN"/>
        </w:rPr>
        <w:t>.1</w:t>
      </w:r>
      <w:r>
        <w:rPr>
          <w:rFonts w:hint="default" w:ascii="宋体" w:hAnsi="宋体" w:eastAsia="宋体" w:cs="Times New Roman"/>
          <w:color w:val="auto"/>
          <w:sz w:val="21"/>
          <w:szCs w:val="21"/>
          <w:highlight w:val="none"/>
          <w:u w:val="none"/>
        </w:rPr>
        <w:t>定标工作开始后，定标委员会应推荐一人为定标委员会组长，主持当次定标会议。</w:t>
      </w:r>
    </w:p>
    <w:p w14:paraId="1442CE62">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lang w:val="en-US" w:eastAsia="zh-CN"/>
        </w:rPr>
        <w:t>4</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3</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2</w:t>
      </w:r>
      <w:r>
        <w:rPr>
          <w:rFonts w:hint="default" w:ascii="宋体" w:hAnsi="宋体" w:eastAsia="宋体" w:cs="Times New Roman"/>
          <w:color w:val="auto"/>
          <w:sz w:val="21"/>
          <w:szCs w:val="21"/>
          <w:highlight w:val="none"/>
          <w:u w:val="none"/>
        </w:rPr>
        <w:t>.1</w:t>
      </w:r>
      <w:r>
        <w:rPr>
          <w:rFonts w:hint="eastAsia" w:ascii="宋体" w:hAnsi="宋体" w:eastAsia="宋体" w:cs="Times New Roman"/>
          <w:color w:val="auto"/>
          <w:sz w:val="21"/>
          <w:szCs w:val="21"/>
          <w:highlight w:val="none"/>
          <w:u w:val="none"/>
          <w:lang w:val="en-US" w:eastAsia="zh-CN"/>
        </w:rPr>
        <w:t>.</w:t>
      </w:r>
      <w:r>
        <w:rPr>
          <w:rFonts w:hint="default" w:ascii="宋体" w:hAnsi="宋体" w:eastAsia="宋体" w:cs="Times New Roman"/>
          <w:color w:val="auto"/>
          <w:sz w:val="21"/>
          <w:szCs w:val="21"/>
          <w:highlight w:val="none"/>
          <w:u w:val="none"/>
        </w:rPr>
        <w:t>2定标辅助资料为评标阶段的评标报告、投标人提交的投标文件。</w:t>
      </w:r>
    </w:p>
    <w:p w14:paraId="1633DA8F">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lang w:val="en-US" w:eastAsia="zh-CN"/>
        </w:rPr>
        <w:t>4</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3</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2</w:t>
      </w:r>
      <w:r>
        <w:rPr>
          <w:rFonts w:hint="default" w:ascii="宋体" w:hAnsi="宋体" w:eastAsia="宋体" w:cs="Times New Roman"/>
          <w:color w:val="auto"/>
          <w:sz w:val="21"/>
          <w:szCs w:val="21"/>
          <w:highlight w:val="none"/>
          <w:u w:val="none"/>
        </w:rPr>
        <w:t>.1</w:t>
      </w:r>
      <w:r>
        <w:rPr>
          <w:rFonts w:hint="eastAsia" w:ascii="宋体" w:hAnsi="宋体" w:eastAsia="宋体" w:cs="Times New Roman"/>
          <w:color w:val="auto"/>
          <w:sz w:val="21"/>
          <w:szCs w:val="21"/>
          <w:highlight w:val="none"/>
          <w:u w:val="none"/>
          <w:lang w:val="en-US" w:eastAsia="zh-CN"/>
        </w:rPr>
        <w:t>.</w:t>
      </w:r>
      <w:r>
        <w:rPr>
          <w:rFonts w:hint="default" w:ascii="宋体" w:hAnsi="宋体" w:eastAsia="宋体" w:cs="Times New Roman"/>
          <w:color w:val="auto"/>
          <w:sz w:val="21"/>
          <w:szCs w:val="21"/>
          <w:highlight w:val="none"/>
          <w:u w:val="none"/>
        </w:rPr>
        <w:t>3定标委员会根据定标辅助资料，在同等条件下，定标因素的相对标准按以下2个方面进行（详见附表《定标因素表》）：</w:t>
      </w:r>
    </w:p>
    <w:p w14:paraId="06BADE84">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default" w:ascii="宋体" w:hAnsi="宋体" w:eastAsia="宋体" w:cs="Times New Roman"/>
          <w:color w:val="auto"/>
          <w:sz w:val="21"/>
          <w:szCs w:val="21"/>
          <w:highlight w:val="none"/>
          <w:u w:val="none"/>
        </w:rPr>
        <w:t>（1）价格因素；</w:t>
      </w:r>
    </w:p>
    <w:p w14:paraId="58040502">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default" w:ascii="宋体" w:hAnsi="宋体" w:eastAsia="宋体" w:cs="Times New Roman"/>
          <w:color w:val="auto"/>
          <w:sz w:val="21"/>
          <w:szCs w:val="21"/>
          <w:highlight w:val="none"/>
          <w:u w:val="none"/>
        </w:rPr>
        <w:t>（2）履约能力因素；</w:t>
      </w:r>
    </w:p>
    <w:p w14:paraId="08ABA999">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lang w:val="en-US" w:eastAsia="zh-CN"/>
        </w:rPr>
        <w:t>4</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3</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2</w:t>
      </w:r>
      <w:r>
        <w:rPr>
          <w:rFonts w:hint="default" w:ascii="宋体" w:hAnsi="宋体" w:eastAsia="宋体" w:cs="Times New Roman"/>
          <w:color w:val="auto"/>
          <w:sz w:val="21"/>
          <w:szCs w:val="21"/>
          <w:highlight w:val="none"/>
          <w:u w:val="none"/>
        </w:rPr>
        <w:t>.1.4将所有定标委员会成员对同一投标人的评分进行相加（总得分=价格因素得分+履约能力因素得分），总分由高至低排序，总分最高的中标人。</w:t>
      </w:r>
    </w:p>
    <w:p w14:paraId="7F4B7EE6">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default" w:ascii="宋体" w:hAnsi="宋体" w:eastAsia="宋体" w:cs="Times New Roman"/>
          <w:color w:val="auto"/>
          <w:sz w:val="21"/>
          <w:szCs w:val="21"/>
          <w:highlight w:val="none"/>
          <w:u w:val="none"/>
        </w:rPr>
        <w:t>注：若合格的中标候选人总得分相同且影响定标排序的，以履约能力因素得分高的排前；若履约能力因素得分仍相同的，以价格因素得分高的排前，若价格因素得分仍相同的，由定标委员会</w:t>
      </w:r>
      <w:r>
        <w:rPr>
          <w:rFonts w:hint="eastAsia" w:ascii="宋体" w:hAnsi="宋体" w:eastAsia="宋体" w:cs="Times New Roman"/>
          <w:color w:val="auto"/>
          <w:sz w:val="21"/>
          <w:szCs w:val="21"/>
          <w:highlight w:val="none"/>
          <w:u w:val="none"/>
          <w:lang w:eastAsia="zh-CN"/>
        </w:rPr>
        <w:t>记名</w:t>
      </w:r>
      <w:r>
        <w:rPr>
          <w:rFonts w:hint="default" w:ascii="宋体" w:hAnsi="宋体" w:eastAsia="宋体" w:cs="Times New Roman"/>
          <w:color w:val="auto"/>
          <w:sz w:val="21"/>
          <w:szCs w:val="21"/>
          <w:highlight w:val="none"/>
          <w:u w:val="none"/>
        </w:rPr>
        <w:t>投票确定排序。</w:t>
      </w:r>
    </w:p>
    <w:p w14:paraId="63FFF10C">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lang w:val="en-US" w:eastAsia="zh-CN"/>
        </w:rPr>
        <w:t>4</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3</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2</w:t>
      </w:r>
      <w:r>
        <w:rPr>
          <w:rFonts w:hint="default" w:ascii="宋体" w:hAnsi="宋体" w:eastAsia="宋体" w:cs="Times New Roman"/>
          <w:color w:val="auto"/>
          <w:sz w:val="21"/>
          <w:szCs w:val="21"/>
          <w:highlight w:val="none"/>
          <w:u w:val="none"/>
        </w:rPr>
        <w:t>.2定标委员会组长根据评分情况向招标人推荐中标人。</w:t>
      </w:r>
    </w:p>
    <w:p w14:paraId="4AB53F2F">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lang w:val="en-US" w:eastAsia="zh-CN"/>
        </w:rPr>
        <w:t>4</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3</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2</w:t>
      </w:r>
      <w:r>
        <w:rPr>
          <w:rFonts w:hint="default" w:ascii="宋体" w:hAnsi="宋体" w:eastAsia="宋体" w:cs="Times New Roman"/>
          <w:color w:val="auto"/>
          <w:sz w:val="21"/>
          <w:szCs w:val="21"/>
          <w:highlight w:val="none"/>
          <w:u w:val="none"/>
        </w:rPr>
        <w:t>.3编写定标报告，定标委员会全体确认后签署定标报告。定标报告由定标委员会全体成员签字，对定标结论持有异议的成员应以书面方式阐述其不同意见和理由。</w:t>
      </w:r>
    </w:p>
    <w:p w14:paraId="46D01691">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lang w:val="en-US" w:eastAsia="zh-CN"/>
        </w:rPr>
        <w:t>4</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3</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2</w:t>
      </w:r>
      <w:r>
        <w:rPr>
          <w:rFonts w:hint="default" w:ascii="宋体" w:hAnsi="宋体" w:eastAsia="宋体" w:cs="Times New Roman"/>
          <w:color w:val="auto"/>
          <w:sz w:val="21"/>
          <w:szCs w:val="21"/>
          <w:highlight w:val="none"/>
          <w:u w:val="none"/>
        </w:rPr>
        <w:t>.4定标后出现中标人不符合法定情形的，招标人有权从其他已进入定标阶段的合格中标候选人中采用原定标办法，由原定标委员会确定中标人，招标人也有权重新招标。</w:t>
      </w:r>
    </w:p>
    <w:p w14:paraId="6AF83CC2">
      <w:pPr>
        <w:pStyle w:val="11"/>
        <w:keepNext w:val="0"/>
        <w:keepLines w:val="0"/>
        <w:pageBreakBefore w:val="0"/>
        <w:widowControl w:val="0"/>
        <w:kinsoku w:val="0"/>
        <w:wordWrap/>
        <w:overflowPunct w:val="0"/>
        <w:topLinePunct w:val="0"/>
        <w:autoSpaceDE/>
        <w:autoSpaceDN/>
        <w:bidi w:val="0"/>
        <w:adjustRightInd/>
        <w:snapToGrid/>
        <w:spacing w:after="0" w:line="360" w:lineRule="auto"/>
        <w:ind w:left="100" w:right="109" w:firstLine="420" w:firstLineChars="200"/>
        <w:textAlignment w:val="auto"/>
        <w:rPr>
          <w:rFonts w:hint="default" w:ascii="宋体" w:hAnsi="宋体" w:eastAsia="宋体"/>
          <w:color w:val="auto"/>
          <w:sz w:val="21"/>
          <w:szCs w:val="21"/>
          <w:highlight w:val="none"/>
        </w:rPr>
      </w:pPr>
      <w:r>
        <w:rPr>
          <w:rFonts w:hint="eastAsia" w:ascii="宋体" w:hAnsi="宋体" w:eastAsia="宋体" w:cs="Times New Roman"/>
          <w:color w:val="auto"/>
          <w:sz w:val="21"/>
          <w:szCs w:val="21"/>
          <w:highlight w:val="none"/>
          <w:u w:val="none"/>
          <w:lang w:val="en-US" w:eastAsia="zh-CN"/>
        </w:rPr>
        <w:t>4</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3</w:t>
      </w:r>
      <w:r>
        <w:rPr>
          <w:rFonts w:hint="default" w:ascii="宋体" w:hAnsi="宋体" w:eastAsia="宋体" w:cs="Times New Roman"/>
          <w:color w:val="auto"/>
          <w:sz w:val="21"/>
          <w:szCs w:val="21"/>
          <w:highlight w:val="none"/>
          <w:u w:val="none"/>
        </w:rPr>
        <w:t>.</w:t>
      </w:r>
      <w:r>
        <w:rPr>
          <w:rFonts w:hint="eastAsia" w:ascii="宋体" w:hAnsi="宋体" w:eastAsia="宋体" w:cs="Times New Roman"/>
          <w:color w:val="auto"/>
          <w:sz w:val="21"/>
          <w:szCs w:val="21"/>
          <w:highlight w:val="none"/>
          <w:u w:val="none"/>
          <w:lang w:val="en-US" w:eastAsia="zh-CN"/>
        </w:rPr>
        <w:t>2</w:t>
      </w:r>
      <w:r>
        <w:rPr>
          <w:rFonts w:hint="default" w:ascii="宋体" w:hAnsi="宋体" w:eastAsia="宋体" w:cs="Times New Roman"/>
          <w:color w:val="auto"/>
          <w:sz w:val="21"/>
          <w:szCs w:val="21"/>
          <w:highlight w:val="none"/>
          <w:u w:val="none"/>
        </w:rPr>
        <w:t>.5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27AEE0B3">
      <w:pPr>
        <w:spacing w:line="360" w:lineRule="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注：以上修改，仅限于本范本中有可供选择条款的情形。</w:t>
      </w:r>
    </w:p>
    <w:p w14:paraId="05C08168">
      <w:pPr>
        <w:spacing w:line="360" w:lineRule="auto"/>
        <w:rPr>
          <w:rFonts w:hint="default" w:cs="宋体"/>
          <w:color w:val="auto"/>
          <w:sz w:val="21"/>
          <w:szCs w:val="21"/>
          <w:highlight w:val="none"/>
        </w:rPr>
        <w:sectPr>
          <w:footerReference r:id="rId5" w:type="default"/>
          <w:type w:val="continuous"/>
          <w:pgSz w:w="11850" w:h="16838"/>
          <w:pgMar w:top="1417" w:right="1417" w:bottom="1417" w:left="1417" w:header="992" w:footer="992" w:gutter="0"/>
          <w:lnNumType w:countBy="0" w:distance="360"/>
          <w:pgNumType w:fmt="decimal"/>
          <w:cols w:space="720" w:num="1"/>
        </w:sectPr>
      </w:pPr>
      <w:r>
        <w:rPr>
          <w:rFonts w:hint="default" w:ascii="宋体" w:hAnsi="宋体" w:eastAsia="宋体"/>
          <w:color w:val="auto"/>
          <w:sz w:val="21"/>
          <w:szCs w:val="21"/>
          <w:highlight w:val="none"/>
        </w:rPr>
        <w:t>（以下无正文）</w:t>
      </w:r>
    </w:p>
    <w:p w14:paraId="08350AEF">
      <w:pPr>
        <w:outlineLvl w:val="1"/>
        <w:rPr>
          <w:rFonts w:ascii="宋体" w:hAnsi="宋体" w:eastAsia="宋体" w:cs="宋体"/>
          <w:sz w:val="28"/>
          <w:szCs w:val="28"/>
        </w:rPr>
      </w:pPr>
      <w:bookmarkStart w:id="1050" w:name="_Toc25926"/>
      <w:bookmarkStart w:id="1051" w:name="_Toc9518"/>
      <w:r>
        <w:rPr>
          <w:rStyle w:val="40"/>
          <w:rFonts w:hint="eastAsia" w:ascii="宋体" w:hAnsi="宋体" w:eastAsia="宋体" w:cs="宋体"/>
          <w:b/>
          <w:bCs w:val="0"/>
          <w:lang w:val="en-US" w:eastAsia="zh-CN"/>
        </w:rPr>
        <w:t>1. 评标方法</w:t>
      </w:r>
      <w:bookmarkEnd w:id="1041"/>
      <w:bookmarkEnd w:id="1042"/>
      <w:bookmarkEnd w:id="1043"/>
      <w:bookmarkEnd w:id="1044"/>
      <w:bookmarkEnd w:id="1045"/>
      <w:bookmarkEnd w:id="1046"/>
      <w:bookmarkEnd w:id="1047"/>
      <w:bookmarkEnd w:id="1050"/>
      <w:bookmarkEnd w:id="1051"/>
    </w:p>
    <w:p w14:paraId="50F418A5">
      <w:pPr>
        <w:pStyle w:val="3"/>
        <w:keepNext/>
        <w:keepLines/>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rPr>
      </w:pPr>
      <w:bookmarkStart w:id="1052" w:name="_Toc20530"/>
      <w:r>
        <w:rPr>
          <w:rFonts w:hint="eastAsia" w:ascii="宋体" w:hAnsi="宋体" w:eastAsia="宋体" w:cs="宋体"/>
          <w:sz w:val="21"/>
          <w:szCs w:val="21"/>
          <w:u w:val="single"/>
        </w:rPr>
        <w:t>本项目采用评定分离定标办法，其中：评标采用“定量评审”的评标办法，通过投标文件初步审查的投标人中，按第三章评标、定标办法第3.2 详细评审要求确定的投标人总得分排序，推荐进入定标阶段的合格中标候选人名单[中标候选人不排序，按统一社会信用代码后4位（除校验码外）大小排位，如统一社会信用代码后4位出现字母情况的，字母以“0”进行代替大小排位；如出现后4位（除校验码外）大小一致的，则随机排位]，并编制评标报告。若通过初步审查的投标人大于等于 3 名且少于等于20名，则全部为合格的中标候选人，不排序进入定标阶段；若通过初步审查的投标人大于20名，按投标人总得分由高到低顺序推荐前20名不排序的合格的中标候选人（总得分相同的，以资信业绩得分高的排前；资信业绩得分也相同的，以</w:t>
      </w:r>
      <w:r>
        <w:rPr>
          <w:rFonts w:hint="eastAsia" w:ascii="宋体" w:hAnsi="宋体" w:eastAsia="宋体" w:cs="宋体"/>
          <w:sz w:val="21"/>
          <w:szCs w:val="21"/>
          <w:u w:val="single"/>
          <w:lang w:eastAsia="zh-CN"/>
        </w:rPr>
        <w:t>项目实施方案</w:t>
      </w:r>
      <w:r>
        <w:rPr>
          <w:rFonts w:hint="eastAsia" w:ascii="宋体" w:hAnsi="宋体" w:eastAsia="宋体" w:cs="宋体"/>
          <w:sz w:val="21"/>
          <w:szCs w:val="21"/>
          <w:u w:val="single"/>
        </w:rPr>
        <w:t>得分高的排前；</w:t>
      </w:r>
      <w:r>
        <w:rPr>
          <w:rFonts w:hint="eastAsia" w:ascii="宋体" w:hAnsi="宋体" w:eastAsia="宋体" w:cs="宋体"/>
          <w:sz w:val="21"/>
          <w:szCs w:val="21"/>
          <w:u w:val="single"/>
          <w:lang w:eastAsia="zh-CN"/>
        </w:rPr>
        <w:t>项目实施方案</w:t>
      </w:r>
      <w:r>
        <w:rPr>
          <w:rFonts w:hint="eastAsia" w:ascii="宋体" w:hAnsi="宋体" w:eastAsia="宋体" w:cs="宋体"/>
          <w:sz w:val="21"/>
          <w:szCs w:val="21"/>
          <w:u w:val="single"/>
        </w:rPr>
        <w:t>得分也相同的，以报价低的排前；如均相同的，则以评标委员会通过记名投票方式确定排序。其排名顺序只作为评标阶段确定进入定标阶段的依据,不对定标工作产生影响），进入定标阶段。</w:t>
      </w:r>
      <w:bookmarkEnd w:id="1052"/>
      <w:bookmarkStart w:id="1053" w:name="_Toc10518"/>
      <w:bookmarkStart w:id="1054" w:name="_Toc29935"/>
      <w:bookmarkStart w:id="1055" w:name="_Toc894"/>
      <w:bookmarkStart w:id="1056" w:name="_Toc9034"/>
      <w:bookmarkStart w:id="1057" w:name="_Toc6332"/>
      <w:bookmarkStart w:id="1058" w:name="_Toc24058"/>
      <w:bookmarkStart w:id="1059" w:name="_Toc6855"/>
      <w:bookmarkStart w:id="1060" w:name="_Toc27001"/>
      <w:bookmarkStart w:id="1061" w:name="_Toc492300629"/>
      <w:bookmarkStart w:id="1062" w:name="_Toc31541"/>
      <w:bookmarkStart w:id="1063" w:name="_Toc28600"/>
      <w:bookmarkStart w:id="1064" w:name="_Toc12366"/>
      <w:bookmarkStart w:id="1065" w:name="_Toc692"/>
      <w:bookmarkStart w:id="1066" w:name="_Toc12628"/>
      <w:bookmarkStart w:id="1067" w:name="_Toc17872"/>
      <w:bookmarkStart w:id="1068" w:name="_Toc14303"/>
    </w:p>
    <w:p w14:paraId="10A64806">
      <w:pPr>
        <w:pStyle w:val="3"/>
        <w:bidi w:val="0"/>
        <w:rPr>
          <w:rFonts w:hint="eastAsia" w:ascii="宋体" w:hAnsi="宋体" w:eastAsia="宋体" w:cs="宋体"/>
          <w:b/>
          <w:bCs w:val="0"/>
        </w:rPr>
      </w:pPr>
      <w:bookmarkStart w:id="1069" w:name="_Toc22929"/>
      <w:r>
        <w:rPr>
          <w:rFonts w:hint="eastAsia" w:ascii="宋体" w:hAnsi="宋体" w:eastAsia="宋体" w:cs="宋体"/>
          <w:b/>
          <w:bCs w:val="0"/>
        </w:rPr>
        <w:t>2. 评审标准</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37156460">
      <w:pPr>
        <w:pStyle w:val="4"/>
        <w:rPr>
          <w:rFonts w:ascii="宋体" w:hAnsi="宋体" w:eastAsia="宋体" w:cs="宋体"/>
          <w:szCs w:val="24"/>
        </w:rPr>
      </w:pPr>
      <w:bookmarkStart w:id="1070" w:name="_Toc29468"/>
      <w:bookmarkStart w:id="1071" w:name="_Toc15313"/>
      <w:bookmarkStart w:id="1072" w:name="_Toc10682"/>
      <w:bookmarkStart w:id="1073" w:name="_Toc5443"/>
      <w:bookmarkStart w:id="1074" w:name="_Toc19668"/>
      <w:bookmarkStart w:id="1075" w:name="_Toc1119"/>
      <w:bookmarkStart w:id="1076" w:name="_Toc3237"/>
      <w:bookmarkStart w:id="1077" w:name="_Toc492300630"/>
      <w:bookmarkStart w:id="1078" w:name="_Toc9525"/>
      <w:bookmarkStart w:id="1079" w:name="_Toc9985"/>
      <w:bookmarkStart w:id="1080" w:name="_Toc9844"/>
      <w:bookmarkStart w:id="1081" w:name="_Toc1337"/>
      <w:bookmarkStart w:id="1082" w:name="_Toc24422"/>
      <w:bookmarkStart w:id="1083" w:name="_Toc26304"/>
      <w:bookmarkStart w:id="1084" w:name="_Toc27190"/>
      <w:bookmarkStart w:id="1085" w:name="_Toc17301"/>
      <w:r>
        <w:rPr>
          <w:rFonts w:ascii="宋体" w:hAnsi="宋体" w:eastAsia="宋体" w:cs="宋体"/>
          <w:szCs w:val="24"/>
        </w:rPr>
        <w:t xml:space="preserve">2.1 </w:t>
      </w:r>
      <w:r>
        <w:rPr>
          <w:rFonts w:hint="eastAsia" w:ascii="宋体" w:hAnsi="宋体" w:eastAsia="宋体" w:cs="宋体"/>
          <w:szCs w:val="24"/>
        </w:rPr>
        <w:t>初步评审标准</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77AC0B49">
      <w:pPr>
        <w:spacing w:line="360" w:lineRule="auto"/>
        <w:ind w:firstLine="420" w:firstLineChars="200"/>
        <w:rPr>
          <w:rFonts w:ascii="宋体" w:hAnsi="宋体" w:cs="宋体"/>
          <w:sz w:val="21"/>
          <w:szCs w:val="21"/>
        </w:rPr>
      </w:pPr>
      <w:r>
        <w:rPr>
          <w:rFonts w:ascii="宋体" w:hAnsi="宋体" w:cs="宋体"/>
          <w:sz w:val="21"/>
          <w:szCs w:val="21"/>
        </w:rPr>
        <w:t xml:space="preserve">2.1.1 </w:t>
      </w:r>
      <w:r>
        <w:rPr>
          <w:rFonts w:hint="eastAsia" w:ascii="宋体" w:hAnsi="宋体" w:cs="宋体"/>
          <w:sz w:val="21"/>
          <w:szCs w:val="21"/>
        </w:rPr>
        <w:t>形式评审标准：见评标办法前附表。</w:t>
      </w:r>
    </w:p>
    <w:p w14:paraId="5B3FB3E0">
      <w:pPr>
        <w:spacing w:line="360" w:lineRule="auto"/>
        <w:ind w:firstLine="420" w:firstLineChars="200"/>
        <w:rPr>
          <w:rFonts w:ascii="宋体" w:hAnsi="宋体" w:cs="宋体"/>
          <w:sz w:val="21"/>
          <w:szCs w:val="21"/>
        </w:rPr>
      </w:pPr>
      <w:r>
        <w:rPr>
          <w:rFonts w:ascii="宋体" w:hAnsi="宋体" w:cs="宋体"/>
          <w:sz w:val="21"/>
          <w:szCs w:val="21"/>
        </w:rPr>
        <w:t xml:space="preserve">2.1.2 </w:t>
      </w:r>
      <w:r>
        <w:rPr>
          <w:rFonts w:hint="eastAsia" w:ascii="宋体" w:hAnsi="宋体" w:cs="宋体"/>
          <w:sz w:val="21"/>
          <w:szCs w:val="21"/>
        </w:rPr>
        <w:t>资格评审标准：见评标办法前附表。</w:t>
      </w:r>
    </w:p>
    <w:p w14:paraId="5054EEAA">
      <w:pPr>
        <w:spacing w:line="360" w:lineRule="auto"/>
        <w:ind w:firstLine="420" w:firstLineChars="200"/>
        <w:rPr>
          <w:rFonts w:hint="eastAsia" w:ascii="宋体" w:hAnsi="宋体" w:cs="宋体"/>
          <w:sz w:val="21"/>
          <w:szCs w:val="21"/>
        </w:rPr>
      </w:pPr>
      <w:r>
        <w:rPr>
          <w:rFonts w:ascii="宋体" w:hAnsi="宋体" w:cs="宋体"/>
          <w:sz w:val="21"/>
          <w:szCs w:val="21"/>
        </w:rPr>
        <w:t xml:space="preserve">2.1.3 </w:t>
      </w:r>
      <w:r>
        <w:rPr>
          <w:rFonts w:hint="eastAsia" w:ascii="宋体" w:hAnsi="宋体" w:cs="宋体"/>
          <w:sz w:val="21"/>
          <w:szCs w:val="21"/>
        </w:rPr>
        <w:t>响应性评审标准：见评标办法前附表。</w:t>
      </w:r>
    </w:p>
    <w:p w14:paraId="59830CDF">
      <w:pPr>
        <w:pStyle w:val="7"/>
      </w:pPr>
    </w:p>
    <w:p w14:paraId="3DC502DB">
      <w:pPr>
        <w:pStyle w:val="4"/>
        <w:rPr>
          <w:rFonts w:ascii="宋体" w:hAnsi="宋体" w:eastAsia="宋体" w:cs="宋体"/>
          <w:szCs w:val="24"/>
        </w:rPr>
      </w:pPr>
      <w:bookmarkStart w:id="1086" w:name="_Toc20020"/>
      <w:bookmarkStart w:id="1087" w:name="_Toc12112"/>
      <w:bookmarkStart w:id="1088" w:name="_Toc29234"/>
      <w:bookmarkStart w:id="1089" w:name="_Toc14094"/>
      <w:bookmarkStart w:id="1090" w:name="_Toc14537"/>
      <w:bookmarkStart w:id="1091" w:name="_Toc21103"/>
      <w:bookmarkStart w:id="1092" w:name="_Toc8415"/>
      <w:bookmarkStart w:id="1093" w:name="_Toc7452"/>
      <w:bookmarkStart w:id="1094" w:name="_Toc2315"/>
      <w:bookmarkStart w:id="1095" w:name="_Toc12932"/>
      <w:bookmarkStart w:id="1096" w:name="_Toc492300631"/>
      <w:bookmarkStart w:id="1097" w:name="_Toc21945"/>
      <w:bookmarkStart w:id="1098" w:name="_Toc9111"/>
      <w:bookmarkStart w:id="1099" w:name="_Toc9322"/>
      <w:bookmarkStart w:id="1100" w:name="_Toc15078"/>
      <w:bookmarkStart w:id="1101" w:name="_Toc9098"/>
      <w:r>
        <w:rPr>
          <w:rFonts w:ascii="宋体" w:hAnsi="宋体" w:eastAsia="宋体" w:cs="宋体"/>
          <w:szCs w:val="24"/>
        </w:rPr>
        <w:t xml:space="preserve">2.2 </w:t>
      </w:r>
      <w:r>
        <w:rPr>
          <w:rFonts w:hint="eastAsia" w:ascii="宋体" w:hAnsi="宋体" w:eastAsia="宋体" w:cs="宋体"/>
          <w:szCs w:val="24"/>
        </w:rPr>
        <w:t>分值构成与评分标准</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48072A92">
      <w:pPr>
        <w:spacing w:line="360" w:lineRule="auto"/>
        <w:ind w:firstLine="480" w:firstLineChars="200"/>
        <w:rPr>
          <w:rFonts w:ascii="宋体" w:hAnsi="宋体" w:cs="宋体"/>
          <w:sz w:val="21"/>
          <w:szCs w:val="21"/>
        </w:rPr>
      </w:pPr>
      <w:r>
        <w:rPr>
          <w:rFonts w:ascii="宋体" w:hAnsi="宋体" w:cs="宋体"/>
          <w:sz w:val="24"/>
          <w:szCs w:val="24"/>
        </w:rPr>
        <w:t>2</w:t>
      </w:r>
      <w:r>
        <w:rPr>
          <w:rFonts w:ascii="宋体" w:hAnsi="宋体" w:cs="宋体"/>
          <w:sz w:val="21"/>
          <w:szCs w:val="21"/>
        </w:rPr>
        <w:t xml:space="preserve">.2.1 </w:t>
      </w:r>
      <w:r>
        <w:rPr>
          <w:rFonts w:hint="eastAsia" w:ascii="宋体" w:hAnsi="宋体" w:cs="宋体"/>
          <w:sz w:val="21"/>
          <w:szCs w:val="21"/>
        </w:rPr>
        <w:t>分值构成</w:t>
      </w:r>
    </w:p>
    <w:p w14:paraId="1B5677ED">
      <w:pPr>
        <w:spacing w:line="360" w:lineRule="auto"/>
        <w:ind w:firstLine="420" w:firstLineChars="200"/>
        <w:rPr>
          <w:rFonts w:ascii="宋体" w:hAnsi="宋体" w:cs="宋体"/>
          <w:sz w:val="21"/>
          <w:szCs w:val="21"/>
        </w:rPr>
      </w:pPr>
      <w:r>
        <w:rPr>
          <w:rFonts w:hint="eastAsia" w:ascii="宋体" w:hAnsi="宋体" w:cs="宋体"/>
          <w:sz w:val="21"/>
          <w:szCs w:val="21"/>
        </w:rPr>
        <w:t>（1）资信业绩部分：见评标办法前附表；</w:t>
      </w:r>
    </w:p>
    <w:p w14:paraId="49B01361">
      <w:pPr>
        <w:spacing w:line="360" w:lineRule="auto"/>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项目实施方案</w:t>
      </w:r>
      <w:r>
        <w:rPr>
          <w:rFonts w:hint="eastAsia" w:ascii="宋体" w:hAnsi="宋体" w:cs="宋体"/>
          <w:sz w:val="21"/>
          <w:szCs w:val="21"/>
        </w:rPr>
        <w:t>部分：见评标办法前附表；</w:t>
      </w:r>
    </w:p>
    <w:p w14:paraId="2FC7D7D8">
      <w:pPr>
        <w:spacing w:line="360" w:lineRule="auto"/>
        <w:ind w:firstLine="420" w:firstLineChars="200"/>
        <w:rPr>
          <w:rFonts w:ascii="宋体" w:hAnsi="宋体" w:cs="宋体"/>
          <w:sz w:val="21"/>
          <w:szCs w:val="21"/>
        </w:rPr>
      </w:pPr>
      <w:r>
        <w:rPr>
          <w:rFonts w:hint="eastAsia" w:ascii="宋体" w:hAnsi="宋体" w:cs="宋体"/>
          <w:sz w:val="21"/>
          <w:szCs w:val="21"/>
        </w:rPr>
        <w:t>（3）投标报价：见评标办法前附表；</w:t>
      </w:r>
    </w:p>
    <w:p w14:paraId="00520B3F">
      <w:pPr>
        <w:spacing w:line="360" w:lineRule="auto"/>
        <w:ind w:firstLine="420" w:firstLineChars="200"/>
      </w:pPr>
      <w:r>
        <w:rPr>
          <w:rFonts w:hint="eastAsia" w:ascii="宋体" w:hAnsi="宋体" w:cs="宋体"/>
          <w:sz w:val="21"/>
          <w:szCs w:val="21"/>
        </w:rPr>
        <w:t>（4）其他评分因素：见评标办法前附表。</w:t>
      </w:r>
    </w:p>
    <w:p w14:paraId="3AF6DAC8">
      <w:pPr>
        <w:spacing w:line="360" w:lineRule="auto"/>
        <w:ind w:firstLine="420" w:firstLineChars="200"/>
        <w:rPr>
          <w:rFonts w:ascii="宋体" w:hAnsi="宋体" w:cs="宋体"/>
          <w:sz w:val="21"/>
          <w:szCs w:val="21"/>
        </w:rPr>
      </w:pPr>
      <w:r>
        <w:rPr>
          <w:rFonts w:ascii="宋体" w:hAnsi="宋体" w:cs="宋体"/>
          <w:sz w:val="21"/>
          <w:szCs w:val="21"/>
        </w:rPr>
        <w:t xml:space="preserve">2.2.2 </w:t>
      </w:r>
      <w:r>
        <w:rPr>
          <w:rFonts w:hint="eastAsia" w:ascii="宋体" w:hAnsi="宋体" w:cs="宋体"/>
          <w:sz w:val="21"/>
          <w:szCs w:val="21"/>
        </w:rPr>
        <w:t>评标基准价计算</w:t>
      </w:r>
    </w:p>
    <w:p w14:paraId="306AE3E3">
      <w:pPr>
        <w:spacing w:line="360" w:lineRule="auto"/>
        <w:ind w:firstLine="420" w:firstLineChars="200"/>
        <w:rPr>
          <w:rFonts w:ascii="宋体" w:hAnsi="宋体" w:cs="宋体"/>
          <w:sz w:val="21"/>
          <w:szCs w:val="21"/>
        </w:rPr>
      </w:pPr>
      <w:r>
        <w:rPr>
          <w:rFonts w:hint="eastAsia" w:ascii="宋体" w:hAnsi="宋体" w:cs="宋体"/>
          <w:sz w:val="21"/>
          <w:szCs w:val="21"/>
        </w:rPr>
        <w:t>评标基准价计算方法：见评标办法前附表。</w:t>
      </w:r>
    </w:p>
    <w:p w14:paraId="3B512515">
      <w:pPr>
        <w:spacing w:line="360" w:lineRule="auto"/>
        <w:ind w:firstLine="420" w:firstLineChars="200"/>
        <w:rPr>
          <w:rFonts w:ascii="宋体" w:hAnsi="宋体" w:cs="宋体"/>
          <w:sz w:val="21"/>
          <w:szCs w:val="21"/>
        </w:rPr>
      </w:pPr>
      <w:r>
        <w:rPr>
          <w:rFonts w:ascii="宋体" w:hAnsi="宋体" w:cs="宋体"/>
          <w:sz w:val="21"/>
          <w:szCs w:val="21"/>
        </w:rPr>
        <w:t xml:space="preserve">2.2.3 </w:t>
      </w:r>
      <w:r>
        <w:rPr>
          <w:rFonts w:hint="eastAsia" w:ascii="宋体" w:hAnsi="宋体" w:cs="宋体"/>
          <w:sz w:val="21"/>
          <w:szCs w:val="21"/>
        </w:rPr>
        <w:t>投标报价的偏差率计算</w:t>
      </w:r>
    </w:p>
    <w:p w14:paraId="525BF929">
      <w:pPr>
        <w:spacing w:line="360" w:lineRule="auto"/>
        <w:ind w:firstLine="420" w:firstLineChars="200"/>
        <w:rPr>
          <w:rFonts w:ascii="宋体" w:hAnsi="宋体" w:cs="宋体"/>
          <w:sz w:val="21"/>
          <w:szCs w:val="21"/>
        </w:rPr>
      </w:pPr>
      <w:r>
        <w:rPr>
          <w:rFonts w:hint="eastAsia" w:ascii="宋体" w:hAnsi="宋体" w:cs="宋体"/>
          <w:sz w:val="21"/>
          <w:szCs w:val="21"/>
        </w:rPr>
        <w:t>投标报价的偏差率计算公式：见评标办法前附表。</w:t>
      </w:r>
    </w:p>
    <w:p w14:paraId="4867A548">
      <w:pPr>
        <w:spacing w:line="360" w:lineRule="auto"/>
        <w:ind w:firstLine="420" w:firstLineChars="200"/>
        <w:rPr>
          <w:rFonts w:ascii="宋体" w:hAnsi="宋体" w:cs="宋体"/>
          <w:sz w:val="21"/>
          <w:szCs w:val="21"/>
        </w:rPr>
      </w:pPr>
      <w:r>
        <w:rPr>
          <w:rFonts w:ascii="宋体" w:hAnsi="宋体" w:cs="宋体"/>
          <w:sz w:val="21"/>
          <w:szCs w:val="21"/>
        </w:rPr>
        <w:t xml:space="preserve">2.2.4 </w:t>
      </w:r>
      <w:r>
        <w:rPr>
          <w:rFonts w:hint="eastAsia" w:ascii="宋体" w:hAnsi="宋体" w:cs="宋体"/>
          <w:sz w:val="21"/>
          <w:szCs w:val="21"/>
        </w:rPr>
        <w:t>评分标准</w:t>
      </w:r>
    </w:p>
    <w:p w14:paraId="102A652D">
      <w:pPr>
        <w:spacing w:line="360" w:lineRule="auto"/>
        <w:ind w:firstLine="420" w:firstLineChars="200"/>
        <w:rPr>
          <w:rFonts w:ascii="宋体" w:hAnsi="宋体" w:cs="宋体"/>
          <w:sz w:val="21"/>
          <w:szCs w:val="21"/>
        </w:rPr>
      </w:pPr>
      <w:r>
        <w:rPr>
          <w:rFonts w:hint="eastAsia" w:ascii="宋体" w:hAnsi="宋体" w:cs="宋体"/>
          <w:sz w:val="21"/>
          <w:szCs w:val="21"/>
        </w:rPr>
        <w:t>（1）资信业绩评分标准：见评标办法前附表；</w:t>
      </w:r>
    </w:p>
    <w:p w14:paraId="5AA0297B">
      <w:pPr>
        <w:spacing w:line="360" w:lineRule="auto"/>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项目实施方案</w:t>
      </w:r>
      <w:r>
        <w:rPr>
          <w:rFonts w:hint="eastAsia" w:ascii="宋体" w:hAnsi="宋体" w:cs="宋体"/>
          <w:sz w:val="21"/>
          <w:szCs w:val="21"/>
        </w:rPr>
        <w:t>评分标准：见评标办法前附表；</w:t>
      </w:r>
    </w:p>
    <w:p w14:paraId="45F59F84">
      <w:pPr>
        <w:spacing w:line="360" w:lineRule="auto"/>
        <w:ind w:firstLine="420" w:firstLineChars="200"/>
        <w:rPr>
          <w:rFonts w:ascii="宋体" w:hAnsi="宋体" w:cs="宋体"/>
          <w:sz w:val="21"/>
          <w:szCs w:val="21"/>
        </w:rPr>
      </w:pPr>
      <w:r>
        <w:rPr>
          <w:rFonts w:hint="eastAsia" w:ascii="宋体" w:hAnsi="宋体" w:cs="宋体"/>
          <w:sz w:val="21"/>
          <w:szCs w:val="21"/>
        </w:rPr>
        <w:t>（3）投标报价评分标准：见评标办法前附表；</w:t>
      </w:r>
    </w:p>
    <w:p w14:paraId="319BC794">
      <w:pPr>
        <w:spacing w:line="360" w:lineRule="auto"/>
        <w:ind w:firstLine="420" w:firstLineChars="200"/>
        <w:rPr>
          <w:rFonts w:ascii="宋体" w:hAnsi="宋体" w:cs="宋体"/>
          <w:sz w:val="21"/>
          <w:szCs w:val="21"/>
        </w:rPr>
      </w:pPr>
      <w:r>
        <w:rPr>
          <w:rFonts w:hint="eastAsia" w:ascii="宋体" w:hAnsi="宋体" w:cs="宋体"/>
          <w:sz w:val="21"/>
          <w:szCs w:val="21"/>
        </w:rPr>
        <w:t>（4）其他因素评分标准：见评标办法前附表。</w:t>
      </w:r>
    </w:p>
    <w:p w14:paraId="3A3507DA">
      <w:pPr>
        <w:pStyle w:val="3"/>
        <w:bidi w:val="0"/>
        <w:rPr>
          <w:rFonts w:hint="eastAsia" w:ascii="宋体" w:hAnsi="宋体" w:eastAsia="宋体" w:cs="宋体"/>
          <w:b/>
          <w:bCs w:val="0"/>
        </w:rPr>
      </w:pPr>
      <w:bookmarkStart w:id="1102" w:name="_Toc30902"/>
      <w:bookmarkStart w:id="1103" w:name="_Toc29701"/>
      <w:bookmarkStart w:id="1104" w:name="_Toc27917"/>
      <w:bookmarkStart w:id="1105" w:name="_Toc7970"/>
      <w:bookmarkStart w:id="1106" w:name="_Toc11727"/>
      <w:bookmarkStart w:id="1107" w:name="_Toc17377"/>
      <w:bookmarkStart w:id="1108" w:name="_Toc6222"/>
      <w:bookmarkStart w:id="1109" w:name="_Toc11384"/>
      <w:bookmarkStart w:id="1110" w:name="_Toc20607"/>
      <w:bookmarkStart w:id="1111" w:name="_Toc9894"/>
      <w:bookmarkStart w:id="1112" w:name="_Toc23773"/>
      <w:bookmarkStart w:id="1113" w:name="_Toc492300632"/>
      <w:bookmarkStart w:id="1114" w:name="_Toc9234"/>
      <w:bookmarkStart w:id="1115" w:name="_Toc13550"/>
      <w:bookmarkStart w:id="1116" w:name="_Toc19459"/>
      <w:bookmarkStart w:id="1117" w:name="_Toc26448"/>
      <w:bookmarkStart w:id="1118" w:name="_Toc29934"/>
      <w:r>
        <w:rPr>
          <w:rFonts w:hint="eastAsia" w:ascii="宋体" w:hAnsi="宋体" w:eastAsia="宋体" w:cs="宋体"/>
          <w:b/>
          <w:bCs w:val="0"/>
        </w:rPr>
        <w:t>3. 评标程序</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0330D701">
      <w:pPr>
        <w:pStyle w:val="4"/>
        <w:rPr>
          <w:rFonts w:ascii="宋体" w:hAnsi="宋体" w:eastAsia="宋体" w:cs="宋体"/>
          <w:szCs w:val="24"/>
        </w:rPr>
      </w:pPr>
      <w:bookmarkStart w:id="1119" w:name="_Toc29827"/>
      <w:bookmarkStart w:id="1120" w:name="_Toc24715"/>
      <w:bookmarkStart w:id="1121" w:name="_Toc1273"/>
      <w:bookmarkStart w:id="1122" w:name="_Toc492300633"/>
      <w:bookmarkStart w:id="1123" w:name="_Toc11201"/>
      <w:bookmarkStart w:id="1124" w:name="_Toc311"/>
      <w:bookmarkStart w:id="1125" w:name="_Toc11443"/>
      <w:bookmarkStart w:id="1126" w:name="_Toc17805"/>
      <w:bookmarkStart w:id="1127" w:name="_Toc28599"/>
      <w:bookmarkStart w:id="1128" w:name="_Toc5138"/>
      <w:bookmarkStart w:id="1129" w:name="_Toc28922"/>
      <w:bookmarkStart w:id="1130" w:name="_Toc22881"/>
      <w:bookmarkStart w:id="1131" w:name="_Toc19504"/>
      <w:bookmarkStart w:id="1132" w:name="_Toc32469"/>
      <w:bookmarkStart w:id="1133" w:name="_Toc13922"/>
      <w:bookmarkStart w:id="1134" w:name="_Toc22519"/>
      <w:r>
        <w:rPr>
          <w:rFonts w:ascii="宋体" w:hAnsi="宋体" w:eastAsia="宋体" w:cs="宋体"/>
          <w:szCs w:val="24"/>
        </w:rPr>
        <w:t xml:space="preserve">3.1 </w:t>
      </w:r>
      <w:r>
        <w:rPr>
          <w:rFonts w:hint="eastAsia" w:ascii="宋体" w:hAnsi="宋体" w:eastAsia="宋体" w:cs="宋体"/>
          <w:szCs w:val="24"/>
        </w:rPr>
        <w:t>初步评审</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064EAE1D">
      <w:pPr>
        <w:pStyle w:val="11"/>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ind w:left="0" w:firstLine="420" w:firstLineChars="200"/>
        <w:jc w:val="both"/>
        <w:textAlignment w:val="auto"/>
        <w:rPr>
          <w:rFonts w:hint="default" w:eastAsia="宋体"/>
          <w:color w:val="auto"/>
          <w:spacing w:val="-2"/>
          <w:szCs w:val="21"/>
          <w:lang w:val="en-US" w:eastAsia="zh-CN"/>
        </w:rPr>
      </w:pPr>
      <w:r>
        <w:rPr>
          <w:color w:val="auto"/>
        </w:rPr>
        <w:t>3.1.1 评标委员会如认为有必要，可以要求投标人提交第二章“投标人须知”规定的有关证明和证件的原件，以便核验。评标委员会依据本章第 2.1 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w:t>
      </w:r>
      <w:r>
        <w:rPr>
          <w:rFonts w:hint="eastAsia"/>
          <w:color w:val="auto"/>
          <w:lang w:eastAsia="zh-CN"/>
        </w:rPr>
        <w:t>若</w:t>
      </w:r>
      <w:r>
        <w:rPr>
          <w:color w:val="auto"/>
        </w:rPr>
        <w:t>有效投标不足</w:t>
      </w:r>
      <w:r>
        <w:rPr>
          <w:rFonts w:hint="eastAsia"/>
          <w:color w:val="auto"/>
          <w:lang w:val="en-US" w:eastAsia="zh-CN"/>
        </w:rPr>
        <w:t>3</w:t>
      </w:r>
      <w:r>
        <w:rPr>
          <w:color w:val="auto"/>
        </w:rPr>
        <w:t>个的，</w:t>
      </w:r>
      <w:r>
        <w:rPr>
          <w:rFonts w:hint="eastAsia"/>
          <w:color w:val="auto"/>
          <w:lang w:eastAsia="zh-CN"/>
        </w:rPr>
        <w:t>或当</w:t>
      </w:r>
      <w:r>
        <w:rPr>
          <w:rFonts w:hint="eastAsia"/>
          <w:color w:val="auto"/>
          <w:lang w:val="en-US" w:eastAsia="zh-CN"/>
        </w:rPr>
        <w:t>N个标段同时招标且不允许兼中时，有效投标人不足N+2家的，</w:t>
      </w:r>
      <w:r>
        <w:rPr>
          <w:color w:val="auto"/>
        </w:rPr>
        <w:t>应当对投标是否明显缺乏竞争和是否需要否决全部投标进行充分论证，并在评标报告中记载论证过程和结果</w:t>
      </w:r>
      <w:r>
        <w:rPr>
          <w:rFonts w:hint="eastAsia"/>
          <w:color w:val="auto"/>
        </w:rPr>
        <w:t>。</w:t>
      </w:r>
      <w:r>
        <w:rPr>
          <w:rFonts w:hint="eastAsia"/>
          <w:color w:val="auto"/>
          <w:lang w:eastAsia="zh-CN"/>
        </w:rPr>
        <w:t>如评标委员会成员的评审意见不一致时，以评标委员会过半数成员的意见作为评标委员会对该情形的认定结论。</w:t>
      </w:r>
      <w:r>
        <w:rPr>
          <w:rFonts w:hint="eastAsia" w:ascii="宋体" w:hAnsi="宋体" w:cs="宋体"/>
          <w:sz w:val="21"/>
          <w:szCs w:val="21"/>
          <w:lang w:eastAsia="zh-CN"/>
        </w:rPr>
        <w:t>持不同意见的评标委员会成员应以书面形式阐述其意见和理由并记录在案。</w:t>
      </w:r>
    </w:p>
    <w:p w14:paraId="5F8881B9">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lang w:val="en-US" w:eastAsia="zh-CN" w:bidi="ar-SA"/>
        </w:rPr>
      </w:pPr>
      <w:r>
        <w:rPr>
          <w:rFonts w:ascii="宋体" w:hAnsi="宋体" w:eastAsia="宋体" w:cs="Times New Roman"/>
          <w:color w:val="auto"/>
          <w:sz w:val="21"/>
          <w:lang w:val="en-US" w:eastAsia="zh-CN" w:bidi="ar-SA"/>
        </w:rPr>
        <w:t xml:space="preserve">3.1.1.1 </w:t>
      </w:r>
      <w:r>
        <w:rPr>
          <w:rFonts w:hint="eastAsia" w:ascii="宋体" w:hAnsi="宋体" w:eastAsia="宋体" w:cs="Times New Roman"/>
          <w:color w:val="auto"/>
          <w:sz w:val="21"/>
          <w:lang w:val="en-US" w:eastAsia="zh-CN" w:bidi="ar-SA"/>
        </w:rPr>
        <w:t>形式评审：</w:t>
      </w:r>
    </w:p>
    <w:p w14:paraId="72F3F727">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评标委员会根据评标办法前附表中规定的评审因素和评审标准，对投标人的文件进行形式评审。通过形式评审的投标文件方可参加下一阶段评审程序。</w:t>
      </w:r>
    </w:p>
    <w:p w14:paraId="49E2BEBE">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lang w:val="en-US" w:eastAsia="zh-CN" w:bidi="ar-SA"/>
        </w:rPr>
      </w:pPr>
      <w:r>
        <w:rPr>
          <w:rFonts w:ascii="宋体" w:hAnsi="宋体" w:eastAsia="宋体" w:cs="Times New Roman"/>
          <w:color w:val="auto"/>
          <w:sz w:val="21"/>
          <w:lang w:val="en-US" w:eastAsia="zh-CN" w:bidi="ar-SA"/>
        </w:rPr>
        <w:t xml:space="preserve">3.1.1.2 </w:t>
      </w:r>
      <w:r>
        <w:rPr>
          <w:rFonts w:hint="eastAsia" w:ascii="宋体" w:hAnsi="宋体" w:eastAsia="宋体" w:cs="Times New Roman"/>
          <w:color w:val="auto"/>
          <w:sz w:val="21"/>
          <w:lang w:val="en-US" w:eastAsia="zh-CN" w:bidi="ar-SA"/>
        </w:rPr>
        <w:t>资格评审：</w:t>
      </w:r>
    </w:p>
    <w:p w14:paraId="4EA1B1A2">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评标委员会根据评标办法前附表中的规定的评审因素和评审标准，对投标人的资格审查文件进行资格评审。通过资格评审的投标文件方可参加下一阶段评审程序。</w:t>
      </w:r>
    </w:p>
    <w:p w14:paraId="63D5D95C">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lang w:val="en-US" w:eastAsia="zh-CN" w:bidi="ar-SA"/>
        </w:rPr>
      </w:pPr>
      <w:r>
        <w:rPr>
          <w:rFonts w:ascii="宋体" w:hAnsi="宋体" w:eastAsia="宋体" w:cs="Times New Roman"/>
          <w:color w:val="auto"/>
          <w:sz w:val="21"/>
          <w:lang w:val="en-US" w:eastAsia="zh-CN" w:bidi="ar-SA"/>
        </w:rPr>
        <w:t xml:space="preserve">3.1.1.3 </w:t>
      </w:r>
      <w:r>
        <w:rPr>
          <w:rFonts w:hint="eastAsia" w:ascii="宋体" w:hAnsi="宋体" w:eastAsia="宋体" w:cs="Times New Roman"/>
          <w:color w:val="auto"/>
          <w:sz w:val="21"/>
          <w:lang w:val="en-US" w:eastAsia="zh-CN" w:bidi="ar-SA"/>
        </w:rPr>
        <w:t>响应性评审：</w:t>
      </w:r>
    </w:p>
    <w:p w14:paraId="11383346">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评标委员会根据评标办法前附表中规定的评审因素和评审标准，对投标人的商务文件进行响应性评审。通过商务文件响应性评审的投标文件方可参加下一阶段评审程序。</w:t>
      </w:r>
    </w:p>
    <w:p w14:paraId="245BF384">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lang w:val="en-US" w:eastAsia="zh-CN" w:bidi="ar-SA"/>
        </w:rPr>
      </w:pPr>
      <w:r>
        <w:rPr>
          <w:rFonts w:ascii="宋体" w:hAnsi="宋体" w:eastAsia="宋体" w:cs="Times New Roman"/>
          <w:color w:val="auto"/>
          <w:sz w:val="21"/>
          <w:lang w:val="en-US" w:eastAsia="zh-CN" w:bidi="ar-SA"/>
        </w:rPr>
        <w:t xml:space="preserve">3.1.2 </w:t>
      </w:r>
      <w:r>
        <w:rPr>
          <w:rFonts w:hint="eastAsia" w:ascii="宋体" w:hAnsi="宋体" w:eastAsia="宋体" w:cs="Times New Roman"/>
          <w:color w:val="auto"/>
          <w:sz w:val="21"/>
          <w:lang w:val="en-US" w:eastAsia="zh-CN" w:bidi="ar-SA"/>
        </w:rPr>
        <w:t>投标人有以下情形之一的，评标委员会应当否决其投标：</w:t>
      </w:r>
      <w:r>
        <w:rPr>
          <w:rFonts w:ascii="宋体" w:hAnsi="宋体" w:eastAsia="宋体" w:cs="Times New Roman"/>
          <w:color w:val="auto"/>
          <w:sz w:val="21"/>
          <w:lang w:val="en-US" w:eastAsia="zh-CN" w:bidi="ar-SA"/>
        </w:rPr>
        <w:t xml:space="preserve"> </w:t>
      </w:r>
    </w:p>
    <w:p w14:paraId="3B7C9922">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w:t>
      </w:r>
      <w:r>
        <w:rPr>
          <w:rFonts w:ascii="宋体" w:hAnsi="宋体" w:eastAsia="宋体" w:cs="Times New Roman"/>
          <w:color w:val="auto"/>
          <w:sz w:val="21"/>
          <w:lang w:val="en-US" w:eastAsia="zh-CN" w:bidi="ar-SA"/>
        </w:rPr>
        <w:t>1</w:t>
      </w:r>
      <w:r>
        <w:rPr>
          <w:rFonts w:hint="eastAsia" w:ascii="宋体" w:hAnsi="宋体" w:eastAsia="宋体" w:cs="Times New Roman"/>
          <w:color w:val="auto"/>
          <w:sz w:val="21"/>
          <w:lang w:val="en-US" w:eastAsia="zh-CN" w:bidi="ar-SA"/>
        </w:rPr>
        <w:t>）投标文件没有对招标文件的实质性要求和条件作出响应，或者对招标文件的偏差超出招标文件规定的偏差范围或最高项数；</w:t>
      </w:r>
    </w:p>
    <w:p w14:paraId="6CEA8619">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w:t>
      </w:r>
      <w:r>
        <w:rPr>
          <w:rFonts w:ascii="宋体" w:hAnsi="宋体" w:eastAsia="宋体" w:cs="Times New Roman"/>
          <w:color w:val="auto"/>
          <w:sz w:val="21"/>
          <w:lang w:val="en-US" w:eastAsia="zh-CN" w:bidi="ar-SA"/>
        </w:rPr>
        <w:t>2</w:t>
      </w:r>
      <w:r>
        <w:rPr>
          <w:rFonts w:hint="eastAsia" w:ascii="宋体" w:hAnsi="宋体" w:eastAsia="宋体" w:cs="Times New Roman"/>
          <w:color w:val="auto"/>
          <w:sz w:val="21"/>
          <w:lang w:val="en-US" w:eastAsia="zh-CN" w:bidi="ar-SA"/>
        </w:rPr>
        <w:t>）有串通投标、弄虚作假、行贿等违法行为。</w:t>
      </w:r>
    </w:p>
    <w:p w14:paraId="497B3813">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default"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（3）招标人设置了</w:t>
      </w:r>
      <w:r>
        <w:rPr>
          <w:rFonts w:hint="default" w:ascii="宋体" w:hAnsi="宋体" w:eastAsia="宋体" w:cs="Times New Roman"/>
          <w:color w:val="auto"/>
          <w:sz w:val="21"/>
          <w:lang w:val="en" w:eastAsia="zh-CN" w:bidi="ar-SA"/>
        </w:rPr>
        <w:t>成本警示价</w:t>
      </w:r>
      <w:r>
        <w:rPr>
          <w:rFonts w:hint="eastAsia" w:ascii="宋体" w:hAnsi="宋体" w:eastAsia="宋体" w:cs="Times New Roman"/>
          <w:color w:val="auto"/>
          <w:sz w:val="21"/>
          <w:lang w:val="en-US" w:eastAsia="zh-CN" w:bidi="ar-SA"/>
        </w:rPr>
        <w:t>的，对于低于</w:t>
      </w:r>
      <w:r>
        <w:rPr>
          <w:rFonts w:hint="default" w:ascii="宋体" w:hAnsi="宋体" w:eastAsia="宋体" w:cs="Times New Roman"/>
          <w:color w:val="auto"/>
          <w:sz w:val="21"/>
          <w:lang w:val="en" w:eastAsia="zh-CN" w:bidi="ar-SA"/>
        </w:rPr>
        <w:t>成本警示价</w:t>
      </w:r>
      <w:r>
        <w:rPr>
          <w:rFonts w:hint="eastAsia" w:ascii="宋体" w:hAnsi="宋体" w:eastAsia="宋体" w:cs="Times New Roman"/>
          <w:color w:val="auto"/>
          <w:sz w:val="21"/>
          <w:lang w:val="en-US" w:eastAsia="zh-CN" w:bidi="ar-SA"/>
        </w:rPr>
        <w:t>的投标报价，投标人必须提供详细的单价、措施、投标人成本等分析供评标委员会评审，由评标委员会判定其是否低于企业自身成本。在评标过程中，评标委员会发现投标人的报价明显低于其他投标报价或者低于</w:t>
      </w:r>
      <w:r>
        <w:rPr>
          <w:rFonts w:hint="default" w:ascii="宋体" w:hAnsi="宋体" w:eastAsia="宋体" w:cs="Times New Roman"/>
          <w:color w:val="auto"/>
          <w:sz w:val="21"/>
          <w:lang w:val="en" w:eastAsia="zh-CN" w:bidi="ar-SA"/>
        </w:rPr>
        <w:t>成本警示价</w:t>
      </w:r>
      <w:r>
        <w:rPr>
          <w:rFonts w:hint="eastAsia" w:ascii="宋体" w:hAnsi="宋体" w:eastAsia="宋体" w:cs="Times New Roman"/>
          <w:color w:val="auto"/>
          <w:sz w:val="21"/>
          <w:lang w:val="en-US" w:eastAsia="zh-CN" w:bidi="ar-SA"/>
        </w:rPr>
        <w:t>，使得其投标报价可能低于个别成本的，应当要求该投标人作出书面说明并提供相关证明材料。投标人不能合理说明或者不能提供相关说明材料的，由评标委员会认定该投标人以低于成本报价竞标，应当否决其投标。当有多个投标报价低于成本警示价时，应从低到高依次评审，对于已投标人已做说明或者已提供相关证明材料的，如有较低投标报价未被认定低于成本，则不再对较高投标报价是否低于成本进行认定。</w:t>
      </w:r>
    </w:p>
    <w:p w14:paraId="483068C5">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（4）</w:t>
      </w:r>
      <w:r>
        <w:rPr>
          <w:rFonts w:hint="eastAsia" w:ascii="宋体" w:hAnsi="宋体" w:eastAsia="宋体" w:cs="Times New Roman"/>
          <w:color w:val="auto"/>
          <w:sz w:val="21"/>
          <w:szCs w:val="21"/>
        </w:rPr>
        <w:t>投标人与其他投标人加密打包投标文件</w:t>
      </w:r>
      <w:r>
        <w:rPr>
          <w:rFonts w:hint="eastAsia" w:ascii="宋体" w:hAnsi="宋体" w:eastAsia="宋体" w:cs="Times New Roman"/>
          <w:color w:val="auto"/>
          <w:sz w:val="21"/>
          <w:szCs w:val="21"/>
          <w:lang w:eastAsia="zh-CN"/>
        </w:rPr>
        <w:t>硬件特征</w:t>
      </w:r>
      <w:r>
        <w:rPr>
          <w:rFonts w:hint="eastAsia" w:ascii="宋体" w:hAnsi="宋体" w:eastAsia="宋体" w:cs="Times New Roman"/>
          <w:color w:val="auto"/>
          <w:sz w:val="21"/>
          <w:szCs w:val="21"/>
        </w:rPr>
        <w:t>码一致的</w:t>
      </w:r>
      <w:r>
        <w:rPr>
          <w:rFonts w:hint="eastAsia" w:ascii="宋体" w:hAnsi="宋体" w:eastAsia="宋体" w:cs="Times New Roman"/>
          <w:color w:val="auto"/>
          <w:sz w:val="21"/>
          <w:lang w:val="en-US" w:eastAsia="zh-CN" w:bidi="ar-SA"/>
        </w:rPr>
        <w:t>。</w:t>
      </w:r>
    </w:p>
    <w:p w14:paraId="0651BBBA">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（5）评标办法规定的其他应当否决其投标的情形。</w:t>
      </w:r>
    </w:p>
    <w:p w14:paraId="6E0C88D1">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3.1.3 投标报价有算术错误及其他错误的，评标委员会按以下原则要求投标人对投标报价进行修正，并要求投标人书面澄清确认。投标人拒不澄清确认的，投标人拒不接受的，评标委员会应当否决其投标：</w:t>
      </w:r>
    </w:p>
    <w:p w14:paraId="29224AAC">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w:t>
      </w:r>
      <w:r>
        <w:rPr>
          <w:rFonts w:ascii="宋体" w:hAnsi="宋体" w:eastAsia="宋体" w:cs="Times New Roman"/>
          <w:color w:val="auto"/>
          <w:sz w:val="21"/>
          <w:lang w:val="en-US" w:eastAsia="zh-CN" w:bidi="ar-SA"/>
        </w:rPr>
        <w:t>1</w:t>
      </w:r>
      <w:r>
        <w:rPr>
          <w:rFonts w:hint="eastAsia" w:ascii="宋体" w:hAnsi="宋体" w:eastAsia="宋体" w:cs="Times New Roman"/>
          <w:color w:val="auto"/>
          <w:sz w:val="21"/>
          <w:lang w:val="en-US" w:eastAsia="zh-CN" w:bidi="ar-SA"/>
        </w:rPr>
        <w:t>）投标文件中的大写金额与小写金额不一致的，以大写金额为准；</w:t>
      </w:r>
    </w:p>
    <w:p w14:paraId="4D65CE15">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w:t>
      </w:r>
      <w:r>
        <w:rPr>
          <w:rFonts w:ascii="宋体" w:hAnsi="宋体" w:eastAsia="宋体" w:cs="Times New Roman"/>
          <w:color w:val="auto"/>
          <w:sz w:val="21"/>
          <w:lang w:val="en-US" w:eastAsia="zh-CN" w:bidi="ar-SA"/>
        </w:rPr>
        <w:t>2</w:t>
      </w:r>
      <w:r>
        <w:rPr>
          <w:rFonts w:hint="eastAsia" w:ascii="宋体" w:hAnsi="宋体" w:eastAsia="宋体" w:cs="Times New Roman"/>
          <w:color w:val="auto"/>
          <w:sz w:val="21"/>
          <w:lang w:val="en-US" w:eastAsia="zh-CN" w:bidi="ar-SA"/>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93C3FFF">
      <w:pPr>
        <w:pStyle w:val="15"/>
        <w:keepNext w:val="0"/>
        <w:keepLines w:val="0"/>
        <w:pageBreakBefore w:val="0"/>
        <w:widowControl w:val="0"/>
        <w:wordWrap/>
        <w:topLinePunct w:val="0"/>
        <w:autoSpaceDE w:val="0"/>
        <w:autoSpaceDN w:val="0"/>
        <w:bidi w:val="0"/>
        <w:adjustRightInd/>
        <w:snapToGrid/>
        <w:spacing w:line="360" w:lineRule="auto"/>
        <w:ind w:firstLine="420"/>
        <w:jc w:val="both"/>
        <w:textAlignment w:val="auto"/>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3.1.4评标委员会不得将文件顺序、明显文字错误等列为否决投标的情形，评标委员会发现投标文件含义不明确、对同类问题表述不一致、有明显</w:t>
      </w:r>
      <w:r>
        <w:rPr>
          <w:rFonts w:hint="eastAsia" w:hAnsi="宋体" w:cs="Times New Roman"/>
          <w:color w:val="auto"/>
          <w:sz w:val="21"/>
          <w:lang w:val="en-US" w:eastAsia="zh-CN" w:bidi="ar-SA"/>
        </w:rPr>
        <w:t>格式或</w:t>
      </w:r>
      <w:r>
        <w:rPr>
          <w:rFonts w:hint="eastAsia" w:ascii="宋体" w:hAnsi="宋体" w:eastAsia="宋体" w:cs="Times New Roman"/>
          <w:color w:val="auto"/>
          <w:sz w:val="21"/>
          <w:lang w:val="en-US" w:eastAsia="zh-CN" w:bidi="ar-SA"/>
        </w:rPr>
        <w:t>文字</w:t>
      </w:r>
      <w:r>
        <w:rPr>
          <w:rFonts w:hint="eastAsia" w:hAnsi="宋体" w:cs="Times New Roman"/>
          <w:color w:val="auto"/>
          <w:sz w:val="21"/>
          <w:lang w:val="en-US" w:eastAsia="zh-CN" w:bidi="ar-SA"/>
        </w:rPr>
        <w:t>、</w:t>
      </w:r>
      <w:r>
        <w:rPr>
          <w:rFonts w:hint="eastAsia" w:ascii="宋体" w:hAnsi="宋体" w:eastAsia="宋体" w:cs="Times New Roman"/>
          <w:color w:val="auto"/>
          <w:sz w:val="21"/>
          <w:lang w:val="en-US" w:eastAsia="zh-CN" w:bidi="ar-SA"/>
        </w:rPr>
        <w:t>计算错误、投标报价可能低于成本影响履约的，应当要求投标人作必要的澄清、说明或补正后再判定投标人是否通过审查，不得直接否决投标。评标委员会不接受投标人主动提出的澄清、说明或补正。</w:t>
      </w:r>
    </w:p>
    <w:p w14:paraId="039B0C5E">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3.1.5有效投标不足三个的，评标委员会应当对投标是否明显缺乏竞争和是否需要否决全部投标进行充分论证，并在评标报告中记载论证过程和结果。</w:t>
      </w:r>
    </w:p>
    <w:p w14:paraId="4A836301">
      <w:pPr>
        <w:spacing w:line="360" w:lineRule="auto"/>
        <w:ind w:firstLine="420" w:firstLineChars="200"/>
        <w:rPr>
          <w:rFonts w:hint="eastAsia" w:ascii="宋体" w:hAnsi="宋体" w:cs="宋体"/>
          <w:sz w:val="21"/>
          <w:szCs w:val="21"/>
        </w:rPr>
      </w:pPr>
      <w:r>
        <w:rPr>
          <w:rFonts w:hint="eastAsia" w:ascii="宋体" w:hAnsi="宋体" w:eastAsia="宋体" w:cs="Times New Roman"/>
          <w:color w:val="auto"/>
          <w:sz w:val="21"/>
          <w:lang w:val="en-US" w:eastAsia="zh-CN" w:bidi="ar-SA"/>
        </w:rPr>
        <w:t>3.1.6若评标委员会各成员对否决投标意见不一致时，则按少数服从多数的原则作出评审结论。持有不同意见的评标委员会成员应书面记录本人意见后上传至评标系统，招标人应对评标委员会的意见合法、合理性进行确认</w:t>
      </w:r>
      <w:r>
        <w:rPr>
          <w:rFonts w:hint="eastAsia" w:ascii="宋体" w:hAnsi="宋体" w:cs="宋体"/>
          <w:sz w:val="21"/>
          <w:szCs w:val="21"/>
        </w:rPr>
        <w:t>。</w:t>
      </w:r>
    </w:p>
    <w:p w14:paraId="7E9E8D23">
      <w:pPr>
        <w:pStyle w:val="4"/>
        <w:outlineLvl w:val="9"/>
        <w:rPr>
          <w:rFonts w:ascii="宋体" w:hAnsi="宋体" w:eastAsia="宋体" w:cs="宋体"/>
          <w:szCs w:val="24"/>
        </w:rPr>
      </w:pPr>
      <w:bookmarkStart w:id="1135" w:name="_Toc21128"/>
      <w:bookmarkStart w:id="1136" w:name="_Toc9890"/>
      <w:bookmarkStart w:id="1137" w:name="_Toc492300634"/>
      <w:bookmarkStart w:id="1138" w:name="_Toc31913"/>
      <w:bookmarkStart w:id="1139" w:name="_Toc22611"/>
      <w:bookmarkStart w:id="1140" w:name="_Toc4881"/>
      <w:bookmarkStart w:id="1141" w:name="_Toc29192"/>
      <w:bookmarkStart w:id="1142" w:name="_Toc32660"/>
      <w:bookmarkStart w:id="1143" w:name="_Toc23182"/>
      <w:bookmarkStart w:id="1144" w:name="_Toc5098"/>
      <w:bookmarkStart w:id="1145" w:name="_Toc10170"/>
      <w:bookmarkStart w:id="1146" w:name="_Toc20921"/>
      <w:bookmarkStart w:id="1147" w:name="_Toc32132"/>
    </w:p>
    <w:p w14:paraId="10AA83AF">
      <w:pPr>
        <w:pStyle w:val="4"/>
        <w:rPr>
          <w:rFonts w:hint="eastAsia" w:ascii="宋体" w:hAnsi="宋体" w:eastAsia="宋体" w:cs="宋体"/>
          <w:szCs w:val="24"/>
        </w:rPr>
      </w:pPr>
      <w:bookmarkStart w:id="1148" w:name="_Toc11746"/>
      <w:bookmarkStart w:id="1149" w:name="_Toc20734"/>
      <w:bookmarkStart w:id="1150" w:name="_Toc15490"/>
      <w:r>
        <w:rPr>
          <w:rFonts w:ascii="宋体" w:hAnsi="宋体" w:eastAsia="宋体" w:cs="宋体"/>
          <w:szCs w:val="24"/>
        </w:rPr>
        <w:t xml:space="preserve">3.2 </w:t>
      </w:r>
      <w:r>
        <w:rPr>
          <w:rFonts w:hint="eastAsia" w:ascii="宋体" w:hAnsi="宋体" w:eastAsia="宋体" w:cs="宋体"/>
          <w:szCs w:val="24"/>
        </w:rPr>
        <w:t>详细评审</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6D017F35">
      <w:pPr>
        <w:spacing w:line="360" w:lineRule="auto"/>
        <w:ind w:firstLine="420" w:firstLineChars="200"/>
        <w:rPr>
          <w:rFonts w:hint="default" w:ascii="宋体" w:hAnsi="宋体" w:eastAsia="宋体"/>
          <w:color w:val="auto"/>
          <w:szCs w:val="21"/>
          <w:highlight w:val="none"/>
          <w:u w:val="single"/>
        </w:rPr>
      </w:pPr>
      <w:r>
        <w:rPr>
          <w:rFonts w:hint="default" w:ascii="宋体" w:hAnsi="宋体" w:eastAsia="宋体"/>
          <w:color w:val="auto"/>
          <w:szCs w:val="21"/>
          <w:highlight w:val="none"/>
          <w:u w:val="single"/>
        </w:rPr>
        <w:t>3.2 详细评审</w:t>
      </w:r>
    </w:p>
    <w:p w14:paraId="5BBB9433">
      <w:pPr>
        <w:spacing w:line="360" w:lineRule="auto"/>
        <w:ind w:firstLine="420" w:firstLineChars="200"/>
        <w:rPr>
          <w:rFonts w:hint="default" w:ascii="宋体" w:hAnsi="宋体" w:eastAsia="宋体"/>
          <w:color w:val="auto"/>
          <w:szCs w:val="21"/>
          <w:highlight w:val="none"/>
          <w:u w:val="single"/>
        </w:rPr>
      </w:pPr>
      <w:r>
        <w:rPr>
          <w:rFonts w:hint="default" w:ascii="宋体" w:hAnsi="宋体" w:eastAsia="宋体"/>
          <w:color w:val="auto"/>
          <w:szCs w:val="21"/>
          <w:highlight w:val="none"/>
          <w:u w:val="single"/>
        </w:rPr>
        <w:t>3.2.1 评标委员会按本章第2.2款规定的量化因素和分值进行打分，并计算出综合评估得分。</w:t>
      </w:r>
    </w:p>
    <w:p w14:paraId="39959071">
      <w:pPr>
        <w:spacing w:line="360" w:lineRule="auto"/>
        <w:ind w:firstLine="420" w:firstLineChars="200"/>
        <w:rPr>
          <w:rFonts w:hint="default" w:ascii="宋体" w:hAnsi="宋体" w:eastAsia="宋体"/>
          <w:color w:val="auto"/>
          <w:szCs w:val="21"/>
          <w:highlight w:val="none"/>
          <w:u w:val="single"/>
        </w:rPr>
      </w:pPr>
      <w:r>
        <w:rPr>
          <w:rFonts w:hint="default" w:ascii="宋体" w:hAnsi="宋体" w:eastAsia="宋体"/>
          <w:color w:val="auto"/>
          <w:szCs w:val="21"/>
          <w:highlight w:val="none"/>
          <w:u w:val="single"/>
        </w:rPr>
        <w:t>（1）按本章第2.2.4（1）目规定的评审因素和分值对资信业绩部分计算出得分A，资信业绩部分评审得分A为评标委员会各成员打分的算术平均值，分数出现小数点，保留小数点后二位，第三位小数四舍五入。</w:t>
      </w:r>
    </w:p>
    <w:p w14:paraId="443306DF">
      <w:pPr>
        <w:spacing w:line="360" w:lineRule="auto"/>
        <w:ind w:firstLine="420" w:firstLineChars="200"/>
        <w:rPr>
          <w:rFonts w:hint="default" w:ascii="宋体" w:hAnsi="宋体" w:eastAsia="宋体"/>
          <w:color w:val="auto"/>
          <w:szCs w:val="21"/>
          <w:highlight w:val="none"/>
          <w:u w:val="single"/>
        </w:rPr>
      </w:pPr>
      <w:r>
        <w:rPr>
          <w:rFonts w:hint="default" w:ascii="宋体" w:hAnsi="宋体" w:eastAsia="宋体"/>
          <w:color w:val="auto"/>
          <w:szCs w:val="21"/>
          <w:highlight w:val="none"/>
          <w:u w:val="single"/>
        </w:rPr>
        <w:t>（2）按本章第2.2.4（2）目规定的评审因素和分值对</w:t>
      </w:r>
      <w:r>
        <w:rPr>
          <w:rFonts w:hint="eastAsia" w:ascii="宋体" w:hAnsi="宋体"/>
          <w:color w:val="auto"/>
          <w:szCs w:val="21"/>
          <w:highlight w:val="none"/>
          <w:u w:val="single"/>
          <w:lang w:eastAsia="zh-CN"/>
        </w:rPr>
        <w:t>项目实施方案</w:t>
      </w:r>
      <w:r>
        <w:rPr>
          <w:rFonts w:hint="default" w:ascii="宋体" w:hAnsi="宋体" w:eastAsia="宋体"/>
          <w:color w:val="auto"/>
          <w:szCs w:val="21"/>
          <w:highlight w:val="none"/>
          <w:u w:val="single"/>
        </w:rPr>
        <w:t>部分计算出得分B，</w:t>
      </w:r>
      <w:r>
        <w:rPr>
          <w:rFonts w:hint="eastAsia" w:ascii="宋体" w:hAnsi="宋体"/>
          <w:color w:val="auto"/>
          <w:szCs w:val="21"/>
          <w:highlight w:val="none"/>
          <w:u w:val="single"/>
          <w:lang w:eastAsia="zh-CN"/>
        </w:rPr>
        <w:t>项目实施方案</w:t>
      </w:r>
      <w:r>
        <w:rPr>
          <w:rFonts w:hint="default" w:ascii="宋体" w:hAnsi="宋体" w:eastAsia="宋体"/>
          <w:color w:val="auto"/>
          <w:szCs w:val="21"/>
          <w:highlight w:val="none"/>
          <w:u w:val="single"/>
        </w:rPr>
        <w:t>部分评审得分B为评标委员会各成员打分的算术平均值，分数出现小数点，保留小数点后二位，第三位小数四舍五入。</w:t>
      </w:r>
    </w:p>
    <w:p w14:paraId="61BD0A5D">
      <w:pPr>
        <w:spacing w:line="360" w:lineRule="auto"/>
        <w:ind w:firstLine="420" w:firstLineChars="200"/>
        <w:rPr>
          <w:rFonts w:ascii="宋体" w:hAnsi="宋体" w:cs="宋体"/>
          <w:strike w:val="0"/>
          <w:sz w:val="21"/>
          <w:szCs w:val="21"/>
        </w:rPr>
      </w:pPr>
      <w:r>
        <w:rPr>
          <w:rFonts w:hint="eastAsia" w:ascii="宋体" w:hAnsi="宋体" w:cs="宋体"/>
          <w:sz w:val="21"/>
          <w:szCs w:val="21"/>
        </w:rPr>
        <w:t>（3）按本章第2.2.4（3）目规定的评审因素和</w:t>
      </w:r>
      <w:bookmarkStart w:id="1151" w:name="_Toc247527629"/>
      <w:bookmarkStart w:id="1152" w:name="_Toc144974571"/>
      <w:bookmarkStart w:id="1153" w:name="_Toc24330"/>
      <w:bookmarkStart w:id="1154" w:name="_Toc352691539"/>
      <w:bookmarkStart w:id="1155" w:name="_Toc369531583"/>
      <w:bookmarkStart w:id="1156" w:name="_Toc152042381"/>
      <w:bookmarkStart w:id="1157" w:name="_Toc361508652"/>
      <w:bookmarkStart w:id="1158" w:name="_Toc300835014"/>
      <w:bookmarkStart w:id="1159" w:name="_Toc247514028"/>
      <w:bookmarkStart w:id="1160" w:name="_Toc384308278"/>
      <w:bookmarkStart w:id="1161" w:name="_Toc152045604"/>
      <w:r>
        <w:rPr>
          <w:rFonts w:hint="eastAsia" w:ascii="宋体" w:hAnsi="宋体" w:cs="宋体"/>
          <w:sz w:val="21"/>
          <w:szCs w:val="21"/>
        </w:rPr>
        <w:t>分值对投标报价</w:t>
      </w:r>
      <w:bookmarkEnd w:id="1151"/>
      <w:bookmarkEnd w:id="1152"/>
      <w:bookmarkEnd w:id="1153"/>
      <w:bookmarkEnd w:id="1154"/>
      <w:bookmarkEnd w:id="1155"/>
      <w:bookmarkEnd w:id="1156"/>
      <w:bookmarkEnd w:id="1157"/>
      <w:bookmarkEnd w:id="1158"/>
      <w:bookmarkEnd w:id="1159"/>
      <w:bookmarkEnd w:id="1160"/>
      <w:bookmarkEnd w:id="1161"/>
      <w:r>
        <w:rPr>
          <w:rFonts w:hint="eastAsia" w:ascii="宋体" w:hAnsi="宋体" w:cs="宋体"/>
          <w:sz w:val="21"/>
          <w:szCs w:val="21"/>
        </w:rPr>
        <w:t>计</w:t>
      </w:r>
      <w:bookmarkStart w:id="1162" w:name="_Toc361508653"/>
      <w:bookmarkStart w:id="1163" w:name="_Toc247527630"/>
      <w:bookmarkStart w:id="1164" w:name="_Toc144974572"/>
      <w:bookmarkStart w:id="1165" w:name="_Toc369531584"/>
      <w:bookmarkStart w:id="1166" w:name="_Toc18141"/>
      <w:bookmarkStart w:id="1167" w:name="_Toc247514029"/>
      <w:bookmarkStart w:id="1168" w:name="_Toc352691540"/>
      <w:bookmarkStart w:id="1169" w:name="_Toc152045605"/>
      <w:bookmarkStart w:id="1170" w:name="_Toc384308279"/>
      <w:bookmarkStart w:id="1171" w:name="_Toc152042382"/>
      <w:bookmarkStart w:id="1172" w:name="_Toc300835015"/>
      <w:r>
        <w:rPr>
          <w:rFonts w:hint="eastAsia" w:ascii="宋体" w:hAnsi="宋体" w:cs="宋体"/>
          <w:sz w:val="21"/>
          <w:szCs w:val="21"/>
        </w:rPr>
        <w:t>算出得分C</w:t>
      </w:r>
      <w:r>
        <w:rPr>
          <w:rFonts w:hint="eastAsia" w:ascii="宋体" w:hAnsi="宋体" w:cs="宋体"/>
          <w:sz w:val="21"/>
          <w:szCs w:val="21"/>
          <w:lang w:eastAsia="zh-CN"/>
        </w:rPr>
        <w:t>，</w:t>
      </w:r>
      <w:r>
        <w:rPr>
          <w:rFonts w:hint="eastAsia" w:ascii="宋体" w:hAnsi="宋体" w:eastAsia="宋体" w:cs="Times New Roman"/>
          <w:color w:val="auto"/>
          <w:sz w:val="21"/>
          <w:lang w:val="en-US" w:eastAsia="zh-CN" w:bidi="ar-SA"/>
        </w:rPr>
        <w:t>分数出现小数点，保留小数点后二位，第三位小数四舍五入。</w:t>
      </w:r>
    </w:p>
    <w:p w14:paraId="6DB9B764">
      <w:pPr>
        <w:spacing w:line="360" w:lineRule="auto"/>
        <w:ind w:firstLine="420" w:firstLineChars="200"/>
        <w:rPr>
          <w:rFonts w:ascii="宋体" w:hAnsi="宋体" w:cs="宋体"/>
          <w:sz w:val="21"/>
          <w:szCs w:val="21"/>
        </w:rPr>
      </w:pPr>
      <w:r>
        <w:rPr>
          <w:rFonts w:hint="eastAsia" w:ascii="宋体" w:hAnsi="宋体" w:cs="宋体"/>
          <w:strike w:val="0"/>
          <w:sz w:val="21"/>
          <w:szCs w:val="21"/>
        </w:rPr>
        <w:t>（</w:t>
      </w:r>
      <w:bookmarkEnd w:id="1162"/>
      <w:bookmarkEnd w:id="1163"/>
      <w:bookmarkEnd w:id="1164"/>
      <w:bookmarkEnd w:id="1165"/>
      <w:bookmarkEnd w:id="1166"/>
      <w:bookmarkEnd w:id="1167"/>
      <w:bookmarkEnd w:id="1168"/>
      <w:bookmarkEnd w:id="1169"/>
      <w:bookmarkEnd w:id="1170"/>
      <w:bookmarkEnd w:id="1171"/>
      <w:bookmarkEnd w:id="1172"/>
      <w:r>
        <w:rPr>
          <w:rFonts w:hint="eastAsia" w:ascii="宋体" w:hAnsi="宋体" w:cs="宋体"/>
          <w:strike w:val="0"/>
          <w:sz w:val="21"/>
          <w:szCs w:val="21"/>
        </w:rPr>
        <w:t>4）按本章第2.2.4（4）目规定的评审因素和分值对其他部分计算出得分D</w:t>
      </w:r>
      <w:r>
        <w:rPr>
          <w:rFonts w:hint="eastAsia" w:ascii="宋体" w:hAnsi="宋体" w:cs="宋体"/>
          <w:strike w:val="0"/>
          <w:sz w:val="21"/>
          <w:szCs w:val="21"/>
          <w:lang w:eastAsia="zh-CN"/>
        </w:rPr>
        <w:t>，</w:t>
      </w:r>
      <w:r>
        <w:rPr>
          <w:rFonts w:hint="eastAsia" w:ascii="宋体" w:hAnsi="宋体" w:eastAsia="宋体" w:cs="Times New Roman"/>
          <w:color w:val="auto"/>
          <w:sz w:val="21"/>
          <w:lang w:val="en-US" w:eastAsia="zh-CN" w:bidi="ar-SA"/>
        </w:rPr>
        <w:t>分数出现小数点，保留小数点后二位，第三位小数四舍五入</w:t>
      </w:r>
      <w:r>
        <w:rPr>
          <w:rFonts w:hint="eastAsia" w:ascii="宋体" w:hAnsi="宋体" w:cs="宋体"/>
          <w:sz w:val="21"/>
          <w:szCs w:val="21"/>
        </w:rPr>
        <w:t>。</w:t>
      </w:r>
    </w:p>
    <w:p w14:paraId="3BD3006E">
      <w:pPr>
        <w:spacing w:line="360" w:lineRule="auto"/>
        <w:ind w:firstLine="420" w:firstLineChars="200"/>
        <w:rPr>
          <w:rFonts w:ascii="宋体" w:hAnsi="宋体" w:cs="宋体"/>
          <w:sz w:val="21"/>
          <w:szCs w:val="21"/>
        </w:rPr>
      </w:pPr>
      <w:r>
        <w:rPr>
          <w:rFonts w:ascii="宋体" w:hAnsi="宋体" w:cs="宋体"/>
          <w:sz w:val="21"/>
          <w:szCs w:val="21"/>
        </w:rPr>
        <w:t xml:space="preserve">3.2.2 </w:t>
      </w:r>
      <w:r>
        <w:rPr>
          <w:rFonts w:hint="eastAsia" w:ascii="宋体" w:hAnsi="宋体" w:cs="宋体"/>
          <w:sz w:val="21"/>
          <w:szCs w:val="21"/>
        </w:rPr>
        <w:t>评分分值计算保留小数点后两位，小数点后第三位“四舍五入”。</w:t>
      </w:r>
    </w:p>
    <w:p w14:paraId="705C35D0">
      <w:pPr>
        <w:spacing w:line="360" w:lineRule="auto"/>
        <w:ind w:firstLine="420" w:firstLineChars="200"/>
        <w:rPr>
          <w:rFonts w:ascii="宋体" w:hAnsi="宋体" w:cs="宋体"/>
          <w:sz w:val="21"/>
          <w:szCs w:val="21"/>
        </w:rPr>
      </w:pPr>
      <w:r>
        <w:rPr>
          <w:rFonts w:ascii="宋体" w:hAnsi="宋体" w:cs="宋体"/>
          <w:sz w:val="21"/>
          <w:szCs w:val="21"/>
        </w:rPr>
        <w:t xml:space="preserve">3.2.3 </w:t>
      </w:r>
      <w:r>
        <w:rPr>
          <w:rFonts w:hint="eastAsia" w:ascii="宋体" w:hAnsi="宋体" w:eastAsia="宋体" w:cs="Times New Roman"/>
          <w:color w:val="auto"/>
          <w:sz w:val="21"/>
          <w:szCs w:val="21"/>
          <w:lang w:val="en-US" w:eastAsia="zh-CN" w:bidi="ar-SA"/>
        </w:rPr>
        <w:t>投标人得分=A+B+C+D。</w:t>
      </w:r>
    </w:p>
    <w:p w14:paraId="1CCFA78C">
      <w:pPr>
        <w:spacing w:line="360" w:lineRule="auto"/>
        <w:ind w:firstLine="420" w:firstLineChars="200"/>
        <w:rPr>
          <w:rFonts w:ascii="宋体" w:hAnsi="宋体" w:cs="宋体"/>
          <w:b w:val="0"/>
          <w:bCs w:val="0"/>
          <w:sz w:val="21"/>
          <w:szCs w:val="21"/>
          <w:shd w:val="clear" w:fill="FFFF00"/>
        </w:rPr>
      </w:pPr>
      <w:r>
        <w:rPr>
          <w:rFonts w:ascii="宋体" w:hAnsi="宋体" w:cs="宋体"/>
          <w:sz w:val="21"/>
          <w:szCs w:val="21"/>
        </w:rPr>
        <w:t>3.2.4</w:t>
      </w:r>
      <w:r>
        <w:rPr>
          <w:rFonts w:hint="eastAsia" w:ascii="宋体" w:hAnsi="宋体" w:eastAsia="宋体" w:cs="宋体"/>
          <w:strike w:val="0"/>
          <w:sz w:val="21"/>
          <w:szCs w:val="21"/>
        </w:rPr>
        <w:t xml:space="preserve"> </w:t>
      </w:r>
      <w:r>
        <w:rPr>
          <w:rFonts w:hint="eastAsia" w:ascii="宋体" w:hAnsi="宋体" w:eastAsia="宋体" w:cs="宋体"/>
          <w:strike w:val="0"/>
          <w:sz w:val="21"/>
          <w:szCs w:val="21"/>
          <w:lang w:val="en-US" w:eastAsia="zh-CN"/>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eastAsia="宋体" w:cs="宋体"/>
          <w:strike w:val="0"/>
          <w:sz w:val="21"/>
          <w:szCs w:val="21"/>
        </w:rPr>
        <w:t>。</w:t>
      </w:r>
    </w:p>
    <w:p w14:paraId="49EBA957">
      <w:pPr>
        <w:outlineLvl w:val="9"/>
        <w:rPr>
          <w:rFonts w:ascii="宋体" w:hAnsi="宋体" w:eastAsia="宋体" w:cs="宋体"/>
          <w:szCs w:val="24"/>
        </w:rPr>
      </w:pPr>
      <w:bookmarkStart w:id="1173" w:name="_Toc32568"/>
      <w:bookmarkStart w:id="1174" w:name="_Toc11581"/>
      <w:bookmarkStart w:id="1175" w:name="_Toc6831"/>
      <w:bookmarkStart w:id="1176" w:name="_Toc3139"/>
      <w:bookmarkStart w:id="1177" w:name="_Toc1935"/>
      <w:bookmarkStart w:id="1178" w:name="_Toc8863"/>
      <w:bookmarkStart w:id="1179" w:name="_Toc492300635"/>
      <w:bookmarkStart w:id="1180" w:name="_Toc15694"/>
      <w:bookmarkStart w:id="1181" w:name="_Toc11566"/>
      <w:bookmarkStart w:id="1182" w:name="_Toc26520"/>
      <w:bookmarkStart w:id="1183" w:name="_Toc7270"/>
      <w:bookmarkStart w:id="1184" w:name="_Toc22787"/>
      <w:bookmarkStart w:id="1185" w:name="_Toc26446"/>
    </w:p>
    <w:p w14:paraId="27FE8697">
      <w:pPr>
        <w:pStyle w:val="4"/>
        <w:rPr>
          <w:rFonts w:ascii="宋体" w:hAnsi="宋体" w:eastAsia="宋体" w:cs="宋体"/>
          <w:szCs w:val="24"/>
        </w:rPr>
      </w:pPr>
      <w:bookmarkStart w:id="1186" w:name="_Toc20795"/>
      <w:bookmarkStart w:id="1187" w:name="_Toc3717"/>
      <w:bookmarkStart w:id="1188" w:name="_Toc8861"/>
      <w:r>
        <w:rPr>
          <w:rFonts w:ascii="宋体" w:hAnsi="宋体" w:eastAsia="宋体" w:cs="宋体"/>
          <w:szCs w:val="24"/>
        </w:rPr>
        <w:t xml:space="preserve">3.3 </w:t>
      </w:r>
      <w:r>
        <w:rPr>
          <w:rFonts w:hint="eastAsia" w:ascii="宋体" w:hAnsi="宋体" w:eastAsia="宋体" w:cs="宋体"/>
          <w:szCs w:val="24"/>
        </w:rPr>
        <w:t>投标文件的澄清</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1076A7F4">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lang w:val="en-US" w:eastAsia="zh-CN" w:bidi="ar-SA"/>
        </w:rPr>
      </w:pPr>
      <w:bookmarkStart w:id="1189" w:name="_Toc13255"/>
      <w:bookmarkStart w:id="1190" w:name="_Toc23895"/>
      <w:bookmarkStart w:id="1191" w:name="_Toc18866"/>
      <w:bookmarkStart w:id="1192" w:name="_Toc17214"/>
      <w:bookmarkStart w:id="1193" w:name="_Toc9096"/>
      <w:bookmarkStart w:id="1194" w:name="_Toc8913"/>
      <w:bookmarkStart w:id="1195" w:name="_Toc21894"/>
      <w:bookmarkStart w:id="1196" w:name="_Toc21708"/>
      <w:bookmarkStart w:id="1197" w:name="_Toc20371"/>
      <w:bookmarkStart w:id="1198" w:name="_Toc497"/>
      <w:bookmarkStart w:id="1199" w:name="_Toc818"/>
      <w:bookmarkStart w:id="1200" w:name="_Toc492300636"/>
      <w:bookmarkStart w:id="1201" w:name="_Toc8203"/>
      <w:r>
        <w:rPr>
          <w:rFonts w:hint="eastAsia" w:ascii="宋体" w:hAnsi="宋体" w:eastAsia="宋体" w:cs="Times New Roman"/>
          <w:color w:val="auto"/>
          <w:sz w:val="21"/>
          <w:lang w:val="en-US" w:eastAsia="zh-CN" w:bidi="ar-SA"/>
        </w:rPr>
        <w:t xml:space="preserve">3.4.1 </w:t>
      </w:r>
      <w:r>
        <w:rPr>
          <w:rFonts w:ascii="宋体" w:hAnsi="宋体" w:eastAsia="宋体" w:cs="宋体"/>
          <w:color w:val="auto"/>
          <w:spacing w:val="-4"/>
          <w:sz w:val="21"/>
          <w:szCs w:val="21"/>
          <w:highlight w:val="none"/>
        </w:rPr>
        <w:t>在评标过程中，</w:t>
      </w:r>
      <w:r>
        <w:rPr>
          <w:rFonts w:hint="eastAsia" w:ascii="宋体" w:hAnsi="宋体" w:eastAsia="宋体" w:cs="宋体"/>
          <w:color w:val="auto"/>
          <w:spacing w:val="-4"/>
          <w:sz w:val="21"/>
          <w:szCs w:val="21"/>
          <w:highlight w:val="none"/>
        </w:rPr>
        <w:t>经评标委员会中两人以上（含两人）以书面形式提出动议，评标委员会</w:t>
      </w:r>
      <w:r>
        <w:rPr>
          <w:rFonts w:ascii="宋体" w:hAnsi="宋体" w:eastAsia="宋体" w:cs="宋体"/>
          <w:color w:val="auto"/>
          <w:spacing w:val="-4"/>
          <w:sz w:val="21"/>
          <w:szCs w:val="21"/>
          <w:highlight w:val="none"/>
        </w:rPr>
        <w:t>可以书面形式要求投标人对投标文件中含义不明确、对同</w:t>
      </w:r>
      <w:r>
        <w:rPr>
          <w:rFonts w:ascii="宋体" w:hAnsi="宋体" w:eastAsia="宋体" w:cs="宋体"/>
          <w:color w:val="auto"/>
          <w:spacing w:val="1"/>
          <w:sz w:val="21"/>
          <w:szCs w:val="21"/>
          <w:highlight w:val="none"/>
        </w:rPr>
        <w:t>类问题表述不一致或者有明显文字</w:t>
      </w:r>
      <w:r>
        <w:rPr>
          <w:rFonts w:ascii="宋体" w:hAnsi="宋体" w:eastAsia="宋体" w:cs="宋体"/>
          <w:color w:val="auto"/>
          <w:sz w:val="21"/>
          <w:szCs w:val="21"/>
          <w:highlight w:val="none"/>
        </w:rPr>
        <w:t xml:space="preserve">和计算错误的内容作必要的澄清、说明或补正。澄清、说明 </w:t>
      </w:r>
      <w:r>
        <w:rPr>
          <w:rFonts w:ascii="宋体" w:hAnsi="宋体" w:eastAsia="宋体" w:cs="宋体"/>
          <w:color w:val="auto"/>
          <w:spacing w:val="-1"/>
          <w:sz w:val="21"/>
          <w:szCs w:val="21"/>
          <w:highlight w:val="none"/>
        </w:rPr>
        <w:t>或补正应以书面方式进行。评标委员会不接受投标人主动提出的澄清、说明或补正</w:t>
      </w:r>
      <w:r>
        <w:rPr>
          <w:rFonts w:hint="eastAsia" w:ascii="宋体" w:hAnsi="宋体" w:eastAsia="宋体" w:cs="Times New Roman"/>
          <w:color w:val="auto"/>
          <w:sz w:val="21"/>
          <w:lang w:val="en-US" w:eastAsia="zh-CN" w:bidi="ar-SA"/>
        </w:rPr>
        <w:t>。</w:t>
      </w:r>
    </w:p>
    <w:p w14:paraId="5AA20042">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3.4.2澄清、说明或补正不得超出投标文件的范围且不得改变投标文件实质性内容，并构成投标文件的组成部分。</w:t>
      </w:r>
    </w:p>
    <w:p w14:paraId="6F574FD4">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lang w:val="en-US" w:eastAsia="zh-CN" w:bidi="ar-SA"/>
        </w:rPr>
      </w:pPr>
      <w:r>
        <w:rPr>
          <w:rFonts w:hint="eastAsia" w:ascii="宋体" w:hAnsi="宋体" w:eastAsia="宋体" w:cs="Times New Roman"/>
          <w:color w:val="auto"/>
          <w:sz w:val="21"/>
          <w:lang w:val="en-US" w:eastAsia="zh-CN" w:bidi="ar-SA"/>
        </w:rPr>
        <w:t>3.4.3评标委员会对投标人提交的澄清、说明或补正有疑问的，可以要求投标人进一步澄清、说明或补正，直到满足评标委员会的要求。</w:t>
      </w:r>
    </w:p>
    <w:p w14:paraId="0CDEB6D4">
      <w:pPr>
        <w:pStyle w:val="15"/>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color w:val="auto"/>
        </w:rPr>
      </w:pPr>
      <w:r>
        <w:rPr>
          <w:rFonts w:hint="eastAsia" w:ascii="宋体" w:hAnsi="宋体" w:eastAsia="宋体" w:cs="Times New Roman"/>
          <w:color w:val="auto"/>
          <w:sz w:val="21"/>
          <w:lang w:val="en-US" w:eastAsia="zh-CN" w:bidi="ar-SA"/>
        </w:rPr>
        <w:t>3.4.4</w:t>
      </w:r>
      <w:r>
        <w:rPr>
          <w:rFonts w:hint="eastAsia" w:hAnsi="宋体" w:eastAsia="宋体" w:cs="Times New Roman"/>
          <w:color w:val="auto"/>
          <w:sz w:val="21"/>
          <w:lang w:val="en-US" w:eastAsia="zh-CN" w:bidi="ar-SA"/>
        </w:rPr>
        <w:t xml:space="preserve"> </w:t>
      </w:r>
      <w:r>
        <w:rPr>
          <w:rFonts w:ascii="宋体" w:hAnsi="宋体" w:eastAsia="宋体" w:cs="宋体"/>
          <w:color w:val="auto"/>
          <w:spacing w:val="-4"/>
          <w:sz w:val="21"/>
          <w:szCs w:val="21"/>
          <w:highlight w:val="none"/>
        </w:rPr>
        <w:t>评标委员会发现投标人的报价明显低于其他投标报价， 使得其投标报价可能低于其个</w:t>
      </w:r>
      <w:r>
        <w:rPr>
          <w:rFonts w:ascii="宋体" w:hAnsi="宋体" w:eastAsia="宋体" w:cs="宋体"/>
          <w:color w:val="auto"/>
          <w:spacing w:val="1"/>
          <w:sz w:val="21"/>
          <w:szCs w:val="21"/>
          <w:highlight w:val="none"/>
        </w:rPr>
        <w:t>别成本的，应当要求该投标人</w:t>
      </w:r>
      <w:r>
        <w:rPr>
          <w:rFonts w:ascii="宋体" w:hAnsi="宋体" w:eastAsia="宋体" w:cs="宋体"/>
          <w:color w:val="auto"/>
          <w:sz w:val="21"/>
          <w:szCs w:val="21"/>
          <w:highlight w:val="none"/>
        </w:rPr>
        <w:t xml:space="preserve">作出书面说明并提供相应的证明材料。投标人不能合理说明或者 </w:t>
      </w:r>
      <w:r>
        <w:rPr>
          <w:rFonts w:ascii="宋体" w:hAnsi="宋体" w:eastAsia="宋体" w:cs="宋体"/>
          <w:color w:val="auto"/>
          <w:spacing w:val="-14"/>
          <w:sz w:val="21"/>
          <w:szCs w:val="21"/>
          <w:highlight w:val="none"/>
        </w:rPr>
        <w:t>不能</w:t>
      </w:r>
      <w:r>
        <w:rPr>
          <w:rFonts w:ascii="宋体" w:hAnsi="宋体" w:eastAsia="宋体" w:cs="宋体"/>
          <w:color w:val="auto"/>
          <w:spacing w:val="-11"/>
          <w:sz w:val="21"/>
          <w:szCs w:val="21"/>
          <w:highlight w:val="none"/>
        </w:rPr>
        <w:t>提</w:t>
      </w:r>
      <w:r>
        <w:rPr>
          <w:rFonts w:ascii="宋体" w:hAnsi="宋体" w:eastAsia="宋体" w:cs="宋体"/>
          <w:color w:val="auto"/>
          <w:spacing w:val="-7"/>
          <w:sz w:val="21"/>
          <w:szCs w:val="21"/>
          <w:highlight w:val="none"/>
        </w:rPr>
        <w:t>供相应证明材料的，评标委员会应当认定该投标人以低于成本报价竞标，并否决其投标</w:t>
      </w:r>
      <w:r>
        <w:rPr>
          <w:rFonts w:hint="eastAsia" w:ascii="宋体" w:hAnsi="宋体" w:eastAsia="宋体" w:cs="宋体"/>
          <w:color w:val="auto"/>
          <w:spacing w:val="-7"/>
          <w:sz w:val="21"/>
          <w:szCs w:val="21"/>
          <w:highlight w:val="none"/>
          <w:lang w:eastAsia="zh-CN"/>
        </w:rPr>
        <w:t>。</w:t>
      </w:r>
    </w:p>
    <w:p w14:paraId="693E0B15">
      <w:pPr>
        <w:pStyle w:val="4"/>
        <w:outlineLvl w:val="9"/>
        <w:rPr>
          <w:rFonts w:ascii="宋体" w:hAnsi="宋体" w:eastAsia="宋体" w:cs="宋体"/>
          <w:szCs w:val="24"/>
        </w:rPr>
      </w:pPr>
    </w:p>
    <w:p w14:paraId="56D97EA2">
      <w:pPr>
        <w:pStyle w:val="4"/>
        <w:rPr>
          <w:rFonts w:ascii="宋体" w:hAnsi="宋体" w:eastAsia="宋体" w:cs="宋体"/>
          <w:szCs w:val="24"/>
        </w:rPr>
      </w:pPr>
      <w:bookmarkStart w:id="1202" w:name="_Toc2841"/>
      <w:bookmarkStart w:id="1203" w:name="_Toc5013"/>
      <w:bookmarkStart w:id="1204" w:name="_Toc19996"/>
      <w:r>
        <w:rPr>
          <w:rFonts w:ascii="宋体" w:hAnsi="宋体" w:eastAsia="宋体" w:cs="宋体"/>
          <w:szCs w:val="24"/>
        </w:rPr>
        <w:t xml:space="preserve">3.4 </w:t>
      </w:r>
      <w:r>
        <w:rPr>
          <w:rFonts w:hint="eastAsia" w:ascii="宋体" w:hAnsi="宋体" w:eastAsia="宋体" w:cs="宋体"/>
          <w:szCs w:val="24"/>
        </w:rPr>
        <w:t>评标结果</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48FD1BD9">
      <w:pPr>
        <w:spacing w:line="360" w:lineRule="auto"/>
        <w:ind w:firstLine="420" w:firstLineChars="200"/>
        <w:rPr>
          <w:rFonts w:hint="eastAsia" w:ascii="宋体" w:hAnsi="宋体" w:cs="宋体"/>
          <w:sz w:val="21"/>
          <w:szCs w:val="21"/>
          <w:u w:val="single"/>
        </w:rPr>
      </w:pPr>
      <w:r>
        <w:rPr>
          <w:rFonts w:hint="eastAsia" w:ascii="宋体" w:hAnsi="宋体" w:cs="宋体"/>
          <w:sz w:val="21"/>
          <w:szCs w:val="21"/>
          <w:u w:val="single"/>
        </w:rPr>
        <w:t>3.4.1评标委员会按照招标文件要求，对通过投标文件初步审查的投标人中，按第三章评标、定标办法第3.2 详细评审要求确定的投标人总得分排序，推荐进入定标阶段的合格中标候选人名单[中标候选人不排序，按统一社会信用代码后4位（除校验码外）大小排位，如统一社会信用代码后4位出现字母情况的，字母以“0”进行代替大小排位；如出现后4位（除校验码外）大小一致的，则随机排位]，并编制评标报告。若通初步审查的投标人大于等于 3 名且少于等于20名，则全部为合格的中标候选人，不排序进入定标阶段；若通过初步审查的投标人大于20名，按投标人总得分由高到低顺序推荐前20名不排序的合格的中标候选人（总得分相同的，以资信业绩得分高的排前；资信业绩得分也相同的，以</w:t>
      </w:r>
      <w:r>
        <w:rPr>
          <w:rFonts w:hint="eastAsia" w:ascii="宋体" w:hAnsi="宋体" w:cs="宋体"/>
          <w:sz w:val="21"/>
          <w:szCs w:val="21"/>
          <w:u w:val="single"/>
          <w:lang w:eastAsia="zh-CN"/>
        </w:rPr>
        <w:t>项目实施方案</w:t>
      </w:r>
      <w:r>
        <w:rPr>
          <w:rFonts w:hint="eastAsia" w:ascii="宋体" w:hAnsi="宋体" w:cs="宋体"/>
          <w:sz w:val="21"/>
          <w:szCs w:val="21"/>
          <w:u w:val="single"/>
        </w:rPr>
        <w:t>得分高的排前；</w:t>
      </w:r>
      <w:r>
        <w:rPr>
          <w:rFonts w:hint="eastAsia" w:ascii="宋体" w:hAnsi="宋体" w:cs="宋体"/>
          <w:sz w:val="21"/>
          <w:szCs w:val="21"/>
          <w:u w:val="single"/>
          <w:lang w:eastAsia="zh-CN"/>
        </w:rPr>
        <w:t>项目实施方案</w:t>
      </w:r>
      <w:r>
        <w:rPr>
          <w:rFonts w:hint="eastAsia" w:ascii="宋体" w:hAnsi="宋体" w:cs="宋体"/>
          <w:sz w:val="21"/>
          <w:szCs w:val="21"/>
          <w:u w:val="single"/>
        </w:rPr>
        <w:t>得分也相同的，以报价低的排前；如均相同的，则以评标委员会通过记名投票方式确定排序。其排名顺序只作为评标阶段确定进入定标阶段的依据,不对定标工作产生影响），进入定标阶段。</w:t>
      </w:r>
    </w:p>
    <w:p w14:paraId="6274EF4F">
      <w:pPr>
        <w:spacing w:line="360" w:lineRule="auto"/>
        <w:ind w:firstLine="420" w:firstLineChars="200"/>
        <w:rPr>
          <w:rFonts w:hint="eastAsia" w:ascii="宋体" w:hAnsi="宋体" w:cs="宋体"/>
          <w:sz w:val="21"/>
          <w:szCs w:val="21"/>
        </w:rPr>
      </w:pPr>
      <w:r>
        <w:rPr>
          <w:rFonts w:hint="eastAsia" w:ascii="宋体" w:hAnsi="宋体" w:cs="宋体"/>
          <w:sz w:val="21"/>
          <w:szCs w:val="21"/>
        </w:rPr>
        <w:t>3.4.2评标委员会完成评标后，应当向招标人提交书面评标报告和</w:t>
      </w:r>
      <w:r>
        <w:rPr>
          <w:rFonts w:hint="eastAsia" w:ascii="宋体" w:hAnsi="宋体" w:cs="宋体"/>
          <w:sz w:val="21"/>
          <w:szCs w:val="21"/>
          <w:u w:val="single"/>
        </w:rPr>
        <w:t>合格的</w:t>
      </w:r>
      <w:r>
        <w:rPr>
          <w:rFonts w:hint="eastAsia" w:ascii="宋体" w:hAnsi="宋体" w:cs="宋体"/>
          <w:sz w:val="21"/>
          <w:szCs w:val="21"/>
        </w:rPr>
        <w:t>中标候选人名单。</w:t>
      </w:r>
    </w:p>
    <w:p w14:paraId="1391C364">
      <w:pPr>
        <w:pStyle w:val="3"/>
        <w:rPr>
          <w:rFonts w:hint="eastAsia" w:ascii="宋体" w:hAnsi="宋体" w:eastAsia="宋体" w:cs="宋体"/>
          <w:b/>
          <w:sz w:val="32"/>
          <w:szCs w:val="20"/>
          <w:u w:val="none"/>
        </w:rPr>
      </w:pPr>
      <w:bookmarkStart w:id="1205" w:name="_Toc26260"/>
      <w:r>
        <w:rPr>
          <w:rFonts w:hint="eastAsia" w:ascii="宋体" w:hAnsi="宋体" w:eastAsia="宋体" w:cs="宋体"/>
          <w:b/>
          <w:sz w:val="32"/>
          <w:szCs w:val="20"/>
          <w:u w:val="none"/>
        </w:rPr>
        <w:t>4.定标原则</w:t>
      </w:r>
      <w:bookmarkEnd w:id="1205"/>
    </w:p>
    <w:p w14:paraId="2D64BE60">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ascii="宋体" w:hAnsi="宋体" w:eastAsia="宋体" w:cs="Times New Roman"/>
          <w:color w:val="auto"/>
          <w:sz w:val="21"/>
          <w:szCs w:val="21"/>
          <w:highlight w:val="none"/>
          <w:u w:val="single"/>
        </w:rPr>
      </w:pPr>
      <w:r>
        <w:rPr>
          <w:rFonts w:hint="default" w:ascii="宋体" w:hAnsi="宋体" w:eastAsia="宋体" w:cs="Times New Roman"/>
          <w:color w:val="auto"/>
          <w:sz w:val="21"/>
          <w:szCs w:val="21"/>
          <w:highlight w:val="none"/>
          <w:u w:val="single"/>
        </w:rPr>
        <w:t>4.1本项目定标办法采用“价格因素+履约能力因素”评分法。定标委员会成员根据评标过程资料，对比合格的中标候选人的投标文件等情况，综合考虑各中标候选人的情况，根据定标因素（详见《定标因素表》）对各合格的中标候选人进行评审比较后，采用</w:t>
      </w:r>
      <w:r>
        <w:rPr>
          <w:rFonts w:hint="eastAsia" w:ascii="宋体" w:hAnsi="宋体" w:eastAsia="宋体" w:cs="Times New Roman"/>
          <w:color w:val="auto"/>
          <w:sz w:val="21"/>
          <w:szCs w:val="21"/>
          <w:highlight w:val="none"/>
          <w:u w:val="single"/>
          <w:lang w:eastAsia="zh-CN"/>
        </w:rPr>
        <w:t>评分法的</w:t>
      </w:r>
      <w:r>
        <w:rPr>
          <w:rFonts w:hint="default" w:ascii="宋体" w:hAnsi="宋体" w:eastAsia="宋体" w:cs="Times New Roman"/>
          <w:color w:val="auto"/>
          <w:sz w:val="21"/>
          <w:szCs w:val="21"/>
          <w:highlight w:val="none"/>
          <w:u w:val="single"/>
        </w:rPr>
        <w:t>方式确定中标人。</w:t>
      </w:r>
    </w:p>
    <w:p w14:paraId="7E732D68">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eastAsia"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u w:val="single"/>
          <w:lang w:val="en-US" w:eastAsia="zh-CN"/>
        </w:rPr>
        <w:t>4.2组建监督小组</w:t>
      </w:r>
    </w:p>
    <w:p w14:paraId="78BD361B">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u w:val="single"/>
          <w:lang w:val="en-US" w:eastAsia="zh-CN"/>
        </w:rPr>
        <w:t>招标开始前，招标人组建监督小组，监督小组由2人或以上人数组成。监督小组对招标投标活动全过程进行监督，有权对定标委员会的组建、定标过程及招标人在定标前的清标和对中标候选人的考察等（如有）进行全程监督，有权对定标委员会违反定标规则的行为进行质询，确保定标过程公平、公正。监督小组对发现的异常情况应及时提醒并纠正，但不得就评标、定标涉及的实质内容发表意见或者参与评标、定标讨论。</w:t>
      </w:r>
    </w:p>
    <w:p w14:paraId="4E78CDCC">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ascii="宋体" w:hAnsi="宋体" w:eastAsia="宋体" w:cs="Times New Roman"/>
          <w:color w:val="auto"/>
          <w:sz w:val="21"/>
          <w:szCs w:val="21"/>
          <w:highlight w:val="none"/>
          <w:u w:val="single"/>
        </w:rPr>
      </w:pPr>
      <w:r>
        <w:rPr>
          <w:rFonts w:hint="default" w:ascii="宋体" w:hAnsi="宋体" w:eastAsia="宋体" w:cs="Times New Roman"/>
          <w:color w:val="auto"/>
          <w:sz w:val="21"/>
          <w:szCs w:val="21"/>
          <w:highlight w:val="none"/>
          <w:u w:val="single"/>
        </w:rPr>
        <w:t>4.</w:t>
      </w:r>
      <w:r>
        <w:rPr>
          <w:rFonts w:hint="eastAsia" w:ascii="宋体" w:hAnsi="宋体" w:eastAsia="宋体" w:cs="Times New Roman"/>
          <w:color w:val="auto"/>
          <w:sz w:val="21"/>
          <w:szCs w:val="21"/>
          <w:highlight w:val="none"/>
          <w:u w:val="single"/>
          <w:lang w:val="en-US" w:eastAsia="zh-CN"/>
        </w:rPr>
        <w:t>3</w:t>
      </w:r>
      <w:r>
        <w:rPr>
          <w:rFonts w:hint="default" w:ascii="宋体" w:hAnsi="宋体" w:eastAsia="宋体" w:cs="Times New Roman"/>
          <w:color w:val="auto"/>
          <w:sz w:val="21"/>
          <w:szCs w:val="21"/>
          <w:highlight w:val="none"/>
          <w:u w:val="single"/>
        </w:rPr>
        <w:t>定标</w:t>
      </w:r>
    </w:p>
    <w:p w14:paraId="0F1933C7">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default" w:ascii="宋体" w:hAnsi="宋体" w:eastAsia="宋体" w:cs="Times New Roman"/>
          <w:color w:val="auto"/>
          <w:sz w:val="21"/>
          <w:szCs w:val="21"/>
          <w:highlight w:val="none"/>
          <w:u w:val="single"/>
        </w:rPr>
        <w:t>评标结束后，招标人按以下规定组建定标委员会，在评标委员会推荐的合格投标人中确定中标人：</w:t>
      </w:r>
    </w:p>
    <w:p w14:paraId="02A6F236">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default" w:ascii="宋体" w:hAnsi="宋体" w:eastAsia="宋体" w:cs="Times New Roman"/>
          <w:color w:val="auto"/>
          <w:sz w:val="21"/>
          <w:szCs w:val="21"/>
          <w:highlight w:val="none"/>
          <w:u w:val="single"/>
        </w:rPr>
        <w:t>定标由招标人依法组建的定标委员会负责。</w:t>
      </w:r>
    </w:p>
    <w:p w14:paraId="3F878324">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4.3.1</w:t>
      </w:r>
      <w:r>
        <w:rPr>
          <w:rFonts w:hint="default" w:ascii="宋体" w:hAnsi="宋体" w:eastAsia="宋体" w:cs="Times New Roman"/>
          <w:color w:val="auto"/>
          <w:sz w:val="21"/>
          <w:szCs w:val="21"/>
          <w:highlight w:val="none"/>
          <w:u w:val="single"/>
        </w:rPr>
        <w:t>定标时间和地点</w:t>
      </w:r>
    </w:p>
    <w:p w14:paraId="246E178A">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default" w:ascii="宋体" w:hAnsi="宋体" w:eastAsia="宋体" w:cs="Times New Roman"/>
          <w:color w:val="auto"/>
          <w:sz w:val="21"/>
          <w:szCs w:val="21"/>
          <w:highlight w:val="none"/>
          <w:u w:val="single"/>
        </w:rPr>
        <w:t>招标人在合格的中标候选人公示完成后</w:t>
      </w:r>
      <w:r>
        <w:rPr>
          <w:rFonts w:hint="eastAsia" w:ascii="宋体" w:hAnsi="宋体" w:eastAsia="宋体" w:cs="Times New Roman"/>
          <w:color w:val="auto"/>
          <w:sz w:val="21"/>
          <w:szCs w:val="21"/>
          <w:highlight w:val="none"/>
          <w:u w:val="single"/>
          <w:lang w:val="en-US" w:eastAsia="zh-CN"/>
        </w:rPr>
        <w:t>5</w:t>
      </w:r>
      <w:r>
        <w:rPr>
          <w:rFonts w:hint="default" w:ascii="宋体" w:hAnsi="宋体" w:eastAsia="宋体" w:cs="Times New Roman"/>
          <w:color w:val="auto"/>
          <w:sz w:val="21"/>
          <w:szCs w:val="21"/>
          <w:highlight w:val="none"/>
          <w:u w:val="single"/>
        </w:rPr>
        <w:t>个工作日内在广州公共资源交易中心开展定标工作，招标人按规定程序在投标人须知的时间和地点完成定标工作。</w:t>
      </w:r>
    </w:p>
    <w:p w14:paraId="4E7577BA">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4</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3.2</w:t>
      </w:r>
      <w:r>
        <w:rPr>
          <w:rFonts w:hint="default" w:ascii="宋体" w:hAnsi="宋体" w:eastAsia="宋体" w:cs="Times New Roman"/>
          <w:color w:val="auto"/>
          <w:sz w:val="21"/>
          <w:szCs w:val="21"/>
          <w:highlight w:val="none"/>
          <w:u w:val="single"/>
        </w:rPr>
        <w:t xml:space="preserve"> 定标规则</w:t>
      </w:r>
    </w:p>
    <w:p w14:paraId="5D9E3071">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default" w:ascii="宋体" w:hAnsi="宋体" w:eastAsia="宋体" w:cs="Times New Roman"/>
          <w:color w:val="auto"/>
          <w:sz w:val="21"/>
          <w:szCs w:val="21"/>
          <w:highlight w:val="none"/>
          <w:u w:val="single"/>
        </w:rPr>
        <w:t>本项目采用</w:t>
      </w:r>
      <w:r>
        <w:rPr>
          <w:rFonts w:hint="eastAsia" w:ascii="宋体" w:hAnsi="宋体" w:eastAsia="宋体" w:cs="Times New Roman"/>
          <w:color w:val="auto"/>
          <w:sz w:val="21"/>
          <w:szCs w:val="21"/>
          <w:highlight w:val="none"/>
          <w:u w:val="single"/>
          <w:lang w:eastAsia="zh-CN"/>
        </w:rPr>
        <w:t>“</w:t>
      </w:r>
      <w:r>
        <w:rPr>
          <w:rFonts w:hint="default" w:ascii="宋体" w:hAnsi="宋体" w:eastAsia="宋体" w:cs="Times New Roman"/>
          <w:color w:val="auto"/>
          <w:sz w:val="21"/>
          <w:szCs w:val="21"/>
          <w:highlight w:val="none"/>
          <w:u w:val="single"/>
        </w:rPr>
        <w:t>价格因素+履约能力因素</w:t>
      </w:r>
      <w:r>
        <w:rPr>
          <w:rFonts w:hint="eastAsia" w:ascii="宋体" w:hAnsi="宋体" w:eastAsia="宋体" w:cs="Times New Roman"/>
          <w:color w:val="auto"/>
          <w:sz w:val="21"/>
          <w:szCs w:val="21"/>
          <w:highlight w:val="none"/>
          <w:u w:val="single"/>
          <w:lang w:eastAsia="zh-CN"/>
        </w:rPr>
        <w:t>”</w:t>
      </w:r>
      <w:r>
        <w:rPr>
          <w:rFonts w:hint="default" w:ascii="宋体" w:hAnsi="宋体" w:eastAsia="宋体" w:cs="Times New Roman"/>
          <w:color w:val="auto"/>
          <w:sz w:val="21"/>
          <w:szCs w:val="21"/>
          <w:highlight w:val="none"/>
          <w:u w:val="single"/>
        </w:rPr>
        <w:t>评</w:t>
      </w:r>
      <w:r>
        <w:rPr>
          <w:rFonts w:hint="eastAsia" w:ascii="宋体" w:hAnsi="宋体" w:eastAsia="宋体" w:cs="Times New Roman"/>
          <w:color w:val="auto"/>
          <w:sz w:val="21"/>
          <w:szCs w:val="21"/>
          <w:highlight w:val="none"/>
          <w:u w:val="single"/>
          <w:lang w:eastAsia="zh-CN"/>
        </w:rPr>
        <w:t>分</w:t>
      </w:r>
      <w:r>
        <w:rPr>
          <w:rFonts w:hint="default" w:ascii="宋体" w:hAnsi="宋体" w:eastAsia="宋体" w:cs="Times New Roman"/>
          <w:color w:val="auto"/>
          <w:sz w:val="21"/>
          <w:szCs w:val="21"/>
          <w:highlight w:val="none"/>
          <w:u w:val="single"/>
        </w:rPr>
        <w:t>法,具体定标方法如下：</w:t>
      </w:r>
    </w:p>
    <w:p w14:paraId="541922E6">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4</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3</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2.1</w:t>
      </w:r>
      <w:r>
        <w:rPr>
          <w:rFonts w:hint="default" w:ascii="宋体" w:hAnsi="宋体" w:eastAsia="宋体" w:cs="Times New Roman"/>
          <w:color w:val="auto"/>
          <w:sz w:val="21"/>
          <w:szCs w:val="21"/>
          <w:highlight w:val="none"/>
          <w:u w:val="single"/>
        </w:rPr>
        <w:t xml:space="preserve"> 定标程序</w:t>
      </w:r>
    </w:p>
    <w:p w14:paraId="12AAEE1F">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4</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3</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2</w:t>
      </w:r>
      <w:r>
        <w:rPr>
          <w:rFonts w:hint="default" w:ascii="宋体" w:hAnsi="宋体" w:eastAsia="宋体" w:cs="Times New Roman"/>
          <w:color w:val="auto"/>
          <w:sz w:val="21"/>
          <w:szCs w:val="21"/>
          <w:highlight w:val="none"/>
          <w:u w:val="single"/>
        </w:rPr>
        <w:t>.1</w:t>
      </w:r>
      <w:r>
        <w:rPr>
          <w:rFonts w:hint="eastAsia" w:ascii="宋体" w:hAnsi="宋体" w:eastAsia="宋体" w:cs="Times New Roman"/>
          <w:color w:val="auto"/>
          <w:sz w:val="21"/>
          <w:szCs w:val="21"/>
          <w:highlight w:val="none"/>
          <w:u w:val="single"/>
          <w:lang w:val="en-US" w:eastAsia="zh-CN"/>
        </w:rPr>
        <w:t>.1</w:t>
      </w:r>
      <w:r>
        <w:rPr>
          <w:rFonts w:hint="default" w:ascii="宋体" w:hAnsi="宋体" w:eastAsia="宋体" w:cs="Times New Roman"/>
          <w:color w:val="auto"/>
          <w:sz w:val="21"/>
          <w:szCs w:val="21"/>
          <w:highlight w:val="none"/>
          <w:u w:val="single"/>
        </w:rPr>
        <w:t>定标工作开始后，定标委员会应推荐一人为定标委员会组长，主持当次定标会议。</w:t>
      </w:r>
    </w:p>
    <w:p w14:paraId="7012F97A">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4</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3</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2</w:t>
      </w:r>
      <w:r>
        <w:rPr>
          <w:rFonts w:hint="default" w:ascii="宋体" w:hAnsi="宋体" w:eastAsia="宋体" w:cs="Times New Roman"/>
          <w:color w:val="auto"/>
          <w:sz w:val="21"/>
          <w:szCs w:val="21"/>
          <w:highlight w:val="none"/>
          <w:u w:val="single"/>
        </w:rPr>
        <w:t>.1</w:t>
      </w:r>
      <w:r>
        <w:rPr>
          <w:rFonts w:hint="eastAsia" w:ascii="宋体" w:hAnsi="宋体" w:eastAsia="宋体" w:cs="Times New Roman"/>
          <w:color w:val="auto"/>
          <w:sz w:val="21"/>
          <w:szCs w:val="21"/>
          <w:highlight w:val="none"/>
          <w:u w:val="single"/>
          <w:lang w:val="en-US" w:eastAsia="zh-CN"/>
        </w:rPr>
        <w:t>.</w:t>
      </w:r>
      <w:r>
        <w:rPr>
          <w:rFonts w:hint="default" w:ascii="宋体" w:hAnsi="宋体" w:eastAsia="宋体" w:cs="Times New Roman"/>
          <w:color w:val="auto"/>
          <w:sz w:val="21"/>
          <w:szCs w:val="21"/>
          <w:highlight w:val="none"/>
          <w:u w:val="single"/>
        </w:rPr>
        <w:t>2定标辅助资料为评标阶段的评标报告、投标人提交的投标文件。</w:t>
      </w:r>
    </w:p>
    <w:p w14:paraId="10857283">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4</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3</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2</w:t>
      </w:r>
      <w:r>
        <w:rPr>
          <w:rFonts w:hint="default" w:ascii="宋体" w:hAnsi="宋体" w:eastAsia="宋体" w:cs="Times New Roman"/>
          <w:color w:val="auto"/>
          <w:sz w:val="21"/>
          <w:szCs w:val="21"/>
          <w:highlight w:val="none"/>
          <w:u w:val="single"/>
        </w:rPr>
        <w:t>.1</w:t>
      </w:r>
      <w:r>
        <w:rPr>
          <w:rFonts w:hint="eastAsia" w:ascii="宋体" w:hAnsi="宋体" w:eastAsia="宋体" w:cs="Times New Roman"/>
          <w:color w:val="auto"/>
          <w:sz w:val="21"/>
          <w:szCs w:val="21"/>
          <w:highlight w:val="none"/>
          <w:u w:val="single"/>
          <w:lang w:val="en-US" w:eastAsia="zh-CN"/>
        </w:rPr>
        <w:t>.</w:t>
      </w:r>
      <w:r>
        <w:rPr>
          <w:rFonts w:hint="default" w:ascii="宋体" w:hAnsi="宋体" w:eastAsia="宋体" w:cs="Times New Roman"/>
          <w:color w:val="auto"/>
          <w:sz w:val="21"/>
          <w:szCs w:val="21"/>
          <w:highlight w:val="none"/>
          <w:u w:val="single"/>
        </w:rPr>
        <w:t>3定标委员会根据定标辅助资料，在同等条件下，定标因素的相对标准按以下2个方面进行（详见附表《定标因素表》）：</w:t>
      </w:r>
    </w:p>
    <w:p w14:paraId="2DB6E46B">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default" w:ascii="宋体" w:hAnsi="宋体" w:eastAsia="宋体" w:cs="Times New Roman"/>
          <w:color w:val="auto"/>
          <w:sz w:val="21"/>
          <w:szCs w:val="21"/>
          <w:highlight w:val="none"/>
          <w:u w:val="single"/>
        </w:rPr>
        <w:t>（1）价格因素；</w:t>
      </w:r>
    </w:p>
    <w:p w14:paraId="68B4A245">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default" w:ascii="宋体" w:hAnsi="宋体" w:eastAsia="宋体" w:cs="Times New Roman"/>
          <w:color w:val="auto"/>
          <w:sz w:val="21"/>
          <w:szCs w:val="21"/>
          <w:highlight w:val="none"/>
          <w:u w:val="single"/>
        </w:rPr>
        <w:t>（2）履约能力因素；</w:t>
      </w:r>
    </w:p>
    <w:p w14:paraId="279C2357">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4</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3</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2</w:t>
      </w:r>
      <w:r>
        <w:rPr>
          <w:rFonts w:hint="default" w:ascii="宋体" w:hAnsi="宋体" w:eastAsia="宋体" w:cs="Times New Roman"/>
          <w:color w:val="auto"/>
          <w:sz w:val="21"/>
          <w:szCs w:val="21"/>
          <w:highlight w:val="none"/>
          <w:u w:val="single"/>
        </w:rPr>
        <w:t>.1.4将所有定标委员会成员对同一投标人的评分进行相加（总得分=价格因素得分+</w:t>
      </w:r>
      <w:r>
        <w:rPr>
          <w:rFonts w:hint="eastAsia" w:ascii="宋体" w:hAnsi="宋体" w:cs="Times New Roman"/>
          <w:color w:val="auto"/>
          <w:sz w:val="21"/>
          <w:szCs w:val="21"/>
          <w:highlight w:val="none"/>
          <w:u w:val="single"/>
          <w:lang w:eastAsia="zh-CN"/>
        </w:rPr>
        <w:t>履约能力因素</w:t>
      </w:r>
      <w:r>
        <w:rPr>
          <w:rFonts w:hint="default" w:ascii="宋体" w:hAnsi="宋体" w:eastAsia="宋体" w:cs="Times New Roman"/>
          <w:color w:val="auto"/>
          <w:sz w:val="21"/>
          <w:szCs w:val="21"/>
          <w:highlight w:val="none"/>
          <w:u w:val="single"/>
        </w:rPr>
        <w:t>得分），总分由高至低排序，总分最高的中标人。</w:t>
      </w:r>
    </w:p>
    <w:p w14:paraId="207DC84C">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default" w:ascii="宋体" w:hAnsi="宋体" w:eastAsia="宋体" w:cs="Times New Roman"/>
          <w:color w:val="auto"/>
          <w:sz w:val="21"/>
          <w:szCs w:val="21"/>
          <w:highlight w:val="none"/>
          <w:u w:val="single"/>
        </w:rPr>
        <w:t>注：若合格的中标候选人总得分相同且影响定标排序的，以</w:t>
      </w:r>
      <w:r>
        <w:rPr>
          <w:rFonts w:hint="eastAsia" w:ascii="宋体" w:hAnsi="宋体" w:cs="Times New Roman"/>
          <w:color w:val="auto"/>
          <w:sz w:val="21"/>
          <w:szCs w:val="21"/>
          <w:highlight w:val="none"/>
          <w:u w:val="single"/>
          <w:lang w:eastAsia="zh-CN"/>
        </w:rPr>
        <w:t>履约能力因素</w:t>
      </w:r>
      <w:r>
        <w:rPr>
          <w:rFonts w:hint="default" w:ascii="宋体" w:hAnsi="宋体" w:eastAsia="宋体" w:cs="Times New Roman"/>
          <w:color w:val="auto"/>
          <w:sz w:val="21"/>
          <w:szCs w:val="21"/>
          <w:highlight w:val="none"/>
          <w:u w:val="single"/>
        </w:rPr>
        <w:t>得分高的排前；若</w:t>
      </w:r>
      <w:r>
        <w:rPr>
          <w:rFonts w:hint="eastAsia" w:ascii="宋体" w:hAnsi="宋体" w:cs="Times New Roman"/>
          <w:color w:val="auto"/>
          <w:sz w:val="21"/>
          <w:szCs w:val="21"/>
          <w:highlight w:val="none"/>
          <w:u w:val="single"/>
          <w:lang w:eastAsia="zh-CN"/>
        </w:rPr>
        <w:t>履约能力因素</w:t>
      </w:r>
      <w:r>
        <w:rPr>
          <w:rFonts w:hint="default" w:ascii="宋体" w:hAnsi="宋体" w:eastAsia="宋体" w:cs="Times New Roman"/>
          <w:color w:val="auto"/>
          <w:sz w:val="21"/>
          <w:szCs w:val="21"/>
          <w:highlight w:val="none"/>
          <w:u w:val="single"/>
        </w:rPr>
        <w:t>得分仍相同的，以价格因素得分高的排前，若价格因素得分仍相同的，由定标委员会</w:t>
      </w:r>
      <w:r>
        <w:rPr>
          <w:rFonts w:hint="eastAsia" w:ascii="宋体" w:hAnsi="宋体" w:eastAsia="宋体" w:cs="Times New Roman"/>
          <w:color w:val="auto"/>
          <w:sz w:val="21"/>
          <w:szCs w:val="21"/>
          <w:highlight w:val="none"/>
          <w:u w:val="single"/>
          <w:lang w:eastAsia="zh-CN"/>
        </w:rPr>
        <w:t>记名</w:t>
      </w:r>
      <w:r>
        <w:rPr>
          <w:rFonts w:hint="default" w:ascii="宋体" w:hAnsi="宋体" w:eastAsia="宋体" w:cs="Times New Roman"/>
          <w:color w:val="auto"/>
          <w:sz w:val="21"/>
          <w:szCs w:val="21"/>
          <w:highlight w:val="none"/>
          <w:u w:val="single"/>
        </w:rPr>
        <w:t>投票确定排序。</w:t>
      </w:r>
    </w:p>
    <w:p w14:paraId="1695351A">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4</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3</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2</w:t>
      </w:r>
      <w:r>
        <w:rPr>
          <w:rFonts w:hint="default" w:ascii="宋体" w:hAnsi="宋体" w:eastAsia="宋体" w:cs="Times New Roman"/>
          <w:color w:val="auto"/>
          <w:sz w:val="21"/>
          <w:szCs w:val="21"/>
          <w:highlight w:val="none"/>
          <w:u w:val="single"/>
        </w:rPr>
        <w:t>.2定标委员会组长根据评分情况向招标人推荐中标人。</w:t>
      </w:r>
    </w:p>
    <w:p w14:paraId="29A5BE36">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4</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3</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2</w:t>
      </w:r>
      <w:r>
        <w:rPr>
          <w:rFonts w:hint="default" w:ascii="宋体" w:hAnsi="宋体" w:eastAsia="宋体" w:cs="Times New Roman"/>
          <w:color w:val="auto"/>
          <w:sz w:val="21"/>
          <w:szCs w:val="21"/>
          <w:highlight w:val="none"/>
          <w:u w:val="single"/>
        </w:rPr>
        <w:t>.3编写定标报告，定标委员会全体确认后签署定标报告。定标报告由定标委员会全体成员签字，对定标结论持有异议的成员应以书面方式阐述其不同意见和理由。</w:t>
      </w:r>
    </w:p>
    <w:p w14:paraId="05EA7924">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4</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3</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2</w:t>
      </w:r>
      <w:r>
        <w:rPr>
          <w:rFonts w:hint="default" w:ascii="宋体" w:hAnsi="宋体" w:eastAsia="宋体" w:cs="Times New Roman"/>
          <w:color w:val="auto"/>
          <w:sz w:val="21"/>
          <w:szCs w:val="21"/>
          <w:highlight w:val="none"/>
          <w:u w:val="single"/>
        </w:rPr>
        <w:t>.4定标后出现中标人不符合法定情形的，招标人有权从其他已进入定标阶段的合格中标候选人中采用原定标办法，由原定标委员会确定中标人，招标人也有权重新招标。</w:t>
      </w:r>
    </w:p>
    <w:p w14:paraId="7249107E">
      <w:pPr>
        <w:pStyle w:val="11"/>
        <w:keepNext w:val="0"/>
        <w:keepLines w:val="0"/>
        <w:pageBreakBefore w:val="0"/>
        <w:widowControl w:val="0"/>
        <w:kinsoku w:val="0"/>
        <w:wordWrap/>
        <w:overflowPunct w:val="0"/>
        <w:topLinePunct w:val="0"/>
        <w:autoSpaceDE/>
        <w:autoSpaceDN/>
        <w:bidi w:val="0"/>
        <w:adjustRightInd/>
        <w:snapToGrid/>
        <w:spacing w:after="0" w:line="360" w:lineRule="auto"/>
        <w:ind w:left="0" w:right="0" w:firstLine="420" w:firstLineChars="200"/>
        <w:textAlignment w:val="auto"/>
        <w:rPr>
          <w:rFonts w:hint="default"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u w:val="single"/>
          <w:lang w:val="en-US" w:eastAsia="zh-CN"/>
        </w:rPr>
        <w:t>4</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3</w:t>
      </w:r>
      <w:r>
        <w:rPr>
          <w:rFonts w:hint="default"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lang w:val="en-US" w:eastAsia="zh-CN"/>
        </w:rPr>
        <w:t>2</w:t>
      </w:r>
      <w:r>
        <w:rPr>
          <w:rFonts w:hint="default" w:ascii="宋体" w:hAnsi="宋体" w:eastAsia="宋体" w:cs="Times New Roman"/>
          <w:color w:val="auto"/>
          <w:sz w:val="21"/>
          <w:szCs w:val="21"/>
          <w:highlight w:val="none"/>
          <w:u w:val="single"/>
        </w:rPr>
        <w:t>.5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447AB07E">
      <w:pPr>
        <w:pStyle w:val="11"/>
        <w:kinsoku w:val="0"/>
        <w:overflowPunct w:val="0"/>
        <w:spacing w:line="360" w:lineRule="auto"/>
        <w:ind w:left="100" w:right="109" w:firstLine="419"/>
        <w:rPr>
          <w:rFonts w:hint="default" w:ascii="Times New Roman" w:hAnsi="Times New Roman" w:cs="Times New Roman"/>
          <w:color w:val="auto"/>
          <w:szCs w:val="22"/>
          <w:highlight w:val="none"/>
          <w:u w:val="none"/>
        </w:rPr>
      </w:pPr>
      <w:r>
        <w:rPr>
          <w:rFonts w:hint="default" w:ascii="宋体" w:hAnsi="宋体" w:eastAsia="宋体" w:cs="Times New Roman"/>
          <w:color w:val="auto"/>
          <w:sz w:val="21"/>
          <w:szCs w:val="21"/>
          <w:highlight w:val="none"/>
          <w:u w:val="single"/>
        </w:rPr>
        <w:br w:type="page"/>
      </w:r>
    </w:p>
    <w:p w14:paraId="4186286E">
      <w:pPr>
        <w:spacing w:line="360" w:lineRule="exact"/>
        <w:jc w:val="center"/>
        <w:rPr>
          <w:rFonts w:hint="eastAsia" w:ascii="宋体" w:hAnsi="宋体"/>
          <w:b/>
          <w:bCs/>
          <w:color w:val="auto"/>
          <w:sz w:val="28"/>
          <w:szCs w:val="28"/>
          <w:highlight w:val="none"/>
          <w:u w:val="single"/>
        </w:rPr>
      </w:pPr>
      <w:r>
        <w:rPr>
          <w:rFonts w:hint="eastAsia" w:ascii="宋体" w:hAnsi="宋体" w:cs="宋体"/>
          <w:b/>
          <w:bCs/>
          <w:color w:val="auto"/>
          <w:sz w:val="28"/>
          <w:szCs w:val="28"/>
          <w:highlight w:val="none"/>
          <w:u w:val="single"/>
        </w:rPr>
        <w:t>定标因素表</w:t>
      </w:r>
    </w:p>
    <w:tbl>
      <w:tblPr>
        <w:tblStyle w:val="28"/>
        <w:tblpPr w:leftFromText="180" w:rightFromText="180" w:vertAnchor="text" w:horzAnchor="page" w:tblpX="1199" w:tblpY="380"/>
        <w:tblOverlap w:val="never"/>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819"/>
        <w:gridCol w:w="598"/>
        <w:gridCol w:w="7662"/>
      </w:tblGrid>
      <w:tr w14:paraId="76A8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76" w:type="pct"/>
            <w:tcBorders>
              <w:top w:val="single" w:color="auto" w:sz="4" w:space="0"/>
              <w:left w:val="single" w:color="auto" w:sz="4" w:space="0"/>
              <w:bottom w:val="single" w:color="auto" w:sz="4" w:space="0"/>
              <w:right w:val="single" w:color="auto" w:sz="4" w:space="0"/>
            </w:tcBorders>
            <w:noWrap w:val="0"/>
            <w:vAlign w:val="center"/>
          </w:tcPr>
          <w:p w14:paraId="0CBC46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694ED8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评价项目</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0D6B9E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3985" w:type="pct"/>
            <w:tcBorders>
              <w:top w:val="single" w:color="auto" w:sz="4" w:space="0"/>
              <w:left w:val="single" w:color="auto" w:sz="4" w:space="0"/>
              <w:bottom w:val="single" w:color="auto" w:sz="4" w:space="0"/>
              <w:right w:val="single" w:color="auto" w:sz="4" w:space="0"/>
            </w:tcBorders>
            <w:noWrap w:val="0"/>
            <w:vAlign w:val="center"/>
          </w:tcPr>
          <w:p w14:paraId="54992CC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定标评价的内容</w:t>
            </w:r>
          </w:p>
        </w:tc>
      </w:tr>
      <w:tr w14:paraId="77B2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76" w:type="pct"/>
            <w:tcBorders>
              <w:top w:val="single" w:color="auto" w:sz="4" w:space="0"/>
              <w:left w:val="single" w:color="auto" w:sz="4" w:space="0"/>
              <w:bottom w:val="single" w:color="auto" w:sz="4" w:space="0"/>
              <w:right w:val="single" w:color="auto" w:sz="4" w:space="0"/>
            </w:tcBorders>
            <w:noWrap w:val="0"/>
            <w:vAlign w:val="center"/>
          </w:tcPr>
          <w:p w14:paraId="58BD0BE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63FB11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价格因素</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25CBEDFE">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3985" w:type="pct"/>
            <w:tcBorders>
              <w:top w:val="single" w:color="auto" w:sz="4" w:space="0"/>
              <w:left w:val="single" w:color="auto" w:sz="4" w:space="0"/>
              <w:bottom w:val="single" w:color="auto" w:sz="4" w:space="0"/>
              <w:right w:val="single" w:color="auto" w:sz="4" w:space="0"/>
            </w:tcBorders>
            <w:noWrap w:val="0"/>
            <w:vAlign w:val="center"/>
          </w:tcPr>
          <w:p w14:paraId="7C13B80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定标委员会对合格中标候选人投标报价进行评审：</w:t>
            </w:r>
          </w:p>
          <w:p w14:paraId="21ED64F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投标报价得分＝（评标基准价/投标报价）×20。</w:t>
            </w:r>
          </w:p>
          <w:p w14:paraId="02AC492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注：1.合格中标候选人的最低投标报价与成本警戒价两者中的较高值为评标基准价。</w:t>
            </w:r>
          </w:p>
          <w:p w14:paraId="14ADC7B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2.根据第</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章“投标人须知前附表”第10.</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项规定实施价格评审优惠政策（如有），得出投标报价得分。</w:t>
            </w:r>
          </w:p>
        </w:tc>
      </w:tr>
      <w:tr w14:paraId="329C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76" w:type="pct"/>
            <w:vMerge w:val="restart"/>
            <w:tcBorders>
              <w:top w:val="single" w:color="auto" w:sz="4" w:space="0"/>
              <w:left w:val="single" w:color="auto" w:sz="4" w:space="0"/>
              <w:right w:val="single" w:color="auto" w:sz="4" w:space="0"/>
            </w:tcBorders>
            <w:noWrap w:val="0"/>
            <w:vAlign w:val="center"/>
          </w:tcPr>
          <w:p w14:paraId="39577FF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6" w:type="pct"/>
            <w:vMerge w:val="restart"/>
            <w:tcBorders>
              <w:top w:val="single" w:color="auto" w:sz="4" w:space="0"/>
              <w:left w:val="single" w:color="auto" w:sz="4" w:space="0"/>
              <w:right w:val="single" w:color="auto" w:sz="4" w:space="0"/>
            </w:tcBorders>
            <w:noWrap w:val="0"/>
            <w:vAlign w:val="center"/>
          </w:tcPr>
          <w:p w14:paraId="432EB03C">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履约能力因素</w:t>
            </w:r>
          </w:p>
        </w:tc>
        <w:tc>
          <w:tcPr>
            <w:tcW w:w="311" w:type="pct"/>
            <w:vMerge w:val="restart"/>
            <w:tcBorders>
              <w:top w:val="single" w:color="auto" w:sz="4" w:space="0"/>
              <w:left w:val="single" w:color="auto" w:sz="4" w:space="0"/>
              <w:right w:val="single" w:color="auto" w:sz="4" w:space="0"/>
            </w:tcBorders>
            <w:noWrap w:val="0"/>
            <w:vAlign w:val="center"/>
          </w:tcPr>
          <w:p w14:paraId="7A88A49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80</w:t>
            </w:r>
          </w:p>
        </w:tc>
        <w:tc>
          <w:tcPr>
            <w:tcW w:w="3985" w:type="pct"/>
            <w:tcBorders>
              <w:top w:val="single" w:color="auto" w:sz="4" w:space="0"/>
              <w:left w:val="single" w:color="auto" w:sz="4" w:space="0"/>
              <w:bottom w:val="single" w:color="auto" w:sz="4" w:space="0"/>
              <w:right w:val="single" w:color="auto" w:sz="4" w:space="0"/>
            </w:tcBorders>
            <w:noWrap w:val="0"/>
            <w:vAlign w:val="center"/>
          </w:tcPr>
          <w:p w14:paraId="7EDECB2B">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定标委员会根据定标文件对合格中标候选人的BRT站台各子系统维护方案进行评审：各子系统包括：安全门、闸机、电子站牌、视频监控、窗口对讲、UPS电源、站台广播、语音集群、光纤及通信网络、调度中心大屏。投标人对本项目BRT站台各子系统维护方案。子系统维护方案需包括：运维目标、维护清单、系统原理及故障分析、系统维护及巡检、设备运维情况、服务组织架构等方面，针对安全门系统提出优化方案（重点阐述乘客安全防护措施、维护及管理人员操作、设备优化内容等）。</w:t>
            </w:r>
          </w:p>
          <w:p w14:paraId="44C9F497">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优：维护方案内容全面完整，表述清晰，满足需求及优化方案内容详细的，得【22-30】分；</w:t>
            </w:r>
          </w:p>
          <w:p w14:paraId="07E13CDE">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良：维护方案内容基本完整、表述基本清晰，满足采购需求的，得【15-22）分；</w:t>
            </w:r>
          </w:p>
          <w:p w14:paraId="29786263">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中：维护方案内容不完整表述不清晰，无法满足采购需求，得【7-15）分；</w:t>
            </w:r>
          </w:p>
          <w:p w14:paraId="2601F448">
            <w:pPr>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差：其他或无响应，得【0-7）分。</w:t>
            </w:r>
          </w:p>
        </w:tc>
      </w:tr>
      <w:tr w14:paraId="4690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76" w:type="pct"/>
            <w:vMerge w:val="continue"/>
            <w:tcBorders>
              <w:left w:val="single" w:color="auto" w:sz="4" w:space="0"/>
              <w:right w:val="single" w:color="auto" w:sz="4" w:space="0"/>
            </w:tcBorders>
            <w:noWrap w:val="0"/>
            <w:vAlign w:val="center"/>
          </w:tcPr>
          <w:p w14:paraId="306F14B7">
            <w:pPr>
              <w:jc w:val="center"/>
              <w:rPr>
                <w:rFonts w:hint="eastAsia" w:ascii="宋体" w:hAnsi="宋体" w:eastAsia="宋体" w:cs="宋体"/>
                <w:color w:val="auto"/>
                <w:szCs w:val="21"/>
                <w:highlight w:val="none"/>
              </w:rPr>
            </w:pPr>
          </w:p>
        </w:tc>
        <w:tc>
          <w:tcPr>
            <w:tcW w:w="426" w:type="pct"/>
            <w:vMerge w:val="continue"/>
            <w:tcBorders>
              <w:left w:val="single" w:color="auto" w:sz="4" w:space="0"/>
              <w:right w:val="single" w:color="auto" w:sz="4" w:space="0"/>
            </w:tcBorders>
            <w:noWrap w:val="0"/>
            <w:vAlign w:val="center"/>
          </w:tcPr>
          <w:p w14:paraId="61C86ADE">
            <w:pPr>
              <w:jc w:val="center"/>
              <w:rPr>
                <w:rFonts w:hint="eastAsia" w:ascii="宋体" w:hAnsi="宋体" w:eastAsia="宋体" w:cs="宋体"/>
                <w:color w:val="auto"/>
                <w:szCs w:val="21"/>
                <w:highlight w:val="none"/>
              </w:rPr>
            </w:pPr>
          </w:p>
        </w:tc>
        <w:tc>
          <w:tcPr>
            <w:tcW w:w="311" w:type="pct"/>
            <w:vMerge w:val="continue"/>
            <w:tcBorders>
              <w:left w:val="single" w:color="auto" w:sz="4" w:space="0"/>
              <w:right w:val="single" w:color="auto" w:sz="4" w:space="0"/>
            </w:tcBorders>
            <w:noWrap w:val="0"/>
            <w:vAlign w:val="center"/>
          </w:tcPr>
          <w:p w14:paraId="674D6BB6">
            <w:pPr>
              <w:jc w:val="center"/>
              <w:rPr>
                <w:rFonts w:hint="eastAsia" w:ascii="宋体" w:hAnsi="宋体" w:eastAsia="宋体" w:cs="宋体"/>
                <w:color w:val="auto"/>
                <w:szCs w:val="21"/>
                <w:highlight w:val="none"/>
                <w:lang w:val="en-US" w:eastAsia="zh-CN"/>
              </w:rPr>
            </w:pPr>
          </w:p>
        </w:tc>
        <w:tc>
          <w:tcPr>
            <w:tcW w:w="3985" w:type="pct"/>
            <w:tcBorders>
              <w:top w:val="single" w:color="auto" w:sz="4" w:space="0"/>
              <w:left w:val="single" w:color="auto" w:sz="4" w:space="0"/>
              <w:bottom w:val="single" w:color="auto" w:sz="4" w:space="0"/>
              <w:right w:val="single" w:color="auto" w:sz="4" w:space="0"/>
            </w:tcBorders>
            <w:noWrap w:val="0"/>
            <w:vAlign w:val="center"/>
          </w:tcPr>
          <w:p w14:paraId="6C6FF9B6">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定标委员会根据定标文件对合格中标候选人的BRT智能交通系统后台硬件设备维护方案进行评审：包括服务器设备维护、存储设备维护、网络和信息安全设备维护、虚拟化平台维护、信息安全维护服务等方面。</w:t>
            </w:r>
          </w:p>
          <w:p w14:paraId="5FA40D46">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优：维护方案内容全面完整，表述清晰，完全满足或优于采购需求的，得【15-20】分；</w:t>
            </w:r>
          </w:p>
          <w:p w14:paraId="43F820D0">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良：维护方案内容基本完整、表述基本清晰，部分满足采购需求的，得【10-15）分；</w:t>
            </w:r>
          </w:p>
          <w:p w14:paraId="3D060A65">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中：维护方案内容不完整表述不清晰，无法满足采购需求，得【5-10）分；</w:t>
            </w:r>
          </w:p>
          <w:p w14:paraId="59783F08">
            <w:pPr>
              <w:jc w:val="left"/>
              <w:rPr>
                <w:rFonts w:hint="eastAsia" w:ascii="宋体" w:hAnsi="宋体" w:eastAsia="宋体" w:cs="宋体"/>
              </w:rPr>
            </w:pPr>
            <w:r>
              <w:rPr>
                <w:rFonts w:hint="eastAsia" w:ascii="宋体" w:hAnsi="宋体" w:eastAsia="宋体" w:cs="宋体"/>
                <w:color w:val="auto"/>
                <w:kern w:val="0"/>
                <w:szCs w:val="21"/>
                <w:highlight w:val="none"/>
              </w:rPr>
              <w:t>差：其他或无响应，得【0-5）分。</w:t>
            </w:r>
          </w:p>
        </w:tc>
      </w:tr>
      <w:tr w14:paraId="6928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76" w:type="pct"/>
            <w:vMerge w:val="continue"/>
            <w:tcBorders>
              <w:left w:val="single" w:color="auto" w:sz="4" w:space="0"/>
              <w:bottom w:val="single" w:color="auto" w:sz="4" w:space="0"/>
              <w:right w:val="single" w:color="auto" w:sz="4" w:space="0"/>
            </w:tcBorders>
            <w:noWrap w:val="0"/>
            <w:vAlign w:val="center"/>
          </w:tcPr>
          <w:p w14:paraId="2B0A9955">
            <w:pPr>
              <w:jc w:val="center"/>
              <w:rPr>
                <w:rFonts w:hint="eastAsia" w:ascii="宋体" w:hAnsi="宋体" w:eastAsia="宋体" w:cs="宋体"/>
                <w:color w:val="auto"/>
                <w:szCs w:val="21"/>
                <w:highlight w:val="none"/>
              </w:rPr>
            </w:pPr>
          </w:p>
        </w:tc>
        <w:tc>
          <w:tcPr>
            <w:tcW w:w="426" w:type="pct"/>
            <w:vMerge w:val="continue"/>
            <w:tcBorders>
              <w:left w:val="single" w:color="auto" w:sz="4" w:space="0"/>
              <w:bottom w:val="single" w:color="auto" w:sz="4" w:space="0"/>
              <w:right w:val="single" w:color="auto" w:sz="4" w:space="0"/>
            </w:tcBorders>
            <w:noWrap w:val="0"/>
            <w:vAlign w:val="center"/>
          </w:tcPr>
          <w:p w14:paraId="2A06BA57">
            <w:pPr>
              <w:jc w:val="center"/>
              <w:rPr>
                <w:rFonts w:hint="eastAsia" w:ascii="宋体" w:hAnsi="宋体" w:eastAsia="宋体" w:cs="宋体"/>
                <w:color w:val="auto"/>
                <w:szCs w:val="21"/>
                <w:highlight w:val="none"/>
              </w:rPr>
            </w:pPr>
          </w:p>
        </w:tc>
        <w:tc>
          <w:tcPr>
            <w:tcW w:w="311" w:type="pct"/>
            <w:vMerge w:val="continue"/>
            <w:tcBorders>
              <w:left w:val="single" w:color="auto" w:sz="4" w:space="0"/>
              <w:bottom w:val="single" w:color="auto" w:sz="4" w:space="0"/>
              <w:right w:val="single" w:color="auto" w:sz="4" w:space="0"/>
            </w:tcBorders>
            <w:noWrap w:val="0"/>
            <w:vAlign w:val="center"/>
          </w:tcPr>
          <w:p w14:paraId="72755176">
            <w:pPr>
              <w:jc w:val="center"/>
              <w:rPr>
                <w:rFonts w:hint="eastAsia" w:ascii="宋体" w:hAnsi="宋体" w:eastAsia="宋体" w:cs="宋体"/>
                <w:color w:val="auto"/>
                <w:szCs w:val="21"/>
                <w:highlight w:val="none"/>
                <w:lang w:val="en-US" w:eastAsia="zh-CN"/>
              </w:rPr>
            </w:pPr>
          </w:p>
        </w:tc>
        <w:tc>
          <w:tcPr>
            <w:tcW w:w="3985" w:type="pct"/>
            <w:tcBorders>
              <w:top w:val="single" w:color="auto" w:sz="4" w:space="0"/>
              <w:left w:val="single" w:color="auto" w:sz="4" w:space="0"/>
              <w:bottom w:val="single" w:color="auto" w:sz="4" w:space="0"/>
              <w:right w:val="single" w:color="auto" w:sz="4" w:space="0"/>
            </w:tcBorders>
            <w:noWrap w:val="0"/>
            <w:vAlign w:val="center"/>
          </w:tcPr>
          <w:p w14:paraId="35511F06">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定标委员会根据定标文件对合格中标候选人的BRT智能交通系统后台软件（公交调度系统、票务系统）维护方案进行评审：投标人对业务系统的软硬件架构及相关数据接口等情况的了解熟悉程度，投标人是否具备把握后台应用系统维护重点、难点的能力，结合后台阐述应用系统的实际情况提出有针对性的维护方案，并提出公交运营调度系统优化方案（重点阐述无人值守、自动排班、车辆进站预测等）。</w:t>
            </w:r>
          </w:p>
          <w:p w14:paraId="52D081BA">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优：维护方案内容全面完整，表述清晰，满足需求及优化方案内容详细的，得【22-30】分；</w:t>
            </w:r>
          </w:p>
          <w:p w14:paraId="49628142">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良：维护方案内容基本完整、表述基本清晰，满足采购需求的，得【15-22）分；</w:t>
            </w:r>
          </w:p>
          <w:p w14:paraId="35535AF1">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中：维护方案内容不完整表述不清晰，无法满足采购需求，得【7-15）分；</w:t>
            </w:r>
          </w:p>
          <w:p w14:paraId="6000E6A3">
            <w:pPr>
              <w:jc w:val="left"/>
              <w:rPr>
                <w:rFonts w:hint="eastAsia" w:ascii="宋体" w:hAnsi="宋体" w:eastAsia="宋体" w:cs="宋体"/>
              </w:rPr>
            </w:pPr>
            <w:r>
              <w:rPr>
                <w:rFonts w:hint="eastAsia" w:ascii="宋体" w:hAnsi="宋体" w:eastAsia="宋体" w:cs="宋体"/>
                <w:color w:val="auto"/>
                <w:kern w:val="0"/>
                <w:szCs w:val="21"/>
                <w:highlight w:val="none"/>
              </w:rPr>
              <w:t>差：其他或无响应，得【0-7）分。</w:t>
            </w:r>
          </w:p>
        </w:tc>
      </w:tr>
    </w:tbl>
    <w:p w14:paraId="748A34EC">
      <w:pPr>
        <w:spacing w:line="300" w:lineRule="exact"/>
        <w:ind w:right="-325" w:rightChars="-155"/>
        <w:rPr>
          <w:rFonts w:hint="eastAsia" w:ascii="宋体" w:hAnsi="宋体" w:eastAsia="宋体" w:cs="宋体"/>
          <w:color w:val="auto"/>
          <w:szCs w:val="21"/>
          <w:highlight w:val="none"/>
        </w:rPr>
      </w:pPr>
    </w:p>
    <w:p w14:paraId="4A02F400">
      <w:pPr>
        <w:widowControl/>
        <w:spacing w:line="360" w:lineRule="auto"/>
        <w:outlineLvl w:val="9"/>
        <w:rPr>
          <w:rFonts w:hint="eastAsia" w:ascii="宋体" w:hAnsi="宋体" w:eastAsia="宋体" w:cs="宋体"/>
          <w:szCs w:val="21"/>
        </w:rPr>
      </w:pPr>
      <w:r>
        <w:rPr>
          <w:rFonts w:hint="eastAsia" w:ascii="宋体" w:hAnsi="宋体" w:eastAsia="宋体" w:cs="宋体"/>
          <w:szCs w:val="21"/>
        </w:rPr>
        <w:t>备注：</w:t>
      </w:r>
    </w:p>
    <w:p w14:paraId="7AB0DDB9">
      <w:pPr>
        <w:widowControl/>
        <w:spacing w:line="360" w:lineRule="auto"/>
        <w:outlineLvl w:val="9"/>
        <w:rPr>
          <w:rFonts w:hint="eastAsia" w:ascii="宋体" w:hAnsi="宋体" w:eastAsia="宋体" w:cs="宋体"/>
          <w:szCs w:val="21"/>
        </w:rPr>
      </w:pPr>
      <w:r>
        <w:rPr>
          <w:rFonts w:hint="eastAsia" w:ascii="宋体" w:hAnsi="宋体" w:eastAsia="宋体" w:cs="宋体"/>
          <w:szCs w:val="21"/>
        </w:rPr>
        <w:t>1、定标因素表中“[*-*）”等分值，允许以‌0.5分的倍数进行评分（如1.0、1.5、2.0、2.5等，以此类推）。“[”表示含本数，“)”表示不含本数。</w:t>
      </w:r>
    </w:p>
    <w:p w14:paraId="3EC7D988">
      <w:pPr>
        <w:widowControl/>
        <w:spacing w:line="360" w:lineRule="auto"/>
        <w:outlineLvl w:val="9"/>
        <w:rPr>
          <w:rFonts w:hint="eastAsia" w:ascii="宋体" w:hAnsi="宋体" w:eastAsia="宋体" w:cs="宋体"/>
          <w:b w:val="0"/>
          <w:bCs w:val="0"/>
          <w:kern w:val="2"/>
          <w:szCs w:val="21"/>
        </w:rPr>
      </w:pPr>
      <w:r>
        <w:rPr>
          <w:rFonts w:hint="eastAsia" w:ascii="宋体" w:hAnsi="宋体" w:eastAsia="宋体" w:cs="宋体"/>
          <w:b w:val="0"/>
          <w:bCs w:val="0"/>
          <w:kern w:val="2"/>
          <w:szCs w:val="21"/>
        </w:rPr>
        <w:t>2、各合格中标候选人总得分为各评委评分的算术平均值，若分数出现小数点时，保留小数点后二位，第三位小数四舍五入。</w:t>
      </w:r>
    </w:p>
    <w:p w14:paraId="66F85067">
      <w:pPr>
        <w:pStyle w:val="11"/>
        <w:kinsoku w:val="0"/>
        <w:overflowPunct w:val="0"/>
        <w:spacing w:line="360" w:lineRule="auto"/>
        <w:ind w:left="100" w:right="109" w:firstLine="419"/>
        <w:rPr>
          <w:rFonts w:hint="eastAsia" w:ascii="宋体" w:hAnsi="宋体" w:eastAsia="宋体" w:cs="宋体"/>
          <w:color w:val="auto"/>
          <w:sz w:val="21"/>
          <w:szCs w:val="21"/>
          <w:highlight w:val="none"/>
          <w:u w:val="none"/>
        </w:rPr>
      </w:pPr>
    </w:p>
    <w:p w14:paraId="44860CB2">
      <w:pPr>
        <w:pStyle w:val="11"/>
        <w:kinsoku w:val="0"/>
        <w:overflowPunct w:val="0"/>
        <w:spacing w:line="360" w:lineRule="auto"/>
        <w:ind w:left="100" w:right="109" w:firstLine="419"/>
        <w:rPr>
          <w:rFonts w:hint="default" w:ascii="宋体" w:hAnsi="宋体" w:eastAsia="宋体" w:cs="Times New Roman"/>
          <w:color w:val="auto"/>
          <w:sz w:val="24"/>
          <w:szCs w:val="24"/>
          <w:highlight w:val="none"/>
          <w:u w:val="none"/>
        </w:rPr>
        <w:sectPr>
          <w:pgSz w:w="12240" w:h="15840"/>
          <w:pgMar w:top="1417" w:right="1417" w:bottom="1417" w:left="1417" w:header="720" w:footer="720" w:gutter="0"/>
          <w:cols w:space="720" w:num="1"/>
          <w:docGrid w:linePitch="285" w:charSpace="0"/>
        </w:sectPr>
      </w:pPr>
    </w:p>
    <w:p w14:paraId="62ABB66A">
      <w:pPr>
        <w:pStyle w:val="3"/>
        <w:rPr>
          <w:rFonts w:hint="eastAsia" w:ascii="宋体" w:hAnsi="宋体" w:eastAsia="宋体" w:cs="宋体"/>
          <w:b/>
          <w:sz w:val="32"/>
          <w:szCs w:val="20"/>
          <w:u w:val="none"/>
        </w:rPr>
      </w:pPr>
      <w:bookmarkStart w:id="1206" w:name="_Toc20536"/>
      <w:r>
        <w:rPr>
          <w:rFonts w:hint="eastAsia" w:ascii="宋体" w:hAnsi="宋体" w:eastAsia="宋体" w:cs="宋体"/>
          <w:b/>
          <w:sz w:val="32"/>
          <w:szCs w:val="20"/>
          <w:u w:val="none"/>
        </w:rPr>
        <w:t>5.定标表格</w:t>
      </w:r>
      <w:bookmarkEnd w:id="1206"/>
    </w:p>
    <w:p w14:paraId="71B1C83B">
      <w:pPr>
        <w:pStyle w:val="11"/>
        <w:kinsoku w:val="0"/>
        <w:overflowPunct w:val="0"/>
        <w:spacing w:line="360" w:lineRule="auto"/>
        <w:ind w:left="100" w:right="109" w:firstLine="419"/>
        <w:rPr>
          <w:rFonts w:hint="default" w:ascii="宋体" w:hAnsi="宋体" w:eastAsia="宋体" w:cs="Times New Roman"/>
          <w:color w:val="auto"/>
          <w:sz w:val="24"/>
          <w:szCs w:val="24"/>
          <w:highlight w:val="none"/>
          <w:u w:val="none"/>
        </w:rPr>
        <w:sectPr>
          <w:pgSz w:w="12240" w:h="15840"/>
          <w:pgMar w:top="1417" w:right="1417" w:bottom="1417" w:left="1417" w:header="720" w:footer="720" w:gutter="0"/>
          <w:cols w:space="720" w:num="1"/>
          <w:docGrid w:linePitch="285" w:charSpace="0"/>
        </w:sectPr>
      </w:pPr>
      <w:r>
        <w:rPr>
          <w:rFonts w:hint="default" w:ascii="宋体" w:hAnsi="宋体" w:eastAsia="宋体" w:cs="Times New Roman"/>
          <w:color w:val="auto"/>
          <w:sz w:val="24"/>
          <w:szCs w:val="24"/>
          <w:highlight w:val="none"/>
          <w:u w:val="none"/>
        </w:rPr>
        <w:t>见后附表。</w:t>
      </w:r>
    </w:p>
    <w:p w14:paraId="1D2D541D">
      <w:pPr>
        <w:spacing w:line="360" w:lineRule="auto"/>
        <w:outlineLvl w:val="1"/>
        <w:rPr>
          <w:rFonts w:hint="eastAsia" w:ascii="宋体" w:hAnsi="宋体" w:eastAsia="宋体" w:cs="宋体"/>
          <w:bCs/>
          <w:color w:val="auto"/>
          <w:sz w:val="36"/>
          <w:szCs w:val="36"/>
          <w:highlight w:val="none"/>
        </w:rPr>
      </w:pPr>
      <w:bookmarkStart w:id="1207" w:name="_Toc31616"/>
      <w:bookmarkStart w:id="1208" w:name="_Toc31247"/>
      <w:r>
        <w:rPr>
          <w:rFonts w:hint="eastAsia" w:ascii="宋体" w:hAnsi="宋体" w:eastAsia="宋体" w:cs="宋体"/>
          <w:color w:val="auto"/>
          <w:spacing w:val="4"/>
          <w:szCs w:val="21"/>
          <w:highlight w:val="none"/>
        </w:rPr>
        <w:t>附表</w:t>
      </w:r>
      <w:r>
        <w:rPr>
          <w:rFonts w:hint="eastAsia" w:ascii="宋体" w:hAnsi="宋体" w:eastAsia="宋体" w:cs="宋体"/>
          <w:color w:val="auto"/>
          <w:spacing w:val="4"/>
          <w:szCs w:val="21"/>
          <w:highlight w:val="none"/>
          <w:lang w:eastAsia="zh-CN"/>
        </w:rPr>
        <w:t>一</w:t>
      </w:r>
      <w:r>
        <w:rPr>
          <w:rFonts w:hint="eastAsia" w:ascii="宋体" w:hAnsi="宋体" w:eastAsia="宋体" w:cs="宋体"/>
          <w:color w:val="auto"/>
          <w:spacing w:val="4"/>
          <w:szCs w:val="21"/>
          <w:highlight w:val="none"/>
        </w:rPr>
        <w:t>：</w:t>
      </w:r>
      <w:bookmarkEnd w:id="1207"/>
      <w:r>
        <w:rPr>
          <w:rFonts w:hint="eastAsia" w:ascii="宋体" w:hAnsi="宋体" w:eastAsia="宋体" w:cs="宋体"/>
          <w:b w:val="0"/>
          <w:color w:val="auto"/>
          <w:spacing w:val="4"/>
          <w:sz w:val="21"/>
          <w:szCs w:val="21"/>
          <w:highlight w:val="none"/>
        </w:rPr>
        <w:t>定标阶段（价格因素）评审得分表—定标委员个人用表</w:t>
      </w:r>
      <w:bookmarkEnd w:id="1208"/>
    </w:p>
    <w:p w14:paraId="2A5741F9">
      <w:p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pacing w:val="4"/>
          <w:sz w:val="32"/>
          <w:szCs w:val="32"/>
          <w:highlight w:val="none"/>
        </w:rPr>
        <w:t>定标阶段（价格因素）评审得分表—定标委员个人用表</w:t>
      </w:r>
    </w:p>
    <w:p w14:paraId="77E1465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p>
    <w:tbl>
      <w:tblPr>
        <w:tblStyle w:val="2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5316"/>
        <w:gridCol w:w="2283"/>
        <w:gridCol w:w="2312"/>
        <w:gridCol w:w="1361"/>
      </w:tblGrid>
      <w:tr w14:paraId="3116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2" w:type="pct"/>
            <w:tcBorders>
              <w:top w:val="single" w:color="auto" w:sz="4" w:space="0"/>
              <w:left w:val="single" w:color="auto" w:sz="4" w:space="0"/>
              <w:bottom w:val="single" w:color="auto" w:sz="4" w:space="0"/>
              <w:right w:val="single" w:color="auto" w:sz="4" w:space="0"/>
            </w:tcBorders>
            <w:noWrap w:val="0"/>
            <w:vAlign w:val="center"/>
          </w:tcPr>
          <w:p w14:paraId="5E31B51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12" w:type="pct"/>
            <w:tcBorders>
              <w:top w:val="single" w:color="auto" w:sz="4" w:space="0"/>
              <w:left w:val="single" w:color="auto" w:sz="4" w:space="0"/>
              <w:bottom w:val="single" w:color="auto" w:sz="4" w:space="0"/>
              <w:right w:val="single" w:color="auto" w:sz="4" w:space="0"/>
            </w:tcBorders>
            <w:noWrap w:val="0"/>
            <w:vAlign w:val="center"/>
          </w:tcPr>
          <w:p w14:paraId="1EFF50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合格的中标候选人</w:t>
            </w:r>
          </w:p>
        </w:tc>
        <w:tc>
          <w:tcPr>
            <w:tcW w:w="864" w:type="pct"/>
            <w:tcBorders>
              <w:top w:val="single" w:color="auto" w:sz="4" w:space="0"/>
              <w:left w:val="single" w:color="auto" w:sz="4" w:space="0"/>
              <w:bottom w:val="single" w:color="auto" w:sz="4" w:space="0"/>
              <w:right w:val="single" w:color="auto" w:sz="4" w:space="0"/>
            </w:tcBorders>
            <w:noWrap w:val="0"/>
            <w:vAlign w:val="center"/>
          </w:tcPr>
          <w:p w14:paraId="51B7FF0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投标报价（元）</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0D179E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评标基准价（元）</w:t>
            </w:r>
          </w:p>
        </w:tc>
        <w:tc>
          <w:tcPr>
            <w:tcW w:w="515" w:type="pct"/>
            <w:tcBorders>
              <w:top w:val="single" w:color="auto" w:sz="4" w:space="0"/>
              <w:left w:val="single" w:color="auto" w:sz="4" w:space="0"/>
              <w:bottom w:val="single" w:color="auto" w:sz="4" w:space="0"/>
              <w:right w:val="single" w:color="auto" w:sz="4" w:space="0"/>
            </w:tcBorders>
            <w:noWrap w:val="0"/>
            <w:vAlign w:val="center"/>
          </w:tcPr>
          <w:p w14:paraId="3D0B108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价格因素得分</w:t>
            </w:r>
          </w:p>
        </w:tc>
      </w:tr>
      <w:tr w14:paraId="687D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2" w:type="pct"/>
            <w:tcBorders>
              <w:top w:val="single" w:color="auto" w:sz="4" w:space="0"/>
              <w:left w:val="single" w:color="auto" w:sz="4" w:space="0"/>
              <w:bottom w:val="single" w:color="auto" w:sz="4" w:space="0"/>
              <w:right w:val="single" w:color="auto" w:sz="4" w:space="0"/>
            </w:tcBorders>
            <w:noWrap w:val="0"/>
            <w:vAlign w:val="center"/>
          </w:tcPr>
          <w:p w14:paraId="5F1FBBA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12" w:type="pct"/>
            <w:tcBorders>
              <w:top w:val="single" w:color="auto" w:sz="4" w:space="0"/>
              <w:left w:val="single" w:color="auto" w:sz="4" w:space="0"/>
              <w:bottom w:val="single" w:color="auto" w:sz="4" w:space="0"/>
              <w:right w:val="single" w:color="auto" w:sz="4" w:space="0"/>
            </w:tcBorders>
            <w:noWrap w:val="0"/>
            <w:vAlign w:val="center"/>
          </w:tcPr>
          <w:p w14:paraId="35DEC4AD">
            <w:pPr>
              <w:jc w:val="center"/>
              <w:rPr>
                <w:rFonts w:hint="eastAsia" w:ascii="宋体" w:hAnsi="宋体" w:eastAsia="宋体" w:cs="宋体"/>
                <w:color w:val="auto"/>
                <w:sz w:val="24"/>
                <w:highlight w:val="none"/>
              </w:rPr>
            </w:pPr>
          </w:p>
        </w:tc>
        <w:tc>
          <w:tcPr>
            <w:tcW w:w="864" w:type="pct"/>
            <w:tcBorders>
              <w:top w:val="single" w:color="auto" w:sz="4" w:space="0"/>
              <w:left w:val="single" w:color="auto" w:sz="4" w:space="0"/>
              <w:bottom w:val="single" w:color="auto" w:sz="4" w:space="0"/>
              <w:right w:val="single" w:color="auto" w:sz="4" w:space="0"/>
            </w:tcBorders>
            <w:noWrap w:val="0"/>
            <w:vAlign w:val="top"/>
          </w:tcPr>
          <w:p w14:paraId="5DEE4862">
            <w:pPr>
              <w:jc w:val="center"/>
              <w:rPr>
                <w:rFonts w:hint="eastAsia" w:ascii="宋体" w:hAnsi="宋体" w:eastAsia="宋体" w:cs="宋体"/>
                <w:color w:val="auto"/>
                <w:sz w:val="24"/>
                <w:highlight w:val="none"/>
              </w:rPr>
            </w:pPr>
          </w:p>
        </w:tc>
        <w:tc>
          <w:tcPr>
            <w:tcW w:w="875" w:type="pct"/>
            <w:vMerge w:val="restart"/>
            <w:tcBorders>
              <w:top w:val="single" w:color="auto" w:sz="4" w:space="0"/>
              <w:left w:val="single" w:color="auto" w:sz="4" w:space="0"/>
              <w:right w:val="single" w:color="auto" w:sz="4" w:space="0"/>
            </w:tcBorders>
            <w:noWrap w:val="0"/>
            <w:vAlign w:val="top"/>
          </w:tcPr>
          <w:p w14:paraId="208E0E2E">
            <w:pPr>
              <w:jc w:val="center"/>
              <w:rPr>
                <w:rFonts w:hint="eastAsia" w:ascii="宋体" w:hAnsi="宋体" w:eastAsia="宋体" w:cs="宋体"/>
                <w:color w:val="auto"/>
                <w:sz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top"/>
          </w:tcPr>
          <w:p w14:paraId="6DFF23C6">
            <w:pPr>
              <w:jc w:val="center"/>
              <w:rPr>
                <w:rFonts w:hint="eastAsia" w:ascii="宋体" w:hAnsi="宋体" w:eastAsia="宋体" w:cs="宋体"/>
                <w:color w:val="auto"/>
                <w:sz w:val="24"/>
                <w:highlight w:val="none"/>
              </w:rPr>
            </w:pPr>
          </w:p>
        </w:tc>
      </w:tr>
      <w:tr w14:paraId="34DD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2" w:type="pct"/>
            <w:tcBorders>
              <w:top w:val="single" w:color="auto" w:sz="4" w:space="0"/>
              <w:left w:val="single" w:color="auto" w:sz="4" w:space="0"/>
              <w:bottom w:val="single" w:color="auto" w:sz="4" w:space="0"/>
              <w:right w:val="single" w:color="auto" w:sz="4" w:space="0"/>
            </w:tcBorders>
            <w:noWrap w:val="0"/>
            <w:vAlign w:val="center"/>
          </w:tcPr>
          <w:p w14:paraId="4B06E2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012" w:type="pct"/>
            <w:tcBorders>
              <w:top w:val="single" w:color="auto" w:sz="4" w:space="0"/>
              <w:left w:val="single" w:color="auto" w:sz="4" w:space="0"/>
              <w:bottom w:val="single" w:color="auto" w:sz="4" w:space="0"/>
              <w:right w:val="single" w:color="auto" w:sz="4" w:space="0"/>
            </w:tcBorders>
            <w:noWrap w:val="0"/>
            <w:vAlign w:val="center"/>
          </w:tcPr>
          <w:p w14:paraId="79905321">
            <w:pPr>
              <w:jc w:val="center"/>
              <w:rPr>
                <w:rFonts w:hint="eastAsia" w:ascii="宋体" w:hAnsi="宋体" w:eastAsia="宋体" w:cs="宋体"/>
                <w:color w:val="auto"/>
                <w:sz w:val="24"/>
                <w:highlight w:val="none"/>
              </w:rPr>
            </w:pPr>
          </w:p>
        </w:tc>
        <w:tc>
          <w:tcPr>
            <w:tcW w:w="864" w:type="pct"/>
            <w:tcBorders>
              <w:top w:val="single" w:color="auto" w:sz="4" w:space="0"/>
              <w:left w:val="single" w:color="auto" w:sz="4" w:space="0"/>
              <w:bottom w:val="single" w:color="auto" w:sz="4" w:space="0"/>
              <w:right w:val="single" w:color="auto" w:sz="4" w:space="0"/>
            </w:tcBorders>
            <w:noWrap w:val="0"/>
            <w:vAlign w:val="top"/>
          </w:tcPr>
          <w:p w14:paraId="4F391AE2">
            <w:pPr>
              <w:jc w:val="center"/>
              <w:rPr>
                <w:rFonts w:hint="eastAsia" w:ascii="宋体" w:hAnsi="宋体" w:eastAsia="宋体" w:cs="宋体"/>
                <w:color w:val="auto"/>
                <w:sz w:val="24"/>
                <w:highlight w:val="none"/>
              </w:rPr>
            </w:pPr>
          </w:p>
        </w:tc>
        <w:tc>
          <w:tcPr>
            <w:tcW w:w="875" w:type="pct"/>
            <w:vMerge w:val="continue"/>
            <w:tcBorders>
              <w:left w:val="single" w:color="auto" w:sz="4" w:space="0"/>
              <w:right w:val="single" w:color="auto" w:sz="4" w:space="0"/>
            </w:tcBorders>
            <w:noWrap w:val="0"/>
            <w:vAlign w:val="top"/>
          </w:tcPr>
          <w:p w14:paraId="4919E565">
            <w:pPr>
              <w:jc w:val="center"/>
              <w:rPr>
                <w:rFonts w:hint="eastAsia" w:ascii="宋体" w:hAnsi="宋体" w:eastAsia="宋体" w:cs="宋体"/>
                <w:color w:val="auto"/>
                <w:sz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top"/>
          </w:tcPr>
          <w:p w14:paraId="2D7FCF35">
            <w:pPr>
              <w:jc w:val="center"/>
              <w:rPr>
                <w:rFonts w:hint="eastAsia" w:ascii="宋体" w:hAnsi="宋体" w:eastAsia="宋体" w:cs="宋体"/>
                <w:color w:val="auto"/>
                <w:sz w:val="24"/>
                <w:highlight w:val="none"/>
              </w:rPr>
            </w:pPr>
          </w:p>
        </w:tc>
      </w:tr>
      <w:tr w14:paraId="645D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2" w:type="pct"/>
            <w:tcBorders>
              <w:top w:val="single" w:color="auto" w:sz="4" w:space="0"/>
              <w:left w:val="single" w:color="auto" w:sz="4" w:space="0"/>
              <w:bottom w:val="single" w:color="auto" w:sz="4" w:space="0"/>
              <w:right w:val="single" w:color="auto" w:sz="4" w:space="0"/>
            </w:tcBorders>
            <w:noWrap w:val="0"/>
            <w:vAlign w:val="center"/>
          </w:tcPr>
          <w:p w14:paraId="2E359BB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012" w:type="pct"/>
            <w:tcBorders>
              <w:top w:val="single" w:color="auto" w:sz="4" w:space="0"/>
              <w:left w:val="single" w:color="auto" w:sz="4" w:space="0"/>
              <w:bottom w:val="single" w:color="auto" w:sz="4" w:space="0"/>
              <w:right w:val="single" w:color="auto" w:sz="4" w:space="0"/>
            </w:tcBorders>
            <w:noWrap w:val="0"/>
            <w:vAlign w:val="center"/>
          </w:tcPr>
          <w:p w14:paraId="423AB096">
            <w:pPr>
              <w:jc w:val="center"/>
              <w:rPr>
                <w:rFonts w:hint="eastAsia" w:ascii="宋体" w:hAnsi="宋体" w:eastAsia="宋体" w:cs="宋体"/>
                <w:color w:val="auto"/>
                <w:sz w:val="24"/>
                <w:highlight w:val="none"/>
              </w:rPr>
            </w:pPr>
          </w:p>
        </w:tc>
        <w:tc>
          <w:tcPr>
            <w:tcW w:w="864" w:type="pct"/>
            <w:tcBorders>
              <w:top w:val="single" w:color="auto" w:sz="4" w:space="0"/>
              <w:left w:val="single" w:color="auto" w:sz="4" w:space="0"/>
              <w:bottom w:val="single" w:color="auto" w:sz="4" w:space="0"/>
              <w:right w:val="single" w:color="auto" w:sz="4" w:space="0"/>
            </w:tcBorders>
            <w:noWrap w:val="0"/>
            <w:vAlign w:val="top"/>
          </w:tcPr>
          <w:p w14:paraId="02C1FB4A">
            <w:pPr>
              <w:jc w:val="center"/>
              <w:rPr>
                <w:rFonts w:hint="eastAsia" w:ascii="宋体" w:hAnsi="宋体" w:eastAsia="宋体" w:cs="宋体"/>
                <w:color w:val="auto"/>
                <w:sz w:val="24"/>
                <w:highlight w:val="none"/>
              </w:rPr>
            </w:pPr>
          </w:p>
        </w:tc>
        <w:tc>
          <w:tcPr>
            <w:tcW w:w="875" w:type="pct"/>
            <w:vMerge w:val="continue"/>
            <w:tcBorders>
              <w:left w:val="single" w:color="auto" w:sz="4" w:space="0"/>
              <w:right w:val="single" w:color="auto" w:sz="4" w:space="0"/>
            </w:tcBorders>
            <w:noWrap w:val="0"/>
            <w:vAlign w:val="top"/>
          </w:tcPr>
          <w:p w14:paraId="7B75D534">
            <w:pPr>
              <w:jc w:val="center"/>
              <w:rPr>
                <w:rFonts w:hint="eastAsia" w:ascii="宋体" w:hAnsi="宋体" w:eastAsia="宋体" w:cs="宋体"/>
                <w:color w:val="auto"/>
                <w:sz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top"/>
          </w:tcPr>
          <w:p w14:paraId="72828197">
            <w:pPr>
              <w:jc w:val="center"/>
              <w:rPr>
                <w:rFonts w:hint="eastAsia" w:ascii="宋体" w:hAnsi="宋体" w:eastAsia="宋体" w:cs="宋体"/>
                <w:color w:val="auto"/>
                <w:sz w:val="24"/>
                <w:highlight w:val="none"/>
              </w:rPr>
            </w:pPr>
          </w:p>
        </w:tc>
      </w:tr>
      <w:tr w14:paraId="2672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2" w:type="pct"/>
            <w:tcBorders>
              <w:top w:val="single" w:color="auto" w:sz="4" w:space="0"/>
              <w:left w:val="single" w:color="auto" w:sz="4" w:space="0"/>
              <w:bottom w:val="single" w:color="auto" w:sz="4" w:space="0"/>
              <w:right w:val="single" w:color="auto" w:sz="4" w:space="0"/>
            </w:tcBorders>
            <w:noWrap w:val="0"/>
            <w:vAlign w:val="center"/>
          </w:tcPr>
          <w:p w14:paraId="566A962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012" w:type="pct"/>
            <w:tcBorders>
              <w:top w:val="single" w:color="auto" w:sz="4" w:space="0"/>
              <w:left w:val="single" w:color="auto" w:sz="4" w:space="0"/>
              <w:bottom w:val="single" w:color="auto" w:sz="4" w:space="0"/>
              <w:right w:val="single" w:color="auto" w:sz="4" w:space="0"/>
            </w:tcBorders>
            <w:noWrap w:val="0"/>
            <w:vAlign w:val="center"/>
          </w:tcPr>
          <w:p w14:paraId="4102CAC0">
            <w:pPr>
              <w:jc w:val="center"/>
              <w:rPr>
                <w:rFonts w:hint="eastAsia" w:ascii="宋体" w:hAnsi="宋体" w:eastAsia="宋体" w:cs="宋体"/>
                <w:color w:val="auto"/>
                <w:sz w:val="24"/>
                <w:highlight w:val="none"/>
              </w:rPr>
            </w:pPr>
          </w:p>
        </w:tc>
        <w:tc>
          <w:tcPr>
            <w:tcW w:w="864" w:type="pct"/>
            <w:tcBorders>
              <w:top w:val="single" w:color="auto" w:sz="4" w:space="0"/>
              <w:left w:val="single" w:color="auto" w:sz="4" w:space="0"/>
              <w:bottom w:val="single" w:color="auto" w:sz="4" w:space="0"/>
              <w:right w:val="single" w:color="auto" w:sz="4" w:space="0"/>
            </w:tcBorders>
            <w:noWrap w:val="0"/>
            <w:vAlign w:val="top"/>
          </w:tcPr>
          <w:p w14:paraId="2EF4A4DC">
            <w:pPr>
              <w:jc w:val="center"/>
              <w:rPr>
                <w:rFonts w:hint="eastAsia" w:ascii="宋体" w:hAnsi="宋体" w:eastAsia="宋体" w:cs="宋体"/>
                <w:color w:val="auto"/>
                <w:sz w:val="24"/>
                <w:highlight w:val="none"/>
              </w:rPr>
            </w:pPr>
          </w:p>
        </w:tc>
        <w:tc>
          <w:tcPr>
            <w:tcW w:w="875" w:type="pct"/>
            <w:vMerge w:val="continue"/>
            <w:tcBorders>
              <w:left w:val="single" w:color="auto" w:sz="4" w:space="0"/>
              <w:right w:val="single" w:color="auto" w:sz="4" w:space="0"/>
            </w:tcBorders>
            <w:noWrap w:val="0"/>
            <w:vAlign w:val="top"/>
          </w:tcPr>
          <w:p w14:paraId="2560D668">
            <w:pPr>
              <w:jc w:val="center"/>
              <w:rPr>
                <w:rFonts w:hint="eastAsia" w:ascii="宋体" w:hAnsi="宋体" w:eastAsia="宋体" w:cs="宋体"/>
                <w:color w:val="auto"/>
                <w:sz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top"/>
          </w:tcPr>
          <w:p w14:paraId="52AE5D4B">
            <w:pPr>
              <w:jc w:val="center"/>
              <w:rPr>
                <w:rFonts w:hint="eastAsia" w:ascii="宋体" w:hAnsi="宋体" w:eastAsia="宋体" w:cs="宋体"/>
                <w:color w:val="auto"/>
                <w:sz w:val="24"/>
                <w:highlight w:val="none"/>
              </w:rPr>
            </w:pPr>
          </w:p>
        </w:tc>
      </w:tr>
      <w:tr w14:paraId="0EFA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2" w:type="pct"/>
            <w:tcBorders>
              <w:top w:val="single" w:color="auto" w:sz="4" w:space="0"/>
              <w:left w:val="single" w:color="auto" w:sz="4" w:space="0"/>
              <w:bottom w:val="single" w:color="auto" w:sz="4" w:space="0"/>
              <w:right w:val="single" w:color="auto" w:sz="4" w:space="0"/>
            </w:tcBorders>
            <w:noWrap w:val="0"/>
            <w:vAlign w:val="center"/>
          </w:tcPr>
          <w:p w14:paraId="1E17C75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012" w:type="pct"/>
            <w:tcBorders>
              <w:top w:val="single" w:color="auto" w:sz="4" w:space="0"/>
              <w:left w:val="single" w:color="auto" w:sz="4" w:space="0"/>
              <w:bottom w:val="single" w:color="auto" w:sz="4" w:space="0"/>
              <w:right w:val="single" w:color="auto" w:sz="4" w:space="0"/>
            </w:tcBorders>
            <w:noWrap w:val="0"/>
            <w:vAlign w:val="center"/>
          </w:tcPr>
          <w:p w14:paraId="4E86B0E2">
            <w:pPr>
              <w:jc w:val="center"/>
              <w:rPr>
                <w:rFonts w:hint="eastAsia" w:ascii="宋体" w:hAnsi="宋体" w:eastAsia="宋体" w:cs="宋体"/>
                <w:color w:val="auto"/>
                <w:sz w:val="24"/>
                <w:highlight w:val="none"/>
              </w:rPr>
            </w:pPr>
          </w:p>
        </w:tc>
        <w:tc>
          <w:tcPr>
            <w:tcW w:w="864" w:type="pct"/>
            <w:tcBorders>
              <w:top w:val="single" w:color="auto" w:sz="4" w:space="0"/>
              <w:left w:val="single" w:color="auto" w:sz="4" w:space="0"/>
              <w:bottom w:val="single" w:color="auto" w:sz="4" w:space="0"/>
              <w:right w:val="single" w:color="auto" w:sz="4" w:space="0"/>
            </w:tcBorders>
            <w:noWrap w:val="0"/>
            <w:vAlign w:val="top"/>
          </w:tcPr>
          <w:p w14:paraId="0660FBF5">
            <w:pPr>
              <w:jc w:val="center"/>
              <w:rPr>
                <w:rFonts w:hint="eastAsia" w:ascii="宋体" w:hAnsi="宋体" w:eastAsia="宋体" w:cs="宋体"/>
                <w:color w:val="auto"/>
                <w:sz w:val="24"/>
                <w:highlight w:val="none"/>
              </w:rPr>
            </w:pPr>
          </w:p>
        </w:tc>
        <w:tc>
          <w:tcPr>
            <w:tcW w:w="875" w:type="pct"/>
            <w:vMerge w:val="continue"/>
            <w:tcBorders>
              <w:left w:val="single" w:color="auto" w:sz="4" w:space="0"/>
              <w:bottom w:val="single" w:color="auto" w:sz="4" w:space="0"/>
              <w:right w:val="single" w:color="auto" w:sz="4" w:space="0"/>
            </w:tcBorders>
            <w:noWrap w:val="0"/>
            <w:vAlign w:val="top"/>
          </w:tcPr>
          <w:p w14:paraId="3F172906">
            <w:pPr>
              <w:jc w:val="center"/>
              <w:rPr>
                <w:rFonts w:hint="eastAsia" w:ascii="宋体" w:hAnsi="宋体" w:eastAsia="宋体" w:cs="宋体"/>
                <w:color w:val="auto"/>
                <w:sz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top"/>
          </w:tcPr>
          <w:p w14:paraId="2E311197">
            <w:pPr>
              <w:jc w:val="center"/>
              <w:rPr>
                <w:rFonts w:hint="eastAsia" w:ascii="宋体" w:hAnsi="宋体" w:eastAsia="宋体" w:cs="宋体"/>
                <w:color w:val="auto"/>
                <w:sz w:val="24"/>
                <w:highlight w:val="none"/>
              </w:rPr>
            </w:pPr>
          </w:p>
        </w:tc>
      </w:tr>
    </w:tbl>
    <w:p w14:paraId="0E984FD8">
      <w:pPr>
        <w:spacing w:line="300" w:lineRule="exact"/>
        <w:ind w:right="-325" w:rightChars="-15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备注：（1）本表格用于定标阶段价格因素评审计分，每行限填一个合格的中标候选人，定标委员会成员应当独立打分；</w:t>
      </w:r>
    </w:p>
    <w:p w14:paraId="0D14FFF4">
      <w:pPr>
        <w:spacing w:line="300" w:lineRule="exact"/>
        <w:ind w:right="-325" w:rightChars="-15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（2）定标委员会各成员对所有进入定标程序的合格的中标候选人进行报价打分，合格中标候选人的最低投标报价与成本警戒价两者中的较高值为评标基准价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对应合格的中标候选人价格因素得分=（评标基准价/投标报价）×20；</w:t>
      </w:r>
    </w:p>
    <w:p w14:paraId="5376314B">
      <w:pPr>
        <w:spacing w:line="300" w:lineRule="exact"/>
        <w:ind w:right="-325" w:rightChars="-15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（3）价格因素得分四舍五入保留两位小数。</w:t>
      </w:r>
    </w:p>
    <w:p w14:paraId="2BC9CC2A">
      <w:pPr>
        <w:spacing w:line="300" w:lineRule="exact"/>
        <w:ind w:right="-325" w:rightChars="-15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根据第</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章“投标人须知前附表”第10.</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项规定实施价格评审优惠政策（如有），得出投标报价得分。</w:t>
      </w:r>
    </w:p>
    <w:p w14:paraId="34D080F9">
      <w:pPr>
        <w:spacing w:line="300" w:lineRule="exact"/>
        <w:ind w:right="-325" w:rightChars="-155"/>
        <w:rPr>
          <w:rFonts w:hint="eastAsia" w:ascii="宋体" w:hAnsi="宋体" w:eastAsia="宋体" w:cs="宋体"/>
          <w:color w:val="auto"/>
          <w:szCs w:val="21"/>
          <w:highlight w:val="none"/>
        </w:rPr>
      </w:pPr>
    </w:p>
    <w:p w14:paraId="50D10E93">
      <w:pPr>
        <w:spacing w:line="300" w:lineRule="exact"/>
        <w:ind w:right="-325" w:rightChars="-155"/>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定标委员会成员签名:                                                                     日期：     年   月   日</w:t>
      </w:r>
    </w:p>
    <w:p w14:paraId="187A63A4">
      <w:pPr>
        <w:spacing w:line="360" w:lineRule="auto"/>
        <w:outlineLvl w:val="1"/>
        <w:rPr>
          <w:rFonts w:hint="eastAsia" w:ascii="宋体" w:hAnsi="宋体" w:eastAsia="宋体" w:cs="宋体"/>
          <w:bCs w:val="0"/>
          <w:color w:val="auto"/>
          <w:spacing w:val="4"/>
          <w:sz w:val="21"/>
          <w:szCs w:val="21"/>
          <w:highlight w:val="none"/>
        </w:rPr>
      </w:pPr>
      <w:r>
        <w:rPr>
          <w:rFonts w:hint="eastAsia" w:ascii="宋体" w:hAnsi="宋体" w:eastAsia="宋体" w:cs="宋体"/>
          <w:b/>
          <w:color w:val="auto"/>
          <w:sz w:val="36"/>
          <w:szCs w:val="36"/>
          <w:highlight w:val="none"/>
        </w:rPr>
        <w:br w:type="page"/>
      </w:r>
      <w:bookmarkStart w:id="1209" w:name="_Toc20676"/>
      <w:bookmarkStart w:id="1210" w:name="_Toc5173"/>
      <w:r>
        <w:rPr>
          <w:rFonts w:hint="eastAsia" w:ascii="宋体" w:hAnsi="宋体" w:eastAsia="宋体" w:cs="宋体"/>
          <w:b w:val="0"/>
          <w:color w:val="auto"/>
          <w:spacing w:val="4"/>
          <w:sz w:val="21"/>
          <w:szCs w:val="21"/>
          <w:highlight w:val="none"/>
        </w:rPr>
        <w:t>附表</w:t>
      </w:r>
      <w:r>
        <w:rPr>
          <w:rFonts w:hint="eastAsia" w:ascii="宋体" w:hAnsi="宋体" w:eastAsia="宋体" w:cs="宋体"/>
          <w:b w:val="0"/>
          <w:color w:val="auto"/>
          <w:spacing w:val="4"/>
          <w:sz w:val="21"/>
          <w:szCs w:val="21"/>
          <w:highlight w:val="none"/>
          <w:lang w:eastAsia="zh-CN"/>
        </w:rPr>
        <w:t>二：</w:t>
      </w:r>
      <w:r>
        <w:rPr>
          <w:rFonts w:hint="eastAsia" w:ascii="宋体" w:hAnsi="宋体" w:eastAsia="宋体" w:cs="宋体"/>
          <w:b w:val="0"/>
          <w:color w:val="auto"/>
          <w:spacing w:val="4"/>
          <w:sz w:val="21"/>
          <w:szCs w:val="21"/>
          <w:highlight w:val="none"/>
        </w:rPr>
        <w:t>定标阶段（</w:t>
      </w:r>
      <w:r>
        <w:rPr>
          <w:rFonts w:hint="eastAsia" w:ascii="宋体" w:hAnsi="宋体" w:cs="宋体"/>
          <w:b w:val="0"/>
          <w:color w:val="auto"/>
          <w:spacing w:val="4"/>
          <w:sz w:val="21"/>
          <w:szCs w:val="21"/>
          <w:highlight w:val="none"/>
          <w:lang w:eastAsia="zh-CN"/>
        </w:rPr>
        <w:t>履约能力因素</w:t>
      </w:r>
      <w:r>
        <w:rPr>
          <w:rFonts w:hint="eastAsia" w:ascii="宋体" w:hAnsi="宋体" w:eastAsia="宋体" w:cs="宋体"/>
          <w:b w:val="0"/>
          <w:color w:val="auto"/>
          <w:spacing w:val="4"/>
          <w:sz w:val="21"/>
          <w:szCs w:val="21"/>
          <w:highlight w:val="none"/>
        </w:rPr>
        <w:t>）评审得分表—定标委员个人用表</w:t>
      </w:r>
      <w:bookmarkEnd w:id="1209"/>
      <w:bookmarkEnd w:id="1210"/>
    </w:p>
    <w:p w14:paraId="7F9CBA00">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pacing w:val="4"/>
          <w:sz w:val="32"/>
          <w:szCs w:val="32"/>
          <w:highlight w:val="none"/>
        </w:rPr>
        <w:t>定标阶段（</w:t>
      </w:r>
      <w:r>
        <w:rPr>
          <w:rFonts w:hint="eastAsia" w:ascii="宋体" w:hAnsi="宋体" w:cs="宋体"/>
          <w:b/>
          <w:bCs/>
          <w:color w:val="auto"/>
          <w:spacing w:val="4"/>
          <w:sz w:val="32"/>
          <w:szCs w:val="32"/>
          <w:highlight w:val="none"/>
          <w:lang w:eastAsia="zh-CN"/>
        </w:rPr>
        <w:t>履约能力因素</w:t>
      </w:r>
      <w:r>
        <w:rPr>
          <w:rFonts w:hint="eastAsia" w:ascii="宋体" w:hAnsi="宋体" w:eastAsia="宋体" w:cs="宋体"/>
          <w:b/>
          <w:bCs/>
          <w:color w:val="auto"/>
          <w:spacing w:val="4"/>
          <w:sz w:val="32"/>
          <w:szCs w:val="32"/>
          <w:highlight w:val="none"/>
        </w:rPr>
        <w:t>）评审得分表—定标委员个人用表</w:t>
      </w:r>
    </w:p>
    <w:p w14:paraId="647D179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0"/>
        <w:gridCol w:w="738"/>
        <w:gridCol w:w="530"/>
        <w:gridCol w:w="8638"/>
        <w:gridCol w:w="970"/>
        <w:gridCol w:w="970"/>
        <w:gridCol w:w="846"/>
      </w:tblGrid>
      <w:tr w14:paraId="5D47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B1D8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785A7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评价项目</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E031A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EEDA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定标评价的内容</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5426AD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合格的中标候选人</w:t>
            </w:r>
          </w:p>
        </w:tc>
      </w:tr>
      <w:tr w14:paraId="16F5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623140">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BE433D">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F904CE">
            <w:pPr>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3F4F8C">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8A03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单位名称</w:t>
            </w:r>
            <w:r>
              <w:rPr>
                <w:rFonts w:hint="eastAsia" w:ascii="宋体" w:hAnsi="宋体" w:eastAsia="宋体" w:cs="宋体"/>
                <w:i w:val="0"/>
                <w:iCs w:val="0"/>
                <w:color w:val="auto"/>
                <w:sz w:val="21"/>
                <w:szCs w:val="21"/>
                <w:highlight w:val="none"/>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60B9F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单位名称</w:t>
            </w:r>
            <w:r>
              <w:rPr>
                <w:rFonts w:hint="eastAsia" w:ascii="宋体" w:hAnsi="宋体" w:eastAsia="宋体" w:cs="宋体"/>
                <w:i w:val="0"/>
                <w:iCs w:val="0"/>
                <w:color w:val="auto"/>
                <w:sz w:val="21"/>
                <w:szCs w:val="21"/>
                <w:highlight w:val="none"/>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0D9F7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r>
      <w:tr w14:paraId="2928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14:paraId="6F976E3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w:t>
            </w:r>
          </w:p>
        </w:tc>
        <w:tc>
          <w:tcPr>
            <w:tcW w:w="738" w:type="dxa"/>
            <w:vMerge w:val="restart"/>
            <w:tcBorders>
              <w:top w:val="single" w:color="000000" w:sz="4" w:space="0"/>
              <w:left w:val="single" w:color="000000" w:sz="4" w:space="0"/>
              <w:right w:val="single" w:color="000000" w:sz="4" w:space="0"/>
            </w:tcBorders>
            <w:noWrap w:val="0"/>
            <w:vAlign w:val="center"/>
          </w:tcPr>
          <w:p w14:paraId="24B0BBCC">
            <w:pPr>
              <w:jc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color w:val="auto"/>
                <w:szCs w:val="21"/>
                <w:highlight w:val="none"/>
                <w:lang w:eastAsia="zh-CN"/>
              </w:rPr>
              <w:t>履约能力因素</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2326ECEE">
            <w:pPr>
              <w:jc w:val="center"/>
              <w:rPr>
                <w:rFonts w:hint="default" w:ascii="宋体" w:hAnsi="宋体" w:eastAsia="宋体" w:cs="宋体"/>
                <w:i w:val="0"/>
                <w:iCs w:val="0"/>
                <w:color w:val="auto"/>
                <w:sz w:val="21"/>
                <w:szCs w:val="21"/>
                <w:highlight w:val="none"/>
                <w:u w:val="none"/>
                <w:lang w:val="en-US"/>
              </w:rPr>
            </w:pPr>
            <w:r>
              <w:rPr>
                <w:rFonts w:hint="eastAsia" w:ascii="宋体" w:hAnsi="宋体" w:cs="宋体"/>
                <w:color w:val="auto"/>
                <w:szCs w:val="21"/>
                <w:highlight w:val="none"/>
                <w:lang w:val="en-US" w:eastAsia="zh-CN"/>
              </w:rPr>
              <w:t>30</w:t>
            </w:r>
          </w:p>
        </w:tc>
        <w:tc>
          <w:tcPr>
            <w:tcW w:w="8638" w:type="dxa"/>
            <w:tcBorders>
              <w:top w:val="single" w:color="000000" w:sz="4" w:space="0"/>
              <w:left w:val="single" w:color="000000" w:sz="4" w:space="0"/>
              <w:bottom w:val="single" w:color="000000" w:sz="4" w:space="0"/>
              <w:right w:val="single" w:color="000000" w:sz="4" w:space="0"/>
            </w:tcBorders>
            <w:noWrap w:val="0"/>
            <w:vAlign w:val="center"/>
          </w:tcPr>
          <w:p w14:paraId="34108956">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定标委员会根据定标文件对合格中标候选人的BRT站台各子系统维护方案进行评审：各子系统包括：安全门、闸机、电子站牌、视频监控、窗口对讲、UPS电源、站台广播、语音集群、光纤及通信网络、调度中心大屏。投标人对本项目BRT站台各子系统维护方案。子系统维护方案需包括：运维目标、维护清单、系统原理及故障分析、系统维护及巡检、设备运维情况、服务组织架构等方面，针对安全门系统提出优化方案（重点阐述乘客安全防护措施、维护及管理人员操作、设备优化内容等）。</w:t>
            </w:r>
          </w:p>
          <w:p w14:paraId="74816705">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优：维护方案内容全面完整，表述清晰，满足需求及优化方案内容详细的，得【22-30】分；</w:t>
            </w:r>
          </w:p>
          <w:p w14:paraId="70141790">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良：维护方案内容基本完整、表述基本清晰，满足采购需求的，得【15-22）分；</w:t>
            </w:r>
          </w:p>
          <w:p w14:paraId="6C175EA8">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中：维护方案内容不完整表述不清晰，无法满足采购需求，得【7-15）分；</w:t>
            </w:r>
          </w:p>
          <w:p w14:paraId="055E08E3">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rPr>
              <w:t>差：其他或无响应，得【0-7）分。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7D4D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ACEF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5ED0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r>
      <w:tr w14:paraId="7000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14:paraId="7258F6CB">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738" w:type="dxa"/>
            <w:vMerge w:val="continue"/>
            <w:tcBorders>
              <w:left w:val="single" w:color="000000" w:sz="4" w:space="0"/>
              <w:right w:val="single" w:color="000000" w:sz="4" w:space="0"/>
            </w:tcBorders>
            <w:noWrap w:val="0"/>
            <w:vAlign w:val="center"/>
          </w:tcPr>
          <w:p w14:paraId="0A065B29">
            <w:pPr>
              <w:jc w:val="center"/>
              <w:rPr>
                <w:rFonts w:hint="eastAsia" w:ascii="宋体" w:hAnsi="宋体" w:eastAsia="宋体" w:cs="宋体"/>
                <w:color w:val="auto"/>
                <w:szCs w:val="21"/>
                <w:highlight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693D517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8" w:type="dxa"/>
            <w:tcBorders>
              <w:top w:val="single" w:color="000000" w:sz="4" w:space="0"/>
              <w:left w:val="single" w:color="000000" w:sz="4" w:space="0"/>
              <w:bottom w:val="single" w:color="000000" w:sz="4" w:space="0"/>
              <w:right w:val="single" w:color="000000" w:sz="4" w:space="0"/>
            </w:tcBorders>
            <w:noWrap w:val="0"/>
            <w:vAlign w:val="center"/>
          </w:tcPr>
          <w:p w14:paraId="0E240469">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定标委员会根据定标文件对合格中标候选人的BRT智能交通系统后台硬件设备维护方案进行评审：包括服务器设备维护、存储设备维护、网络和信息安全设备维护、虚拟化平台维护、信息安全维护服务等方面。</w:t>
            </w:r>
          </w:p>
          <w:p w14:paraId="51C5B05D">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优：维护方案内容全面完整，表述清晰，完全满足或优于采购需求的，得【15-20】分；</w:t>
            </w:r>
          </w:p>
          <w:p w14:paraId="04DF801F">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良：维护方案内容基本完整、表述基本清晰，部分满足采购需求的，得【10-15）分；</w:t>
            </w:r>
          </w:p>
          <w:p w14:paraId="29BBC43C">
            <w:pPr>
              <w:widowControl/>
              <w:spacing w:line="315"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中：维护方案内容不完整表述不清晰，无法满足采购需求，得【5-10）分；</w:t>
            </w:r>
          </w:p>
          <w:p w14:paraId="6C9B9D28">
            <w:pPr>
              <w:jc w:val="left"/>
              <w:rPr>
                <w:rFonts w:hint="eastAsia" w:ascii="宋体" w:hAnsi="宋体" w:eastAsia="宋体" w:cs="宋体"/>
              </w:rPr>
            </w:pPr>
            <w:r>
              <w:rPr>
                <w:rFonts w:hint="eastAsia" w:ascii="宋体" w:hAnsi="宋体" w:eastAsia="宋体" w:cs="宋体"/>
                <w:color w:val="auto"/>
                <w:kern w:val="0"/>
                <w:szCs w:val="21"/>
                <w:highlight w:val="none"/>
              </w:rPr>
              <w:t>差：其他或无响应，得【0-5）分。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B36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FA1E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068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r>
      <w:tr w14:paraId="2D53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14:paraId="279B8C52">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w:t>
            </w:r>
          </w:p>
        </w:tc>
        <w:tc>
          <w:tcPr>
            <w:tcW w:w="738" w:type="dxa"/>
            <w:vMerge w:val="continue"/>
            <w:tcBorders>
              <w:left w:val="single" w:color="000000" w:sz="4" w:space="0"/>
              <w:bottom w:val="single" w:color="000000" w:sz="4" w:space="0"/>
              <w:right w:val="single" w:color="000000" w:sz="4" w:space="0"/>
            </w:tcBorders>
            <w:noWrap w:val="0"/>
            <w:vAlign w:val="center"/>
          </w:tcPr>
          <w:p w14:paraId="75849937">
            <w:pPr>
              <w:jc w:val="center"/>
              <w:rPr>
                <w:rFonts w:hint="eastAsia" w:ascii="宋体" w:hAnsi="宋体" w:eastAsia="宋体" w:cs="宋体"/>
                <w:color w:val="auto"/>
                <w:szCs w:val="21"/>
                <w:highlight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745B592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8638" w:type="dxa"/>
            <w:tcBorders>
              <w:top w:val="single" w:color="000000" w:sz="4" w:space="0"/>
              <w:left w:val="single" w:color="000000" w:sz="4" w:space="0"/>
              <w:bottom w:val="single" w:color="000000" w:sz="4" w:space="0"/>
              <w:right w:val="single" w:color="000000" w:sz="4" w:space="0"/>
            </w:tcBorders>
            <w:noWrap w:val="0"/>
            <w:vAlign w:val="center"/>
          </w:tcPr>
          <w:p w14:paraId="60BA6DC3">
            <w:pPr>
              <w:widowControl/>
              <w:spacing w:line="315" w:lineRule="atLeast"/>
              <w:rPr>
                <w:rFonts w:hint="eastAsia"/>
              </w:rPr>
            </w:pPr>
            <w:r>
              <w:rPr>
                <w:rFonts w:hint="eastAsia"/>
              </w:rPr>
              <w:t>定标委员会根据定标文件对合格中标候选人的BRT智能交通系统后台软件（公交调度系统、票务系统）维护方案进行评审：投标人对业务系统的软硬件架构及相关数据接口等情况的了解熟悉程度，投标人是否具备把握后台应用系统维护重点、难点的能力，结合后台阐述应用系统的实际情况提出有针对性的维护方案，并提出公交运营调度系统优化方案（重点阐述无人值守、自动排班、车辆进站预测等）。</w:t>
            </w:r>
          </w:p>
          <w:p w14:paraId="6D3F90E6">
            <w:pPr>
              <w:widowControl/>
              <w:spacing w:line="315" w:lineRule="atLeast"/>
              <w:rPr>
                <w:rFonts w:hint="eastAsia"/>
              </w:rPr>
            </w:pPr>
            <w:r>
              <w:rPr>
                <w:rFonts w:hint="eastAsia"/>
              </w:rPr>
              <w:t>优：维护方案内容全面完整，表述清晰，满足需求及优化方案内容详细的，得【22-30】分；</w:t>
            </w:r>
          </w:p>
          <w:p w14:paraId="581E4A83">
            <w:pPr>
              <w:widowControl/>
              <w:spacing w:line="315" w:lineRule="atLeast"/>
              <w:rPr>
                <w:rFonts w:hint="eastAsia"/>
              </w:rPr>
            </w:pPr>
            <w:r>
              <w:rPr>
                <w:rFonts w:hint="eastAsia"/>
              </w:rPr>
              <w:t>良：维护方案内容基本完整、表述基本清晰，满足采购需求的，得【15-22）分；</w:t>
            </w:r>
          </w:p>
          <w:p w14:paraId="5CD78710">
            <w:pPr>
              <w:widowControl/>
              <w:spacing w:line="315" w:lineRule="atLeast"/>
              <w:rPr>
                <w:rFonts w:hint="eastAsia"/>
              </w:rPr>
            </w:pPr>
            <w:r>
              <w:rPr>
                <w:rFonts w:hint="eastAsia"/>
              </w:rPr>
              <w:t>中：维护方案内容不完整表述不清晰，无法满足采购需求，得【7-15）分；</w:t>
            </w:r>
          </w:p>
          <w:p w14:paraId="7674321C">
            <w:pPr>
              <w:jc w:val="left"/>
              <w:rPr>
                <w:rFonts w:hint="eastAsia" w:ascii="宋体" w:hAnsi="宋体" w:eastAsia="宋体" w:cs="宋体"/>
              </w:rPr>
            </w:pPr>
            <w:r>
              <w:rPr>
                <w:rFonts w:hint="eastAsia"/>
              </w:rPr>
              <w:t>差：其他或无响应，得【0-7）分。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4748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C7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190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r>
    </w:tbl>
    <w:p w14:paraId="2669CF4A">
      <w:pPr>
        <w:spacing w:line="360" w:lineRule="auto"/>
        <w:ind w:righ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D97CCB5">
      <w:pPr>
        <w:ind w:right="-733" w:rightChars="-34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（1）本表格用于定标阶段</w:t>
      </w:r>
      <w:r>
        <w:rPr>
          <w:rFonts w:hint="eastAsia" w:ascii="宋体" w:hAnsi="宋体" w:cs="宋体"/>
          <w:color w:val="auto"/>
          <w:szCs w:val="21"/>
          <w:highlight w:val="none"/>
          <w:lang w:eastAsia="zh-CN"/>
        </w:rPr>
        <w:t>履约能力因素</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eastAsia="zh-CN"/>
        </w:rPr>
        <w:t>打分</w:t>
      </w:r>
      <w:r>
        <w:rPr>
          <w:rFonts w:hint="eastAsia" w:ascii="宋体" w:hAnsi="宋体" w:eastAsia="宋体" w:cs="宋体"/>
          <w:color w:val="auto"/>
          <w:szCs w:val="21"/>
          <w:highlight w:val="none"/>
        </w:rPr>
        <w:t>，定标委员会成员应当独立打分；</w:t>
      </w:r>
    </w:p>
    <w:p w14:paraId="35DC1644">
      <w:pPr>
        <w:rPr>
          <w:rFonts w:hint="eastAsia" w:ascii="宋体" w:hAnsi="宋体" w:eastAsia="宋体" w:cs="宋体"/>
          <w:color w:val="auto"/>
          <w:szCs w:val="21"/>
          <w:highlight w:val="none"/>
        </w:rPr>
      </w:pPr>
    </w:p>
    <w:p w14:paraId="74B917EA">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定标委员会成员签名：                              日期：  年  月  日</w:t>
      </w:r>
    </w:p>
    <w:p w14:paraId="3DCA958E">
      <w:pPr>
        <w:spacing w:line="360" w:lineRule="auto"/>
        <w:ind w:firstLine="0" w:firstLineChars="0"/>
        <w:jc w:val="left"/>
        <w:outlineLvl w:val="1"/>
        <w:rPr>
          <w:rFonts w:hint="eastAsia" w:ascii="宋体" w:hAnsi="宋体" w:eastAsia="宋体" w:cs="宋体"/>
          <w:b w:val="0"/>
          <w:color w:val="auto"/>
          <w:spacing w:val="4"/>
          <w:sz w:val="21"/>
          <w:szCs w:val="21"/>
          <w:highlight w:val="none"/>
        </w:rPr>
      </w:pPr>
      <w:r>
        <w:rPr>
          <w:rFonts w:hint="eastAsia" w:ascii="宋体" w:hAnsi="宋体" w:eastAsia="宋体" w:cs="宋体"/>
          <w:b/>
          <w:color w:val="auto"/>
          <w:sz w:val="36"/>
          <w:szCs w:val="36"/>
          <w:highlight w:val="none"/>
        </w:rPr>
        <w:br w:type="page"/>
      </w:r>
      <w:bookmarkStart w:id="1211" w:name="_Toc3110"/>
      <w:bookmarkStart w:id="1212" w:name="_Toc23286"/>
      <w:r>
        <w:rPr>
          <w:rFonts w:hint="eastAsia" w:ascii="宋体" w:hAnsi="宋体" w:eastAsia="宋体" w:cs="宋体"/>
          <w:b w:val="0"/>
          <w:color w:val="auto"/>
          <w:spacing w:val="4"/>
          <w:sz w:val="21"/>
          <w:szCs w:val="21"/>
          <w:highlight w:val="none"/>
        </w:rPr>
        <w:t>附表</w:t>
      </w:r>
      <w:r>
        <w:rPr>
          <w:rFonts w:hint="eastAsia" w:ascii="宋体" w:hAnsi="宋体" w:eastAsia="宋体" w:cs="宋体"/>
          <w:b w:val="0"/>
          <w:color w:val="auto"/>
          <w:spacing w:val="4"/>
          <w:sz w:val="21"/>
          <w:szCs w:val="21"/>
          <w:highlight w:val="none"/>
          <w:lang w:eastAsia="zh-CN"/>
        </w:rPr>
        <w:t>三：</w:t>
      </w:r>
      <w:r>
        <w:rPr>
          <w:rFonts w:hint="eastAsia" w:ascii="宋体" w:hAnsi="宋体" w:eastAsia="宋体" w:cs="宋体"/>
          <w:b w:val="0"/>
          <w:color w:val="auto"/>
          <w:spacing w:val="4"/>
          <w:sz w:val="21"/>
          <w:szCs w:val="21"/>
          <w:highlight w:val="none"/>
        </w:rPr>
        <w:t>定标因素得分统计及排序表</w:t>
      </w:r>
      <w:bookmarkEnd w:id="1211"/>
      <w:bookmarkEnd w:id="1212"/>
    </w:p>
    <w:p w14:paraId="6918F145">
      <w:p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pacing w:val="4"/>
          <w:sz w:val="32"/>
          <w:szCs w:val="32"/>
          <w:highlight w:val="none"/>
        </w:rPr>
        <w:t>定标因素得分统计及排序表</w:t>
      </w:r>
    </w:p>
    <w:p w14:paraId="26D08294">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r>
        <w:rPr>
          <w:rFonts w:hint="eastAsia" w:ascii="宋体" w:hAnsi="宋体" w:eastAsia="宋体" w:cs="宋体"/>
          <w:color w:val="auto"/>
          <w:sz w:val="24"/>
          <w:highlight w:val="none"/>
        </w:rPr>
        <w:t>：</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5688"/>
        <w:gridCol w:w="1682"/>
        <w:gridCol w:w="1335"/>
        <w:gridCol w:w="1682"/>
        <w:gridCol w:w="1682"/>
      </w:tblGrid>
      <w:tr w14:paraId="73BA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0F39FAA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151" w:type="pct"/>
            <w:tcBorders>
              <w:top w:val="single" w:color="auto" w:sz="4" w:space="0"/>
              <w:left w:val="single" w:color="auto" w:sz="4" w:space="0"/>
              <w:bottom w:val="single" w:color="auto" w:sz="4" w:space="0"/>
              <w:right w:val="single" w:color="auto" w:sz="4" w:space="0"/>
            </w:tcBorders>
            <w:noWrap w:val="0"/>
            <w:vAlign w:val="center"/>
          </w:tcPr>
          <w:p w14:paraId="0BC81ACB">
            <w:pPr>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合格的中标候选人</w:t>
            </w:r>
          </w:p>
        </w:tc>
        <w:tc>
          <w:tcPr>
            <w:tcW w:w="636" w:type="pct"/>
            <w:tcBorders>
              <w:top w:val="single" w:color="auto" w:sz="4" w:space="0"/>
              <w:left w:val="single" w:color="auto" w:sz="4" w:space="0"/>
              <w:bottom w:val="single" w:color="auto" w:sz="4" w:space="0"/>
              <w:right w:val="single" w:color="auto" w:sz="4" w:space="0"/>
            </w:tcBorders>
            <w:noWrap w:val="0"/>
            <w:vAlign w:val="center"/>
          </w:tcPr>
          <w:p w14:paraId="7DC86BB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价格因素得分</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135D1577">
            <w:pPr>
              <w:jc w:val="center"/>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履约能力因素</w:t>
            </w:r>
            <w:r>
              <w:rPr>
                <w:rFonts w:hint="eastAsia" w:ascii="宋体" w:hAnsi="宋体" w:eastAsia="宋体" w:cs="宋体"/>
                <w:b/>
                <w:color w:val="auto"/>
                <w:szCs w:val="21"/>
                <w:highlight w:val="none"/>
              </w:rPr>
              <w:t>得分</w:t>
            </w:r>
          </w:p>
        </w:tc>
        <w:tc>
          <w:tcPr>
            <w:tcW w:w="636" w:type="pct"/>
            <w:tcBorders>
              <w:top w:val="single" w:color="auto" w:sz="4" w:space="0"/>
              <w:left w:val="single" w:color="auto" w:sz="4" w:space="0"/>
              <w:bottom w:val="single" w:color="auto" w:sz="4" w:space="0"/>
              <w:right w:val="single" w:color="auto" w:sz="4" w:space="0"/>
            </w:tcBorders>
            <w:noWrap w:val="0"/>
            <w:vAlign w:val="center"/>
          </w:tcPr>
          <w:p w14:paraId="68C49F9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总得分</w:t>
            </w:r>
          </w:p>
        </w:tc>
        <w:tc>
          <w:tcPr>
            <w:tcW w:w="636" w:type="pct"/>
            <w:tcBorders>
              <w:top w:val="single" w:color="auto" w:sz="4" w:space="0"/>
              <w:left w:val="single" w:color="auto" w:sz="4" w:space="0"/>
              <w:bottom w:val="single" w:color="auto" w:sz="4" w:space="0"/>
              <w:right w:val="single" w:color="auto" w:sz="4" w:space="0"/>
            </w:tcBorders>
            <w:noWrap w:val="0"/>
            <w:vAlign w:val="center"/>
          </w:tcPr>
          <w:p w14:paraId="1510CF0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排序</w:t>
            </w:r>
          </w:p>
        </w:tc>
      </w:tr>
      <w:tr w14:paraId="27E4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59EB611C">
            <w:pPr>
              <w:spacing w:line="600" w:lineRule="exact"/>
              <w:jc w:val="center"/>
              <w:rPr>
                <w:rFonts w:hint="eastAsia" w:ascii="宋体" w:hAnsi="宋体" w:eastAsia="宋体" w:cs="宋体"/>
                <w:color w:val="auto"/>
                <w:sz w:val="24"/>
                <w:highlight w:val="none"/>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5B8BF284">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4A53C2E9">
            <w:pPr>
              <w:spacing w:line="600" w:lineRule="exact"/>
              <w:jc w:val="center"/>
              <w:rPr>
                <w:rFonts w:hint="eastAsia" w:ascii="宋体" w:hAnsi="宋体" w:eastAsia="宋体" w:cs="宋体"/>
                <w:color w:val="auto"/>
                <w:sz w:val="24"/>
                <w:highlight w:val="none"/>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214E703D">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0F93B627">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166573A0">
            <w:pPr>
              <w:spacing w:line="600" w:lineRule="exact"/>
              <w:jc w:val="center"/>
              <w:rPr>
                <w:rFonts w:hint="eastAsia" w:ascii="宋体" w:hAnsi="宋体" w:eastAsia="宋体" w:cs="宋体"/>
                <w:color w:val="auto"/>
                <w:sz w:val="24"/>
                <w:highlight w:val="none"/>
              </w:rPr>
            </w:pPr>
          </w:p>
        </w:tc>
      </w:tr>
      <w:tr w14:paraId="15A3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29A5039C">
            <w:pPr>
              <w:spacing w:line="600" w:lineRule="exact"/>
              <w:jc w:val="center"/>
              <w:rPr>
                <w:rFonts w:hint="eastAsia" w:ascii="宋体" w:hAnsi="宋体" w:eastAsia="宋体" w:cs="宋体"/>
                <w:color w:val="auto"/>
                <w:sz w:val="24"/>
                <w:highlight w:val="none"/>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5C2FAD88">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7268FF1B">
            <w:pPr>
              <w:spacing w:line="600" w:lineRule="exact"/>
              <w:jc w:val="center"/>
              <w:rPr>
                <w:rFonts w:hint="eastAsia" w:ascii="宋体" w:hAnsi="宋体" w:eastAsia="宋体" w:cs="宋体"/>
                <w:color w:val="auto"/>
                <w:sz w:val="24"/>
                <w:highlight w:val="none"/>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20A08A34">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29512D98">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24812815">
            <w:pPr>
              <w:spacing w:line="600" w:lineRule="exact"/>
              <w:jc w:val="center"/>
              <w:rPr>
                <w:rFonts w:hint="eastAsia" w:ascii="宋体" w:hAnsi="宋体" w:eastAsia="宋体" w:cs="宋体"/>
                <w:color w:val="auto"/>
                <w:sz w:val="24"/>
                <w:highlight w:val="none"/>
              </w:rPr>
            </w:pPr>
          </w:p>
        </w:tc>
      </w:tr>
      <w:tr w14:paraId="6751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4D0C28F5">
            <w:pPr>
              <w:spacing w:line="600" w:lineRule="exact"/>
              <w:jc w:val="center"/>
              <w:rPr>
                <w:rFonts w:hint="eastAsia" w:ascii="宋体" w:hAnsi="宋体" w:eastAsia="宋体" w:cs="宋体"/>
                <w:color w:val="auto"/>
                <w:sz w:val="24"/>
                <w:highlight w:val="none"/>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5CAD60AD">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496BFFAF">
            <w:pPr>
              <w:spacing w:line="600" w:lineRule="exact"/>
              <w:jc w:val="center"/>
              <w:rPr>
                <w:rFonts w:hint="eastAsia" w:ascii="宋体" w:hAnsi="宋体" w:eastAsia="宋体" w:cs="宋体"/>
                <w:color w:val="auto"/>
                <w:sz w:val="24"/>
                <w:highlight w:val="none"/>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7FC876AD">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17E681D2">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7F08E211">
            <w:pPr>
              <w:spacing w:line="600" w:lineRule="exact"/>
              <w:jc w:val="center"/>
              <w:rPr>
                <w:rFonts w:hint="eastAsia" w:ascii="宋体" w:hAnsi="宋体" w:eastAsia="宋体" w:cs="宋体"/>
                <w:color w:val="auto"/>
                <w:sz w:val="24"/>
                <w:highlight w:val="none"/>
              </w:rPr>
            </w:pPr>
          </w:p>
        </w:tc>
      </w:tr>
      <w:tr w14:paraId="1852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1058EF56">
            <w:pPr>
              <w:spacing w:line="600" w:lineRule="exact"/>
              <w:jc w:val="center"/>
              <w:rPr>
                <w:rFonts w:hint="eastAsia" w:ascii="宋体" w:hAnsi="宋体" w:eastAsia="宋体" w:cs="宋体"/>
                <w:color w:val="auto"/>
                <w:sz w:val="24"/>
                <w:highlight w:val="none"/>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370D9484">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76D6C15F">
            <w:pPr>
              <w:spacing w:line="600" w:lineRule="exact"/>
              <w:jc w:val="center"/>
              <w:rPr>
                <w:rFonts w:hint="eastAsia" w:ascii="宋体" w:hAnsi="宋体" w:eastAsia="宋体" w:cs="宋体"/>
                <w:color w:val="auto"/>
                <w:sz w:val="24"/>
                <w:highlight w:val="none"/>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662AD6EC">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6E4CFAC8">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1B8FB3CA">
            <w:pPr>
              <w:spacing w:line="600" w:lineRule="exact"/>
              <w:jc w:val="center"/>
              <w:rPr>
                <w:rFonts w:hint="eastAsia" w:ascii="宋体" w:hAnsi="宋体" w:eastAsia="宋体" w:cs="宋体"/>
                <w:color w:val="auto"/>
                <w:sz w:val="24"/>
                <w:highlight w:val="none"/>
              </w:rPr>
            </w:pPr>
          </w:p>
        </w:tc>
      </w:tr>
      <w:tr w14:paraId="7D34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45736CAB">
            <w:pPr>
              <w:spacing w:line="600" w:lineRule="exact"/>
              <w:jc w:val="center"/>
              <w:rPr>
                <w:rFonts w:hint="eastAsia" w:ascii="宋体" w:hAnsi="宋体" w:eastAsia="宋体" w:cs="宋体"/>
                <w:color w:val="auto"/>
                <w:sz w:val="24"/>
                <w:highlight w:val="none"/>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5D358B1B">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2011CC62">
            <w:pPr>
              <w:spacing w:line="600" w:lineRule="exact"/>
              <w:jc w:val="center"/>
              <w:rPr>
                <w:rFonts w:hint="eastAsia" w:ascii="宋体" w:hAnsi="宋体" w:eastAsia="宋体" w:cs="宋体"/>
                <w:color w:val="auto"/>
                <w:sz w:val="24"/>
                <w:highlight w:val="none"/>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11C30EF9">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596278AE">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673930C1">
            <w:pPr>
              <w:spacing w:line="600" w:lineRule="exact"/>
              <w:jc w:val="center"/>
              <w:rPr>
                <w:rFonts w:hint="eastAsia" w:ascii="宋体" w:hAnsi="宋体" w:eastAsia="宋体" w:cs="宋体"/>
                <w:color w:val="auto"/>
                <w:sz w:val="24"/>
                <w:highlight w:val="none"/>
              </w:rPr>
            </w:pPr>
          </w:p>
        </w:tc>
      </w:tr>
      <w:tr w14:paraId="004B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2164C90F">
            <w:pPr>
              <w:spacing w:line="600" w:lineRule="exact"/>
              <w:jc w:val="center"/>
              <w:rPr>
                <w:rFonts w:hint="eastAsia" w:ascii="宋体" w:hAnsi="宋体" w:eastAsia="宋体" w:cs="宋体"/>
                <w:color w:val="auto"/>
                <w:sz w:val="24"/>
                <w:highlight w:val="none"/>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5D7C45B1">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24607847">
            <w:pPr>
              <w:spacing w:line="600" w:lineRule="exact"/>
              <w:jc w:val="center"/>
              <w:rPr>
                <w:rFonts w:hint="eastAsia" w:ascii="宋体" w:hAnsi="宋体" w:eastAsia="宋体" w:cs="宋体"/>
                <w:color w:val="auto"/>
                <w:sz w:val="24"/>
                <w:highlight w:val="none"/>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662DB286">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75A6C3B4">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1EB82BB6">
            <w:pPr>
              <w:spacing w:line="600" w:lineRule="exact"/>
              <w:jc w:val="center"/>
              <w:rPr>
                <w:rFonts w:hint="eastAsia" w:ascii="宋体" w:hAnsi="宋体" w:eastAsia="宋体" w:cs="宋体"/>
                <w:color w:val="auto"/>
                <w:sz w:val="24"/>
                <w:highlight w:val="none"/>
              </w:rPr>
            </w:pPr>
          </w:p>
        </w:tc>
      </w:tr>
      <w:tr w14:paraId="43F7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6D18CC76">
            <w:pPr>
              <w:spacing w:line="600" w:lineRule="exact"/>
              <w:jc w:val="center"/>
              <w:rPr>
                <w:rFonts w:hint="eastAsia" w:ascii="宋体" w:hAnsi="宋体" w:eastAsia="宋体" w:cs="宋体"/>
                <w:color w:val="auto"/>
                <w:sz w:val="24"/>
                <w:highlight w:val="none"/>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47E6F800">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67C2C1D8">
            <w:pPr>
              <w:spacing w:line="600" w:lineRule="exact"/>
              <w:jc w:val="center"/>
              <w:rPr>
                <w:rFonts w:hint="eastAsia" w:ascii="宋体" w:hAnsi="宋体" w:eastAsia="宋体" w:cs="宋体"/>
                <w:color w:val="auto"/>
                <w:sz w:val="24"/>
                <w:highlight w:val="none"/>
              </w:rPr>
            </w:pPr>
          </w:p>
        </w:tc>
        <w:tc>
          <w:tcPr>
            <w:tcW w:w="505" w:type="pct"/>
            <w:tcBorders>
              <w:top w:val="single" w:color="auto" w:sz="4" w:space="0"/>
              <w:left w:val="single" w:color="auto" w:sz="4" w:space="0"/>
              <w:bottom w:val="single" w:color="auto" w:sz="4" w:space="0"/>
              <w:right w:val="single" w:color="auto" w:sz="4" w:space="0"/>
            </w:tcBorders>
            <w:noWrap w:val="0"/>
            <w:vAlign w:val="center"/>
          </w:tcPr>
          <w:p w14:paraId="316015B2">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2E7DE759">
            <w:pPr>
              <w:spacing w:line="600" w:lineRule="exact"/>
              <w:jc w:val="center"/>
              <w:rPr>
                <w:rFonts w:hint="eastAsia" w:ascii="宋体" w:hAnsi="宋体" w:eastAsia="宋体" w:cs="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noWrap w:val="0"/>
            <w:vAlign w:val="center"/>
          </w:tcPr>
          <w:p w14:paraId="4C7EF644">
            <w:pPr>
              <w:spacing w:line="600" w:lineRule="exact"/>
              <w:jc w:val="center"/>
              <w:rPr>
                <w:rFonts w:hint="eastAsia" w:ascii="宋体" w:hAnsi="宋体" w:eastAsia="宋体" w:cs="宋体"/>
                <w:color w:val="auto"/>
                <w:sz w:val="24"/>
                <w:highlight w:val="none"/>
              </w:rPr>
            </w:pPr>
          </w:p>
        </w:tc>
      </w:tr>
    </w:tbl>
    <w:p w14:paraId="065C39BA">
      <w:pPr>
        <w:ind w:right="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备注：</w:t>
      </w:r>
    </w:p>
    <w:p w14:paraId="7646A43F">
      <w:pPr>
        <w:rPr>
          <w:rFonts w:hint="eastAsia" w:ascii="宋体" w:hAnsi="宋体" w:eastAsia="宋体" w:cs="宋体"/>
          <w:color w:val="auto"/>
          <w:szCs w:val="20"/>
          <w:highlight w:val="none"/>
        </w:rPr>
      </w:pPr>
      <w:r>
        <w:rPr>
          <w:rFonts w:hint="eastAsia" w:ascii="宋体" w:hAnsi="宋体" w:eastAsia="宋体" w:cs="宋体"/>
          <w:color w:val="auto"/>
          <w:szCs w:val="20"/>
          <w:highlight w:val="none"/>
        </w:rPr>
        <w:t>（1）若合格的中标候选人总得分相同且影响定标排序的，以</w:t>
      </w:r>
      <w:r>
        <w:rPr>
          <w:rFonts w:hint="eastAsia" w:ascii="宋体" w:hAnsi="宋体" w:cs="宋体"/>
          <w:color w:val="auto"/>
          <w:szCs w:val="20"/>
          <w:highlight w:val="none"/>
          <w:lang w:eastAsia="zh-CN"/>
        </w:rPr>
        <w:t>履约能力因素</w:t>
      </w:r>
      <w:r>
        <w:rPr>
          <w:rFonts w:hint="eastAsia" w:ascii="宋体" w:hAnsi="宋体" w:eastAsia="宋体" w:cs="宋体"/>
          <w:color w:val="auto"/>
          <w:szCs w:val="20"/>
          <w:highlight w:val="none"/>
        </w:rPr>
        <w:t>得分高的排前；若</w:t>
      </w:r>
      <w:r>
        <w:rPr>
          <w:rFonts w:hint="eastAsia" w:ascii="宋体" w:hAnsi="宋体" w:cs="宋体"/>
          <w:color w:val="auto"/>
          <w:szCs w:val="20"/>
          <w:highlight w:val="none"/>
          <w:lang w:eastAsia="zh-CN"/>
        </w:rPr>
        <w:t>履约能力因素</w:t>
      </w:r>
      <w:r>
        <w:rPr>
          <w:rFonts w:hint="eastAsia" w:ascii="宋体" w:hAnsi="宋体" w:eastAsia="宋体" w:cs="宋体"/>
          <w:color w:val="auto"/>
          <w:szCs w:val="20"/>
          <w:highlight w:val="none"/>
        </w:rPr>
        <w:t>得分仍相同的，以价格因素得分高的排前，若价格因素得分仍相同的，由定标委员会投票确定排序。</w:t>
      </w:r>
    </w:p>
    <w:p w14:paraId="54F8DE5B">
      <w:pP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0"/>
          <w:highlight w:val="none"/>
        </w:rPr>
        <w:t>总得分=价格因素得分+</w:t>
      </w:r>
      <w:r>
        <w:rPr>
          <w:rFonts w:hint="eastAsia" w:ascii="宋体" w:hAnsi="宋体" w:cs="宋体"/>
          <w:color w:val="auto"/>
          <w:szCs w:val="20"/>
          <w:highlight w:val="none"/>
          <w:lang w:eastAsia="zh-CN"/>
        </w:rPr>
        <w:t>履约能力因素</w:t>
      </w:r>
      <w:r>
        <w:rPr>
          <w:rFonts w:hint="eastAsia" w:ascii="宋体" w:hAnsi="宋体" w:eastAsia="宋体" w:cs="宋体"/>
          <w:color w:val="auto"/>
          <w:szCs w:val="20"/>
          <w:highlight w:val="none"/>
        </w:rPr>
        <w:t>得分</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总得分四舍五入保留两位小数。</w:t>
      </w:r>
    </w:p>
    <w:p w14:paraId="0A0C8819">
      <w:pPr>
        <w:rPr>
          <w:rFonts w:hint="eastAsia" w:ascii="宋体" w:hAnsi="宋体" w:eastAsia="宋体" w:cs="宋体"/>
          <w:b/>
          <w:bCs/>
          <w:color w:val="auto"/>
          <w:highlight w:val="none"/>
        </w:rPr>
      </w:pPr>
    </w:p>
    <w:p w14:paraId="280C8B4B">
      <w:pPr>
        <w:pStyle w:val="11"/>
        <w:kinsoku w:val="0"/>
        <w:overflowPunct w:val="0"/>
        <w:spacing w:line="360" w:lineRule="auto"/>
        <w:ind w:left="100" w:right="109" w:firstLine="419"/>
        <w:rPr>
          <w:rFonts w:hint="eastAsia" w:ascii="宋体" w:hAnsi="宋体" w:eastAsia="宋体" w:cs="宋体"/>
          <w:b/>
          <w:bCs/>
          <w:color w:val="auto"/>
          <w:highlight w:val="none"/>
        </w:rPr>
        <w:sectPr>
          <w:pgSz w:w="15840" w:h="12240" w:orient="landscape"/>
          <w:pgMar w:top="1417" w:right="1417" w:bottom="1417" w:left="1417" w:header="720" w:footer="720" w:gutter="0"/>
          <w:cols w:space="720" w:num="1"/>
          <w:docGrid w:linePitch="285" w:charSpace="0"/>
        </w:sectPr>
      </w:pPr>
      <w:r>
        <w:rPr>
          <w:rFonts w:hint="eastAsia" w:ascii="宋体" w:hAnsi="宋体" w:eastAsia="宋体" w:cs="宋体"/>
          <w:b/>
          <w:bCs/>
          <w:color w:val="auto"/>
          <w:highlight w:val="none"/>
        </w:rPr>
        <w:t>定标委员会签名：                              日期：  年  月  日</w:t>
      </w:r>
    </w:p>
    <w:p w14:paraId="68B4D2D8">
      <w:pPr>
        <w:pStyle w:val="15"/>
        <w:jc w:val="left"/>
        <w:rPr>
          <w:rFonts w:hint="eastAsia" w:ascii="黑体" w:hAnsi="黑体" w:eastAsia="黑体" w:cs="黑体"/>
          <w:color w:val="auto"/>
          <w:sz w:val="32"/>
          <w:szCs w:val="32"/>
          <w:lang w:eastAsia="zh-CN"/>
        </w:rPr>
      </w:pPr>
      <w:bookmarkStart w:id="1213" w:name="_Toc492300637"/>
    </w:p>
    <w:p w14:paraId="0685ED27">
      <w:pPr>
        <w:pStyle w:val="3"/>
        <w:bidi w:val="0"/>
        <w:jc w:val="center"/>
        <w:outlineLvl w:val="0"/>
        <w:rPr>
          <w:rFonts w:hint="eastAsia" w:ascii="宋体" w:hAnsi="宋体" w:eastAsia="宋体" w:cs="宋体"/>
        </w:rPr>
      </w:pPr>
      <w:bookmarkStart w:id="1214" w:name="_Toc15305"/>
      <w:bookmarkStart w:id="1215" w:name="_Toc8628"/>
      <w:bookmarkStart w:id="1216" w:name="_Toc1772"/>
      <w:bookmarkStart w:id="1217" w:name="_Toc7573"/>
      <w:bookmarkStart w:id="1218" w:name="_Toc18176"/>
      <w:bookmarkStart w:id="1219" w:name="_Toc2977"/>
      <w:bookmarkStart w:id="1220" w:name="_Toc17217"/>
      <w:bookmarkStart w:id="1221" w:name="_Toc6326"/>
      <w:bookmarkStart w:id="1222" w:name="_Toc10446"/>
      <w:bookmarkStart w:id="1223" w:name="_Toc29317"/>
      <w:bookmarkStart w:id="1224" w:name="_Toc29256"/>
      <w:r>
        <w:rPr>
          <w:rFonts w:hint="eastAsia" w:ascii="宋体" w:hAnsi="宋体" w:eastAsia="宋体" w:cs="宋体"/>
          <w:lang w:eastAsia="zh-CN"/>
        </w:rPr>
        <w:t>第四章</w:t>
      </w:r>
      <w:r>
        <w:rPr>
          <w:rFonts w:hint="eastAsia" w:ascii="宋体" w:hAnsi="宋体" w:eastAsia="宋体" w:cs="宋体"/>
          <w:lang w:val="en-US" w:eastAsia="zh-CN"/>
        </w:rPr>
        <w:t xml:space="preserve"> </w:t>
      </w:r>
      <w:r>
        <w:rPr>
          <w:rFonts w:hint="eastAsia" w:ascii="宋体" w:hAnsi="宋体" w:eastAsia="宋体" w:cs="宋体"/>
        </w:rPr>
        <w:t>合同条款及格式</w:t>
      </w:r>
      <w:bookmarkEnd w:id="1214"/>
      <w:bookmarkEnd w:id="1215"/>
      <w:bookmarkEnd w:id="1216"/>
      <w:bookmarkEnd w:id="1217"/>
      <w:bookmarkEnd w:id="1218"/>
      <w:bookmarkEnd w:id="1219"/>
      <w:bookmarkEnd w:id="1220"/>
      <w:bookmarkEnd w:id="1221"/>
      <w:bookmarkEnd w:id="1222"/>
      <w:bookmarkEnd w:id="1223"/>
      <w:bookmarkEnd w:id="1224"/>
    </w:p>
    <w:p w14:paraId="5F244F21">
      <w:pPr>
        <w:pStyle w:val="11"/>
        <w:tabs>
          <w:tab w:val="left" w:pos="6643"/>
          <w:tab w:val="left" w:pos="7589"/>
          <w:tab w:val="left" w:pos="8533"/>
        </w:tabs>
        <w:kinsoku w:val="0"/>
        <w:overflowPunct w:val="0"/>
        <w:spacing w:before="1" w:beforeLines="0" w:afterLines="0"/>
        <w:ind w:left="0"/>
        <w:jc w:val="center"/>
        <w:rPr>
          <w:rFonts w:hint="eastAsia" w:ascii="宋体" w:hAnsi="宋体" w:eastAsia="宋体" w:cs="宋体"/>
          <w:sz w:val="21"/>
          <w:szCs w:val="21"/>
        </w:rPr>
        <w:sectPr>
          <w:footerReference r:id="rId6" w:type="default"/>
          <w:type w:val="continuous"/>
          <w:pgSz w:w="11850" w:h="16840"/>
          <w:pgMar w:top="1480" w:right="1417" w:bottom="1417" w:left="1417" w:header="720" w:footer="720" w:gutter="0"/>
          <w:lnNumType w:countBy="0" w:distance="360"/>
          <w:pgNumType w:fmt="decimal"/>
          <w:cols w:space="720" w:num="1"/>
        </w:sectPr>
      </w:pPr>
      <w:r>
        <w:rPr>
          <w:rFonts w:hint="eastAsia" w:ascii="宋体" w:hAnsi="宋体" w:cs="宋体"/>
          <w:snapToGrid/>
          <w:color w:val="auto"/>
          <w:kern w:val="2"/>
          <w:sz w:val="21"/>
          <w:szCs w:val="21"/>
          <w:highlight w:val="none"/>
          <w:lang w:val="en-US" w:eastAsia="zh-CN" w:bidi="ar-SA"/>
        </w:rPr>
        <w:t>另册</w:t>
      </w:r>
    </w:p>
    <w:p w14:paraId="31ADF67A">
      <w:pPr>
        <w:pStyle w:val="2"/>
        <w:bidi w:val="0"/>
        <w:jc w:val="center"/>
        <w:rPr>
          <w:rFonts w:hint="eastAsia"/>
        </w:rPr>
      </w:pPr>
      <w:bookmarkStart w:id="1225" w:name="_Toc16157"/>
      <w:bookmarkStart w:id="1226" w:name="_Toc25600"/>
      <w:bookmarkStart w:id="1227" w:name="_Toc2707"/>
      <w:bookmarkStart w:id="1228" w:name="_Toc25963"/>
      <w:bookmarkStart w:id="1229" w:name="_Toc28819"/>
      <w:bookmarkStart w:id="1230" w:name="_Toc15759"/>
      <w:bookmarkStart w:id="1231" w:name="_Toc20038"/>
      <w:bookmarkStart w:id="1232" w:name="_Toc5188"/>
      <w:bookmarkStart w:id="1233" w:name="_Toc28614"/>
      <w:bookmarkStart w:id="1234" w:name="_Toc16782"/>
      <w:bookmarkStart w:id="1235" w:name="_Toc9742"/>
      <w:r>
        <w:rPr>
          <w:rFonts w:hint="eastAsia"/>
        </w:rPr>
        <w:t>第二卷</w:t>
      </w:r>
      <w:bookmarkEnd w:id="1225"/>
      <w:bookmarkEnd w:id="1226"/>
      <w:bookmarkEnd w:id="1227"/>
      <w:bookmarkEnd w:id="1228"/>
      <w:bookmarkEnd w:id="1229"/>
      <w:bookmarkEnd w:id="1230"/>
      <w:bookmarkEnd w:id="1231"/>
      <w:bookmarkEnd w:id="1232"/>
      <w:bookmarkEnd w:id="1233"/>
      <w:bookmarkEnd w:id="1234"/>
      <w:bookmarkEnd w:id="1235"/>
    </w:p>
    <w:p w14:paraId="352DCFB9">
      <w:pPr>
        <w:pStyle w:val="66"/>
        <w:kinsoku w:val="0"/>
        <w:overflowPunct w:val="0"/>
        <w:spacing w:beforeLines="0" w:afterLines="0" w:line="539" w:lineRule="exact"/>
        <w:ind w:left="3177" w:right="3177"/>
        <w:jc w:val="center"/>
        <w:outlineLvl w:val="9"/>
        <w:rPr>
          <w:rFonts w:hint="eastAsia"/>
          <w:sz w:val="44"/>
        </w:rPr>
        <w:sectPr>
          <w:footerReference r:id="rId7" w:type="default"/>
          <w:pgSz w:w="11850" w:h="16840"/>
          <w:pgMar w:top="1417" w:right="1417" w:bottom="1417" w:left="1417" w:header="0" w:footer="921" w:gutter="0"/>
          <w:lnNumType w:countBy="0" w:distance="360"/>
          <w:pgNumType w:fmt="decimal"/>
          <w:cols w:space="720" w:num="1"/>
        </w:sectPr>
      </w:pPr>
    </w:p>
    <w:p w14:paraId="010C2038">
      <w:pPr>
        <w:pStyle w:val="3"/>
        <w:bidi w:val="0"/>
        <w:jc w:val="center"/>
        <w:outlineLvl w:val="0"/>
        <w:rPr>
          <w:rFonts w:hint="eastAsia" w:ascii="宋体" w:hAnsi="宋体" w:eastAsia="宋体" w:cs="宋体"/>
          <w:sz w:val="36"/>
          <w:szCs w:val="36"/>
        </w:rPr>
      </w:pPr>
      <w:bookmarkStart w:id="1236" w:name="_Toc9824"/>
      <w:bookmarkStart w:id="1237" w:name="_Toc19291"/>
      <w:bookmarkStart w:id="1238" w:name="_Toc26906"/>
      <w:bookmarkStart w:id="1239" w:name="_Toc24424"/>
      <w:bookmarkStart w:id="1240" w:name="_Toc9156"/>
      <w:bookmarkStart w:id="1241" w:name="_Toc28744"/>
      <w:bookmarkStart w:id="1242" w:name="_Toc3345"/>
      <w:bookmarkStart w:id="1243" w:name="_Toc18281"/>
      <w:bookmarkStart w:id="1244" w:name="_Toc10250"/>
      <w:bookmarkStart w:id="1245" w:name="_Toc5997"/>
      <w:bookmarkStart w:id="1246" w:name="_Toc22643"/>
      <w:r>
        <w:rPr>
          <w:rFonts w:hint="eastAsia" w:ascii="宋体" w:hAnsi="宋体" w:eastAsia="宋体" w:cs="宋体"/>
          <w:sz w:val="36"/>
          <w:szCs w:val="36"/>
        </w:rPr>
        <w:t>第五章 委托人要求</w:t>
      </w:r>
      <w:bookmarkEnd w:id="1236"/>
      <w:bookmarkEnd w:id="1237"/>
      <w:bookmarkEnd w:id="1238"/>
      <w:bookmarkEnd w:id="1239"/>
      <w:bookmarkEnd w:id="1240"/>
      <w:bookmarkEnd w:id="1241"/>
      <w:bookmarkEnd w:id="1242"/>
      <w:bookmarkEnd w:id="1243"/>
      <w:bookmarkEnd w:id="1244"/>
      <w:bookmarkEnd w:id="1245"/>
      <w:bookmarkEnd w:id="1246"/>
    </w:p>
    <w:p w14:paraId="7C8A86A3">
      <w:pPr>
        <w:jc w:val="center"/>
        <w:rPr>
          <w:rFonts w:hint="eastAsia"/>
          <w:lang w:val="en-US"/>
        </w:rPr>
      </w:pPr>
      <w:bookmarkStart w:id="1247" w:name="bookmark166"/>
      <w:bookmarkEnd w:id="1247"/>
      <w:bookmarkStart w:id="1248" w:name="_Toc23804"/>
      <w:bookmarkStart w:id="1249" w:name="_Toc29275"/>
      <w:bookmarkStart w:id="1250" w:name="_Toc14256"/>
      <w:bookmarkStart w:id="1251" w:name="_Toc7475"/>
      <w:bookmarkStart w:id="1252" w:name="_Toc20744"/>
      <w:bookmarkStart w:id="1253" w:name="_Toc30156"/>
      <w:bookmarkStart w:id="1254" w:name="_Toc26280"/>
      <w:bookmarkStart w:id="1255" w:name="_Toc851"/>
      <w:bookmarkStart w:id="1256" w:name="_Toc8049"/>
      <w:r>
        <w:rPr>
          <w:rFonts w:hint="eastAsia"/>
          <w:lang w:val="en-US"/>
        </w:rPr>
        <w:t>详见《用户需求书》，另册。</w:t>
      </w:r>
      <w:bookmarkStart w:id="1257" w:name="_Toc13833"/>
    </w:p>
    <w:p w14:paraId="17ED29C3">
      <w:pPr>
        <w:kinsoku w:val="0"/>
        <w:overflowPunct w:val="0"/>
        <w:spacing w:beforeLines="0" w:afterLines="0"/>
        <w:ind w:right="3177"/>
        <w:jc w:val="center"/>
        <w:rPr>
          <w:rStyle w:val="41"/>
          <w:rFonts w:hint="eastAsia"/>
          <w:lang w:val="en-US"/>
        </w:rPr>
      </w:pPr>
      <w:r>
        <w:rPr>
          <w:rStyle w:val="41"/>
          <w:rFonts w:hint="eastAsia"/>
          <w:lang w:val="en-US"/>
        </w:rPr>
        <w:br w:type="page"/>
      </w:r>
    </w:p>
    <w:p w14:paraId="25522DD1">
      <w:pPr>
        <w:pStyle w:val="66"/>
        <w:kinsoku w:val="0"/>
        <w:overflowPunct w:val="0"/>
        <w:spacing w:beforeLines="0" w:afterLines="0" w:line="539" w:lineRule="exact"/>
        <w:ind w:right="0"/>
        <w:jc w:val="center"/>
        <w:rPr>
          <w:rFonts w:hint="eastAsia"/>
          <w:sz w:val="44"/>
        </w:rPr>
      </w:pPr>
      <w:bookmarkStart w:id="1258" w:name="_Toc3294"/>
      <w:r>
        <w:rPr>
          <w:rStyle w:val="41"/>
          <w:rFonts w:hint="eastAsia"/>
        </w:rPr>
        <w:t>第三卷</w:t>
      </w:r>
      <w:bookmarkEnd w:id="1248"/>
      <w:bookmarkEnd w:id="1249"/>
      <w:bookmarkEnd w:id="1250"/>
      <w:bookmarkEnd w:id="1251"/>
      <w:bookmarkEnd w:id="1252"/>
      <w:bookmarkEnd w:id="1253"/>
      <w:bookmarkEnd w:id="1254"/>
      <w:bookmarkEnd w:id="1255"/>
      <w:bookmarkEnd w:id="1256"/>
      <w:bookmarkEnd w:id="1257"/>
      <w:bookmarkEnd w:id="1258"/>
    </w:p>
    <w:p w14:paraId="086C80DA">
      <w:pPr>
        <w:pStyle w:val="66"/>
        <w:kinsoku w:val="0"/>
        <w:overflowPunct w:val="0"/>
        <w:spacing w:beforeLines="0" w:afterLines="0" w:line="539" w:lineRule="exact"/>
        <w:ind w:left="3177" w:right="3177"/>
        <w:jc w:val="center"/>
        <w:outlineLvl w:val="9"/>
        <w:rPr>
          <w:rFonts w:hint="eastAsia"/>
          <w:sz w:val="44"/>
        </w:rPr>
        <w:sectPr>
          <w:pgSz w:w="11850" w:h="16840"/>
          <w:pgMar w:top="1417" w:right="1417" w:bottom="1417" w:left="1417" w:header="0" w:footer="921" w:gutter="0"/>
          <w:lnNumType w:countBy="0" w:distance="360"/>
          <w:pgNumType w:fmt="decimal"/>
          <w:cols w:space="720" w:num="1"/>
        </w:sectPr>
      </w:pPr>
    </w:p>
    <w:p w14:paraId="183BEA9B">
      <w:pPr>
        <w:pStyle w:val="3"/>
        <w:bidi w:val="0"/>
        <w:jc w:val="center"/>
        <w:outlineLvl w:val="0"/>
        <w:rPr>
          <w:rFonts w:hint="eastAsia"/>
        </w:rPr>
      </w:pPr>
      <w:bookmarkStart w:id="1259" w:name="_Toc26954"/>
      <w:bookmarkStart w:id="1260" w:name="_Toc26115"/>
      <w:bookmarkStart w:id="1261" w:name="_Toc4008"/>
      <w:bookmarkStart w:id="1262" w:name="_Toc1211"/>
      <w:bookmarkStart w:id="1263" w:name="_Toc18200"/>
      <w:bookmarkStart w:id="1264" w:name="_Toc4945"/>
      <w:bookmarkStart w:id="1265" w:name="_Toc852"/>
      <w:bookmarkStart w:id="1266" w:name="_Toc19946"/>
      <w:bookmarkStart w:id="1267" w:name="_Toc1878"/>
      <w:bookmarkStart w:id="1268" w:name="_Toc14309"/>
      <w:bookmarkStart w:id="1269" w:name="_Toc5108"/>
      <w:r>
        <w:rPr>
          <w:rFonts w:hint="eastAsia" w:ascii="宋体" w:hAnsi="宋体" w:eastAsia="宋体" w:cs="宋体"/>
          <w:sz w:val="36"/>
          <w:szCs w:val="36"/>
        </w:rPr>
        <w:t>第六章 投标文件格式</w:t>
      </w:r>
      <w:bookmarkEnd w:id="1259"/>
      <w:bookmarkEnd w:id="1260"/>
      <w:bookmarkEnd w:id="1261"/>
      <w:bookmarkEnd w:id="1262"/>
      <w:bookmarkEnd w:id="1263"/>
      <w:bookmarkEnd w:id="1264"/>
      <w:bookmarkEnd w:id="1265"/>
      <w:bookmarkEnd w:id="1266"/>
      <w:bookmarkEnd w:id="1267"/>
      <w:bookmarkEnd w:id="1268"/>
      <w:bookmarkEnd w:id="1269"/>
    </w:p>
    <w:p w14:paraId="18E8F10F">
      <w:pPr>
        <w:pStyle w:val="15"/>
        <w:jc w:val="center"/>
        <w:rPr>
          <w:rFonts w:hint="eastAsia" w:ascii="宋体" w:hAnsi="宋体" w:eastAsia="宋体"/>
          <w:color w:val="auto"/>
          <w:sz w:val="22"/>
          <w:szCs w:val="11"/>
          <w:lang w:eastAsia="zh-CN"/>
        </w:rPr>
      </w:pPr>
      <w:r>
        <w:rPr>
          <w:rFonts w:hint="eastAsia" w:ascii="宋体" w:hAnsi="宋体"/>
          <w:color w:val="auto"/>
          <w:sz w:val="22"/>
          <w:szCs w:val="11"/>
        </w:rPr>
        <w:t>(由招标人结合项目实际情况</w:t>
      </w:r>
      <w:r>
        <w:rPr>
          <w:rFonts w:hint="eastAsia" w:ascii="宋体" w:hAnsi="宋体"/>
          <w:color w:val="auto"/>
          <w:sz w:val="22"/>
          <w:szCs w:val="11"/>
          <w:lang w:eastAsia="zh-CN"/>
        </w:rPr>
        <w:t>进行编写，以下格式供参考）</w:t>
      </w:r>
    </w:p>
    <w:p w14:paraId="353026E9">
      <w:pPr>
        <w:spacing w:line="400" w:lineRule="exact"/>
        <w:rPr>
          <w:rFonts w:ascii="Times New Roman" w:hAnsi="Times New Roman"/>
          <w:highlight w:val="none"/>
        </w:rPr>
      </w:pPr>
      <w:r>
        <w:rPr>
          <w:rFonts w:hint="eastAsia" w:ascii="宋体" w:hAnsi="宋体" w:cs="宋体"/>
          <w:b/>
          <w:bCs/>
          <w:sz w:val="36"/>
          <w:szCs w:val="36"/>
          <w:u w:val="single"/>
        </w:rPr>
        <w:br w:type="page"/>
      </w:r>
    </w:p>
    <w:p w14:paraId="513EB7D6">
      <w:pPr>
        <w:jc w:val="center"/>
        <w:rPr>
          <w:rFonts w:ascii="Times New Roman" w:hAnsi="Times New Roman" w:eastAsia="黑体"/>
          <w:sz w:val="28"/>
          <w:szCs w:val="28"/>
          <w:highlight w:val="none"/>
          <w:u w:val="single"/>
        </w:rPr>
      </w:pPr>
    </w:p>
    <w:p w14:paraId="1B832467">
      <w:pPr>
        <w:jc w:val="center"/>
        <w:rPr>
          <w:rFonts w:ascii="Times New Roman" w:hAnsi="Times New Roman" w:eastAsia="黑体"/>
          <w:sz w:val="28"/>
          <w:szCs w:val="28"/>
          <w:highlight w:val="none"/>
          <w:u w:val="single"/>
        </w:rPr>
      </w:pPr>
    </w:p>
    <w:p w14:paraId="3657AC8C">
      <w:pPr>
        <w:jc w:val="center"/>
        <w:rPr>
          <w:rFonts w:ascii="Times New Roman" w:hAnsi="Times New Roman" w:eastAsia="黑体"/>
          <w:sz w:val="28"/>
          <w:szCs w:val="28"/>
          <w:highlight w:val="none"/>
          <w:u w:val="single"/>
        </w:rPr>
      </w:pPr>
    </w:p>
    <w:p w14:paraId="0BC20BAF">
      <w:pPr>
        <w:jc w:val="center"/>
        <w:rPr>
          <w:rFonts w:ascii="Times New Roman" w:hAnsi="Times New Roman" w:eastAsia="黑体"/>
          <w:sz w:val="28"/>
          <w:szCs w:val="28"/>
          <w:highlight w:val="none"/>
        </w:rPr>
      </w:pPr>
      <w:r>
        <w:rPr>
          <w:rFonts w:ascii="Times New Roman" w:hAnsi="Times New Roman" w:eastAsia="黑体"/>
          <w:sz w:val="28"/>
          <w:szCs w:val="28"/>
          <w:highlight w:val="none"/>
          <w:u w:val="single"/>
        </w:rPr>
        <w:t xml:space="preserve">        </w:t>
      </w:r>
      <w:r>
        <w:rPr>
          <w:rFonts w:ascii="Times New Roman" w:hAnsi="Times New Roman" w:eastAsia="黑体"/>
          <w:sz w:val="28"/>
          <w:szCs w:val="28"/>
          <w:highlight w:val="none"/>
        </w:rPr>
        <w:t>（</w:t>
      </w:r>
      <w:r>
        <w:rPr>
          <w:rFonts w:hint="eastAsia" w:ascii="Times New Roman" w:hAnsi="Times New Roman" w:eastAsia="黑体"/>
          <w:sz w:val="28"/>
          <w:szCs w:val="28"/>
          <w:highlight w:val="none"/>
        </w:rPr>
        <w:t>招标</w:t>
      </w:r>
      <w:r>
        <w:rPr>
          <w:rFonts w:ascii="Times New Roman" w:hAnsi="Times New Roman" w:eastAsia="黑体"/>
          <w:sz w:val="28"/>
          <w:szCs w:val="28"/>
          <w:highlight w:val="none"/>
        </w:rPr>
        <w:t>项目名称）</w:t>
      </w:r>
    </w:p>
    <w:p w14:paraId="55FC37D7">
      <w:pPr>
        <w:rPr>
          <w:rFonts w:ascii="Times New Roman" w:hAnsi="Times New Roman" w:eastAsia="黑体"/>
          <w:sz w:val="20"/>
          <w:highlight w:val="none"/>
        </w:rPr>
      </w:pPr>
    </w:p>
    <w:p w14:paraId="51B46021">
      <w:pPr>
        <w:rPr>
          <w:rFonts w:ascii="Times New Roman" w:hAnsi="Times New Roman" w:eastAsia="黑体"/>
          <w:sz w:val="20"/>
          <w:highlight w:val="none"/>
        </w:rPr>
      </w:pPr>
    </w:p>
    <w:p w14:paraId="545D032A">
      <w:pPr>
        <w:rPr>
          <w:rFonts w:ascii="Times New Roman" w:hAnsi="Times New Roman" w:eastAsia="黑体"/>
          <w:sz w:val="20"/>
          <w:highlight w:val="none"/>
        </w:rPr>
      </w:pPr>
    </w:p>
    <w:p w14:paraId="3C9CF3A8">
      <w:pPr>
        <w:rPr>
          <w:rFonts w:ascii="Times New Roman" w:hAnsi="Times New Roman" w:eastAsia="黑体"/>
          <w:sz w:val="20"/>
          <w:highlight w:val="none"/>
        </w:rPr>
      </w:pPr>
    </w:p>
    <w:p w14:paraId="00260CFE">
      <w:pPr>
        <w:rPr>
          <w:rFonts w:ascii="Times New Roman" w:hAnsi="Times New Roman" w:eastAsia="黑体"/>
          <w:sz w:val="20"/>
          <w:highlight w:val="none"/>
        </w:rPr>
      </w:pPr>
    </w:p>
    <w:p w14:paraId="21D92DAF">
      <w:pPr>
        <w:rPr>
          <w:rFonts w:ascii="Times New Roman" w:hAnsi="Times New Roman" w:eastAsia="黑体"/>
          <w:sz w:val="20"/>
          <w:highlight w:val="none"/>
        </w:rPr>
      </w:pPr>
    </w:p>
    <w:p w14:paraId="2F8D9C85">
      <w:pPr>
        <w:rPr>
          <w:rFonts w:ascii="Times New Roman" w:hAnsi="Times New Roman" w:eastAsia="黑体"/>
          <w:sz w:val="20"/>
          <w:highlight w:val="none"/>
        </w:rPr>
      </w:pPr>
    </w:p>
    <w:p w14:paraId="311A4D4C">
      <w:pPr>
        <w:rPr>
          <w:rFonts w:ascii="Times New Roman" w:hAnsi="Times New Roman" w:eastAsia="黑体"/>
          <w:sz w:val="20"/>
          <w:highlight w:val="none"/>
        </w:rPr>
      </w:pPr>
    </w:p>
    <w:p w14:paraId="24435290">
      <w:pPr>
        <w:rPr>
          <w:rFonts w:ascii="Times New Roman" w:hAnsi="Times New Roman" w:eastAsia="黑体"/>
          <w:sz w:val="20"/>
          <w:highlight w:val="none"/>
        </w:rPr>
      </w:pPr>
    </w:p>
    <w:p w14:paraId="094611E0">
      <w:pPr>
        <w:rPr>
          <w:rFonts w:ascii="Times New Roman" w:hAnsi="Times New Roman" w:eastAsia="黑体"/>
          <w:sz w:val="20"/>
          <w:highlight w:val="none"/>
        </w:rPr>
      </w:pPr>
    </w:p>
    <w:p w14:paraId="10DDB0F7">
      <w:pPr>
        <w:jc w:val="center"/>
        <w:rPr>
          <w:rFonts w:ascii="Times New Roman" w:hAnsi="Times New Roman" w:eastAsia="黑体"/>
          <w:sz w:val="44"/>
          <w:highlight w:val="none"/>
        </w:rPr>
      </w:pPr>
      <w:r>
        <w:rPr>
          <w:rFonts w:ascii="Times New Roman" w:hAnsi="Times New Roman" w:eastAsia="黑体"/>
          <w:sz w:val="44"/>
          <w:highlight w:val="none"/>
        </w:rPr>
        <w:t>投 标 文 件</w:t>
      </w:r>
    </w:p>
    <w:p w14:paraId="6E693601">
      <w:pPr>
        <w:jc w:val="center"/>
        <w:rPr>
          <w:rFonts w:ascii="Times New Roman" w:hAnsi="Times New Roman" w:eastAsia="黑体"/>
          <w:sz w:val="44"/>
          <w:highlight w:val="none"/>
        </w:rPr>
      </w:pPr>
    </w:p>
    <w:p w14:paraId="6CE62083">
      <w:pPr>
        <w:rPr>
          <w:rFonts w:ascii="Times New Roman" w:hAnsi="Times New Roman" w:eastAsia="黑体"/>
          <w:sz w:val="28"/>
          <w:highlight w:val="none"/>
        </w:rPr>
      </w:pPr>
    </w:p>
    <w:p w14:paraId="4AAF7059">
      <w:pPr>
        <w:rPr>
          <w:rFonts w:ascii="Times New Roman" w:hAnsi="Times New Roman" w:eastAsia="黑体"/>
          <w:sz w:val="28"/>
          <w:highlight w:val="none"/>
        </w:rPr>
      </w:pPr>
    </w:p>
    <w:p w14:paraId="0CD4C329">
      <w:pPr>
        <w:rPr>
          <w:rFonts w:ascii="Times New Roman" w:hAnsi="Times New Roman" w:eastAsia="黑体"/>
          <w:sz w:val="28"/>
          <w:highlight w:val="none"/>
        </w:rPr>
      </w:pPr>
    </w:p>
    <w:p w14:paraId="2DA2A62D">
      <w:pPr>
        <w:rPr>
          <w:rFonts w:ascii="Times New Roman" w:hAnsi="Times New Roman" w:eastAsia="黑体"/>
          <w:sz w:val="28"/>
          <w:highlight w:val="none"/>
        </w:rPr>
      </w:pPr>
    </w:p>
    <w:p w14:paraId="1C54FB9B">
      <w:pPr>
        <w:rPr>
          <w:rFonts w:ascii="Times New Roman" w:hAnsi="Times New Roman" w:eastAsia="黑体"/>
          <w:sz w:val="28"/>
          <w:highlight w:val="none"/>
        </w:rPr>
      </w:pPr>
    </w:p>
    <w:p w14:paraId="5AF75669">
      <w:pPr>
        <w:rPr>
          <w:rFonts w:ascii="Times New Roman" w:hAnsi="Times New Roman" w:eastAsia="黑体"/>
          <w:sz w:val="28"/>
          <w:highlight w:val="none"/>
        </w:rPr>
      </w:pPr>
    </w:p>
    <w:p w14:paraId="26941096">
      <w:pPr>
        <w:rPr>
          <w:rFonts w:ascii="Times New Roman" w:hAnsi="Times New Roman" w:eastAsia="黑体"/>
          <w:sz w:val="28"/>
          <w:highlight w:val="none"/>
        </w:rPr>
      </w:pPr>
    </w:p>
    <w:p w14:paraId="63A5B6E7">
      <w:pPr>
        <w:rPr>
          <w:rFonts w:ascii="Times New Roman" w:hAnsi="Times New Roman" w:eastAsia="黑体"/>
          <w:sz w:val="28"/>
          <w:highlight w:val="none"/>
        </w:rPr>
      </w:pPr>
    </w:p>
    <w:p w14:paraId="7F51AB53">
      <w:pPr>
        <w:rPr>
          <w:rFonts w:ascii="Times New Roman" w:hAnsi="Times New Roman" w:eastAsia="黑体"/>
          <w:sz w:val="28"/>
          <w:highlight w:val="none"/>
        </w:rPr>
      </w:pPr>
    </w:p>
    <w:p w14:paraId="3C29A062">
      <w:pPr>
        <w:rPr>
          <w:rFonts w:ascii="Times New Roman" w:hAnsi="Times New Roman" w:eastAsia="黑体"/>
          <w:sz w:val="28"/>
          <w:highlight w:val="none"/>
        </w:rPr>
      </w:pPr>
    </w:p>
    <w:p w14:paraId="2057AFCF">
      <w:pPr>
        <w:spacing w:line="360" w:lineRule="auto"/>
        <w:rPr>
          <w:rFonts w:ascii="Times New Roman" w:hAnsi="Times New Roman" w:eastAsia="黑体"/>
          <w:sz w:val="28"/>
          <w:highlight w:val="none"/>
        </w:rPr>
      </w:pPr>
    </w:p>
    <w:p w14:paraId="026E22D6">
      <w:pPr>
        <w:spacing w:line="360" w:lineRule="auto"/>
        <w:ind w:firstLine="1120" w:firstLineChars="400"/>
        <w:rPr>
          <w:rFonts w:ascii="Times New Roman" w:hAnsi="Times New Roman" w:eastAsia="黑体"/>
          <w:sz w:val="28"/>
          <w:highlight w:val="none"/>
          <w:u w:val="single"/>
        </w:rPr>
      </w:pPr>
      <w:r>
        <w:rPr>
          <w:rFonts w:ascii="Times New Roman" w:hAnsi="Times New Roman" w:eastAsia="黑体"/>
          <w:sz w:val="28"/>
          <w:highlight w:val="none"/>
        </w:rPr>
        <w:t>投标人：</w:t>
      </w:r>
      <w:r>
        <w:rPr>
          <w:rFonts w:ascii="Times New Roman" w:hAnsi="Times New Roman"/>
          <w:highlight w:val="none"/>
          <w:u w:val="single"/>
        </w:rPr>
        <w:t xml:space="preserve">                                            </w:t>
      </w:r>
      <w:r>
        <w:rPr>
          <w:rFonts w:ascii="Times New Roman" w:hAnsi="Times New Roman" w:eastAsia="黑体"/>
          <w:sz w:val="28"/>
          <w:highlight w:val="none"/>
        </w:rPr>
        <w:t>（盖单位章）</w:t>
      </w:r>
    </w:p>
    <w:p w14:paraId="17221C8C">
      <w:pPr>
        <w:spacing w:line="360" w:lineRule="auto"/>
        <w:ind w:firstLine="1120" w:firstLineChars="400"/>
        <w:jc w:val="left"/>
        <w:rPr>
          <w:rFonts w:ascii="Times New Roman" w:hAnsi="Times New Roman" w:eastAsia="黑体"/>
          <w:sz w:val="28"/>
          <w:highlight w:val="none"/>
        </w:rPr>
      </w:pPr>
      <w:r>
        <w:rPr>
          <w:rFonts w:ascii="Times New Roman" w:hAnsi="Times New Roman" w:eastAsia="黑体"/>
          <w:sz w:val="28"/>
          <w:highlight w:val="none"/>
        </w:rPr>
        <w:t>法定代表人或其委托代理人：</w:t>
      </w:r>
      <w:r>
        <w:rPr>
          <w:rFonts w:ascii="Times New Roman" w:hAnsi="Times New Roman"/>
          <w:highlight w:val="none"/>
          <w:u w:val="single"/>
        </w:rPr>
        <w:t xml:space="preserve">       </w:t>
      </w:r>
      <w:r>
        <w:rPr>
          <w:rFonts w:ascii="Times New Roman" w:hAnsi="Times New Roman" w:eastAsia="黑体"/>
          <w:sz w:val="28"/>
          <w:highlight w:val="none"/>
        </w:rPr>
        <w:t>（签字</w:t>
      </w:r>
      <w:r>
        <w:rPr>
          <w:rFonts w:hint="eastAsia" w:ascii="Times New Roman" w:hAnsi="Times New Roman" w:eastAsia="黑体"/>
          <w:sz w:val="28"/>
          <w:highlight w:val="none"/>
        </w:rPr>
        <w:t>或盖章</w:t>
      </w:r>
      <w:r>
        <w:rPr>
          <w:rFonts w:ascii="Times New Roman" w:hAnsi="Times New Roman" w:eastAsia="黑体"/>
          <w:sz w:val="28"/>
          <w:highlight w:val="none"/>
        </w:rPr>
        <w:t>）</w:t>
      </w:r>
    </w:p>
    <w:p w14:paraId="1DB7944F">
      <w:pPr>
        <w:jc w:val="center"/>
        <w:rPr>
          <w:rFonts w:ascii="Times New Roman" w:hAnsi="Times New Roman" w:eastAsia="黑体"/>
          <w:sz w:val="28"/>
          <w:highlight w:val="none"/>
        </w:rPr>
      </w:pPr>
    </w:p>
    <w:p w14:paraId="72AD3329">
      <w:pPr>
        <w:spacing w:line="400" w:lineRule="exact"/>
        <w:jc w:val="center"/>
        <w:rPr>
          <w:rFonts w:ascii="Times New Roman" w:hAnsi="Times New Roman"/>
          <w:highlight w:val="none"/>
        </w:rPr>
      </w:pPr>
      <w:r>
        <w:rPr>
          <w:rFonts w:ascii="Times New Roman" w:hAnsi="Times New Roman"/>
          <w:highlight w:val="none"/>
          <w:u w:val="single"/>
        </w:rPr>
        <w:t xml:space="preserve">       </w:t>
      </w:r>
      <w:r>
        <w:rPr>
          <w:rFonts w:ascii="Times New Roman" w:hAnsi="Times New Roman" w:eastAsia="黑体"/>
          <w:sz w:val="28"/>
          <w:highlight w:val="none"/>
        </w:rPr>
        <w:t>年</w:t>
      </w:r>
      <w:r>
        <w:rPr>
          <w:rFonts w:ascii="Times New Roman" w:hAnsi="Times New Roman"/>
          <w:highlight w:val="none"/>
          <w:u w:val="single"/>
        </w:rPr>
        <w:t xml:space="preserve">       </w:t>
      </w:r>
      <w:r>
        <w:rPr>
          <w:rFonts w:ascii="Times New Roman" w:hAnsi="Times New Roman" w:eastAsia="黑体"/>
          <w:sz w:val="28"/>
          <w:highlight w:val="none"/>
        </w:rPr>
        <w:t>月</w:t>
      </w:r>
      <w:r>
        <w:rPr>
          <w:rFonts w:ascii="Times New Roman" w:hAnsi="Times New Roman"/>
          <w:highlight w:val="none"/>
          <w:u w:val="single"/>
        </w:rPr>
        <w:t xml:space="preserve">       </w:t>
      </w:r>
      <w:r>
        <w:rPr>
          <w:rFonts w:ascii="Times New Roman" w:hAnsi="Times New Roman" w:eastAsia="黑体"/>
          <w:sz w:val="28"/>
          <w:highlight w:val="none"/>
        </w:rPr>
        <w:t>日</w:t>
      </w:r>
    </w:p>
    <w:p w14:paraId="668BDC5A"/>
    <w:p w14:paraId="0111D214"/>
    <w:p w14:paraId="3890BD9F">
      <w:pPr>
        <w:rPr>
          <w:highlight w:val="none"/>
        </w:rPr>
      </w:pPr>
    </w:p>
    <w:p w14:paraId="0315844D">
      <w:pPr>
        <w:rPr>
          <w:highlight w:val="none"/>
        </w:rPr>
      </w:pPr>
    </w:p>
    <w:p w14:paraId="0E9FE6EC">
      <w:pPr>
        <w:rPr>
          <w:highlight w:val="none"/>
        </w:rPr>
      </w:pPr>
    </w:p>
    <w:p w14:paraId="2F80F298">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highlight w:val="none"/>
        </w:rPr>
      </w:pPr>
      <w:bookmarkStart w:id="1270" w:name="_Toc526001332"/>
      <w:r>
        <w:rPr>
          <w:rFonts w:ascii="Times New Roman" w:hAnsi="Times New Roman"/>
          <w:highlight w:val="none"/>
        </w:rPr>
        <w:br w:type="page"/>
      </w:r>
      <w:bookmarkStart w:id="1271" w:name="_Toc4491"/>
      <w:r>
        <w:rPr>
          <w:rFonts w:ascii="Times New Roman" w:hAnsi="Times New Roman"/>
          <w:highlight w:val="none"/>
        </w:rPr>
        <w:t>目录</w:t>
      </w:r>
      <w:bookmarkEnd w:id="1270"/>
      <w:bookmarkEnd w:id="1271"/>
    </w:p>
    <w:p w14:paraId="6E68D056">
      <w:pPr>
        <w:pStyle w:val="7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一、投标函及投标函附录</w:t>
      </w:r>
    </w:p>
    <w:p w14:paraId="180B149E">
      <w:pPr>
        <w:pStyle w:val="7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二、法定代表人身份证明（适用于无委托代理人的情况）、授权委托书（适用于有委托代理人的情况）</w:t>
      </w:r>
    </w:p>
    <w:p w14:paraId="046D22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三、关于投标保证金的承诺</w:t>
      </w:r>
    </w:p>
    <w:p w14:paraId="26AD84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四、</w:t>
      </w:r>
      <w:r>
        <w:rPr>
          <w:rFonts w:hint="eastAsia" w:ascii="宋体" w:hAnsi="宋体" w:cs="宋体"/>
          <w:szCs w:val="21"/>
          <w:highlight w:val="none"/>
          <w:lang w:eastAsia="zh-CN"/>
        </w:rPr>
        <w:t>投标报价清单</w:t>
      </w:r>
    </w:p>
    <w:p w14:paraId="280907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五、资格审查资料</w:t>
      </w:r>
    </w:p>
    <w:p w14:paraId="3380CA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六、</w:t>
      </w:r>
      <w:r>
        <w:rPr>
          <w:rFonts w:hint="eastAsia" w:ascii="宋体" w:hAnsi="宋体" w:cs="宋体"/>
          <w:sz w:val="21"/>
          <w:szCs w:val="21"/>
          <w:lang w:val="en-US" w:eastAsia="zh-CN"/>
        </w:rPr>
        <w:t>资信业绩</w:t>
      </w:r>
    </w:p>
    <w:p w14:paraId="4C0963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七、</w:t>
      </w:r>
      <w:r>
        <w:rPr>
          <w:rFonts w:hint="eastAsia" w:ascii="宋体" w:hAnsi="宋体" w:cs="宋体"/>
          <w:szCs w:val="21"/>
          <w:highlight w:val="none"/>
          <w:lang w:eastAsia="zh-CN"/>
        </w:rPr>
        <w:t>项目实施方案</w:t>
      </w:r>
    </w:p>
    <w:p w14:paraId="469EB9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八</w:t>
      </w:r>
      <w:r>
        <w:rPr>
          <w:rFonts w:hint="eastAsia" w:ascii="宋体" w:hAnsi="宋体" w:cs="宋体"/>
          <w:szCs w:val="21"/>
          <w:highlight w:val="none"/>
        </w:rPr>
        <w:t>、其他资料</w:t>
      </w:r>
    </w:p>
    <w:p w14:paraId="7490C767">
      <w:pPr>
        <w:spacing w:line="540" w:lineRule="exact"/>
        <w:rPr>
          <w:rFonts w:ascii="Times New Roman" w:hAnsi="Times New Roman" w:eastAsia="黑体"/>
          <w:sz w:val="20"/>
          <w:highlight w:val="none"/>
        </w:rPr>
      </w:pPr>
    </w:p>
    <w:p w14:paraId="16F4445E">
      <w:pPr>
        <w:spacing w:line="540" w:lineRule="exact"/>
        <w:rPr>
          <w:rFonts w:ascii="Times New Roman" w:hAnsi="Times New Roman" w:eastAsia="黑体"/>
          <w:sz w:val="20"/>
          <w:highlight w:val="none"/>
        </w:rPr>
      </w:pPr>
    </w:p>
    <w:p w14:paraId="6A976AE5">
      <w:pPr>
        <w:spacing w:line="540" w:lineRule="exact"/>
        <w:rPr>
          <w:rFonts w:ascii="Times New Roman" w:hAnsi="Times New Roman" w:eastAsia="黑体"/>
          <w:sz w:val="20"/>
          <w:highlight w:val="none"/>
        </w:rPr>
      </w:pPr>
    </w:p>
    <w:p w14:paraId="5FE1869C">
      <w:pPr>
        <w:spacing w:line="540" w:lineRule="exact"/>
        <w:rPr>
          <w:rFonts w:ascii="Times New Roman" w:hAnsi="Times New Roman" w:eastAsia="黑体"/>
          <w:sz w:val="20"/>
          <w:highlight w:val="none"/>
        </w:rPr>
      </w:pPr>
    </w:p>
    <w:p w14:paraId="5C6B993F">
      <w:pPr>
        <w:spacing w:line="540" w:lineRule="exact"/>
        <w:rPr>
          <w:rFonts w:ascii="Times New Roman" w:hAnsi="Times New Roman" w:eastAsia="黑体"/>
          <w:sz w:val="20"/>
          <w:highlight w:val="none"/>
        </w:rPr>
      </w:pPr>
    </w:p>
    <w:p w14:paraId="0EED1CF7">
      <w:pPr>
        <w:spacing w:line="540" w:lineRule="exact"/>
        <w:rPr>
          <w:rFonts w:ascii="Times New Roman" w:hAnsi="Times New Roman" w:eastAsia="黑体"/>
          <w:sz w:val="20"/>
          <w:highlight w:val="none"/>
        </w:rPr>
      </w:pPr>
    </w:p>
    <w:p w14:paraId="2735B01C">
      <w:pPr>
        <w:spacing w:line="540" w:lineRule="exact"/>
        <w:rPr>
          <w:rFonts w:ascii="Times New Roman" w:hAnsi="Times New Roman" w:eastAsia="黑体"/>
          <w:sz w:val="20"/>
          <w:highlight w:val="none"/>
        </w:rPr>
      </w:pPr>
    </w:p>
    <w:p w14:paraId="15C99EE4">
      <w:pPr>
        <w:spacing w:line="540" w:lineRule="exact"/>
        <w:rPr>
          <w:rFonts w:ascii="Times New Roman" w:hAnsi="Times New Roman" w:eastAsia="黑体"/>
          <w:sz w:val="20"/>
          <w:highlight w:val="none"/>
        </w:rPr>
      </w:pPr>
    </w:p>
    <w:p w14:paraId="607E22F8">
      <w:pPr>
        <w:spacing w:line="540" w:lineRule="exact"/>
      </w:pPr>
      <w:r>
        <w:rPr>
          <w:rFonts w:ascii="Times New Roman" w:hAnsi="Times New Roman" w:eastAsia="黑体"/>
          <w:sz w:val="20"/>
          <w:highlight w:val="none"/>
        </w:rPr>
        <w:br w:type="page"/>
      </w:r>
      <w:bookmarkStart w:id="1272" w:name="_Toc526001333"/>
      <w:r>
        <w:rPr>
          <w:rFonts w:hint="eastAsia" w:ascii="Times New Roman" w:hAnsi="Times New Roman"/>
          <w:highlight w:val="none"/>
          <w:lang w:val="en-US" w:eastAsia="zh-CN"/>
        </w:rPr>
        <w:t xml:space="preserve">                         </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一、投标函及投标函附录</w:t>
      </w:r>
      <w:bookmarkEnd w:id="1272"/>
    </w:p>
    <w:p w14:paraId="3D204697">
      <w:pPr>
        <w:pStyle w:val="4"/>
        <w:keepNext w:val="0"/>
        <w:keepLines w:val="0"/>
        <w:ind w:firstLine="137"/>
        <w:rPr>
          <w:rFonts w:ascii="Times New Roman" w:hAnsi="Times New Roman"/>
          <w:highlight w:val="none"/>
        </w:rPr>
      </w:pPr>
      <w:bookmarkStart w:id="1273" w:name="_Toc526001334"/>
      <w:r>
        <w:rPr>
          <w:rFonts w:ascii="Times New Roman" w:hAnsi="Times New Roman"/>
          <w:highlight w:val="none"/>
        </w:rPr>
        <w:t>（一）投标函</w:t>
      </w:r>
      <w:bookmarkEnd w:id="1273"/>
    </w:p>
    <w:p w14:paraId="5C8AA43B">
      <w:pPr>
        <w:spacing w:line="440" w:lineRule="exact"/>
        <w:rPr>
          <w:rFonts w:ascii="Times New Roman" w:hAnsi="Times New Roman"/>
          <w:szCs w:val="21"/>
          <w:highlight w:val="none"/>
        </w:rPr>
      </w:pPr>
      <w:r>
        <w:rPr>
          <w:rFonts w:ascii="Times New Roman" w:hAnsi="Times New Roman"/>
          <w:szCs w:val="21"/>
          <w:highlight w:val="none"/>
          <w:u w:val="single"/>
        </w:rPr>
        <w:t xml:space="preserve">                  </w:t>
      </w:r>
      <w:r>
        <w:rPr>
          <w:rFonts w:ascii="Times New Roman" w:hAnsi="Times New Roman"/>
          <w:szCs w:val="21"/>
          <w:highlight w:val="none"/>
        </w:rPr>
        <w:t>（招标人名称）：</w:t>
      </w:r>
    </w:p>
    <w:p w14:paraId="468BEDD5">
      <w:pPr>
        <w:spacing w:line="400" w:lineRule="exact"/>
        <w:ind w:firstLine="405"/>
        <w:rPr>
          <w:rFonts w:hint="eastAsia" w:ascii="宋体" w:hAnsi="宋体" w:eastAsia="宋体" w:cs="宋体"/>
          <w:szCs w:val="21"/>
          <w:highlight w:val="none"/>
        </w:rPr>
      </w:pPr>
      <w:r>
        <w:rPr>
          <w:rFonts w:hint="eastAsia" w:ascii="宋体" w:hAnsi="宋体" w:eastAsia="宋体" w:cs="宋体"/>
          <w:szCs w:val="21"/>
          <w:highlight w:val="none"/>
        </w:rPr>
        <w:t>1．我方已仔细研究了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（项目名称）招标项目招标文件的全部内容，愿意以人民币（大写）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）的投标总报价，服务期限：</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，按合同约定完成工作。</w:t>
      </w:r>
    </w:p>
    <w:p w14:paraId="3A784013">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 我方的投标文件包括下列内容：</w:t>
      </w:r>
    </w:p>
    <w:p w14:paraId="4DD2C1BB">
      <w:pPr>
        <w:spacing w:line="400" w:lineRule="exact"/>
        <w:ind w:firstLine="405"/>
        <w:rPr>
          <w:rFonts w:hint="eastAsia" w:ascii="宋体" w:hAnsi="宋体" w:eastAsia="宋体" w:cs="宋体"/>
          <w:szCs w:val="21"/>
          <w:highlight w:val="none"/>
        </w:rPr>
      </w:pPr>
      <w:r>
        <w:rPr>
          <w:rFonts w:hint="eastAsia" w:ascii="宋体" w:hAnsi="宋体" w:eastAsia="宋体" w:cs="宋体"/>
          <w:szCs w:val="21"/>
          <w:highlight w:val="none"/>
        </w:rPr>
        <w:t>（1）投标函</w:t>
      </w:r>
      <w:r>
        <w:rPr>
          <w:rFonts w:hint="eastAsia" w:ascii="宋体" w:hAnsi="宋体" w:eastAsia="宋体" w:cs="宋体"/>
          <w:highlight w:val="none"/>
        </w:rPr>
        <w:t>及投标函附录</w:t>
      </w:r>
      <w:r>
        <w:rPr>
          <w:rFonts w:hint="eastAsia" w:ascii="宋体" w:hAnsi="宋体" w:eastAsia="宋体" w:cs="宋体"/>
          <w:szCs w:val="21"/>
          <w:highlight w:val="none"/>
        </w:rPr>
        <w:t>；</w:t>
      </w:r>
    </w:p>
    <w:p w14:paraId="63587D17">
      <w:pPr>
        <w:spacing w:line="400" w:lineRule="exact"/>
        <w:ind w:firstLine="405"/>
        <w:rPr>
          <w:rFonts w:hint="eastAsia" w:ascii="宋体" w:hAnsi="宋体" w:eastAsia="宋体" w:cs="宋体"/>
          <w:szCs w:val="21"/>
          <w:highlight w:val="none"/>
        </w:rPr>
      </w:pPr>
      <w:r>
        <w:rPr>
          <w:rFonts w:hint="eastAsia" w:ascii="宋体" w:hAnsi="宋体" w:eastAsia="宋体" w:cs="宋体"/>
          <w:szCs w:val="21"/>
          <w:highlight w:val="none"/>
        </w:rPr>
        <w:t>（2）法定代表人身份证明或授权委托书；</w:t>
      </w:r>
    </w:p>
    <w:p w14:paraId="185F9AF8">
      <w:pPr>
        <w:spacing w:line="400" w:lineRule="exact"/>
        <w:ind w:firstLine="405"/>
        <w:rPr>
          <w:rFonts w:hint="eastAsia" w:ascii="宋体" w:hAnsi="宋体" w:eastAsia="宋体" w:cs="宋体"/>
          <w:szCs w:val="21"/>
          <w:highlight w:val="none"/>
        </w:rPr>
      </w:pPr>
      <w:r>
        <w:rPr>
          <w:rFonts w:hint="eastAsia" w:ascii="宋体" w:hAnsi="宋体" w:eastAsia="宋体" w:cs="宋体"/>
          <w:szCs w:val="21"/>
          <w:highlight w:val="none"/>
        </w:rPr>
        <w:t>（3）关于投标保证金的承诺；</w:t>
      </w:r>
    </w:p>
    <w:p w14:paraId="4ED55068">
      <w:pPr>
        <w:spacing w:line="400" w:lineRule="exact"/>
        <w:ind w:firstLine="405"/>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投标报价清单</w:t>
      </w:r>
      <w:r>
        <w:rPr>
          <w:rFonts w:hint="eastAsia" w:ascii="宋体" w:hAnsi="宋体" w:eastAsia="宋体" w:cs="宋体"/>
          <w:szCs w:val="21"/>
          <w:highlight w:val="none"/>
        </w:rPr>
        <w:t>；</w:t>
      </w:r>
    </w:p>
    <w:p w14:paraId="501913A7">
      <w:pPr>
        <w:spacing w:line="400" w:lineRule="exact"/>
        <w:ind w:firstLine="405"/>
        <w:rPr>
          <w:rFonts w:hint="eastAsia" w:ascii="宋体" w:hAnsi="宋体" w:eastAsia="宋体" w:cs="宋体"/>
          <w:szCs w:val="21"/>
          <w:highlight w:val="none"/>
        </w:rPr>
      </w:pPr>
      <w:r>
        <w:rPr>
          <w:rFonts w:hint="eastAsia" w:ascii="宋体" w:hAnsi="宋体" w:eastAsia="宋体" w:cs="宋体"/>
          <w:szCs w:val="21"/>
          <w:highlight w:val="none"/>
        </w:rPr>
        <w:t>（5）资格审查资料；</w:t>
      </w:r>
    </w:p>
    <w:p w14:paraId="799D50B8">
      <w:pPr>
        <w:spacing w:line="400" w:lineRule="exact"/>
        <w:ind w:firstLine="405"/>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 w:val="21"/>
          <w:szCs w:val="21"/>
          <w:lang w:val="en-US" w:eastAsia="zh-CN"/>
        </w:rPr>
        <w:t>资信业绩</w:t>
      </w:r>
    </w:p>
    <w:p w14:paraId="500ACB5A">
      <w:pPr>
        <w:spacing w:line="400" w:lineRule="exact"/>
        <w:ind w:firstLine="405"/>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w:t>
      </w:r>
      <w:r>
        <w:rPr>
          <w:rFonts w:hint="eastAsia" w:ascii="宋体" w:hAnsi="宋体" w:eastAsia="宋体" w:cs="宋体"/>
          <w:szCs w:val="21"/>
          <w:highlight w:val="none"/>
          <w:lang w:eastAsia="zh-CN"/>
        </w:rPr>
        <w:t>项目实施方案</w:t>
      </w:r>
      <w:r>
        <w:rPr>
          <w:rFonts w:hint="eastAsia" w:ascii="宋体" w:hAnsi="宋体" w:eastAsia="宋体" w:cs="宋体"/>
          <w:szCs w:val="21"/>
          <w:highlight w:val="none"/>
        </w:rPr>
        <w:t>；</w:t>
      </w:r>
    </w:p>
    <w:p w14:paraId="40195344">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）其他资料。投标文件的上述组成部分如存在内容不一致的，以投标函为准。</w:t>
      </w:r>
    </w:p>
    <w:p w14:paraId="2737CC87">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3．我方承诺在招标文件规定的投标有效期内不撤销投标文件。</w:t>
      </w:r>
    </w:p>
    <w:p w14:paraId="306C4EF8">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4．如我方中标，我方承诺：</w:t>
      </w:r>
    </w:p>
    <w:p w14:paraId="3D375BEA">
      <w:pPr>
        <w:spacing w:line="440" w:lineRule="exact"/>
        <w:ind w:left="945" w:leftChars="400" w:hanging="105" w:hangingChars="50"/>
        <w:rPr>
          <w:rFonts w:hint="eastAsia" w:ascii="宋体" w:hAnsi="宋体" w:eastAsia="宋体" w:cs="宋体"/>
          <w:szCs w:val="21"/>
          <w:highlight w:val="none"/>
        </w:rPr>
      </w:pPr>
      <w:r>
        <w:rPr>
          <w:rFonts w:hint="eastAsia" w:ascii="宋体" w:hAnsi="宋体" w:eastAsia="宋体" w:cs="宋体"/>
          <w:szCs w:val="21"/>
          <w:highlight w:val="none"/>
        </w:rPr>
        <w:t>（1）在收到中标通知书后，在中标通知书规定的期限内与你方签订合同；</w:t>
      </w:r>
    </w:p>
    <w:p w14:paraId="6B893944">
      <w:pPr>
        <w:spacing w:line="440" w:lineRule="exact"/>
        <w:ind w:left="945" w:leftChars="400" w:hanging="105" w:hangingChars="50"/>
        <w:rPr>
          <w:rFonts w:hint="eastAsia" w:ascii="宋体" w:hAnsi="宋体" w:eastAsia="宋体" w:cs="宋体"/>
          <w:szCs w:val="21"/>
          <w:highlight w:val="none"/>
        </w:rPr>
      </w:pPr>
      <w:r>
        <w:rPr>
          <w:rFonts w:hint="eastAsia" w:ascii="宋体" w:hAnsi="宋体" w:eastAsia="宋体" w:cs="宋体"/>
          <w:szCs w:val="21"/>
          <w:highlight w:val="none"/>
        </w:rPr>
        <w:t>（2）在签订合同时不向你方提出附加条件；</w:t>
      </w:r>
    </w:p>
    <w:p w14:paraId="4668C310">
      <w:pPr>
        <w:spacing w:line="440" w:lineRule="exact"/>
        <w:ind w:left="945" w:leftChars="400" w:hanging="105" w:hangingChars="50"/>
        <w:rPr>
          <w:rFonts w:hint="eastAsia" w:ascii="宋体" w:hAnsi="宋体" w:eastAsia="宋体" w:cs="宋体"/>
          <w:szCs w:val="21"/>
          <w:highlight w:val="none"/>
        </w:rPr>
      </w:pPr>
      <w:r>
        <w:rPr>
          <w:rFonts w:hint="eastAsia" w:ascii="宋体" w:hAnsi="宋体" w:eastAsia="宋体" w:cs="宋体"/>
          <w:szCs w:val="21"/>
          <w:highlight w:val="none"/>
        </w:rPr>
        <w:t>（3）按照招标文件要求提交履约保证金；</w:t>
      </w:r>
    </w:p>
    <w:p w14:paraId="3D355874">
      <w:pPr>
        <w:spacing w:line="440" w:lineRule="exact"/>
        <w:ind w:left="945" w:leftChars="400" w:hanging="105" w:hangingChars="50"/>
        <w:rPr>
          <w:rFonts w:hint="eastAsia" w:ascii="宋体" w:hAnsi="宋体" w:eastAsia="宋体" w:cs="宋体"/>
          <w:szCs w:val="21"/>
          <w:highlight w:val="none"/>
        </w:rPr>
      </w:pPr>
      <w:r>
        <w:rPr>
          <w:rFonts w:hint="eastAsia" w:ascii="宋体" w:hAnsi="宋体" w:eastAsia="宋体" w:cs="宋体"/>
          <w:szCs w:val="21"/>
          <w:highlight w:val="none"/>
        </w:rPr>
        <w:t>（4）在合同约定的期限内完成合同规定的全部义务。</w:t>
      </w:r>
    </w:p>
    <w:p w14:paraId="357428E4">
      <w:pPr>
        <w:spacing w:line="440" w:lineRule="exact"/>
        <w:ind w:firstLine="420" w:firstLineChars="200"/>
        <w:rPr>
          <w:rFonts w:ascii="Times New Roman" w:hAnsi="Times New Roman"/>
          <w:szCs w:val="21"/>
          <w:highlight w:val="none"/>
        </w:rPr>
      </w:pPr>
      <w:r>
        <w:rPr>
          <w:rFonts w:hint="eastAsia" w:ascii="宋体" w:hAnsi="宋体" w:eastAsia="宋体" w:cs="宋体"/>
          <w:szCs w:val="21"/>
          <w:highlight w:val="none"/>
        </w:rPr>
        <w:t>5．我方在此声明，所递交的投标文件及有关资料内容完整、真实和准确，且不存在第二章“投标人须知”第1.4.3项规定的任何一种情形。</w:t>
      </w:r>
    </w:p>
    <w:p w14:paraId="31C30EC5">
      <w:pPr>
        <w:spacing w:line="440" w:lineRule="exact"/>
        <w:ind w:firstLine="420" w:firstLineChars="200"/>
        <w:rPr>
          <w:rFonts w:ascii="Times New Roman" w:hAnsi="Times New Roman"/>
          <w:szCs w:val="21"/>
          <w:highlight w:val="none"/>
        </w:rPr>
      </w:pPr>
      <w:r>
        <w:rPr>
          <w:rFonts w:ascii="Times New Roman" w:hAnsi="Times New Roman"/>
          <w:szCs w:val="21"/>
          <w:highlight w:val="none"/>
        </w:rPr>
        <w:t>6．</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rPr>
        <w:t>（其他补充说明）。</w:t>
      </w:r>
    </w:p>
    <w:p w14:paraId="237FE9EE">
      <w:pPr>
        <w:spacing w:line="440" w:lineRule="exact"/>
        <w:ind w:firstLine="2520" w:firstLineChars="1200"/>
        <w:jc w:val="left"/>
        <w:rPr>
          <w:rFonts w:ascii="Times New Roman" w:hAnsi="Times New Roman"/>
          <w:szCs w:val="21"/>
          <w:highlight w:val="none"/>
        </w:rPr>
      </w:pPr>
      <w:r>
        <w:rPr>
          <w:rFonts w:ascii="Times New Roman" w:hAnsi="Times New Roman"/>
          <w:szCs w:val="21"/>
          <w:highlight w:val="none"/>
        </w:rPr>
        <w:t>投 标 人：</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rPr>
        <w:t>（盖单位章）</w:t>
      </w:r>
    </w:p>
    <w:p w14:paraId="586682CB">
      <w:pPr>
        <w:spacing w:line="440" w:lineRule="exact"/>
        <w:jc w:val="left"/>
        <w:rPr>
          <w:rFonts w:ascii="Times New Roman" w:hAnsi="Times New Roman"/>
          <w:szCs w:val="21"/>
          <w:highlight w:val="none"/>
        </w:rPr>
      </w:pPr>
      <w:r>
        <w:rPr>
          <w:rFonts w:ascii="Times New Roman" w:hAnsi="Times New Roman"/>
          <w:highlight w:val="none"/>
        </w:rPr>
        <w:t xml:space="preserve">                        法定代表人</w:t>
      </w:r>
      <w:r>
        <w:rPr>
          <w:rFonts w:ascii="Times New Roman" w:hAnsi="Times New Roman"/>
          <w:szCs w:val="21"/>
          <w:highlight w:val="none"/>
        </w:rPr>
        <w:t>或其委托代理人：</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rPr>
        <w:t>（签字</w:t>
      </w:r>
      <w:r>
        <w:rPr>
          <w:rFonts w:hint="eastAsia" w:ascii="Times New Roman" w:hAnsi="Times New Roman"/>
          <w:szCs w:val="21"/>
          <w:highlight w:val="none"/>
        </w:rPr>
        <w:t>或盖章</w:t>
      </w:r>
      <w:r>
        <w:rPr>
          <w:rFonts w:ascii="Times New Roman" w:hAnsi="Times New Roman"/>
          <w:szCs w:val="21"/>
          <w:highlight w:val="none"/>
        </w:rPr>
        <w:t>）</w:t>
      </w:r>
    </w:p>
    <w:p w14:paraId="74210225">
      <w:pPr>
        <w:spacing w:line="440" w:lineRule="exact"/>
        <w:ind w:firstLine="2520" w:firstLineChars="1200"/>
        <w:jc w:val="left"/>
        <w:rPr>
          <w:rFonts w:ascii="Times New Roman" w:hAnsi="Times New Roman"/>
          <w:szCs w:val="21"/>
          <w:highlight w:val="none"/>
        </w:rPr>
      </w:pPr>
      <w:r>
        <w:rPr>
          <w:rFonts w:ascii="Times New Roman" w:hAnsi="Times New Roman"/>
          <w:szCs w:val="21"/>
          <w:highlight w:val="none"/>
        </w:rPr>
        <w:t>地    址：</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14:paraId="6DC030B3">
      <w:pPr>
        <w:spacing w:line="440" w:lineRule="exact"/>
        <w:ind w:firstLine="2520" w:firstLineChars="1200"/>
        <w:jc w:val="left"/>
        <w:rPr>
          <w:rFonts w:ascii="Times New Roman" w:hAnsi="Times New Roman"/>
          <w:szCs w:val="21"/>
          <w:highlight w:val="none"/>
        </w:rPr>
      </w:pPr>
      <w:r>
        <w:rPr>
          <w:rFonts w:ascii="Times New Roman" w:hAnsi="Times New Roman"/>
          <w:szCs w:val="21"/>
          <w:highlight w:val="none"/>
        </w:rPr>
        <w:t>网    址：</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14:paraId="2B5EF550">
      <w:pPr>
        <w:spacing w:line="440" w:lineRule="exact"/>
        <w:ind w:firstLine="2520" w:firstLineChars="1200"/>
        <w:jc w:val="left"/>
        <w:rPr>
          <w:rFonts w:ascii="Times New Roman" w:hAnsi="Times New Roman"/>
          <w:szCs w:val="21"/>
          <w:highlight w:val="none"/>
        </w:rPr>
      </w:pPr>
      <w:r>
        <w:rPr>
          <w:rFonts w:ascii="Times New Roman" w:hAnsi="Times New Roman"/>
          <w:szCs w:val="21"/>
          <w:highlight w:val="none"/>
        </w:rPr>
        <w:t>电    话：</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14:paraId="16D2C54C">
      <w:pPr>
        <w:spacing w:line="440" w:lineRule="exact"/>
        <w:ind w:firstLine="2520" w:firstLineChars="1200"/>
        <w:jc w:val="left"/>
        <w:rPr>
          <w:rFonts w:ascii="Times New Roman" w:hAnsi="Times New Roman"/>
          <w:szCs w:val="21"/>
          <w:highlight w:val="none"/>
        </w:rPr>
      </w:pPr>
      <w:r>
        <w:rPr>
          <w:rFonts w:ascii="Times New Roman" w:hAnsi="Times New Roman"/>
          <w:szCs w:val="21"/>
          <w:highlight w:val="none"/>
        </w:rPr>
        <w:t>传    真：</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14:paraId="6FC5BD44">
      <w:pPr>
        <w:spacing w:line="440" w:lineRule="exact"/>
        <w:ind w:firstLine="2520" w:firstLineChars="1200"/>
        <w:jc w:val="left"/>
        <w:rPr>
          <w:rFonts w:ascii="Times New Roman" w:hAnsi="Times New Roman"/>
          <w:szCs w:val="21"/>
          <w:highlight w:val="none"/>
        </w:rPr>
      </w:pPr>
      <w:r>
        <w:rPr>
          <w:rFonts w:ascii="Times New Roman" w:hAnsi="Times New Roman"/>
          <w:szCs w:val="21"/>
          <w:highlight w:val="none"/>
        </w:rPr>
        <w:t>邮政编码：</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14:paraId="25D64FA8">
      <w:pPr>
        <w:spacing w:line="440" w:lineRule="exact"/>
        <w:ind w:firstLine="4725" w:firstLineChars="2250"/>
        <w:jc w:val="right"/>
        <w:rPr>
          <w:rFonts w:ascii="Times New Roman" w:hAnsi="Times New Roman" w:eastAsia="黑体"/>
          <w:sz w:val="20"/>
          <w:highlight w:val="none"/>
        </w:rPr>
      </w:pPr>
      <w:r>
        <w:rPr>
          <w:rFonts w:ascii="Times New Roman" w:hAnsi="Times New Roman"/>
          <w:highlight w:val="none"/>
          <w:u w:val="single"/>
        </w:rPr>
        <w:t xml:space="preserve">      </w:t>
      </w:r>
      <w:r>
        <w:rPr>
          <w:rFonts w:ascii="Times New Roman" w:hAnsi="Times New Roman"/>
          <w:szCs w:val="21"/>
          <w:highlight w:val="none"/>
        </w:rPr>
        <w:t>年</w:t>
      </w:r>
      <w:r>
        <w:rPr>
          <w:rFonts w:ascii="Times New Roman" w:hAnsi="Times New Roman"/>
          <w:highlight w:val="none"/>
          <w:u w:val="single"/>
        </w:rPr>
        <w:t xml:space="preserve">    </w:t>
      </w:r>
      <w:r>
        <w:rPr>
          <w:rFonts w:ascii="Times New Roman" w:hAnsi="Times New Roman"/>
          <w:szCs w:val="21"/>
          <w:highlight w:val="none"/>
        </w:rPr>
        <w:t>月</w:t>
      </w:r>
      <w:r>
        <w:rPr>
          <w:rFonts w:ascii="Times New Roman" w:hAnsi="Times New Roman"/>
          <w:highlight w:val="none"/>
          <w:u w:val="single"/>
        </w:rPr>
        <w:t xml:space="preserve">    </w:t>
      </w:r>
      <w:r>
        <w:rPr>
          <w:rFonts w:ascii="Times New Roman" w:hAnsi="Times New Roman"/>
          <w:szCs w:val="21"/>
          <w:highlight w:val="none"/>
        </w:rPr>
        <w:t>日</w:t>
      </w:r>
      <w:r>
        <w:rPr>
          <w:rFonts w:ascii="Times New Roman" w:hAnsi="Times New Roman" w:eastAsia="黑体"/>
          <w:sz w:val="20"/>
          <w:highlight w:val="none"/>
        </w:rPr>
        <w:br w:type="page"/>
      </w:r>
    </w:p>
    <w:p w14:paraId="2F9579A4">
      <w:pPr>
        <w:pStyle w:val="4"/>
        <w:keepNext w:val="0"/>
        <w:keepLines w:val="0"/>
        <w:ind w:firstLine="137"/>
        <w:rPr>
          <w:rFonts w:ascii="Times New Roman" w:hAnsi="Times New Roman"/>
          <w:highlight w:val="none"/>
        </w:rPr>
      </w:pPr>
      <w:bookmarkStart w:id="1274" w:name="_Toc526001335"/>
      <w:r>
        <w:rPr>
          <w:rFonts w:ascii="Times New Roman" w:hAnsi="Times New Roman"/>
          <w:highlight w:val="none"/>
        </w:rPr>
        <w:t>（二）投标函附录</w:t>
      </w:r>
      <w:bookmarkEnd w:id="1274"/>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126"/>
        <w:gridCol w:w="5045"/>
        <w:gridCol w:w="1157"/>
      </w:tblGrid>
      <w:tr w14:paraId="5280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14:paraId="18E0C85A">
            <w:pPr>
              <w:jc w:val="center"/>
              <w:rPr>
                <w:rFonts w:ascii="Times New Roman" w:hAnsi="Times New Roman"/>
                <w:bCs/>
                <w:highlight w:val="none"/>
              </w:rPr>
            </w:pPr>
            <w:r>
              <w:rPr>
                <w:rFonts w:hint="eastAsia" w:ascii="Times New Roman" w:hAnsi="Times New Roman"/>
                <w:bCs/>
                <w:highlight w:val="none"/>
              </w:rPr>
              <w:t>序号</w:t>
            </w:r>
          </w:p>
        </w:tc>
        <w:tc>
          <w:tcPr>
            <w:tcW w:w="1152" w:type="pct"/>
            <w:tcBorders>
              <w:top w:val="single" w:color="auto" w:sz="4" w:space="0"/>
              <w:left w:val="single" w:color="auto" w:sz="4" w:space="0"/>
              <w:bottom w:val="single" w:color="auto" w:sz="4" w:space="0"/>
              <w:right w:val="single" w:color="auto" w:sz="4" w:space="0"/>
            </w:tcBorders>
            <w:noWrap w:val="0"/>
            <w:vAlign w:val="center"/>
          </w:tcPr>
          <w:p w14:paraId="2AEA8310">
            <w:pPr>
              <w:jc w:val="center"/>
              <w:rPr>
                <w:rFonts w:ascii="Times New Roman" w:hAnsi="Times New Roman"/>
                <w:bCs/>
                <w:highlight w:val="none"/>
              </w:rPr>
            </w:pPr>
            <w:r>
              <w:rPr>
                <w:rFonts w:hint="eastAsia" w:ascii="Times New Roman" w:hAnsi="Times New Roman"/>
                <w:bCs/>
                <w:highlight w:val="none"/>
              </w:rPr>
              <w:t>条款名称</w:t>
            </w:r>
          </w:p>
        </w:tc>
        <w:tc>
          <w:tcPr>
            <w:tcW w:w="2733" w:type="pct"/>
            <w:tcBorders>
              <w:top w:val="single" w:color="auto" w:sz="4" w:space="0"/>
              <w:left w:val="single" w:color="auto" w:sz="4" w:space="0"/>
              <w:bottom w:val="single" w:color="auto" w:sz="4" w:space="0"/>
              <w:right w:val="single" w:color="auto" w:sz="4" w:space="0"/>
            </w:tcBorders>
            <w:noWrap w:val="0"/>
            <w:vAlign w:val="center"/>
          </w:tcPr>
          <w:p w14:paraId="283C277C">
            <w:pPr>
              <w:jc w:val="center"/>
              <w:rPr>
                <w:rFonts w:ascii="Times New Roman" w:hAnsi="Times New Roman"/>
                <w:bCs/>
                <w:highlight w:val="none"/>
              </w:rPr>
            </w:pPr>
            <w:r>
              <w:rPr>
                <w:rFonts w:hint="eastAsia" w:ascii="Times New Roman" w:hAnsi="Times New Roman"/>
                <w:bCs/>
                <w:highlight w:val="none"/>
              </w:rPr>
              <w:t>约定内容</w:t>
            </w:r>
          </w:p>
        </w:tc>
        <w:tc>
          <w:tcPr>
            <w:tcW w:w="627" w:type="pct"/>
            <w:tcBorders>
              <w:top w:val="single" w:color="auto" w:sz="4" w:space="0"/>
              <w:left w:val="single" w:color="auto" w:sz="4" w:space="0"/>
              <w:bottom w:val="single" w:color="auto" w:sz="4" w:space="0"/>
              <w:right w:val="single" w:color="auto" w:sz="4" w:space="0"/>
            </w:tcBorders>
            <w:noWrap w:val="0"/>
            <w:vAlign w:val="center"/>
          </w:tcPr>
          <w:p w14:paraId="33BF638D">
            <w:pPr>
              <w:jc w:val="center"/>
              <w:rPr>
                <w:rFonts w:ascii="Times New Roman" w:hAnsi="Times New Roman"/>
                <w:bCs/>
                <w:highlight w:val="none"/>
              </w:rPr>
            </w:pPr>
            <w:r>
              <w:rPr>
                <w:rFonts w:hint="eastAsia" w:ascii="Times New Roman" w:hAnsi="Times New Roman"/>
                <w:bCs/>
                <w:highlight w:val="none"/>
              </w:rPr>
              <w:t>备注</w:t>
            </w:r>
          </w:p>
        </w:tc>
      </w:tr>
      <w:tr w14:paraId="2579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14:paraId="0F45FE52">
            <w:pPr>
              <w:jc w:val="center"/>
              <w:rPr>
                <w:rFonts w:ascii="Times New Roman" w:hAnsi="Times New Roman"/>
                <w:bCs/>
                <w:highlight w:val="none"/>
              </w:rPr>
            </w:pPr>
            <w:r>
              <w:rPr>
                <w:rFonts w:hint="eastAsia" w:ascii="Times New Roman" w:hAnsi="Times New Roman"/>
                <w:bCs/>
                <w:highlight w:val="none"/>
              </w:rPr>
              <w:t>1</w:t>
            </w:r>
          </w:p>
        </w:tc>
        <w:tc>
          <w:tcPr>
            <w:tcW w:w="1152" w:type="pct"/>
            <w:tcBorders>
              <w:top w:val="single" w:color="auto" w:sz="4" w:space="0"/>
              <w:left w:val="single" w:color="auto" w:sz="4" w:space="0"/>
              <w:bottom w:val="single" w:color="auto" w:sz="4" w:space="0"/>
              <w:right w:val="single" w:color="auto" w:sz="4" w:space="0"/>
            </w:tcBorders>
            <w:noWrap w:val="0"/>
            <w:vAlign w:val="center"/>
          </w:tcPr>
          <w:p w14:paraId="7ED3DEF7">
            <w:pPr>
              <w:jc w:val="center"/>
              <w:rPr>
                <w:rFonts w:ascii="Times New Roman" w:hAnsi="Times New Roman"/>
                <w:bCs/>
                <w:highlight w:val="none"/>
              </w:rPr>
            </w:pPr>
            <w:r>
              <w:rPr>
                <w:rFonts w:hint="eastAsia"/>
                <w:color w:val="auto"/>
              </w:rPr>
              <w:t>项目负责人</w:t>
            </w:r>
          </w:p>
        </w:tc>
        <w:tc>
          <w:tcPr>
            <w:tcW w:w="2733" w:type="pct"/>
            <w:tcBorders>
              <w:top w:val="single" w:color="auto" w:sz="4" w:space="0"/>
              <w:left w:val="single" w:color="auto" w:sz="4" w:space="0"/>
              <w:bottom w:val="single" w:color="auto" w:sz="4" w:space="0"/>
              <w:right w:val="single" w:color="auto" w:sz="4" w:space="0"/>
            </w:tcBorders>
            <w:noWrap w:val="0"/>
            <w:vAlign w:val="center"/>
          </w:tcPr>
          <w:p w14:paraId="2809FC77">
            <w:pPr>
              <w:jc w:val="left"/>
              <w:rPr>
                <w:rFonts w:ascii="Times New Roman" w:hAnsi="Times New Roman"/>
                <w:bCs/>
                <w:highlight w:val="none"/>
              </w:rPr>
            </w:pPr>
            <w:r>
              <w:rPr>
                <w:rFonts w:hint="eastAsia"/>
                <w:color w:val="auto"/>
              </w:rPr>
              <w:t>姓名：</w:t>
            </w:r>
            <w:r>
              <w:rPr>
                <w:color w:val="auto"/>
              </w:rPr>
              <w:t xml:space="preserve">  </w:t>
            </w:r>
          </w:p>
        </w:tc>
        <w:tc>
          <w:tcPr>
            <w:tcW w:w="627" w:type="pct"/>
            <w:tcBorders>
              <w:top w:val="single" w:color="auto" w:sz="4" w:space="0"/>
              <w:left w:val="single" w:color="auto" w:sz="4" w:space="0"/>
              <w:bottom w:val="single" w:color="auto" w:sz="4" w:space="0"/>
              <w:right w:val="single" w:color="auto" w:sz="4" w:space="0"/>
            </w:tcBorders>
            <w:noWrap w:val="0"/>
            <w:vAlign w:val="center"/>
          </w:tcPr>
          <w:p w14:paraId="5D04CB6D">
            <w:pPr>
              <w:jc w:val="center"/>
              <w:rPr>
                <w:rFonts w:ascii="Times New Roman" w:hAnsi="Times New Roman"/>
                <w:bCs/>
                <w:highlight w:val="none"/>
              </w:rPr>
            </w:pPr>
          </w:p>
        </w:tc>
      </w:tr>
      <w:tr w14:paraId="30BF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14:paraId="0B5724F0">
            <w:pPr>
              <w:jc w:val="center"/>
              <w:rPr>
                <w:rFonts w:ascii="Times New Roman" w:hAnsi="Times New Roman"/>
                <w:bCs/>
                <w:highlight w:val="none"/>
              </w:rPr>
            </w:pPr>
            <w:r>
              <w:rPr>
                <w:rFonts w:hint="eastAsia" w:ascii="Times New Roman" w:hAnsi="Times New Roman"/>
                <w:bCs/>
                <w:highlight w:val="none"/>
              </w:rPr>
              <w:t>2</w:t>
            </w:r>
          </w:p>
        </w:tc>
        <w:tc>
          <w:tcPr>
            <w:tcW w:w="1152" w:type="pct"/>
            <w:tcBorders>
              <w:top w:val="single" w:color="auto" w:sz="4" w:space="0"/>
              <w:left w:val="single" w:color="auto" w:sz="4" w:space="0"/>
              <w:bottom w:val="single" w:color="auto" w:sz="4" w:space="0"/>
              <w:right w:val="single" w:color="auto" w:sz="4" w:space="0"/>
            </w:tcBorders>
            <w:noWrap w:val="0"/>
            <w:vAlign w:val="center"/>
          </w:tcPr>
          <w:p w14:paraId="02966A73">
            <w:pPr>
              <w:jc w:val="center"/>
              <w:rPr>
                <w:rFonts w:ascii="Times New Roman" w:hAnsi="Times New Roman"/>
                <w:bCs/>
                <w:highlight w:val="none"/>
              </w:rPr>
            </w:pPr>
            <w:r>
              <w:rPr>
                <w:rFonts w:hint="eastAsia" w:ascii="Times New Roman" w:hAnsi="Times New Roman"/>
                <w:bCs/>
                <w:highlight w:val="none"/>
              </w:rPr>
              <w:t>服务期限</w:t>
            </w:r>
          </w:p>
        </w:tc>
        <w:tc>
          <w:tcPr>
            <w:tcW w:w="2733" w:type="pct"/>
            <w:tcBorders>
              <w:top w:val="single" w:color="auto" w:sz="4" w:space="0"/>
              <w:left w:val="single" w:color="auto" w:sz="4" w:space="0"/>
              <w:bottom w:val="single" w:color="auto" w:sz="4" w:space="0"/>
              <w:right w:val="single" w:color="auto" w:sz="4" w:space="0"/>
            </w:tcBorders>
            <w:noWrap w:val="0"/>
            <w:vAlign w:val="center"/>
          </w:tcPr>
          <w:p w14:paraId="1C625D30">
            <w:pPr>
              <w:jc w:val="left"/>
              <w:rPr>
                <w:rFonts w:ascii="Times New Roman" w:hAnsi="Times New Roman"/>
                <w:bCs/>
                <w:highlight w:val="none"/>
              </w:rPr>
            </w:pPr>
            <w:r>
              <w:rPr>
                <w:rFonts w:hint="eastAsia" w:ascii="Times New Roman" w:hAnsi="Times New Roman"/>
                <w:bCs/>
                <w:highlight w:val="none"/>
              </w:rPr>
              <w:t>按招标文件要求</w:t>
            </w:r>
          </w:p>
        </w:tc>
        <w:tc>
          <w:tcPr>
            <w:tcW w:w="627" w:type="pct"/>
            <w:tcBorders>
              <w:top w:val="single" w:color="auto" w:sz="4" w:space="0"/>
              <w:left w:val="single" w:color="auto" w:sz="4" w:space="0"/>
              <w:bottom w:val="single" w:color="auto" w:sz="4" w:space="0"/>
              <w:right w:val="single" w:color="auto" w:sz="4" w:space="0"/>
            </w:tcBorders>
            <w:noWrap w:val="0"/>
            <w:vAlign w:val="center"/>
          </w:tcPr>
          <w:p w14:paraId="1AD27618">
            <w:pPr>
              <w:jc w:val="center"/>
              <w:rPr>
                <w:rFonts w:ascii="Times New Roman" w:hAnsi="Times New Roman"/>
                <w:bCs/>
                <w:highlight w:val="none"/>
              </w:rPr>
            </w:pPr>
          </w:p>
        </w:tc>
      </w:tr>
      <w:tr w14:paraId="3065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14:paraId="7570FC85">
            <w:pPr>
              <w:jc w:val="center"/>
              <w:rPr>
                <w:rFonts w:ascii="Times New Roman" w:hAnsi="Times New Roman"/>
                <w:bCs/>
                <w:highlight w:val="none"/>
              </w:rPr>
            </w:pPr>
            <w:r>
              <w:rPr>
                <w:rFonts w:hint="eastAsia" w:ascii="Times New Roman" w:hAnsi="Times New Roman"/>
                <w:bCs/>
                <w:highlight w:val="none"/>
              </w:rPr>
              <w:t>4</w:t>
            </w:r>
          </w:p>
        </w:tc>
        <w:tc>
          <w:tcPr>
            <w:tcW w:w="1152" w:type="pct"/>
            <w:tcBorders>
              <w:top w:val="single" w:color="auto" w:sz="4" w:space="0"/>
              <w:left w:val="single" w:color="auto" w:sz="4" w:space="0"/>
              <w:bottom w:val="single" w:color="auto" w:sz="4" w:space="0"/>
              <w:right w:val="single" w:color="auto" w:sz="4" w:space="0"/>
            </w:tcBorders>
            <w:noWrap w:val="0"/>
            <w:vAlign w:val="center"/>
          </w:tcPr>
          <w:p w14:paraId="324FE8A9">
            <w:pPr>
              <w:jc w:val="center"/>
              <w:rPr>
                <w:rFonts w:ascii="Times New Roman" w:hAnsi="Times New Roman"/>
                <w:bCs/>
                <w:highlight w:val="none"/>
              </w:rPr>
            </w:pPr>
            <w:r>
              <w:rPr>
                <w:rFonts w:ascii="Times New Roman" w:hAnsi="Times New Roman"/>
                <w:bCs/>
                <w:highlight w:val="none"/>
              </w:rPr>
              <w:t>质量</w:t>
            </w:r>
            <w:r>
              <w:rPr>
                <w:rFonts w:hint="eastAsia" w:ascii="Times New Roman" w:hAnsi="Times New Roman"/>
                <w:bCs/>
                <w:highlight w:val="none"/>
              </w:rPr>
              <w:t>标准</w:t>
            </w:r>
          </w:p>
        </w:tc>
        <w:tc>
          <w:tcPr>
            <w:tcW w:w="2733" w:type="pct"/>
            <w:tcBorders>
              <w:top w:val="single" w:color="auto" w:sz="4" w:space="0"/>
              <w:left w:val="single" w:color="auto" w:sz="4" w:space="0"/>
              <w:bottom w:val="single" w:color="auto" w:sz="4" w:space="0"/>
              <w:right w:val="single" w:color="auto" w:sz="4" w:space="0"/>
            </w:tcBorders>
            <w:noWrap w:val="0"/>
            <w:vAlign w:val="center"/>
          </w:tcPr>
          <w:p w14:paraId="04EF78F4">
            <w:pPr>
              <w:jc w:val="left"/>
              <w:rPr>
                <w:rFonts w:ascii="Times New Roman" w:hAnsi="Times New Roman"/>
                <w:bCs/>
                <w:highlight w:val="none"/>
              </w:rPr>
            </w:pPr>
            <w:r>
              <w:rPr>
                <w:rFonts w:hint="eastAsia" w:ascii="Times New Roman" w:hAnsi="Times New Roman"/>
                <w:bCs/>
                <w:highlight w:val="none"/>
              </w:rPr>
              <w:t>按招标文件要求</w:t>
            </w:r>
          </w:p>
        </w:tc>
        <w:tc>
          <w:tcPr>
            <w:tcW w:w="627" w:type="pct"/>
            <w:tcBorders>
              <w:top w:val="single" w:color="auto" w:sz="4" w:space="0"/>
              <w:left w:val="single" w:color="auto" w:sz="4" w:space="0"/>
              <w:bottom w:val="single" w:color="auto" w:sz="4" w:space="0"/>
              <w:right w:val="single" w:color="auto" w:sz="4" w:space="0"/>
            </w:tcBorders>
            <w:noWrap w:val="0"/>
            <w:vAlign w:val="center"/>
          </w:tcPr>
          <w:p w14:paraId="63892851">
            <w:pPr>
              <w:jc w:val="center"/>
              <w:rPr>
                <w:rFonts w:ascii="Times New Roman" w:hAnsi="Times New Roman"/>
                <w:bCs/>
                <w:highlight w:val="none"/>
              </w:rPr>
            </w:pPr>
          </w:p>
        </w:tc>
      </w:tr>
      <w:tr w14:paraId="42E0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14:paraId="545F9EAD">
            <w:pPr>
              <w:jc w:val="center"/>
              <w:rPr>
                <w:rFonts w:hint="eastAsia" w:ascii="Times New Roman" w:hAnsi="Times New Roman" w:eastAsia="宋体"/>
                <w:bCs/>
                <w:highlight w:val="none"/>
                <w:lang w:eastAsia="zh-CN"/>
              </w:rPr>
            </w:pPr>
            <w:r>
              <w:rPr>
                <w:rFonts w:hint="eastAsia" w:ascii="Times New Roman" w:hAnsi="Times New Roman"/>
                <w:bCs/>
                <w:highlight w:val="none"/>
                <w:lang w:val="en-US" w:eastAsia="zh-CN"/>
              </w:rPr>
              <w:t>5</w:t>
            </w:r>
          </w:p>
        </w:tc>
        <w:tc>
          <w:tcPr>
            <w:tcW w:w="1152" w:type="pct"/>
            <w:tcBorders>
              <w:top w:val="single" w:color="auto" w:sz="4" w:space="0"/>
              <w:left w:val="single" w:color="auto" w:sz="4" w:space="0"/>
              <w:bottom w:val="single" w:color="auto" w:sz="4" w:space="0"/>
              <w:right w:val="single" w:color="auto" w:sz="4" w:space="0"/>
            </w:tcBorders>
            <w:noWrap w:val="0"/>
            <w:vAlign w:val="center"/>
          </w:tcPr>
          <w:p w14:paraId="1C583AAB">
            <w:pPr>
              <w:jc w:val="center"/>
              <w:rPr>
                <w:rFonts w:ascii="Times New Roman" w:hAnsi="Times New Roman"/>
                <w:bCs/>
                <w:szCs w:val="21"/>
                <w:highlight w:val="none"/>
              </w:rPr>
            </w:pPr>
            <w:r>
              <w:rPr>
                <w:rFonts w:hint="eastAsia" w:ascii="Times New Roman" w:hAnsi="Times New Roman"/>
                <w:bCs/>
                <w:highlight w:val="none"/>
              </w:rPr>
              <w:t>投标有效期</w:t>
            </w:r>
          </w:p>
        </w:tc>
        <w:tc>
          <w:tcPr>
            <w:tcW w:w="2733" w:type="pct"/>
            <w:tcBorders>
              <w:top w:val="single" w:color="auto" w:sz="4" w:space="0"/>
              <w:left w:val="single" w:color="auto" w:sz="4" w:space="0"/>
              <w:bottom w:val="single" w:color="auto" w:sz="4" w:space="0"/>
              <w:right w:val="single" w:color="auto" w:sz="4" w:space="0"/>
            </w:tcBorders>
            <w:noWrap w:val="0"/>
            <w:vAlign w:val="center"/>
          </w:tcPr>
          <w:p w14:paraId="0AFDCF5D">
            <w:pPr>
              <w:jc w:val="left"/>
              <w:rPr>
                <w:rFonts w:ascii="Times New Roman" w:hAnsi="Times New Roman"/>
                <w:bCs/>
                <w:szCs w:val="21"/>
                <w:highlight w:val="none"/>
              </w:rPr>
            </w:pPr>
            <w:r>
              <w:rPr>
                <w:rFonts w:hint="eastAsia" w:ascii="宋体" w:hAnsi="宋体"/>
                <w:bCs/>
                <w:szCs w:val="21"/>
                <w:highlight w:val="none"/>
                <w:u w:val="single"/>
              </w:rPr>
              <w:t>按招标文件要求</w:t>
            </w:r>
          </w:p>
        </w:tc>
        <w:tc>
          <w:tcPr>
            <w:tcW w:w="627" w:type="pct"/>
            <w:tcBorders>
              <w:top w:val="single" w:color="auto" w:sz="4" w:space="0"/>
              <w:left w:val="single" w:color="auto" w:sz="4" w:space="0"/>
              <w:bottom w:val="single" w:color="auto" w:sz="4" w:space="0"/>
              <w:right w:val="single" w:color="auto" w:sz="4" w:space="0"/>
            </w:tcBorders>
            <w:noWrap w:val="0"/>
            <w:vAlign w:val="center"/>
          </w:tcPr>
          <w:p w14:paraId="37CC17AF">
            <w:pPr>
              <w:jc w:val="center"/>
              <w:rPr>
                <w:rFonts w:ascii="Times New Roman" w:hAnsi="Times New Roman"/>
                <w:bCs/>
                <w:highlight w:val="none"/>
              </w:rPr>
            </w:pPr>
          </w:p>
        </w:tc>
      </w:tr>
      <w:tr w14:paraId="1674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14:paraId="5C990C7C">
            <w:pPr>
              <w:jc w:val="center"/>
              <w:rPr>
                <w:rFonts w:hint="eastAsia" w:ascii="Times New Roman" w:hAnsi="Times New Roman" w:eastAsia="宋体"/>
                <w:bCs/>
                <w:highlight w:val="none"/>
                <w:lang w:eastAsia="zh-CN"/>
              </w:rPr>
            </w:pPr>
            <w:r>
              <w:rPr>
                <w:rFonts w:hint="eastAsia" w:ascii="Times New Roman" w:hAnsi="Times New Roman"/>
                <w:bCs/>
                <w:highlight w:val="none"/>
                <w:lang w:val="en-US" w:eastAsia="zh-CN"/>
              </w:rPr>
              <w:t>6</w:t>
            </w:r>
          </w:p>
        </w:tc>
        <w:tc>
          <w:tcPr>
            <w:tcW w:w="1152" w:type="pct"/>
            <w:tcBorders>
              <w:top w:val="single" w:color="auto" w:sz="4" w:space="0"/>
              <w:left w:val="single" w:color="auto" w:sz="4" w:space="0"/>
              <w:bottom w:val="single" w:color="auto" w:sz="4" w:space="0"/>
              <w:right w:val="single" w:color="auto" w:sz="4" w:space="0"/>
            </w:tcBorders>
            <w:noWrap w:val="0"/>
            <w:vAlign w:val="center"/>
          </w:tcPr>
          <w:p w14:paraId="57D1A229">
            <w:pPr>
              <w:jc w:val="center"/>
              <w:rPr>
                <w:rFonts w:ascii="Times New Roman" w:hAnsi="Times New Roman"/>
                <w:bCs/>
                <w:highlight w:val="none"/>
              </w:rPr>
            </w:pPr>
            <w:r>
              <w:rPr>
                <w:rFonts w:hint="eastAsia" w:ascii="Times New Roman" w:hAnsi="Times New Roman"/>
                <w:bCs/>
                <w:highlight w:val="none"/>
              </w:rPr>
              <w:t>投标总报价</w:t>
            </w:r>
          </w:p>
        </w:tc>
        <w:tc>
          <w:tcPr>
            <w:tcW w:w="2733" w:type="pct"/>
            <w:tcBorders>
              <w:top w:val="single" w:color="auto" w:sz="4" w:space="0"/>
              <w:left w:val="single" w:color="auto" w:sz="4" w:space="0"/>
              <w:bottom w:val="single" w:color="auto" w:sz="4" w:space="0"/>
              <w:right w:val="single" w:color="auto" w:sz="4" w:space="0"/>
            </w:tcBorders>
            <w:noWrap w:val="0"/>
            <w:vAlign w:val="center"/>
          </w:tcPr>
          <w:p w14:paraId="07E43B3B">
            <w:pPr>
              <w:spacing w:line="240" w:lineRule="auto"/>
              <w:jc w:val="left"/>
              <w:rPr>
                <w:rFonts w:hint="eastAsia" w:ascii="宋体" w:hAnsi="宋体"/>
                <w:b w:val="0"/>
                <w:bCs/>
                <w:color w:val="auto"/>
                <w:szCs w:val="21"/>
                <w:highlight w:val="none"/>
                <w:u w:val="single"/>
              </w:rPr>
            </w:pPr>
            <w:r>
              <w:rPr>
                <w:rFonts w:hint="eastAsia" w:ascii="宋体" w:hAnsi="宋体"/>
                <w:b w:val="0"/>
                <w:bCs/>
                <w:color w:val="auto"/>
                <w:szCs w:val="21"/>
                <w:highlight w:val="none"/>
                <w:u w:val="single"/>
              </w:rPr>
              <w:t xml:space="preserve">大写：                     </w:t>
            </w:r>
          </w:p>
          <w:p w14:paraId="03700A8B">
            <w:pPr>
              <w:jc w:val="left"/>
              <w:rPr>
                <w:rFonts w:ascii="Times New Roman" w:hAnsi="Times New Roman"/>
                <w:bCs/>
                <w:highlight w:val="none"/>
              </w:rPr>
            </w:pPr>
            <w:r>
              <w:rPr>
                <w:rFonts w:hint="eastAsia" w:ascii="宋体" w:hAnsi="宋体"/>
                <w:b w:val="0"/>
                <w:bCs/>
                <w:color w:val="auto"/>
                <w:szCs w:val="21"/>
                <w:highlight w:val="none"/>
                <w:u w:val="single"/>
              </w:rPr>
              <w:t xml:space="preserve">小写：   </w:t>
            </w:r>
          </w:p>
        </w:tc>
        <w:tc>
          <w:tcPr>
            <w:tcW w:w="627" w:type="pct"/>
            <w:tcBorders>
              <w:top w:val="single" w:color="auto" w:sz="4" w:space="0"/>
              <w:left w:val="single" w:color="auto" w:sz="4" w:space="0"/>
              <w:bottom w:val="single" w:color="auto" w:sz="4" w:space="0"/>
              <w:right w:val="single" w:color="auto" w:sz="4" w:space="0"/>
            </w:tcBorders>
            <w:noWrap w:val="0"/>
            <w:vAlign w:val="center"/>
          </w:tcPr>
          <w:p w14:paraId="2C04CCD8">
            <w:pPr>
              <w:jc w:val="center"/>
              <w:rPr>
                <w:rFonts w:ascii="Times New Roman" w:hAnsi="Times New Roman"/>
                <w:bCs/>
                <w:highlight w:val="none"/>
              </w:rPr>
            </w:pPr>
          </w:p>
        </w:tc>
      </w:tr>
      <w:tr w14:paraId="5EB2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14:paraId="46EC85B8">
            <w:pPr>
              <w:jc w:val="center"/>
              <w:rPr>
                <w:rFonts w:hint="eastAsia" w:ascii="Times New Roman" w:hAnsi="Times New Roman" w:eastAsia="宋体"/>
                <w:bCs/>
                <w:highlight w:val="none"/>
                <w:lang w:eastAsia="zh-CN"/>
              </w:rPr>
            </w:pPr>
            <w:r>
              <w:rPr>
                <w:rFonts w:hint="eastAsia" w:ascii="Times New Roman" w:hAnsi="Times New Roman"/>
                <w:bCs/>
                <w:highlight w:val="none"/>
                <w:lang w:val="en-US" w:eastAsia="zh-CN"/>
              </w:rPr>
              <w:t>7</w:t>
            </w:r>
          </w:p>
        </w:tc>
        <w:tc>
          <w:tcPr>
            <w:tcW w:w="1152" w:type="pct"/>
            <w:tcBorders>
              <w:top w:val="single" w:color="auto" w:sz="4" w:space="0"/>
              <w:left w:val="single" w:color="auto" w:sz="4" w:space="0"/>
              <w:bottom w:val="single" w:color="auto" w:sz="4" w:space="0"/>
              <w:right w:val="single" w:color="auto" w:sz="4" w:space="0"/>
            </w:tcBorders>
            <w:noWrap w:val="0"/>
            <w:vAlign w:val="center"/>
          </w:tcPr>
          <w:p w14:paraId="727FDB55">
            <w:pPr>
              <w:jc w:val="center"/>
              <w:rPr>
                <w:rFonts w:ascii="Times New Roman" w:hAnsi="Times New Roman"/>
                <w:bCs/>
                <w:highlight w:val="none"/>
              </w:rPr>
            </w:pPr>
            <w:r>
              <w:rPr>
                <w:rFonts w:hint="eastAsia" w:ascii="Times New Roman" w:hAnsi="Times New Roman"/>
                <w:bCs/>
                <w:highlight w:val="none"/>
              </w:rPr>
              <w:t>法 人 营 业</w:t>
            </w:r>
          </w:p>
          <w:p w14:paraId="61FD59DD">
            <w:pPr>
              <w:jc w:val="center"/>
              <w:rPr>
                <w:rFonts w:ascii="Times New Roman" w:hAnsi="Times New Roman"/>
                <w:bCs/>
                <w:highlight w:val="none"/>
              </w:rPr>
            </w:pPr>
            <w:r>
              <w:rPr>
                <w:rFonts w:hint="eastAsia" w:ascii="Times New Roman" w:hAnsi="Times New Roman"/>
                <w:bCs/>
                <w:highlight w:val="none"/>
              </w:rPr>
              <w:t>执 照 证 号</w:t>
            </w:r>
          </w:p>
        </w:tc>
        <w:tc>
          <w:tcPr>
            <w:tcW w:w="2733" w:type="pct"/>
            <w:tcBorders>
              <w:top w:val="single" w:color="auto" w:sz="4" w:space="0"/>
              <w:left w:val="single" w:color="auto" w:sz="4" w:space="0"/>
              <w:bottom w:val="single" w:color="auto" w:sz="4" w:space="0"/>
              <w:right w:val="single" w:color="auto" w:sz="4" w:space="0"/>
            </w:tcBorders>
            <w:noWrap w:val="0"/>
            <w:vAlign w:val="center"/>
          </w:tcPr>
          <w:p w14:paraId="461206ED">
            <w:pPr>
              <w:jc w:val="left"/>
              <w:rPr>
                <w:rFonts w:ascii="Times New Roman" w:hAnsi="Times New Roman"/>
                <w:bCs/>
                <w:highlight w:val="none"/>
              </w:rPr>
            </w:pPr>
            <w:r>
              <w:rPr>
                <w:rFonts w:hint="eastAsia" w:ascii="Times New Roman" w:hAnsi="Times New Roman"/>
                <w:bCs/>
                <w:highlight w:val="none"/>
              </w:rPr>
              <w:t>法 人 营 业</w:t>
            </w:r>
          </w:p>
          <w:p w14:paraId="21582C17">
            <w:pPr>
              <w:jc w:val="left"/>
              <w:rPr>
                <w:rFonts w:ascii="Times New Roman" w:hAnsi="Times New Roman"/>
                <w:bCs/>
                <w:highlight w:val="none"/>
              </w:rPr>
            </w:pPr>
            <w:r>
              <w:rPr>
                <w:rFonts w:hint="eastAsia" w:ascii="Times New Roman" w:hAnsi="Times New Roman"/>
                <w:bCs/>
                <w:highlight w:val="none"/>
              </w:rPr>
              <w:t>执 照 证 号：</w:t>
            </w:r>
            <w:r>
              <w:rPr>
                <w:rFonts w:ascii="Times New Roman" w:hAnsi="Times New Roman"/>
                <w:bCs/>
                <w:highlight w:val="none"/>
                <w:u w:val="single"/>
              </w:rPr>
              <w:t xml:space="preserve"> </w:t>
            </w:r>
            <w:r>
              <w:rPr>
                <w:rFonts w:hint="eastAsia" w:ascii="Times New Roman" w:hAnsi="Times New Roman"/>
                <w:bCs/>
                <w:highlight w:val="none"/>
                <w:u w:val="single"/>
              </w:rPr>
              <w:t xml:space="preserve">                      </w:t>
            </w:r>
          </w:p>
        </w:tc>
        <w:tc>
          <w:tcPr>
            <w:tcW w:w="627" w:type="pct"/>
            <w:tcBorders>
              <w:top w:val="single" w:color="auto" w:sz="4" w:space="0"/>
              <w:left w:val="single" w:color="auto" w:sz="4" w:space="0"/>
              <w:bottom w:val="single" w:color="auto" w:sz="4" w:space="0"/>
              <w:right w:val="single" w:color="auto" w:sz="4" w:space="0"/>
            </w:tcBorders>
            <w:noWrap w:val="0"/>
            <w:vAlign w:val="center"/>
          </w:tcPr>
          <w:p w14:paraId="16A7257F">
            <w:pPr>
              <w:jc w:val="center"/>
              <w:rPr>
                <w:rFonts w:ascii="Times New Roman" w:hAnsi="Times New Roman"/>
                <w:bCs/>
                <w:highlight w:val="none"/>
              </w:rPr>
            </w:pPr>
          </w:p>
        </w:tc>
      </w:tr>
    </w:tbl>
    <w:p w14:paraId="622231D0">
      <w:pPr>
        <w:spacing w:line="440" w:lineRule="exact"/>
        <w:ind w:firstLine="361" w:firstLineChars="200"/>
        <w:jc w:val="left"/>
        <w:rPr>
          <w:rFonts w:ascii="Times New Roman" w:hAnsi="Times New Roman"/>
          <w:sz w:val="18"/>
          <w:szCs w:val="18"/>
          <w:highlight w:val="none"/>
        </w:rPr>
      </w:pPr>
      <w:r>
        <w:rPr>
          <w:rFonts w:hint="eastAsia" w:ascii="Times New Roman" w:hAnsi="Times New Roman"/>
          <w:b/>
          <w:bCs/>
          <w:sz w:val="18"/>
          <w:szCs w:val="18"/>
          <w:highlight w:val="none"/>
        </w:rPr>
        <w:t>注：</w:t>
      </w:r>
      <w:r>
        <w:rPr>
          <w:rFonts w:hint="eastAsia" w:ascii="Times New Roman" w:hAnsi="Times New Roman"/>
          <w:sz w:val="18"/>
          <w:szCs w:val="18"/>
          <w:highlight w:val="none"/>
        </w:rPr>
        <w:t>报价以元为单位，报价保留两位小数，第三位小数四舍五入。</w:t>
      </w:r>
    </w:p>
    <w:p w14:paraId="4162DBF0">
      <w:pPr>
        <w:spacing w:line="440" w:lineRule="exact"/>
        <w:ind w:firstLine="2520" w:firstLineChars="1200"/>
        <w:jc w:val="left"/>
        <w:rPr>
          <w:rFonts w:ascii="Times New Roman" w:hAnsi="Times New Roman"/>
          <w:szCs w:val="21"/>
          <w:highlight w:val="none"/>
        </w:rPr>
      </w:pPr>
    </w:p>
    <w:p w14:paraId="11F56A7C">
      <w:pPr>
        <w:spacing w:line="440" w:lineRule="exact"/>
        <w:ind w:firstLine="4410" w:firstLineChars="2100"/>
        <w:jc w:val="left"/>
        <w:rPr>
          <w:rFonts w:ascii="Times New Roman" w:hAnsi="Times New Roman"/>
          <w:szCs w:val="21"/>
          <w:highlight w:val="none"/>
        </w:rPr>
      </w:pPr>
      <w:r>
        <w:rPr>
          <w:rFonts w:ascii="Times New Roman" w:hAnsi="Times New Roman"/>
          <w:szCs w:val="21"/>
          <w:highlight w:val="none"/>
        </w:rPr>
        <w:t>投 标 人：</w:t>
      </w:r>
      <w:r>
        <w:rPr>
          <w:rFonts w:ascii="Times New Roman" w:hAnsi="Times New Roman"/>
          <w:szCs w:val="21"/>
          <w:highlight w:val="none"/>
          <w:u w:val="single"/>
        </w:rPr>
        <w:t xml:space="preserve">                      </w:t>
      </w:r>
      <w:r>
        <w:rPr>
          <w:rFonts w:ascii="Times New Roman" w:hAnsi="Times New Roman"/>
          <w:szCs w:val="21"/>
          <w:highlight w:val="none"/>
        </w:rPr>
        <w:t>（盖单位章）</w:t>
      </w:r>
    </w:p>
    <w:p w14:paraId="0D595F03">
      <w:pPr>
        <w:spacing w:line="440" w:lineRule="exact"/>
        <w:jc w:val="left"/>
        <w:rPr>
          <w:rFonts w:ascii="Times New Roman" w:hAnsi="Times New Roman"/>
          <w:szCs w:val="21"/>
          <w:highlight w:val="none"/>
        </w:rPr>
      </w:pPr>
      <w:r>
        <w:rPr>
          <w:rFonts w:ascii="Times New Roman" w:hAnsi="Times New Roman"/>
          <w:highlight w:val="none"/>
        </w:rPr>
        <w:t xml:space="preserve">                       </w:t>
      </w:r>
      <w:r>
        <w:rPr>
          <w:rFonts w:hint="eastAsia" w:ascii="Times New Roman" w:hAnsi="Times New Roman"/>
          <w:highlight w:val="none"/>
          <w:lang w:val="en-US" w:eastAsia="zh-CN"/>
        </w:rPr>
        <w:t xml:space="preserve">              </w:t>
      </w:r>
      <w:r>
        <w:rPr>
          <w:rFonts w:ascii="Times New Roman" w:hAnsi="Times New Roman"/>
          <w:highlight w:val="none"/>
        </w:rPr>
        <w:t xml:space="preserve"> 法定代表人</w:t>
      </w:r>
      <w:r>
        <w:rPr>
          <w:rFonts w:ascii="Times New Roman" w:hAnsi="Times New Roman"/>
          <w:szCs w:val="21"/>
          <w:highlight w:val="none"/>
        </w:rPr>
        <w:t>或其委托代理人：</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rPr>
        <w:t>（签字</w:t>
      </w:r>
      <w:r>
        <w:rPr>
          <w:rFonts w:hint="eastAsia" w:ascii="Times New Roman" w:hAnsi="Times New Roman"/>
          <w:szCs w:val="21"/>
          <w:highlight w:val="none"/>
        </w:rPr>
        <w:t>或盖章</w:t>
      </w:r>
      <w:r>
        <w:rPr>
          <w:rFonts w:ascii="Times New Roman" w:hAnsi="Times New Roman"/>
          <w:szCs w:val="21"/>
          <w:highlight w:val="none"/>
        </w:rPr>
        <w:t>）</w:t>
      </w:r>
    </w:p>
    <w:p w14:paraId="1BD9FD70">
      <w:pPr>
        <w:spacing w:line="440" w:lineRule="exact"/>
        <w:ind w:firstLine="4725" w:firstLineChars="2250"/>
        <w:jc w:val="right"/>
        <w:rPr>
          <w:rFonts w:ascii="Times New Roman" w:hAnsi="Times New Roman"/>
          <w:szCs w:val="21"/>
          <w:highlight w:val="none"/>
        </w:rPr>
      </w:pPr>
      <w:r>
        <w:rPr>
          <w:rFonts w:ascii="Times New Roman" w:hAnsi="Times New Roman"/>
          <w:highlight w:val="none"/>
          <w:u w:val="single"/>
        </w:rPr>
        <w:t xml:space="preserve">      </w:t>
      </w:r>
      <w:r>
        <w:rPr>
          <w:rFonts w:ascii="Times New Roman" w:hAnsi="Times New Roman"/>
          <w:szCs w:val="21"/>
          <w:highlight w:val="none"/>
        </w:rPr>
        <w:t>年</w:t>
      </w:r>
      <w:r>
        <w:rPr>
          <w:rFonts w:ascii="Times New Roman" w:hAnsi="Times New Roman"/>
          <w:highlight w:val="none"/>
          <w:u w:val="single"/>
        </w:rPr>
        <w:t xml:space="preserve">      </w:t>
      </w:r>
      <w:r>
        <w:rPr>
          <w:rFonts w:ascii="Times New Roman" w:hAnsi="Times New Roman"/>
          <w:szCs w:val="21"/>
          <w:highlight w:val="none"/>
        </w:rPr>
        <w:t>月</w:t>
      </w:r>
      <w:r>
        <w:rPr>
          <w:rFonts w:ascii="Times New Roman" w:hAnsi="Times New Roman"/>
          <w:highlight w:val="none"/>
          <w:u w:val="single"/>
        </w:rPr>
        <w:t xml:space="preserve">      </w:t>
      </w:r>
      <w:r>
        <w:rPr>
          <w:rFonts w:ascii="Times New Roman" w:hAnsi="Times New Roman"/>
          <w:szCs w:val="21"/>
          <w:highlight w:val="none"/>
        </w:rPr>
        <w:t>日</w:t>
      </w:r>
    </w:p>
    <w:p w14:paraId="09FBA132">
      <w:pPr>
        <w:pStyle w:val="3"/>
        <w:keepNext w:val="0"/>
        <w:keepLines w:val="0"/>
        <w:jc w:val="center"/>
        <w:rPr>
          <w:rFonts w:ascii="Times New Roman" w:hAnsi="Times New Roman"/>
          <w:highlight w:val="none"/>
        </w:rPr>
      </w:pPr>
      <w:bookmarkStart w:id="1275" w:name="_Toc526001336"/>
      <w:r>
        <w:rPr>
          <w:rFonts w:ascii="Times New Roman" w:hAnsi="Times New Roman"/>
          <w:highlight w:val="none"/>
        </w:rPr>
        <w:br w:type="page"/>
      </w:r>
      <w:bookmarkStart w:id="1276" w:name="_Toc4654"/>
      <w:r>
        <w:rPr>
          <w:rFonts w:ascii="Times New Roman" w:hAnsi="Times New Roman"/>
          <w:highlight w:val="none"/>
        </w:rPr>
        <w:t>二、法定代表人身份证明</w:t>
      </w:r>
      <w:bookmarkEnd w:id="1275"/>
      <w:bookmarkEnd w:id="1276"/>
    </w:p>
    <w:p w14:paraId="00D3EDAD">
      <w:pPr>
        <w:spacing w:line="440" w:lineRule="exact"/>
        <w:rPr>
          <w:rFonts w:ascii="Times New Roman" w:hAnsi="Times New Roman"/>
          <w:sz w:val="20"/>
          <w:highlight w:val="none"/>
        </w:rPr>
      </w:pPr>
    </w:p>
    <w:p w14:paraId="02B12A90">
      <w:pPr>
        <w:spacing w:line="440" w:lineRule="exact"/>
        <w:rPr>
          <w:rFonts w:ascii="Times New Roman" w:hAnsi="Times New Roman"/>
          <w:highlight w:val="none"/>
        </w:rPr>
      </w:pPr>
    </w:p>
    <w:p w14:paraId="7A211750">
      <w:pPr>
        <w:spacing w:line="440" w:lineRule="exact"/>
        <w:rPr>
          <w:rFonts w:ascii="Times New Roman" w:hAnsi="Times New Roman"/>
          <w:highlight w:val="none"/>
        </w:rPr>
      </w:pPr>
      <w:r>
        <w:rPr>
          <w:rFonts w:ascii="Times New Roman" w:hAnsi="Times New Roman"/>
          <w:highlight w:val="none"/>
        </w:rPr>
        <w:t>投标人名称：</w:t>
      </w:r>
      <w:r>
        <w:rPr>
          <w:rFonts w:ascii="Times New Roman" w:hAnsi="Times New Roman"/>
          <w:highlight w:val="none"/>
          <w:u w:val="single"/>
        </w:rPr>
        <w:t xml:space="preserve">                        </w:t>
      </w:r>
    </w:p>
    <w:p w14:paraId="49522989">
      <w:pPr>
        <w:spacing w:line="440" w:lineRule="exact"/>
        <w:rPr>
          <w:rFonts w:ascii="Times New Roman" w:hAnsi="Times New Roman"/>
          <w:highlight w:val="none"/>
        </w:rPr>
      </w:pPr>
      <w:r>
        <w:rPr>
          <w:rFonts w:ascii="Times New Roman" w:hAnsi="Times New Roman"/>
          <w:highlight w:val="none"/>
        </w:rPr>
        <w:t>姓名：</w:t>
      </w:r>
      <w:r>
        <w:rPr>
          <w:rFonts w:ascii="Times New Roman" w:hAnsi="Times New Roman"/>
          <w:highlight w:val="none"/>
          <w:u w:val="single"/>
        </w:rPr>
        <w:t xml:space="preserve">                </w:t>
      </w:r>
      <w:r>
        <w:rPr>
          <w:rFonts w:ascii="Times New Roman" w:hAnsi="Times New Roman"/>
          <w:highlight w:val="none"/>
        </w:rPr>
        <w:t>性别：</w:t>
      </w:r>
      <w:r>
        <w:rPr>
          <w:rFonts w:ascii="Times New Roman" w:hAnsi="Times New Roman"/>
          <w:highlight w:val="none"/>
          <w:u w:val="single"/>
        </w:rPr>
        <w:t xml:space="preserve">        </w:t>
      </w:r>
      <w:r>
        <w:rPr>
          <w:rFonts w:ascii="Times New Roman" w:hAnsi="Times New Roman"/>
          <w:highlight w:val="none"/>
        </w:rPr>
        <w:t>年龄：</w:t>
      </w:r>
      <w:r>
        <w:rPr>
          <w:rFonts w:ascii="Times New Roman" w:hAnsi="Times New Roman"/>
          <w:highlight w:val="none"/>
          <w:u w:val="single"/>
        </w:rPr>
        <w:t xml:space="preserve">        </w:t>
      </w:r>
      <w:r>
        <w:rPr>
          <w:rFonts w:ascii="Times New Roman" w:hAnsi="Times New Roman"/>
          <w:highlight w:val="none"/>
        </w:rPr>
        <w:t>职务：</w:t>
      </w:r>
      <w:r>
        <w:rPr>
          <w:rFonts w:ascii="Times New Roman" w:hAnsi="Times New Roman"/>
          <w:highlight w:val="none"/>
          <w:u w:val="single"/>
        </w:rPr>
        <w:t xml:space="preserve">        </w:t>
      </w:r>
    </w:p>
    <w:p w14:paraId="164F9829">
      <w:pPr>
        <w:spacing w:line="440"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 xml:space="preserve">                        </w:t>
      </w:r>
      <w:r>
        <w:rPr>
          <w:rFonts w:ascii="Times New Roman" w:hAnsi="Times New Roman"/>
          <w:highlight w:val="none"/>
        </w:rPr>
        <w:t>（投标人名称）的法定代表人。</w:t>
      </w:r>
    </w:p>
    <w:p w14:paraId="05EB63D0">
      <w:pPr>
        <w:spacing w:line="440" w:lineRule="exact"/>
        <w:ind w:firstLine="420" w:firstLineChars="200"/>
        <w:rPr>
          <w:rFonts w:ascii="Times New Roman" w:hAnsi="Times New Roman"/>
          <w:highlight w:val="none"/>
        </w:rPr>
      </w:pPr>
      <w:r>
        <w:rPr>
          <w:rFonts w:ascii="Times New Roman" w:hAnsi="Times New Roman"/>
          <w:highlight w:val="none"/>
        </w:rPr>
        <w:t>特此证明。</w:t>
      </w:r>
    </w:p>
    <w:p w14:paraId="4875FA05">
      <w:pPr>
        <w:spacing w:line="440" w:lineRule="exact"/>
        <w:rPr>
          <w:rFonts w:ascii="Times New Roman" w:hAnsi="Times New Roman"/>
          <w:highlight w:val="none"/>
        </w:rPr>
      </w:pPr>
    </w:p>
    <w:p w14:paraId="4D031E38">
      <w:pPr>
        <w:spacing w:line="440" w:lineRule="exact"/>
        <w:rPr>
          <w:rFonts w:ascii="Times New Roman" w:hAnsi="Times New Roman"/>
          <w:highlight w:val="none"/>
        </w:rPr>
      </w:pPr>
      <w:r>
        <w:rPr>
          <w:rFonts w:ascii="Times New Roman" w:hAnsi="Times New Roman"/>
          <w:highlight w:val="none"/>
        </w:rPr>
        <w:t>附：法定代表人身份证复印件。</w:t>
      </w:r>
    </w:p>
    <w:p w14:paraId="6CED798D">
      <w:pPr>
        <w:spacing w:line="440" w:lineRule="exact"/>
        <w:rPr>
          <w:rFonts w:ascii="Times New Roman" w:hAnsi="Times New Roman"/>
          <w:highlight w:val="none"/>
        </w:rPr>
      </w:pPr>
    </w:p>
    <w:p w14:paraId="573030A2">
      <w:pPr>
        <w:spacing w:line="440" w:lineRule="exact"/>
        <w:rPr>
          <w:rFonts w:ascii="Times New Roman" w:hAnsi="Times New Roman"/>
          <w:highlight w:val="none"/>
        </w:rPr>
      </w:pPr>
      <w:r>
        <w:rPr>
          <w:rFonts w:ascii="Times New Roman" w:hAnsi="Times New Roman"/>
          <w:highlight w:val="none"/>
        </w:rPr>
        <w:t>注：本身份证明需由投标人加盖单位公章。</w:t>
      </w:r>
    </w:p>
    <w:p w14:paraId="73156F98">
      <w:pPr>
        <w:spacing w:line="440" w:lineRule="exact"/>
        <w:rPr>
          <w:rFonts w:ascii="Times New Roman" w:hAnsi="Times New Roman"/>
          <w:highlight w:val="none"/>
        </w:rPr>
      </w:pPr>
    </w:p>
    <w:p w14:paraId="36CCFB7B">
      <w:pPr>
        <w:spacing w:line="440" w:lineRule="exact"/>
        <w:rPr>
          <w:rFonts w:ascii="Times New Roman" w:hAnsi="Times New Roman"/>
          <w:highlight w:val="none"/>
        </w:rPr>
      </w:pPr>
    </w:p>
    <w:p w14:paraId="13A164D8">
      <w:pPr>
        <w:spacing w:line="440" w:lineRule="exact"/>
        <w:jc w:val="center"/>
        <w:rPr>
          <w:rFonts w:ascii="Times New Roman" w:hAnsi="Times New Roman"/>
          <w:highlight w:val="none"/>
        </w:rPr>
      </w:pPr>
      <w:r>
        <w:rPr>
          <w:rFonts w:ascii="Times New Roman" w:hAnsi="Times New Roman"/>
          <w:highlight w:val="none"/>
        </w:rPr>
        <w:t xml:space="preserve">                              投标人：</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highlight w:val="none"/>
        </w:rPr>
        <w:t>（</w:t>
      </w:r>
      <w:r>
        <w:rPr>
          <w:rFonts w:hint="eastAsia" w:ascii="Times New Roman" w:hAnsi="Times New Roman"/>
          <w:highlight w:val="none"/>
        </w:rPr>
        <w:t>盖</w:t>
      </w:r>
      <w:r>
        <w:rPr>
          <w:rFonts w:ascii="Times New Roman" w:hAnsi="Times New Roman"/>
          <w:highlight w:val="none"/>
        </w:rPr>
        <w:t>单位</w:t>
      </w:r>
      <w:r>
        <w:rPr>
          <w:rFonts w:hint="eastAsia" w:ascii="Times New Roman" w:hAnsi="Times New Roman"/>
          <w:highlight w:val="none"/>
        </w:rPr>
        <w:t>章</w:t>
      </w:r>
      <w:r>
        <w:rPr>
          <w:rFonts w:ascii="Times New Roman" w:hAnsi="Times New Roman"/>
          <w:highlight w:val="none"/>
        </w:rPr>
        <w:t>）</w:t>
      </w:r>
    </w:p>
    <w:p w14:paraId="0474D457">
      <w:pPr>
        <w:spacing w:line="440" w:lineRule="exact"/>
        <w:rPr>
          <w:rFonts w:ascii="Times New Roman" w:hAnsi="Times New Roman"/>
          <w:highlight w:val="none"/>
        </w:rPr>
      </w:pPr>
    </w:p>
    <w:p w14:paraId="4C5B9BDE">
      <w:pPr>
        <w:spacing w:line="440" w:lineRule="exact"/>
        <w:ind w:firstLine="4620" w:firstLineChars="2200"/>
        <w:rPr>
          <w:rFonts w:ascii="Times New Roman" w:hAnsi="Times New Roman"/>
          <w:highlight w:val="none"/>
        </w:rPr>
      </w:pPr>
      <w:r>
        <w:rPr>
          <w:rFonts w:ascii="Times New Roman" w:hAnsi="Times New Roman"/>
          <w:highlight w:val="none"/>
          <w:u w:val="single"/>
        </w:rPr>
        <w:t xml:space="preserve">      </w:t>
      </w:r>
      <w:r>
        <w:rPr>
          <w:rFonts w:ascii="Times New Roman" w:hAnsi="Times New Roman"/>
          <w:highlight w:val="none"/>
        </w:rPr>
        <w:t>年</w:t>
      </w:r>
      <w:r>
        <w:rPr>
          <w:rFonts w:ascii="Times New Roman" w:hAnsi="Times New Roman"/>
          <w:highlight w:val="none"/>
          <w:u w:val="single"/>
        </w:rPr>
        <w:t xml:space="preserve">      </w:t>
      </w:r>
      <w:r>
        <w:rPr>
          <w:rFonts w:ascii="Times New Roman" w:hAnsi="Times New Roman"/>
          <w:highlight w:val="none"/>
        </w:rPr>
        <w:t>月</w:t>
      </w:r>
      <w:r>
        <w:rPr>
          <w:rFonts w:ascii="Times New Roman" w:hAnsi="Times New Roman"/>
          <w:highlight w:val="none"/>
          <w:u w:val="single"/>
        </w:rPr>
        <w:t xml:space="preserve">      </w:t>
      </w:r>
      <w:r>
        <w:rPr>
          <w:rFonts w:ascii="Times New Roman" w:hAnsi="Times New Roman"/>
          <w:highlight w:val="none"/>
        </w:rPr>
        <w:t>日</w:t>
      </w:r>
    </w:p>
    <w:p w14:paraId="223CA591">
      <w:pPr>
        <w:spacing w:line="440" w:lineRule="exact"/>
        <w:rPr>
          <w:rFonts w:ascii="Times New Roman" w:hAnsi="Times New Roman" w:eastAsia="黑体"/>
          <w:sz w:val="20"/>
          <w:highlight w:val="none"/>
        </w:rPr>
      </w:pPr>
    </w:p>
    <w:p w14:paraId="07BD9818">
      <w:pPr>
        <w:spacing w:line="440" w:lineRule="exact"/>
        <w:rPr>
          <w:rFonts w:ascii="Times New Roman" w:hAnsi="Times New Roman" w:eastAsia="黑体"/>
          <w:sz w:val="20"/>
          <w:highlight w:val="none"/>
        </w:rPr>
      </w:pPr>
    </w:p>
    <w:p w14:paraId="396C75CD">
      <w:pPr>
        <w:spacing w:line="440" w:lineRule="exact"/>
        <w:rPr>
          <w:rFonts w:ascii="Times New Roman" w:hAnsi="Times New Roman" w:eastAsia="黑体"/>
          <w:sz w:val="20"/>
          <w:highlight w:val="none"/>
        </w:rPr>
      </w:pPr>
    </w:p>
    <w:p w14:paraId="5FEE2932">
      <w:pPr>
        <w:spacing w:line="440" w:lineRule="exact"/>
        <w:rPr>
          <w:rFonts w:ascii="Times New Roman" w:hAnsi="Times New Roman" w:eastAsia="黑体"/>
          <w:sz w:val="20"/>
          <w:highlight w:val="none"/>
        </w:rPr>
      </w:pPr>
    </w:p>
    <w:p w14:paraId="4E6EDB9C">
      <w:pPr>
        <w:spacing w:line="440" w:lineRule="exact"/>
        <w:rPr>
          <w:rFonts w:ascii="Times New Roman" w:hAnsi="Times New Roman" w:eastAsia="黑体"/>
          <w:sz w:val="20"/>
          <w:highlight w:val="none"/>
        </w:rPr>
      </w:pPr>
      <w:r>
        <w:rPr>
          <w:rFonts w:ascii="Times New Roman" w:hAnsi="Times New Roman" w:eastAsia="黑体"/>
          <w:sz w:val="20"/>
          <w:highlight w:val="none"/>
        </w:rPr>
        <w:br w:type="page"/>
      </w:r>
    </w:p>
    <w:p w14:paraId="02B14C23">
      <w:pPr>
        <w:pStyle w:val="3"/>
        <w:keepNext w:val="0"/>
        <w:keepLines w:val="0"/>
        <w:jc w:val="center"/>
        <w:rPr>
          <w:rFonts w:ascii="Times New Roman" w:hAnsi="Times New Roman"/>
          <w:highlight w:val="none"/>
        </w:rPr>
      </w:pPr>
      <w:bookmarkStart w:id="1277" w:name="_Toc8551"/>
      <w:bookmarkStart w:id="1278" w:name="_Toc526001337"/>
      <w:r>
        <w:rPr>
          <w:rFonts w:ascii="Times New Roman" w:hAnsi="Times New Roman"/>
          <w:highlight w:val="none"/>
        </w:rPr>
        <w:t>授权委托书</w:t>
      </w:r>
      <w:bookmarkEnd w:id="1277"/>
      <w:bookmarkEnd w:id="1278"/>
    </w:p>
    <w:p w14:paraId="7DAED199">
      <w:pPr>
        <w:spacing w:line="440" w:lineRule="exact"/>
        <w:rPr>
          <w:rFonts w:ascii="Times New Roman" w:hAnsi="Times New Roman" w:eastAsia="黑体"/>
          <w:highlight w:val="none"/>
        </w:rPr>
      </w:pPr>
    </w:p>
    <w:p w14:paraId="5C89D077">
      <w:pPr>
        <w:topLinePunct/>
        <w:spacing w:line="440" w:lineRule="exact"/>
        <w:ind w:firstLine="420" w:firstLineChars="200"/>
        <w:rPr>
          <w:rFonts w:ascii="Times New Roman" w:hAnsi="Times New Roman"/>
          <w:highlight w:val="none"/>
        </w:rPr>
      </w:pPr>
      <w:r>
        <w:rPr>
          <w:rFonts w:ascii="Times New Roman" w:hAnsi="Times New Roman"/>
          <w:highlight w:val="none"/>
        </w:rPr>
        <w:t>本人</w:t>
      </w:r>
      <w:r>
        <w:rPr>
          <w:rFonts w:ascii="Times New Roman" w:hAnsi="Times New Roman"/>
          <w:highlight w:val="none"/>
          <w:u w:val="single"/>
        </w:rPr>
        <w:t xml:space="preserve">         </w:t>
      </w:r>
      <w:r>
        <w:rPr>
          <w:rFonts w:hint="eastAsia" w:ascii="Times New Roman" w:hAnsi="Times New Roman"/>
          <w:highlight w:val="none"/>
          <w:u w:val="single"/>
        </w:rPr>
        <w:t xml:space="preserve">  </w:t>
      </w:r>
      <w:r>
        <w:rPr>
          <w:rFonts w:ascii="Times New Roman" w:hAnsi="Times New Roman"/>
          <w:highlight w:val="none"/>
          <w:u w:val="single"/>
        </w:rPr>
        <w:t xml:space="preserve">     </w:t>
      </w:r>
      <w:r>
        <w:rPr>
          <w:rFonts w:ascii="Times New Roman" w:hAnsi="Times New Roman"/>
          <w:highlight w:val="none"/>
        </w:rPr>
        <w:t>（姓名）系</w:t>
      </w:r>
      <w:r>
        <w:rPr>
          <w:rFonts w:ascii="Times New Roman" w:hAnsi="Times New Roman"/>
          <w:highlight w:val="none"/>
          <w:u w:val="single"/>
        </w:rPr>
        <w:t xml:space="preserve">                    </w:t>
      </w:r>
      <w:r>
        <w:rPr>
          <w:rFonts w:ascii="Times New Roman" w:hAnsi="Times New Roman"/>
          <w:highlight w:val="none"/>
        </w:rPr>
        <w:t>（投标人名称）的法定代表人，现委托</w:t>
      </w:r>
      <w:r>
        <w:rPr>
          <w:rFonts w:ascii="Times New Roman" w:hAnsi="Times New Roman"/>
          <w:highlight w:val="none"/>
          <w:u w:val="single"/>
        </w:rPr>
        <w:t xml:space="preserve">            </w:t>
      </w:r>
      <w:r>
        <w:rPr>
          <w:rFonts w:ascii="Times New Roman" w:hAnsi="Times New Roman"/>
          <w:highlight w:val="none"/>
        </w:rPr>
        <w:t>（姓名）为我方代理人。代理人根据授权，以我方名义签署、澄清确认、递交、撤回、修改招标项目投标文件、签订合同和处理有关事宜，其法律后果由我方承担。</w:t>
      </w:r>
    </w:p>
    <w:p w14:paraId="30926364">
      <w:pPr>
        <w:spacing w:line="440" w:lineRule="exact"/>
        <w:rPr>
          <w:rFonts w:ascii="Times New Roman" w:hAnsi="Times New Roman"/>
          <w:highlight w:val="none"/>
        </w:rPr>
      </w:pPr>
      <w:r>
        <w:rPr>
          <w:rFonts w:ascii="Times New Roman" w:hAnsi="Times New Roman"/>
          <w:highlight w:val="none"/>
        </w:rPr>
        <w:t>委托期限：</w:t>
      </w:r>
      <w:r>
        <w:rPr>
          <w:rFonts w:ascii="Times New Roman" w:hAnsi="Times New Roman"/>
          <w:highlight w:val="none"/>
          <w:u w:val="single"/>
        </w:rPr>
        <w:t xml:space="preserve">                       </w:t>
      </w:r>
      <w:r>
        <w:rPr>
          <w:rFonts w:ascii="Times New Roman" w:hAnsi="Times New Roman"/>
          <w:highlight w:val="none"/>
        </w:rPr>
        <w:t>。</w:t>
      </w:r>
    </w:p>
    <w:p w14:paraId="10F3836F">
      <w:pPr>
        <w:spacing w:line="440" w:lineRule="exact"/>
        <w:ind w:firstLine="420" w:firstLineChars="200"/>
        <w:rPr>
          <w:rFonts w:ascii="Times New Roman" w:hAnsi="Times New Roman"/>
          <w:highlight w:val="none"/>
        </w:rPr>
      </w:pPr>
      <w:r>
        <w:rPr>
          <w:rFonts w:ascii="Times New Roman" w:hAnsi="Times New Roman"/>
          <w:highlight w:val="none"/>
        </w:rPr>
        <w:t>代理人无转委托权。</w:t>
      </w:r>
    </w:p>
    <w:p w14:paraId="0461AF4E">
      <w:pPr>
        <w:spacing w:line="440" w:lineRule="exact"/>
        <w:ind w:firstLine="420" w:firstLineChars="200"/>
        <w:rPr>
          <w:rFonts w:ascii="Times New Roman" w:hAnsi="Times New Roman"/>
          <w:highlight w:val="none"/>
        </w:rPr>
      </w:pPr>
    </w:p>
    <w:p w14:paraId="10CD562C">
      <w:pPr>
        <w:spacing w:line="440" w:lineRule="exact"/>
        <w:rPr>
          <w:rFonts w:ascii="Times New Roman" w:hAnsi="Times New Roman"/>
          <w:highlight w:val="none"/>
        </w:rPr>
      </w:pPr>
      <w:r>
        <w:rPr>
          <w:rFonts w:ascii="Times New Roman" w:hAnsi="Times New Roman"/>
          <w:highlight w:val="none"/>
        </w:rPr>
        <w:t>附：法定代表人身份证复印件及委托代理人身份证复印件</w:t>
      </w:r>
    </w:p>
    <w:p w14:paraId="636DDF6D">
      <w:pPr>
        <w:spacing w:line="440" w:lineRule="exact"/>
        <w:rPr>
          <w:rFonts w:ascii="Times New Roman" w:hAnsi="Times New Roman"/>
          <w:highlight w:val="none"/>
        </w:rPr>
      </w:pPr>
    </w:p>
    <w:p w14:paraId="072D379C">
      <w:pPr>
        <w:spacing w:line="440" w:lineRule="exact"/>
        <w:rPr>
          <w:rFonts w:ascii="Times New Roman" w:hAnsi="Times New Roman"/>
          <w:highlight w:val="none"/>
        </w:rPr>
      </w:pPr>
      <w:r>
        <w:rPr>
          <w:rFonts w:ascii="Times New Roman" w:hAnsi="Times New Roman"/>
          <w:highlight w:val="none"/>
        </w:rPr>
        <w:t>注：本授权委托书需由投标人加盖单位公章并由其法定代表人和委托代理人签字</w:t>
      </w:r>
      <w:r>
        <w:rPr>
          <w:rFonts w:hint="eastAsia" w:ascii="Times New Roman" w:hAnsi="Times New Roman"/>
          <w:highlight w:val="none"/>
        </w:rPr>
        <w:t>或盖章</w:t>
      </w:r>
      <w:r>
        <w:rPr>
          <w:rFonts w:ascii="Times New Roman" w:hAnsi="Times New Roman"/>
          <w:highlight w:val="none"/>
        </w:rPr>
        <w:t>。</w:t>
      </w:r>
    </w:p>
    <w:p w14:paraId="049FDF39">
      <w:pPr>
        <w:spacing w:line="440" w:lineRule="exact"/>
        <w:rPr>
          <w:rFonts w:ascii="Times New Roman" w:hAnsi="Times New Roman"/>
          <w:highlight w:val="none"/>
        </w:rPr>
      </w:pPr>
    </w:p>
    <w:p w14:paraId="04396003">
      <w:pPr>
        <w:spacing w:line="440" w:lineRule="exact"/>
        <w:ind w:firstLine="2692" w:firstLineChars="1282"/>
        <w:rPr>
          <w:rFonts w:ascii="Times New Roman" w:hAnsi="Times New Roman"/>
          <w:highlight w:val="none"/>
        </w:rPr>
      </w:pPr>
      <w:r>
        <w:rPr>
          <w:rFonts w:ascii="Times New Roman" w:hAnsi="Times New Roman"/>
          <w:highlight w:val="none"/>
        </w:rPr>
        <w:t>投  标  人：</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highlight w:val="none"/>
        </w:rPr>
        <w:t>（</w:t>
      </w:r>
      <w:r>
        <w:rPr>
          <w:rFonts w:hint="eastAsia" w:ascii="Times New Roman" w:hAnsi="Times New Roman"/>
          <w:highlight w:val="none"/>
        </w:rPr>
        <w:t>盖</w:t>
      </w:r>
      <w:r>
        <w:rPr>
          <w:rFonts w:ascii="Times New Roman" w:hAnsi="Times New Roman"/>
          <w:highlight w:val="none"/>
        </w:rPr>
        <w:t>单位</w:t>
      </w:r>
      <w:r>
        <w:rPr>
          <w:rFonts w:hint="eastAsia" w:ascii="Times New Roman" w:hAnsi="Times New Roman"/>
          <w:highlight w:val="none"/>
        </w:rPr>
        <w:t>章</w:t>
      </w:r>
      <w:r>
        <w:rPr>
          <w:rFonts w:ascii="Times New Roman" w:hAnsi="Times New Roman"/>
          <w:highlight w:val="none"/>
        </w:rPr>
        <w:t>）</w:t>
      </w:r>
    </w:p>
    <w:p w14:paraId="6694C27A">
      <w:pPr>
        <w:spacing w:line="440" w:lineRule="exact"/>
        <w:ind w:firstLine="2692" w:firstLineChars="1282"/>
        <w:rPr>
          <w:rFonts w:ascii="Times New Roman" w:hAnsi="Times New Roman"/>
          <w:highlight w:val="none"/>
        </w:rPr>
      </w:pPr>
    </w:p>
    <w:p w14:paraId="2D058FF6">
      <w:pPr>
        <w:spacing w:line="440" w:lineRule="exact"/>
        <w:ind w:firstLine="2690" w:firstLineChars="1281"/>
        <w:jc w:val="left"/>
        <w:rPr>
          <w:rFonts w:ascii="Times New Roman" w:hAnsi="Times New Roman"/>
          <w:highlight w:val="none"/>
        </w:rPr>
      </w:pPr>
      <w:r>
        <w:rPr>
          <w:rFonts w:ascii="Times New Roman" w:hAnsi="Times New Roman"/>
          <w:highlight w:val="none"/>
        </w:rPr>
        <w:t>法定代表人：</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highlight w:val="none"/>
        </w:rPr>
        <w:t>（签字或盖章）</w:t>
      </w:r>
    </w:p>
    <w:p w14:paraId="3D29AD36">
      <w:pPr>
        <w:spacing w:line="440" w:lineRule="exact"/>
        <w:ind w:firstLine="2692" w:firstLineChars="1282"/>
        <w:rPr>
          <w:rFonts w:ascii="Times New Roman" w:hAnsi="Times New Roman"/>
          <w:highlight w:val="none"/>
        </w:rPr>
      </w:pPr>
    </w:p>
    <w:p w14:paraId="72D06010">
      <w:pPr>
        <w:spacing w:line="440" w:lineRule="exact"/>
        <w:ind w:firstLine="2692" w:firstLineChars="1282"/>
        <w:rPr>
          <w:rFonts w:ascii="Times New Roman" w:hAnsi="Times New Roman"/>
          <w:highlight w:val="none"/>
        </w:rPr>
      </w:pPr>
      <w:r>
        <w:rPr>
          <w:rFonts w:ascii="Times New Roman" w:hAnsi="Times New Roman"/>
          <w:highlight w:val="none"/>
        </w:rPr>
        <w:t>身份证号码：</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14:paraId="46D37E0D">
      <w:pPr>
        <w:spacing w:line="440" w:lineRule="exact"/>
        <w:ind w:firstLine="2692" w:firstLineChars="1282"/>
        <w:rPr>
          <w:rFonts w:ascii="Times New Roman" w:hAnsi="Times New Roman"/>
          <w:highlight w:val="none"/>
        </w:rPr>
      </w:pPr>
    </w:p>
    <w:p w14:paraId="756EA0B1">
      <w:pPr>
        <w:spacing w:line="440" w:lineRule="exact"/>
        <w:ind w:firstLine="2692" w:firstLineChars="1282"/>
        <w:rPr>
          <w:rFonts w:ascii="Times New Roman" w:hAnsi="Times New Roman"/>
          <w:highlight w:val="none"/>
        </w:rPr>
      </w:pPr>
      <w:r>
        <w:rPr>
          <w:rFonts w:ascii="Times New Roman" w:hAnsi="Times New Roman"/>
          <w:highlight w:val="none"/>
        </w:rPr>
        <w:t>委托代理人：</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highlight w:val="none"/>
        </w:rPr>
        <w:t>（签字或盖章）</w:t>
      </w:r>
    </w:p>
    <w:p w14:paraId="370F9BA0">
      <w:pPr>
        <w:spacing w:line="440" w:lineRule="exact"/>
        <w:ind w:firstLine="2692" w:firstLineChars="1282"/>
        <w:rPr>
          <w:rFonts w:ascii="Times New Roman" w:hAnsi="Times New Roman"/>
          <w:highlight w:val="none"/>
        </w:rPr>
      </w:pPr>
    </w:p>
    <w:p w14:paraId="0C7F749A">
      <w:pPr>
        <w:spacing w:line="440" w:lineRule="exact"/>
        <w:ind w:firstLine="2692" w:firstLineChars="1282"/>
        <w:rPr>
          <w:rFonts w:ascii="Times New Roman" w:hAnsi="Times New Roman"/>
          <w:highlight w:val="none"/>
        </w:rPr>
      </w:pPr>
      <w:r>
        <w:rPr>
          <w:rFonts w:ascii="Times New Roman" w:hAnsi="Times New Roman"/>
          <w:highlight w:val="none"/>
        </w:rPr>
        <w:t>身份证号码：</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14:paraId="14CCE35B">
      <w:pPr>
        <w:spacing w:line="440" w:lineRule="exact"/>
        <w:ind w:firstLine="2692" w:firstLineChars="1282"/>
        <w:rPr>
          <w:rFonts w:ascii="Times New Roman" w:hAnsi="Times New Roman"/>
          <w:highlight w:val="none"/>
        </w:rPr>
      </w:pPr>
    </w:p>
    <w:p w14:paraId="2752B446">
      <w:pPr>
        <w:spacing w:line="440" w:lineRule="exact"/>
        <w:ind w:firstLine="2692" w:firstLineChars="1282"/>
        <w:rPr>
          <w:rFonts w:ascii="Times New Roman" w:hAnsi="Times New Roman"/>
          <w:highlight w:val="none"/>
        </w:rPr>
      </w:pPr>
    </w:p>
    <w:p w14:paraId="3247ACA0">
      <w:pPr>
        <w:spacing w:line="440" w:lineRule="exact"/>
        <w:ind w:firstLine="4057" w:firstLineChars="1932"/>
        <w:jc w:val="right"/>
        <w:rPr>
          <w:rFonts w:ascii="Times New Roman" w:hAnsi="Times New Roman"/>
          <w:highlight w:val="none"/>
        </w:rPr>
      </w:pPr>
      <w:r>
        <w:rPr>
          <w:rFonts w:ascii="Times New Roman" w:hAnsi="Times New Roman"/>
          <w:highlight w:val="none"/>
          <w:u w:val="single"/>
        </w:rPr>
        <w:t xml:space="preserve">       </w:t>
      </w:r>
      <w:r>
        <w:rPr>
          <w:rFonts w:ascii="Times New Roman" w:hAnsi="Times New Roman"/>
          <w:highlight w:val="none"/>
        </w:rPr>
        <w:t>年</w:t>
      </w:r>
      <w:r>
        <w:rPr>
          <w:rFonts w:ascii="Times New Roman" w:hAnsi="Times New Roman"/>
          <w:highlight w:val="none"/>
          <w:u w:val="single"/>
        </w:rPr>
        <w:t xml:space="preserve">       </w:t>
      </w:r>
      <w:r>
        <w:rPr>
          <w:rFonts w:ascii="Times New Roman" w:hAnsi="Times New Roman"/>
          <w:highlight w:val="none"/>
        </w:rPr>
        <w:t>月</w:t>
      </w:r>
      <w:r>
        <w:rPr>
          <w:rFonts w:ascii="Times New Roman" w:hAnsi="Times New Roman"/>
          <w:highlight w:val="none"/>
          <w:u w:val="single"/>
        </w:rPr>
        <w:t xml:space="preserve">       </w:t>
      </w:r>
      <w:r>
        <w:rPr>
          <w:rFonts w:ascii="Times New Roman" w:hAnsi="Times New Roman"/>
          <w:highlight w:val="none"/>
        </w:rPr>
        <w:t>日</w:t>
      </w:r>
    </w:p>
    <w:p w14:paraId="03640C6B">
      <w:pPr>
        <w:spacing w:line="440" w:lineRule="exact"/>
        <w:ind w:firstLine="4057" w:firstLineChars="1932"/>
        <w:jc w:val="right"/>
        <w:rPr>
          <w:rFonts w:ascii="Times New Roman" w:hAnsi="Times New Roman"/>
          <w:highlight w:val="none"/>
        </w:rPr>
      </w:pPr>
    </w:p>
    <w:p w14:paraId="51811ECB">
      <w:pPr>
        <w:rPr>
          <w:highlight w:val="none"/>
        </w:rPr>
      </w:pPr>
    </w:p>
    <w:p w14:paraId="59E29A3C">
      <w:pPr>
        <w:rPr>
          <w:rFonts w:hint="eastAsia"/>
        </w:rPr>
      </w:pPr>
      <w:bookmarkStart w:id="1279" w:name="_Toc526001338"/>
    </w:p>
    <w:p w14:paraId="37711FA7">
      <w:pPr>
        <w:keepNext w:val="0"/>
        <w:keepLines w:val="0"/>
        <w:jc w:val="center"/>
        <w:rPr>
          <w:rFonts w:hint="default" w:ascii="Times New Roman" w:hAnsi="Times New Roman" w:cs="Times New Roman"/>
          <w:highlight w:val="none"/>
        </w:rPr>
      </w:pPr>
      <w:r>
        <w:rPr>
          <w:rFonts w:hint="default" w:ascii="Times New Roman" w:hAnsi="Times New Roman" w:cs="Times New Roman"/>
          <w:highlight w:val="none"/>
        </w:rPr>
        <w:br w:type="page"/>
      </w:r>
    </w:p>
    <w:p w14:paraId="7EE1C408">
      <w:pPr>
        <w:pStyle w:val="3"/>
        <w:keepNext w:val="0"/>
        <w:keepLines w:val="0"/>
        <w:jc w:val="center"/>
        <w:rPr>
          <w:rFonts w:hint="default" w:ascii="Times New Roman" w:hAnsi="Times New Roman" w:eastAsia="黑体" w:cs="Times New Roman"/>
          <w:sz w:val="32"/>
          <w:szCs w:val="20"/>
          <w:highlight w:val="none"/>
        </w:rPr>
      </w:pPr>
      <w:bookmarkStart w:id="1280" w:name="_Toc3442"/>
      <w:r>
        <w:rPr>
          <w:rFonts w:hint="default" w:ascii="Times New Roman" w:hAnsi="Times New Roman" w:cs="Times New Roman"/>
          <w:highlight w:val="none"/>
        </w:rPr>
        <w:t>三</w:t>
      </w:r>
      <w:r>
        <w:rPr>
          <w:rFonts w:ascii="Times New Roman" w:hAnsi="Times New Roman" w:cs="Times New Roman"/>
          <w:highlight w:val="none"/>
        </w:rPr>
        <w:t>、</w:t>
      </w:r>
      <w:r>
        <w:rPr>
          <w:rFonts w:hint="default" w:ascii="Times New Roman" w:hAnsi="Times New Roman" w:eastAsia="黑体" w:cs="Times New Roman"/>
          <w:sz w:val="32"/>
          <w:highlight w:val="none"/>
        </w:rPr>
        <w:t>关于投标保证金的承诺</w:t>
      </w:r>
      <w:bookmarkEnd w:id="1280"/>
    </w:p>
    <w:p w14:paraId="3557C5C5">
      <w:pPr>
        <w:pStyle w:val="15"/>
        <w:spacing w:line="560" w:lineRule="exact"/>
        <w:ind w:firstLine="560" w:firstLineChars="200"/>
        <w:rPr>
          <w:rFonts w:hint="eastAsia" w:hAnsi="宋体" w:cs="宋体"/>
          <w:sz w:val="28"/>
          <w:szCs w:val="28"/>
          <w:highlight w:val="none"/>
        </w:rPr>
      </w:pPr>
    </w:p>
    <w:p w14:paraId="0D0119DF">
      <w:pPr>
        <w:spacing w:line="48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本招标项目招标人及招标监管机构：</w:t>
      </w:r>
    </w:p>
    <w:p w14:paraId="2C36FB86">
      <w:pPr>
        <w:spacing w:line="48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本公司就参加</w:t>
      </w:r>
      <w:r>
        <w:rPr>
          <w:rFonts w:hint="eastAsia" w:ascii="宋体" w:hAnsi="宋体" w:eastAsia="宋体" w:cs="宋体"/>
          <w:sz w:val="21"/>
          <w:szCs w:val="21"/>
          <w:highlight w:val="none"/>
          <w:u w:val="single"/>
        </w:rPr>
        <w:t xml:space="preserve">      （招标项目名称）     </w:t>
      </w:r>
      <w:r>
        <w:rPr>
          <w:rFonts w:hint="eastAsia" w:ascii="宋体" w:hAnsi="宋体" w:eastAsia="宋体" w:cs="宋体"/>
          <w:sz w:val="21"/>
          <w:szCs w:val="21"/>
          <w:highlight w:val="none"/>
        </w:rPr>
        <w:t>项目的投标工作，作出郑重声明：</w:t>
      </w:r>
    </w:p>
    <w:p w14:paraId="7F6EFB22">
      <w:pPr>
        <w:spacing w:line="48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公司在投标时未提交投标保证金。我司理解在投标时免交投标保证金是为企业减负的举措，并未免除我司的投标义务，本公司一旦发生符合招标文件规定的不予退还投标保证金情形的，将按照招标人的要求，在规定的时间内向招标人足额补交投标保证金。</w:t>
      </w:r>
    </w:p>
    <w:p w14:paraId="0E32862A">
      <w:pPr>
        <w:spacing w:line="48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本公司违反上述保证的，将被视为虚假承诺，按相关规定进行信用记录。本公司对失信行为产生的一切后果已知悉，并承担由此产生的相应责任。</w:t>
      </w:r>
    </w:p>
    <w:p w14:paraId="12F31386">
      <w:pPr>
        <w:spacing w:line="48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特此承诺。</w:t>
      </w:r>
    </w:p>
    <w:p w14:paraId="4B11C70B">
      <w:pPr>
        <w:ind w:firstLine="420" w:firstLineChars="200"/>
        <w:jc w:val="left"/>
        <w:rPr>
          <w:rFonts w:hint="eastAsia" w:ascii="宋体" w:hAnsi="宋体" w:eastAsia="宋体" w:cs="宋体"/>
          <w:sz w:val="21"/>
          <w:szCs w:val="21"/>
          <w:highlight w:val="none"/>
        </w:rPr>
      </w:pPr>
    </w:p>
    <w:p w14:paraId="4724D4DF">
      <w:pPr>
        <w:spacing w:line="360" w:lineRule="auto"/>
        <w:ind w:firstLine="3780" w:firstLineChars="18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（盖章）</w:t>
      </w:r>
    </w:p>
    <w:p w14:paraId="19716179">
      <w:pPr>
        <w:topLinePunct/>
        <w:spacing w:line="360" w:lineRule="auto"/>
        <w:ind w:firstLine="3780" w:firstLineChars="1800"/>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7D9EE472">
      <w:pPr>
        <w:jc w:val="center"/>
        <w:rPr>
          <w:rFonts w:hint="eastAsia" w:ascii="宋体" w:hAnsi="宋体" w:eastAsia="宋体" w:cs="宋体"/>
          <w:szCs w:val="21"/>
          <w:highlight w:val="none"/>
        </w:rPr>
      </w:pPr>
    </w:p>
    <w:p w14:paraId="6243BBF5">
      <w:pPr>
        <w:spacing w:line="440" w:lineRule="exact"/>
        <w:rPr>
          <w:rFonts w:ascii="宋体" w:hAnsi="宋体"/>
          <w:highlight w:val="none"/>
          <w:u w:val="single"/>
        </w:rPr>
      </w:pPr>
      <w:r>
        <w:rPr>
          <w:szCs w:val="21"/>
          <w:highlight w:val="none"/>
        </w:rPr>
        <w:br w:type="page"/>
      </w:r>
      <w:bookmarkEnd w:id="1279"/>
    </w:p>
    <w:p w14:paraId="5BA3D238">
      <w:pPr>
        <w:pStyle w:val="3"/>
        <w:keepNext w:val="0"/>
        <w:keepLines w:val="0"/>
        <w:jc w:val="center"/>
        <w:rPr>
          <w:rFonts w:hint="default" w:ascii="Times New Roman" w:hAnsi="Times New Roman" w:eastAsia="黑体"/>
          <w:highlight w:val="none"/>
          <w:lang w:eastAsia="zh-CN"/>
        </w:rPr>
      </w:pPr>
      <w:bookmarkStart w:id="1281" w:name="_Toc526001339"/>
      <w:bookmarkStart w:id="1282" w:name="_Toc26102"/>
      <w:r>
        <w:rPr>
          <w:rFonts w:hint="default" w:ascii="Times New Roman" w:hAnsi="Times New Roman"/>
          <w:highlight w:val="none"/>
          <w:u w:val="none"/>
        </w:rPr>
        <w:t>四</w:t>
      </w:r>
      <w:r>
        <w:rPr>
          <w:rFonts w:ascii="Times New Roman" w:hAnsi="Times New Roman"/>
          <w:highlight w:val="none"/>
        </w:rPr>
        <w:t>、</w:t>
      </w:r>
      <w:bookmarkEnd w:id="1281"/>
      <w:r>
        <w:rPr>
          <w:rFonts w:hint="default" w:ascii="Times New Roman" w:hAnsi="Times New Roman"/>
          <w:b/>
          <w:highlight w:val="none"/>
          <w:lang w:eastAsia="zh-CN"/>
        </w:rPr>
        <w:t>投标报价清单</w:t>
      </w:r>
      <w:bookmarkEnd w:id="1282"/>
    </w:p>
    <w:p w14:paraId="32FE1431">
      <w:pPr>
        <w:jc w:val="center"/>
        <w:rPr>
          <w:rFonts w:hint="default" w:ascii="Arial" w:hAnsi="Arial"/>
          <w:szCs w:val="20"/>
          <w:lang w:val="en-US" w:eastAsia="zh-CN"/>
        </w:rPr>
      </w:pPr>
      <w:r>
        <w:rPr>
          <w:rFonts w:hint="eastAsia" w:ascii="Arial" w:hAnsi="Arial"/>
          <w:szCs w:val="20"/>
          <w:lang w:val="en-US" w:eastAsia="zh-CN"/>
        </w:rPr>
        <w:t>（</w:t>
      </w:r>
      <w:r>
        <w:rPr>
          <w:rFonts w:hint="default" w:ascii="Arial" w:hAnsi="Arial"/>
          <w:szCs w:val="20"/>
          <w:lang w:val="en-US" w:eastAsia="zh-CN"/>
        </w:rPr>
        <w:t>另册</w:t>
      </w:r>
      <w:r>
        <w:rPr>
          <w:rFonts w:hint="eastAsia" w:ascii="Arial" w:hAnsi="Arial"/>
          <w:szCs w:val="20"/>
          <w:lang w:val="en-US" w:eastAsia="zh-CN"/>
        </w:rPr>
        <w:t>）</w:t>
      </w:r>
      <w:bookmarkStart w:id="1283" w:name="_Toc526001340"/>
    </w:p>
    <w:p w14:paraId="28F12C39">
      <w:pPr>
        <w:rPr>
          <w:rFonts w:hint="eastAsia" w:ascii="Times New Roman" w:hAnsi="Times New Roman"/>
          <w:szCs w:val="21"/>
          <w:highlight w:val="none"/>
          <w:lang w:val="en-US" w:eastAsia="zh-CN"/>
        </w:rPr>
      </w:pPr>
      <w:r>
        <w:rPr>
          <w:rFonts w:hint="eastAsia" w:ascii="Times New Roman" w:hAnsi="Times New Roman"/>
          <w:szCs w:val="21"/>
          <w:highlight w:val="none"/>
          <w:lang w:val="en-US" w:eastAsia="zh-CN"/>
        </w:rPr>
        <w:br w:type="page"/>
      </w:r>
    </w:p>
    <w:p w14:paraId="18C27AE3">
      <w:pPr>
        <w:pStyle w:val="3"/>
        <w:keepNext w:val="0"/>
        <w:keepLines w:val="0"/>
        <w:spacing w:after="0" w:line="240" w:lineRule="auto"/>
        <w:jc w:val="center"/>
        <w:rPr>
          <w:rFonts w:ascii="Times New Roman" w:hAnsi="Times New Roman"/>
          <w:highlight w:val="none"/>
        </w:rPr>
      </w:pPr>
      <w:bookmarkStart w:id="1284" w:name="_Toc24493"/>
      <w:r>
        <w:rPr>
          <w:rFonts w:ascii="Times New Roman" w:hAnsi="Times New Roman"/>
          <w:highlight w:val="none"/>
        </w:rPr>
        <w:t>五、资格审查资料</w:t>
      </w:r>
      <w:bookmarkEnd w:id="1283"/>
      <w:bookmarkEnd w:id="1284"/>
    </w:p>
    <w:p w14:paraId="1435BFD5">
      <w:pPr>
        <w:pStyle w:val="4"/>
        <w:keepNext w:val="0"/>
        <w:keepLines w:val="0"/>
        <w:spacing w:before="20" w:after="0"/>
        <w:ind w:firstLine="137"/>
        <w:rPr>
          <w:rFonts w:ascii="Times New Roman" w:hAnsi="Times New Roman"/>
          <w:highlight w:val="none"/>
        </w:rPr>
      </w:pPr>
      <w:bookmarkStart w:id="1285" w:name="_Toc526001341"/>
      <w:r>
        <w:rPr>
          <w:rFonts w:ascii="Times New Roman" w:hAnsi="Times New Roman"/>
          <w:highlight w:val="none"/>
        </w:rPr>
        <w:t>（一）基本情况表</w:t>
      </w:r>
      <w:bookmarkEnd w:id="1285"/>
    </w:p>
    <w:tbl>
      <w:tblPr>
        <w:tblStyle w:val="2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25"/>
        <w:gridCol w:w="930"/>
        <w:gridCol w:w="1063"/>
        <w:gridCol w:w="1340"/>
        <w:gridCol w:w="426"/>
        <w:gridCol w:w="908"/>
        <w:gridCol w:w="857"/>
        <w:gridCol w:w="297"/>
        <w:gridCol w:w="1282"/>
      </w:tblGrid>
      <w:tr w14:paraId="1F954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43099756">
            <w:pPr>
              <w:topLinePunct/>
              <w:spacing w:line="440" w:lineRule="exact"/>
              <w:jc w:val="center"/>
              <w:rPr>
                <w:rFonts w:ascii="Times New Roman" w:hAnsi="Times New Roman"/>
                <w:highlight w:val="none"/>
              </w:rPr>
            </w:pPr>
            <w:r>
              <w:rPr>
                <w:rFonts w:ascii="Times New Roman" w:hAnsi="Times New Roman"/>
                <w:highlight w:val="none"/>
              </w:rPr>
              <w:t>投标人名称</w:t>
            </w:r>
          </w:p>
        </w:tc>
        <w:tc>
          <w:tcPr>
            <w:tcW w:w="3848" w:type="pct"/>
            <w:gridSpan w:val="8"/>
            <w:tcBorders>
              <w:top w:val="single" w:color="auto" w:sz="4" w:space="0"/>
              <w:left w:val="single" w:color="auto" w:sz="4" w:space="0"/>
              <w:bottom w:val="single" w:color="auto" w:sz="4" w:space="0"/>
              <w:right w:val="single" w:color="auto" w:sz="4" w:space="0"/>
            </w:tcBorders>
            <w:noWrap w:val="0"/>
            <w:vAlign w:val="center"/>
          </w:tcPr>
          <w:p w14:paraId="2ED5070A">
            <w:pPr>
              <w:topLinePunct/>
              <w:spacing w:line="440" w:lineRule="exact"/>
              <w:jc w:val="center"/>
              <w:rPr>
                <w:rFonts w:ascii="Times New Roman" w:hAnsi="Times New Roman"/>
                <w:highlight w:val="none"/>
              </w:rPr>
            </w:pPr>
          </w:p>
        </w:tc>
      </w:tr>
      <w:tr w14:paraId="7298D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417BAE35">
            <w:pPr>
              <w:topLinePunct/>
              <w:spacing w:line="440" w:lineRule="exact"/>
              <w:jc w:val="center"/>
              <w:rPr>
                <w:rFonts w:ascii="Times New Roman" w:hAnsi="Times New Roman"/>
                <w:highlight w:val="none"/>
              </w:rPr>
            </w:pPr>
            <w:r>
              <w:rPr>
                <w:rFonts w:ascii="Times New Roman" w:hAnsi="Times New Roman"/>
                <w:highlight w:val="none"/>
              </w:rPr>
              <w:t>注册地址</w:t>
            </w:r>
          </w:p>
        </w:tc>
        <w:tc>
          <w:tcPr>
            <w:tcW w:w="1806" w:type="pct"/>
            <w:gridSpan w:val="3"/>
            <w:tcBorders>
              <w:top w:val="single" w:color="auto" w:sz="4" w:space="0"/>
              <w:left w:val="single" w:color="auto" w:sz="4" w:space="0"/>
              <w:bottom w:val="single" w:color="auto" w:sz="4" w:space="0"/>
              <w:right w:val="single" w:color="auto" w:sz="4" w:space="0"/>
            </w:tcBorders>
            <w:noWrap w:val="0"/>
            <w:vAlign w:val="center"/>
          </w:tcPr>
          <w:p w14:paraId="3D755BE6">
            <w:pPr>
              <w:topLinePunct/>
              <w:spacing w:line="440" w:lineRule="exact"/>
              <w:jc w:val="center"/>
              <w:rPr>
                <w:rFonts w:ascii="Times New Roman" w:hAnsi="Times New Roman"/>
                <w:highlight w:val="none"/>
              </w:rPr>
            </w:pPr>
          </w:p>
        </w:tc>
        <w:tc>
          <w:tcPr>
            <w:tcW w:w="723" w:type="pct"/>
            <w:gridSpan w:val="2"/>
            <w:tcBorders>
              <w:top w:val="single" w:color="auto" w:sz="4" w:space="0"/>
              <w:left w:val="single" w:color="auto" w:sz="4" w:space="0"/>
              <w:bottom w:val="single" w:color="auto" w:sz="4" w:space="0"/>
              <w:right w:val="single" w:color="auto" w:sz="4" w:space="0"/>
            </w:tcBorders>
            <w:noWrap w:val="0"/>
            <w:vAlign w:val="center"/>
          </w:tcPr>
          <w:p w14:paraId="02D78C62">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邮政编码</w:t>
            </w:r>
          </w:p>
        </w:tc>
        <w:tc>
          <w:tcPr>
            <w:tcW w:w="1319" w:type="pct"/>
            <w:gridSpan w:val="3"/>
            <w:tcBorders>
              <w:top w:val="single" w:color="auto" w:sz="4" w:space="0"/>
              <w:left w:val="single" w:color="auto" w:sz="4" w:space="0"/>
              <w:bottom w:val="single" w:color="auto" w:sz="4" w:space="0"/>
              <w:right w:val="single" w:color="auto" w:sz="4" w:space="0"/>
            </w:tcBorders>
            <w:noWrap w:val="0"/>
            <w:vAlign w:val="center"/>
          </w:tcPr>
          <w:p w14:paraId="0A0D1CCA">
            <w:pPr>
              <w:topLinePunct/>
              <w:spacing w:line="440" w:lineRule="exact"/>
              <w:jc w:val="center"/>
              <w:rPr>
                <w:rFonts w:ascii="Times New Roman" w:hAnsi="Times New Roman"/>
                <w:highlight w:val="none"/>
              </w:rPr>
            </w:pPr>
          </w:p>
        </w:tc>
      </w:tr>
      <w:tr w14:paraId="3BCCE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vMerge w:val="restart"/>
            <w:tcBorders>
              <w:top w:val="single" w:color="auto" w:sz="4" w:space="0"/>
              <w:left w:val="single" w:color="auto" w:sz="4" w:space="0"/>
              <w:bottom w:val="single" w:color="auto" w:sz="4" w:space="0"/>
              <w:right w:val="single" w:color="auto" w:sz="4" w:space="0"/>
            </w:tcBorders>
            <w:noWrap w:val="0"/>
            <w:vAlign w:val="center"/>
          </w:tcPr>
          <w:p w14:paraId="28C490AF">
            <w:pPr>
              <w:topLinePunct/>
              <w:spacing w:line="440" w:lineRule="exact"/>
              <w:jc w:val="center"/>
              <w:rPr>
                <w:rFonts w:ascii="Times New Roman" w:hAnsi="Times New Roman"/>
                <w:highlight w:val="none"/>
              </w:rPr>
            </w:pPr>
            <w:r>
              <w:rPr>
                <w:rFonts w:ascii="Times New Roman" w:hAnsi="Times New Roman"/>
                <w:highlight w:val="none"/>
              </w:rPr>
              <w:t>联系方式</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53FEFCA9">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联系人</w:t>
            </w:r>
          </w:p>
        </w:tc>
        <w:tc>
          <w:tcPr>
            <w:tcW w:w="1302" w:type="pct"/>
            <w:gridSpan w:val="2"/>
            <w:tcBorders>
              <w:top w:val="single" w:color="auto" w:sz="4" w:space="0"/>
              <w:left w:val="single" w:color="auto" w:sz="4" w:space="0"/>
              <w:bottom w:val="single" w:color="auto" w:sz="4" w:space="0"/>
              <w:right w:val="single" w:color="auto" w:sz="4" w:space="0"/>
            </w:tcBorders>
            <w:noWrap w:val="0"/>
            <w:vAlign w:val="center"/>
          </w:tcPr>
          <w:p w14:paraId="72A0BCBD">
            <w:pPr>
              <w:topLinePunct/>
              <w:spacing w:line="440" w:lineRule="exact"/>
              <w:jc w:val="center"/>
              <w:rPr>
                <w:rFonts w:ascii="Times New Roman" w:hAnsi="Times New Roman"/>
                <w:highlight w:val="none"/>
              </w:rPr>
            </w:pPr>
          </w:p>
        </w:tc>
        <w:tc>
          <w:tcPr>
            <w:tcW w:w="723" w:type="pct"/>
            <w:gridSpan w:val="2"/>
            <w:tcBorders>
              <w:top w:val="single" w:color="auto" w:sz="4" w:space="0"/>
              <w:left w:val="single" w:color="auto" w:sz="4" w:space="0"/>
              <w:bottom w:val="single" w:color="auto" w:sz="4" w:space="0"/>
              <w:right w:val="single" w:color="auto" w:sz="4" w:space="0"/>
            </w:tcBorders>
            <w:noWrap w:val="0"/>
            <w:vAlign w:val="center"/>
          </w:tcPr>
          <w:p w14:paraId="3449CFC8">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电 话</w:t>
            </w:r>
          </w:p>
        </w:tc>
        <w:tc>
          <w:tcPr>
            <w:tcW w:w="1319" w:type="pct"/>
            <w:gridSpan w:val="3"/>
            <w:tcBorders>
              <w:top w:val="single" w:color="auto" w:sz="4" w:space="0"/>
              <w:left w:val="single" w:color="auto" w:sz="4" w:space="0"/>
              <w:bottom w:val="single" w:color="auto" w:sz="4" w:space="0"/>
              <w:right w:val="single" w:color="auto" w:sz="4" w:space="0"/>
            </w:tcBorders>
            <w:noWrap w:val="0"/>
            <w:vAlign w:val="center"/>
          </w:tcPr>
          <w:p w14:paraId="3A24B286">
            <w:pPr>
              <w:topLinePunct/>
              <w:spacing w:line="440" w:lineRule="exact"/>
              <w:jc w:val="center"/>
              <w:rPr>
                <w:rFonts w:ascii="Times New Roman" w:hAnsi="Times New Roman"/>
                <w:highlight w:val="none"/>
              </w:rPr>
            </w:pPr>
          </w:p>
        </w:tc>
      </w:tr>
      <w:tr w14:paraId="28BAB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vMerge w:val="continue"/>
            <w:tcBorders>
              <w:top w:val="single" w:color="auto" w:sz="4" w:space="0"/>
              <w:left w:val="single" w:color="auto" w:sz="4" w:space="0"/>
              <w:bottom w:val="single" w:color="auto" w:sz="4" w:space="0"/>
              <w:right w:val="single" w:color="auto" w:sz="4" w:space="0"/>
            </w:tcBorders>
            <w:noWrap w:val="0"/>
            <w:vAlign w:val="center"/>
          </w:tcPr>
          <w:p w14:paraId="383D9FE3">
            <w:pPr>
              <w:jc w:val="center"/>
              <w:rPr>
                <w:rFonts w:ascii="Times New Roman" w:hAnsi="Times New Roman"/>
                <w:highlight w:val="none"/>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2ED1BB53">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传  真</w:t>
            </w:r>
          </w:p>
        </w:tc>
        <w:tc>
          <w:tcPr>
            <w:tcW w:w="1302" w:type="pct"/>
            <w:gridSpan w:val="2"/>
            <w:tcBorders>
              <w:top w:val="single" w:color="auto" w:sz="4" w:space="0"/>
              <w:left w:val="single" w:color="auto" w:sz="4" w:space="0"/>
              <w:bottom w:val="single" w:color="auto" w:sz="4" w:space="0"/>
              <w:right w:val="single" w:color="auto" w:sz="4" w:space="0"/>
            </w:tcBorders>
            <w:noWrap w:val="0"/>
            <w:vAlign w:val="center"/>
          </w:tcPr>
          <w:p w14:paraId="59316C1F">
            <w:pPr>
              <w:topLinePunct/>
              <w:spacing w:line="440" w:lineRule="exact"/>
              <w:jc w:val="center"/>
              <w:rPr>
                <w:rFonts w:ascii="Times New Roman" w:hAnsi="Times New Roman"/>
                <w:highlight w:val="none"/>
              </w:rPr>
            </w:pPr>
          </w:p>
        </w:tc>
        <w:tc>
          <w:tcPr>
            <w:tcW w:w="723" w:type="pct"/>
            <w:gridSpan w:val="2"/>
            <w:tcBorders>
              <w:top w:val="single" w:color="auto" w:sz="4" w:space="0"/>
              <w:left w:val="single" w:color="auto" w:sz="4" w:space="0"/>
              <w:bottom w:val="single" w:color="auto" w:sz="4" w:space="0"/>
              <w:right w:val="single" w:color="auto" w:sz="4" w:space="0"/>
            </w:tcBorders>
            <w:noWrap w:val="0"/>
            <w:vAlign w:val="center"/>
          </w:tcPr>
          <w:p w14:paraId="4C40BA50">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网 址</w:t>
            </w:r>
          </w:p>
        </w:tc>
        <w:tc>
          <w:tcPr>
            <w:tcW w:w="1319" w:type="pct"/>
            <w:gridSpan w:val="3"/>
            <w:tcBorders>
              <w:top w:val="single" w:color="auto" w:sz="4" w:space="0"/>
              <w:left w:val="single" w:color="auto" w:sz="4" w:space="0"/>
              <w:bottom w:val="single" w:color="auto" w:sz="4" w:space="0"/>
              <w:right w:val="single" w:color="auto" w:sz="4" w:space="0"/>
            </w:tcBorders>
            <w:noWrap w:val="0"/>
            <w:vAlign w:val="center"/>
          </w:tcPr>
          <w:p w14:paraId="3BAF3D4A">
            <w:pPr>
              <w:topLinePunct/>
              <w:spacing w:line="440" w:lineRule="exact"/>
              <w:jc w:val="center"/>
              <w:rPr>
                <w:rFonts w:ascii="Times New Roman" w:hAnsi="Times New Roman"/>
                <w:highlight w:val="none"/>
              </w:rPr>
            </w:pPr>
          </w:p>
        </w:tc>
      </w:tr>
      <w:tr w14:paraId="6BCA9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583B2803">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法定代表人</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64368CDA">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姓名</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1E16AEE3">
            <w:pPr>
              <w:topLinePunct/>
              <w:spacing w:line="440" w:lineRule="exact"/>
              <w:jc w:val="center"/>
              <w:rPr>
                <w:rFonts w:ascii="Times New Roman" w:hAnsi="Times New Roman"/>
                <w:highlight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65FF6091">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技术职称</w:t>
            </w:r>
          </w:p>
        </w:tc>
        <w:tc>
          <w:tcPr>
            <w:tcW w:w="723" w:type="pct"/>
            <w:gridSpan w:val="2"/>
            <w:tcBorders>
              <w:top w:val="single" w:color="auto" w:sz="4" w:space="0"/>
              <w:left w:val="single" w:color="auto" w:sz="4" w:space="0"/>
              <w:bottom w:val="single" w:color="auto" w:sz="4" w:space="0"/>
              <w:right w:val="single" w:color="auto" w:sz="4" w:space="0"/>
            </w:tcBorders>
            <w:noWrap w:val="0"/>
            <w:vAlign w:val="center"/>
          </w:tcPr>
          <w:p w14:paraId="7A0D59A2">
            <w:pPr>
              <w:topLinePunct/>
              <w:spacing w:line="440" w:lineRule="exact"/>
              <w:jc w:val="center"/>
              <w:rPr>
                <w:rFonts w:ascii="Times New Roman" w:hAnsi="Times New Roman"/>
                <w:highlight w:val="none"/>
              </w:rPr>
            </w:pPr>
          </w:p>
        </w:tc>
        <w:tc>
          <w:tcPr>
            <w:tcW w:w="625" w:type="pct"/>
            <w:gridSpan w:val="2"/>
            <w:tcBorders>
              <w:top w:val="single" w:color="auto" w:sz="4" w:space="0"/>
              <w:left w:val="single" w:color="auto" w:sz="4" w:space="0"/>
              <w:bottom w:val="single" w:color="auto" w:sz="4" w:space="0"/>
              <w:right w:val="single" w:color="auto" w:sz="4" w:space="0"/>
            </w:tcBorders>
            <w:noWrap w:val="0"/>
            <w:vAlign w:val="center"/>
          </w:tcPr>
          <w:p w14:paraId="7F524CAF">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电话</w:t>
            </w:r>
          </w:p>
        </w:tc>
        <w:tc>
          <w:tcPr>
            <w:tcW w:w="693" w:type="pct"/>
            <w:tcBorders>
              <w:top w:val="single" w:color="auto" w:sz="4" w:space="0"/>
              <w:left w:val="single" w:color="auto" w:sz="4" w:space="0"/>
              <w:bottom w:val="single" w:color="auto" w:sz="4" w:space="0"/>
              <w:right w:val="single" w:color="auto" w:sz="4" w:space="0"/>
            </w:tcBorders>
            <w:noWrap w:val="0"/>
            <w:vAlign w:val="center"/>
          </w:tcPr>
          <w:p w14:paraId="48A7E230">
            <w:pPr>
              <w:topLinePunct/>
              <w:spacing w:line="440" w:lineRule="exact"/>
              <w:jc w:val="center"/>
              <w:rPr>
                <w:rFonts w:ascii="Times New Roman" w:hAnsi="Times New Roman"/>
                <w:highlight w:val="none"/>
              </w:rPr>
            </w:pPr>
          </w:p>
        </w:tc>
      </w:tr>
      <w:tr w14:paraId="5E491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00E2C9FC">
            <w:pPr>
              <w:topLinePunct/>
              <w:spacing w:line="440" w:lineRule="exact"/>
              <w:jc w:val="center"/>
              <w:rPr>
                <w:rFonts w:ascii="Times New Roman" w:hAnsi="Times New Roman"/>
                <w:highlight w:val="none"/>
              </w:rPr>
            </w:pPr>
            <w:r>
              <w:rPr>
                <w:rFonts w:ascii="Times New Roman" w:hAnsi="Times New Roman"/>
                <w:szCs w:val="21"/>
                <w:highlight w:val="none"/>
              </w:rPr>
              <w:t>技术负责人</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3E579E76">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姓名</w:t>
            </w:r>
          </w:p>
        </w:tc>
        <w:tc>
          <w:tcPr>
            <w:tcW w:w="576" w:type="pct"/>
            <w:tcBorders>
              <w:top w:val="single" w:color="auto" w:sz="4" w:space="0"/>
              <w:left w:val="single" w:color="auto" w:sz="4" w:space="0"/>
              <w:bottom w:val="single" w:color="auto" w:sz="4" w:space="0"/>
              <w:right w:val="single" w:color="auto" w:sz="4" w:space="0"/>
            </w:tcBorders>
            <w:noWrap w:val="0"/>
            <w:vAlign w:val="center"/>
          </w:tcPr>
          <w:p w14:paraId="4EE6F66A">
            <w:pPr>
              <w:topLinePunct/>
              <w:spacing w:line="440" w:lineRule="exact"/>
              <w:jc w:val="center"/>
              <w:rPr>
                <w:rFonts w:ascii="Times New Roman" w:hAnsi="Times New Roman"/>
                <w:highlight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7A94885F">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技术职称</w:t>
            </w:r>
          </w:p>
        </w:tc>
        <w:tc>
          <w:tcPr>
            <w:tcW w:w="723" w:type="pct"/>
            <w:gridSpan w:val="2"/>
            <w:tcBorders>
              <w:top w:val="single" w:color="auto" w:sz="4" w:space="0"/>
              <w:left w:val="single" w:color="auto" w:sz="4" w:space="0"/>
              <w:bottom w:val="single" w:color="auto" w:sz="4" w:space="0"/>
              <w:right w:val="single" w:color="auto" w:sz="4" w:space="0"/>
            </w:tcBorders>
            <w:noWrap w:val="0"/>
            <w:vAlign w:val="center"/>
          </w:tcPr>
          <w:p w14:paraId="45EA4E1A">
            <w:pPr>
              <w:topLinePunct/>
              <w:spacing w:line="440" w:lineRule="exact"/>
              <w:jc w:val="center"/>
              <w:rPr>
                <w:rFonts w:ascii="Times New Roman" w:hAnsi="Times New Roman"/>
                <w:highlight w:val="none"/>
              </w:rPr>
            </w:pPr>
          </w:p>
        </w:tc>
        <w:tc>
          <w:tcPr>
            <w:tcW w:w="625" w:type="pct"/>
            <w:gridSpan w:val="2"/>
            <w:tcBorders>
              <w:top w:val="single" w:color="auto" w:sz="4" w:space="0"/>
              <w:left w:val="single" w:color="auto" w:sz="4" w:space="0"/>
              <w:bottom w:val="single" w:color="auto" w:sz="4" w:space="0"/>
              <w:right w:val="single" w:color="auto" w:sz="4" w:space="0"/>
            </w:tcBorders>
            <w:noWrap w:val="0"/>
            <w:vAlign w:val="center"/>
          </w:tcPr>
          <w:p w14:paraId="79165715">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电话</w:t>
            </w:r>
          </w:p>
        </w:tc>
        <w:tc>
          <w:tcPr>
            <w:tcW w:w="693" w:type="pct"/>
            <w:tcBorders>
              <w:top w:val="single" w:color="auto" w:sz="4" w:space="0"/>
              <w:left w:val="single" w:color="auto" w:sz="4" w:space="0"/>
              <w:bottom w:val="single" w:color="auto" w:sz="4" w:space="0"/>
              <w:right w:val="single" w:color="auto" w:sz="4" w:space="0"/>
            </w:tcBorders>
            <w:noWrap w:val="0"/>
            <w:vAlign w:val="center"/>
          </w:tcPr>
          <w:p w14:paraId="1609E75A">
            <w:pPr>
              <w:topLinePunct/>
              <w:spacing w:line="440" w:lineRule="exact"/>
              <w:jc w:val="center"/>
              <w:rPr>
                <w:rFonts w:ascii="Times New Roman" w:hAnsi="Times New Roman"/>
                <w:highlight w:val="none"/>
              </w:rPr>
            </w:pPr>
          </w:p>
        </w:tc>
      </w:tr>
      <w:tr w14:paraId="70324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20F2F886">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企业资质证书</w:t>
            </w:r>
          </w:p>
        </w:tc>
        <w:tc>
          <w:tcPr>
            <w:tcW w:w="3848" w:type="pct"/>
            <w:gridSpan w:val="8"/>
            <w:tcBorders>
              <w:top w:val="single" w:color="auto" w:sz="4" w:space="0"/>
              <w:left w:val="single" w:color="auto" w:sz="4" w:space="0"/>
              <w:bottom w:val="single" w:color="auto" w:sz="4" w:space="0"/>
              <w:right w:val="single" w:color="auto" w:sz="4" w:space="0"/>
            </w:tcBorders>
            <w:noWrap w:val="0"/>
            <w:vAlign w:val="center"/>
          </w:tcPr>
          <w:p w14:paraId="76E5CCBF">
            <w:pPr>
              <w:topLinePunct/>
              <w:spacing w:before="100" w:beforeAutospacing="1" w:after="100" w:afterAutospacing="1" w:line="440" w:lineRule="exact"/>
              <w:ind w:firstLine="105" w:firstLineChars="50"/>
              <w:jc w:val="center"/>
              <w:rPr>
                <w:rFonts w:ascii="Times New Roman" w:hAnsi="Times New Roman"/>
                <w:highlight w:val="none"/>
              </w:rPr>
            </w:pPr>
            <w:r>
              <w:rPr>
                <w:rFonts w:ascii="Times New Roman" w:hAnsi="Times New Roman"/>
                <w:highlight w:val="none"/>
              </w:rPr>
              <w:t>类型：                    等级：      证书号：</w:t>
            </w:r>
          </w:p>
        </w:tc>
      </w:tr>
      <w:tr w14:paraId="68E88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7343343E">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质量管理体系证书（如有）</w:t>
            </w:r>
          </w:p>
        </w:tc>
        <w:tc>
          <w:tcPr>
            <w:tcW w:w="3848" w:type="pct"/>
            <w:gridSpan w:val="8"/>
            <w:tcBorders>
              <w:top w:val="single" w:color="auto" w:sz="4" w:space="0"/>
              <w:left w:val="single" w:color="auto" w:sz="4" w:space="0"/>
              <w:bottom w:val="single" w:color="auto" w:sz="4" w:space="0"/>
              <w:right w:val="single" w:color="auto" w:sz="4" w:space="0"/>
            </w:tcBorders>
            <w:noWrap w:val="0"/>
            <w:vAlign w:val="center"/>
          </w:tcPr>
          <w:p w14:paraId="180EF38F">
            <w:pPr>
              <w:topLinePunct/>
              <w:spacing w:before="100" w:beforeAutospacing="1" w:after="100" w:afterAutospacing="1" w:line="440" w:lineRule="exact"/>
              <w:ind w:firstLine="105" w:firstLineChars="50"/>
              <w:jc w:val="center"/>
              <w:rPr>
                <w:rFonts w:ascii="Times New Roman" w:hAnsi="Times New Roman"/>
                <w:highlight w:val="none"/>
              </w:rPr>
            </w:pPr>
            <w:r>
              <w:rPr>
                <w:rFonts w:ascii="Times New Roman" w:hAnsi="Times New Roman"/>
                <w:highlight w:val="none"/>
              </w:rPr>
              <w:t>类型：                    等级：      证书号：</w:t>
            </w:r>
          </w:p>
        </w:tc>
      </w:tr>
      <w:tr w14:paraId="772BC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4B2CB303">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营业执照号</w:t>
            </w:r>
          </w:p>
        </w:tc>
        <w:tc>
          <w:tcPr>
            <w:tcW w:w="1806" w:type="pct"/>
            <w:gridSpan w:val="3"/>
            <w:tcBorders>
              <w:top w:val="single" w:color="auto" w:sz="4" w:space="0"/>
              <w:left w:val="single" w:color="auto" w:sz="4" w:space="0"/>
              <w:bottom w:val="single" w:color="auto" w:sz="4" w:space="0"/>
              <w:right w:val="single" w:color="auto" w:sz="4" w:space="0"/>
            </w:tcBorders>
            <w:noWrap w:val="0"/>
            <w:vAlign w:val="center"/>
          </w:tcPr>
          <w:p w14:paraId="2A0561A2">
            <w:pPr>
              <w:topLinePunct/>
              <w:spacing w:line="440" w:lineRule="exact"/>
              <w:jc w:val="center"/>
              <w:rPr>
                <w:rFonts w:ascii="Times New Roman" w:hAnsi="Times New Roman"/>
                <w:highlight w:val="none"/>
              </w:rPr>
            </w:pPr>
          </w:p>
        </w:tc>
        <w:tc>
          <w:tcPr>
            <w:tcW w:w="2042" w:type="pct"/>
            <w:gridSpan w:val="5"/>
            <w:tcBorders>
              <w:top w:val="single" w:color="auto" w:sz="4" w:space="0"/>
              <w:left w:val="single" w:color="auto" w:sz="4" w:space="0"/>
              <w:bottom w:val="single" w:color="auto" w:sz="4" w:space="0"/>
              <w:right w:val="single" w:color="auto" w:sz="4" w:space="0"/>
            </w:tcBorders>
            <w:noWrap w:val="0"/>
            <w:vAlign w:val="center"/>
          </w:tcPr>
          <w:p w14:paraId="006063D2">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员工总人数：</w:t>
            </w:r>
          </w:p>
        </w:tc>
      </w:tr>
      <w:tr w14:paraId="722C9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051CA58C">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注册资本</w:t>
            </w:r>
          </w:p>
        </w:tc>
        <w:tc>
          <w:tcPr>
            <w:tcW w:w="1806" w:type="pct"/>
            <w:gridSpan w:val="3"/>
            <w:tcBorders>
              <w:top w:val="single" w:color="auto" w:sz="4" w:space="0"/>
              <w:left w:val="single" w:color="auto" w:sz="4" w:space="0"/>
              <w:bottom w:val="single" w:color="auto" w:sz="4" w:space="0"/>
              <w:right w:val="single" w:color="auto" w:sz="4" w:space="0"/>
            </w:tcBorders>
            <w:noWrap w:val="0"/>
            <w:vAlign w:val="center"/>
          </w:tcPr>
          <w:p w14:paraId="0D074ADB">
            <w:pPr>
              <w:topLinePunct/>
              <w:spacing w:line="440" w:lineRule="exact"/>
              <w:jc w:val="center"/>
              <w:rPr>
                <w:rFonts w:ascii="Times New Roman" w:hAnsi="Times New Roman"/>
                <w:highlight w:val="none"/>
              </w:rPr>
            </w:pPr>
          </w:p>
        </w:tc>
        <w:tc>
          <w:tcPr>
            <w:tcW w:w="231" w:type="pct"/>
            <w:vMerge w:val="restart"/>
            <w:tcBorders>
              <w:top w:val="single" w:color="auto" w:sz="4" w:space="0"/>
              <w:left w:val="single" w:color="auto" w:sz="4" w:space="0"/>
              <w:right w:val="single" w:color="auto" w:sz="4" w:space="0"/>
            </w:tcBorders>
            <w:noWrap w:val="0"/>
            <w:vAlign w:val="center"/>
          </w:tcPr>
          <w:p w14:paraId="4FE50A7D">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其中</w:t>
            </w:r>
          </w:p>
        </w:tc>
        <w:tc>
          <w:tcPr>
            <w:tcW w:w="956" w:type="pct"/>
            <w:gridSpan w:val="2"/>
            <w:tcBorders>
              <w:top w:val="single" w:color="auto" w:sz="4" w:space="0"/>
              <w:left w:val="single" w:color="auto" w:sz="4" w:space="0"/>
              <w:bottom w:val="single" w:color="auto" w:sz="4" w:space="0"/>
              <w:right w:val="single" w:color="auto" w:sz="4" w:space="0"/>
            </w:tcBorders>
            <w:noWrap w:val="0"/>
            <w:vAlign w:val="center"/>
          </w:tcPr>
          <w:p w14:paraId="0B9CED77">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高级职称人员</w:t>
            </w:r>
          </w:p>
        </w:tc>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18777E8E">
            <w:pPr>
              <w:topLinePunct/>
              <w:spacing w:line="440" w:lineRule="exact"/>
              <w:jc w:val="center"/>
              <w:rPr>
                <w:rFonts w:ascii="Times New Roman" w:hAnsi="Times New Roman"/>
                <w:highlight w:val="none"/>
              </w:rPr>
            </w:pPr>
          </w:p>
        </w:tc>
      </w:tr>
      <w:tr w14:paraId="07753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04EA16E3">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成立日期</w:t>
            </w:r>
          </w:p>
        </w:tc>
        <w:tc>
          <w:tcPr>
            <w:tcW w:w="1806" w:type="pct"/>
            <w:gridSpan w:val="3"/>
            <w:tcBorders>
              <w:top w:val="single" w:color="auto" w:sz="4" w:space="0"/>
              <w:left w:val="single" w:color="auto" w:sz="4" w:space="0"/>
              <w:bottom w:val="single" w:color="auto" w:sz="4" w:space="0"/>
              <w:right w:val="single" w:color="auto" w:sz="4" w:space="0"/>
            </w:tcBorders>
            <w:noWrap w:val="0"/>
            <w:vAlign w:val="center"/>
          </w:tcPr>
          <w:p w14:paraId="191BF060">
            <w:pPr>
              <w:topLinePunct/>
              <w:spacing w:line="440" w:lineRule="exact"/>
              <w:jc w:val="center"/>
              <w:rPr>
                <w:rFonts w:ascii="Times New Roman" w:hAnsi="Times New Roman"/>
                <w:highlight w:val="none"/>
              </w:rPr>
            </w:pPr>
          </w:p>
        </w:tc>
        <w:tc>
          <w:tcPr>
            <w:tcW w:w="231" w:type="pct"/>
            <w:vMerge w:val="continue"/>
            <w:tcBorders>
              <w:left w:val="single" w:color="auto" w:sz="4" w:space="0"/>
              <w:right w:val="single" w:color="auto" w:sz="4" w:space="0"/>
            </w:tcBorders>
            <w:noWrap w:val="0"/>
            <w:vAlign w:val="center"/>
          </w:tcPr>
          <w:p w14:paraId="2E6D8D94">
            <w:pPr>
              <w:jc w:val="center"/>
              <w:rPr>
                <w:rFonts w:ascii="Times New Roman" w:hAnsi="Times New Roman"/>
                <w:highlight w:val="none"/>
              </w:rPr>
            </w:pPr>
          </w:p>
        </w:tc>
        <w:tc>
          <w:tcPr>
            <w:tcW w:w="956" w:type="pct"/>
            <w:gridSpan w:val="2"/>
            <w:tcBorders>
              <w:top w:val="single" w:color="auto" w:sz="4" w:space="0"/>
              <w:left w:val="single" w:color="auto" w:sz="4" w:space="0"/>
              <w:bottom w:val="single" w:color="auto" w:sz="4" w:space="0"/>
              <w:right w:val="single" w:color="auto" w:sz="4" w:space="0"/>
            </w:tcBorders>
            <w:noWrap w:val="0"/>
            <w:vAlign w:val="center"/>
          </w:tcPr>
          <w:p w14:paraId="5D91809A">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中级职称人员</w:t>
            </w:r>
          </w:p>
        </w:tc>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680296ED">
            <w:pPr>
              <w:topLinePunct/>
              <w:spacing w:line="440" w:lineRule="exact"/>
              <w:jc w:val="center"/>
              <w:rPr>
                <w:rFonts w:ascii="Times New Roman" w:hAnsi="Times New Roman"/>
                <w:highlight w:val="none"/>
              </w:rPr>
            </w:pPr>
          </w:p>
        </w:tc>
      </w:tr>
      <w:tr w14:paraId="60DAA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4804C160">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基本账户开户银行</w:t>
            </w:r>
          </w:p>
        </w:tc>
        <w:tc>
          <w:tcPr>
            <w:tcW w:w="1806" w:type="pct"/>
            <w:gridSpan w:val="3"/>
            <w:tcBorders>
              <w:top w:val="single" w:color="auto" w:sz="4" w:space="0"/>
              <w:left w:val="single" w:color="auto" w:sz="4" w:space="0"/>
              <w:bottom w:val="single" w:color="auto" w:sz="4" w:space="0"/>
              <w:right w:val="single" w:color="auto" w:sz="4" w:space="0"/>
            </w:tcBorders>
            <w:noWrap w:val="0"/>
            <w:vAlign w:val="center"/>
          </w:tcPr>
          <w:p w14:paraId="7139FABB">
            <w:pPr>
              <w:topLinePunct/>
              <w:spacing w:line="440" w:lineRule="exact"/>
              <w:jc w:val="center"/>
              <w:rPr>
                <w:rFonts w:ascii="Times New Roman" w:hAnsi="Times New Roman"/>
                <w:highlight w:val="none"/>
              </w:rPr>
            </w:pPr>
          </w:p>
        </w:tc>
        <w:tc>
          <w:tcPr>
            <w:tcW w:w="231" w:type="pct"/>
            <w:vMerge w:val="continue"/>
            <w:tcBorders>
              <w:left w:val="single" w:color="auto" w:sz="4" w:space="0"/>
              <w:right w:val="single" w:color="auto" w:sz="4" w:space="0"/>
            </w:tcBorders>
            <w:noWrap w:val="0"/>
            <w:vAlign w:val="center"/>
          </w:tcPr>
          <w:p w14:paraId="34E12FD2">
            <w:pPr>
              <w:jc w:val="center"/>
              <w:rPr>
                <w:rFonts w:ascii="Times New Roman" w:hAnsi="Times New Roman"/>
                <w:highlight w:val="none"/>
              </w:rPr>
            </w:pPr>
          </w:p>
        </w:tc>
        <w:tc>
          <w:tcPr>
            <w:tcW w:w="956" w:type="pct"/>
            <w:gridSpan w:val="2"/>
            <w:tcBorders>
              <w:top w:val="single" w:color="auto" w:sz="4" w:space="0"/>
              <w:left w:val="single" w:color="auto" w:sz="4" w:space="0"/>
              <w:bottom w:val="single" w:color="auto" w:sz="4" w:space="0"/>
              <w:right w:val="single" w:color="auto" w:sz="4" w:space="0"/>
            </w:tcBorders>
            <w:noWrap w:val="0"/>
            <w:vAlign w:val="center"/>
          </w:tcPr>
          <w:p w14:paraId="1CDC69F8">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技术人员数量</w:t>
            </w:r>
          </w:p>
        </w:tc>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2F003572">
            <w:pPr>
              <w:topLinePunct/>
              <w:spacing w:line="440" w:lineRule="exact"/>
              <w:jc w:val="center"/>
              <w:rPr>
                <w:rFonts w:ascii="Times New Roman" w:hAnsi="Times New Roman"/>
                <w:highlight w:val="none"/>
              </w:rPr>
            </w:pPr>
          </w:p>
        </w:tc>
      </w:tr>
      <w:tr w14:paraId="50692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48E63584">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基本账户银行账号</w:t>
            </w:r>
          </w:p>
        </w:tc>
        <w:tc>
          <w:tcPr>
            <w:tcW w:w="1806" w:type="pct"/>
            <w:gridSpan w:val="3"/>
            <w:tcBorders>
              <w:top w:val="single" w:color="auto" w:sz="4" w:space="0"/>
              <w:left w:val="single" w:color="auto" w:sz="4" w:space="0"/>
              <w:bottom w:val="single" w:color="auto" w:sz="4" w:space="0"/>
              <w:right w:val="single" w:color="auto" w:sz="4" w:space="0"/>
            </w:tcBorders>
            <w:noWrap w:val="0"/>
            <w:vAlign w:val="center"/>
          </w:tcPr>
          <w:p w14:paraId="00226F51">
            <w:pPr>
              <w:topLinePunct/>
              <w:spacing w:line="440" w:lineRule="exact"/>
              <w:jc w:val="center"/>
              <w:rPr>
                <w:rFonts w:ascii="Times New Roman" w:hAnsi="Times New Roman"/>
                <w:highlight w:val="none"/>
              </w:rPr>
            </w:pPr>
          </w:p>
        </w:tc>
        <w:tc>
          <w:tcPr>
            <w:tcW w:w="231" w:type="pct"/>
            <w:vMerge w:val="continue"/>
            <w:tcBorders>
              <w:left w:val="single" w:color="auto" w:sz="4" w:space="0"/>
              <w:right w:val="single" w:color="auto" w:sz="4" w:space="0"/>
            </w:tcBorders>
            <w:noWrap w:val="0"/>
            <w:vAlign w:val="center"/>
          </w:tcPr>
          <w:p w14:paraId="089C8CF4">
            <w:pPr>
              <w:jc w:val="center"/>
              <w:rPr>
                <w:rFonts w:ascii="Times New Roman" w:hAnsi="Times New Roman"/>
                <w:highlight w:val="none"/>
              </w:rPr>
            </w:pPr>
          </w:p>
        </w:tc>
        <w:tc>
          <w:tcPr>
            <w:tcW w:w="956" w:type="pct"/>
            <w:gridSpan w:val="2"/>
            <w:tcBorders>
              <w:top w:val="single" w:color="auto" w:sz="4" w:space="0"/>
              <w:left w:val="single" w:color="auto" w:sz="4" w:space="0"/>
              <w:bottom w:val="single" w:color="auto" w:sz="4" w:space="0"/>
              <w:right w:val="single" w:color="auto" w:sz="4" w:space="0"/>
            </w:tcBorders>
            <w:noWrap w:val="0"/>
            <w:vAlign w:val="center"/>
          </w:tcPr>
          <w:p w14:paraId="62A10108">
            <w:pPr>
              <w:topLinePunct/>
              <w:spacing w:before="100" w:beforeAutospacing="1" w:after="100" w:afterAutospacing="1" w:line="440" w:lineRule="exact"/>
              <w:jc w:val="center"/>
              <w:rPr>
                <w:rFonts w:ascii="Times New Roman" w:hAnsi="Times New Roman"/>
                <w:highlight w:val="none"/>
              </w:rPr>
            </w:pPr>
            <w:r>
              <w:rPr>
                <w:rFonts w:ascii="Times New Roman" w:hAnsi="Times New Roman"/>
                <w:szCs w:val="21"/>
                <w:highlight w:val="none"/>
              </w:rPr>
              <w:t>各类注册人员</w:t>
            </w:r>
          </w:p>
        </w:tc>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2D93C5D9">
            <w:pPr>
              <w:topLinePunct/>
              <w:spacing w:line="440" w:lineRule="exact"/>
              <w:jc w:val="center"/>
              <w:rPr>
                <w:rFonts w:ascii="Times New Roman" w:hAnsi="Times New Roman"/>
                <w:highlight w:val="none"/>
              </w:rPr>
            </w:pPr>
          </w:p>
        </w:tc>
      </w:tr>
      <w:tr w14:paraId="51C66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right w:val="single" w:color="auto" w:sz="4" w:space="0"/>
            </w:tcBorders>
            <w:noWrap w:val="0"/>
            <w:vAlign w:val="center"/>
          </w:tcPr>
          <w:p w14:paraId="3F36A1AF">
            <w:pPr>
              <w:topLinePunct/>
              <w:spacing w:before="100" w:beforeAutospacing="1" w:after="100" w:afterAutospacing="1" w:line="440" w:lineRule="exact"/>
              <w:ind w:firstLine="210" w:firstLineChars="100"/>
              <w:jc w:val="center"/>
              <w:rPr>
                <w:rFonts w:ascii="Times New Roman" w:hAnsi="Times New Roman"/>
                <w:highlight w:val="none"/>
              </w:rPr>
            </w:pPr>
            <w:r>
              <w:rPr>
                <w:rFonts w:ascii="Times New Roman" w:hAnsi="Times New Roman"/>
                <w:highlight w:val="none"/>
              </w:rPr>
              <w:t>经营范围</w:t>
            </w:r>
          </w:p>
        </w:tc>
        <w:tc>
          <w:tcPr>
            <w:tcW w:w="3848" w:type="pct"/>
            <w:gridSpan w:val="8"/>
            <w:tcBorders>
              <w:top w:val="single" w:color="auto" w:sz="4" w:space="0"/>
              <w:left w:val="single" w:color="auto" w:sz="4" w:space="0"/>
              <w:right w:val="single" w:color="auto" w:sz="4" w:space="0"/>
            </w:tcBorders>
            <w:noWrap w:val="0"/>
            <w:vAlign w:val="center"/>
          </w:tcPr>
          <w:p w14:paraId="42D889E3">
            <w:pPr>
              <w:topLinePunct/>
              <w:spacing w:line="440" w:lineRule="exact"/>
              <w:jc w:val="center"/>
              <w:rPr>
                <w:rFonts w:ascii="Times New Roman" w:hAnsi="Times New Roman"/>
                <w:highlight w:val="none"/>
              </w:rPr>
            </w:pPr>
          </w:p>
        </w:tc>
      </w:tr>
      <w:tr w14:paraId="5BF82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right w:val="single" w:color="auto" w:sz="4" w:space="0"/>
            </w:tcBorders>
            <w:noWrap w:val="0"/>
            <w:vAlign w:val="center"/>
          </w:tcPr>
          <w:p w14:paraId="3FFCE7EB">
            <w:pPr>
              <w:topLinePunct/>
              <w:spacing w:before="100" w:beforeAutospacing="1" w:after="100" w:afterAutospacing="1" w:line="440" w:lineRule="exact"/>
              <w:jc w:val="center"/>
              <w:rPr>
                <w:rFonts w:ascii="Times New Roman" w:hAnsi="Times New Roman"/>
                <w:highlight w:val="none"/>
              </w:rPr>
            </w:pPr>
            <w:r>
              <w:rPr>
                <w:rFonts w:ascii="Times New Roman" w:hAnsi="Times New Roman"/>
                <w:szCs w:val="21"/>
                <w:highlight w:val="none"/>
              </w:rPr>
              <w:t>投标人关联企业情况（包括但不限于与投标人法定代表人为同一人或者存在控股、管理关系的不同单位）</w:t>
            </w:r>
          </w:p>
        </w:tc>
        <w:tc>
          <w:tcPr>
            <w:tcW w:w="3848" w:type="pct"/>
            <w:gridSpan w:val="8"/>
            <w:tcBorders>
              <w:top w:val="single" w:color="auto" w:sz="4" w:space="0"/>
              <w:left w:val="single" w:color="auto" w:sz="4" w:space="0"/>
              <w:right w:val="single" w:color="auto" w:sz="4" w:space="0"/>
            </w:tcBorders>
            <w:noWrap w:val="0"/>
            <w:vAlign w:val="center"/>
          </w:tcPr>
          <w:p w14:paraId="6E064424">
            <w:pPr>
              <w:topLinePunct/>
              <w:spacing w:line="440" w:lineRule="exact"/>
              <w:jc w:val="center"/>
              <w:rPr>
                <w:rFonts w:ascii="Times New Roman" w:hAnsi="Times New Roman"/>
                <w:highlight w:val="none"/>
              </w:rPr>
            </w:pPr>
          </w:p>
        </w:tc>
      </w:tr>
      <w:tr w14:paraId="79B9D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51" w:type="pct"/>
            <w:tcBorders>
              <w:top w:val="single" w:color="auto" w:sz="4" w:space="0"/>
              <w:left w:val="single" w:color="auto" w:sz="4" w:space="0"/>
              <w:bottom w:val="single" w:color="auto" w:sz="4" w:space="0"/>
              <w:right w:val="single" w:color="auto" w:sz="4" w:space="0"/>
            </w:tcBorders>
            <w:noWrap w:val="0"/>
            <w:vAlign w:val="center"/>
          </w:tcPr>
          <w:p w14:paraId="51C89E99">
            <w:pPr>
              <w:topLinePunct/>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备注</w:t>
            </w:r>
          </w:p>
        </w:tc>
        <w:tc>
          <w:tcPr>
            <w:tcW w:w="3848" w:type="pct"/>
            <w:gridSpan w:val="8"/>
            <w:tcBorders>
              <w:top w:val="single" w:color="auto" w:sz="4" w:space="0"/>
              <w:left w:val="single" w:color="auto" w:sz="4" w:space="0"/>
              <w:bottom w:val="single" w:color="auto" w:sz="4" w:space="0"/>
              <w:right w:val="single" w:color="auto" w:sz="4" w:space="0"/>
            </w:tcBorders>
            <w:noWrap w:val="0"/>
            <w:vAlign w:val="center"/>
          </w:tcPr>
          <w:p w14:paraId="3DB7D597">
            <w:pPr>
              <w:topLinePunct/>
              <w:spacing w:line="440" w:lineRule="exact"/>
              <w:jc w:val="center"/>
              <w:rPr>
                <w:rFonts w:ascii="Times New Roman" w:hAnsi="Times New Roman"/>
                <w:highlight w:val="none"/>
              </w:rPr>
            </w:pPr>
          </w:p>
        </w:tc>
      </w:tr>
    </w:tbl>
    <w:p w14:paraId="23D9CE01">
      <w:pPr>
        <w:spacing w:line="400" w:lineRule="exact"/>
        <w:rPr>
          <w:rFonts w:ascii="Times New Roman" w:hAnsi="Times New Roman"/>
          <w:highlight w:val="none"/>
        </w:rPr>
      </w:pPr>
      <w:r>
        <w:rPr>
          <w:rFonts w:ascii="Times New Roman" w:hAnsi="Times New Roman"/>
          <w:highlight w:val="none"/>
        </w:rPr>
        <w:t>注：投标人应根据投标人须知第3.5.1项的要求在本表后附相关证明材料。</w:t>
      </w:r>
    </w:p>
    <w:p w14:paraId="641D75E0">
      <w:pPr>
        <w:rPr>
          <w:rFonts w:ascii="Times New Roman" w:hAnsi="Times New Roman"/>
          <w:highlight w:val="none"/>
        </w:rPr>
      </w:pPr>
      <w:bookmarkStart w:id="1286" w:name="_Toc526001342"/>
      <w:r>
        <w:rPr>
          <w:rFonts w:ascii="Times New Roman" w:hAnsi="Times New Roman"/>
          <w:highlight w:val="none"/>
        </w:rPr>
        <w:br w:type="page"/>
      </w:r>
    </w:p>
    <w:p w14:paraId="585E373F">
      <w:pPr>
        <w:pStyle w:val="3"/>
        <w:keepNext w:val="0"/>
        <w:keepLines w:val="0"/>
        <w:jc w:val="center"/>
        <w:rPr>
          <w:rFonts w:hint="eastAsia" w:ascii="Times New Roman" w:hAnsi="Times New Roman" w:eastAsia="黑体" w:cs="Times New Roman"/>
          <w:sz w:val="32"/>
          <w:highlight w:val="none"/>
        </w:rPr>
      </w:pPr>
      <w:bookmarkStart w:id="1287" w:name="_Toc7473"/>
      <w:r>
        <w:rPr>
          <w:rFonts w:hint="default" w:ascii="Times New Roman" w:hAnsi="Times New Roman" w:eastAsia="黑体" w:cs="Times New Roman"/>
          <w:sz w:val="32"/>
          <w:highlight w:val="none"/>
        </w:rPr>
        <w:t>六、资信业绩</w:t>
      </w:r>
      <w:bookmarkEnd w:id="1287"/>
    </w:p>
    <w:p w14:paraId="668E21A1">
      <w:pPr>
        <w:pStyle w:val="4"/>
        <w:keepNext w:val="0"/>
        <w:keepLines w:val="0"/>
        <w:ind w:firstLine="137"/>
        <w:rPr>
          <w:rFonts w:ascii="Times New Roman" w:hAnsi="Times New Roman"/>
          <w:highlight w:val="none"/>
        </w:rPr>
      </w:pPr>
      <w:r>
        <w:rPr>
          <w:rFonts w:ascii="Times New Roman" w:hAnsi="Times New Roman"/>
          <w:highlight w:val="none"/>
        </w:rPr>
        <w:t>（</w:t>
      </w:r>
      <w:r>
        <w:rPr>
          <w:rFonts w:hint="eastAsia"/>
          <w:highlight w:val="none"/>
          <w:lang w:val="en-US" w:eastAsia="zh-CN"/>
        </w:rPr>
        <w:t>一</w:t>
      </w:r>
      <w:r>
        <w:rPr>
          <w:rFonts w:ascii="Times New Roman" w:hAnsi="Times New Roman"/>
          <w:highlight w:val="none"/>
        </w:rPr>
        <w:t>）</w:t>
      </w:r>
      <w:bookmarkEnd w:id="1286"/>
      <w:bookmarkStart w:id="1288" w:name="_Toc526001343"/>
      <w:r>
        <w:rPr>
          <w:rFonts w:ascii="Times New Roman" w:hAnsi="Times New Roman"/>
          <w:highlight w:val="none"/>
        </w:rPr>
        <w:t>近年完成的类似项目情况表</w:t>
      </w:r>
      <w:bookmarkEnd w:id="1288"/>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634"/>
        <w:gridCol w:w="973"/>
        <w:gridCol w:w="1010"/>
        <w:gridCol w:w="973"/>
        <w:gridCol w:w="1171"/>
        <w:gridCol w:w="1032"/>
        <w:gridCol w:w="973"/>
        <w:gridCol w:w="1902"/>
      </w:tblGrid>
      <w:tr w14:paraId="1E02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02" w:type="pct"/>
            <w:tcBorders>
              <w:top w:val="single" w:color="auto" w:sz="4" w:space="0"/>
              <w:left w:val="single" w:color="auto" w:sz="4" w:space="0"/>
              <w:bottom w:val="single" w:color="auto" w:sz="4" w:space="0"/>
              <w:right w:val="single" w:color="auto" w:sz="4" w:space="0"/>
            </w:tcBorders>
            <w:noWrap w:val="0"/>
            <w:vAlign w:val="center"/>
          </w:tcPr>
          <w:p w14:paraId="0981DCF0">
            <w:pPr>
              <w:keepNext w:val="0"/>
              <w:keepLines w:val="0"/>
              <w:pageBreakBefore w:val="0"/>
              <w:widowControl w:val="0"/>
              <w:kinsoku/>
              <w:wordWrap/>
              <w:overflowPunct/>
              <w:topLinePunct w:val="0"/>
              <w:autoSpaceDE/>
              <w:autoSpaceDN/>
              <w:bidi w:val="0"/>
              <w:adjustRightInd/>
              <w:snapToGrid/>
              <w:spacing w:before="156" w:after="156" w:line="360" w:lineRule="auto"/>
              <w:ind w:left="0" w:leftChars="0" w:right="0" w:rightChars="0"/>
              <w:jc w:val="center"/>
              <w:textAlignment w:val="auto"/>
              <w:rPr>
                <w:rFonts w:ascii="宋体" w:cs="Times New Roman"/>
                <w:b/>
                <w:bCs/>
                <w:color w:val="auto"/>
              </w:rPr>
            </w:pPr>
            <w:r>
              <w:rPr>
                <w:rFonts w:hint="eastAsia" w:ascii="宋体" w:hAnsi="宋体" w:cs="宋体"/>
                <w:b/>
                <w:bCs/>
                <w:color w:val="auto"/>
              </w:rPr>
              <w:t>序号</w:t>
            </w:r>
          </w:p>
        </w:tc>
        <w:tc>
          <w:tcPr>
            <w:tcW w:w="343" w:type="pct"/>
            <w:tcBorders>
              <w:top w:val="single" w:color="auto" w:sz="4" w:space="0"/>
              <w:left w:val="single" w:color="auto" w:sz="4" w:space="0"/>
              <w:bottom w:val="single" w:color="auto" w:sz="4" w:space="0"/>
              <w:right w:val="single" w:color="auto" w:sz="4" w:space="0"/>
            </w:tcBorders>
            <w:noWrap w:val="0"/>
            <w:vAlign w:val="center"/>
          </w:tcPr>
          <w:p w14:paraId="70499693">
            <w:pPr>
              <w:keepNext w:val="0"/>
              <w:keepLines w:val="0"/>
              <w:pageBreakBefore w:val="0"/>
              <w:widowControl w:val="0"/>
              <w:kinsoku/>
              <w:wordWrap/>
              <w:overflowPunct/>
              <w:topLinePunct w:val="0"/>
              <w:autoSpaceDE/>
              <w:autoSpaceDN/>
              <w:bidi w:val="0"/>
              <w:adjustRightInd/>
              <w:snapToGrid/>
              <w:spacing w:before="156" w:after="156" w:line="360" w:lineRule="auto"/>
              <w:ind w:left="0" w:leftChars="0" w:right="0" w:rightChars="0"/>
              <w:jc w:val="center"/>
              <w:textAlignment w:val="auto"/>
              <w:rPr>
                <w:rFonts w:ascii="宋体" w:cs="Times New Roman"/>
                <w:b/>
                <w:bCs/>
                <w:color w:val="auto"/>
              </w:rPr>
            </w:pPr>
            <w:r>
              <w:rPr>
                <w:rFonts w:hint="eastAsia" w:ascii="宋体" w:hAnsi="宋体" w:cs="宋体"/>
                <w:b/>
                <w:bCs/>
                <w:color w:val="auto"/>
              </w:rPr>
              <w:t>项目名称</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2A9559F9">
            <w:pPr>
              <w:keepNext w:val="0"/>
              <w:keepLines w:val="0"/>
              <w:pageBreakBefore w:val="0"/>
              <w:widowControl w:val="0"/>
              <w:kinsoku/>
              <w:wordWrap/>
              <w:overflowPunct/>
              <w:topLinePunct w:val="0"/>
              <w:autoSpaceDE/>
              <w:autoSpaceDN/>
              <w:bidi w:val="0"/>
              <w:adjustRightInd/>
              <w:snapToGrid/>
              <w:spacing w:before="156" w:after="156" w:line="360" w:lineRule="auto"/>
              <w:ind w:left="0" w:leftChars="0" w:right="0" w:rightChars="0"/>
              <w:jc w:val="center"/>
              <w:textAlignment w:val="auto"/>
              <w:rPr>
                <w:rFonts w:ascii="宋体" w:cs="Times New Roman"/>
                <w:b/>
                <w:bCs/>
                <w:color w:val="auto"/>
              </w:rPr>
            </w:pPr>
            <w:r>
              <w:rPr>
                <w:rFonts w:hint="eastAsia" w:ascii="宋体" w:hAnsi="宋体" w:cs="宋体"/>
                <w:b/>
                <w:bCs/>
                <w:color w:val="auto"/>
              </w:rPr>
              <w:t>合同金额</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4928507E">
            <w:pPr>
              <w:keepNext w:val="0"/>
              <w:keepLines w:val="0"/>
              <w:pageBreakBefore w:val="0"/>
              <w:widowControl w:val="0"/>
              <w:kinsoku/>
              <w:wordWrap/>
              <w:overflowPunct/>
              <w:topLinePunct w:val="0"/>
              <w:autoSpaceDE/>
              <w:autoSpaceDN/>
              <w:bidi w:val="0"/>
              <w:adjustRightInd/>
              <w:snapToGrid/>
              <w:spacing w:before="156" w:after="156" w:line="360" w:lineRule="auto"/>
              <w:ind w:left="0" w:leftChars="0" w:right="0" w:rightChars="0"/>
              <w:jc w:val="center"/>
              <w:textAlignment w:val="auto"/>
              <w:rPr>
                <w:rFonts w:ascii="宋体" w:cs="Times New Roman"/>
                <w:b/>
                <w:bCs/>
                <w:color w:val="auto"/>
              </w:rPr>
            </w:pPr>
            <w:r>
              <w:rPr>
                <w:rFonts w:hint="eastAsia" w:ascii="宋体" w:hAnsi="宋体" w:cs="宋体"/>
                <w:b/>
                <w:bCs/>
                <w:color w:val="auto"/>
              </w:rPr>
              <w:t>服务内容</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2CCEF6F2">
            <w:pPr>
              <w:keepNext w:val="0"/>
              <w:keepLines w:val="0"/>
              <w:pageBreakBefore w:val="0"/>
              <w:widowControl w:val="0"/>
              <w:kinsoku/>
              <w:wordWrap/>
              <w:overflowPunct/>
              <w:topLinePunct w:val="0"/>
              <w:autoSpaceDE/>
              <w:autoSpaceDN/>
              <w:bidi w:val="0"/>
              <w:adjustRightInd/>
              <w:snapToGrid/>
              <w:spacing w:before="156" w:after="156" w:line="360" w:lineRule="auto"/>
              <w:ind w:left="0" w:leftChars="0" w:right="0" w:rightChars="0"/>
              <w:jc w:val="center"/>
              <w:textAlignment w:val="auto"/>
              <w:rPr>
                <w:rFonts w:ascii="宋体" w:cs="Times New Roman"/>
                <w:b/>
                <w:bCs/>
                <w:color w:val="auto"/>
              </w:rPr>
            </w:pPr>
            <w:r>
              <w:rPr>
                <w:rFonts w:hint="eastAsia" w:ascii="宋体" w:hAnsi="宋体" w:cs="宋体"/>
                <w:b/>
                <w:bCs/>
                <w:color w:val="auto"/>
              </w:rPr>
              <w:t>完成时间</w:t>
            </w:r>
          </w:p>
        </w:tc>
        <w:tc>
          <w:tcPr>
            <w:tcW w:w="634" w:type="pct"/>
            <w:tcBorders>
              <w:top w:val="single" w:color="auto" w:sz="4" w:space="0"/>
              <w:left w:val="single" w:color="auto" w:sz="4" w:space="0"/>
              <w:bottom w:val="single" w:color="auto" w:sz="4" w:space="0"/>
              <w:right w:val="single" w:color="auto" w:sz="4" w:space="0"/>
            </w:tcBorders>
            <w:noWrap w:val="0"/>
            <w:vAlign w:val="center"/>
          </w:tcPr>
          <w:p w14:paraId="502533E4">
            <w:pPr>
              <w:keepNext w:val="0"/>
              <w:keepLines w:val="0"/>
              <w:pageBreakBefore w:val="0"/>
              <w:widowControl w:val="0"/>
              <w:kinsoku/>
              <w:wordWrap/>
              <w:overflowPunct/>
              <w:topLinePunct w:val="0"/>
              <w:autoSpaceDE/>
              <w:autoSpaceDN/>
              <w:bidi w:val="0"/>
              <w:adjustRightInd/>
              <w:snapToGrid/>
              <w:spacing w:before="156" w:after="156" w:line="360" w:lineRule="auto"/>
              <w:ind w:left="0" w:leftChars="0" w:right="0" w:rightChars="0"/>
              <w:jc w:val="center"/>
              <w:textAlignment w:val="auto"/>
              <w:rPr>
                <w:rFonts w:ascii="宋体" w:cs="Times New Roman"/>
                <w:b/>
                <w:bCs/>
                <w:color w:val="auto"/>
              </w:rPr>
            </w:pPr>
            <w:r>
              <w:rPr>
                <w:rFonts w:hint="eastAsia" w:ascii="宋体" w:hAnsi="宋体" w:cs="宋体"/>
                <w:b/>
                <w:bCs/>
                <w:color w:val="auto"/>
              </w:rPr>
              <w:t>合同服务期</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088102E7">
            <w:pPr>
              <w:keepNext w:val="0"/>
              <w:keepLines w:val="0"/>
              <w:pageBreakBefore w:val="0"/>
              <w:widowControl w:val="0"/>
              <w:kinsoku/>
              <w:wordWrap/>
              <w:overflowPunct/>
              <w:topLinePunct w:val="0"/>
              <w:autoSpaceDE/>
              <w:autoSpaceDN/>
              <w:bidi w:val="0"/>
              <w:adjustRightInd/>
              <w:snapToGrid/>
              <w:spacing w:before="156" w:after="156" w:line="360" w:lineRule="auto"/>
              <w:ind w:left="0" w:leftChars="0" w:right="0" w:rightChars="0"/>
              <w:jc w:val="center"/>
              <w:textAlignment w:val="auto"/>
              <w:rPr>
                <w:rFonts w:ascii="宋体" w:cs="Times New Roman"/>
                <w:b/>
                <w:bCs/>
                <w:color w:val="auto"/>
              </w:rPr>
            </w:pPr>
            <w:r>
              <w:rPr>
                <w:rFonts w:hint="eastAsia" w:ascii="宋体" w:hAnsi="宋体" w:cs="宋体"/>
                <w:b/>
                <w:bCs/>
                <w:color w:val="auto"/>
              </w:rPr>
              <w:t>项目地点</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00284EAC">
            <w:pPr>
              <w:keepNext w:val="0"/>
              <w:keepLines w:val="0"/>
              <w:pageBreakBefore w:val="0"/>
              <w:widowControl w:val="0"/>
              <w:kinsoku/>
              <w:wordWrap/>
              <w:overflowPunct/>
              <w:topLinePunct w:val="0"/>
              <w:autoSpaceDE/>
              <w:autoSpaceDN/>
              <w:bidi w:val="0"/>
              <w:adjustRightInd/>
              <w:snapToGrid/>
              <w:spacing w:before="156" w:after="156" w:line="360" w:lineRule="auto"/>
              <w:ind w:left="0" w:leftChars="0" w:right="0" w:rightChars="0"/>
              <w:jc w:val="center"/>
              <w:textAlignment w:val="auto"/>
              <w:rPr>
                <w:rFonts w:ascii="宋体" w:cs="Times New Roman"/>
                <w:b/>
                <w:bCs/>
                <w:color w:val="auto"/>
              </w:rPr>
            </w:pPr>
            <w:r>
              <w:rPr>
                <w:rFonts w:hint="eastAsia" w:ascii="宋体" w:hAnsi="宋体" w:cs="宋体"/>
                <w:b/>
                <w:bCs/>
                <w:color w:val="auto"/>
              </w:rPr>
              <w:t>业主单位</w:t>
            </w:r>
          </w:p>
        </w:tc>
        <w:tc>
          <w:tcPr>
            <w:tcW w:w="1029" w:type="pct"/>
            <w:tcBorders>
              <w:top w:val="single" w:color="auto" w:sz="4" w:space="0"/>
              <w:left w:val="single" w:color="auto" w:sz="4" w:space="0"/>
              <w:bottom w:val="single" w:color="auto" w:sz="4" w:space="0"/>
              <w:right w:val="single" w:color="auto" w:sz="4" w:space="0"/>
            </w:tcBorders>
            <w:noWrap w:val="0"/>
            <w:vAlign w:val="center"/>
          </w:tcPr>
          <w:p w14:paraId="694BE3F8">
            <w:pPr>
              <w:keepNext w:val="0"/>
              <w:keepLines w:val="0"/>
              <w:pageBreakBefore w:val="0"/>
              <w:widowControl w:val="0"/>
              <w:kinsoku/>
              <w:wordWrap/>
              <w:overflowPunct/>
              <w:topLinePunct w:val="0"/>
              <w:autoSpaceDE/>
              <w:autoSpaceDN/>
              <w:bidi w:val="0"/>
              <w:adjustRightInd/>
              <w:snapToGrid/>
              <w:spacing w:before="156" w:after="156" w:line="360" w:lineRule="auto"/>
              <w:ind w:left="0" w:leftChars="0" w:right="0" w:rightChars="0"/>
              <w:jc w:val="center"/>
              <w:textAlignment w:val="auto"/>
              <w:rPr>
                <w:rFonts w:ascii="宋体" w:cs="Times New Roman"/>
                <w:b/>
                <w:bCs/>
                <w:color w:val="auto"/>
              </w:rPr>
            </w:pPr>
            <w:r>
              <w:rPr>
                <w:rFonts w:hint="eastAsia" w:ascii="宋体" w:hAnsi="宋体" w:cs="宋体"/>
                <w:b/>
                <w:bCs/>
                <w:color w:val="auto"/>
              </w:rPr>
              <w:t>联系人及联系电话</w:t>
            </w:r>
          </w:p>
        </w:tc>
      </w:tr>
      <w:tr w14:paraId="373D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Borders>
              <w:top w:val="single" w:color="auto" w:sz="4" w:space="0"/>
              <w:left w:val="single" w:color="auto" w:sz="4" w:space="0"/>
              <w:bottom w:val="single" w:color="auto" w:sz="4" w:space="0"/>
              <w:right w:val="single" w:color="auto" w:sz="4" w:space="0"/>
            </w:tcBorders>
            <w:noWrap w:val="0"/>
            <w:vAlign w:val="top"/>
          </w:tcPr>
          <w:p w14:paraId="1FA72FFF">
            <w:pPr>
              <w:spacing w:before="156" w:after="156" w:line="360" w:lineRule="auto"/>
              <w:rPr>
                <w:rFonts w:ascii="宋体" w:cs="Times New Roman"/>
                <w:color w:val="auto"/>
              </w:rPr>
            </w:pPr>
          </w:p>
        </w:tc>
        <w:tc>
          <w:tcPr>
            <w:tcW w:w="343" w:type="pct"/>
            <w:tcBorders>
              <w:top w:val="single" w:color="auto" w:sz="4" w:space="0"/>
              <w:left w:val="single" w:color="auto" w:sz="4" w:space="0"/>
              <w:bottom w:val="single" w:color="auto" w:sz="4" w:space="0"/>
              <w:right w:val="single" w:color="auto" w:sz="4" w:space="0"/>
            </w:tcBorders>
            <w:noWrap w:val="0"/>
            <w:vAlign w:val="top"/>
          </w:tcPr>
          <w:p w14:paraId="6B2867C6">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649479ED">
            <w:pPr>
              <w:spacing w:before="156" w:after="156" w:line="360" w:lineRule="auto"/>
              <w:rPr>
                <w:rFonts w:ascii="宋体" w:cs="Times New Roman"/>
                <w:color w:val="auto"/>
              </w:rPr>
            </w:pPr>
          </w:p>
        </w:tc>
        <w:tc>
          <w:tcPr>
            <w:tcW w:w="547" w:type="pct"/>
            <w:tcBorders>
              <w:top w:val="single" w:color="auto" w:sz="4" w:space="0"/>
              <w:left w:val="single" w:color="auto" w:sz="4" w:space="0"/>
              <w:bottom w:val="single" w:color="auto" w:sz="4" w:space="0"/>
              <w:right w:val="single" w:color="auto" w:sz="4" w:space="0"/>
            </w:tcBorders>
            <w:noWrap w:val="0"/>
            <w:vAlign w:val="top"/>
          </w:tcPr>
          <w:p w14:paraId="4F67A735">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42E208FA">
            <w:pPr>
              <w:spacing w:before="156" w:after="156" w:line="360" w:lineRule="auto"/>
              <w:rPr>
                <w:rFonts w:ascii="宋体" w:cs="Times New Roman"/>
                <w:color w:val="auto"/>
              </w:rPr>
            </w:pPr>
          </w:p>
        </w:tc>
        <w:tc>
          <w:tcPr>
            <w:tcW w:w="634" w:type="pct"/>
            <w:tcBorders>
              <w:top w:val="single" w:color="auto" w:sz="4" w:space="0"/>
              <w:left w:val="single" w:color="auto" w:sz="4" w:space="0"/>
              <w:bottom w:val="single" w:color="auto" w:sz="4" w:space="0"/>
              <w:right w:val="single" w:color="auto" w:sz="4" w:space="0"/>
            </w:tcBorders>
            <w:noWrap w:val="0"/>
            <w:vAlign w:val="top"/>
          </w:tcPr>
          <w:p w14:paraId="521FD2C3">
            <w:pPr>
              <w:spacing w:before="156" w:after="156" w:line="360" w:lineRule="auto"/>
              <w:rPr>
                <w:rFonts w:ascii="宋体" w:cs="Times New Roman"/>
                <w:color w:val="auto"/>
              </w:rPr>
            </w:pPr>
          </w:p>
        </w:tc>
        <w:tc>
          <w:tcPr>
            <w:tcW w:w="559" w:type="pct"/>
            <w:tcBorders>
              <w:top w:val="single" w:color="auto" w:sz="4" w:space="0"/>
              <w:left w:val="single" w:color="auto" w:sz="4" w:space="0"/>
              <w:bottom w:val="single" w:color="auto" w:sz="4" w:space="0"/>
              <w:right w:val="single" w:color="auto" w:sz="4" w:space="0"/>
            </w:tcBorders>
            <w:noWrap w:val="0"/>
            <w:vAlign w:val="top"/>
          </w:tcPr>
          <w:p w14:paraId="5D1DA66F">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0B1368AC">
            <w:pPr>
              <w:spacing w:before="156" w:after="156" w:line="360" w:lineRule="auto"/>
              <w:rPr>
                <w:rFonts w:ascii="宋体" w:cs="Times New Roman"/>
                <w:color w:val="auto"/>
              </w:rPr>
            </w:pPr>
          </w:p>
        </w:tc>
        <w:tc>
          <w:tcPr>
            <w:tcW w:w="1029" w:type="pct"/>
            <w:tcBorders>
              <w:top w:val="single" w:color="auto" w:sz="4" w:space="0"/>
              <w:left w:val="single" w:color="auto" w:sz="4" w:space="0"/>
              <w:bottom w:val="single" w:color="auto" w:sz="4" w:space="0"/>
              <w:right w:val="single" w:color="auto" w:sz="4" w:space="0"/>
            </w:tcBorders>
            <w:noWrap w:val="0"/>
            <w:vAlign w:val="top"/>
          </w:tcPr>
          <w:p w14:paraId="55160D50">
            <w:pPr>
              <w:spacing w:before="156" w:after="156" w:line="360" w:lineRule="auto"/>
              <w:rPr>
                <w:rFonts w:ascii="宋体" w:cs="Times New Roman"/>
                <w:color w:val="auto"/>
              </w:rPr>
            </w:pPr>
          </w:p>
        </w:tc>
      </w:tr>
      <w:tr w14:paraId="1538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Borders>
              <w:top w:val="single" w:color="auto" w:sz="4" w:space="0"/>
              <w:left w:val="single" w:color="auto" w:sz="4" w:space="0"/>
              <w:bottom w:val="single" w:color="auto" w:sz="4" w:space="0"/>
              <w:right w:val="single" w:color="auto" w:sz="4" w:space="0"/>
            </w:tcBorders>
            <w:noWrap w:val="0"/>
            <w:vAlign w:val="top"/>
          </w:tcPr>
          <w:p w14:paraId="53913F86">
            <w:pPr>
              <w:spacing w:before="156" w:after="156" w:line="360" w:lineRule="auto"/>
              <w:rPr>
                <w:rFonts w:ascii="宋体" w:cs="Times New Roman"/>
                <w:color w:val="auto"/>
              </w:rPr>
            </w:pPr>
          </w:p>
        </w:tc>
        <w:tc>
          <w:tcPr>
            <w:tcW w:w="343" w:type="pct"/>
            <w:tcBorders>
              <w:top w:val="single" w:color="auto" w:sz="4" w:space="0"/>
              <w:left w:val="single" w:color="auto" w:sz="4" w:space="0"/>
              <w:bottom w:val="single" w:color="auto" w:sz="4" w:space="0"/>
              <w:right w:val="single" w:color="auto" w:sz="4" w:space="0"/>
            </w:tcBorders>
            <w:noWrap w:val="0"/>
            <w:vAlign w:val="top"/>
          </w:tcPr>
          <w:p w14:paraId="51F651FC">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1C190ED2">
            <w:pPr>
              <w:spacing w:before="156" w:after="156" w:line="360" w:lineRule="auto"/>
              <w:rPr>
                <w:rFonts w:ascii="宋体" w:cs="Times New Roman"/>
                <w:color w:val="auto"/>
              </w:rPr>
            </w:pPr>
          </w:p>
        </w:tc>
        <w:tc>
          <w:tcPr>
            <w:tcW w:w="547" w:type="pct"/>
            <w:tcBorders>
              <w:top w:val="single" w:color="auto" w:sz="4" w:space="0"/>
              <w:left w:val="single" w:color="auto" w:sz="4" w:space="0"/>
              <w:bottom w:val="single" w:color="auto" w:sz="4" w:space="0"/>
              <w:right w:val="single" w:color="auto" w:sz="4" w:space="0"/>
            </w:tcBorders>
            <w:noWrap w:val="0"/>
            <w:vAlign w:val="top"/>
          </w:tcPr>
          <w:p w14:paraId="6B19C666">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72BC02E2">
            <w:pPr>
              <w:spacing w:before="156" w:after="156" w:line="360" w:lineRule="auto"/>
              <w:rPr>
                <w:rFonts w:ascii="宋体" w:cs="Times New Roman"/>
                <w:color w:val="auto"/>
              </w:rPr>
            </w:pPr>
          </w:p>
        </w:tc>
        <w:tc>
          <w:tcPr>
            <w:tcW w:w="634" w:type="pct"/>
            <w:tcBorders>
              <w:top w:val="single" w:color="auto" w:sz="4" w:space="0"/>
              <w:left w:val="single" w:color="auto" w:sz="4" w:space="0"/>
              <w:bottom w:val="single" w:color="auto" w:sz="4" w:space="0"/>
              <w:right w:val="single" w:color="auto" w:sz="4" w:space="0"/>
            </w:tcBorders>
            <w:noWrap w:val="0"/>
            <w:vAlign w:val="top"/>
          </w:tcPr>
          <w:p w14:paraId="6212469A">
            <w:pPr>
              <w:spacing w:before="156" w:after="156" w:line="360" w:lineRule="auto"/>
              <w:rPr>
                <w:rFonts w:ascii="宋体" w:cs="Times New Roman"/>
                <w:color w:val="auto"/>
              </w:rPr>
            </w:pPr>
          </w:p>
        </w:tc>
        <w:tc>
          <w:tcPr>
            <w:tcW w:w="559" w:type="pct"/>
            <w:tcBorders>
              <w:top w:val="single" w:color="auto" w:sz="4" w:space="0"/>
              <w:left w:val="single" w:color="auto" w:sz="4" w:space="0"/>
              <w:bottom w:val="single" w:color="auto" w:sz="4" w:space="0"/>
              <w:right w:val="single" w:color="auto" w:sz="4" w:space="0"/>
            </w:tcBorders>
            <w:noWrap w:val="0"/>
            <w:vAlign w:val="top"/>
          </w:tcPr>
          <w:p w14:paraId="2EB87B2A">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284ED818">
            <w:pPr>
              <w:spacing w:before="156" w:after="156" w:line="360" w:lineRule="auto"/>
              <w:rPr>
                <w:rFonts w:ascii="宋体" w:cs="Times New Roman"/>
                <w:color w:val="auto"/>
              </w:rPr>
            </w:pPr>
          </w:p>
        </w:tc>
        <w:tc>
          <w:tcPr>
            <w:tcW w:w="1029" w:type="pct"/>
            <w:tcBorders>
              <w:top w:val="single" w:color="auto" w:sz="4" w:space="0"/>
              <w:left w:val="single" w:color="auto" w:sz="4" w:space="0"/>
              <w:bottom w:val="single" w:color="auto" w:sz="4" w:space="0"/>
              <w:right w:val="single" w:color="auto" w:sz="4" w:space="0"/>
            </w:tcBorders>
            <w:noWrap w:val="0"/>
            <w:vAlign w:val="top"/>
          </w:tcPr>
          <w:p w14:paraId="1CA29CE5">
            <w:pPr>
              <w:spacing w:before="156" w:after="156" w:line="360" w:lineRule="auto"/>
              <w:rPr>
                <w:rFonts w:ascii="宋体" w:cs="Times New Roman"/>
                <w:color w:val="auto"/>
              </w:rPr>
            </w:pPr>
          </w:p>
        </w:tc>
      </w:tr>
      <w:tr w14:paraId="3191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Borders>
              <w:top w:val="single" w:color="auto" w:sz="4" w:space="0"/>
              <w:left w:val="single" w:color="auto" w:sz="4" w:space="0"/>
              <w:bottom w:val="single" w:color="auto" w:sz="4" w:space="0"/>
              <w:right w:val="single" w:color="auto" w:sz="4" w:space="0"/>
            </w:tcBorders>
            <w:noWrap w:val="0"/>
            <w:vAlign w:val="top"/>
          </w:tcPr>
          <w:p w14:paraId="12EC4C0A">
            <w:pPr>
              <w:spacing w:before="156" w:after="156" w:line="360" w:lineRule="auto"/>
              <w:rPr>
                <w:rFonts w:ascii="宋体" w:cs="Times New Roman"/>
                <w:color w:val="auto"/>
              </w:rPr>
            </w:pPr>
          </w:p>
        </w:tc>
        <w:tc>
          <w:tcPr>
            <w:tcW w:w="343" w:type="pct"/>
            <w:tcBorders>
              <w:top w:val="single" w:color="auto" w:sz="4" w:space="0"/>
              <w:left w:val="single" w:color="auto" w:sz="4" w:space="0"/>
              <w:bottom w:val="single" w:color="auto" w:sz="4" w:space="0"/>
              <w:right w:val="single" w:color="auto" w:sz="4" w:space="0"/>
            </w:tcBorders>
            <w:noWrap w:val="0"/>
            <w:vAlign w:val="top"/>
          </w:tcPr>
          <w:p w14:paraId="2DB7181D">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3B95C85E">
            <w:pPr>
              <w:spacing w:before="156" w:after="156" w:line="360" w:lineRule="auto"/>
              <w:rPr>
                <w:rFonts w:ascii="宋体" w:cs="Times New Roman"/>
                <w:color w:val="auto"/>
              </w:rPr>
            </w:pPr>
          </w:p>
        </w:tc>
        <w:tc>
          <w:tcPr>
            <w:tcW w:w="547" w:type="pct"/>
            <w:tcBorders>
              <w:top w:val="single" w:color="auto" w:sz="4" w:space="0"/>
              <w:left w:val="single" w:color="auto" w:sz="4" w:space="0"/>
              <w:bottom w:val="single" w:color="auto" w:sz="4" w:space="0"/>
              <w:right w:val="single" w:color="auto" w:sz="4" w:space="0"/>
            </w:tcBorders>
            <w:noWrap w:val="0"/>
            <w:vAlign w:val="top"/>
          </w:tcPr>
          <w:p w14:paraId="0EA94BBA">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569A8AA9">
            <w:pPr>
              <w:spacing w:before="156" w:after="156" w:line="360" w:lineRule="auto"/>
              <w:rPr>
                <w:rFonts w:ascii="宋体" w:cs="Times New Roman"/>
                <w:color w:val="auto"/>
              </w:rPr>
            </w:pPr>
          </w:p>
        </w:tc>
        <w:tc>
          <w:tcPr>
            <w:tcW w:w="634" w:type="pct"/>
            <w:tcBorders>
              <w:top w:val="single" w:color="auto" w:sz="4" w:space="0"/>
              <w:left w:val="single" w:color="auto" w:sz="4" w:space="0"/>
              <w:bottom w:val="single" w:color="auto" w:sz="4" w:space="0"/>
              <w:right w:val="single" w:color="auto" w:sz="4" w:space="0"/>
            </w:tcBorders>
            <w:noWrap w:val="0"/>
            <w:vAlign w:val="top"/>
          </w:tcPr>
          <w:p w14:paraId="5EDECBFD">
            <w:pPr>
              <w:spacing w:before="156" w:after="156" w:line="360" w:lineRule="auto"/>
              <w:rPr>
                <w:rFonts w:ascii="宋体" w:cs="Times New Roman"/>
                <w:color w:val="auto"/>
              </w:rPr>
            </w:pPr>
          </w:p>
        </w:tc>
        <w:tc>
          <w:tcPr>
            <w:tcW w:w="559" w:type="pct"/>
            <w:tcBorders>
              <w:top w:val="single" w:color="auto" w:sz="4" w:space="0"/>
              <w:left w:val="single" w:color="auto" w:sz="4" w:space="0"/>
              <w:bottom w:val="single" w:color="auto" w:sz="4" w:space="0"/>
              <w:right w:val="single" w:color="auto" w:sz="4" w:space="0"/>
            </w:tcBorders>
            <w:noWrap w:val="0"/>
            <w:vAlign w:val="top"/>
          </w:tcPr>
          <w:p w14:paraId="7617729E">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36B281B8">
            <w:pPr>
              <w:spacing w:before="156" w:after="156" w:line="360" w:lineRule="auto"/>
              <w:rPr>
                <w:rFonts w:ascii="宋体" w:cs="Times New Roman"/>
                <w:color w:val="auto"/>
              </w:rPr>
            </w:pPr>
          </w:p>
        </w:tc>
        <w:tc>
          <w:tcPr>
            <w:tcW w:w="1029" w:type="pct"/>
            <w:tcBorders>
              <w:top w:val="single" w:color="auto" w:sz="4" w:space="0"/>
              <w:left w:val="single" w:color="auto" w:sz="4" w:space="0"/>
              <w:bottom w:val="single" w:color="auto" w:sz="4" w:space="0"/>
              <w:right w:val="single" w:color="auto" w:sz="4" w:space="0"/>
            </w:tcBorders>
            <w:noWrap w:val="0"/>
            <w:vAlign w:val="top"/>
          </w:tcPr>
          <w:p w14:paraId="55D90856">
            <w:pPr>
              <w:spacing w:before="156" w:after="156" w:line="360" w:lineRule="auto"/>
              <w:rPr>
                <w:rFonts w:ascii="宋体" w:cs="Times New Roman"/>
                <w:color w:val="auto"/>
              </w:rPr>
            </w:pPr>
          </w:p>
        </w:tc>
      </w:tr>
      <w:tr w14:paraId="46A9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Borders>
              <w:top w:val="single" w:color="auto" w:sz="4" w:space="0"/>
              <w:left w:val="single" w:color="auto" w:sz="4" w:space="0"/>
              <w:bottom w:val="single" w:color="auto" w:sz="4" w:space="0"/>
              <w:right w:val="single" w:color="auto" w:sz="4" w:space="0"/>
            </w:tcBorders>
            <w:noWrap w:val="0"/>
            <w:vAlign w:val="top"/>
          </w:tcPr>
          <w:p w14:paraId="57597EC4">
            <w:pPr>
              <w:spacing w:before="156" w:after="156" w:line="360" w:lineRule="auto"/>
              <w:rPr>
                <w:rFonts w:ascii="宋体" w:cs="Times New Roman"/>
                <w:color w:val="auto"/>
              </w:rPr>
            </w:pPr>
          </w:p>
        </w:tc>
        <w:tc>
          <w:tcPr>
            <w:tcW w:w="343" w:type="pct"/>
            <w:tcBorders>
              <w:top w:val="single" w:color="auto" w:sz="4" w:space="0"/>
              <w:left w:val="single" w:color="auto" w:sz="4" w:space="0"/>
              <w:bottom w:val="single" w:color="auto" w:sz="4" w:space="0"/>
              <w:right w:val="single" w:color="auto" w:sz="4" w:space="0"/>
            </w:tcBorders>
            <w:noWrap w:val="0"/>
            <w:vAlign w:val="top"/>
          </w:tcPr>
          <w:p w14:paraId="1DD372B3">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5AAEFF46">
            <w:pPr>
              <w:spacing w:before="156" w:after="156" w:line="360" w:lineRule="auto"/>
              <w:rPr>
                <w:rFonts w:ascii="宋体" w:cs="Times New Roman"/>
                <w:color w:val="auto"/>
              </w:rPr>
            </w:pPr>
          </w:p>
        </w:tc>
        <w:tc>
          <w:tcPr>
            <w:tcW w:w="547" w:type="pct"/>
            <w:tcBorders>
              <w:top w:val="single" w:color="auto" w:sz="4" w:space="0"/>
              <w:left w:val="single" w:color="auto" w:sz="4" w:space="0"/>
              <w:bottom w:val="single" w:color="auto" w:sz="4" w:space="0"/>
              <w:right w:val="single" w:color="auto" w:sz="4" w:space="0"/>
            </w:tcBorders>
            <w:noWrap w:val="0"/>
            <w:vAlign w:val="top"/>
          </w:tcPr>
          <w:p w14:paraId="2ABB3A4C">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6FD29180">
            <w:pPr>
              <w:spacing w:before="156" w:after="156" w:line="360" w:lineRule="auto"/>
              <w:rPr>
                <w:rFonts w:ascii="宋体" w:cs="Times New Roman"/>
                <w:color w:val="auto"/>
              </w:rPr>
            </w:pPr>
          </w:p>
        </w:tc>
        <w:tc>
          <w:tcPr>
            <w:tcW w:w="634" w:type="pct"/>
            <w:tcBorders>
              <w:top w:val="single" w:color="auto" w:sz="4" w:space="0"/>
              <w:left w:val="single" w:color="auto" w:sz="4" w:space="0"/>
              <w:bottom w:val="single" w:color="auto" w:sz="4" w:space="0"/>
              <w:right w:val="single" w:color="auto" w:sz="4" w:space="0"/>
            </w:tcBorders>
            <w:noWrap w:val="0"/>
            <w:vAlign w:val="top"/>
          </w:tcPr>
          <w:p w14:paraId="36F7A9F1">
            <w:pPr>
              <w:spacing w:before="156" w:after="156" w:line="360" w:lineRule="auto"/>
              <w:rPr>
                <w:rFonts w:ascii="宋体" w:cs="Times New Roman"/>
                <w:color w:val="auto"/>
              </w:rPr>
            </w:pPr>
          </w:p>
        </w:tc>
        <w:tc>
          <w:tcPr>
            <w:tcW w:w="559" w:type="pct"/>
            <w:tcBorders>
              <w:top w:val="single" w:color="auto" w:sz="4" w:space="0"/>
              <w:left w:val="single" w:color="auto" w:sz="4" w:space="0"/>
              <w:bottom w:val="single" w:color="auto" w:sz="4" w:space="0"/>
              <w:right w:val="single" w:color="auto" w:sz="4" w:space="0"/>
            </w:tcBorders>
            <w:noWrap w:val="0"/>
            <w:vAlign w:val="top"/>
          </w:tcPr>
          <w:p w14:paraId="62626189">
            <w:pPr>
              <w:spacing w:before="156" w:after="156" w:line="360" w:lineRule="auto"/>
              <w:rPr>
                <w:rFonts w:ascii="宋体" w:cs="Times New Roman"/>
                <w:color w:val="auto"/>
              </w:rPr>
            </w:pPr>
          </w:p>
        </w:tc>
        <w:tc>
          <w:tcPr>
            <w:tcW w:w="527" w:type="pct"/>
            <w:tcBorders>
              <w:top w:val="single" w:color="auto" w:sz="4" w:space="0"/>
              <w:left w:val="single" w:color="auto" w:sz="4" w:space="0"/>
              <w:bottom w:val="single" w:color="auto" w:sz="4" w:space="0"/>
              <w:right w:val="single" w:color="auto" w:sz="4" w:space="0"/>
            </w:tcBorders>
            <w:noWrap w:val="0"/>
            <w:vAlign w:val="top"/>
          </w:tcPr>
          <w:p w14:paraId="1C02AF76">
            <w:pPr>
              <w:spacing w:before="156" w:after="156" w:line="360" w:lineRule="auto"/>
              <w:rPr>
                <w:rFonts w:ascii="宋体" w:cs="Times New Roman"/>
                <w:color w:val="auto"/>
              </w:rPr>
            </w:pPr>
          </w:p>
        </w:tc>
        <w:tc>
          <w:tcPr>
            <w:tcW w:w="1029" w:type="pct"/>
            <w:tcBorders>
              <w:top w:val="single" w:color="auto" w:sz="4" w:space="0"/>
              <w:left w:val="single" w:color="auto" w:sz="4" w:space="0"/>
              <w:bottom w:val="single" w:color="auto" w:sz="4" w:space="0"/>
              <w:right w:val="single" w:color="auto" w:sz="4" w:space="0"/>
            </w:tcBorders>
            <w:noWrap w:val="0"/>
            <w:vAlign w:val="top"/>
          </w:tcPr>
          <w:p w14:paraId="1A8D7965">
            <w:pPr>
              <w:spacing w:before="156" w:after="156" w:line="360" w:lineRule="auto"/>
              <w:rPr>
                <w:rFonts w:ascii="宋体" w:cs="Times New Roman"/>
                <w:color w:val="auto"/>
              </w:rPr>
            </w:pPr>
          </w:p>
        </w:tc>
      </w:tr>
    </w:tbl>
    <w:p w14:paraId="47B96ACB"/>
    <w:p w14:paraId="35C277E6">
      <w:pPr>
        <w:spacing w:line="440" w:lineRule="exact"/>
        <w:rPr>
          <w:rFonts w:ascii="Times New Roman" w:hAnsi="Times New Roman"/>
          <w:highlight w:val="none"/>
        </w:rPr>
      </w:pPr>
      <w:r>
        <w:rPr>
          <w:rFonts w:hint="eastAsia" w:ascii="Times New Roman" w:hAnsi="Times New Roman"/>
          <w:highlight w:val="none"/>
        </w:rPr>
        <w:t>注：投标人应根据</w:t>
      </w:r>
      <w:r>
        <w:rPr>
          <w:rFonts w:hint="eastAsia" w:ascii="Times New Roman" w:hAnsi="Times New Roman"/>
          <w:highlight w:val="none"/>
          <w:lang w:val="en-US" w:eastAsia="zh-CN"/>
        </w:rPr>
        <w:t>招标文件</w:t>
      </w:r>
      <w:r>
        <w:rPr>
          <w:rFonts w:hint="eastAsia" w:ascii="Times New Roman" w:hAnsi="Times New Roman"/>
          <w:highlight w:val="none"/>
        </w:rPr>
        <w:t>要求在本表后附相关证明材料。</w:t>
      </w:r>
    </w:p>
    <w:p w14:paraId="028A0194">
      <w:pPr>
        <w:spacing w:line="440" w:lineRule="exact"/>
        <w:rPr>
          <w:rFonts w:ascii="Times New Roman" w:hAnsi="Times New Roman"/>
          <w:highlight w:val="none"/>
        </w:rPr>
      </w:pPr>
    </w:p>
    <w:p w14:paraId="1C4E56C6">
      <w:pPr>
        <w:spacing w:line="440" w:lineRule="exact"/>
        <w:rPr>
          <w:rFonts w:ascii="Times New Roman" w:hAnsi="Times New Roman"/>
          <w:highlight w:val="none"/>
        </w:rPr>
      </w:pPr>
      <w:r>
        <w:rPr>
          <w:rFonts w:ascii="Times New Roman" w:hAnsi="Times New Roman"/>
          <w:highlight w:val="none"/>
        </w:rPr>
        <w:br w:type="page"/>
      </w:r>
    </w:p>
    <w:p w14:paraId="303FE561">
      <w:pPr>
        <w:rPr>
          <w:highlight w:val="none"/>
        </w:rPr>
      </w:pPr>
    </w:p>
    <w:p w14:paraId="22C6D73B">
      <w:pPr>
        <w:pStyle w:val="4"/>
        <w:keepNext w:val="0"/>
        <w:keepLines w:val="0"/>
        <w:ind w:firstLine="0" w:firstLineChars="0"/>
        <w:rPr>
          <w:rFonts w:ascii="Times New Roman" w:hAnsi="Times New Roman"/>
          <w:highlight w:val="none"/>
        </w:rPr>
      </w:pPr>
      <w:bookmarkStart w:id="1289" w:name="_Toc526001346"/>
      <w:r>
        <w:rPr>
          <w:rFonts w:ascii="Times New Roman" w:hAnsi="Times New Roman"/>
          <w:highlight w:val="none"/>
        </w:rPr>
        <w:t>（</w:t>
      </w:r>
      <w:r>
        <w:rPr>
          <w:rFonts w:hint="eastAsia"/>
          <w:highlight w:val="none"/>
          <w:lang w:val="en-US" w:eastAsia="zh-CN"/>
        </w:rPr>
        <w:t>二</w:t>
      </w:r>
      <w:r>
        <w:rPr>
          <w:rFonts w:ascii="Times New Roman" w:hAnsi="Times New Roman"/>
          <w:highlight w:val="none"/>
        </w:rPr>
        <w:t>）拟委任的主要人员汇总表</w:t>
      </w:r>
      <w:bookmarkEnd w:id="1289"/>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467"/>
        <w:gridCol w:w="1141"/>
        <w:gridCol w:w="693"/>
        <w:gridCol w:w="561"/>
        <w:gridCol w:w="1304"/>
        <w:gridCol w:w="815"/>
        <w:gridCol w:w="1005"/>
        <w:gridCol w:w="1304"/>
      </w:tblGrid>
      <w:tr w14:paraId="54A3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Merge w:val="restart"/>
            <w:noWrap w:val="0"/>
            <w:vAlign w:val="center"/>
          </w:tcPr>
          <w:p w14:paraId="0036FCC7">
            <w:pPr>
              <w:spacing w:line="440" w:lineRule="exact"/>
              <w:jc w:val="center"/>
              <w:rPr>
                <w:rFonts w:ascii="Times New Roman" w:hAnsi="Times New Roman"/>
                <w:highlight w:val="none"/>
              </w:rPr>
            </w:pPr>
            <w:r>
              <w:rPr>
                <w:rFonts w:ascii="Times New Roman" w:hAnsi="Times New Roman"/>
                <w:highlight w:val="none"/>
              </w:rPr>
              <w:t>序号</w:t>
            </w:r>
          </w:p>
        </w:tc>
        <w:tc>
          <w:tcPr>
            <w:tcW w:w="794" w:type="pct"/>
            <w:vMerge w:val="restart"/>
            <w:noWrap w:val="0"/>
            <w:vAlign w:val="center"/>
          </w:tcPr>
          <w:p w14:paraId="56D5099D">
            <w:pPr>
              <w:spacing w:line="440" w:lineRule="exact"/>
              <w:jc w:val="center"/>
              <w:rPr>
                <w:rFonts w:ascii="Times New Roman" w:hAnsi="Times New Roman"/>
                <w:highlight w:val="none"/>
              </w:rPr>
            </w:pPr>
            <w:r>
              <w:rPr>
                <w:rFonts w:ascii="Times New Roman" w:hAnsi="Times New Roman"/>
                <w:highlight w:val="none"/>
              </w:rPr>
              <w:t>本项目任职</w:t>
            </w:r>
          </w:p>
        </w:tc>
        <w:tc>
          <w:tcPr>
            <w:tcW w:w="618" w:type="pct"/>
            <w:vMerge w:val="restart"/>
            <w:noWrap w:val="0"/>
            <w:vAlign w:val="center"/>
          </w:tcPr>
          <w:p w14:paraId="623F6BE4">
            <w:pPr>
              <w:spacing w:line="440" w:lineRule="exact"/>
              <w:jc w:val="center"/>
              <w:rPr>
                <w:rFonts w:ascii="Times New Roman" w:hAnsi="Times New Roman"/>
                <w:highlight w:val="none"/>
              </w:rPr>
            </w:pPr>
            <w:r>
              <w:rPr>
                <w:rFonts w:ascii="Times New Roman" w:hAnsi="Times New Roman"/>
                <w:highlight w:val="none"/>
              </w:rPr>
              <w:t>姓名</w:t>
            </w:r>
          </w:p>
        </w:tc>
        <w:tc>
          <w:tcPr>
            <w:tcW w:w="375" w:type="pct"/>
            <w:vMerge w:val="restart"/>
            <w:noWrap w:val="0"/>
            <w:vAlign w:val="center"/>
          </w:tcPr>
          <w:p w14:paraId="35BA337D">
            <w:pPr>
              <w:spacing w:line="440" w:lineRule="exact"/>
              <w:jc w:val="center"/>
              <w:rPr>
                <w:rFonts w:ascii="Times New Roman" w:hAnsi="Times New Roman"/>
                <w:highlight w:val="none"/>
              </w:rPr>
            </w:pPr>
            <w:r>
              <w:rPr>
                <w:rFonts w:ascii="Times New Roman" w:hAnsi="Times New Roman"/>
                <w:highlight w:val="none"/>
              </w:rPr>
              <w:t>职称</w:t>
            </w:r>
          </w:p>
        </w:tc>
        <w:tc>
          <w:tcPr>
            <w:tcW w:w="304" w:type="pct"/>
            <w:vMerge w:val="restart"/>
            <w:noWrap w:val="0"/>
            <w:vAlign w:val="center"/>
          </w:tcPr>
          <w:p w14:paraId="5805A7E9">
            <w:pPr>
              <w:spacing w:line="440" w:lineRule="exact"/>
              <w:jc w:val="center"/>
              <w:rPr>
                <w:rFonts w:ascii="Times New Roman" w:hAnsi="Times New Roman"/>
                <w:highlight w:val="none"/>
              </w:rPr>
            </w:pPr>
            <w:r>
              <w:rPr>
                <w:rFonts w:ascii="Times New Roman" w:hAnsi="Times New Roman"/>
                <w:highlight w:val="none"/>
              </w:rPr>
              <w:t>专业</w:t>
            </w:r>
          </w:p>
        </w:tc>
        <w:tc>
          <w:tcPr>
            <w:tcW w:w="1691" w:type="pct"/>
            <w:gridSpan w:val="3"/>
            <w:noWrap w:val="0"/>
            <w:vAlign w:val="center"/>
          </w:tcPr>
          <w:p w14:paraId="7B39EE07">
            <w:pPr>
              <w:spacing w:line="440" w:lineRule="exact"/>
              <w:jc w:val="center"/>
              <w:rPr>
                <w:rFonts w:ascii="Times New Roman" w:hAnsi="Times New Roman"/>
                <w:highlight w:val="none"/>
              </w:rPr>
            </w:pPr>
            <w:r>
              <w:rPr>
                <w:rFonts w:ascii="Times New Roman" w:hAnsi="Times New Roman"/>
                <w:highlight w:val="none"/>
              </w:rPr>
              <w:t>执业或职业资格证明</w:t>
            </w:r>
          </w:p>
        </w:tc>
        <w:tc>
          <w:tcPr>
            <w:tcW w:w="706" w:type="pct"/>
            <w:noWrap w:val="0"/>
            <w:vAlign w:val="center"/>
          </w:tcPr>
          <w:p w14:paraId="7D81F358">
            <w:pPr>
              <w:spacing w:line="440" w:lineRule="exact"/>
              <w:jc w:val="center"/>
              <w:rPr>
                <w:rFonts w:ascii="Times New Roman" w:hAnsi="Times New Roman"/>
                <w:highlight w:val="none"/>
              </w:rPr>
            </w:pPr>
            <w:r>
              <w:rPr>
                <w:rFonts w:ascii="Times New Roman" w:hAnsi="Times New Roman"/>
                <w:highlight w:val="none"/>
              </w:rPr>
              <w:t>备注</w:t>
            </w:r>
          </w:p>
        </w:tc>
      </w:tr>
      <w:tr w14:paraId="3619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Merge w:val="continue"/>
            <w:noWrap w:val="0"/>
            <w:vAlign w:val="center"/>
          </w:tcPr>
          <w:p w14:paraId="5321E486">
            <w:pPr>
              <w:rPr>
                <w:rFonts w:ascii="Times New Roman" w:hAnsi="Times New Roman"/>
                <w:highlight w:val="none"/>
              </w:rPr>
            </w:pPr>
          </w:p>
        </w:tc>
        <w:tc>
          <w:tcPr>
            <w:tcW w:w="794" w:type="pct"/>
            <w:vMerge w:val="continue"/>
            <w:noWrap w:val="0"/>
            <w:vAlign w:val="top"/>
          </w:tcPr>
          <w:p w14:paraId="6018F641">
            <w:pPr>
              <w:rPr>
                <w:rFonts w:ascii="Times New Roman" w:hAnsi="Times New Roman"/>
                <w:highlight w:val="none"/>
              </w:rPr>
            </w:pPr>
          </w:p>
        </w:tc>
        <w:tc>
          <w:tcPr>
            <w:tcW w:w="618" w:type="pct"/>
            <w:vMerge w:val="continue"/>
            <w:noWrap w:val="0"/>
            <w:vAlign w:val="center"/>
          </w:tcPr>
          <w:p w14:paraId="6181F80F">
            <w:pPr>
              <w:rPr>
                <w:rFonts w:ascii="Times New Roman" w:hAnsi="Times New Roman"/>
                <w:highlight w:val="none"/>
              </w:rPr>
            </w:pPr>
          </w:p>
        </w:tc>
        <w:tc>
          <w:tcPr>
            <w:tcW w:w="375" w:type="pct"/>
            <w:vMerge w:val="continue"/>
            <w:noWrap w:val="0"/>
            <w:vAlign w:val="center"/>
          </w:tcPr>
          <w:p w14:paraId="6651D516">
            <w:pPr>
              <w:rPr>
                <w:rFonts w:ascii="Times New Roman" w:hAnsi="Times New Roman"/>
                <w:highlight w:val="none"/>
              </w:rPr>
            </w:pPr>
          </w:p>
        </w:tc>
        <w:tc>
          <w:tcPr>
            <w:tcW w:w="304" w:type="pct"/>
            <w:vMerge w:val="continue"/>
            <w:noWrap w:val="0"/>
            <w:vAlign w:val="center"/>
          </w:tcPr>
          <w:p w14:paraId="6D3C6568">
            <w:pPr>
              <w:spacing w:line="440" w:lineRule="exact"/>
              <w:jc w:val="center"/>
              <w:rPr>
                <w:rFonts w:ascii="Times New Roman" w:hAnsi="Times New Roman"/>
                <w:highlight w:val="none"/>
              </w:rPr>
            </w:pPr>
          </w:p>
        </w:tc>
        <w:tc>
          <w:tcPr>
            <w:tcW w:w="706" w:type="pct"/>
            <w:noWrap w:val="0"/>
            <w:vAlign w:val="center"/>
          </w:tcPr>
          <w:p w14:paraId="603A8B57">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证书名称</w:t>
            </w:r>
          </w:p>
        </w:tc>
        <w:tc>
          <w:tcPr>
            <w:tcW w:w="441" w:type="pct"/>
            <w:noWrap w:val="0"/>
            <w:vAlign w:val="center"/>
          </w:tcPr>
          <w:p w14:paraId="0350880F">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级别</w:t>
            </w:r>
          </w:p>
        </w:tc>
        <w:tc>
          <w:tcPr>
            <w:tcW w:w="543" w:type="pct"/>
            <w:noWrap w:val="0"/>
            <w:vAlign w:val="center"/>
          </w:tcPr>
          <w:p w14:paraId="6B3E50F8">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证号</w:t>
            </w:r>
          </w:p>
        </w:tc>
        <w:tc>
          <w:tcPr>
            <w:tcW w:w="706" w:type="pct"/>
            <w:noWrap w:val="0"/>
            <w:vAlign w:val="center"/>
          </w:tcPr>
          <w:p w14:paraId="0680C075">
            <w:pPr>
              <w:spacing w:line="440" w:lineRule="exact"/>
              <w:jc w:val="center"/>
              <w:rPr>
                <w:rFonts w:ascii="Times New Roman" w:hAnsi="Times New Roman"/>
                <w:highlight w:val="none"/>
              </w:rPr>
            </w:pPr>
          </w:p>
        </w:tc>
      </w:tr>
      <w:tr w14:paraId="1F50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center"/>
          </w:tcPr>
          <w:p w14:paraId="1014BB4F">
            <w:pPr>
              <w:spacing w:line="440" w:lineRule="exact"/>
              <w:jc w:val="center"/>
              <w:rPr>
                <w:rFonts w:ascii="Times New Roman" w:hAnsi="Times New Roman"/>
                <w:highlight w:val="none"/>
              </w:rPr>
            </w:pPr>
          </w:p>
        </w:tc>
        <w:tc>
          <w:tcPr>
            <w:tcW w:w="794" w:type="pct"/>
            <w:noWrap w:val="0"/>
            <w:vAlign w:val="top"/>
          </w:tcPr>
          <w:p w14:paraId="19BA508D">
            <w:pPr>
              <w:spacing w:line="440" w:lineRule="exact"/>
              <w:jc w:val="center"/>
              <w:rPr>
                <w:rFonts w:ascii="Times New Roman" w:hAnsi="Times New Roman"/>
                <w:highlight w:val="none"/>
              </w:rPr>
            </w:pPr>
          </w:p>
        </w:tc>
        <w:tc>
          <w:tcPr>
            <w:tcW w:w="618" w:type="pct"/>
            <w:noWrap w:val="0"/>
            <w:vAlign w:val="center"/>
          </w:tcPr>
          <w:p w14:paraId="03E60F0E">
            <w:pPr>
              <w:spacing w:line="440" w:lineRule="exact"/>
              <w:jc w:val="center"/>
              <w:rPr>
                <w:rFonts w:ascii="Times New Roman" w:hAnsi="Times New Roman"/>
                <w:highlight w:val="none"/>
              </w:rPr>
            </w:pPr>
          </w:p>
        </w:tc>
        <w:tc>
          <w:tcPr>
            <w:tcW w:w="375" w:type="pct"/>
            <w:noWrap w:val="0"/>
            <w:vAlign w:val="center"/>
          </w:tcPr>
          <w:p w14:paraId="3588E953">
            <w:pPr>
              <w:spacing w:line="440" w:lineRule="exact"/>
              <w:jc w:val="center"/>
              <w:rPr>
                <w:rFonts w:ascii="Times New Roman" w:hAnsi="Times New Roman"/>
                <w:highlight w:val="none"/>
              </w:rPr>
            </w:pPr>
          </w:p>
        </w:tc>
        <w:tc>
          <w:tcPr>
            <w:tcW w:w="304" w:type="pct"/>
            <w:noWrap w:val="0"/>
            <w:vAlign w:val="center"/>
          </w:tcPr>
          <w:p w14:paraId="691AD9A1">
            <w:pPr>
              <w:spacing w:line="440" w:lineRule="exact"/>
              <w:jc w:val="center"/>
              <w:rPr>
                <w:rFonts w:ascii="Times New Roman" w:hAnsi="Times New Roman"/>
                <w:highlight w:val="none"/>
              </w:rPr>
            </w:pPr>
          </w:p>
        </w:tc>
        <w:tc>
          <w:tcPr>
            <w:tcW w:w="706" w:type="pct"/>
            <w:noWrap w:val="0"/>
            <w:vAlign w:val="center"/>
          </w:tcPr>
          <w:p w14:paraId="65081F0F">
            <w:pPr>
              <w:spacing w:line="440" w:lineRule="exact"/>
              <w:jc w:val="center"/>
              <w:rPr>
                <w:rFonts w:ascii="Times New Roman" w:hAnsi="Times New Roman"/>
                <w:highlight w:val="none"/>
              </w:rPr>
            </w:pPr>
          </w:p>
        </w:tc>
        <w:tc>
          <w:tcPr>
            <w:tcW w:w="441" w:type="pct"/>
            <w:noWrap w:val="0"/>
            <w:vAlign w:val="center"/>
          </w:tcPr>
          <w:p w14:paraId="620007F3">
            <w:pPr>
              <w:spacing w:line="440" w:lineRule="exact"/>
              <w:jc w:val="center"/>
              <w:rPr>
                <w:rFonts w:ascii="Times New Roman" w:hAnsi="Times New Roman"/>
                <w:highlight w:val="none"/>
              </w:rPr>
            </w:pPr>
          </w:p>
        </w:tc>
        <w:tc>
          <w:tcPr>
            <w:tcW w:w="543" w:type="pct"/>
            <w:noWrap w:val="0"/>
            <w:vAlign w:val="center"/>
          </w:tcPr>
          <w:p w14:paraId="2ED75A08">
            <w:pPr>
              <w:spacing w:line="440" w:lineRule="exact"/>
              <w:jc w:val="center"/>
              <w:rPr>
                <w:rFonts w:ascii="Times New Roman" w:hAnsi="Times New Roman"/>
                <w:highlight w:val="none"/>
              </w:rPr>
            </w:pPr>
          </w:p>
        </w:tc>
        <w:tc>
          <w:tcPr>
            <w:tcW w:w="706" w:type="pct"/>
            <w:noWrap w:val="0"/>
            <w:vAlign w:val="center"/>
          </w:tcPr>
          <w:p w14:paraId="2248B21C">
            <w:pPr>
              <w:spacing w:line="440" w:lineRule="exact"/>
              <w:jc w:val="center"/>
              <w:rPr>
                <w:rFonts w:ascii="Times New Roman" w:hAnsi="Times New Roman"/>
                <w:highlight w:val="none"/>
              </w:rPr>
            </w:pPr>
          </w:p>
        </w:tc>
      </w:tr>
      <w:tr w14:paraId="56AD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05B6B1EA">
            <w:pPr>
              <w:spacing w:line="440" w:lineRule="exact"/>
              <w:jc w:val="center"/>
              <w:rPr>
                <w:rFonts w:ascii="Times New Roman" w:hAnsi="Times New Roman"/>
                <w:highlight w:val="none"/>
              </w:rPr>
            </w:pPr>
          </w:p>
        </w:tc>
        <w:tc>
          <w:tcPr>
            <w:tcW w:w="794" w:type="pct"/>
            <w:noWrap w:val="0"/>
            <w:vAlign w:val="top"/>
          </w:tcPr>
          <w:p w14:paraId="6746F67F">
            <w:pPr>
              <w:spacing w:line="440" w:lineRule="exact"/>
              <w:jc w:val="center"/>
              <w:rPr>
                <w:rFonts w:ascii="Times New Roman" w:hAnsi="Times New Roman"/>
                <w:highlight w:val="none"/>
              </w:rPr>
            </w:pPr>
          </w:p>
        </w:tc>
        <w:tc>
          <w:tcPr>
            <w:tcW w:w="618" w:type="pct"/>
            <w:noWrap w:val="0"/>
            <w:vAlign w:val="top"/>
          </w:tcPr>
          <w:p w14:paraId="12EE0412">
            <w:pPr>
              <w:spacing w:line="440" w:lineRule="exact"/>
              <w:jc w:val="center"/>
              <w:rPr>
                <w:rFonts w:ascii="Times New Roman" w:hAnsi="Times New Roman"/>
                <w:highlight w:val="none"/>
              </w:rPr>
            </w:pPr>
          </w:p>
        </w:tc>
        <w:tc>
          <w:tcPr>
            <w:tcW w:w="375" w:type="pct"/>
            <w:noWrap w:val="0"/>
            <w:vAlign w:val="top"/>
          </w:tcPr>
          <w:p w14:paraId="47773695">
            <w:pPr>
              <w:spacing w:line="440" w:lineRule="exact"/>
              <w:jc w:val="center"/>
              <w:rPr>
                <w:rFonts w:ascii="Times New Roman" w:hAnsi="Times New Roman"/>
                <w:highlight w:val="none"/>
              </w:rPr>
            </w:pPr>
          </w:p>
        </w:tc>
        <w:tc>
          <w:tcPr>
            <w:tcW w:w="304" w:type="pct"/>
            <w:noWrap w:val="0"/>
            <w:vAlign w:val="top"/>
          </w:tcPr>
          <w:p w14:paraId="1EA2896F">
            <w:pPr>
              <w:spacing w:line="440" w:lineRule="exact"/>
              <w:jc w:val="center"/>
              <w:rPr>
                <w:rFonts w:ascii="Times New Roman" w:hAnsi="Times New Roman"/>
                <w:highlight w:val="none"/>
              </w:rPr>
            </w:pPr>
          </w:p>
        </w:tc>
        <w:tc>
          <w:tcPr>
            <w:tcW w:w="706" w:type="pct"/>
            <w:noWrap w:val="0"/>
            <w:vAlign w:val="top"/>
          </w:tcPr>
          <w:p w14:paraId="69012827">
            <w:pPr>
              <w:spacing w:line="440" w:lineRule="exact"/>
              <w:jc w:val="center"/>
              <w:rPr>
                <w:rFonts w:ascii="Times New Roman" w:hAnsi="Times New Roman"/>
                <w:highlight w:val="none"/>
              </w:rPr>
            </w:pPr>
          </w:p>
        </w:tc>
        <w:tc>
          <w:tcPr>
            <w:tcW w:w="441" w:type="pct"/>
            <w:noWrap w:val="0"/>
            <w:vAlign w:val="top"/>
          </w:tcPr>
          <w:p w14:paraId="7E631837">
            <w:pPr>
              <w:spacing w:line="440" w:lineRule="exact"/>
              <w:jc w:val="center"/>
              <w:rPr>
                <w:rFonts w:ascii="Times New Roman" w:hAnsi="Times New Roman"/>
                <w:highlight w:val="none"/>
              </w:rPr>
            </w:pPr>
          </w:p>
        </w:tc>
        <w:tc>
          <w:tcPr>
            <w:tcW w:w="543" w:type="pct"/>
            <w:noWrap w:val="0"/>
            <w:vAlign w:val="top"/>
          </w:tcPr>
          <w:p w14:paraId="0F9C9306">
            <w:pPr>
              <w:spacing w:line="440" w:lineRule="exact"/>
              <w:jc w:val="center"/>
              <w:rPr>
                <w:rFonts w:ascii="Times New Roman" w:hAnsi="Times New Roman"/>
                <w:highlight w:val="none"/>
              </w:rPr>
            </w:pPr>
          </w:p>
        </w:tc>
        <w:tc>
          <w:tcPr>
            <w:tcW w:w="706" w:type="pct"/>
            <w:noWrap w:val="0"/>
            <w:vAlign w:val="top"/>
          </w:tcPr>
          <w:p w14:paraId="46DFBBCB">
            <w:pPr>
              <w:spacing w:line="440" w:lineRule="exact"/>
              <w:jc w:val="center"/>
              <w:rPr>
                <w:rFonts w:ascii="Times New Roman" w:hAnsi="Times New Roman"/>
                <w:highlight w:val="none"/>
              </w:rPr>
            </w:pPr>
          </w:p>
        </w:tc>
      </w:tr>
      <w:tr w14:paraId="34B4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0EB90191">
            <w:pPr>
              <w:spacing w:line="440" w:lineRule="exact"/>
              <w:jc w:val="center"/>
              <w:rPr>
                <w:rFonts w:ascii="Times New Roman" w:hAnsi="Times New Roman"/>
                <w:highlight w:val="none"/>
              </w:rPr>
            </w:pPr>
          </w:p>
        </w:tc>
        <w:tc>
          <w:tcPr>
            <w:tcW w:w="794" w:type="pct"/>
            <w:noWrap w:val="0"/>
            <w:vAlign w:val="top"/>
          </w:tcPr>
          <w:p w14:paraId="75A42CA1">
            <w:pPr>
              <w:spacing w:line="440" w:lineRule="exact"/>
              <w:jc w:val="center"/>
              <w:rPr>
                <w:rFonts w:ascii="Times New Roman" w:hAnsi="Times New Roman"/>
                <w:highlight w:val="none"/>
              </w:rPr>
            </w:pPr>
          </w:p>
        </w:tc>
        <w:tc>
          <w:tcPr>
            <w:tcW w:w="618" w:type="pct"/>
            <w:noWrap w:val="0"/>
            <w:vAlign w:val="top"/>
          </w:tcPr>
          <w:p w14:paraId="1DEB5563">
            <w:pPr>
              <w:spacing w:line="440" w:lineRule="exact"/>
              <w:jc w:val="center"/>
              <w:rPr>
                <w:rFonts w:ascii="Times New Roman" w:hAnsi="Times New Roman"/>
                <w:highlight w:val="none"/>
              </w:rPr>
            </w:pPr>
          </w:p>
        </w:tc>
        <w:tc>
          <w:tcPr>
            <w:tcW w:w="375" w:type="pct"/>
            <w:noWrap w:val="0"/>
            <w:vAlign w:val="top"/>
          </w:tcPr>
          <w:p w14:paraId="180709B1">
            <w:pPr>
              <w:spacing w:line="440" w:lineRule="exact"/>
              <w:jc w:val="center"/>
              <w:rPr>
                <w:rFonts w:ascii="Times New Roman" w:hAnsi="Times New Roman"/>
                <w:highlight w:val="none"/>
              </w:rPr>
            </w:pPr>
          </w:p>
        </w:tc>
        <w:tc>
          <w:tcPr>
            <w:tcW w:w="304" w:type="pct"/>
            <w:noWrap w:val="0"/>
            <w:vAlign w:val="top"/>
          </w:tcPr>
          <w:p w14:paraId="3D9A8643">
            <w:pPr>
              <w:spacing w:line="440" w:lineRule="exact"/>
              <w:jc w:val="center"/>
              <w:rPr>
                <w:rFonts w:ascii="Times New Roman" w:hAnsi="Times New Roman"/>
                <w:highlight w:val="none"/>
              </w:rPr>
            </w:pPr>
          </w:p>
        </w:tc>
        <w:tc>
          <w:tcPr>
            <w:tcW w:w="706" w:type="pct"/>
            <w:noWrap w:val="0"/>
            <w:vAlign w:val="top"/>
          </w:tcPr>
          <w:p w14:paraId="1F68998B">
            <w:pPr>
              <w:spacing w:line="440" w:lineRule="exact"/>
              <w:jc w:val="center"/>
              <w:rPr>
                <w:rFonts w:ascii="Times New Roman" w:hAnsi="Times New Roman"/>
                <w:highlight w:val="none"/>
              </w:rPr>
            </w:pPr>
          </w:p>
        </w:tc>
        <w:tc>
          <w:tcPr>
            <w:tcW w:w="441" w:type="pct"/>
            <w:noWrap w:val="0"/>
            <w:vAlign w:val="top"/>
          </w:tcPr>
          <w:p w14:paraId="6B0F2CAD">
            <w:pPr>
              <w:spacing w:line="440" w:lineRule="exact"/>
              <w:jc w:val="center"/>
              <w:rPr>
                <w:rFonts w:ascii="Times New Roman" w:hAnsi="Times New Roman"/>
                <w:highlight w:val="none"/>
              </w:rPr>
            </w:pPr>
          </w:p>
        </w:tc>
        <w:tc>
          <w:tcPr>
            <w:tcW w:w="543" w:type="pct"/>
            <w:noWrap w:val="0"/>
            <w:vAlign w:val="top"/>
          </w:tcPr>
          <w:p w14:paraId="5C290906">
            <w:pPr>
              <w:spacing w:line="440" w:lineRule="exact"/>
              <w:jc w:val="center"/>
              <w:rPr>
                <w:rFonts w:ascii="Times New Roman" w:hAnsi="Times New Roman"/>
                <w:highlight w:val="none"/>
              </w:rPr>
            </w:pPr>
          </w:p>
        </w:tc>
        <w:tc>
          <w:tcPr>
            <w:tcW w:w="706" w:type="pct"/>
            <w:noWrap w:val="0"/>
            <w:vAlign w:val="top"/>
          </w:tcPr>
          <w:p w14:paraId="4EEED6D2">
            <w:pPr>
              <w:spacing w:line="440" w:lineRule="exact"/>
              <w:jc w:val="center"/>
              <w:rPr>
                <w:rFonts w:ascii="Times New Roman" w:hAnsi="Times New Roman"/>
                <w:highlight w:val="none"/>
              </w:rPr>
            </w:pPr>
          </w:p>
        </w:tc>
      </w:tr>
      <w:tr w14:paraId="3A25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4A9ED69D">
            <w:pPr>
              <w:spacing w:line="440" w:lineRule="exact"/>
              <w:jc w:val="center"/>
              <w:rPr>
                <w:rFonts w:ascii="Times New Roman" w:hAnsi="Times New Roman"/>
                <w:highlight w:val="none"/>
              </w:rPr>
            </w:pPr>
          </w:p>
        </w:tc>
        <w:tc>
          <w:tcPr>
            <w:tcW w:w="794" w:type="pct"/>
            <w:noWrap w:val="0"/>
            <w:vAlign w:val="top"/>
          </w:tcPr>
          <w:p w14:paraId="1AABC881">
            <w:pPr>
              <w:spacing w:line="440" w:lineRule="exact"/>
              <w:jc w:val="center"/>
              <w:rPr>
                <w:rFonts w:ascii="Times New Roman" w:hAnsi="Times New Roman"/>
                <w:highlight w:val="none"/>
              </w:rPr>
            </w:pPr>
          </w:p>
        </w:tc>
        <w:tc>
          <w:tcPr>
            <w:tcW w:w="618" w:type="pct"/>
            <w:noWrap w:val="0"/>
            <w:vAlign w:val="top"/>
          </w:tcPr>
          <w:p w14:paraId="020CC4BC">
            <w:pPr>
              <w:spacing w:line="440" w:lineRule="exact"/>
              <w:jc w:val="center"/>
              <w:rPr>
                <w:rFonts w:ascii="Times New Roman" w:hAnsi="Times New Roman"/>
                <w:highlight w:val="none"/>
              </w:rPr>
            </w:pPr>
          </w:p>
        </w:tc>
        <w:tc>
          <w:tcPr>
            <w:tcW w:w="375" w:type="pct"/>
            <w:noWrap w:val="0"/>
            <w:vAlign w:val="top"/>
          </w:tcPr>
          <w:p w14:paraId="00506BA2">
            <w:pPr>
              <w:spacing w:line="440" w:lineRule="exact"/>
              <w:jc w:val="center"/>
              <w:rPr>
                <w:rFonts w:ascii="Times New Roman" w:hAnsi="Times New Roman"/>
                <w:highlight w:val="none"/>
              </w:rPr>
            </w:pPr>
          </w:p>
        </w:tc>
        <w:tc>
          <w:tcPr>
            <w:tcW w:w="304" w:type="pct"/>
            <w:noWrap w:val="0"/>
            <w:vAlign w:val="top"/>
          </w:tcPr>
          <w:p w14:paraId="6A470840">
            <w:pPr>
              <w:spacing w:line="440" w:lineRule="exact"/>
              <w:jc w:val="center"/>
              <w:rPr>
                <w:rFonts w:ascii="Times New Roman" w:hAnsi="Times New Roman"/>
                <w:highlight w:val="none"/>
              </w:rPr>
            </w:pPr>
          </w:p>
        </w:tc>
        <w:tc>
          <w:tcPr>
            <w:tcW w:w="706" w:type="pct"/>
            <w:noWrap w:val="0"/>
            <w:vAlign w:val="top"/>
          </w:tcPr>
          <w:p w14:paraId="64D6A6EA">
            <w:pPr>
              <w:spacing w:line="440" w:lineRule="exact"/>
              <w:jc w:val="center"/>
              <w:rPr>
                <w:rFonts w:ascii="Times New Roman" w:hAnsi="Times New Roman"/>
                <w:highlight w:val="none"/>
              </w:rPr>
            </w:pPr>
          </w:p>
        </w:tc>
        <w:tc>
          <w:tcPr>
            <w:tcW w:w="441" w:type="pct"/>
            <w:noWrap w:val="0"/>
            <w:vAlign w:val="top"/>
          </w:tcPr>
          <w:p w14:paraId="44DA4D69">
            <w:pPr>
              <w:spacing w:line="440" w:lineRule="exact"/>
              <w:jc w:val="center"/>
              <w:rPr>
                <w:rFonts w:ascii="Times New Roman" w:hAnsi="Times New Roman"/>
                <w:highlight w:val="none"/>
              </w:rPr>
            </w:pPr>
          </w:p>
        </w:tc>
        <w:tc>
          <w:tcPr>
            <w:tcW w:w="543" w:type="pct"/>
            <w:noWrap w:val="0"/>
            <w:vAlign w:val="top"/>
          </w:tcPr>
          <w:p w14:paraId="52CA89AF">
            <w:pPr>
              <w:spacing w:line="440" w:lineRule="exact"/>
              <w:jc w:val="center"/>
              <w:rPr>
                <w:rFonts w:ascii="Times New Roman" w:hAnsi="Times New Roman"/>
                <w:highlight w:val="none"/>
              </w:rPr>
            </w:pPr>
          </w:p>
        </w:tc>
        <w:tc>
          <w:tcPr>
            <w:tcW w:w="706" w:type="pct"/>
            <w:noWrap w:val="0"/>
            <w:vAlign w:val="top"/>
          </w:tcPr>
          <w:p w14:paraId="2AD74B96">
            <w:pPr>
              <w:spacing w:line="440" w:lineRule="exact"/>
              <w:jc w:val="center"/>
              <w:rPr>
                <w:rFonts w:ascii="Times New Roman" w:hAnsi="Times New Roman"/>
                <w:highlight w:val="none"/>
              </w:rPr>
            </w:pPr>
          </w:p>
        </w:tc>
      </w:tr>
      <w:tr w14:paraId="05D6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03BD7989">
            <w:pPr>
              <w:spacing w:line="440" w:lineRule="exact"/>
              <w:jc w:val="center"/>
              <w:rPr>
                <w:rFonts w:ascii="Times New Roman" w:hAnsi="Times New Roman"/>
                <w:highlight w:val="none"/>
              </w:rPr>
            </w:pPr>
          </w:p>
        </w:tc>
        <w:tc>
          <w:tcPr>
            <w:tcW w:w="794" w:type="pct"/>
            <w:noWrap w:val="0"/>
            <w:vAlign w:val="top"/>
          </w:tcPr>
          <w:p w14:paraId="5C45C5E0">
            <w:pPr>
              <w:spacing w:line="440" w:lineRule="exact"/>
              <w:jc w:val="center"/>
              <w:rPr>
                <w:rFonts w:ascii="Times New Roman" w:hAnsi="Times New Roman"/>
                <w:highlight w:val="none"/>
              </w:rPr>
            </w:pPr>
          </w:p>
        </w:tc>
        <w:tc>
          <w:tcPr>
            <w:tcW w:w="618" w:type="pct"/>
            <w:noWrap w:val="0"/>
            <w:vAlign w:val="top"/>
          </w:tcPr>
          <w:p w14:paraId="2F3CE8C0">
            <w:pPr>
              <w:spacing w:line="440" w:lineRule="exact"/>
              <w:jc w:val="center"/>
              <w:rPr>
                <w:rFonts w:ascii="Times New Roman" w:hAnsi="Times New Roman"/>
                <w:highlight w:val="none"/>
              </w:rPr>
            </w:pPr>
          </w:p>
        </w:tc>
        <w:tc>
          <w:tcPr>
            <w:tcW w:w="375" w:type="pct"/>
            <w:noWrap w:val="0"/>
            <w:vAlign w:val="top"/>
          </w:tcPr>
          <w:p w14:paraId="4949F8BC">
            <w:pPr>
              <w:spacing w:line="440" w:lineRule="exact"/>
              <w:jc w:val="center"/>
              <w:rPr>
                <w:rFonts w:ascii="Times New Roman" w:hAnsi="Times New Roman"/>
                <w:highlight w:val="none"/>
              </w:rPr>
            </w:pPr>
          </w:p>
        </w:tc>
        <w:tc>
          <w:tcPr>
            <w:tcW w:w="304" w:type="pct"/>
            <w:noWrap w:val="0"/>
            <w:vAlign w:val="top"/>
          </w:tcPr>
          <w:p w14:paraId="30A844E7">
            <w:pPr>
              <w:spacing w:line="440" w:lineRule="exact"/>
              <w:jc w:val="center"/>
              <w:rPr>
                <w:rFonts w:ascii="Times New Roman" w:hAnsi="Times New Roman"/>
                <w:highlight w:val="none"/>
              </w:rPr>
            </w:pPr>
          </w:p>
        </w:tc>
        <w:tc>
          <w:tcPr>
            <w:tcW w:w="706" w:type="pct"/>
            <w:noWrap w:val="0"/>
            <w:vAlign w:val="top"/>
          </w:tcPr>
          <w:p w14:paraId="77F7A51F">
            <w:pPr>
              <w:spacing w:line="440" w:lineRule="exact"/>
              <w:jc w:val="center"/>
              <w:rPr>
                <w:rFonts w:ascii="Times New Roman" w:hAnsi="Times New Roman"/>
                <w:highlight w:val="none"/>
              </w:rPr>
            </w:pPr>
          </w:p>
        </w:tc>
        <w:tc>
          <w:tcPr>
            <w:tcW w:w="441" w:type="pct"/>
            <w:noWrap w:val="0"/>
            <w:vAlign w:val="top"/>
          </w:tcPr>
          <w:p w14:paraId="43690D4B">
            <w:pPr>
              <w:spacing w:line="440" w:lineRule="exact"/>
              <w:jc w:val="center"/>
              <w:rPr>
                <w:rFonts w:ascii="Times New Roman" w:hAnsi="Times New Roman"/>
                <w:highlight w:val="none"/>
              </w:rPr>
            </w:pPr>
          </w:p>
        </w:tc>
        <w:tc>
          <w:tcPr>
            <w:tcW w:w="543" w:type="pct"/>
            <w:noWrap w:val="0"/>
            <w:vAlign w:val="top"/>
          </w:tcPr>
          <w:p w14:paraId="24007A1E">
            <w:pPr>
              <w:spacing w:line="440" w:lineRule="exact"/>
              <w:jc w:val="center"/>
              <w:rPr>
                <w:rFonts w:ascii="Times New Roman" w:hAnsi="Times New Roman"/>
                <w:highlight w:val="none"/>
              </w:rPr>
            </w:pPr>
          </w:p>
        </w:tc>
        <w:tc>
          <w:tcPr>
            <w:tcW w:w="706" w:type="pct"/>
            <w:noWrap w:val="0"/>
            <w:vAlign w:val="top"/>
          </w:tcPr>
          <w:p w14:paraId="5C62BB99">
            <w:pPr>
              <w:spacing w:line="440" w:lineRule="exact"/>
              <w:jc w:val="center"/>
              <w:rPr>
                <w:rFonts w:ascii="Times New Roman" w:hAnsi="Times New Roman"/>
                <w:highlight w:val="none"/>
              </w:rPr>
            </w:pPr>
          </w:p>
        </w:tc>
      </w:tr>
      <w:tr w14:paraId="79B2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344A3F03">
            <w:pPr>
              <w:spacing w:line="440" w:lineRule="exact"/>
              <w:jc w:val="center"/>
              <w:rPr>
                <w:rFonts w:ascii="Times New Roman" w:hAnsi="Times New Roman"/>
                <w:highlight w:val="none"/>
              </w:rPr>
            </w:pPr>
          </w:p>
        </w:tc>
        <w:tc>
          <w:tcPr>
            <w:tcW w:w="794" w:type="pct"/>
            <w:noWrap w:val="0"/>
            <w:vAlign w:val="top"/>
          </w:tcPr>
          <w:p w14:paraId="3206FB79">
            <w:pPr>
              <w:spacing w:line="440" w:lineRule="exact"/>
              <w:jc w:val="center"/>
              <w:rPr>
                <w:rFonts w:ascii="Times New Roman" w:hAnsi="Times New Roman"/>
                <w:highlight w:val="none"/>
              </w:rPr>
            </w:pPr>
          </w:p>
        </w:tc>
        <w:tc>
          <w:tcPr>
            <w:tcW w:w="618" w:type="pct"/>
            <w:noWrap w:val="0"/>
            <w:vAlign w:val="top"/>
          </w:tcPr>
          <w:p w14:paraId="22D98C59">
            <w:pPr>
              <w:spacing w:line="440" w:lineRule="exact"/>
              <w:jc w:val="center"/>
              <w:rPr>
                <w:rFonts w:ascii="Times New Roman" w:hAnsi="Times New Roman"/>
                <w:highlight w:val="none"/>
              </w:rPr>
            </w:pPr>
          </w:p>
        </w:tc>
        <w:tc>
          <w:tcPr>
            <w:tcW w:w="375" w:type="pct"/>
            <w:noWrap w:val="0"/>
            <w:vAlign w:val="top"/>
          </w:tcPr>
          <w:p w14:paraId="11D89CBE">
            <w:pPr>
              <w:spacing w:line="440" w:lineRule="exact"/>
              <w:jc w:val="center"/>
              <w:rPr>
                <w:rFonts w:ascii="Times New Roman" w:hAnsi="Times New Roman"/>
                <w:highlight w:val="none"/>
              </w:rPr>
            </w:pPr>
          </w:p>
        </w:tc>
        <w:tc>
          <w:tcPr>
            <w:tcW w:w="304" w:type="pct"/>
            <w:noWrap w:val="0"/>
            <w:vAlign w:val="top"/>
          </w:tcPr>
          <w:p w14:paraId="11E5C266">
            <w:pPr>
              <w:spacing w:line="440" w:lineRule="exact"/>
              <w:jc w:val="center"/>
              <w:rPr>
                <w:rFonts w:ascii="Times New Roman" w:hAnsi="Times New Roman"/>
                <w:highlight w:val="none"/>
              </w:rPr>
            </w:pPr>
          </w:p>
        </w:tc>
        <w:tc>
          <w:tcPr>
            <w:tcW w:w="706" w:type="pct"/>
            <w:noWrap w:val="0"/>
            <w:vAlign w:val="top"/>
          </w:tcPr>
          <w:p w14:paraId="010A3E1C">
            <w:pPr>
              <w:spacing w:line="440" w:lineRule="exact"/>
              <w:jc w:val="center"/>
              <w:rPr>
                <w:rFonts w:ascii="Times New Roman" w:hAnsi="Times New Roman"/>
                <w:highlight w:val="none"/>
              </w:rPr>
            </w:pPr>
          </w:p>
        </w:tc>
        <w:tc>
          <w:tcPr>
            <w:tcW w:w="441" w:type="pct"/>
            <w:noWrap w:val="0"/>
            <w:vAlign w:val="top"/>
          </w:tcPr>
          <w:p w14:paraId="15465C4C">
            <w:pPr>
              <w:spacing w:line="440" w:lineRule="exact"/>
              <w:jc w:val="center"/>
              <w:rPr>
                <w:rFonts w:ascii="Times New Roman" w:hAnsi="Times New Roman"/>
                <w:highlight w:val="none"/>
              </w:rPr>
            </w:pPr>
          </w:p>
        </w:tc>
        <w:tc>
          <w:tcPr>
            <w:tcW w:w="543" w:type="pct"/>
            <w:noWrap w:val="0"/>
            <w:vAlign w:val="top"/>
          </w:tcPr>
          <w:p w14:paraId="590947B1">
            <w:pPr>
              <w:spacing w:line="440" w:lineRule="exact"/>
              <w:jc w:val="center"/>
              <w:rPr>
                <w:rFonts w:ascii="Times New Roman" w:hAnsi="Times New Roman"/>
                <w:highlight w:val="none"/>
              </w:rPr>
            </w:pPr>
          </w:p>
        </w:tc>
        <w:tc>
          <w:tcPr>
            <w:tcW w:w="706" w:type="pct"/>
            <w:noWrap w:val="0"/>
            <w:vAlign w:val="top"/>
          </w:tcPr>
          <w:p w14:paraId="3076D178">
            <w:pPr>
              <w:spacing w:line="440" w:lineRule="exact"/>
              <w:jc w:val="center"/>
              <w:rPr>
                <w:rFonts w:ascii="Times New Roman" w:hAnsi="Times New Roman"/>
                <w:highlight w:val="none"/>
              </w:rPr>
            </w:pPr>
          </w:p>
        </w:tc>
      </w:tr>
      <w:tr w14:paraId="63A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45C0A42C">
            <w:pPr>
              <w:spacing w:line="440" w:lineRule="exact"/>
              <w:jc w:val="center"/>
              <w:rPr>
                <w:rFonts w:ascii="Times New Roman" w:hAnsi="Times New Roman"/>
                <w:highlight w:val="none"/>
              </w:rPr>
            </w:pPr>
          </w:p>
        </w:tc>
        <w:tc>
          <w:tcPr>
            <w:tcW w:w="794" w:type="pct"/>
            <w:noWrap w:val="0"/>
            <w:vAlign w:val="top"/>
          </w:tcPr>
          <w:p w14:paraId="561F3532">
            <w:pPr>
              <w:spacing w:line="440" w:lineRule="exact"/>
              <w:jc w:val="center"/>
              <w:rPr>
                <w:rFonts w:ascii="Times New Roman" w:hAnsi="Times New Roman"/>
                <w:highlight w:val="none"/>
              </w:rPr>
            </w:pPr>
          </w:p>
        </w:tc>
        <w:tc>
          <w:tcPr>
            <w:tcW w:w="618" w:type="pct"/>
            <w:noWrap w:val="0"/>
            <w:vAlign w:val="top"/>
          </w:tcPr>
          <w:p w14:paraId="499E9317">
            <w:pPr>
              <w:spacing w:line="440" w:lineRule="exact"/>
              <w:jc w:val="center"/>
              <w:rPr>
                <w:rFonts w:ascii="Times New Roman" w:hAnsi="Times New Roman"/>
                <w:highlight w:val="none"/>
              </w:rPr>
            </w:pPr>
          </w:p>
        </w:tc>
        <w:tc>
          <w:tcPr>
            <w:tcW w:w="375" w:type="pct"/>
            <w:noWrap w:val="0"/>
            <w:vAlign w:val="top"/>
          </w:tcPr>
          <w:p w14:paraId="15950869">
            <w:pPr>
              <w:spacing w:line="440" w:lineRule="exact"/>
              <w:jc w:val="center"/>
              <w:rPr>
                <w:rFonts w:ascii="Times New Roman" w:hAnsi="Times New Roman"/>
                <w:highlight w:val="none"/>
              </w:rPr>
            </w:pPr>
          </w:p>
        </w:tc>
        <w:tc>
          <w:tcPr>
            <w:tcW w:w="304" w:type="pct"/>
            <w:noWrap w:val="0"/>
            <w:vAlign w:val="top"/>
          </w:tcPr>
          <w:p w14:paraId="61AC3144">
            <w:pPr>
              <w:spacing w:line="440" w:lineRule="exact"/>
              <w:jc w:val="center"/>
              <w:rPr>
                <w:rFonts w:ascii="Times New Roman" w:hAnsi="Times New Roman"/>
                <w:highlight w:val="none"/>
              </w:rPr>
            </w:pPr>
          </w:p>
        </w:tc>
        <w:tc>
          <w:tcPr>
            <w:tcW w:w="706" w:type="pct"/>
            <w:noWrap w:val="0"/>
            <w:vAlign w:val="top"/>
          </w:tcPr>
          <w:p w14:paraId="09B81B90">
            <w:pPr>
              <w:spacing w:line="440" w:lineRule="exact"/>
              <w:jc w:val="center"/>
              <w:rPr>
                <w:rFonts w:ascii="Times New Roman" w:hAnsi="Times New Roman"/>
                <w:highlight w:val="none"/>
              </w:rPr>
            </w:pPr>
          </w:p>
        </w:tc>
        <w:tc>
          <w:tcPr>
            <w:tcW w:w="441" w:type="pct"/>
            <w:noWrap w:val="0"/>
            <w:vAlign w:val="top"/>
          </w:tcPr>
          <w:p w14:paraId="1A487214">
            <w:pPr>
              <w:spacing w:line="440" w:lineRule="exact"/>
              <w:jc w:val="center"/>
              <w:rPr>
                <w:rFonts w:ascii="Times New Roman" w:hAnsi="Times New Roman"/>
                <w:highlight w:val="none"/>
              </w:rPr>
            </w:pPr>
          </w:p>
        </w:tc>
        <w:tc>
          <w:tcPr>
            <w:tcW w:w="543" w:type="pct"/>
            <w:noWrap w:val="0"/>
            <w:vAlign w:val="top"/>
          </w:tcPr>
          <w:p w14:paraId="26293CD5">
            <w:pPr>
              <w:spacing w:line="440" w:lineRule="exact"/>
              <w:jc w:val="center"/>
              <w:rPr>
                <w:rFonts w:ascii="Times New Roman" w:hAnsi="Times New Roman"/>
                <w:highlight w:val="none"/>
              </w:rPr>
            </w:pPr>
          </w:p>
        </w:tc>
        <w:tc>
          <w:tcPr>
            <w:tcW w:w="706" w:type="pct"/>
            <w:noWrap w:val="0"/>
            <w:vAlign w:val="top"/>
          </w:tcPr>
          <w:p w14:paraId="148844D8">
            <w:pPr>
              <w:spacing w:line="440" w:lineRule="exact"/>
              <w:jc w:val="center"/>
              <w:rPr>
                <w:rFonts w:ascii="Times New Roman" w:hAnsi="Times New Roman"/>
                <w:highlight w:val="none"/>
              </w:rPr>
            </w:pPr>
          </w:p>
        </w:tc>
      </w:tr>
      <w:tr w14:paraId="0E46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365CB0C7">
            <w:pPr>
              <w:spacing w:line="440" w:lineRule="exact"/>
              <w:jc w:val="center"/>
              <w:rPr>
                <w:rFonts w:ascii="Times New Roman" w:hAnsi="Times New Roman"/>
                <w:highlight w:val="none"/>
              </w:rPr>
            </w:pPr>
          </w:p>
        </w:tc>
        <w:tc>
          <w:tcPr>
            <w:tcW w:w="794" w:type="pct"/>
            <w:noWrap w:val="0"/>
            <w:vAlign w:val="top"/>
          </w:tcPr>
          <w:p w14:paraId="0B97CA24">
            <w:pPr>
              <w:spacing w:line="440" w:lineRule="exact"/>
              <w:jc w:val="center"/>
              <w:rPr>
                <w:rFonts w:ascii="Times New Roman" w:hAnsi="Times New Roman"/>
                <w:highlight w:val="none"/>
              </w:rPr>
            </w:pPr>
          </w:p>
        </w:tc>
        <w:tc>
          <w:tcPr>
            <w:tcW w:w="618" w:type="pct"/>
            <w:noWrap w:val="0"/>
            <w:vAlign w:val="top"/>
          </w:tcPr>
          <w:p w14:paraId="633EE34C">
            <w:pPr>
              <w:spacing w:line="440" w:lineRule="exact"/>
              <w:jc w:val="center"/>
              <w:rPr>
                <w:rFonts w:ascii="Times New Roman" w:hAnsi="Times New Roman"/>
                <w:highlight w:val="none"/>
              </w:rPr>
            </w:pPr>
          </w:p>
        </w:tc>
        <w:tc>
          <w:tcPr>
            <w:tcW w:w="375" w:type="pct"/>
            <w:noWrap w:val="0"/>
            <w:vAlign w:val="top"/>
          </w:tcPr>
          <w:p w14:paraId="4F702F25">
            <w:pPr>
              <w:spacing w:line="440" w:lineRule="exact"/>
              <w:jc w:val="center"/>
              <w:rPr>
                <w:rFonts w:ascii="Times New Roman" w:hAnsi="Times New Roman"/>
                <w:highlight w:val="none"/>
              </w:rPr>
            </w:pPr>
          </w:p>
        </w:tc>
        <w:tc>
          <w:tcPr>
            <w:tcW w:w="304" w:type="pct"/>
            <w:noWrap w:val="0"/>
            <w:vAlign w:val="top"/>
          </w:tcPr>
          <w:p w14:paraId="25CA4649">
            <w:pPr>
              <w:spacing w:line="440" w:lineRule="exact"/>
              <w:jc w:val="center"/>
              <w:rPr>
                <w:rFonts w:ascii="Times New Roman" w:hAnsi="Times New Roman"/>
                <w:highlight w:val="none"/>
              </w:rPr>
            </w:pPr>
          </w:p>
        </w:tc>
        <w:tc>
          <w:tcPr>
            <w:tcW w:w="706" w:type="pct"/>
            <w:noWrap w:val="0"/>
            <w:vAlign w:val="top"/>
          </w:tcPr>
          <w:p w14:paraId="45569143">
            <w:pPr>
              <w:spacing w:line="440" w:lineRule="exact"/>
              <w:jc w:val="center"/>
              <w:rPr>
                <w:rFonts w:ascii="Times New Roman" w:hAnsi="Times New Roman"/>
                <w:highlight w:val="none"/>
              </w:rPr>
            </w:pPr>
          </w:p>
        </w:tc>
        <w:tc>
          <w:tcPr>
            <w:tcW w:w="441" w:type="pct"/>
            <w:noWrap w:val="0"/>
            <w:vAlign w:val="top"/>
          </w:tcPr>
          <w:p w14:paraId="0A516EEB">
            <w:pPr>
              <w:spacing w:line="440" w:lineRule="exact"/>
              <w:jc w:val="center"/>
              <w:rPr>
                <w:rFonts w:ascii="Times New Roman" w:hAnsi="Times New Roman"/>
                <w:highlight w:val="none"/>
              </w:rPr>
            </w:pPr>
          </w:p>
        </w:tc>
        <w:tc>
          <w:tcPr>
            <w:tcW w:w="543" w:type="pct"/>
            <w:noWrap w:val="0"/>
            <w:vAlign w:val="top"/>
          </w:tcPr>
          <w:p w14:paraId="747844D8">
            <w:pPr>
              <w:spacing w:line="440" w:lineRule="exact"/>
              <w:jc w:val="center"/>
              <w:rPr>
                <w:rFonts w:ascii="Times New Roman" w:hAnsi="Times New Roman"/>
                <w:highlight w:val="none"/>
              </w:rPr>
            </w:pPr>
          </w:p>
        </w:tc>
        <w:tc>
          <w:tcPr>
            <w:tcW w:w="706" w:type="pct"/>
            <w:noWrap w:val="0"/>
            <w:vAlign w:val="top"/>
          </w:tcPr>
          <w:p w14:paraId="3A343852">
            <w:pPr>
              <w:spacing w:line="440" w:lineRule="exact"/>
              <w:jc w:val="center"/>
              <w:rPr>
                <w:rFonts w:ascii="Times New Roman" w:hAnsi="Times New Roman"/>
                <w:highlight w:val="none"/>
              </w:rPr>
            </w:pPr>
          </w:p>
        </w:tc>
      </w:tr>
      <w:tr w14:paraId="54C1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2BF4A224">
            <w:pPr>
              <w:spacing w:line="440" w:lineRule="exact"/>
              <w:jc w:val="center"/>
              <w:rPr>
                <w:rFonts w:ascii="Times New Roman" w:hAnsi="Times New Roman"/>
                <w:highlight w:val="none"/>
              </w:rPr>
            </w:pPr>
          </w:p>
        </w:tc>
        <w:tc>
          <w:tcPr>
            <w:tcW w:w="794" w:type="pct"/>
            <w:noWrap w:val="0"/>
            <w:vAlign w:val="top"/>
          </w:tcPr>
          <w:p w14:paraId="55C04AEE">
            <w:pPr>
              <w:spacing w:line="440" w:lineRule="exact"/>
              <w:jc w:val="center"/>
              <w:rPr>
                <w:rFonts w:ascii="Times New Roman" w:hAnsi="Times New Roman"/>
                <w:highlight w:val="none"/>
              </w:rPr>
            </w:pPr>
          </w:p>
        </w:tc>
        <w:tc>
          <w:tcPr>
            <w:tcW w:w="618" w:type="pct"/>
            <w:noWrap w:val="0"/>
            <w:vAlign w:val="top"/>
          </w:tcPr>
          <w:p w14:paraId="4F082A8D">
            <w:pPr>
              <w:spacing w:line="440" w:lineRule="exact"/>
              <w:jc w:val="center"/>
              <w:rPr>
                <w:rFonts w:ascii="Times New Roman" w:hAnsi="Times New Roman"/>
                <w:highlight w:val="none"/>
              </w:rPr>
            </w:pPr>
          </w:p>
        </w:tc>
        <w:tc>
          <w:tcPr>
            <w:tcW w:w="375" w:type="pct"/>
            <w:noWrap w:val="0"/>
            <w:vAlign w:val="top"/>
          </w:tcPr>
          <w:p w14:paraId="0073953F">
            <w:pPr>
              <w:spacing w:line="440" w:lineRule="exact"/>
              <w:jc w:val="center"/>
              <w:rPr>
                <w:rFonts w:ascii="Times New Roman" w:hAnsi="Times New Roman"/>
                <w:highlight w:val="none"/>
              </w:rPr>
            </w:pPr>
          </w:p>
        </w:tc>
        <w:tc>
          <w:tcPr>
            <w:tcW w:w="304" w:type="pct"/>
            <w:noWrap w:val="0"/>
            <w:vAlign w:val="top"/>
          </w:tcPr>
          <w:p w14:paraId="70497072">
            <w:pPr>
              <w:spacing w:line="440" w:lineRule="exact"/>
              <w:jc w:val="center"/>
              <w:rPr>
                <w:rFonts w:ascii="Times New Roman" w:hAnsi="Times New Roman"/>
                <w:highlight w:val="none"/>
              </w:rPr>
            </w:pPr>
          </w:p>
        </w:tc>
        <w:tc>
          <w:tcPr>
            <w:tcW w:w="706" w:type="pct"/>
            <w:noWrap w:val="0"/>
            <w:vAlign w:val="top"/>
          </w:tcPr>
          <w:p w14:paraId="228AFC26">
            <w:pPr>
              <w:spacing w:line="440" w:lineRule="exact"/>
              <w:jc w:val="center"/>
              <w:rPr>
                <w:rFonts w:ascii="Times New Roman" w:hAnsi="Times New Roman"/>
                <w:highlight w:val="none"/>
              </w:rPr>
            </w:pPr>
          </w:p>
        </w:tc>
        <w:tc>
          <w:tcPr>
            <w:tcW w:w="441" w:type="pct"/>
            <w:noWrap w:val="0"/>
            <w:vAlign w:val="top"/>
          </w:tcPr>
          <w:p w14:paraId="683ADE40">
            <w:pPr>
              <w:spacing w:line="440" w:lineRule="exact"/>
              <w:jc w:val="center"/>
              <w:rPr>
                <w:rFonts w:ascii="Times New Roman" w:hAnsi="Times New Roman"/>
                <w:highlight w:val="none"/>
              </w:rPr>
            </w:pPr>
          </w:p>
        </w:tc>
        <w:tc>
          <w:tcPr>
            <w:tcW w:w="543" w:type="pct"/>
            <w:noWrap w:val="0"/>
            <w:vAlign w:val="top"/>
          </w:tcPr>
          <w:p w14:paraId="1CEA1361">
            <w:pPr>
              <w:spacing w:line="440" w:lineRule="exact"/>
              <w:jc w:val="center"/>
              <w:rPr>
                <w:rFonts w:ascii="Times New Roman" w:hAnsi="Times New Roman"/>
                <w:highlight w:val="none"/>
              </w:rPr>
            </w:pPr>
          </w:p>
        </w:tc>
        <w:tc>
          <w:tcPr>
            <w:tcW w:w="706" w:type="pct"/>
            <w:noWrap w:val="0"/>
            <w:vAlign w:val="top"/>
          </w:tcPr>
          <w:p w14:paraId="7B5EC34E">
            <w:pPr>
              <w:spacing w:line="440" w:lineRule="exact"/>
              <w:jc w:val="center"/>
              <w:rPr>
                <w:rFonts w:ascii="Times New Roman" w:hAnsi="Times New Roman"/>
                <w:highlight w:val="none"/>
              </w:rPr>
            </w:pPr>
          </w:p>
        </w:tc>
      </w:tr>
      <w:tr w14:paraId="3977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44AAB5D6">
            <w:pPr>
              <w:spacing w:line="440" w:lineRule="exact"/>
              <w:jc w:val="center"/>
              <w:rPr>
                <w:rFonts w:ascii="Times New Roman" w:hAnsi="Times New Roman"/>
                <w:highlight w:val="none"/>
              </w:rPr>
            </w:pPr>
          </w:p>
        </w:tc>
        <w:tc>
          <w:tcPr>
            <w:tcW w:w="794" w:type="pct"/>
            <w:noWrap w:val="0"/>
            <w:vAlign w:val="top"/>
          </w:tcPr>
          <w:p w14:paraId="09AC6AB8">
            <w:pPr>
              <w:spacing w:line="440" w:lineRule="exact"/>
              <w:jc w:val="center"/>
              <w:rPr>
                <w:rFonts w:ascii="Times New Roman" w:hAnsi="Times New Roman"/>
                <w:highlight w:val="none"/>
              </w:rPr>
            </w:pPr>
          </w:p>
        </w:tc>
        <w:tc>
          <w:tcPr>
            <w:tcW w:w="618" w:type="pct"/>
            <w:noWrap w:val="0"/>
            <w:vAlign w:val="top"/>
          </w:tcPr>
          <w:p w14:paraId="0EC1CE1A">
            <w:pPr>
              <w:spacing w:line="440" w:lineRule="exact"/>
              <w:jc w:val="center"/>
              <w:rPr>
                <w:rFonts w:ascii="Times New Roman" w:hAnsi="Times New Roman"/>
                <w:highlight w:val="none"/>
              </w:rPr>
            </w:pPr>
          </w:p>
        </w:tc>
        <w:tc>
          <w:tcPr>
            <w:tcW w:w="375" w:type="pct"/>
            <w:noWrap w:val="0"/>
            <w:vAlign w:val="top"/>
          </w:tcPr>
          <w:p w14:paraId="3CE363F7">
            <w:pPr>
              <w:spacing w:line="440" w:lineRule="exact"/>
              <w:jc w:val="center"/>
              <w:rPr>
                <w:rFonts w:ascii="Times New Roman" w:hAnsi="Times New Roman"/>
                <w:highlight w:val="none"/>
              </w:rPr>
            </w:pPr>
          </w:p>
        </w:tc>
        <w:tc>
          <w:tcPr>
            <w:tcW w:w="304" w:type="pct"/>
            <w:noWrap w:val="0"/>
            <w:vAlign w:val="top"/>
          </w:tcPr>
          <w:p w14:paraId="6CF90289">
            <w:pPr>
              <w:spacing w:line="440" w:lineRule="exact"/>
              <w:jc w:val="center"/>
              <w:rPr>
                <w:rFonts w:ascii="Times New Roman" w:hAnsi="Times New Roman"/>
                <w:highlight w:val="none"/>
              </w:rPr>
            </w:pPr>
          </w:p>
        </w:tc>
        <w:tc>
          <w:tcPr>
            <w:tcW w:w="706" w:type="pct"/>
            <w:noWrap w:val="0"/>
            <w:vAlign w:val="top"/>
          </w:tcPr>
          <w:p w14:paraId="137E68DF">
            <w:pPr>
              <w:spacing w:line="440" w:lineRule="exact"/>
              <w:jc w:val="center"/>
              <w:rPr>
                <w:rFonts w:ascii="Times New Roman" w:hAnsi="Times New Roman"/>
                <w:highlight w:val="none"/>
              </w:rPr>
            </w:pPr>
          </w:p>
        </w:tc>
        <w:tc>
          <w:tcPr>
            <w:tcW w:w="441" w:type="pct"/>
            <w:noWrap w:val="0"/>
            <w:vAlign w:val="top"/>
          </w:tcPr>
          <w:p w14:paraId="0B671387">
            <w:pPr>
              <w:spacing w:line="440" w:lineRule="exact"/>
              <w:jc w:val="center"/>
              <w:rPr>
                <w:rFonts w:ascii="Times New Roman" w:hAnsi="Times New Roman"/>
                <w:highlight w:val="none"/>
              </w:rPr>
            </w:pPr>
          </w:p>
        </w:tc>
        <w:tc>
          <w:tcPr>
            <w:tcW w:w="543" w:type="pct"/>
            <w:noWrap w:val="0"/>
            <w:vAlign w:val="top"/>
          </w:tcPr>
          <w:p w14:paraId="4B18C084">
            <w:pPr>
              <w:spacing w:line="440" w:lineRule="exact"/>
              <w:jc w:val="center"/>
              <w:rPr>
                <w:rFonts w:ascii="Times New Roman" w:hAnsi="Times New Roman"/>
                <w:highlight w:val="none"/>
              </w:rPr>
            </w:pPr>
          </w:p>
        </w:tc>
        <w:tc>
          <w:tcPr>
            <w:tcW w:w="706" w:type="pct"/>
            <w:noWrap w:val="0"/>
            <w:vAlign w:val="top"/>
          </w:tcPr>
          <w:p w14:paraId="58C55288">
            <w:pPr>
              <w:spacing w:line="440" w:lineRule="exact"/>
              <w:jc w:val="center"/>
              <w:rPr>
                <w:rFonts w:ascii="Times New Roman" w:hAnsi="Times New Roman"/>
                <w:highlight w:val="none"/>
              </w:rPr>
            </w:pPr>
          </w:p>
        </w:tc>
      </w:tr>
      <w:tr w14:paraId="6DBB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67DAB575">
            <w:pPr>
              <w:spacing w:line="440" w:lineRule="exact"/>
              <w:jc w:val="center"/>
              <w:rPr>
                <w:rFonts w:ascii="Times New Roman" w:hAnsi="Times New Roman"/>
                <w:highlight w:val="none"/>
              </w:rPr>
            </w:pPr>
          </w:p>
        </w:tc>
        <w:tc>
          <w:tcPr>
            <w:tcW w:w="794" w:type="pct"/>
            <w:noWrap w:val="0"/>
            <w:vAlign w:val="top"/>
          </w:tcPr>
          <w:p w14:paraId="106E9C55">
            <w:pPr>
              <w:spacing w:line="440" w:lineRule="exact"/>
              <w:jc w:val="center"/>
              <w:rPr>
                <w:rFonts w:ascii="Times New Roman" w:hAnsi="Times New Roman"/>
                <w:highlight w:val="none"/>
              </w:rPr>
            </w:pPr>
          </w:p>
        </w:tc>
        <w:tc>
          <w:tcPr>
            <w:tcW w:w="618" w:type="pct"/>
            <w:noWrap w:val="0"/>
            <w:vAlign w:val="top"/>
          </w:tcPr>
          <w:p w14:paraId="1A5E0E62">
            <w:pPr>
              <w:spacing w:line="440" w:lineRule="exact"/>
              <w:jc w:val="center"/>
              <w:rPr>
                <w:rFonts w:ascii="Times New Roman" w:hAnsi="Times New Roman"/>
                <w:highlight w:val="none"/>
              </w:rPr>
            </w:pPr>
          </w:p>
        </w:tc>
        <w:tc>
          <w:tcPr>
            <w:tcW w:w="375" w:type="pct"/>
            <w:noWrap w:val="0"/>
            <w:vAlign w:val="top"/>
          </w:tcPr>
          <w:p w14:paraId="5D9A82EB">
            <w:pPr>
              <w:spacing w:line="440" w:lineRule="exact"/>
              <w:jc w:val="center"/>
              <w:rPr>
                <w:rFonts w:ascii="Times New Roman" w:hAnsi="Times New Roman"/>
                <w:highlight w:val="none"/>
              </w:rPr>
            </w:pPr>
          </w:p>
        </w:tc>
        <w:tc>
          <w:tcPr>
            <w:tcW w:w="304" w:type="pct"/>
            <w:noWrap w:val="0"/>
            <w:vAlign w:val="top"/>
          </w:tcPr>
          <w:p w14:paraId="73419819">
            <w:pPr>
              <w:spacing w:line="440" w:lineRule="exact"/>
              <w:jc w:val="center"/>
              <w:rPr>
                <w:rFonts w:ascii="Times New Roman" w:hAnsi="Times New Roman"/>
                <w:highlight w:val="none"/>
              </w:rPr>
            </w:pPr>
          </w:p>
        </w:tc>
        <w:tc>
          <w:tcPr>
            <w:tcW w:w="706" w:type="pct"/>
            <w:noWrap w:val="0"/>
            <w:vAlign w:val="top"/>
          </w:tcPr>
          <w:p w14:paraId="1897DD5A">
            <w:pPr>
              <w:spacing w:line="440" w:lineRule="exact"/>
              <w:jc w:val="center"/>
              <w:rPr>
                <w:rFonts w:ascii="Times New Roman" w:hAnsi="Times New Roman"/>
                <w:highlight w:val="none"/>
              </w:rPr>
            </w:pPr>
          </w:p>
        </w:tc>
        <w:tc>
          <w:tcPr>
            <w:tcW w:w="441" w:type="pct"/>
            <w:noWrap w:val="0"/>
            <w:vAlign w:val="top"/>
          </w:tcPr>
          <w:p w14:paraId="051A644C">
            <w:pPr>
              <w:spacing w:line="440" w:lineRule="exact"/>
              <w:jc w:val="center"/>
              <w:rPr>
                <w:rFonts w:ascii="Times New Roman" w:hAnsi="Times New Roman"/>
                <w:highlight w:val="none"/>
              </w:rPr>
            </w:pPr>
          </w:p>
        </w:tc>
        <w:tc>
          <w:tcPr>
            <w:tcW w:w="543" w:type="pct"/>
            <w:noWrap w:val="0"/>
            <w:vAlign w:val="top"/>
          </w:tcPr>
          <w:p w14:paraId="56D62286">
            <w:pPr>
              <w:spacing w:line="440" w:lineRule="exact"/>
              <w:jc w:val="center"/>
              <w:rPr>
                <w:rFonts w:ascii="Times New Roman" w:hAnsi="Times New Roman"/>
                <w:highlight w:val="none"/>
              </w:rPr>
            </w:pPr>
          </w:p>
        </w:tc>
        <w:tc>
          <w:tcPr>
            <w:tcW w:w="706" w:type="pct"/>
            <w:noWrap w:val="0"/>
            <w:vAlign w:val="top"/>
          </w:tcPr>
          <w:p w14:paraId="36CCB208">
            <w:pPr>
              <w:spacing w:line="440" w:lineRule="exact"/>
              <w:jc w:val="center"/>
              <w:rPr>
                <w:rFonts w:ascii="Times New Roman" w:hAnsi="Times New Roman"/>
                <w:highlight w:val="none"/>
              </w:rPr>
            </w:pPr>
          </w:p>
        </w:tc>
      </w:tr>
      <w:tr w14:paraId="59E4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4E8951CD">
            <w:pPr>
              <w:spacing w:line="440" w:lineRule="exact"/>
              <w:jc w:val="center"/>
              <w:rPr>
                <w:rFonts w:ascii="Times New Roman" w:hAnsi="Times New Roman"/>
                <w:highlight w:val="none"/>
              </w:rPr>
            </w:pPr>
          </w:p>
        </w:tc>
        <w:tc>
          <w:tcPr>
            <w:tcW w:w="794" w:type="pct"/>
            <w:noWrap w:val="0"/>
            <w:vAlign w:val="top"/>
          </w:tcPr>
          <w:p w14:paraId="38C03799">
            <w:pPr>
              <w:spacing w:line="440" w:lineRule="exact"/>
              <w:jc w:val="center"/>
              <w:rPr>
                <w:rFonts w:ascii="Times New Roman" w:hAnsi="Times New Roman"/>
                <w:highlight w:val="none"/>
              </w:rPr>
            </w:pPr>
          </w:p>
        </w:tc>
        <w:tc>
          <w:tcPr>
            <w:tcW w:w="618" w:type="pct"/>
            <w:noWrap w:val="0"/>
            <w:vAlign w:val="top"/>
          </w:tcPr>
          <w:p w14:paraId="0645D7F5">
            <w:pPr>
              <w:spacing w:line="440" w:lineRule="exact"/>
              <w:jc w:val="center"/>
              <w:rPr>
                <w:rFonts w:ascii="Times New Roman" w:hAnsi="Times New Roman"/>
                <w:highlight w:val="none"/>
              </w:rPr>
            </w:pPr>
          </w:p>
        </w:tc>
        <w:tc>
          <w:tcPr>
            <w:tcW w:w="375" w:type="pct"/>
            <w:noWrap w:val="0"/>
            <w:vAlign w:val="top"/>
          </w:tcPr>
          <w:p w14:paraId="55A97ED6">
            <w:pPr>
              <w:spacing w:line="440" w:lineRule="exact"/>
              <w:jc w:val="center"/>
              <w:rPr>
                <w:rFonts w:ascii="Times New Roman" w:hAnsi="Times New Roman"/>
                <w:highlight w:val="none"/>
              </w:rPr>
            </w:pPr>
          </w:p>
        </w:tc>
        <w:tc>
          <w:tcPr>
            <w:tcW w:w="304" w:type="pct"/>
            <w:noWrap w:val="0"/>
            <w:vAlign w:val="top"/>
          </w:tcPr>
          <w:p w14:paraId="4FA1AF32">
            <w:pPr>
              <w:spacing w:line="440" w:lineRule="exact"/>
              <w:jc w:val="center"/>
              <w:rPr>
                <w:rFonts w:ascii="Times New Roman" w:hAnsi="Times New Roman"/>
                <w:highlight w:val="none"/>
              </w:rPr>
            </w:pPr>
          </w:p>
        </w:tc>
        <w:tc>
          <w:tcPr>
            <w:tcW w:w="706" w:type="pct"/>
            <w:noWrap w:val="0"/>
            <w:vAlign w:val="top"/>
          </w:tcPr>
          <w:p w14:paraId="0748CDCD">
            <w:pPr>
              <w:spacing w:line="440" w:lineRule="exact"/>
              <w:jc w:val="center"/>
              <w:rPr>
                <w:rFonts w:ascii="Times New Roman" w:hAnsi="Times New Roman"/>
                <w:highlight w:val="none"/>
              </w:rPr>
            </w:pPr>
          </w:p>
        </w:tc>
        <w:tc>
          <w:tcPr>
            <w:tcW w:w="441" w:type="pct"/>
            <w:noWrap w:val="0"/>
            <w:vAlign w:val="top"/>
          </w:tcPr>
          <w:p w14:paraId="2F586BFE">
            <w:pPr>
              <w:spacing w:line="440" w:lineRule="exact"/>
              <w:jc w:val="center"/>
              <w:rPr>
                <w:rFonts w:ascii="Times New Roman" w:hAnsi="Times New Roman"/>
                <w:highlight w:val="none"/>
              </w:rPr>
            </w:pPr>
          </w:p>
        </w:tc>
        <w:tc>
          <w:tcPr>
            <w:tcW w:w="543" w:type="pct"/>
            <w:noWrap w:val="0"/>
            <w:vAlign w:val="top"/>
          </w:tcPr>
          <w:p w14:paraId="7B6D37EA">
            <w:pPr>
              <w:spacing w:line="440" w:lineRule="exact"/>
              <w:jc w:val="center"/>
              <w:rPr>
                <w:rFonts w:ascii="Times New Roman" w:hAnsi="Times New Roman"/>
                <w:highlight w:val="none"/>
              </w:rPr>
            </w:pPr>
          </w:p>
        </w:tc>
        <w:tc>
          <w:tcPr>
            <w:tcW w:w="706" w:type="pct"/>
            <w:noWrap w:val="0"/>
            <w:vAlign w:val="top"/>
          </w:tcPr>
          <w:p w14:paraId="4054EB39">
            <w:pPr>
              <w:spacing w:line="440" w:lineRule="exact"/>
              <w:jc w:val="center"/>
              <w:rPr>
                <w:rFonts w:ascii="Times New Roman" w:hAnsi="Times New Roman"/>
                <w:highlight w:val="none"/>
              </w:rPr>
            </w:pPr>
          </w:p>
        </w:tc>
      </w:tr>
      <w:tr w14:paraId="59B0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5562D5E3">
            <w:pPr>
              <w:spacing w:line="440" w:lineRule="exact"/>
              <w:jc w:val="center"/>
              <w:rPr>
                <w:rFonts w:ascii="Times New Roman" w:hAnsi="Times New Roman"/>
                <w:highlight w:val="none"/>
              </w:rPr>
            </w:pPr>
          </w:p>
        </w:tc>
        <w:tc>
          <w:tcPr>
            <w:tcW w:w="794" w:type="pct"/>
            <w:noWrap w:val="0"/>
            <w:vAlign w:val="top"/>
          </w:tcPr>
          <w:p w14:paraId="4DC6E63C">
            <w:pPr>
              <w:spacing w:line="440" w:lineRule="exact"/>
              <w:jc w:val="center"/>
              <w:rPr>
                <w:rFonts w:ascii="Times New Roman" w:hAnsi="Times New Roman"/>
                <w:highlight w:val="none"/>
              </w:rPr>
            </w:pPr>
          </w:p>
        </w:tc>
        <w:tc>
          <w:tcPr>
            <w:tcW w:w="618" w:type="pct"/>
            <w:noWrap w:val="0"/>
            <w:vAlign w:val="top"/>
          </w:tcPr>
          <w:p w14:paraId="6808154C">
            <w:pPr>
              <w:spacing w:line="440" w:lineRule="exact"/>
              <w:jc w:val="center"/>
              <w:rPr>
                <w:rFonts w:ascii="Times New Roman" w:hAnsi="Times New Roman"/>
                <w:highlight w:val="none"/>
              </w:rPr>
            </w:pPr>
          </w:p>
        </w:tc>
        <w:tc>
          <w:tcPr>
            <w:tcW w:w="375" w:type="pct"/>
            <w:noWrap w:val="0"/>
            <w:vAlign w:val="top"/>
          </w:tcPr>
          <w:p w14:paraId="1A5B9C88">
            <w:pPr>
              <w:spacing w:line="440" w:lineRule="exact"/>
              <w:jc w:val="center"/>
              <w:rPr>
                <w:rFonts w:ascii="Times New Roman" w:hAnsi="Times New Roman"/>
                <w:highlight w:val="none"/>
              </w:rPr>
            </w:pPr>
          </w:p>
        </w:tc>
        <w:tc>
          <w:tcPr>
            <w:tcW w:w="304" w:type="pct"/>
            <w:noWrap w:val="0"/>
            <w:vAlign w:val="top"/>
          </w:tcPr>
          <w:p w14:paraId="509A325E">
            <w:pPr>
              <w:spacing w:line="440" w:lineRule="exact"/>
              <w:jc w:val="center"/>
              <w:rPr>
                <w:rFonts w:ascii="Times New Roman" w:hAnsi="Times New Roman"/>
                <w:highlight w:val="none"/>
              </w:rPr>
            </w:pPr>
          </w:p>
        </w:tc>
        <w:tc>
          <w:tcPr>
            <w:tcW w:w="706" w:type="pct"/>
            <w:noWrap w:val="0"/>
            <w:vAlign w:val="top"/>
          </w:tcPr>
          <w:p w14:paraId="77FE37BD">
            <w:pPr>
              <w:spacing w:line="440" w:lineRule="exact"/>
              <w:jc w:val="center"/>
              <w:rPr>
                <w:rFonts w:ascii="Times New Roman" w:hAnsi="Times New Roman"/>
                <w:highlight w:val="none"/>
              </w:rPr>
            </w:pPr>
          </w:p>
        </w:tc>
        <w:tc>
          <w:tcPr>
            <w:tcW w:w="441" w:type="pct"/>
            <w:noWrap w:val="0"/>
            <w:vAlign w:val="top"/>
          </w:tcPr>
          <w:p w14:paraId="596E4AD8">
            <w:pPr>
              <w:spacing w:line="440" w:lineRule="exact"/>
              <w:jc w:val="center"/>
              <w:rPr>
                <w:rFonts w:ascii="Times New Roman" w:hAnsi="Times New Roman"/>
                <w:highlight w:val="none"/>
              </w:rPr>
            </w:pPr>
          </w:p>
        </w:tc>
        <w:tc>
          <w:tcPr>
            <w:tcW w:w="543" w:type="pct"/>
            <w:noWrap w:val="0"/>
            <w:vAlign w:val="top"/>
          </w:tcPr>
          <w:p w14:paraId="39965B1B">
            <w:pPr>
              <w:spacing w:line="440" w:lineRule="exact"/>
              <w:jc w:val="center"/>
              <w:rPr>
                <w:rFonts w:ascii="Times New Roman" w:hAnsi="Times New Roman"/>
                <w:highlight w:val="none"/>
              </w:rPr>
            </w:pPr>
          </w:p>
        </w:tc>
        <w:tc>
          <w:tcPr>
            <w:tcW w:w="706" w:type="pct"/>
            <w:noWrap w:val="0"/>
            <w:vAlign w:val="top"/>
          </w:tcPr>
          <w:p w14:paraId="51A74911">
            <w:pPr>
              <w:spacing w:line="440" w:lineRule="exact"/>
              <w:jc w:val="center"/>
              <w:rPr>
                <w:rFonts w:ascii="Times New Roman" w:hAnsi="Times New Roman"/>
                <w:highlight w:val="none"/>
              </w:rPr>
            </w:pPr>
          </w:p>
        </w:tc>
      </w:tr>
      <w:tr w14:paraId="233E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1A48C940">
            <w:pPr>
              <w:spacing w:line="440" w:lineRule="exact"/>
              <w:jc w:val="center"/>
              <w:rPr>
                <w:rFonts w:ascii="Times New Roman" w:hAnsi="Times New Roman"/>
                <w:highlight w:val="none"/>
              </w:rPr>
            </w:pPr>
          </w:p>
        </w:tc>
        <w:tc>
          <w:tcPr>
            <w:tcW w:w="794" w:type="pct"/>
            <w:noWrap w:val="0"/>
            <w:vAlign w:val="top"/>
          </w:tcPr>
          <w:p w14:paraId="212C9FFB">
            <w:pPr>
              <w:spacing w:line="440" w:lineRule="exact"/>
              <w:jc w:val="center"/>
              <w:rPr>
                <w:rFonts w:ascii="Times New Roman" w:hAnsi="Times New Roman"/>
                <w:highlight w:val="none"/>
              </w:rPr>
            </w:pPr>
          </w:p>
        </w:tc>
        <w:tc>
          <w:tcPr>
            <w:tcW w:w="618" w:type="pct"/>
            <w:noWrap w:val="0"/>
            <w:vAlign w:val="top"/>
          </w:tcPr>
          <w:p w14:paraId="2D09405A">
            <w:pPr>
              <w:spacing w:line="440" w:lineRule="exact"/>
              <w:jc w:val="center"/>
              <w:rPr>
                <w:rFonts w:ascii="Times New Roman" w:hAnsi="Times New Roman"/>
                <w:highlight w:val="none"/>
              </w:rPr>
            </w:pPr>
          </w:p>
        </w:tc>
        <w:tc>
          <w:tcPr>
            <w:tcW w:w="375" w:type="pct"/>
            <w:noWrap w:val="0"/>
            <w:vAlign w:val="top"/>
          </w:tcPr>
          <w:p w14:paraId="3829279B">
            <w:pPr>
              <w:spacing w:line="440" w:lineRule="exact"/>
              <w:jc w:val="center"/>
              <w:rPr>
                <w:rFonts w:ascii="Times New Roman" w:hAnsi="Times New Roman"/>
                <w:highlight w:val="none"/>
              </w:rPr>
            </w:pPr>
          </w:p>
        </w:tc>
        <w:tc>
          <w:tcPr>
            <w:tcW w:w="304" w:type="pct"/>
            <w:noWrap w:val="0"/>
            <w:vAlign w:val="top"/>
          </w:tcPr>
          <w:p w14:paraId="5D133700">
            <w:pPr>
              <w:spacing w:line="440" w:lineRule="exact"/>
              <w:jc w:val="center"/>
              <w:rPr>
                <w:rFonts w:ascii="Times New Roman" w:hAnsi="Times New Roman"/>
                <w:highlight w:val="none"/>
              </w:rPr>
            </w:pPr>
          </w:p>
        </w:tc>
        <w:tc>
          <w:tcPr>
            <w:tcW w:w="706" w:type="pct"/>
            <w:noWrap w:val="0"/>
            <w:vAlign w:val="top"/>
          </w:tcPr>
          <w:p w14:paraId="51ACF346">
            <w:pPr>
              <w:spacing w:line="440" w:lineRule="exact"/>
              <w:jc w:val="center"/>
              <w:rPr>
                <w:rFonts w:ascii="Times New Roman" w:hAnsi="Times New Roman"/>
                <w:highlight w:val="none"/>
              </w:rPr>
            </w:pPr>
          </w:p>
        </w:tc>
        <w:tc>
          <w:tcPr>
            <w:tcW w:w="441" w:type="pct"/>
            <w:noWrap w:val="0"/>
            <w:vAlign w:val="top"/>
          </w:tcPr>
          <w:p w14:paraId="55AA8392">
            <w:pPr>
              <w:spacing w:line="440" w:lineRule="exact"/>
              <w:jc w:val="center"/>
              <w:rPr>
                <w:rFonts w:ascii="Times New Roman" w:hAnsi="Times New Roman"/>
                <w:highlight w:val="none"/>
              </w:rPr>
            </w:pPr>
          </w:p>
        </w:tc>
        <w:tc>
          <w:tcPr>
            <w:tcW w:w="543" w:type="pct"/>
            <w:noWrap w:val="0"/>
            <w:vAlign w:val="top"/>
          </w:tcPr>
          <w:p w14:paraId="1CD36BC4">
            <w:pPr>
              <w:spacing w:line="440" w:lineRule="exact"/>
              <w:jc w:val="center"/>
              <w:rPr>
                <w:rFonts w:ascii="Times New Roman" w:hAnsi="Times New Roman"/>
                <w:highlight w:val="none"/>
              </w:rPr>
            </w:pPr>
          </w:p>
        </w:tc>
        <w:tc>
          <w:tcPr>
            <w:tcW w:w="706" w:type="pct"/>
            <w:noWrap w:val="0"/>
            <w:vAlign w:val="top"/>
          </w:tcPr>
          <w:p w14:paraId="1DFA4CC5">
            <w:pPr>
              <w:spacing w:line="440" w:lineRule="exact"/>
              <w:jc w:val="center"/>
              <w:rPr>
                <w:rFonts w:ascii="Times New Roman" w:hAnsi="Times New Roman"/>
                <w:highlight w:val="none"/>
              </w:rPr>
            </w:pPr>
          </w:p>
        </w:tc>
      </w:tr>
      <w:tr w14:paraId="4E58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7ECCF758">
            <w:pPr>
              <w:spacing w:line="440" w:lineRule="exact"/>
              <w:jc w:val="center"/>
              <w:rPr>
                <w:rFonts w:ascii="Times New Roman" w:hAnsi="Times New Roman"/>
                <w:highlight w:val="none"/>
              </w:rPr>
            </w:pPr>
          </w:p>
        </w:tc>
        <w:tc>
          <w:tcPr>
            <w:tcW w:w="794" w:type="pct"/>
            <w:noWrap w:val="0"/>
            <w:vAlign w:val="top"/>
          </w:tcPr>
          <w:p w14:paraId="096726D8">
            <w:pPr>
              <w:spacing w:line="440" w:lineRule="exact"/>
              <w:jc w:val="center"/>
              <w:rPr>
                <w:rFonts w:ascii="Times New Roman" w:hAnsi="Times New Roman"/>
                <w:highlight w:val="none"/>
              </w:rPr>
            </w:pPr>
          </w:p>
        </w:tc>
        <w:tc>
          <w:tcPr>
            <w:tcW w:w="618" w:type="pct"/>
            <w:noWrap w:val="0"/>
            <w:vAlign w:val="top"/>
          </w:tcPr>
          <w:p w14:paraId="08392004">
            <w:pPr>
              <w:spacing w:line="440" w:lineRule="exact"/>
              <w:jc w:val="center"/>
              <w:rPr>
                <w:rFonts w:ascii="Times New Roman" w:hAnsi="Times New Roman"/>
                <w:highlight w:val="none"/>
              </w:rPr>
            </w:pPr>
          </w:p>
        </w:tc>
        <w:tc>
          <w:tcPr>
            <w:tcW w:w="375" w:type="pct"/>
            <w:noWrap w:val="0"/>
            <w:vAlign w:val="top"/>
          </w:tcPr>
          <w:p w14:paraId="706EB5C7">
            <w:pPr>
              <w:spacing w:line="440" w:lineRule="exact"/>
              <w:jc w:val="center"/>
              <w:rPr>
                <w:rFonts w:ascii="Times New Roman" w:hAnsi="Times New Roman"/>
                <w:highlight w:val="none"/>
              </w:rPr>
            </w:pPr>
          </w:p>
        </w:tc>
        <w:tc>
          <w:tcPr>
            <w:tcW w:w="304" w:type="pct"/>
            <w:noWrap w:val="0"/>
            <w:vAlign w:val="top"/>
          </w:tcPr>
          <w:p w14:paraId="3F364F48">
            <w:pPr>
              <w:spacing w:line="440" w:lineRule="exact"/>
              <w:jc w:val="center"/>
              <w:rPr>
                <w:rFonts w:ascii="Times New Roman" w:hAnsi="Times New Roman"/>
                <w:highlight w:val="none"/>
              </w:rPr>
            </w:pPr>
          </w:p>
        </w:tc>
        <w:tc>
          <w:tcPr>
            <w:tcW w:w="706" w:type="pct"/>
            <w:noWrap w:val="0"/>
            <w:vAlign w:val="top"/>
          </w:tcPr>
          <w:p w14:paraId="543C2B06">
            <w:pPr>
              <w:spacing w:line="440" w:lineRule="exact"/>
              <w:jc w:val="center"/>
              <w:rPr>
                <w:rFonts w:ascii="Times New Roman" w:hAnsi="Times New Roman"/>
                <w:highlight w:val="none"/>
              </w:rPr>
            </w:pPr>
          </w:p>
        </w:tc>
        <w:tc>
          <w:tcPr>
            <w:tcW w:w="441" w:type="pct"/>
            <w:noWrap w:val="0"/>
            <w:vAlign w:val="top"/>
          </w:tcPr>
          <w:p w14:paraId="406132BB">
            <w:pPr>
              <w:spacing w:line="440" w:lineRule="exact"/>
              <w:jc w:val="center"/>
              <w:rPr>
                <w:rFonts w:ascii="Times New Roman" w:hAnsi="Times New Roman"/>
                <w:highlight w:val="none"/>
              </w:rPr>
            </w:pPr>
          </w:p>
        </w:tc>
        <w:tc>
          <w:tcPr>
            <w:tcW w:w="543" w:type="pct"/>
            <w:noWrap w:val="0"/>
            <w:vAlign w:val="top"/>
          </w:tcPr>
          <w:p w14:paraId="695095A0">
            <w:pPr>
              <w:spacing w:line="440" w:lineRule="exact"/>
              <w:jc w:val="center"/>
              <w:rPr>
                <w:rFonts w:ascii="Times New Roman" w:hAnsi="Times New Roman"/>
                <w:highlight w:val="none"/>
              </w:rPr>
            </w:pPr>
          </w:p>
        </w:tc>
        <w:tc>
          <w:tcPr>
            <w:tcW w:w="706" w:type="pct"/>
            <w:noWrap w:val="0"/>
            <w:vAlign w:val="top"/>
          </w:tcPr>
          <w:p w14:paraId="330263C9">
            <w:pPr>
              <w:spacing w:line="440" w:lineRule="exact"/>
              <w:jc w:val="center"/>
              <w:rPr>
                <w:rFonts w:ascii="Times New Roman" w:hAnsi="Times New Roman"/>
                <w:highlight w:val="none"/>
              </w:rPr>
            </w:pPr>
          </w:p>
        </w:tc>
      </w:tr>
      <w:tr w14:paraId="70B8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58E8C073">
            <w:pPr>
              <w:spacing w:line="440" w:lineRule="exact"/>
              <w:jc w:val="center"/>
              <w:rPr>
                <w:rFonts w:ascii="Times New Roman" w:hAnsi="Times New Roman"/>
                <w:highlight w:val="none"/>
              </w:rPr>
            </w:pPr>
          </w:p>
        </w:tc>
        <w:tc>
          <w:tcPr>
            <w:tcW w:w="794" w:type="pct"/>
            <w:noWrap w:val="0"/>
            <w:vAlign w:val="top"/>
          </w:tcPr>
          <w:p w14:paraId="0983B829">
            <w:pPr>
              <w:spacing w:line="440" w:lineRule="exact"/>
              <w:jc w:val="center"/>
              <w:rPr>
                <w:rFonts w:ascii="Times New Roman" w:hAnsi="Times New Roman"/>
                <w:highlight w:val="none"/>
              </w:rPr>
            </w:pPr>
          </w:p>
        </w:tc>
        <w:tc>
          <w:tcPr>
            <w:tcW w:w="618" w:type="pct"/>
            <w:noWrap w:val="0"/>
            <w:vAlign w:val="top"/>
          </w:tcPr>
          <w:p w14:paraId="4C64C8C8">
            <w:pPr>
              <w:spacing w:line="440" w:lineRule="exact"/>
              <w:jc w:val="center"/>
              <w:rPr>
                <w:rFonts w:ascii="Times New Roman" w:hAnsi="Times New Roman"/>
                <w:highlight w:val="none"/>
              </w:rPr>
            </w:pPr>
          </w:p>
        </w:tc>
        <w:tc>
          <w:tcPr>
            <w:tcW w:w="375" w:type="pct"/>
            <w:noWrap w:val="0"/>
            <w:vAlign w:val="top"/>
          </w:tcPr>
          <w:p w14:paraId="46B05276">
            <w:pPr>
              <w:spacing w:line="440" w:lineRule="exact"/>
              <w:jc w:val="center"/>
              <w:rPr>
                <w:rFonts w:ascii="Times New Roman" w:hAnsi="Times New Roman"/>
                <w:highlight w:val="none"/>
              </w:rPr>
            </w:pPr>
          </w:p>
        </w:tc>
        <w:tc>
          <w:tcPr>
            <w:tcW w:w="304" w:type="pct"/>
            <w:noWrap w:val="0"/>
            <w:vAlign w:val="top"/>
          </w:tcPr>
          <w:p w14:paraId="5C016BD7">
            <w:pPr>
              <w:spacing w:line="440" w:lineRule="exact"/>
              <w:jc w:val="center"/>
              <w:rPr>
                <w:rFonts w:ascii="Times New Roman" w:hAnsi="Times New Roman"/>
                <w:highlight w:val="none"/>
              </w:rPr>
            </w:pPr>
          </w:p>
        </w:tc>
        <w:tc>
          <w:tcPr>
            <w:tcW w:w="706" w:type="pct"/>
            <w:noWrap w:val="0"/>
            <w:vAlign w:val="top"/>
          </w:tcPr>
          <w:p w14:paraId="5CBF6927">
            <w:pPr>
              <w:spacing w:line="440" w:lineRule="exact"/>
              <w:jc w:val="center"/>
              <w:rPr>
                <w:rFonts w:ascii="Times New Roman" w:hAnsi="Times New Roman"/>
                <w:highlight w:val="none"/>
              </w:rPr>
            </w:pPr>
          </w:p>
        </w:tc>
        <w:tc>
          <w:tcPr>
            <w:tcW w:w="441" w:type="pct"/>
            <w:noWrap w:val="0"/>
            <w:vAlign w:val="top"/>
          </w:tcPr>
          <w:p w14:paraId="3E6A8681">
            <w:pPr>
              <w:spacing w:line="440" w:lineRule="exact"/>
              <w:jc w:val="center"/>
              <w:rPr>
                <w:rFonts w:ascii="Times New Roman" w:hAnsi="Times New Roman"/>
                <w:highlight w:val="none"/>
              </w:rPr>
            </w:pPr>
          </w:p>
        </w:tc>
        <w:tc>
          <w:tcPr>
            <w:tcW w:w="543" w:type="pct"/>
            <w:noWrap w:val="0"/>
            <w:vAlign w:val="top"/>
          </w:tcPr>
          <w:p w14:paraId="68592027">
            <w:pPr>
              <w:spacing w:line="440" w:lineRule="exact"/>
              <w:jc w:val="center"/>
              <w:rPr>
                <w:rFonts w:ascii="Times New Roman" w:hAnsi="Times New Roman"/>
                <w:highlight w:val="none"/>
              </w:rPr>
            </w:pPr>
          </w:p>
        </w:tc>
        <w:tc>
          <w:tcPr>
            <w:tcW w:w="706" w:type="pct"/>
            <w:noWrap w:val="0"/>
            <w:vAlign w:val="top"/>
          </w:tcPr>
          <w:p w14:paraId="395DC8FD">
            <w:pPr>
              <w:spacing w:line="440" w:lineRule="exact"/>
              <w:jc w:val="center"/>
              <w:rPr>
                <w:rFonts w:ascii="Times New Roman" w:hAnsi="Times New Roman"/>
                <w:highlight w:val="none"/>
              </w:rPr>
            </w:pPr>
          </w:p>
        </w:tc>
      </w:tr>
      <w:tr w14:paraId="3DDF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7D08A123">
            <w:pPr>
              <w:spacing w:line="440" w:lineRule="exact"/>
              <w:jc w:val="center"/>
              <w:rPr>
                <w:rFonts w:ascii="Times New Roman" w:hAnsi="Times New Roman"/>
                <w:highlight w:val="none"/>
              </w:rPr>
            </w:pPr>
          </w:p>
        </w:tc>
        <w:tc>
          <w:tcPr>
            <w:tcW w:w="794" w:type="pct"/>
            <w:noWrap w:val="0"/>
            <w:vAlign w:val="top"/>
          </w:tcPr>
          <w:p w14:paraId="6F3041EC">
            <w:pPr>
              <w:spacing w:line="440" w:lineRule="exact"/>
              <w:jc w:val="center"/>
              <w:rPr>
                <w:rFonts w:ascii="Times New Roman" w:hAnsi="Times New Roman"/>
                <w:highlight w:val="none"/>
              </w:rPr>
            </w:pPr>
          </w:p>
        </w:tc>
        <w:tc>
          <w:tcPr>
            <w:tcW w:w="618" w:type="pct"/>
            <w:noWrap w:val="0"/>
            <w:vAlign w:val="top"/>
          </w:tcPr>
          <w:p w14:paraId="426EC1DB">
            <w:pPr>
              <w:spacing w:line="440" w:lineRule="exact"/>
              <w:jc w:val="center"/>
              <w:rPr>
                <w:rFonts w:ascii="Times New Roman" w:hAnsi="Times New Roman"/>
                <w:highlight w:val="none"/>
              </w:rPr>
            </w:pPr>
          </w:p>
        </w:tc>
        <w:tc>
          <w:tcPr>
            <w:tcW w:w="375" w:type="pct"/>
            <w:noWrap w:val="0"/>
            <w:vAlign w:val="top"/>
          </w:tcPr>
          <w:p w14:paraId="217DBD65">
            <w:pPr>
              <w:spacing w:line="440" w:lineRule="exact"/>
              <w:jc w:val="center"/>
              <w:rPr>
                <w:rFonts w:ascii="Times New Roman" w:hAnsi="Times New Roman"/>
                <w:highlight w:val="none"/>
              </w:rPr>
            </w:pPr>
          </w:p>
        </w:tc>
        <w:tc>
          <w:tcPr>
            <w:tcW w:w="304" w:type="pct"/>
            <w:noWrap w:val="0"/>
            <w:vAlign w:val="top"/>
          </w:tcPr>
          <w:p w14:paraId="51AA75C7">
            <w:pPr>
              <w:spacing w:line="440" w:lineRule="exact"/>
              <w:jc w:val="center"/>
              <w:rPr>
                <w:rFonts w:ascii="Times New Roman" w:hAnsi="Times New Roman"/>
                <w:highlight w:val="none"/>
              </w:rPr>
            </w:pPr>
          </w:p>
        </w:tc>
        <w:tc>
          <w:tcPr>
            <w:tcW w:w="706" w:type="pct"/>
            <w:noWrap w:val="0"/>
            <w:vAlign w:val="top"/>
          </w:tcPr>
          <w:p w14:paraId="780C7C4F">
            <w:pPr>
              <w:spacing w:line="440" w:lineRule="exact"/>
              <w:jc w:val="center"/>
              <w:rPr>
                <w:rFonts w:ascii="Times New Roman" w:hAnsi="Times New Roman"/>
                <w:highlight w:val="none"/>
              </w:rPr>
            </w:pPr>
          </w:p>
        </w:tc>
        <w:tc>
          <w:tcPr>
            <w:tcW w:w="441" w:type="pct"/>
            <w:noWrap w:val="0"/>
            <w:vAlign w:val="top"/>
          </w:tcPr>
          <w:p w14:paraId="089D286D">
            <w:pPr>
              <w:spacing w:line="440" w:lineRule="exact"/>
              <w:jc w:val="center"/>
              <w:rPr>
                <w:rFonts w:ascii="Times New Roman" w:hAnsi="Times New Roman"/>
                <w:highlight w:val="none"/>
              </w:rPr>
            </w:pPr>
          </w:p>
        </w:tc>
        <w:tc>
          <w:tcPr>
            <w:tcW w:w="543" w:type="pct"/>
            <w:noWrap w:val="0"/>
            <w:vAlign w:val="top"/>
          </w:tcPr>
          <w:p w14:paraId="58D3FFA8">
            <w:pPr>
              <w:spacing w:line="440" w:lineRule="exact"/>
              <w:jc w:val="center"/>
              <w:rPr>
                <w:rFonts w:ascii="Times New Roman" w:hAnsi="Times New Roman"/>
                <w:highlight w:val="none"/>
              </w:rPr>
            </w:pPr>
          </w:p>
        </w:tc>
        <w:tc>
          <w:tcPr>
            <w:tcW w:w="706" w:type="pct"/>
            <w:noWrap w:val="0"/>
            <w:vAlign w:val="top"/>
          </w:tcPr>
          <w:p w14:paraId="4542695D">
            <w:pPr>
              <w:spacing w:line="440" w:lineRule="exact"/>
              <w:jc w:val="center"/>
              <w:rPr>
                <w:rFonts w:ascii="Times New Roman" w:hAnsi="Times New Roman"/>
                <w:highlight w:val="none"/>
              </w:rPr>
            </w:pPr>
          </w:p>
        </w:tc>
      </w:tr>
      <w:tr w14:paraId="4C64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1D4ED544">
            <w:pPr>
              <w:spacing w:line="440" w:lineRule="exact"/>
              <w:jc w:val="center"/>
              <w:rPr>
                <w:rFonts w:ascii="Times New Roman" w:hAnsi="Times New Roman"/>
                <w:highlight w:val="none"/>
              </w:rPr>
            </w:pPr>
          </w:p>
        </w:tc>
        <w:tc>
          <w:tcPr>
            <w:tcW w:w="794" w:type="pct"/>
            <w:noWrap w:val="0"/>
            <w:vAlign w:val="top"/>
          </w:tcPr>
          <w:p w14:paraId="7877B48C">
            <w:pPr>
              <w:spacing w:line="440" w:lineRule="exact"/>
              <w:jc w:val="center"/>
              <w:rPr>
                <w:rFonts w:ascii="Times New Roman" w:hAnsi="Times New Roman"/>
                <w:highlight w:val="none"/>
              </w:rPr>
            </w:pPr>
          </w:p>
        </w:tc>
        <w:tc>
          <w:tcPr>
            <w:tcW w:w="618" w:type="pct"/>
            <w:noWrap w:val="0"/>
            <w:vAlign w:val="top"/>
          </w:tcPr>
          <w:p w14:paraId="75055498">
            <w:pPr>
              <w:spacing w:line="440" w:lineRule="exact"/>
              <w:jc w:val="center"/>
              <w:rPr>
                <w:rFonts w:ascii="Times New Roman" w:hAnsi="Times New Roman"/>
                <w:highlight w:val="none"/>
              </w:rPr>
            </w:pPr>
          </w:p>
        </w:tc>
        <w:tc>
          <w:tcPr>
            <w:tcW w:w="375" w:type="pct"/>
            <w:noWrap w:val="0"/>
            <w:vAlign w:val="top"/>
          </w:tcPr>
          <w:p w14:paraId="44B7E19A">
            <w:pPr>
              <w:spacing w:line="440" w:lineRule="exact"/>
              <w:jc w:val="center"/>
              <w:rPr>
                <w:rFonts w:ascii="Times New Roman" w:hAnsi="Times New Roman"/>
                <w:highlight w:val="none"/>
              </w:rPr>
            </w:pPr>
          </w:p>
        </w:tc>
        <w:tc>
          <w:tcPr>
            <w:tcW w:w="304" w:type="pct"/>
            <w:noWrap w:val="0"/>
            <w:vAlign w:val="top"/>
          </w:tcPr>
          <w:p w14:paraId="0F6753CD">
            <w:pPr>
              <w:spacing w:line="440" w:lineRule="exact"/>
              <w:jc w:val="center"/>
              <w:rPr>
                <w:rFonts w:ascii="Times New Roman" w:hAnsi="Times New Roman"/>
                <w:highlight w:val="none"/>
              </w:rPr>
            </w:pPr>
          </w:p>
        </w:tc>
        <w:tc>
          <w:tcPr>
            <w:tcW w:w="706" w:type="pct"/>
            <w:noWrap w:val="0"/>
            <w:vAlign w:val="top"/>
          </w:tcPr>
          <w:p w14:paraId="1DBE7356">
            <w:pPr>
              <w:spacing w:line="440" w:lineRule="exact"/>
              <w:jc w:val="center"/>
              <w:rPr>
                <w:rFonts w:ascii="Times New Roman" w:hAnsi="Times New Roman"/>
                <w:highlight w:val="none"/>
              </w:rPr>
            </w:pPr>
          </w:p>
        </w:tc>
        <w:tc>
          <w:tcPr>
            <w:tcW w:w="441" w:type="pct"/>
            <w:noWrap w:val="0"/>
            <w:vAlign w:val="top"/>
          </w:tcPr>
          <w:p w14:paraId="1ED85E6C">
            <w:pPr>
              <w:spacing w:line="440" w:lineRule="exact"/>
              <w:jc w:val="center"/>
              <w:rPr>
                <w:rFonts w:ascii="Times New Roman" w:hAnsi="Times New Roman"/>
                <w:highlight w:val="none"/>
              </w:rPr>
            </w:pPr>
          </w:p>
        </w:tc>
        <w:tc>
          <w:tcPr>
            <w:tcW w:w="543" w:type="pct"/>
            <w:noWrap w:val="0"/>
            <w:vAlign w:val="top"/>
          </w:tcPr>
          <w:p w14:paraId="1DA0D97F">
            <w:pPr>
              <w:spacing w:line="440" w:lineRule="exact"/>
              <w:jc w:val="center"/>
              <w:rPr>
                <w:rFonts w:ascii="Times New Roman" w:hAnsi="Times New Roman"/>
                <w:highlight w:val="none"/>
              </w:rPr>
            </w:pPr>
          </w:p>
        </w:tc>
        <w:tc>
          <w:tcPr>
            <w:tcW w:w="706" w:type="pct"/>
            <w:noWrap w:val="0"/>
            <w:vAlign w:val="top"/>
          </w:tcPr>
          <w:p w14:paraId="403A923F">
            <w:pPr>
              <w:spacing w:line="440" w:lineRule="exact"/>
              <w:jc w:val="center"/>
              <w:rPr>
                <w:rFonts w:ascii="Times New Roman" w:hAnsi="Times New Roman"/>
                <w:highlight w:val="none"/>
              </w:rPr>
            </w:pPr>
          </w:p>
        </w:tc>
      </w:tr>
      <w:tr w14:paraId="1951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3A77C6CA">
            <w:pPr>
              <w:spacing w:line="440" w:lineRule="exact"/>
              <w:jc w:val="center"/>
              <w:rPr>
                <w:rFonts w:ascii="Times New Roman" w:hAnsi="Times New Roman"/>
                <w:highlight w:val="none"/>
              </w:rPr>
            </w:pPr>
          </w:p>
        </w:tc>
        <w:tc>
          <w:tcPr>
            <w:tcW w:w="794" w:type="pct"/>
            <w:noWrap w:val="0"/>
            <w:vAlign w:val="top"/>
          </w:tcPr>
          <w:p w14:paraId="6314B4F0">
            <w:pPr>
              <w:spacing w:line="440" w:lineRule="exact"/>
              <w:jc w:val="center"/>
              <w:rPr>
                <w:rFonts w:ascii="Times New Roman" w:hAnsi="Times New Roman"/>
                <w:highlight w:val="none"/>
              </w:rPr>
            </w:pPr>
          </w:p>
        </w:tc>
        <w:tc>
          <w:tcPr>
            <w:tcW w:w="618" w:type="pct"/>
            <w:noWrap w:val="0"/>
            <w:vAlign w:val="top"/>
          </w:tcPr>
          <w:p w14:paraId="2CC85CA0">
            <w:pPr>
              <w:spacing w:line="440" w:lineRule="exact"/>
              <w:jc w:val="center"/>
              <w:rPr>
                <w:rFonts w:ascii="Times New Roman" w:hAnsi="Times New Roman"/>
                <w:highlight w:val="none"/>
              </w:rPr>
            </w:pPr>
          </w:p>
        </w:tc>
        <w:tc>
          <w:tcPr>
            <w:tcW w:w="375" w:type="pct"/>
            <w:noWrap w:val="0"/>
            <w:vAlign w:val="top"/>
          </w:tcPr>
          <w:p w14:paraId="7F119B39">
            <w:pPr>
              <w:spacing w:line="440" w:lineRule="exact"/>
              <w:jc w:val="center"/>
              <w:rPr>
                <w:rFonts w:ascii="Times New Roman" w:hAnsi="Times New Roman"/>
                <w:highlight w:val="none"/>
              </w:rPr>
            </w:pPr>
          </w:p>
        </w:tc>
        <w:tc>
          <w:tcPr>
            <w:tcW w:w="304" w:type="pct"/>
            <w:noWrap w:val="0"/>
            <w:vAlign w:val="top"/>
          </w:tcPr>
          <w:p w14:paraId="57758CAE">
            <w:pPr>
              <w:spacing w:line="440" w:lineRule="exact"/>
              <w:jc w:val="center"/>
              <w:rPr>
                <w:rFonts w:ascii="Times New Roman" w:hAnsi="Times New Roman"/>
                <w:highlight w:val="none"/>
              </w:rPr>
            </w:pPr>
          </w:p>
        </w:tc>
        <w:tc>
          <w:tcPr>
            <w:tcW w:w="706" w:type="pct"/>
            <w:noWrap w:val="0"/>
            <w:vAlign w:val="top"/>
          </w:tcPr>
          <w:p w14:paraId="1DF35A78">
            <w:pPr>
              <w:spacing w:line="440" w:lineRule="exact"/>
              <w:jc w:val="center"/>
              <w:rPr>
                <w:rFonts w:ascii="Times New Roman" w:hAnsi="Times New Roman"/>
                <w:highlight w:val="none"/>
              </w:rPr>
            </w:pPr>
          </w:p>
        </w:tc>
        <w:tc>
          <w:tcPr>
            <w:tcW w:w="441" w:type="pct"/>
            <w:noWrap w:val="0"/>
            <w:vAlign w:val="top"/>
          </w:tcPr>
          <w:p w14:paraId="354E9F7D">
            <w:pPr>
              <w:spacing w:line="440" w:lineRule="exact"/>
              <w:jc w:val="center"/>
              <w:rPr>
                <w:rFonts w:ascii="Times New Roman" w:hAnsi="Times New Roman"/>
                <w:highlight w:val="none"/>
              </w:rPr>
            </w:pPr>
          </w:p>
        </w:tc>
        <w:tc>
          <w:tcPr>
            <w:tcW w:w="543" w:type="pct"/>
            <w:noWrap w:val="0"/>
            <w:vAlign w:val="top"/>
          </w:tcPr>
          <w:p w14:paraId="6ECD2A89">
            <w:pPr>
              <w:spacing w:line="440" w:lineRule="exact"/>
              <w:jc w:val="center"/>
              <w:rPr>
                <w:rFonts w:ascii="Times New Roman" w:hAnsi="Times New Roman"/>
                <w:highlight w:val="none"/>
              </w:rPr>
            </w:pPr>
          </w:p>
        </w:tc>
        <w:tc>
          <w:tcPr>
            <w:tcW w:w="706" w:type="pct"/>
            <w:noWrap w:val="0"/>
            <w:vAlign w:val="top"/>
          </w:tcPr>
          <w:p w14:paraId="5612C1AB">
            <w:pPr>
              <w:spacing w:line="440" w:lineRule="exact"/>
              <w:jc w:val="center"/>
              <w:rPr>
                <w:rFonts w:ascii="Times New Roman" w:hAnsi="Times New Roman"/>
                <w:highlight w:val="none"/>
              </w:rPr>
            </w:pPr>
          </w:p>
        </w:tc>
      </w:tr>
      <w:tr w14:paraId="18BB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772E7CA2">
            <w:pPr>
              <w:spacing w:line="440" w:lineRule="exact"/>
              <w:jc w:val="center"/>
              <w:rPr>
                <w:rFonts w:ascii="Times New Roman" w:hAnsi="Times New Roman"/>
                <w:highlight w:val="none"/>
              </w:rPr>
            </w:pPr>
          </w:p>
        </w:tc>
        <w:tc>
          <w:tcPr>
            <w:tcW w:w="794" w:type="pct"/>
            <w:noWrap w:val="0"/>
            <w:vAlign w:val="top"/>
          </w:tcPr>
          <w:p w14:paraId="1F87B9CC">
            <w:pPr>
              <w:spacing w:line="440" w:lineRule="exact"/>
              <w:jc w:val="center"/>
              <w:rPr>
                <w:rFonts w:ascii="Times New Roman" w:hAnsi="Times New Roman"/>
                <w:highlight w:val="none"/>
              </w:rPr>
            </w:pPr>
          </w:p>
        </w:tc>
        <w:tc>
          <w:tcPr>
            <w:tcW w:w="618" w:type="pct"/>
            <w:noWrap w:val="0"/>
            <w:vAlign w:val="top"/>
          </w:tcPr>
          <w:p w14:paraId="4D4B90FC">
            <w:pPr>
              <w:spacing w:line="440" w:lineRule="exact"/>
              <w:jc w:val="center"/>
              <w:rPr>
                <w:rFonts w:ascii="Times New Roman" w:hAnsi="Times New Roman"/>
                <w:highlight w:val="none"/>
              </w:rPr>
            </w:pPr>
          </w:p>
        </w:tc>
        <w:tc>
          <w:tcPr>
            <w:tcW w:w="375" w:type="pct"/>
            <w:noWrap w:val="0"/>
            <w:vAlign w:val="top"/>
          </w:tcPr>
          <w:p w14:paraId="69D31973">
            <w:pPr>
              <w:spacing w:line="440" w:lineRule="exact"/>
              <w:jc w:val="center"/>
              <w:rPr>
                <w:rFonts w:ascii="Times New Roman" w:hAnsi="Times New Roman"/>
                <w:highlight w:val="none"/>
              </w:rPr>
            </w:pPr>
          </w:p>
        </w:tc>
        <w:tc>
          <w:tcPr>
            <w:tcW w:w="304" w:type="pct"/>
            <w:noWrap w:val="0"/>
            <w:vAlign w:val="top"/>
          </w:tcPr>
          <w:p w14:paraId="67F0811B">
            <w:pPr>
              <w:spacing w:line="440" w:lineRule="exact"/>
              <w:jc w:val="center"/>
              <w:rPr>
                <w:rFonts w:ascii="Times New Roman" w:hAnsi="Times New Roman"/>
                <w:highlight w:val="none"/>
              </w:rPr>
            </w:pPr>
          </w:p>
        </w:tc>
        <w:tc>
          <w:tcPr>
            <w:tcW w:w="706" w:type="pct"/>
            <w:noWrap w:val="0"/>
            <w:vAlign w:val="top"/>
          </w:tcPr>
          <w:p w14:paraId="25477D92">
            <w:pPr>
              <w:spacing w:line="440" w:lineRule="exact"/>
              <w:jc w:val="center"/>
              <w:rPr>
                <w:rFonts w:ascii="Times New Roman" w:hAnsi="Times New Roman"/>
                <w:highlight w:val="none"/>
              </w:rPr>
            </w:pPr>
          </w:p>
        </w:tc>
        <w:tc>
          <w:tcPr>
            <w:tcW w:w="441" w:type="pct"/>
            <w:noWrap w:val="0"/>
            <w:vAlign w:val="top"/>
          </w:tcPr>
          <w:p w14:paraId="11E9FB10">
            <w:pPr>
              <w:spacing w:line="440" w:lineRule="exact"/>
              <w:jc w:val="center"/>
              <w:rPr>
                <w:rFonts w:ascii="Times New Roman" w:hAnsi="Times New Roman"/>
                <w:highlight w:val="none"/>
              </w:rPr>
            </w:pPr>
          </w:p>
        </w:tc>
        <w:tc>
          <w:tcPr>
            <w:tcW w:w="543" w:type="pct"/>
            <w:noWrap w:val="0"/>
            <w:vAlign w:val="top"/>
          </w:tcPr>
          <w:p w14:paraId="51D66BF0">
            <w:pPr>
              <w:spacing w:line="440" w:lineRule="exact"/>
              <w:jc w:val="center"/>
              <w:rPr>
                <w:rFonts w:ascii="Times New Roman" w:hAnsi="Times New Roman"/>
                <w:highlight w:val="none"/>
              </w:rPr>
            </w:pPr>
          </w:p>
        </w:tc>
        <w:tc>
          <w:tcPr>
            <w:tcW w:w="706" w:type="pct"/>
            <w:noWrap w:val="0"/>
            <w:vAlign w:val="top"/>
          </w:tcPr>
          <w:p w14:paraId="78CF5964">
            <w:pPr>
              <w:spacing w:line="440" w:lineRule="exact"/>
              <w:jc w:val="center"/>
              <w:rPr>
                <w:rFonts w:ascii="Times New Roman" w:hAnsi="Times New Roman"/>
                <w:highlight w:val="none"/>
              </w:rPr>
            </w:pPr>
          </w:p>
        </w:tc>
      </w:tr>
      <w:tr w14:paraId="0F8A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noWrap w:val="0"/>
            <w:vAlign w:val="top"/>
          </w:tcPr>
          <w:p w14:paraId="046FDFE0">
            <w:pPr>
              <w:spacing w:line="440" w:lineRule="exact"/>
              <w:jc w:val="center"/>
              <w:rPr>
                <w:rFonts w:ascii="Times New Roman" w:hAnsi="Times New Roman"/>
                <w:highlight w:val="none"/>
              </w:rPr>
            </w:pPr>
          </w:p>
        </w:tc>
        <w:tc>
          <w:tcPr>
            <w:tcW w:w="794" w:type="pct"/>
            <w:noWrap w:val="0"/>
            <w:vAlign w:val="top"/>
          </w:tcPr>
          <w:p w14:paraId="6EDE3FBC">
            <w:pPr>
              <w:spacing w:line="440" w:lineRule="exact"/>
              <w:jc w:val="center"/>
              <w:rPr>
                <w:rFonts w:ascii="Times New Roman" w:hAnsi="Times New Roman"/>
                <w:highlight w:val="none"/>
              </w:rPr>
            </w:pPr>
          </w:p>
        </w:tc>
        <w:tc>
          <w:tcPr>
            <w:tcW w:w="618" w:type="pct"/>
            <w:noWrap w:val="0"/>
            <w:vAlign w:val="top"/>
          </w:tcPr>
          <w:p w14:paraId="79475617">
            <w:pPr>
              <w:spacing w:line="440" w:lineRule="exact"/>
              <w:jc w:val="center"/>
              <w:rPr>
                <w:rFonts w:ascii="Times New Roman" w:hAnsi="Times New Roman"/>
                <w:highlight w:val="none"/>
              </w:rPr>
            </w:pPr>
          </w:p>
        </w:tc>
        <w:tc>
          <w:tcPr>
            <w:tcW w:w="375" w:type="pct"/>
            <w:noWrap w:val="0"/>
            <w:vAlign w:val="top"/>
          </w:tcPr>
          <w:p w14:paraId="59A436C9">
            <w:pPr>
              <w:spacing w:line="440" w:lineRule="exact"/>
              <w:jc w:val="center"/>
              <w:rPr>
                <w:rFonts w:ascii="Times New Roman" w:hAnsi="Times New Roman"/>
                <w:highlight w:val="none"/>
              </w:rPr>
            </w:pPr>
          </w:p>
        </w:tc>
        <w:tc>
          <w:tcPr>
            <w:tcW w:w="304" w:type="pct"/>
            <w:noWrap w:val="0"/>
            <w:vAlign w:val="top"/>
          </w:tcPr>
          <w:p w14:paraId="2E28C010">
            <w:pPr>
              <w:spacing w:line="440" w:lineRule="exact"/>
              <w:jc w:val="center"/>
              <w:rPr>
                <w:rFonts w:ascii="Times New Roman" w:hAnsi="Times New Roman"/>
                <w:highlight w:val="none"/>
              </w:rPr>
            </w:pPr>
          </w:p>
        </w:tc>
        <w:tc>
          <w:tcPr>
            <w:tcW w:w="706" w:type="pct"/>
            <w:noWrap w:val="0"/>
            <w:vAlign w:val="top"/>
          </w:tcPr>
          <w:p w14:paraId="6AEB01F7">
            <w:pPr>
              <w:spacing w:line="440" w:lineRule="exact"/>
              <w:jc w:val="center"/>
              <w:rPr>
                <w:rFonts w:ascii="Times New Roman" w:hAnsi="Times New Roman"/>
                <w:highlight w:val="none"/>
              </w:rPr>
            </w:pPr>
          </w:p>
        </w:tc>
        <w:tc>
          <w:tcPr>
            <w:tcW w:w="441" w:type="pct"/>
            <w:noWrap w:val="0"/>
            <w:vAlign w:val="top"/>
          </w:tcPr>
          <w:p w14:paraId="6DBC1863">
            <w:pPr>
              <w:spacing w:line="440" w:lineRule="exact"/>
              <w:jc w:val="center"/>
              <w:rPr>
                <w:rFonts w:ascii="Times New Roman" w:hAnsi="Times New Roman"/>
                <w:highlight w:val="none"/>
              </w:rPr>
            </w:pPr>
          </w:p>
        </w:tc>
        <w:tc>
          <w:tcPr>
            <w:tcW w:w="543" w:type="pct"/>
            <w:noWrap w:val="0"/>
            <w:vAlign w:val="top"/>
          </w:tcPr>
          <w:p w14:paraId="7195FBB5">
            <w:pPr>
              <w:spacing w:line="440" w:lineRule="exact"/>
              <w:jc w:val="center"/>
              <w:rPr>
                <w:rFonts w:ascii="Times New Roman" w:hAnsi="Times New Roman"/>
                <w:highlight w:val="none"/>
              </w:rPr>
            </w:pPr>
          </w:p>
        </w:tc>
        <w:tc>
          <w:tcPr>
            <w:tcW w:w="706" w:type="pct"/>
            <w:noWrap w:val="0"/>
            <w:vAlign w:val="top"/>
          </w:tcPr>
          <w:p w14:paraId="35159287">
            <w:pPr>
              <w:spacing w:line="440" w:lineRule="exact"/>
              <w:jc w:val="center"/>
              <w:rPr>
                <w:rFonts w:ascii="Times New Roman" w:hAnsi="Times New Roman"/>
                <w:highlight w:val="none"/>
              </w:rPr>
            </w:pPr>
          </w:p>
        </w:tc>
      </w:tr>
    </w:tbl>
    <w:p w14:paraId="32185220">
      <w:pPr>
        <w:spacing w:line="440" w:lineRule="exact"/>
        <w:rPr>
          <w:rFonts w:ascii="Times New Roman" w:hAnsi="Times New Roman"/>
          <w:highlight w:val="none"/>
        </w:rPr>
      </w:pPr>
    </w:p>
    <w:p w14:paraId="3CB108AE">
      <w:pPr>
        <w:spacing w:line="440" w:lineRule="exact"/>
        <w:rPr>
          <w:rFonts w:ascii="Times New Roman" w:hAnsi="Times New Roman"/>
          <w:highlight w:val="none"/>
        </w:rPr>
      </w:pPr>
    </w:p>
    <w:p w14:paraId="27D92BF8">
      <w:pPr>
        <w:spacing w:line="440" w:lineRule="exact"/>
        <w:rPr>
          <w:rFonts w:ascii="Times New Roman" w:hAnsi="Times New Roman"/>
          <w:highlight w:val="none"/>
        </w:rPr>
      </w:pPr>
      <w:r>
        <w:rPr>
          <w:rFonts w:ascii="Times New Roman" w:hAnsi="Times New Roman"/>
          <w:highlight w:val="none"/>
        </w:rPr>
        <w:br w:type="page"/>
      </w:r>
    </w:p>
    <w:p w14:paraId="4974ECC1">
      <w:pPr>
        <w:pStyle w:val="4"/>
        <w:keepNext w:val="0"/>
        <w:keepLines w:val="0"/>
        <w:ind w:firstLine="137"/>
        <w:rPr>
          <w:rFonts w:ascii="Times New Roman" w:hAnsi="Times New Roman"/>
          <w:highlight w:val="none"/>
        </w:rPr>
      </w:pPr>
      <w:bookmarkStart w:id="1290" w:name="_Toc526001347"/>
      <w:r>
        <w:rPr>
          <w:rFonts w:ascii="Times New Roman" w:hAnsi="Times New Roman"/>
          <w:highlight w:val="none"/>
        </w:rPr>
        <w:t>（</w:t>
      </w:r>
      <w:r>
        <w:rPr>
          <w:rFonts w:hint="eastAsia"/>
          <w:highlight w:val="none"/>
          <w:lang w:val="en-US" w:eastAsia="zh-CN"/>
        </w:rPr>
        <w:t>三</w:t>
      </w:r>
      <w:r>
        <w:rPr>
          <w:rFonts w:ascii="Times New Roman" w:hAnsi="Times New Roman"/>
          <w:highlight w:val="none"/>
        </w:rPr>
        <w:t>）主要人员简历表</w:t>
      </w:r>
      <w:bookmarkEnd w:id="1290"/>
    </w:p>
    <w:p w14:paraId="393A32C6">
      <w:pPr>
        <w:topLinePunct/>
        <w:spacing w:line="440" w:lineRule="exact"/>
        <w:jc w:val="center"/>
        <w:rPr>
          <w:rFonts w:ascii="Times New Roman" w:hAnsi="Times New Roman"/>
          <w:sz w:val="23"/>
          <w:highlight w:val="none"/>
        </w:rPr>
      </w:pP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388"/>
        <w:gridCol w:w="746"/>
        <w:gridCol w:w="1035"/>
        <w:gridCol w:w="1155"/>
        <w:gridCol w:w="766"/>
        <w:gridCol w:w="1364"/>
        <w:gridCol w:w="434"/>
        <w:gridCol w:w="2056"/>
      </w:tblGrid>
      <w:tr w14:paraId="6104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6" w:type="pct"/>
            <w:noWrap w:val="0"/>
            <w:vAlign w:val="center"/>
          </w:tcPr>
          <w:p w14:paraId="70C26C21">
            <w:pPr>
              <w:spacing w:line="440" w:lineRule="exact"/>
              <w:jc w:val="center"/>
              <w:rPr>
                <w:rFonts w:ascii="Times New Roman" w:hAnsi="Times New Roman"/>
                <w:highlight w:val="none"/>
              </w:rPr>
            </w:pPr>
            <w:r>
              <w:rPr>
                <w:rFonts w:ascii="Times New Roman" w:hAnsi="Times New Roman"/>
                <w:highlight w:val="none"/>
              </w:rPr>
              <w:t>姓  名</w:t>
            </w:r>
          </w:p>
        </w:tc>
        <w:tc>
          <w:tcPr>
            <w:tcW w:w="614" w:type="pct"/>
            <w:gridSpan w:val="2"/>
            <w:noWrap w:val="0"/>
            <w:vAlign w:val="center"/>
          </w:tcPr>
          <w:p w14:paraId="3E6F9B6F">
            <w:pPr>
              <w:spacing w:line="440" w:lineRule="exact"/>
              <w:jc w:val="center"/>
              <w:rPr>
                <w:rFonts w:ascii="Times New Roman" w:hAnsi="Times New Roman"/>
                <w:highlight w:val="none"/>
              </w:rPr>
            </w:pPr>
          </w:p>
        </w:tc>
        <w:tc>
          <w:tcPr>
            <w:tcW w:w="561" w:type="pct"/>
            <w:noWrap w:val="0"/>
            <w:vAlign w:val="center"/>
          </w:tcPr>
          <w:p w14:paraId="3ADBFFF8">
            <w:pPr>
              <w:spacing w:line="440" w:lineRule="exact"/>
              <w:jc w:val="center"/>
              <w:rPr>
                <w:rFonts w:ascii="Times New Roman" w:hAnsi="Times New Roman"/>
                <w:highlight w:val="none"/>
              </w:rPr>
            </w:pPr>
            <w:r>
              <w:rPr>
                <w:rFonts w:ascii="Times New Roman" w:hAnsi="Times New Roman"/>
                <w:highlight w:val="none"/>
              </w:rPr>
              <w:t>年龄</w:t>
            </w:r>
          </w:p>
        </w:tc>
        <w:tc>
          <w:tcPr>
            <w:tcW w:w="624" w:type="pct"/>
            <w:noWrap w:val="0"/>
            <w:vAlign w:val="center"/>
          </w:tcPr>
          <w:p w14:paraId="0367BD9A">
            <w:pPr>
              <w:spacing w:line="440" w:lineRule="exact"/>
              <w:jc w:val="center"/>
              <w:rPr>
                <w:rFonts w:ascii="Times New Roman" w:hAnsi="Times New Roman"/>
                <w:highlight w:val="none"/>
              </w:rPr>
            </w:pPr>
          </w:p>
        </w:tc>
        <w:tc>
          <w:tcPr>
            <w:tcW w:w="1389" w:type="pct"/>
            <w:gridSpan w:val="3"/>
            <w:noWrap w:val="0"/>
            <w:vAlign w:val="center"/>
          </w:tcPr>
          <w:p w14:paraId="5C2F144C">
            <w:pPr>
              <w:spacing w:line="440" w:lineRule="exact"/>
              <w:jc w:val="center"/>
              <w:rPr>
                <w:rFonts w:ascii="Times New Roman" w:hAnsi="Times New Roman"/>
                <w:highlight w:val="none"/>
              </w:rPr>
            </w:pPr>
            <w:r>
              <w:rPr>
                <w:rFonts w:ascii="Times New Roman" w:hAnsi="Times New Roman"/>
                <w:highlight w:val="none"/>
              </w:rPr>
              <w:t>执业资格证书（或上岗证书）名称</w:t>
            </w:r>
          </w:p>
        </w:tc>
        <w:tc>
          <w:tcPr>
            <w:tcW w:w="1112" w:type="pct"/>
            <w:noWrap w:val="0"/>
            <w:vAlign w:val="center"/>
          </w:tcPr>
          <w:p w14:paraId="5EF2396E">
            <w:pPr>
              <w:spacing w:line="440" w:lineRule="exact"/>
              <w:jc w:val="center"/>
              <w:rPr>
                <w:rFonts w:ascii="Times New Roman" w:hAnsi="Times New Roman"/>
                <w:highlight w:val="none"/>
              </w:rPr>
            </w:pPr>
          </w:p>
        </w:tc>
      </w:tr>
      <w:tr w14:paraId="1702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6" w:type="pct"/>
            <w:noWrap w:val="0"/>
            <w:vAlign w:val="center"/>
          </w:tcPr>
          <w:p w14:paraId="761BEA5E">
            <w:pPr>
              <w:spacing w:line="440" w:lineRule="exact"/>
              <w:jc w:val="center"/>
              <w:rPr>
                <w:rFonts w:ascii="Times New Roman" w:hAnsi="Times New Roman"/>
                <w:highlight w:val="none"/>
              </w:rPr>
            </w:pPr>
            <w:r>
              <w:rPr>
                <w:rFonts w:ascii="Times New Roman" w:hAnsi="Times New Roman"/>
                <w:highlight w:val="none"/>
              </w:rPr>
              <w:t>职  称</w:t>
            </w:r>
          </w:p>
        </w:tc>
        <w:tc>
          <w:tcPr>
            <w:tcW w:w="614" w:type="pct"/>
            <w:gridSpan w:val="2"/>
            <w:noWrap w:val="0"/>
            <w:vAlign w:val="center"/>
          </w:tcPr>
          <w:p w14:paraId="738FB8CA">
            <w:pPr>
              <w:spacing w:line="440" w:lineRule="exact"/>
              <w:jc w:val="center"/>
              <w:rPr>
                <w:rFonts w:ascii="Times New Roman" w:hAnsi="Times New Roman"/>
                <w:highlight w:val="none"/>
              </w:rPr>
            </w:pPr>
          </w:p>
        </w:tc>
        <w:tc>
          <w:tcPr>
            <w:tcW w:w="561" w:type="pct"/>
            <w:noWrap w:val="0"/>
            <w:vAlign w:val="center"/>
          </w:tcPr>
          <w:p w14:paraId="3EA03361">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学历</w:t>
            </w:r>
          </w:p>
        </w:tc>
        <w:tc>
          <w:tcPr>
            <w:tcW w:w="624" w:type="pct"/>
            <w:noWrap w:val="0"/>
            <w:vAlign w:val="center"/>
          </w:tcPr>
          <w:p w14:paraId="759ACB2E">
            <w:pPr>
              <w:spacing w:line="440" w:lineRule="exact"/>
              <w:jc w:val="center"/>
              <w:rPr>
                <w:rFonts w:ascii="Times New Roman" w:hAnsi="Times New Roman"/>
                <w:highlight w:val="none"/>
              </w:rPr>
            </w:pPr>
          </w:p>
        </w:tc>
        <w:tc>
          <w:tcPr>
            <w:tcW w:w="1389" w:type="pct"/>
            <w:gridSpan w:val="3"/>
            <w:noWrap w:val="0"/>
            <w:vAlign w:val="center"/>
          </w:tcPr>
          <w:p w14:paraId="22FCC6FE">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拟在本项目任职</w:t>
            </w:r>
          </w:p>
        </w:tc>
        <w:tc>
          <w:tcPr>
            <w:tcW w:w="1112" w:type="pct"/>
            <w:noWrap w:val="0"/>
            <w:vAlign w:val="center"/>
          </w:tcPr>
          <w:p w14:paraId="6EC00875">
            <w:pPr>
              <w:spacing w:line="440" w:lineRule="exact"/>
              <w:jc w:val="center"/>
              <w:rPr>
                <w:rFonts w:ascii="Times New Roman" w:hAnsi="Times New Roman"/>
                <w:highlight w:val="none"/>
              </w:rPr>
            </w:pPr>
          </w:p>
        </w:tc>
      </w:tr>
      <w:tr w14:paraId="2CD5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6" w:type="pct"/>
            <w:noWrap w:val="0"/>
            <w:vAlign w:val="center"/>
          </w:tcPr>
          <w:p w14:paraId="1A0DC199">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工作年限</w:t>
            </w:r>
          </w:p>
        </w:tc>
        <w:tc>
          <w:tcPr>
            <w:tcW w:w="1801" w:type="pct"/>
            <w:gridSpan w:val="4"/>
            <w:noWrap w:val="0"/>
            <w:vAlign w:val="center"/>
          </w:tcPr>
          <w:p w14:paraId="68AE8768">
            <w:pPr>
              <w:spacing w:line="440" w:lineRule="exact"/>
              <w:jc w:val="center"/>
              <w:rPr>
                <w:rFonts w:ascii="Times New Roman" w:hAnsi="Times New Roman"/>
                <w:highlight w:val="none"/>
              </w:rPr>
            </w:pPr>
          </w:p>
        </w:tc>
        <w:tc>
          <w:tcPr>
            <w:tcW w:w="1389" w:type="pct"/>
            <w:gridSpan w:val="3"/>
            <w:noWrap w:val="0"/>
            <w:vAlign w:val="center"/>
          </w:tcPr>
          <w:p w14:paraId="39DD21D1">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从事</w:t>
            </w:r>
            <w:r>
              <w:rPr>
                <w:rFonts w:hint="eastAsia" w:ascii="Times New Roman" w:hAnsi="Times New Roman"/>
                <w:highlight w:val="none"/>
                <w:lang w:val="en-US" w:eastAsia="zh-CN"/>
              </w:rPr>
              <w:t>运维</w:t>
            </w:r>
            <w:r>
              <w:rPr>
                <w:rFonts w:ascii="Times New Roman" w:hAnsi="Times New Roman"/>
                <w:highlight w:val="none"/>
              </w:rPr>
              <w:t>工作年限</w:t>
            </w:r>
          </w:p>
        </w:tc>
        <w:tc>
          <w:tcPr>
            <w:tcW w:w="1112" w:type="pct"/>
            <w:noWrap w:val="0"/>
            <w:vAlign w:val="center"/>
          </w:tcPr>
          <w:p w14:paraId="54E6C268">
            <w:pPr>
              <w:spacing w:line="440" w:lineRule="exact"/>
              <w:jc w:val="center"/>
              <w:rPr>
                <w:rFonts w:ascii="Times New Roman" w:hAnsi="Times New Roman"/>
                <w:highlight w:val="none"/>
              </w:rPr>
            </w:pPr>
          </w:p>
        </w:tc>
      </w:tr>
      <w:tr w14:paraId="6A85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6" w:type="pct"/>
            <w:noWrap w:val="0"/>
            <w:vAlign w:val="center"/>
          </w:tcPr>
          <w:p w14:paraId="5BA3C615">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毕业学校</w:t>
            </w:r>
          </w:p>
        </w:tc>
        <w:tc>
          <w:tcPr>
            <w:tcW w:w="4303" w:type="pct"/>
            <w:gridSpan w:val="8"/>
            <w:noWrap w:val="0"/>
            <w:vAlign w:val="center"/>
          </w:tcPr>
          <w:p w14:paraId="2CCB1D90">
            <w:pPr>
              <w:spacing w:before="100" w:beforeAutospacing="1" w:after="100" w:afterAutospacing="1" w:line="440" w:lineRule="exact"/>
              <w:ind w:firstLine="1155" w:firstLineChars="550"/>
              <w:rPr>
                <w:rFonts w:ascii="Times New Roman" w:hAnsi="Times New Roman"/>
                <w:highlight w:val="none"/>
              </w:rPr>
            </w:pPr>
            <w:r>
              <w:rPr>
                <w:rFonts w:ascii="Times New Roman" w:hAnsi="Times New Roman"/>
                <w:highlight w:val="none"/>
              </w:rPr>
              <w:t>年毕业于            学校        专业</w:t>
            </w:r>
          </w:p>
        </w:tc>
      </w:tr>
      <w:tr w14:paraId="715C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noWrap w:val="0"/>
            <w:vAlign w:val="center"/>
          </w:tcPr>
          <w:p w14:paraId="40564838">
            <w:pPr>
              <w:spacing w:before="100" w:beforeAutospacing="1" w:after="100" w:afterAutospacing="1" w:line="440" w:lineRule="exact"/>
              <w:jc w:val="left"/>
              <w:rPr>
                <w:rFonts w:ascii="Times New Roman" w:hAnsi="Times New Roman"/>
                <w:highlight w:val="none"/>
              </w:rPr>
            </w:pPr>
            <w:r>
              <w:rPr>
                <w:rFonts w:ascii="Times New Roman" w:hAnsi="Times New Roman"/>
                <w:highlight w:val="none"/>
              </w:rPr>
              <w:t>主要工作经历</w:t>
            </w:r>
          </w:p>
        </w:tc>
      </w:tr>
      <w:tr w14:paraId="1FF2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6" w:type="pct"/>
            <w:gridSpan w:val="2"/>
            <w:noWrap w:val="0"/>
            <w:vAlign w:val="center"/>
          </w:tcPr>
          <w:p w14:paraId="20353801">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时  间</w:t>
            </w:r>
          </w:p>
        </w:tc>
        <w:tc>
          <w:tcPr>
            <w:tcW w:w="2006" w:type="pct"/>
            <w:gridSpan w:val="4"/>
            <w:noWrap w:val="0"/>
            <w:vAlign w:val="center"/>
          </w:tcPr>
          <w:p w14:paraId="5F8C312E">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参加过的类似项目</w:t>
            </w:r>
          </w:p>
        </w:tc>
        <w:tc>
          <w:tcPr>
            <w:tcW w:w="739" w:type="pct"/>
            <w:noWrap w:val="0"/>
            <w:vAlign w:val="center"/>
          </w:tcPr>
          <w:p w14:paraId="3D6848CA">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担任职务</w:t>
            </w:r>
          </w:p>
        </w:tc>
        <w:tc>
          <w:tcPr>
            <w:tcW w:w="1347" w:type="pct"/>
            <w:gridSpan w:val="2"/>
            <w:noWrap w:val="0"/>
            <w:vAlign w:val="center"/>
          </w:tcPr>
          <w:p w14:paraId="234A8FDC">
            <w:pPr>
              <w:spacing w:before="100" w:beforeAutospacing="1" w:after="100" w:afterAutospacing="1" w:line="440" w:lineRule="exact"/>
              <w:jc w:val="center"/>
              <w:rPr>
                <w:rFonts w:ascii="Times New Roman" w:hAnsi="Times New Roman"/>
                <w:highlight w:val="none"/>
              </w:rPr>
            </w:pPr>
            <w:r>
              <w:rPr>
                <w:rFonts w:ascii="Times New Roman" w:hAnsi="Times New Roman"/>
                <w:highlight w:val="none"/>
              </w:rPr>
              <w:t>委托人及联系电话</w:t>
            </w:r>
          </w:p>
        </w:tc>
      </w:tr>
      <w:tr w14:paraId="678F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top"/>
          </w:tcPr>
          <w:p w14:paraId="2013B5AC">
            <w:pPr>
              <w:spacing w:line="440" w:lineRule="exact"/>
              <w:rPr>
                <w:rFonts w:ascii="Times New Roman" w:hAnsi="Times New Roman"/>
                <w:highlight w:val="none"/>
              </w:rPr>
            </w:pPr>
          </w:p>
        </w:tc>
        <w:tc>
          <w:tcPr>
            <w:tcW w:w="2006" w:type="pct"/>
            <w:gridSpan w:val="4"/>
            <w:noWrap w:val="0"/>
            <w:vAlign w:val="top"/>
          </w:tcPr>
          <w:p w14:paraId="09E7ABFB">
            <w:pPr>
              <w:spacing w:line="440" w:lineRule="exact"/>
              <w:rPr>
                <w:rFonts w:ascii="Times New Roman" w:hAnsi="Times New Roman"/>
                <w:highlight w:val="none"/>
              </w:rPr>
            </w:pPr>
          </w:p>
        </w:tc>
        <w:tc>
          <w:tcPr>
            <w:tcW w:w="739" w:type="pct"/>
            <w:noWrap w:val="0"/>
            <w:vAlign w:val="top"/>
          </w:tcPr>
          <w:p w14:paraId="3BD17A4C">
            <w:pPr>
              <w:spacing w:line="440" w:lineRule="exact"/>
              <w:rPr>
                <w:rFonts w:ascii="Times New Roman" w:hAnsi="Times New Roman"/>
                <w:highlight w:val="none"/>
              </w:rPr>
            </w:pPr>
          </w:p>
        </w:tc>
        <w:tc>
          <w:tcPr>
            <w:tcW w:w="1347" w:type="pct"/>
            <w:gridSpan w:val="2"/>
            <w:noWrap w:val="0"/>
            <w:vAlign w:val="top"/>
          </w:tcPr>
          <w:p w14:paraId="127E41DC">
            <w:pPr>
              <w:spacing w:line="440" w:lineRule="exact"/>
              <w:rPr>
                <w:rFonts w:ascii="Times New Roman" w:hAnsi="Times New Roman"/>
                <w:highlight w:val="none"/>
              </w:rPr>
            </w:pPr>
          </w:p>
        </w:tc>
      </w:tr>
      <w:tr w14:paraId="6B4F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top"/>
          </w:tcPr>
          <w:p w14:paraId="7CAE78EB">
            <w:pPr>
              <w:spacing w:line="440" w:lineRule="exact"/>
              <w:rPr>
                <w:rFonts w:ascii="Times New Roman" w:hAnsi="Times New Roman"/>
                <w:highlight w:val="none"/>
              </w:rPr>
            </w:pPr>
          </w:p>
        </w:tc>
        <w:tc>
          <w:tcPr>
            <w:tcW w:w="2006" w:type="pct"/>
            <w:gridSpan w:val="4"/>
            <w:noWrap w:val="0"/>
            <w:vAlign w:val="top"/>
          </w:tcPr>
          <w:p w14:paraId="1583FDCB">
            <w:pPr>
              <w:spacing w:line="440" w:lineRule="exact"/>
              <w:rPr>
                <w:rFonts w:ascii="Times New Roman" w:hAnsi="Times New Roman"/>
                <w:highlight w:val="none"/>
              </w:rPr>
            </w:pPr>
          </w:p>
        </w:tc>
        <w:tc>
          <w:tcPr>
            <w:tcW w:w="739" w:type="pct"/>
            <w:noWrap w:val="0"/>
            <w:vAlign w:val="top"/>
          </w:tcPr>
          <w:p w14:paraId="1532A66E">
            <w:pPr>
              <w:spacing w:line="440" w:lineRule="exact"/>
              <w:rPr>
                <w:rFonts w:ascii="Times New Roman" w:hAnsi="Times New Roman"/>
                <w:highlight w:val="none"/>
              </w:rPr>
            </w:pPr>
          </w:p>
        </w:tc>
        <w:tc>
          <w:tcPr>
            <w:tcW w:w="1347" w:type="pct"/>
            <w:gridSpan w:val="2"/>
            <w:noWrap w:val="0"/>
            <w:vAlign w:val="top"/>
          </w:tcPr>
          <w:p w14:paraId="3D0A8819">
            <w:pPr>
              <w:spacing w:line="440" w:lineRule="exact"/>
              <w:rPr>
                <w:rFonts w:ascii="Times New Roman" w:hAnsi="Times New Roman"/>
                <w:highlight w:val="none"/>
              </w:rPr>
            </w:pPr>
          </w:p>
        </w:tc>
      </w:tr>
      <w:tr w14:paraId="031A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top"/>
          </w:tcPr>
          <w:p w14:paraId="55654B14">
            <w:pPr>
              <w:spacing w:line="440" w:lineRule="exact"/>
              <w:rPr>
                <w:rFonts w:ascii="Times New Roman" w:hAnsi="Times New Roman"/>
                <w:highlight w:val="none"/>
              </w:rPr>
            </w:pPr>
          </w:p>
        </w:tc>
        <w:tc>
          <w:tcPr>
            <w:tcW w:w="2006" w:type="pct"/>
            <w:gridSpan w:val="4"/>
            <w:noWrap w:val="0"/>
            <w:vAlign w:val="top"/>
          </w:tcPr>
          <w:p w14:paraId="3F3B8F53">
            <w:pPr>
              <w:spacing w:line="440" w:lineRule="exact"/>
              <w:rPr>
                <w:rFonts w:ascii="Times New Roman" w:hAnsi="Times New Roman"/>
                <w:highlight w:val="none"/>
              </w:rPr>
            </w:pPr>
          </w:p>
        </w:tc>
        <w:tc>
          <w:tcPr>
            <w:tcW w:w="739" w:type="pct"/>
            <w:noWrap w:val="0"/>
            <w:vAlign w:val="top"/>
          </w:tcPr>
          <w:p w14:paraId="7B7E20A7">
            <w:pPr>
              <w:spacing w:line="440" w:lineRule="exact"/>
              <w:rPr>
                <w:rFonts w:ascii="Times New Roman" w:hAnsi="Times New Roman"/>
                <w:highlight w:val="none"/>
              </w:rPr>
            </w:pPr>
          </w:p>
        </w:tc>
        <w:tc>
          <w:tcPr>
            <w:tcW w:w="1347" w:type="pct"/>
            <w:gridSpan w:val="2"/>
            <w:noWrap w:val="0"/>
            <w:vAlign w:val="top"/>
          </w:tcPr>
          <w:p w14:paraId="53001647">
            <w:pPr>
              <w:spacing w:line="440" w:lineRule="exact"/>
              <w:rPr>
                <w:rFonts w:ascii="Times New Roman" w:hAnsi="Times New Roman"/>
                <w:highlight w:val="none"/>
              </w:rPr>
            </w:pPr>
          </w:p>
        </w:tc>
      </w:tr>
      <w:tr w14:paraId="405B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1B51F598">
            <w:pPr>
              <w:spacing w:line="440" w:lineRule="exact"/>
              <w:rPr>
                <w:rFonts w:ascii="Times New Roman" w:hAnsi="Times New Roman"/>
                <w:highlight w:val="none"/>
              </w:rPr>
            </w:pPr>
          </w:p>
        </w:tc>
        <w:tc>
          <w:tcPr>
            <w:tcW w:w="2006" w:type="pct"/>
            <w:gridSpan w:val="4"/>
            <w:noWrap w:val="0"/>
            <w:vAlign w:val="center"/>
          </w:tcPr>
          <w:p w14:paraId="5D61DD12">
            <w:pPr>
              <w:spacing w:line="440" w:lineRule="exact"/>
              <w:rPr>
                <w:rFonts w:ascii="Times New Roman" w:hAnsi="Times New Roman"/>
                <w:highlight w:val="none"/>
              </w:rPr>
            </w:pPr>
          </w:p>
        </w:tc>
        <w:tc>
          <w:tcPr>
            <w:tcW w:w="739" w:type="pct"/>
            <w:noWrap w:val="0"/>
            <w:vAlign w:val="center"/>
          </w:tcPr>
          <w:p w14:paraId="7954DC65">
            <w:pPr>
              <w:spacing w:line="440" w:lineRule="exact"/>
              <w:rPr>
                <w:rFonts w:ascii="Times New Roman" w:hAnsi="Times New Roman"/>
                <w:highlight w:val="none"/>
              </w:rPr>
            </w:pPr>
          </w:p>
        </w:tc>
        <w:tc>
          <w:tcPr>
            <w:tcW w:w="1347" w:type="pct"/>
            <w:gridSpan w:val="2"/>
            <w:noWrap w:val="0"/>
            <w:vAlign w:val="center"/>
          </w:tcPr>
          <w:p w14:paraId="1613E24A">
            <w:pPr>
              <w:spacing w:line="440" w:lineRule="exact"/>
              <w:rPr>
                <w:rFonts w:ascii="Times New Roman" w:hAnsi="Times New Roman"/>
                <w:highlight w:val="none"/>
              </w:rPr>
            </w:pPr>
          </w:p>
        </w:tc>
      </w:tr>
      <w:tr w14:paraId="426B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30082A76">
            <w:pPr>
              <w:spacing w:line="440" w:lineRule="exact"/>
              <w:rPr>
                <w:rFonts w:ascii="Times New Roman" w:hAnsi="Times New Roman"/>
                <w:highlight w:val="none"/>
              </w:rPr>
            </w:pPr>
          </w:p>
        </w:tc>
        <w:tc>
          <w:tcPr>
            <w:tcW w:w="2006" w:type="pct"/>
            <w:gridSpan w:val="4"/>
            <w:noWrap w:val="0"/>
            <w:vAlign w:val="center"/>
          </w:tcPr>
          <w:p w14:paraId="000765BE">
            <w:pPr>
              <w:spacing w:line="440" w:lineRule="exact"/>
              <w:rPr>
                <w:rFonts w:ascii="Times New Roman" w:hAnsi="Times New Roman"/>
                <w:highlight w:val="none"/>
              </w:rPr>
            </w:pPr>
          </w:p>
        </w:tc>
        <w:tc>
          <w:tcPr>
            <w:tcW w:w="739" w:type="pct"/>
            <w:noWrap w:val="0"/>
            <w:vAlign w:val="center"/>
          </w:tcPr>
          <w:p w14:paraId="310CA19A">
            <w:pPr>
              <w:spacing w:line="440" w:lineRule="exact"/>
              <w:rPr>
                <w:rFonts w:ascii="Times New Roman" w:hAnsi="Times New Roman"/>
                <w:highlight w:val="none"/>
              </w:rPr>
            </w:pPr>
          </w:p>
        </w:tc>
        <w:tc>
          <w:tcPr>
            <w:tcW w:w="1347" w:type="pct"/>
            <w:gridSpan w:val="2"/>
            <w:noWrap w:val="0"/>
            <w:vAlign w:val="center"/>
          </w:tcPr>
          <w:p w14:paraId="1C6F6248">
            <w:pPr>
              <w:spacing w:line="440" w:lineRule="exact"/>
              <w:rPr>
                <w:rFonts w:ascii="Times New Roman" w:hAnsi="Times New Roman"/>
                <w:highlight w:val="none"/>
              </w:rPr>
            </w:pPr>
          </w:p>
        </w:tc>
      </w:tr>
      <w:tr w14:paraId="773D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02F420B7">
            <w:pPr>
              <w:spacing w:line="440" w:lineRule="exact"/>
              <w:rPr>
                <w:rFonts w:ascii="Times New Roman" w:hAnsi="Times New Roman"/>
                <w:highlight w:val="none"/>
              </w:rPr>
            </w:pPr>
          </w:p>
        </w:tc>
        <w:tc>
          <w:tcPr>
            <w:tcW w:w="2006" w:type="pct"/>
            <w:gridSpan w:val="4"/>
            <w:noWrap w:val="0"/>
            <w:vAlign w:val="center"/>
          </w:tcPr>
          <w:p w14:paraId="6ECEB31C">
            <w:pPr>
              <w:spacing w:line="440" w:lineRule="exact"/>
              <w:rPr>
                <w:rFonts w:ascii="Times New Roman" w:hAnsi="Times New Roman"/>
                <w:highlight w:val="none"/>
              </w:rPr>
            </w:pPr>
          </w:p>
        </w:tc>
        <w:tc>
          <w:tcPr>
            <w:tcW w:w="739" w:type="pct"/>
            <w:noWrap w:val="0"/>
            <w:vAlign w:val="center"/>
          </w:tcPr>
          <w:p w14:paraId="5F6B9919">
            <w:pPr>
              <w:spacing w:line="440" w:lineRule="exact"/>
              <w:rPr>
                <w:rFonts w:ascii="Times New Roman" w:hAnsi="Times New Roman"/>
                <w:highlight w:val="none"/>
              </w:rPr>
            </w:pPr>
          </w:p>
        </w:tc>
        <w:tc>
          <w:tcPr>
            <w:tcW w:w="1347" w:type="pct"/>
            <w:gridSpan w:val="2"/>
            <w:noWrap w:val="0"/>
            <w:vAlign w:val="center"/>
          </w:tcPr>
          <w:p w14:paraId="766522C7">
            <w:pPr>
              <w:spacing w:line="440" w:lineRule="exact"/>
              <w:rPr>
                <w:rFonts w:ascii="Times New Roman" w:hAnsi="Times New Roman"/>
                <w:highlight w:val="none"/>
              </w:rPr>
            </w:pPr>
          </w:p>
        </w:tc>
      </w:tr>
      <w:tr w14:paraId="745F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6D292DDC">
            <w:pPr>
              <w:spacing w:line="440" w:lineRule="exact"/>
              <w:rPr>
                <w:rFonts w:ascii="Times New Roman" w:hAnsi="Times New Roman"/>
                <w:highlight w:val="none"/>
              </w:rPr>
            </w:pPr>
          </w:p>
        </w:tc>
        <w:tc>
          <w:tcPr>
            <w:tcW w:w="2006" w:type="pct"/>
            <w:gridSpan w:val="4"/>
            <w:noWrap w:val="0"/>
            <w:vAlign w:val="center"/>
          </w:tcPr>
          <w:p w14:paraId="4EC74F16">
            <w:pPr>
              <w:spacing w:line="440" w:lineRule="exact"/>
              <w:rPr>
                <w:rFonts w:ascii="Times New Roman" w:hAnsi="Times New Roman"/>
                <w:highlight w:val="none"/>
              </w:rPr>
            </w:pPr>
          </w:p>
        </w:tc>
        <w:tc>
          <w:tcPr>
            <w:tcW w:w="739" w:type="pct"/>
            <w:noWrap w:val="0"/>
            <w:vAlign w:val="center"/>
          </w:tcPr>
          <w:p w14:paraId="43A3D580">
            <w:pPr>
              <w:spacing w:line="440" w:lineRule="exact"/>
              <w:rPr>
                <w:rFonts w:ascii="Times New Roman" w:hAnsi="Times New Roman"/>
                <w:highlight w:val="none"/>
              </w:rPr>
            </w:pPr>
          </w:p>
        </w:tc>
        <w:tc>
          <w:tcPr>
            <w:tcW w:w="1347" w:type="pct"/>
            <w:gridSpan w:val="2"/>
            <w:noWrap w:val="0"/>
            <w:vAlign w:val="center"/>
          </w:tcPr>
          <w:p w14:paraId="713C9CA2">
            <w:pPr>
              <w:spacing w:line="440" w:lineRule="exact"/>
              <w:rPr>
                <w:rFonts w:ascii="Times New Roman" w:hAnsi="Times New Roman"/>
                <w:highlight w:val="none"/>
              </w:rPr>
            </w:pPr>
          </w:p>
        </w:tc>
      </w:tr>
    </w:tbl>
    <w:p w14:paraId="57BE77F3">
      <w:pPr>
        <w:spacing w:line="440" w:lineRule="exact"/>
        <w:rPr>
          <w:rFonts w:ascii="Times New Roman" w:hAnsi="Times New Roman"/>
          <w:highlight w:val="none"/>
        </w:rPr>
      </w:pPr>
      <w:r>
        <w:rPr>
          <w:rFonts w:ascii="Times New Roman" w:hAnsi="Times New Roman"/>
          <w:highlight w:val="none"/>
        </w:rPr>
        <w:t>注：投标人应根据</w:t>
      </w:r>
      <w:r>
        <w:rPr>
          <w:rFonts w:hint="eastAsia" w:ascii="Times New Roman" w:hAnsi="Times New Roman"/>
          <w:highlight w:val="none"/>
          <w:lang w:val="en-US" w:eastAsia="zh-CN"/>
        </w:rPr>
        <w:t>招标文件</w:t>
      </w:r>
      <w:r>
        <w:rPr>
          <w:rFonts w:ascii="Times New Roman" w:hAnsi="Times New Roman"/>
          <w:highlight w:val="none"/>
        </w:rPr>
        <w:t>要求在本表后附相关证明材料。</w:t>
      </w:r>
    </w:p>
    <w:p w14:paraId="735FC4B9">
      <w:pPr>
        <w:spacing w:line="440" w:lineRule="exact"/>
        <w:rPr>
          <w:rFonts w:ascii="Times New Roman" w:hAnsi="Times New Roman"/>
          <w:highlight w:val="none"/>
        </w:rPr>
      </w:pPr>
      <w:bookmarkStart w:id="1291" w:name="_Toc300835229"/>
      <w:bookmarkStart w:id="1292" w:name="_Toc352703741"/>
    </w:p>
    <w:p w14:paraId="71F2BE74">
      <w:pPr>
        <w:spacing w:line="440" w:lineRule="exact"/>
        <w:rPr>
          <w:rFonts w:ascii="Times New Roman" w:hAnsi="Times New Roman"/>
          <w:highlight w:val="none"/>
        </w:rPr>
      </w:pPr>
    </w:p>
    <w:p w14:paraId="0E04AD92">
      <w:pPr>
        <w:spacing w:line="440" w:lineRule="exact"/>
        <w:rPr>
          <w:rFonts w:ascii="Times New Roman" w:hAnsi="Times New Roman"/>
          <w:highlight w:val="none"/>
        </w:rPr>
      </w:pPr>
    </w:p>
    <w:p w14:paraId="5643144B"/>
    <w:bookmarkEnd w:id="1291"/>
    <w:bookmarkEnd w:id="1292"/>
    <w:p w14:paraId="18F8BFD6">
      <w:pPr>
        <w:pStyle w:val="4"/>
        <w:keepNext w:val="0"/>
        <w:keepLines w:val="0"/>
        <w:ind w:firstLine="122"/>
        <w:rPr>
          <w:rFonts w:ascii="Times New Roman" w:hAnsi="Times New Roman"/>
          <w:highlight w:val="none"/>
        </w:rPr>
      </w:pPr>
      <w:bookmarkStart w:id="1293" w:name="_Toc526001348"/>
      <w:r>
        <w:rPr>
          <w:rFonts w:ascii="Times New Roman" w:hAnsi="Times New Roman"/>
          <w:highlight w:val="none"/>
        </w:rPr>
        <w:br w:type="page"/>
      </w:r>
      <w:bookmarkEnd w:id="1293"/>
      <w:r>
        <w:rPr>
          <w:rFonts w:hint="eastAsia" w:ascii="Times New Roman" w:hAnsi="Times New Roman"/>
          <w:highlight w:val="none"/>
        </w:rPr>
        <w:t>（</w:t>
      </w:r>
      <w:r>
        <w:rPr>
          <w:rFonts w:hint="eastAsia"/>
          <w:highlight w:val="none"/>
          <w:lang w:val="en-US" w:eastAsia="zh-CN"/>
        </w:rPr>
        <w:t>四</w:t>
      </w:r>
      <w:r>
        <w:rPr>
          <w:rFonts w:hint="eastAsia" w:ascii="Times New Roman" w:hAnsi="Times New Roman"/>
          <w:highlight w:val="none"/>
        </w:rPr>
        <w:t>）投标人声明</w:t>
      </w:r>
    </w:p>
    <w:p w14:paraId="7BB933E2">
      <w:pPr>
        <w:spacing w:line="500" w:lineRule="exact"/>
        <w:jc w:val="center"/>
        <w:rPr>
          <w:b/>
          <w:sz w:val="44"/>
          <w:szCs w:val="44"/>
          <w:highlight w:val="none"/>
        </w:rPr>
      </w:pPr>
      <w:bookmarkStart w:id="1294" w:name="_Toc416357992"/>
      <w:bookmarkStart w:id="1295" w:name="_Toc416358163"/>
      <w:bookmarkStart w:id="1296" w:name="_Toc266093553"/>
      <w:bookmarkStart w:id="1297" w:name="_Toc253143224"/>
      <w:bookmarkStart w:id="1298" w:name="_Toc249845977"/>
      <w:bookmarkStart w:id="1299" w:name="_Toc266881405"/>
      <w:bookmarkStart w:id="1300" w:name="_Toc245024005"/>
      <w:bookmarkStart w:id="1301" w:name="_Toc249846232"/>
      <w:r>
        <w:rPr>
          <w:rFonts w:hint="eastAsia"/>
          <w:b/>
          <w:kern w:val="0"/>
          <w:sz w:val="44"/>
          <w:szCs w:val="44"/>
          <w:highlight w:val="none"/>
        </w:rPr>
        <w:t>投标人</w:t>
      </w:r>
      <w:r>
        <w:rPr>
          <w:rFonts w:hint="eastAsia"/>
          <w:b/>
          <w:sz w:val="44"/>
          <w:szCs w:val="44"/>
          <w:highlight w:val="none"/>
        </w:rPr>
        <w:t>声明</w:t>
      </w:r>
      <w:bookmarkEnd w:id="1294"/>
      <w:bookmarkEnd w:id="1295"/>
      <w:bookmarkEnd w:id="1296"/>
      <w:bookmarkEnd w:id="1297"/>
      <w:bookmarkEnd w:id="1298"/>
      <w:bookmarkEnd w:id="1299"/>
      <w:bookmarkEnd w:id="1300"/>
      <w:bookmarkEnd w:id="1301"/>
    </w:p>
    <w:p w14:paraId="44722F16">
      <w:pPr>
        <w:spacing w:line="360" w:lineRule="auto"/>
        <w:rPr>
          <w:rFonts w:hint="eastAsia" w:ascii="宋体" w:hAnsi="宋体" w:cs="宋体"/>
          <w:kern w:val="0"/>
          <w:sz w:val="24"/>
          <w:szCs w:val="24"/>
          <w:highlight w:val="none"/>
        </w:rPr>
      </w:pPr>
    </w:p>
    <w:p w14:paraId="463160F2">
      <w:pPr>
        <w:spacing w:line="360" w:lineRule="auto"/>
        <w:rPr>
          <w:rFonts w:ascii="宋体" w:hAnsi="宋体"/>
          <w:kern w:val="0"/>
          <w:sz w:val="24"/>
          <w:szCs w:val="24"/>
          <w:highlight w:val="none"/>
          <w:u w:val="single"/>
        </w:rPr>
      </w:pPr>
      <w:r>
        <w:rPr>
          <w:rFonts w:ascii="宋体" w:hAnsi="宋体" w:eastAsia="宋体" w:cs="宋体"/>
          <w:spacing w:val="8"/>
          <w:sz w:val="24"/>
          <w:szCs w:val="24"/>
        </w:rPr>
        <w:t>本招标项目招标人及招标监管机构</w:t>
      </w:r>
      <w:r>
        <w:rPr>
          <w:rFonts w:hint="eastAsia" w:ascii="宋体" w:hAnsi="宋体" w:cs="宋体"/>
          <w:kern w:val="0"/>
          <w:sz w:val="24"/>
          <w:szCs w:val="24"/>
          <w:highlight w:val="none"/>
        </w:rPr>
        <w:t>：</w:t>
      </w:r>
    </w:p>
    <w:p w14:paraId="1B6E214E">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rPr>
        <w:t>    （项目名称）     </w:t>
      </w:r>
      <w:r>
        <w:rPr>
          <w:rFonts w:hint="eastAsia" w:ascii="宋体" w:hAnsi="宋体" w:cs="宋体"/>
          <w:color w:val="auto"/>
          <w:kern w:val="0"/>
          <w:sz w:val="24"/>
          <w:szCs w:val="24"/>
          <w:highlight w:val="none"/>
        </w:rPr>
        <w:t>项目投标工作，作出郑重声明：</w:t>
      </w:r>
    </w:p>
    <w:p w14:paraId="7D8CB589">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w:t>
      </w:r>
      <w:r>
        <w:rPr>
          <w:rFonts w:hint="eastAsia" w:ascii="宋体" w:hAnsi="宋体" w:cs="宋体"/>
          <w:color w:val="auto"/>
          <w:kern w:val="0"/>
          <w:sz w:val="24"/>
          <w:szCs w:val="24"/>
          <w:highlight w:val="none"/>
          <w:u w:val="single"/>
        </w:rPr>
        <w:t>登记</w:t>
      </w:r>
      <w:r>
        <w:rPr>
          <w:rFonts w:hint="eastAsia" w:ascii="宋体" w:hAnsi="宋体" w:cs="宋体"/>
          <w:color w:val="auto"/>
          <w:kern w:val="0"/>
          <w:sz w:val="24"/>
          <w:szCs w:val="24"/>
          <w:highlight w:val="none"/>
        </w:rPr>
        <w:t>材料及其后提供的一切材料都是真实的。如我司成为本项目中标候选人，我司同意并授权招标人将我司投标文件商务部分的人员、业绩、奖项等资料进行公开。</w:t>
      </w:r>
    </w:p>
    <w:p w14:paraId="778E70EA">
      <w:pPr>
        <w:spacing w:line="440" w:lineRule="exact"/>
        <w:ind w:firstLine="482" w:firstLineChars="200"/>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二、本公司承诺遵循公平</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公正、公开、诚实信用原则，在本项目投标中诚信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w:t>
      </w:r>
      <w:r>
        <w:rPr>
          <w:rFonts w:hint="eastAsia" w:ascii="宋体" w:hAnsi="宋体" w:cs="宋体"/>
          <w:b/>
          <w:color w:val="auto"/>
          <w:kern w:val="0"/>
          <w:sz w:val="24"/>
          <w:szCs w:val="24"/>
          <w:highlight w:val="none"/>
          <w:lang w:val="en-US" w:eastAsia="zh-CN"/>
        </w:rPr>
        <w:t>转包或违法分包</w:t>
      </w:r>
      <w:r>
        <w:rPr>
          <w:rFonts w:hint="eastAsia" w:ascii="宋体" w:hAnsi="宋体" w:cs="宋体"/>
          <w:b/>
          <w:color w:val="auto"/>
          <w:kern w:val="0"/>
          <w:sz w:val="24"/>
          <w:szCs w:val="24"/>
          <w:highlight w:val="none"/>
        </w:rPr>
        <w:t>业务。不存在少放、不放业绩、奖项等客观评审资料，减少自身竞争力的情形，若存在以上情形的，将自愿接受被招标人列入拒绝投标名单，不能参与招标人后续招标项目的投标</w:t>
      </w:r>
      <w:r>
        <w:rPr>
          <w:rFonts w:hint="eastAsia" w:ascii="宋体" w:hAnsi="宋体" w:cs="宋体"/>
          <w:b/>
          <w:color w:val="auto"/>
          <w:kern w:val="0"/>
          <w:sz w:val="24"/>
          <w:szCs w:val="24"/>
          <w:highlight w:val="none"/>
          <w:lang w:eastAsia="zh-CN"/>
        </w:rPr>
        <w:t>。</w:t>
      </w:r>
    </w:p>
    <w:p w14:paraId="0F45687E">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14:paraId="332997F6">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14:paraId="00E6F642">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14:paraId="3BB53CAC">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w:t>
      </w:r>
      <w:r>
        <w:rPr>
          <w:rFonts w:hint="eastAsia" w:ascii="宋体" w:hAnsi="宋体" w:cs="宋体"/>
          <w:b/>
          <w:bCs/>
          <w:color w:val="auto"/>
          <w:kern w:val="0"/>
          <w:sz w:val="24"/>
          <w:szCs w:val="24"/>
          <w:highlight w:val="none"/>
        </w:rPr>
        <w:t>与本公司单位负责人为同一人或者与本公司存在控股、管理关系的其他单位包括：</w:t>
      </w:r>
      <w:r>
        <w:rPr>
          <w:rFonts w:hint="eastAsia" w:ascii="宋体" w:hAnsi="宋体" w:cs="宋体"/>
          <w:b/>
          <w:bCs/>
          <w:color w:val="auto"/>
          <w:kern w:val="0"/>
          <w:sz w:val="24"/>
          <w:szCs w:val="24"/>
          <w:highlight w:val="none"/>
          <w:u w:val="single"/>
        </w:rPr>
        <w:t xml:space="preserve">          </w:t>
      </w:r>
      <w:r>
        <w:rPr>
          <w:rFonts w:hint="eastAsia" w:ascii="宋体" w:hAnsi="宋体" w:cs="宋体"/>
          <w:b/>
          <w:bCs/>
          <w:color w:val="auto"/>
          <w:kern w:val="0"/>
          <w:sz w:val="24"/>
          <w:szCs w:val="24"/>
          <w:highlight w:val="none"/>
        </w:rPr>
        <w:t>。</w:t>
      </w:r>
      <w:r>
        <w:rPr>
          <w:rFonts w:hint="eastAsia" w:ascii="宋体" w:hAnsi="宋体" w:cs="宋体"/>
          <w:color w:val="auto"/>
          <w:kern w:val="0"/>
          <w:sz w:val="24"/>
          <w:szCs w:val="24"/>
          <w:highlight w:val="none"/>
        </w:rPr>
        <w:t>（注：本条由投标人如实填写，如有，应列出全部满足招标公告资质要求的相关单位的名称；如无，则填写“无”。）</w:t>
      </w:r>
    </w:p>
    <w:p w14:paraId="5079F727">
      <w:pPr>
        <w:spacing w:line="440" w:lineRule="exact"/>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color w:val="auto"/>
          <w:kern w:val="0"/>
          <w:sz w:val="24"/>
          <w:szCs w:val="24"/>
          <w:highlight w:val="none"/>
        </w:rPr>
        <w:t>承担由此带来的一切后果，并自愿停止参加广州市行政辖区内的招标投标活动三个月。</w:t>
      </w:r>
    </w:p>
    <w:p w14:paraId="6F6F5555">
      <w:pPr>
        <w:spacing w:line="360" w:lineRule="auto"/>
        <w:ind w:firstLine="480" w:firstLineChars="200"/>
        <w:jc w:val="right"/>
        <w:rPr>
          <w:rFonts w:ascii="宋体" w:hAnsi="宋体" w:cs="宋体"/>
          <w:kern w:val="0"/>
          <w:sz w:val="24"/>
          <w:szCs w:val="24"/>
          <w:highlight w:val="none"/>
        </w:rPr>
      </w:pPr>
      <w:r>
        <w:rPr>
          <w:rFonts w:hint="eastAsia" w:ascii="宋体" w:hAnsi="宋体" w:cs="宋体"/>
          <w:kern w:val="0"/>
          <w:sz w:val="24"/>
          <w:szCs w:val="24"/>
          <w:highlight w:val="none"/>
        </w:rPr>
        <w:t>声明企业：            (企业公章)</w:t>
      </w:r>
    </w:p>
    <w:p w14:paraId="74E1DBDB">
      <w:pPr>
        <w:spacing w:line="360" w:lineRule="auto"/>
        <w:ind w:firstLine="480" w:firstLineChars="200"/>
        <w:jc w:val="right"/>
        <w:rPr>
          <w:rFonts w:ascii="宋体" w:hAnsi="宋体" w:cs="宋体"/>
          <w:kern w:val="0"/>
          <w:sz w:val="24"/>
          <w:szCs w:val="24"/>
          <w:highlight w:val="none"/>
        </w:rPr>
      </w:pPr>
      <w:r>
        <w:rPr>
          <w:rFonts w:hint="eastAsia" w:ascii="宋体" w:hAnsi="宋体" w:cs="宋体"/>
          <w:kern w:val="0"/>
          <w:sz w:val="24"/>
          <w:szCs w:val="24"/>
          <w:highlight w:val="none"/>
        </w:rPr>
        <w:t>法定代表人签字：</w:t>
      </w:r>
    </w:p>
    <w:p w14:paraId="7FB29F7E">
      <w:pPr>
        <w:ind w:firstLine="7087" w:firstLineChars="2953"/>
        <w:rPr>
          <w:rFonts w:hint="eastAsia" w:ascii="宋体" w:hAnsi="宋体" w:cs="宋体"/>
          <w:kern w:val="0"/>
          <w:sz w:val="24"/>
          <w:szCs w:val="24"/>
          <w:highlight w:val="none"/>
        </w:rPr>
      </w:pPr>
      <w:r>
        <w:rPr>
          <w:rFonts w:hint="eastAsia" w:ascii="宋体" w:hAnsi="宋体" w:cs="宋体"/>
          <w:kern w:val="0"/>
          <w:sz w:val="24"/>
          <w:szCs w:val="24"/>
          <w:highlight w:val="none"/>
        </w:rPr>
        <w:t>年   月   日</w:t>
      </w:r>
    </w:p>
    <w:p w14:paraId="5BBB033F">
      <w:pPr>
        <w:pStyle w:val="4"/>
        <w:ind w:firstLine="122"/>
        <w:rPr>
          <w:rFonts w:hint="eastAsia" w:ascii="Times New Roman" w:hAnsi="Times New Roman" w:eastAsia="宋体" w:cs="Times New Roman"/>
          <w:sz w:val="28"/>
          <w:szCs w:val="32"/>
          <w:highlight w:val="none"/>
        </w:rPr>
      </w:pPr>
      <w:r>
        <w:rPr>
          <w:rFonts w:hint="eastAsia" w:ascii="宋体" w:hAnsi="宋体" w:cs="宋体"/>
          <w:kern w:val="0"/>
          <w:sz w:val="24"/>
          <w:szCs w:val="24"/>
          <w:highlight w:val="none"/>
        </w:rPr>
        <w:br w:type="page"/>
      </w:r>
      <w:r>
        <w:rPr>
          <w:rFonts w:hint="eastAsia" w:ascii="Times New Roman" w:hAnsi="Times New Roman" w:eastAsia="宋体" w:cs="Times New Roman"/>
          <w:b/>
          <w:bCs/>
          <w:spacing w:val="0"/>
          <w:sz w:val="28"/>
          <w:szCs w:val="32"/>
          <w:highlight w:val="none"/>
        </w:rPr>
        <w:t>（</w:t>
      </w:r>
      <w:r>
        <w:rPr>
          <w:rFonts w:hint="eastAsia" w:ascii="Times New Roman" w:hAnsi="Times New Roman" w:cs="Times New Roman"/>
          <w:b/>
          <w:bCs/>
          <w:spacing w:val="0"/>
          <w:sz w:val="28"/>
          <w:szCs w:val="32"/>
          <w:highlight w:val="none"/>
          <w:lang w:val="en-US" w:eastAsia="zh-CN"/>
        </w:rPr>
        <w:t>五</w:t>
      </w:r>
      <w:r>
        <w:rPr>
          <w:rFonts w:hint="eastAsia" w:ascii="Times New Roman" w:hAnsi="Times New Roman" w:eastAsia="宋体" w:cs="Times New Roman"/>
          <w:b/>
          <w:bCs/>
          <w:spacing w:val="0"/>
          <w:sz w:val="28"/>
          <w:szCs w:val="32"/>
          <w:highlight w:val="none"/>
        </w:rPr>
        <w:t>）投标人廉洁承诺书</w:t>
      </w:r>
    </w:p>
    <w:p w14:paraId="79E20806">
      <w:pPr>
        <w:pStyle w:val="11"/>
        <w:spacing w:line="327" w:lineRule="auto"/>
      </w:pPr>
    </w:p>
    <w:p w14:paraId="0E50B1E7">
      <w:pPr>
        <w:spacing w:before="0" w:line="500" w:lineRule="exact"/>
        <w:ind w:left="0"/>
        <w:jc w:val="center"/>
        <w:outlineLvl w:val="9"/>
        <w:rPr>
          <w:rFonts w:hint="eastAsia"/>
          <w:b/>
          <w:kern w:val="0"/>
          <w:sz w:val="44"/>
          <w:szCs w:val="44"/>
          <w:highlight w:val="none"/>
        </w:rPr>
      </w:pPr>
      <w:r>
        <w:rPr>
          <w:rFonts w:hint="eastAsia"/>
          <w:b/>
          <w:kern w:val="0"/>
          <w:sz w:val="44"/>
          <w:szCs w:val="44"/>
          <w:highlight w:val="none"/>
        </w:rPr>
        <w:t>投标人廉洁承诺书</w:t>
      </w:r>
    </w:p>
    <w:p w14:paraId="2F3E5381">
      <w:pPr>
        <w:pStyle w:val="11"/>
        <w:spacing w:line="307" w:lineRule="auto"/>
      </w:pPr>
    </w:p>
    <w:p w14:paraId="75B15A13">
      <w:pPr>
        <w:keepNext w:val="0"/>
        <w:keepLines w:val="0"/>
        <w:pageBreakBefore w:val="0"/>
        <w:widowControl w:val="0"/>
        <w:kinsoku/>
        <w:wordWrap/>
        <w:overflowPunct/>
        <w:topLinePunct w:val="0"/>
        <w:autoSpaceDE/>
        <w:autoSpaceDN/>
        <w:bidi w:val="0"/>
        <w:adjustRightInd/>
        <w:snapToGrid/>
        <w:spacing w:before="65" w:line="231" w:lineRule="auto"/>
        <w:ind w:left="0"/>
        <w:textAlignment w:val="auto"/>
        <w:rPr>
          <w:rFonts w:ascii="宋体" w:hAnsi="宋体" w:eastAsia="宋体" w:cs="宋体"/>
          <w:sz w:val="24"/>
          <w:szCs w:val="24"/>
        </w:rPr>
      </w:pPr>
      <w:r>
        <w:rPr>
          <w:rFonts w:ascii="宋体" w:hAnsi="宋体" w:eastAsia="宋体" w:cs="宋体"/>
          <w:spacing w:val="8"/>
          <w:sz w:val="24"/>
          <w:szCs w:val="24"/>
        </w:rPr>
        <w:t>本招标项目招标人及招标监管机构：</w:t>
      </w:r>
    </w:p>
    <w:p w14:paraId="4D1E3588">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both"/>
        <w:textAlignment w:val="auto"/>
        <w:rPr>
          <w:rFonts w:ascii="宋体" w:hAnsi="宋体" w:eastAsia="宋体" w:cs="宋体"/>
          <w:sz w:val="24"/>
          <w:szCs w:val="24"/>
        </w:rPr>
      </w:pPr>
      <w:r>
        <w:rPr>
          <w:rFonts w:ascii="宋体" w:hAnsi="宋体" w:eastAsia="宋体" w:cs="宋体"/>
          <w:spacing w:val="6"/>
          <w:sz w:val="24"/>
          <w:szCs w:val="24"/>
        </w:rPr>
        <w:t>本公司参加了</w:t>
      </w:r>
      <w:r>
        <w:rPr>
          <w:rFonts w:ascii="宋体" w:hAnsi="宋体" w:eastAsia="宋体" w:cs="宋体"/>
          <w:spacing w:val="6"/>
          <w:sz w:val="24"/>
          <w:szCs w:val="24"/>
          <w:u w:val="single" w:color="auto"/>
        </w:rPr>
        <w:t xml:space="preserve">    （项目名称/标段名称）      </w:t>
      </w:r>
      <w:r>
        <w:rPr>
          <w:rFonts w:ascii="宋体" w:hAnsi="宋体" w:eastAsia="宋体" w:cs="宋体"/>
          <w:spacing w:val="-71"/>
          <w:sz w:val="24"/>
          <w:szCs w:val="24"/>
        </w:rPr>
        <w:t xml:space="preserve"> </w:t>
      </w:r>
      <w:r>
        <w:rPr>
          <w:rFonts w:ascii="宋体" w:hAnsi="宋体" w:eastAsia="宋体" w:cs="宋体"/>
          <w:spacing w:val="6"/>
          <w:sz w:val="24"/>
          <w:szCs w:val="24"/>
        </w:rPr>
        <w:t>投标，为确保招标工作的公平、</w:t>
      </w:r>
      <w:r>
        <w:rPr>
          <w:rFonts w:ascii="宋体" w:hAnsi="宋体" w:eastAsia="宋体" w:cs="宋体"/>
          <w:spacing w:val="7"/>
          <w:sz w:val="24"/>
          <w:szCs w:val="24"/>
        </w:rPr>
        <w:t>公正、公开、有序进行，我们保证遵守《中华人民共和国招标投标法》、《中华人民共和国招标投标法实施条例》、《广东省实施&lt;中华人民共和国招标投标法&gt;办法》等法律</w:t>
      </w:r>
      <w:r>
        <w:rPr>
          <w:rFonts w:ascii="宋体" w:hAnsi="宋体" w:eastAsia="宋体" w:cs="宋体"/>
          <w:spacing w:val="8"/>
          <w:sz w:val="24"/>
          <w:szCs w:val="24"/>
        </w:rPr>
        <w:t>法规，特承诺如下事项：</w:t>
      </w:r>
    </w:p>
    <w:p w14:paraId="649452C3">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ascii="宋体" w:hAnsi="宋体" w:eastAsia="宋体" w:cs="宋体"/>
          <w:sz w:val="24"/>
          <w:szCs w:val="24"/>
        </w:rPr>
      </w:pPr>
      <w:r>
        <w:rPr>
          <w:rFonts w:ascii="宋体" w:hAnsi="宋体" w:eastAsia="宋体" w:cs="宋体"/>
          <w:spacing w:val="8"/>
          <w:sz w:val="24"/>
          <w:szCs w:val="24"/>
        </w:rPr>
        <w:t>一、自觉遵守国家有关法律法规及廉洁规定。</w:t>
      </w:r>
    </w:p>
    <w:p w14:paraId="5F0BB2C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4"/>
          <w:szCs w:val="24"/>
        </w:rPr>
      </w:pPr>
      <w:r>
        <w:rPr>
          <w:rFonts w:ascii="宋体" w:hAnsi="宋体" w:eastAsia="宋体" w:cs="宋体"/>
          <w:spacing w:val="7"/>
          <w:sz w:val="24"/>
          <w:szCs w:val="24"/>
        </w:rPr>
        <w:t>二、不与招标单位工作人员串通投标，损害国家利益、企业利益以及他人的合</w:t>
      </w:r>
      <w:r>
        <w:rPr>
          <w:rFonts w:ascii="宋体" w:hAnsi="宋体" w:eastAsia="宋体" w:cs="宋体"/>
          <w:spacing w:val="6"/>
          <w:sz w:val="24"/>
          <w:szCs w:val="24"/>
        </w:rPr>
        <w:t>法利</w:t>
      </w:r>
      <w:r>
        <w:rPr>
          <w:rFonts w:ascii="宋体" w:hAnsi="宋体" w:eastAsia="宋体" w:cs="宋体"/>
          <w:sz w:val="24"/>
          <w:szCs w:val="24"/>
        </w:rPr>
        <w:t>益；</w:t>
      </w:r>
    </w:p>
    <w:p w14:paraId="7CFAF92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4"/>
          <w:szCs w:val="24"/>
        </w:rPr>
      </w:pPr>
      <w:r>
        <w:rPr>
          <w:rFonts w:ascii="宋体" w:hAnsi="宋体" w:eastAsia="宋体" w:cs="宋体"/>
          <w:spacing w:val="7"/>
          <w:sz w:val="24"/>
          <w:szCs w:val="24"/>
        </w:rPr>
        <w:t>三、不与其他单位围标、串标，不出让投标资格，不向招标人或评标委员会成员行</w:t>
      </w:r>
      <w:r>
        <w:rPr>
          <w:rFonts w:ascii="宋体" w:hAnsi="宋体" w:eastAsia="宋体" w:cs="宋体"/>
          <w:spacing w:val="1"/>
          <w:sz w:val="24"/>
          <w:szCs w:val="24"/>
        </w:rPr>
        <w:t>贿。</w:t>
      </w:r>
    </w:p>
    <w:p w14:paraId="5D2288E8">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eastAsia="宋体" w:cs="宋体"/>
          <w:sz w:val="24"/>
          <w:szCs w:val="24"/>
        </w:rPr>
      </w:pPr>
      <w:r>
        <w:rPr>
          <w:rFonts w:ascii="宋体" w:hAnsi="宋体" w:eastAsia="宋体" w:cs="宋体"/>
          <w:spacing w:val="6"/>
          <w:sz w:val="24"/>
          <w:szCs w:val="24"/>
        </w:rPr>
        <w:t>四、不以任何名义向参与招标、评标工作的有关人员提供高消费宴请及娱乐活动和</w:t>
      </w:r>
      <w:r>
        <w:rPr>
          <w:rFonts w:ascii="宋体" w:hAnsi="宋体" w:eastAsia="宋体" w:cs="宋体"/>
          <w:spacing w:val="9"/>
          <w:sz w:val="24"/>
          <w:szCs w:val="24"/>
        </w:rPr>
        <w:t>赠送回扣、红包、礼金、购物卡、有价证券、贵重物品和好处费、感谢费等；</w:t>
      </w:r>
    </w:p>
    <w:p w14:paraId="33796DC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4"/>
          <w:szCs w:val="24"/>
        </w:rPr>
      </w:pPr>
      <w:r>
        <w:rPr>
          <w:rFonts w:ascii="宋体" w:hAnsi="宋体" w:eastAsia="宋体" w:cs="宋体"/>
          <w:spacing w:val="7"/>
          <w:sz w:val="24"/>
          <w:szCs w:val="24"/>
        </w:rPr>
        <w:t>五、不以任何名义为参与招标、评标工作的有关人员装修住房、婚丧嫁娶、</w:t>
      </w:r>
      <w:r>
        <w:rPr>
          <w:rFonts w:ascii="宋体" w:hAnsi="宋体" w:eastAsia="宋体" w:cs="宋体"/>
          <w:spacing w:val="6"/>
          <w:sz w:val="24"/>
          <w:szCs w:val="24"/>
        </w:rPr>
        <w:t>配偶子</w:t>
      </w:r>
      <w:r>
        <w:rPr>
          <w:rFonts w:ascii="宋体" w:hAnsi="宋体" w:eastAsia="宋体" w:cs="宋体"/>
          <w:spacing w:val="8"/>
          <w:sz w:val="24"/>
          <w:szCs w:val="24"/>
        </w:rPr>
        <w:t>女的工作安排以及境内外旅游等提供方便；</w:t>
      </w:r>
    </w:p>
    <w:p w14:paraId="3E811AF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4"/>
          <w:szCs w:val="24"/>
        </w:rPr>
      </w:pPr>
      <w:r>
        <w:rPr>
          <w:rFonts w:ascii="宋体" w:hAnsi="宋体" w:eastAsia="宋体" w:cs="宋体"/>
          <w:spacing w:val="7"/>
          <w:sz w:val="24"/>
          <w:szCs w:val="24"/>
        </w:rPr>
        <w:t>六、不以谋取非正当利益为目的，擅自与参与招标、评标工作的有关人员就业务问</w:t>
      </w:r>
      <w:r>
        <w:rPr>
          <w:rFonts w:ascii="宋体" w:hAnsi="宋体" w:eastAsia="宋体" w:cs="宋体"/>
          <w:sz w:val="24"/>
          <w:szCs w:val="24"/>
        </w:rPr>
        <w:t xml:space="preserve"> </w:t>
      </w:r>
      <w:r>
        <w:rPr>
          <w:rFonts w:ascii="宋体" w:hAnsi="宋体" w:eastAsia="宋体" w:cs="宋体"/>
          <w:spacing w:val="8"/>
          <w:sz w:val="24"/>
          <w:szCs w:val="24"/>
        </w:rPr>
        <w:t>题进行私下商谈或者达成利益默契。</w:t>
      </w:r>
    </w:p>
    <w:p w14:paraId="05E6CEF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ascii="宋体" w:hAnsi="宋体" w:eastAsia="宋体" w:cs="宋体"/>
          <w:sz w:val="24"/>
          <w:szCs w:val="24"/>
        </w:rPr>
      </w:pPr>
      <w:r>
        <w:rPr>
          <w:rFonts w:ascii="宋体" w:hAnsi="宋体" w:eastAsia="宋体" w:cs="宋体"/>
          <w:spacing w:val="7"/>
          <w:sz w:val="24"/>
          <w:szCs w:val="24"/>
        </w:rPr>
        <w:t>本公司违反上述承诺，或本承诺陈述与事实不符，经查实，本公司愿意接受公</w:t>
      </w:r>
      <w:r>
        <w:rPr>
          <w:rFonts w:ascii="宋体" w:hAnsi="宋体" w:eastAsia="宋体" w:cs="宋体"/>
          <w:spacing w:val="6"/>
          <w:sz w:val="24"/>
          <w:szCs w:val="24"/>
        </w:rPr>
        <w:t>开通</w:t>
      </w:r>
      <w:r>
        <w:rPr>
          <w:rFonts w:ascii="宋体" w:hAnsi="宋体" w:eastAsia="宋体" w:cs="宋体"/>
          <w:spacing w:val="9"/>
          <w:sz w:val="24"/>
          <w:szCs w:val="24"/>
        </w:rPr>
        <w:t>报，被招标监管部门信用评价记录不良行为并扣分，并承担由此带来的法律后果。</w:t>
      </w:r>
    </w:p>
    <w:p w14:paraId="1927B534">
      <w:pPr>
        <w:keepNext w:val="0"/>
        <w:keepLines w:val="0"/>
        <w:pageBreakBefore w:val="0"/>
        <w:widowControl w:val="0"/>
        <w:kinsoku/>
        <w:wordWrap/>
        <w:overflowPunct/>
        <w:topLinePunct w:val="0"/>
        <w:autoSpaceDE/>
        <w:autoSpaceDN/>
        <w:bidi w:val="0"/>
        <w:adjustRightInd/>
        <w:snapToGrid/>
        <w:spacing w:line="360" w:lineRule="auto"/>
        <w:ind w:left="3181"/>
        <w:textAlignment w:val="auto"/>
        <w:rPr>
          <w:rFonts w:ascii="宋体" w:hAnsi="宋体" w:eastAsia="宋体" w:cs="宋体"/>
          <w:sz w:val="24"/>
          <w:szCs w:val="24"/>
        </w:rPr>
      </w:pPr>
      <w:r>
        <w:rPr>
          <w:rFonts w:ascii="宋体" w:hAnsi="宋体" w:eastAsia="宋体" w:cs="宋体"/>
          <w:spacing w:val="11"/>
          <w:sz w:val="24"/>
          <w:szCs w:val="24"/>
        </w:rPr>
        <w:t>承诺企业</w:t>
      </w:r>
      <w:r>
        <w:rPr>
          <w:rFonts w:ascii="宋体" w:hAnsi="宋体" w:eastAsia="宋体" w:cs="宋体"/>
          <w:spacing w:val="-5"/>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5"/>
          <w:sz w:val="24"/>
          <w:szCs w:val="24"/>
        </w:rPr>
        <w:t>（</w:t>
      </w:r>
      <w:r>
        <w:rPr>
          <w:rFonts w:ascii="宋体" w:hAnsi="宋体" w:eastAsia="宋体" w:cs="宋体"/>
          <w:spacing w:val="11"/>
          <w:sz w:val="24"/>
          <w:szCs w:val="24"/>
        </w:rPr>
        <w:t>盖单位章）</w:t>
      </w:r>
    </w:p>
    <w:p w14:paraId="4DB3DD83">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rPr>
      </w:pP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法定代表人</w:t>
      </w:r>
      <w:r>
        <w:rPr>
          <w:rFonts w:ascii="宋体" w:hAnsi="宋体" w:eastAsia="宋体" w:cs="宋体"/>
          <w:spacing w:val="-6"/>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6"/>
          <w:sz w:val="24"/>
          <w:szCs w:val="24"/>
        </w:rPr>
        <w:t>（</w:t>
      </w:r>
      <w:r>
        <w:rPr>
          <w:rFonts w:ascii="宋体" w:hAnsi="宋体" w:eastAsia="宋体" w:cs="宋体"/>
          <w:spacing w:val="10"/>
          <w:sz w:val="24"/>
          <w:szCs w:val="24"/>
        </w:rPr>
        <w:t>签字或盖章）</w:t>
      </w:r>
    </w:p>
    <w:p w14:paraId="5B3DB2C0">
      <w:pPr>
        <w:pStyle w:val="11"/>
        <w:spacing w:line="247" w:lineRule="auto"/>
        <w:rPr>
          <w:sz w:val="24"/>
        </w:rPr>
      </w:pPr>
    </w:p>
    <w:p w14:paraId="219EBBE5">
      <w:pPr>
        <w:pStyle w:val="4"/>
        <w:spacing w:before="120" w:after="120"/>
        <w:jc w:val="left"/>
        <w:rPr>
          <w:rFonts w:hint="eastAsia" w:ascii="宋体" w:hAnsi="宋体" w:cs="宋体"/>
          <w:color w:val="auto"/>
          <w:sz w:val="28"/>
          <w:szCs w:val="28"/>
          <w:highlight w:val="none"/>
        </w:rPr>
      </w:pPr>
      <w:r>
        <w:rPr>
          <w:rFonts w:hint="eastAsia"/>
          <w:b/>
          <w:bCs/>
          <w:spacing w:val="-2"/>
          <w:sz w:val="29"/>
          <w:szCs w:val="29"/>
        </w:rPr>
        <w:br w:type="page"/>
      </w:r>
      <w:r>
        <w:rPr>
          <w:rFonts w:hint="eastAsia"/>
          <w:b/>
          <w:bCs/>
          <w:spacing w:val="-2"/>
          <w:sz w:val="29"/>
          <w:szCs w:val="29"/>
        </w:rPr>
        <w:t>（</w:t>
      </w:r>
      <w:r>
        <w:rPr>
          <w:rFonts w:hint="eastAsia"/>
          <w:b/>
          <w:bCs/>
          <w:spacing w:val="-2"/>
          <w:sz w:val="29"/>
          <w:szCs w:val="29"/>
          <w:lang w:val="en-US" w:eastAsia="zh-CN"/>
        </w:rPr>
        <w:t>六</w:t>
      </w:r>
      <w:r>
        <w:rPr>
          <w:rFonts w:hint="eastAsia"/>
          <w:b/>
          <w:bCs/>
          <w:spacing w:val="-2"/>
          <w:sz w:val="29"/>
          <w:szCs w:val="29"/>
        </w:rPr>
        <w:t>）</w:t>
      </w:r>
      <w:r>
        <w:rPr>
          <w:rFonts w:hint="eastAsia" w:ascii="宋体" w:hAnsi="宋体" w:cs="宋体"/>
          <w:color w:val="auto"/>
          <w:sz w:val="28"/>
          <w:szCs w:val="28"/>
          <w:highlight w:val="none"/>
        </w:rPr>
        <w:t>中小企业声明函（如有）</w:t>
      </w:r>
    </w:p>
    <w:p w14:paraId="2BD6D4DC">
      <w:pPr>
        <w:rPr>
          <w:rFonts w:hint="eastAsia" w:ascii="宋体" w:hAnsi="宋体" w:cs="宋体"/>
          <w:color w:val="auto"/>
          <w:highlight w:val="none"/>
        </w:rPr>
      </w:pPr>
      <w:r>
        <w:rPr>
          <w:rFonts w:hint="eastAsia" w:ascii="宋体" w:hAnsi="宋体" w:cs="宋体"/>
          <w:b/>
          <w:color w:val="auto"/>
          <w:highlight w:val="none"/>
        </w:rPr>
        <w:t>（以下格式文件由投标人根据需要选用）</w:t>
      </w:r>
    </w:p>
    <w:p w14:paraId="6EC8BE52">
      <w:pPr>
        <w:spacing w:line="520" w:lineRule="exact"/>
        <w:ind w:firstLine="482"/>
        <w:jc w:val="center"/>
        <w:rPr>
          <w:rFonts w:hint="eastAsia" w:ascii="宋体" w:hAnsi="宋体" w:cs="宋体"/>
          <w:b/>
          <w:color w:val="auto"/>
          <w:kern w:val="44"/>
          <w:highlight w:val="none"/>
          <w:lang w:bidi="ar"/>
        </w:rPr>
      </w:pPr>
      <w:r>
        <w:rPr>
          <w:rFonts w:hint="eastAsia" w:ascii="宋体" w:hAnsi="宋体" w:cs="宋体"/>
          <w:b/>
          <w:color w:val="auto"/>
          <w:kern w:val="44"/>
          <w:sz w:val="28"/>
          <w:szCs w:val="28"/>
          <w:highlight w:val="none"/>
          <w:lang w:bidi="ar"/>
        </w:rPr>
        <w:t>中小企业声明函（如有）</w:t>
      </w:r>
    </w:p>
    <w:p w14:paraId="0515F251">
      <w:pPr>
        <w:spacing w:line="520" w:lineRule="exact"/>
        <w:ind w:firstLine="480"/>
        <w:rPr>
          <w:rFonts w:hint="eastAsia" w:ascii="宋体" w:hAnsi="宋体" w:cs="宋体"/>
          <w:color w:val="auto"/>
          <w:sz w:val="24"/>
          <w:highlight w:val="none"/>
          <w:u w:val="single"/>
          <w:lang w:bidi="ar"/>
        </w:rPr>
      </w:pPr>
      <w:r>
        <w:rPr>
          <w:rFonts w:hint="eastAsia" w:ascii="宋体" w:hAnsi="宋体" w:cs="宋体"/>
          <w:color w:val="auto"/>
          <w:sz w:val="24"/>
          <w:highlight w:val="none"/>
          <w:lang w:bidi="ar"/>
        </w:rPr>
        <w:t xml:space="preserve"> </w:t>
      </w:r>
      <w:r>
        <w:rPr>
          <w:rFonts w:hint="eastAsia" w:ascii="宋体" w:hAnsi="宋体" w:cs="宋体"/>
          <w:color w:val="auto"/>
          <w:sz w:val="24"/>
          <w:highlight w:val="none"/>
          <w:u w:val="single"/>
          <w:lang w:bidi="ar"/>
        </w:rPr>
        <w:t>致：</w:t>
      </w:r>
      <w:r>
        <w:rPr>
          <w:rFonts w:hint="eastAsia" w:ascii="宋体" w:hAnsi="宋体" w:cs="宋体"/>
          <w:color w:val="auto"/>
          <w:sz w:val="24"/>
          <w:highlight w:val="none"/>
          <w:u w:val="single"/>
          <w:lang w:bidi="ar"/>
        </w:rPr>
        <w:tab/>
      </w:r>
      <w:r>
        <w:rPr>
          <w:rFonts w:hint="eastAsia" w:ascii="宋体" w:hAnsi="宋体" w:cs="宋体"/>
          <w:color w:val="auto"/>
          <w:sz w:val="24"/>
          <w:highlight w:val="none"/>
          <w:u w:val="single"/>
          <w:lang w:bidi="ar"/>
        </w:rPr>
        <w:t>（招标人）</w:t>
      </w:r>
      <w:r>
        <w:rPr>
          <w:rFonts w:hint="eastAsia" w:ascii="宋体" w:hAnsi="宋体" w:cs="宋体"/>
          <w:color w:val="auto"/>
          <w:sz w:val="24"/>
          <w:highlight w:val="none"/>
          <w:u w:val="single"/>
          <w:lang w:bidi="ar"/>
        </w:rPr>
        <w:tab/>
      </w:r>
      <w:r>
        <w:rPr>
          <w:rFonts w:hint="eastAsia" w:ascii="宋体" w:hAnsi="宋体" w:cs="宋体"/>
          <w:color w:val="auto"/>
          <w:sz w:val="24"/>
          <w:highlight w:val="none"/>
          <w:u w:val="single"/>
          <w:lang w:bidi="ar"/>
        </w:rPr>
        <w:t xml:space="preserve"> </w:t>
      </w:r>
    </w:p>
    <w:p w14:paraId="7BC819B4">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u w:val="single"/>
          <w:lang w:bidi="ar"/>
        </w:rPr>
        <w:t>本公司郑重声明，</w:t>
      </w:r>
      <w:r>
        <w:rPr>
          <w:rFonts w:hint="eastAsia" w:ascii="宋体" w:hAnsi="宋体" w:cs="宋体"/>
          <w:color w:val="auto"/>
          <w:sz w:val="24"/>
          <w:highlight w:val="none"/>
          <w:lang w:bidi="ar"/>
        </w:rPr>
        <w:t>根据《关于印发中小企业划型标准规定的通知》（工信部联企业〔2011〕300号）的规定，</w:t>
      </w:r>
      <w:r>
        <w:rPr>
          <w:rFonts w:hint="eastAsia" w:ascii="宋体" w:hAnsi="宋体" w:cs="宋体"/>
          <w:color w:val="auto"/>
          <w:sz w:val="24"/>
          <w:highlight w:val="none"/>
          <w:u w:val="single"/>
          <w:lang w:bidi="ar"/>
        </w:rPr>
        <w:t xml:space="preserve">   （投标人名称）</w:t>
      </w:r>
      <w:r>
        <w:rPr>
          <w:rFonts w:hint="eastAsia" w:ascii="宋体" w:hAnsi="宋体" w:cs="宋体"/>
          <w:color w:val="auto"/>
          <w:sz w:val="24"/>
          <w:highlight w:val="none"/>
          <w:lang w:bidi="ar"/>
        </w:rPr>
        <w:t>为符合政策要求的中小企业。</w:t>
      </w:r>
    </w:p>
    <w:p w14:paraId="53FF3FA0">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lang w:bidi="ar"/>
        </w:rPr>
        <w:t>具体情况如下：</w:t>
      </w:r>
    </w:p>
    <w:p w14:paraId="37933DB4">
      <w:pPr>
        <w:tabs>
          <w:tab w:val="left" w:pos="7513"/>
        </w:tabs>
        <w:spacing w:line="520" w:lineRule="exact"/>
        <w:ind w:firstLine="424" w:firstLineChars="177"/>
        <w:rPr>
          <w:rFonts w:hint="eastAsia" w:ascii="宋体" w:hAnsi="宋体" w:cs="宋体"/>
          <w:color w:val="auto"/>
          <w:sz w:val="24"/>
          <w:highlight w:val="none"/>
        </w:rPr>
      </w:pP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lang w:bidi="ar"/>
        </w:rPr>
        <w:t>，属于</w:t>
      </w:r>
      <w:r>
        <w:rPr>
          <w:rFonts w:hint="eastAsia" w:ascii="宋体" w:hAnsi="宋体" w:cs="宋体"/>
          <w:color w:val="auto"/>
          <w:sz w:val="24"/>
          <w:highlight w:val="none"/>
          <w:u w:val="none"/>
          <w:lang w:bidi="ar"/>
        </w:rPr>
        <w:t>中小企业划型标准规定的</w:t>
      </w:r>
      <w:r>
        <w:rPr>
          <w:rFonts w:hint="eastAsia" w:ascii="宋体" w:hAnsi="宋体" w:cs="宋体"/>
          <w:color w:val="auto"/>
          <w:sz w:val="24"/>
          <w:highlight w:val="none"/>
          <w:u w:val="single"/>
          <w:lang w:bidi="ar"/>
        </w:rPr>
        <w:t>软件和信息技术服务</w:t>
      </w:r>
      <w:r>
        <w:rPr>
          <w:rFonts w:hint="eastAsia" w:ascii="宋体" w:hAnsi="宋体" w:cs="宋体"/>
          <w:color w:val="auto"/>
          <w:sz w:val="24"/>
          <w:highlight w:val="none"/>
          <w:lang w:bidi="ar"/>
        </w:rPr>
        <w:t>行业；承接企业为</w:t>
      </w:r>
      <w:r>
        <w:rPr>
          <w:rFonts w:hint="eastAsia" w:ascii="宋体" w:hAnsi="宋体" w:cs="宋体"/>
          <w:color w:val="auto"/>
          <w:sz w:val="24"/>
          <w:highlight w:val="none"/>
          <w:u w:val="single"/>
          <w:lang w:bidi="ar"/>
        </w:rPr>
        <w:t xml:space="preserve">  （企业名称）  </w:t>
      </w:r>
      <w:r>
        <w:rPr>
          <w:rFonts w:hint="eastAsia" w:ascii="宋体" w:hAnsi="宋体" w:cs="宋体"/>
          <w:color w:val="auto"/>
          <w:sz w:val="24"/>
          <w:highlight w:val="none"/>
          <w:lang w:bidi="ar"/>
        </w:rPr>
        <w:t>，从业人员</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人，营业收入为</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万元，资产总额为__________________万元，属于</w:t>
      </w:r>
      <w:r>
        <w:rPr>
          <w:rFonts w:hint="eastAsia" w:ascii="宋体" w:hAnsi="宋体" w:cs="宋体"/>
          <w:color w:val="auto"/>
          <w:sz w:val="24"/>
          <w:highlight w:val="none"/>
          <w:u w:val="single"/>
          <w:lang w:bidi="ar"/>
        </w:rPr>
        <w:t>（中型企业、小型企业、微型企业）</w:t>
      </w:r>
      <w:r>
        <w:rPr>
          <w:rFonts w:hint="eastAsia" w:ascii="宋体" w:hAnsi="宋体" w:cs="宋体"/>
          <w:color w:val="auto"/>
          <w:sz w:val="24"/>
          <w:highlight w:val="none"/>
          <w:lang w:bidi="ar"/>
        </w:rPr>
        <w:t>；</w:t>
      </w:r>
    </w:p>
    <w:p w14:paraId="45A7430A">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lang w:bidi="ar"/>
        </w:rPr>
        <w:t>以上企业，不属于大企业的分支机构，不存在控股股东为大企业的情形，也不存在与大企业的负责人为同一人的情形。</w:t>
      </w:r>
    </w:p>
    <w:p w14:paraId="67219F19">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lang w:bidi="ar"/>
        </w:rPr>
        <w:t>本企业对上述声明内容的真实性负责。如有虚假，将依法承担相应责任。</w:t>
      </w:r>
    </w:p>
    <w:p w14:paraId="293C5620">
      <w:pPr>
        <w:spacing w:line="520" w:lineRule="exact"/>
        <w:rPr>
          <w:rFonts w:hint="eastAsia" w:ascii="宋体" w:hAnsi="宋体" w:cs="宋体"/>
          <w:color w:val="auto"/>
          <w:sz w:val="24"/>
          <w:highlight w:val="none"/>
        </w:rPr>
      </w:pPr>
    </w:p>
    <w:p w14:paraId="49326205">
      <w:pPr>
        <w:spacing w:line="520" w:lineRule="exact"/>
        <w:ind w:firstLine="4200"/>
        <w:rPr>
          <w:rFonts w:hint="eastAsia" w:ascii="宋体" w:hAnsi="宋体" w:cs="宋体"/>
          <w:color w:val="auto"/>
          <w:sz w:val="24"/>
          <w:highlight w:val="none"/>
          <w:u w:val="single"/>
          <w:lang w:bidi="ar"/>
        </w:rPr>
      </w:pPr>
      <w:r>
        <w:rPr>
          <w:rFonts w:hint="eastAsia" w:ascii="宋体" w:hAnsi="宋体" w:cs="宋体"/>
          <w:color w:val="auto"/>
          <w:sz w:val="24"/>
          <w:highlight w:val="none"/>
          <w:lang w:bidi="ar"/>
        </w:rPr>
        <w:t>企业名称（盖章）：</w:t>
      </w:r>
      <w:r>
        <w:rPr>
          <w:rFonts w:hint="eastAsia" w:ascii="宋体" w:hAnsi="宋体" w:cs="宋体"/>
          <w:color w:val="auto"/>
          <w:sz w:val="24"/>
          <w:highlight w:val="none"/>
          <w:u w:val="single"/>
          <w:lang w:bidi="ar"/>
        </w:rPr>
        <w:t xml:space="preserve">       </w:t>
      </w:r>
    </w:p>
    <w:p w14:paraId="648C5E88">
      <w:pPr>
        <w:spacing w:line="520" w:lineRule="exact"/>
        <w:ind w:firstLine="4200"/>
        <w:rPr>
          <w:rFonts w:hint="eastAsia" w:ascii="宋体" w:hAnsi="宋体" w:cs="宋体"/>
          <w:color w:val="auto"/>
          <w:sz w:val="24"/>
          <w:highlight w:val="none"/>
        </w:rPr>
      </w:pPr>
      <w:r>
        <w:rPr>
          <w:rFonts w:hint="eastAsia" w:ascii="宋体" w:hAnsi="宋体" w:cs="宋体"/>
          <w:color w:val="auto"/>
          <w:sz w:val="24"/>
          <w:highlight w:val="none"/>
          <w:lang w:bidi="ar"/>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595AC25">
      <w:pPr>
        <w:pStyle w:val="27"/>
        <w:ind w:firstLine="210"/>
        <w:rPr>
          <w:rFonts w:hint="eastAsia" w:ascii="宋体" w:hAnsi="宋体" w:cs="宋体"/>
          <w:color w:val="auto"/>
          <w:highlight w:val="none"/>
        </w:rPr>
      </w:pPr>
    </w:p>
    <w:p w14:paraId="5BA9437C">
      <w:pPr>
        <w:ind w:firstLine="480"/>
        <w:rPr>
          <w:rFonts w:hint="eastAsia" w:ascii="宋体" w:hAnsi="宋体" w:cs="宋体"/>
          <w:color w:val="auto"/>
          <w:szCs w:val="21"/>
          <w:highlight w:val="none"/>
          <w:lang w:bidi="ar"/>
        </w:rPr>
      </w:pPr>
    </w:p>
    <w:p w14:paraId="5B1D93E7">
      <w:pPr>
        <w:ind w:firstLine="480"/>
        <w:rPr>
          <w:rFonts w:hint="eastAsia" w:ascii="宋体" w:hAnsi="宋体" w:cs="宋体"/>
          <w:color w:val="auto"/>
          <w:szCs w:val="21"/>
          <w:highlight w:val="none"/>
          <w:lang w:bidi="ar"/>
        </w:rPr>
      </w:pPr>
    </w:p>
    <w:p w14:paraId="73C21EA2">
      <w:pPr>
        <w:spacing w:line="360" w:lineRule="auto"/>
        <w:ind w:firstLine="0"/>
        <w:rPr>
          <w:rFonts w:hint="eastAsia" w:ascii="宋体" w:hAnsi="宋体" w:cs="宋体"/>
          <w:color w:val="auto"/>
          <w:szCs w:val="21"/>
          <w:highlight w:val="none"/>
        </w:rPr>
      </w:pPr>
      <w:r>
        <w:rPr>
          <w:rFonts w:hint="eastAsia" w:ascii="宋体" w:hAnsi="宋体" w:cs="宋体"/>
          <w:color w:val="auto"/>
          <w:szCs w:val="21"/>
          <w:highlight w:val="none"/>
          <w:lang w:bidi="ar"/>
        </w:rPr>
        <w:t>备注：1、从业人员、营业收入、资产总额填报上一年度数据，无上一年度数据的新成立企业可不填报。</w:t>
      </w:r>
    </w:p>
    <w:p w14:paraId="6561BBAA">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bidi="ar"/>
        </w:rPr>
        <w:t>《中小企业声明函》中由参加招投标活动的投标人出具。</w:t>
      </w:r>
    </w:p>
    <w:p w14:paraId="500F6EED">
      <w:pPr>
        <w:ind w:firstLine="420" w:firstLineChars="200"/>
        <w:rPr>
          <w:rFonts w:hint="eastAsia" w:ascii="宋体" w:hAnsi="宋体" w:cs="宋体"/>
          <w:color w:val="auto"/>
          <w:spacing w:val="0"/>
          <w:kern w:val="2"/>
          <w:sz w:val="21"/>
          <w:szCs w:val="21"/>
          <w:highlight w:val="none"/>
          <w:lang w:bidi="ar"/>
        </w:rPr>
      </w:pPr>
      <w:r>
        <w:rPr>
          <w:rFonts w:hint="eastAsia" w:ascii="宋体" w:hAnsi="宋体" w:eastAsia="宋体" w:cs="宋体"/>
          <w:snapToGrid/>
          <w:color w:val="auto"/>
          <w:spacing w:val="0"/>
          <w:kern w:val="2"/>
          <w:sz w:val="21"/>
          <w:szCs w:val="21"/>
          <w:highlight w:val="none"/>
          <w:lang w:val="en-US" w:eastAsia="zh-CN" w:bidi="ar"/>
        </w:rPr>
        <w:t>3、</w:t>
      </w:r>
      <w:r>
        <w:rPr>
          <w:rFonts w:hint="eastAsia" w:ascii="宋体" w:hAnsi="宋体" w:cs="宋体"/>
          <w:color w:val="auto"/>
          <w:sz w:val="21"/>
          <w:szCs w:val="21"/>
          <w:highlight w:val="none"/>
          <w:lang w:bidi="ar"/>
        </w:rPr>
        <w:t>《中小企业声明函》须按照本函格式填写，否则评标委员会有权视其为非中小企业，不享受投标报价评审优惠政策。</w:t>
      </w:r>
    </w:p>
    <w:p w14:paraId="3A89B48D">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4.小微企业划分标准按照《工业和信息化部 国家统计局国家发展和改革委员会财政部关于印发中小企业划型标准规定的通知》(工信部联企业(2011)300号)执行。本招标项目属于软件和信息技术服务行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D2D64BE">
      <w:pPr>
        <w:pStyle w:val="4"/>
        <w:spacing w:before="120" w:after="120"/>
        <w:jc w:val="left"/>
        <w:rPr>
          <w:rFonts w:hint="eastAsia" w:ascii="Times New Roman" w:hAnsi="Times New Roman" w:cs="Times New Roman"/>
          <w:b/>
          <w:bCs/>
          <w:spacing w:val="-2"/>
          <w:sz w:val="29"/>
          <w:szCs w:val="29"/>
          <w:lang w:eastAsia="zh-CN"/>
        </w:rPr>
      </w:pPr>
      <w:r>
        <w:rPr>
          <w:rFonts w:ascii="宋体" w:hAnsi="宋体" w:cs="宋体"/>
          <w:color w:val="auto"/>
          <w:sz w:val="24"/>
          <w:szCs w:val="24"/>
          <w:highlight w:val="none"/>
        </w:rPr>
        <w:br w:type="page"/>
      </w:r>
      <w:r>
        <w:rPr>
          <w:rFonts w:hint="eastAsia"/>
          <w:b/>
          <w:bCs/>
          <w:spacing w:val="-2"/>
          <w:sz w:val="29"/>
          <w:szCs w:val="29"/>
        </w:rPr>
        <w:t>（</w:t>
      </w:r>
      <w:r>
        <w:rPr>
          <w:rFonts w:hint="eastAsia"/>
          <w:b/>
          <w:bCs/>
          <w:spacing w:val="-2"/>
          <w:sz w:val="29"/>
          <w:szCs w:val="29"/>
          <w:lang w:val="en-US" w:eastAsia="zh-CN"/>
        </w:rPr>
        <w:t>七</w:t>
      </w:r>
      <w:r>
        <w:rPr>
          <w:rFonts w:hint="eastAsia"/>
          <w:b/>
          <w:bCs/>
          <w:spacing w:val="-2"/>
          <w:sz w:val="29"/>
          <w:szCs w:val="29"/>
        </w:rPr>
        <w:t>）</w:t>
      </w:r>
      <w:r>
        <w:rPr>
          <w:rFonts w:hint="eastAsia" w:ascii="Times New Roman" w:hAnsi="Times New Roman" w:cs="Times New Roman"/>
          <w:b/>
          <w:bCs/>
          <w:spacing w:val="-2"/>
          <w:kern w:val="2"/>
          <w:sz w:val="29"/>
          <w:szCs w:val="29"/>
          <w:lang w:eastAsia="zh-CN"/>
        </w:rPr>
        <w:t>监狱企业证明文件（如有）</w:t>
      </w:r>
    </w:p>
    <w:p w14:paraId="711228CA">
      <w:pPr>
        <w:pStyle w:val="78"/>
        <w:ind w:firstLine="480"/>
        <w:rPr>
          <w:rFonts w:ascii="宋体" w:hAnsi="宋体" w:cs="宋体"/>
          <w:bCs/>
          <w:color w:val="auto"/>
          <w:highlight w:val="none"/>
          <w:lang w:eastAsia="zh-CN"/>
        </w:rPr>
      </w:pPr>
    </w:p>
    <w:p w14:paraId="033F667E">
      <w:pPr>
        <w:pStyle w:val="78"/>
        <w:ind w:firstLine="480"/>
        <w:rPr>
          <w:rFonts w:ascii="宋体" w:hAnsi="宋体" w:cs="宋体"/>
          <w:bCs/>
          <w:color w:val="auto"/>
          <w:highlight w:val="none"/>
          <w:lang w:eastAsia="zh-CN"/>
        </w:rPr>
      </w:pPr>
    </w:p>
    <w:p w14:paraId="2B09A94F">
      <w:pPr>
        <w:pStyle w:val="78"/>
        <w:ind w:firstLine="480"/>
        <w:rPr>
          <w:rFonts w:ascii="宋体" w:hAnsi="宋体" w:cs="宋体"/>
          <w:bCs/>
          <w:color w:val="auto"/>
          <w:highlight w:val="none"/>
          <w:lang w:eastAsia="zh-CN"/>
        </w:rPr>
      </w:pPr>
    </w:p>
    <w:p w14:paraId="5009A4D8">
      <w:pPr>
        <w:pStyle w:val="78"/>
        <w:ind w:firstLine="480"/>
        <w:rPr>
          <w:rFonts w:ascii="宋体" w:hAnsi="宋体" w:cs="宋体"/>
          <w:bCs/>
          <w:color w:val="auto"/>
          <w:highlight w:val="none"/>
          <w:lang w:eastAsia="zh-CN"/>
        </w:rPr>
      </w:pPr>
    </w:p>
    <w:p w14:paraId="3D838432">
      <w:pPr>
        <w:pStyle w:val="78"/>
        <w:ind w:firstLine="480"/>
        <w:rPr>
          <w:rFonts w:ascii="宋体" w:hAnsi="宋体" w:cs="宋体"/>
          <w:bCs/>
          <w:color w:val="auto"/>
          <w:highlight w:val="none"/>
          <w:lang w:eastAsia="zh-CN"/>
        </w:rPr>
      </w:pPr>
    </w:p>
    <w:p w14:paraId="23EC37D4">
      <w:pPr>
        <w:pStyle w:val="78"/>
        <w:ind w:firstLine="480"/>
        <w:rPr>
          <w:rFonts w:ascii="宋体" w:hAnsi="宋体" w:cs="宋体"/>
          <w:bCs/>
          <w:color w:val="auto"/>
          <w:highlight w:val="none"/>
          <w:lang w:eastAsia="zh-CN"/>
        </w:rPr>
      </w:pPr>
    </w:p>
    <w:p w14:paraId="2AAACC3C">
      <w:pPr>
        <w:pStyle w:val="78"/>
        <w:ind w:firstLine="480"/>
        <w:rPr>
          <w:rFonts w:ascii="宋体" w:hAnsi="宋体" w:cs="宋体"/>
          <w:bCs/>
          <w:color w:val="auto"/>
          <w:highlight w:val="none"/>
          <w:lang w:eastAsia="zh-CN"/>
        </w:rPr>
      </w:pPr>
    </w:p>
    <w:p w14:paraId="3C46E8A3">
      <w:pPr>
        <w:pStyle w:val="78"/>
        <w:ind w:firstLine="480"/>
        <w:rPr>
          <w:rFonts w:ascii="宋体" w:hAnsi="宋体" w:cs="宋体"/>
          <w:bCs/>
          <w:color w:val="auto"/>
          <w:highlight w:val="none"/>
          <w:lang w:eastAsia="zh-CN"/>
        </w:rPr>
      </w:pPr>
    </w:p>
    <w:p w14:paraId="55465917">
      <w:pPr>
        <w:pStyle w:val="78"/>
        <w:ind w:firstLine="480"/>
        <w:rPr>
          <w:rFonts w:ascii="宋体" w:hAnsi="宋体" w:cs="宋体"/>
          <w:bCs/>
          <w:color w:val="auto"/>
          <w:highlight w:val="none"/>
          <w:lang w:eastAsia="zh-CN"/>
        </w:rPr>
      </w:pPr>
    </w:p>
    <w:p w14:paraId="00B2F97F">
      <w:pPr>
        <w:pStyle w:val="78"/>
        <w:ind w:firstLine="480"/>
        <w:rPr>
          <w:rFonts w:ascii="宋体" w:hAnsi="宋体" w:cs="宋体"/>
          <w:bCs/>
          <w:color w:val="auto"/>
          <w:highlight w:val="none"/>
          <w:lang w:eastAsia="zh-CN"/>
        </w:rPr>
      </w:pPr>
    </w:p>
    <w:p w14:paraId="7E7825DE">
      <w:pPr>
        <w:pStyle w:val="78"/>
        <w:ind w:firstLine="480"/>
        <w:rPr>
          <w:rFonts w:ascii="宋体" w:hAnsi="宋体" w:cs="宋体"/>
          <w:bCs/>
          <w:color w:val="auto"/>
          <w:highlight w:val="none"/>
          <w:lang w:eastAsia="zh-CN"/>
        </w:rPr>
      </w:pPr>
    </w:p>
    <w:p w14:paraId="528F8E84">
      <w:pPr>
        <w:pStyle w:val="78"/>
        <w:ind w:firstLine="480"/>
        <w:rPr>
          <w:rFonts w:ascii="宋体" w:hAnsi="宋体" w:cs="宋体"/>
          <w:bCs/>
          <w:color w:val="auto"/>
          <w:highlight w:val="none"/>
          <w:lang w:eastAsia="zh-CN"/>
        </w:rPr>
      </w:pPr>
    </w:p>
    <w:p w14:paraId="2E335267">
      <w:pPr>
        <w:pStyle w:val="78"/>
        <w:ind w:firstLine="480"/>
        <w:rPr>
          <w:rFonts w:ascii="宋体" w:hAnsi="宋体" w:cs="宋体"/>
          <w:bCs/>
          <w:color w:val="auto"/>
          <w:highlight w:val="none"/>
          <w:lang w:eastAsia="zh-CN"/>
        </w:rPr>
      </w:pPr>
    </w:p>
    <w:p w14:paraId="15FFADD2">
      <w:pPr>
        <w:pStyle w:val="78"/>
        <w:ind w:firstLine="480"/>
        <w:rPr>
          <w:rFonts w:ascii="宋体" w:hAnsi="宋体" w:cs="宋体"/>
          <w:bCs/>
          <w:color w:val="auto"/>
          <w:highlight w:val="none"/>
          <w:lang w:eastAsia="zh-CN"/>
        </w:rPr>
      </w:pPr>
    </w:p>
    <w:p w14:paraId="50013B9D">
      <w:pPr>
        <w:pStyle w:val="78"/>
        <w:ind w:firstLine="480"/>
        <w:rPr>
          <w:rFonts w:ascii="宋体" w:hAnsi="宋体" w:cs="宋体"/>
          <w:bCs/>
          <w:color w:val="auto"/>
          <w:highlight w:val="none"/>
          <w:lang w:eastAsia="zh-CN"/>
        </w:rPr>
      </w:pPr>
    </w:p>
    <w:p w14:paraId="5652F7E6">
      <w:pPr>
        <w:pStyle w:val="78"/>
        <w:ind w:firstLine="480"/>
        <w:rPr>
          <w:rFonts w:ascii="宋体" w:hAnsi="宋体" w:cs="宋体"/>
          <w:bCs/>
          <w:color w:val="auto"/>
          <w:highlight w:val="none"/>
          <w:lang w:eastAsia="zh-CN"/>
        </w:rPr>
      </w:pPr>
    </w:p>
    <w:p w14:paraId="3C9C0598">
      <w:pPr>
        <w:pStyle w:val="78"/>
        <w:ind w:firstLine="480"/>
        <w:rPr>
          <w:rFonts w:ascii="宋体" w:hAnsi="宋体" w:cs="宋体"/>
          <w:bCs/>
          <w:color w:val="auto"/>
          <w:highlight w:val="none"/>
          <w:lang w:eastAsia="zh-CN"/>
        </w:rPr>
      </w:pPr>
    </w:p>
    <w:p w14:paraId="30C2033F">
      <w:pPr>
        <w:pStyle w:val="78"/>
        <w:ind w:firstLine="480"/>
        <w:rPr>
          <w:rFonts w:ascii="宋体" w:hAnsi="宋体" w:cs="宋体"/>
          <w:bCs/>
          <w:color w:val="auto"/>
          <w:highlight w:val="none"/>
          <w:lang w:eastAsia="zh-CN"/>
        </w:rPr>
      </w:pPr>
    </w:p>
    <w:p w14:paraId="166D3A68">
      <w:pPr>
        <w:pStyle w:val="78"/>
        <w:ind w:firstLine="480"/>
        <w:rPr>
          <w:rFonts w:ascii="宋体" w:hAnsi="宋体" w:cs="宋体"/>
          <w:bCs/>
          <w:color w:val="auto"/>
          <w:highlight w:val="none"/>
          <w:lang w:eastAsia="zh-CN"/>
        </w:rPr>
      </w:pPr>
    </w:p>
    <w:p w14:paraId="73CF5E63">
      <w:pPr>
        <w:pStyle w:val="78"/>
        <w:ind w:firstLine="480"/>
        <w:rPr>
          <w:rFonts w:ascii="宋体" w:hAnsi="宋体" w:cs="宋体"/>
          <w:bCs/>
          <w:color w:val="auto"/>
          <w:highlight w:val="none"/>
          <w:lang w:eastAsia="zh-CN"/>
        </w:rPr>
      </w:pPr>
    </w:p>
    <w:p w14:paraId="7AE46AFF">
      <w:pPr>
        <w:pStyle w:val="78"/>
        <w:ind w:firstLine="480"/>
        <w:rPr>
          <w:rFonts w:ascii="宋体" w:hAnsi="宋体" w:cs="宋体"/>
          <w:bCs/>
          <w:color w:val="auto"/>
          <w:highlight w:val="none"/>
          <w:lang w:eastAsia="zh-CN"/>
        </w:rPr>
      </w:pPr>
    </w:p>
    <w:p w14:paraId="29C53B67">
      <w:pPr>
        <w:pStyle w:val="78"/>
        <w:ind w:firstLine="480"/>
        <w:rPr>
          <w:rFonts w:ascii="宋体" w:hAnsi="宋体" w:cs="宋体"/>
          <w:bCs/>
          <w:color w:val="auto"/>
          <w:highlight w:val="none"/>
          <w:lang w:eastAsia="zh-CN"/>
        </w:rPr>
      </w:pPr>
    </w:p>
    <w:p w14:paraId="113D2BA6">
      <w:pPr>
        <w:pStyle w:val="78"/>
        <w:ind w:firstLine="480"/>
        <w:rPr>
          <w:rFonts w:ascii="宋体" w:hAnsi="宋体" w:cs="宋体"/>
          <w:bCs/>
          <w:color w:val="auto"/>
          <w:highlight w:val="none"/>
          <w:lang w:eastAsia="zh-CN"/>
        </w:rPr>
      </w:pPr>
    </w:p>
    <w:p w14:paraId="67943FD2">
      <w:pPr>
        <w:pStyle w:val="78"/>
        <w:ind w:firstLine="480"/>
        <w:rPr>
          <w:rFonts w:ascii="宋体" w:hAnsi="宋体" w:cs="宋体"/>
          <w:bCs/>
          <w:color w:val="auto"/>
          <w:highlight w:val="none"/>
          <w:lang w:eastAsia="zh-CN"/>
        </w:rPr>
      </w:pPr>
    </w:p>
    <w:p w14:paraId="2906E40C">
      <w:pPr>
        <w:pStyle w:val="78"/>
        <w:ind w:firstLine="480"/>
        <w:rPr>
          <w:rFonts w:ascii="宋体" w:hAnsi="宋体" w:cs="宋体"/>
          <w:bCs/>
          <w:color w:val="auto"/>
          <w:highlight w:val="none"/>
          <w:lang w:eastAsia="zh-CN"/>
        </w:rPr>
      </w:pPr>
    </w:p>
    <w:p w14:paraId="1DDED4EA">
      <w:pPr>
        <w:pStyle w:val="78"/>
        <w:ind w:firstLine="480"/>
        <w:rPr>
          <w:rFonts w:ascii="宋体" w:hAnsi="宋体" w:cs="宋体"/>
          <w:bCs/>
          <w:color w:val="auto"/>
          <w:highlight w:val="none"/>
          <w:lang w:eastAsia="zh-CN"/>
        </w:rPr>
      </w:pPr>
    </w:p>
    <w:p w14:paraId="7C83B492">
      <w:pPr>
        <w:pStyle w:val="78"/>
        <w:ind w:firstLine="480"/>
        <w:rPr>
          <w:rFonts w:ascii="宋体" w:hAnsi="宋体" w:cs="宋体"/>
          <w:bCs/>
          <w:color w:val="auto"/>
          <w:highlight w:val="none"/>
          <w:lang w:eastAsia="zh-CN"/>
        </w:rPr>
      </w:pPr>
    </w:p>
    <w:p w14:paraId="557C10C1">
      <w:pPr>
        <w:pStyle w:val="78"/>
        <w:ind w:firstLine="480"/>
        <w:rPr>
          <w:rFonts w:ascii="宋体" w:hAnsi="宋体" w:cs="宋体"/>
          <w:bCs/>
          <w:color w:val="auto"/>
          <w:highlight w:val="none"/>
          <w:lang w:eastAsia="zh-CN"/>
        </w:rPr>
      </w:pPr>
    </w:p>
    <w:p w14:paraId="21EA58A1">
      <w:pPr>
        <w:pStyle w:val="78"/>
        <w:ind w:firstLine="480"/>
        <w:rPr>
          <w:rFonts w:ascii="宋体" w:hAnsi="宋体" w:cs="宋体"/>
          <w:bCs/>
          <w:color w:val="auto"/>
          <w:highlight w:val="none"/>
          <w:lang w:eastAsia="zh-CN"/>
        </w:rPr>
      </w:pPr>
    </w:p>
    <w:p w14:paraId="7B6C8F03">
      <w:pPr>
        <w:pStyle w:val="78"/>
        <w:spacing w:line="360" w:lineRule="auto"/>
        <w:ind w:firstLine="420" w:firstLineChars="200"/>
        <w:rPr>
          <w:rFonts w:ascii="宋体" w:hAnsi="宋体" w:cs="宋体"/>
          <w:bCs/>
          <w:color w:val="auto"/>
          <w:sz w:val="21"/>
          <w:szCs w:val="21"/>
          <w:highlight w:val="none"/>
          <w:lang w:eastAsia="zh-CN"/>
        </w:rPr>
      </w:pPr>
    </w:p>
    <w:p w14:paraId="45AECD3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A9BA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2、监狱企业参与投标的，需提供由省级以上监狱管理局、戒毒管理局（含新疆生产建设兵团）出具的属于监狱企业的证明文件。</w:t>
      </w:r>
      <w:r>
        <w:rPr>
          <w:rFonts w:hint="eastAsia" w:ascii="宋体" w:hAnsi="宋体" w:cs="宋体"/>
          <w:b/>
          <w:color w:val="auto"/>
          <w:szCs w:val="21"/>
          <w:highlight w:val="none"/>
        </w:rPr>
        <w:t>监狱企业视同小微企业，无需再提供《中小企业声明函》。</w:t>
      </w:r>
    </w:p>
    <w:p w14:paraId="16C36DF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3、如非监狱企业，不需要提供证明文件。</w:t>
      </w:r>
    </w:p>
    <w:p w14:paraId="0315813C">
      <w:pPr>
        <w:pStyle w:val="4"/>
        <w:spacing w:before="120" w:after="120"/>
        <w:rPr>
          <w:rFonts w:hint="eastAsia" w:ascii="Times New Roman" w:hAnsi="Times New Roman" w:cs="Times New Roman"/>
          <w:bCs/>
          <w:spacing w:val="-2"/>
          <w:kern w:val="2"/>
          <w:sz w:val="29"/>
          <w:szCs w:val="29"/>
          <w:lang w:eastAsia="zh-CN"/>
        </w:rPr>
      </w:pPr>
      <w:r>
        <w:rPr>
          <w:rFonts w:ascii="宋体" w:hAnsi="宋体" w:cs="宋体"/>
          <w:b/>
          <w:color w:val="auto"/>
          <w:kern w:val="2"/>
          <w:sz w:val="32"/>
          <w:szCs w:val="32"/>
          <w:highlight w:val="none"/>
          <w:lang w:eastAsia="zh-CN"/>
        </w:rPr>
        <w:br w:type="page"/>
      </w:r>
      <w:r>
        <w:rPr>
          <w:rFonts w:hint="eastAsia"/>
          <w:b/>
          <w:bCs/>
          <w:spacing w:val="-2"/>
          <w:sz w:val="29"/>
          <w:szCs w:val="29"/>
        </w:rPr>
        <w:t>（</w:t>
      </w:r>
      <w:r>
        <w:rPr>
          <w:rFonts w:hint="eastAsia"/>
          <w:b/>
          <w:bCs/>
          <w:spacing w:val="-2"/>
          <w:sz w:val="29"/>
          <w:szCs w:val="29"/>
          <w:lang w:val="en-US" w:eastAsia="zh-CN"/>
        </w:rPr>
        <w:t>八</w:t>
      </w:r>
      <w:r>
        <w:rPr>
          <w:rFonts w:hint="eastAsia"/>
          <w:b/>
          <w:bCs/>
          <w:spacing w:val="-2"/>
          <w:sz w:val="29"/>
          <w:szCs w:val="29"/>
        </w:rPr>
        <w:t>）</w:t>
      </w:r>
      <w:r>
        <w:rPr>
          <w:rFonts w:hint="eastAsia" w:ascii="Times New Roman" w:hAnsi="Times New Roman" w:cs="Times New Roman"/>
          <w:b/>
          <w:spacing w:val="-2"/>
          <w:kern w:val="2"/>
          <w:sz w:val="29"/>
          <w:szCs w:val="29"/>
          <w:lang w:eastAsia="zh-CN"/>
        </w:rPr>
        <w:t>残疾人福利性单位声明函（如有）</w:t>
      </w:r>
    </w:p>
    <w:p w14:paraId="5A98AA05">
      <w:pPr>
        <w:pStyle w:val="78"/>
        <w:spacing w:line="360" w:lineRule="auto"/>
        <w:ind w:firstLine="480" w:firstLineChars="200"/>
        <w:rPr>
          <w:rFonts w:ascii="宋体" w:hAnsi="宋体" w:cs="宋体"/>
          <w:color w:val="auto"/>
          <w:sz w:val="24"/>
          <w:highlight w:val="none"/>
        </w:rPr>
      </w:pPr>
    </w:p>
    <w:p w14:paraId="46945395">
      <w:pPr>
        <w:pStyle w:val="78"/>
        <w:spacing w:line="360" w:lineRule="auto"/>
        <w:jc w:val="center"/>
        <w:rPr>
          <w:rFonts w:ascii="宋体" w:hAnsi="宋体" w:cs="宋体"/>
          <w:color w:val="auto"/>
          <w:sz w:val="24"/>
          <w:highlight w:val="none"/>
        </w:rPr>
      </w:pPr>
      <w:r>
        <w:rPr>
          <w:rFonts w:ascii="宋体" w:hAnsi="宋体" w:cs="宋体"/>
          <w:b/>
          <w:color w:val="auto"/>
          <w:kern w:val="2"/>
          <w:sz w:val="32"/>
          <w:szCs w:val="32"/>
          <w:highlight w:val="none"/>
          <w:lang w:eastAsia="zh-CN"/>
        </w:rPr>
        <w:t>残疾人福利性单位声明函</w:t>
      </w:r>
    </w:p>
    <w:p w14:paraId="081C7A42">
      <w:pPr>
        <w:pStyle w:val="78"/>
        <w:spacing w:line="360" w:lineRule="auto"/>
        <w:rPr>
          <w:rFonts w:ascii="宋体" w:hAnsi="宋体" w:cs="宋体"/>
          <w:color w:val="auto"/>
          <w:sz w:val="24"/>
          <w:highlight w:val="none"/>
        </w:rPr>
      </w:pPr>
    </w:p>
    <w:p w14:paraId="65C3F2B7">
      <w:pPr>
        <w:pStyle w:val="78"/>
        <w:spacing w:line="360" w:lineRule="auto"/>
        <w:rPr>
          <w:rFonts w:ascii="宋体" w:hAnsi="宋体" w:cs="宋体"/>
          <w:color w:val="auto"/>
          <w:highlight w:val="none"/>
        </w:rPr>
      </w:pPr>
      <w:r>
        <w:rPr>
          <w:rFonts w:ascii="宋体" w:hAnsi="宋体" w:cs="宋体"/>
          <w:color w:val="auto"/>
          <w:sz w:val="24"/>
          <w:highlight w:val="none"/>
        </w:rPr>
        <w:t>致：</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 xml:space="preserve">         </w:t>
      </w:r>
    </w:p>
    <w:p w14:paraId="6BDECFEE">
      <w:pPr>
        <w:pStyle w:val="78"/>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 xml:space="preserve">         </w:t>
      </w:r>
      <w:r>
        <w:rPr>
          <w:rFonts w:ascii="宋体" w:hAnsi="宋体" w:cs="宋体"/>
          <w:color w:val="auto"/>
          <w:sz w:val="24"/>
          <w:szCs w:val="24"/>
          <w:highlight w:val="none"/>
        </w:rPr>
        <w:t>单位的</w:t>
      </w:r>
      <w:r>
        <w:rPr>
          <w:rFonts w:ascii="宋体" w:hAnsi="宋体" w:cs="宋体"/>
          <w:color w:val="auto"/>
          <w:sz w:val="24"/>
          <w:highlight w:val="none"/>
          <w:u w:val="single"/>
        </w:rPr>
        <w:t xml:space="preserve">        （</w:t>
      </w:r>
      <w:r>
        <w:rPr>
          <w:rFonts w:ascii="宋体" w:hAnsi="宋体" w:cs="宋体"/>
          <w:color w:val="auto"/>
          <w:sz w:val="24"/>
          <w:highlight w:val="none"/>
          <w:u w:val="single"/>
          <w:lang w:eastAsia="zh-CN"/>
        </w:rPr>
        <w:t>项目名称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r>
        <w:rPr>
          <w:rFonts w:ascii="宋体" w:hAnsi="宋体" w:cs="宋体"/>
          <w:color w:val="auto"/>
          <w:sz w:val="24"/>
          <w:highlight w:val="none"/>
          <w:lang w:eastAsia="zh-CN"/>
        </w:rPr>
        <w:t>项目</w:t>
      </w:r>
      <w:r>
        <w:rPr>
          <w:rFonts w:ascii="宋体" w:hAnsi="宋体" w:cs="宋体"/>
          <w:color w:val="auto"/>
          <w:sz w:val="24"/>
          <w:szCs w:val="24"/>
          <w:highlight w:val="none"/>
          <w:lang w:eastAsia="zh-CN"/>
        </w:rPr>
        <w:t>招标</w:t>
      </w:r>
      <w:r>
        <w:rPr>
          <w:rFonts w:ascii="宋体" w:hAnsi="宋体" w:cs="宋体"/>
          <w:color w:val="auto"/>
          <w:sz w:val="24"/>
          <w:szCs w:val="24"/>
          <w:highlight w:val="none"/>
        </w:rPr>
        <w:t>活动</w:t>
      </w:r>
      <w:r>
        <w:rPr>
          <w:rFonts w:ascii="宋体" w:hAnsi="宋体" w:cs="宋体"/>
          <w:color w:val="auto"/>
          <w:sz w:val="24"/>
          <w:szCs w:val="24"/>
          <w:highlight w:val="none"/>
          <w:lang w:eastAsia="zh-CN"/>
        </w:rPr>
        <w:t>，</w:t>
      </w:r>
      <w:r>
        <w:rPr>
          <w:rFonts w:ascii="宋体" w:hAnsi="宋体" w:cs="宋体"/>
          <w:color w:val="auto"/>
          <w:sz w:val="24"/>
          <w:szCs w:val="24"/>
          <w:highlight w:val="none"/>
        </w:rPr>
        <w:t>由本单位承担工程。</w:t>
      </w:r>
    </w:p>
    <w:p w14:paraId="6EA743DD">
      <w:pPr>
        <w:pStyle w:val="78"/>
        <w:spacing w:line="360" w:lineRule="auto"/>
        <w:ind w:firstLine="480" w:firstLineChars="200"/>
        <w:rPr>
          <w:rFonts w:ascii="宋体" w:hAnsi="宋体" w:cs="宋体"/>
          <w:color w:val="auto"/>
          <w:highlight w:val="none"/>
        </w:rPr>
      </w:pPr>
      <w:r>
        <w:rPr>
          <w:rFonts w:ascii="宋体" w:hAnsi="宋体" w:cs="宋体"/>
          <w:color w:val="auto"/>
          <w:sz w:val="24"/>
          <w:szCs w:val="24"/>
          <w:highlight w:val="none"/>
        </w:rPr>
        <w:t>本单位对上述声明的真实性负责。如有虚假，将依法承担相应责任。</w:t>
      </w:r>
    </w:p>
    <w:p w14:paraId="0E2C681E">
      <w:pPr>
        <w:spacing w:line="360" w:lineRule="auto"/>
        <w:ind w:firstLine="5040" w:firstLineChars="2100"/>
        <w:rPr>
          <w:rFonts w:hint="eastAsia" w:ascii="宋体" w:hAnsi="宋体" w:cs="宋体"/>
          <w:color w:val="auto"/>
          <w:sz w:val="24"/>
          <w:szCs w:val="20"/>
          <w:highlight w:val="none"/>
        </w:rPr>
      </w:pPr>
    </w:p>
    <w:p w14:paraId="454B5E82">
      <w:pPr>
        <w:spacing w:line="360" w:lineRule="auto"/>
        <w:ind w:firstLine="5040" w:firstLineChars="2100"/>
        <w:rPr>
          <w:rFonts w:hint="eastAsia" w:ascii="宋体" w:hAnsi="宋体" w:cs="宋体"/>
          <w:color w:val="auto"/>
          <w:sz w:val="24"/>
          <w:szCs w:val="20"/>
          <w:highlight w:val="none"/>
        </w:rPr>
      </w:pPr>
    </w:p>
    <w:p w14:paraId="6B593D9D">
      <w:pPr>
        <w:pStyle w:val="15"/>
        <w:rPr>
          <w:rFonts w:hint="eastAsia" w:hAnsi="宋体" w:cs="宋体"/>
          <w:color w:val="auto"/>
          <w:sz w:val="24"/>
          <w:highlight w:val="none"/>
        </w:rPr>
      </w:pPr>
    </w:p>
    <w:p w14:paraId="044F4BD3">
      <w:pPr>
        <w:pStyle w:val="15"/>
        <w:rPr>
          <w:rFonts w:hint="eastAsia" w:hAnsi="宋体" w:cs="宋体"/>
          <w:color w:val="auto"/>
          <w:sz w:val="24"/>
          <w:highlight w:val="none"/>
        </w:rPr>
      </w:pPr>
    </w:p>
    <w:p w14:paraId="170FF86A">
      <w:pPr>
        <w:spacing w:line="360" w:lineRule="auto"/>
        <w:ind w:firstLine="4080" w:firstLineChars="1700"/>
        <w:rPr>
          <w:rFonts w:hint="eastAsia" w:ascii="宋体" w:hAnsi="宋体" w:cs="宋体"/>
          <w:color w:val="auto"/>
          <w:sz w:val="24"/>
          <w:szCs w:val="20"/>
          <w:highlight w:val="none"/>
        </w:rPr>
      </w:pPr>
      <w:r>
        <w:rPr>
          <w:rFonts w:hint="eastAsia" w:ascii="宋体" w:hAnsi="宋体" w:cs="宋体"/>
          <w:color w:val="auto"/>
          <w:sz w:val="24"/>
          <w:szCs w:val="20"/>
          <w:highlight w:val="none"/>
        </w:rPr>
        <w:t>声明单位名称（盖章）：</w:t>
      </w:r>
    </w:p>
    <w:p w14:paraId="0B3CCCBA">
      <w:pPr>
        <w:spacing w:line="360" w:lineRule="auto"/>
        <w:ind w:firstLine="5040" w:firstLineChars="2100"/>
        <w:rPr>
          <w:rFonts w:hint="eastAsia" w:ascii="宋体" w:hAnsi="宋体" w:cs="宋体"/>
          <w:color w:val="auto"/>
          <w:highlight w:val="none"/>
        </w:rPr>
      </w:pPr>
      <w:r>
        <w:rPr>
          <w:rFonts w:hint="eastAsia" w:ascii="宋体" w:hAnsi="宋体" w:cs="宋体"/>
          <w:color w:val="auto"/>
          <w:sz w:val="24"/>
          <w:szCs w:val="20"/>
          <w:highlight w:val="none"/>
        </w:rPr>
        <w:t>日   期：     年   月   日</w:t>
      </w:r>
    </w:p>
    <w:p w14:paraId="595FEA7F">
      <w:pPr>
        <w:pStyle w:val="79"/>
        <w:spacing w:line="360" w:lineRule="auto"/>
        <w:jc w:val="left"/>
        <w:rPr>
          <w:rFonts w:hint="eastAsia" w:ascii="宋体" w:hAnsi="宋体" w:cs="宋体"/>
          <w:color w:val="auto"/>
          <w:sz w:val="24"/>
          <w:highlight w:val="none"/>
        </w:rPr>
      </w:pPr>
    </w:p>
    <w:p w14:paraId="7DF003D3">
      <w:pPr>
        <w:pStyle w:val="79"/>
        <w:spacing w:line="360" w:lineRule="auto"/>
        <w:jc w:val="left"/>
        <w:rPr>
          <w:rFonts w:hint="eastAsia" w:ascii="宋体" w:hAnsi="宋体" w:cs="宋体"/>
          <w:color w:val="auto"/>
          <w:sz w:val="24"/>
          <w:highlight w:val="none"/>
        </w:rPr>
      </w:pPr>
    </w:p>
    <w:p w14:paraId="641F3867">
      <w:pPr>
        <w:pStyle w:val="79"/>
        <w:spacing w:line="360" w:lineRule="auto"/>
        <w:jc w:val="left"/>
        <w:rPr>
          <w:rFonts w:hint="eastAsia" w:ascii="宋体" w:hAnsi="宋体" w:cs="宋体"/>
          <w:color w:val="auto"/>
          <w:sz w:val="24"/>
          <w:highlight w:val="none"/>
        </w:rPr>
      </w:pPr>
    </w:p>
    <w:p w14:paraId="5912A474">
      <w:pPr>
        <w:pStyle w:val="79"/>
        <w:spacing w:line="360" w:lineRule="auto"/>
        <w:jc w:val="left"/>
        <w:rPr>
          <w:rFonts w:hint="eastAsia" w:ascii="宋体" w:hAnsi="宋体" w:cs="宋体"/>
          <w:color w:val="auto"/>
          <w:sz w:val="24"/>
          <w:highlight w:val="none"/>
        </w:rPr>
      </w:pPr>
    </w:p>
    <w:p w14:paraId="0B69087A">
      <w:pPr>
        <w:pStyle w:val="79"/>
        <w:spacing w:line="360" w:lineRule="auto"/>
        <w:jc w:val="left"/>
        <w:rPr>
          <w:rFonts w:hint="eastAsia" w:ascii="宋体" w:hAnsi="宋体" w:cs="宋体"/>
          <w:color w:val="auto"/>
          <w:sz w:val="24"/>
          <w:highlight w:val="none"/>
        </w:rPr>
      </w:pPr>
    </w:p>
    <w:p w14:paraId="026C2119">
      <w:pPr>
        <w:rPr>
          <w:rFonts w:hint="eastAsia" w:ascii="宋体" w:hAnsi="宋体" w:cs="宋体"/>
          <w:color w:val="auto"/>
          <w:szCs w:val="21"/>
          <w:highlight w:val="none"/>
        </w:rPr>
      </w:pPr>
      <w:r>
        <w:rPr>
          <w:rFonts w:hint="eastAsia" w:ascii="宋体" w:hAnsi="宋体" w:cs="宋体"/>
          <w:color w:val="auto"/>
          <w:szCs w:val="21"/>
          <w:highlight w:val="none"/>
        </w:rPr>
        <w:t>注：1、残疾人福利性单位声明函（如有）适用于残疾人福利性单位参加招投标活动的。本函未填写的视作未做声明。如不适用，本格式不需要提供。</w:t>
      </w:r>
    </w:p>
    <w:p w14:paraId="6CAAA98F">
      <w:pPr>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残疾人福利性单位视同小微企业，无需再提供《中小企业声明函》。</w:t>
      </w:r>
    </w:p>
    <w:p w14:paraId="60EEB9C9">
      <w:pPr>
        <w:ind w:firstLine="420" w:firstLineChars="200"/>
        <w:rPr>
          <w:rFonts w:hint="eastAsia" w:ascii="宋体" w:hAnsi="宋体" w:cs="宋体"/>
          <w:color w:val="auto"/>
          <w:highlight w:val="none"/>
        </w:rPr>
      </w:pPr>
    </w:p>
    <w:p w14:paraId="43B5ECC5">
      <w:pPr>
        <w:ind w:firstLine="9487" w:firstLineChars="2953"/>
        <w:rPr>
          <w:rFonts w:ascii="Times New Roman" w:hAnsi="Times New Roman"/>
          <w:sz w:val="28"/>
          <w:szCs w:val="28"/>
          <w:highlight w:val="none"/>
        </w:rPr>
      </w:pPr>
      <w:r>
        <w:rPr>
          <w:rFonts w:hint="eastAsia" w:ascii="宋体" w:hAnsi="宋体" w:cs="宋体"/>
          <w:b/>
          <w:bCs/>
          <w:color w:val="auto"/>
          <w:sz w:val="32"/>
          <w:szCs w:val="32"/>
          <w:highlight w:val="none"/>
        </w:rPr>
        <w:br w:type="page"/>
      </w:r>
    </w:p>
    <w:p w14:paraId="346F53B3">
      <w:pPr>
        <w:spacing w:after="120" w:afterLines="50" w:line="360" w:lineRule="auto"/>
        <w:jc w:val="both"/>
        <w:outlineLvl w:val="1"/>
        <w:rPr>
          <w:rFonts w:hint="eastAsia" w:ascii="宋体" w:hAnsi="宋体" w:cs="宋体"/>
          <w:b/>
          <w:bCs/>
          <w:kern w:val="0"/>
          <w:sz w:val="32"/>
          <w:szCs w:val="32"/>
          <w:highlight w:val="none"/>
          <w:lang w:val="zh-CN"/>
        </w:rPr>
      </w:pPr>
      <w:bookmarkStart w:id="1302" w:name="_Toc3264"/>
      <w:bookmarkStart w:id="1303" w:name="_Toc526001349"/>
      <w:bookmarkStart w:id="1304" w:name="_Toc1882"/>
      <w:r>
        <w:rPr>
          <w:rFonts w:hint="eastAsia"/>
          <w:b/>
          <w:bCs/>
          <w:spacing w:val="-2"/>
          <w:sz w:val="29"/>
          <w:szCs w:val="29"/>
        </w:rPr>
        <w:t>（</w:t>
      </w:r>
      <w:r>
        <w:rPr>
          <w:rFonts w:hint="eastAsia"/>
          <w:b/>
          <w:bCs/>
          <w:spacing w:val="-2"/>
          <w:sz w:val="29"/>
          <w:szCs w:val="29"/>
          <w:lang w:val="en-US" w:eastAsia="zh-CN"/>
        </w:rPr>
        <w:t>八</w:t>
      </w:r>
      <w:r>
        <w:rPr>
          <w:rFonts w:hint="eastAsia"/>
          <w:b/>
          <w:bCs/>
          <w:spacing w:val="-2"/>
          <w:sz w:val="29"/>
          <w:szCs w:val="29"/>
        </w:rPr>
        <w:t>）</w:t>
      </w:r>
      <w:r>
        <w:rPr>
          <w:rFonts w:hint="eastAsia" w:ascii="宋体" w:hAnsi="宋体" w:cs="宋体"/>
          <w:b/>
          <w:bCs/>
          <w:kern w:val="0"/>
          <w:sz w:val="32"/>
          <w:szCs w:val="32"/>
          <w:highlight w:val="none"/>
          <w:lang w:val="zh-CN"/>
        </w:rPr>
        <w:t>实质性响应条款一览表</w:t>
      </w:r>
    </w:p>
    <w:p w14:paraId="21E9A909">
      <w:pPr>
        <w:spacing w:after="120" w:afterLines="50" w:line="360" w:lineRule="auto"/>
        <w:jc w:val="center"/>
        <w:outlineLvl w:val="1"/>
        <w:rPr>
          <w:rFonts w:hint="eastAsia" w:ascii="宋体" w:hAnsi="宋体" w:cs="宋体"/>
          <w:b/>
          <w:bCs/>
          <w:kern w:val="0"/>
          <w:sz w:val="32"/>
          <w:szCs w:val="32"/>
          <w:highlight w:val="none"/>
          <w:lang w:val="zh-CN"/>
        </w:rPr>
      </w:pPr>
      <w:r>
        <w:rPr>
          <w:rFonts w:hint="eastAsia" w:ascii="宋体" w:hAnsi="宋体" w:cs="宋体"/>
          <w:b/>
          <w:bCs/>
          <w:kern w:val="0"/>
          <w:sz w:val="32"/>
          <w:szCs w:val="32"/>
          <w:highlight w:val="none"/>
          <w:lang w:val="zh-CN"/>
        </w:rPr>
        <w:t>实质性响应条款一览表</w:t>
      </w:r>
      <w:bookmarkEnd w:id="1302"/>
    </w:p>
    <w:tbl>
      <w:tblPr>
        <w:tblStyle w:val="28"/>
        <w:tblW w:w="4997" w:type="pct"/>
        <w:jc w:val="center"/>
        <w:tblLayout w:type="autofit"/>
        <w:tblCellMar>
          <w:top w:w="0" w:type="dxa"/>
          <w:left w:w="30" w:type="dxa"/>
          <w:bottom w:w="0" w:type="dxa"/>
          <w:right w:w="30" w:type="dxa"/>
        </w:tblCellMar>
      </w:tblPr>
      <w:tblGrid>
        <w:gridCol w:w="632"/>
        <w:gridCol w:w="3080"/>
        <w:gridCol w:w="2183"/>
        <w:gridCol w:w="1864"/>
        <w:gridCol w:w="1312"/>
      </w:tblGrid>
      <w:tr w14:paraId="3FE3D615">
        <w:tblPrEx>
          <w:tblCellMar>
            <w:top w:w="0" w:type="dxa"/>
            <w:left w:w="30" w:type="dxa"/>
            <w:bottom w:w="0" w:type="dxa"/>
            <w:right w:w="30" w:type="dxa"/>
          </w:tblCellMar>
        </w:tblPrEx>
        <w:trPr>
          <w:trHeight w:val="90" w:hRule="atLeast"/>
          <w:jc w:val="center"/>
        </w:trPr>
        <w:tc>
          <w:tcPr>
            <w:tcW w:w="348" w:type="pct"/>
            <w:tcBorders>
              <w:top w:val="single" w:color="auto" w:sz="6" w:space="0"/>
              <w:left w:val="single" w:color="auto" w:sz="6" w:space="0"/>
              <w:bottom w:val="single" w:color="auto" w:sz="6" w:space="0"/>
              <w:right w:val="single" w:color="auto" w:sz="6" w:space="0"/>
            </w:tcBorders>
            <w:noWrap w:val="0"/>
            <w:vAlign w:val="center"/>
          </w:tcPr>
          <w:p w14:paraId="4B4FB7B4">
            <w:pPr>
              <w:spacing w:before="0" w:after="0"/>
              <w:jc w:val="center"/>
              <w:rPr>
                <w:rFonts w:hint="eastAsia" w:ascii="宋体" w:hAnsi="宋体" w:cs="宋体"/>
                <w:bCs/>
                <w:sz w:val="24"/>
                <w:szCs w:val="24"/>
                <w:highlight w:val="none"/>
              </w:rPr>
            </w:pPr>
            <w:r>
              <w:rPr>
                <w:rFonts w:hint="eastAsia" w:ascii="宋体" w:hAnsi="宋体" w:cs="宋体"/>
                <w:bCs/>
                <w:sz w:val="24"/>
                <w:szCs w:val="24"/>
                <w:highlight w:val="none"/>
              </w:rPr>
              <w:t>序号</w:t>
            </w:r>
          </w:p>
        </w:tc>
        <w:tc>
          <w:tcPr>
            <w:tcW w:w="1697" w:type="pct"/>
            <w:tcBorders>
              <w:top w:val="single" w:color="auto" w:sz="6" w:space="0"/>
              <w:left w:val="single" w:color="auto" w:sz="6" w:space="0"/>
              <w:bottom w:val="single" w:color="auto" w:sz="6" w:space="0"/>
              <w:right w:val="single" w:color="auto" w:sz="6" w:space="0"/>
            </w:tcBorders>
            <w:noWrap w:val="0"/>
            <w:vAlign w:val="center"/>
          </w:tcPr>
          <w:p w14:paraId="44D65E2E">
            <w:pPr>
              <w:spacing w:before="0" w:after="0"/>
              <w:jc w:val="center"/>
              <w:rPr>
                <w:rFonts w:hint="eastAsia" w:ascii="宋体" w:hAnsi="宋体" w:cs="宋体"/>
                <w:bCs/>
                <w:sz w:val="24"/>
                <w:szCs w:val="24"/>
                <w:highlight w:val="none"/>
              </w:rPr>
            </w:pPr>
            <w:r>
              <w:rPr>
                <w:rFonts w:hint="eastAsia" w:ascii="宋体" w:hAnsi="宋体" w:cs="宋体"/>
                <w:bCs/>
                <w:sz w:val="24"/>
                <w:szCs w:val="24"/>
                <w:highlight w:val="none"/>
                <w:lang w:val="en-US" w:eastAsia="zh-CN"/>
              </w:rPr>
              <w:t>招标</w:t>
            </w:r>
            <w:r>
              <w:rPr>
                <w:rFonts w:hint="eastAsia" w:ascii="宋体" w:hAnsi="宋体" w:cs="宋体"/>
                <w:bCs/>
                <w:sz w:val="24"/>
                <w:szCs w:val="24"/>
                <w:highlight w:val="none"/>
              </w:rPr>
              <w:t>文件要求</w:t>
            </w:r>
          </w:p>
        </w:tc>
        <w:tc>
          <w:tcPr>
            <w:tcW w:w="1203" w:type="pct"/>
            <w:tcBorders>
              <w:top w:val="single" w:color="auto" w:sz="6" w:space="0"/>
              <w:left w:val="single" w:color="auto" w:sz="6" w:space="0"/>
              <w:bottom w:val="single" w:color="auto" w:sz="6" w:space="0"/>
              <w:right w:val="single" w:color="auto" w:sz="6" w:space="0"/>
            </w:tcBorders>
            <w:noWrap w:val="0"/>
            <w:vAlign w:val="center"/>
          </w:tcPr>
          <w:p w14:paraId="1AF9EFC9">
            <w:pPr>
              <w:jc w:val="center"/>
              <w:rPr>
                <w:rFonts w:hint="eastAsia" w:ascii="宋体" w:hAnsi="宋体" w:cs="宋体"/>
                <w:sz w:val="24"/>
                <w:szCs w:val="24"/>
                <w:highlight w:val="none"/>
              </w:rPr>
            </w:pP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响应情况</w:t>
            </w:r>
          </w:p>
        </w:tc>
        <w:tc>
          <w:tcPr>
            <w:tcW w:w="1027" w:type="pct"/>
            <w:tcBorders>
              <w:top w:val="single" w:color="auto" w:sz="6" w:space="0"/>
              <w:left w:val="single" w:color="auto" w:sz="6" w:space="0"/>
              <w:bottom w:val="single" w:color="auto" w:sz="6" w:space="0"/>
              <w:right w:val="single" w:color="auto" w:sz="6" w:space="0"/>
            </w:tcBorders>
            <w:noWrap w:val="0"/>
            <w:vAlign w:val="center"/>
          </w:tcPr>
          <w:p w14:paraId="7AA66BC8">
            <w:pPr>
              <w:jc w:val="center"/>
              <w:rPr>
                <w:rFonts w:hint="eastAsia" w:ascii="宋体" w:hAnsi="宋体" w:cs="宋体"/>
                <w:sz w:val="24"/>
                <w:szCs w:val="24"/>
                <w:highlight w:val="none"/>
              </w:rPr>
            </w:pPr>
            <w:r>
              <w:rPr>
                <w:rFonts w:hint="eastAsia" w:ascii="宋体" w:hAnsi="宋体" w:cs="宋体"/>
                <w:sz w:val="24"/>
                <w:szCs w:val="24"/>
                <w:highlight w:val="none"/>
              </w:rPr>
              <w:t>偏离说明（正偏离/完全响应/负偏离）</w:t>
            </w:r>
          </w:p>
        </w:tc>
        <w:tc>
          <w:tcPr>
            <w:tcW w:w="723" w:type="pct"/>
            <w:tcBorders>
              <w:top w:val="single" w:color="auto" w:sz="6" w:space="0"/>
              <w:left w:val="single" w:color="auto" w:sz="6" w:space="0"/>
              <w:bottom w:val="single" w:color="auto" w:sz="6" w:space="0"/>
              <w:right w:val="single" w:color="auto" w:sz="6" w:space="0"/>
            </w:tcBorders>
            <w:noWrap w:val="0"/>
            <w:vAlign w:val="center"/>
          </w:tcPr>
          <w:p w14:paraId="6B9A995D">
            <w:pPr>
              <w:jc w:val="center"/>
              <w:rPr>
                <w:rFonts w:hint="eastAsia" w:ascii="宋体" w:hAnsi="宋体" w:cs="宋体"/>
                <w:sz w:val="24"/>
                <w:szCs w:val="24"/>
                <w:highlight w:val="none"/>
              </w:rPr>
            </w:pPr>
            <w:r>
              <w:rPr>
                <w:rFonts w:hint="eastAsia" w:ascii="宋体" w:hAnsi="宋体" w:cs="宋体"/>
                <w:sz w:val="24"/>
                <w:szCs w:val="24"/>
                <w:highlight w:val="none"/>
              </w:rPr>
              <w:t>对应投标文件位置及页码</w:t>
            </w:r>
          </w:p>
        </w:tc>
      </w:tr>
      <w:tr w14:paraId="4370B16E">
        <w:tblPrEx>
          <w:tblCellMar>
            <w:top w:w="0" w:type="dxa"/>
            <w:left w:w="30" w:type="dxa"/>
            <w:bottom w:w="0" w:type="dxa"/>
            <w:right w:w="30" w:type="dxa"/>
          </w:tblCellMar>
        </w:tblPrEx>
        <w:trPr>
          <w:trHeight w:val="318" w:hRule="atLeast"/>
          <w:jc w:val="center"/>
        </w:trPr>
        <w:tc>
          <w:tcPr>
            <w:tcW w:w="348" w:type="pct"/>
            <w:tcBorders>
              <w:top w:val="single" w:color="auto" w:sz="6" w:space="0"/>
              <w:left w:val="single" w:color="auto" w:sz="6" w:space="0"/>
              <w:bottom w:val="single" w:color="auto" w:sz="6" w:space="0"/>
              <w:right w:val="single" w:color="auto" w:sz="6" w:space="0"/>
            </w:tcBorders>
            <w:noWrap w:val="0"/>
            <w:vAlign w:val="center"/>
          </w:tcPr>
          <w:p w14:paraId="1E93398E">
            <w:pPr>
              <w:pStyle w:val="80"/>
              <w:autoSpaceDE w:val="0"/>
              <w:autoSpaceDN w:val="0"/>
              <w:adjustRightInd w:val="0"/>
              <w:spacing w:before="120" w:beforeLines="50" w:after="120" w:afterLines="50"/>
              <w:jc w:val="center"/>
              <w:rPr>
                <w:rFonts w:hint="eastAsia" w:ascii="宋体" w:hAnsi="宋体" w:cs="宋体"/>
                <w:bCs/>
                <w:sz w:val="24"/>
                <w:szCs w:val="24"/>
                <w:highlight w:val="none"/>
              </w:rPr>
            </w:pPr>
            <w:r>
              <w:rPr>
                <w:rFonts w:hint="eastAsia" w:ascii="宋体" w:hAnsi="宋体" w:cs="宋体"/>
                <w:sz w:val="24"/>
                <w:szCs w:val="24"/>
                <w:highlight w:val="none"/>
              </w:rPr>
              <w:t>1</w:t>
            </w:r>
          </w:p>
        </w:tc>
        <w:tc>
          <w:tcPr>
            <w:tcW w:w="1697" w:type="pct"/>
            <w:tcBorders>
              <w:top w:val="single" w:color="auto" w:sz="6" w:space="0"/>
              <w:left w:val="single" w:color="auto" w:sz="6" w:space="0"/>
              <w:bottom w:val="single" w:color="auto" w:sz="6" w:space="0"/>
              <w:right w:val="single" w:color="auto" w:sz="6" w:space="0"/>
            </w:tcBorders>
            <w:noWrap w:val="0"/>
            <w:vAlign w:val="center"/>
          </w:tcPr>
          <w:p w14:paraId="5DFD6F76">
            <w:pPr>
              <w:spacing w:before="50" w:after="188"/>
              <w:jc w:val="center"/>
              <w:rPr>
                <w:rFonts w:hint="eastAsia" w:ascii="宋体" w:hAnsi="宋体" w:cs="宋体"/>
                <w:bCs/>
                <w:sz w:val="24"/>
                <w:szCs w:val="24"/>
                <w:highlight w:val="none"/>
              </w:rPr>
            </w:pPr>
            <w:r>
              <w:rPr>
                <w:rFonts w:hint="eastAsia" w:ascii="宋体" w:hAnsi="宋体" w:cs="宋体"/>
                <w:bCs/>
                <w:color w:val="auto"/>
                <w:sz w:val="24"/>
                <w:szCs w:val="24"/>
                <w:highlight w:val="none"/>
              </w:rPr>
              <w:t>1.★本项目运维范围内的设备设施硬件，中标人</w:t>
            </w:r>
            <w:r>
              <w:rPr>
                <w:rFonts w:hint="eastAsia" w:ascii="宋体" w:hAnsi="宋体" w:cs="宋体"/>
                <w:bCs/>
                <w:color w:val="auto"/>
                <w:sz w:val="24"/>
                <w:szCs w:val="24"/>
                <w:highlight w:val="none"/>
                <w:lang w:val="en-US"/>
              </w:rPr>
              <w:t>应</w:t>
            </w:r>
            <w:r>
              <w:rPr>
                <w:rFonts w:hint="eastAsia" w:ascii="宋体" w:hAnsi="宋体" w:cs="宋体"/>
                <w:bCs/>
                <w:color w:val="auto"/>
                <w:sz w:val="24"/>
                <w:szCs w:val="24"/>
                <w:highlight w:val="none"/>
              </w:rPr>
              <w:t>在合同签订后30个工作日内须完成按不少于原设备设施硬件数量1%的数量进行备品备件的配置（最小单位为：1），以保障中标人无法在本招标文件约定的时间内完成故障修复时作备件备品使用。备件备品的技术标准和性能不得低于原设备且必须与相关系统兼容。备件备品须在本招标文件约定的维修时间后的2小时内完成替换，确保系统正常运行。备件备品的使用期应在原送修硬件重新投入使用后。如遇没有维修价值或已满足强制报废条件的硬件，中标人负责采</w:t>
            </w:r>
            <w:r>
              <w:rPr>
                <w:rFonts w:hint="eastAsia" w:ascii="宋体" w:hAnsi="宋体" w:cs="宋体"/>
                <w:bCs/>
                <w:color w:val="auto"/>
                <w:sz w:val="24"/>
                <w:szCs w:val="24"/>
                <w:highlight w:val="none"/>
                <w:lang w:val="en-US" w:eastAsia="zh-CN"/>
              </w:rPr>
              <w:t>购</w:t>
            </w:r>
            <w:r>
              <w:rPr>
                <w:rFonts w:hint="eastAsia" w:ascii="宋体" w:hAnsi="宋体" w:cs="宋体"/>
                <w:bCs/>
                <w:color w:val="auto"/>
                <w:sz w:val="24"/>
                <w:szCs w:val="24"/>
                <w:highlight w:val="none"/>
              </w:rPr>
              <w:t>不低于原设备技术标准且与满足系统运行的设备进行更换，涉及全部费用由中标人负责。</w:t>
            </w:r>
          </w:p>
        </w:tc>
        <w:tc>
          <w:tcPr>
            <w:tcW w:w="1203" w:type="pct"/>
            <w:tcBorders>
              <w:top w:val="single" w:color="auto" w:sz="6" w:space="0"/>
              <w:left w:val="single" w:color="auto" w:sz="6" w:space="0"/>
              <w:bottom w:val="single" w:color="auto" w:sz="6" w:space="0"/>
              <w:right w:val="single" w:color="auto" w:sz="6" w:space="0"/>
            </w:tcBorders>
            <w:noWrap w:val="0"/>
            <w:vAlign w:val="center"/>
          </w:tcPr>
          <w:p w14:paraId="0AD401DB">
            <w:pPr>
              <w:spacing w:before="50" w:after="188"/>
              <w:jc w:val="center"/>
              <w:rPr>
                <w:rFonts w:hint="eastAsia" w:ascii="宋体" w:hAnsi="宋体" w:cs="宋体"/>
                <w:b/>
                <w:bCs/>
                <w:sz w:val="24"/>
                <w:szCs w:val="24"/>
                <w:highlight w:val="none"/>
              </w:rPr>
            </w:pPr>
          </w:p>
        </w:tc>
        <w:tc>
          <w:tcPr>
            <w:tcW w:w="1027" w:type="pct"/>
            <w:tcBorders>
              <w:top w:val="single" w:color="auto" w:sz="6" w:space="0"/>
              <w:left w:val="single" w:color="auto" w:sz="6" w:space="0"/>
              <w:bottom w:val="single" w:color="auto" w:sz="6" w:space="0"/>
              <w:right w:val="single" w:color="auto" w:sz="6" w:space="0"/>
            </w:tcBorders>
            <w:noWrap w:val="0"/>
            <w:vAlign w:val="center"/>
          </w:tcPr>
          <w:p w14:paraId="04755A12">
            <w:pPr>
              <w:spacing w:before="50" w:after="188"/>
              <w:jc w:val="center"/>
              <w:rPr>
                <w:rFonts w:hint="eastAsia" w:ascii="宋体" w:hAnsi="宋体" w:cs="宋体"/>
                <w:b/>
                <w:bCs/>
                <w:sz w:val="24"/>
                <w:szCs w:val="24"/>
                <w:highlight w:val="none"/>
              </w:rPr>
            </w:pPr>
          </w:p>
        </w:tc>
        <w:tc>
          <w:tcPr>
            <w:tcW w:w="723" w:type="pct"/>
            <w:tcBorders>
              <w:top w:val="single" w:color="auto" w:sz="6" w:space="0"/>
              <w:left w:val="single" w:color="auto" w:sz="6" w:space="0"/>
              <w:bottom w:val="single" w:color="auto" w:sz="6" w:space="0"/>
              <w:right w:val="single" w:color="auto" w:sz="6" w:space="0"/>
            </w:tcBorders>
            <w:noWrap w:val="0"/>
            <w:vAlign w:val="center"/>
          </w:tcPr>
          <w:p w14:paraId="1E26021F">
            <w:pPr>
              <w:spacing w:before="50" w:after="188"/>
              <w:jc w:val="center"/>
              <w:rPr>
                <w:rFonts w:hint="eastAsia" w:ascii="宋体" w:hAnsi="宋体" w:cs="宋体"/>
                <w:b/>
                <w:bCs/>
                <w:sz w:val="24"/>
                <w:szCs w:val="24"/>
                <w:highlight w:val="none"/>
              </w:rPr>
            </w:pPr>
          </w:p>
        </w:tc>
      </w:tr>
      <w:tr w14:paraId="48C6F08B">
        <w:tblPrEx>
          <w:tblCellMar>
            <w:top w:w="0" w:type="dxa"/>
            <w:left w:w="30" w:type="dxa"/>
            <w:bottom w:w="0" w:type="dxa"/>
            <w:right w:w="30" w:type="dxa"/>
          </w:tblCellMar>
        </w:tblPrEx>
        <w:trPr>
          <w:trHeight w:val="318" w:hRule="atLeast"/>
          <w:jc w:val="center"/>
        </w:trPr>
        <w:tc>
          <w:tcPr>
            <w:tcW w:w="348" w:type="pct"/>
            <w:tcBorders>
              <w:top w:val="single" w:color="auto" w:sz="6" w:space="0"/>
              <w:left w:val="single" w:color="auto" w:sz="6" w:space="0"/>
              <w:bottom w:val="single" w:color="auto" w:sz="6" w:space="0"/>
              <w:right w:val="single" w:color="auto" w:sz="6" w:space="0"/>
            </w:tcBorders>
            <w:noWrap w:val="0"/>
            <w:vAlign w:val="center"/>
          </w:tcPr>
          <w:p w14:paraId="40685FFA">
            <w:pPr>
              <w:pStyle w:val="80"/>
              <w:autoSpaceDE w:val="0"/>
              <w:autoSpaceDN w:val="0"/>
              <w:adjustRightInd w:val="0"/>
              <w:spacing w:before="120" w:beforeLines="50" w:after="120" w:afterLines="50"/>
              <w:jc w:val="center"/>
              <w:rPr>
                <w:rFonts w:hint="eastAsia" w:ascii="宋体" w:hAnsi="宋体" w:cs="宋体"/>
                <w:bCs/>
                <w:sz w:val="24"/>
                <w:szCs w:val="24"/>
                <w:highlight w:val="none"/>
              </w:rPr>
            </w:pPr>
            <w:r>
              <w:rPr>
                <w:rFonts w:hint="eastAsia" w:ascii="宋体" w:hAnsi="宋体" w:cs="宋体"/>
                <w:sz w:val="24"/>
                <w:szCs w:val="24"/>
                <w:highlight w:val="none"/>
              </w:rPr>
              <w:t>2</w:t>
            </w:r>
          </w:p>
        </w:tc>
        <w:tc>
          <w:tcPr>
            <w:tcW w:w="1697" w:type="pct"/>
            <w:tcBorders>
              <w:top w:val="single" w:color="auto" w:sz="6" w:space="0"/>
              <w:left w:val="single" w:color="auto" w:sz="6" w:space="0"/>
              <w:bottom w:val="single" w:color="auto" w:sz="6" w:space="0"/>
              <w:right w:val="single" w:color="auto" w:sz="6" w:space="0"/>
            </w:tcBorders>
            <w:noWrap w:val="0"/>
            <w:vAlign w:val="center"/>
          </w:tcPr>
          <w:p w14:paraId="493AF902">
            <w:pPr>
              <w:spacing w:before="50" w:after="188"/>
              <w:jc w:val="center"/>
              <w:rPr>
                <w:rFonts w:hint="eastAsia" w:ascii="宋体" w:hAnsi="宋体" w:cs="宋体"/>
                <w:bCs/>
                <w:sz w:val="24"/>
                <w:szCs w:val="24"/>
                <w:highlight w:val="none"/>
              </w:rPr>
            </w:pPr>
            <w:r>
              <w:rPr>
                <w:rFonts w:hint="eastAsia" w:ascii="宋体" w:hAnsi="宋体" w:cs="宋体"/>
                <w:bCs/>
                <w:color w:val="auto"/>
                <w:sz w:val="24"/>
                <w:szCs w:val="24"/>
                <w:highlight w:val="none"/>
              </w:rPr>
              <w:t>2.★招标人根据设备设施自然老化程度和技术升级需要等原因，可能会在本项目合同期内对清单内部分设备设施的软硬件进行升级改造，中标人有责任配合招标人开展相关工作并在合同期内承接升级改造后软硬件的维护工作，运维费用纳入本项目合同总价。</w:t>
            </w:r>
          </w:p>
        </w:tc>
        <w:tc>
          <w:tcPr>
            <w:tcW w:w="1203" w:type="pct"/>
            <w:tcBorders>
              <w:top w:val="single" w:color="auto" w:sz="6" w:space="0"/>
              <w:left w:val="single" w:color="auto" w:sz="6" w:space="0"/>
              <w:bottom w:val="single" w:color="auto" w:sz="6" w:space="0"/>
              <w:right w:val="single" w:color="auto" w:sz="6" w:space="0"/>
            </w:tcBorders>
            <w:noWrap w:val="0"/>
            <w:vAlign w:val="center"/>
          </w:tcPr>
          <w:p w14:paraId="253E6302">
            <w:pPr>
              <w:spacing w:before="50" w:after="188"/>
              <w:jc w:val="center"/>
              <w:rPr>
                <w:rFonts w:hint="eastAsia" w:ascii="宋体" w:hAnsi="宋体" w:cs="宋体"/>
                <w:b/>
                <w:bCs/>
                <w:sz w:val="24"/>
                <w:szCs w:val="24"/>
                <w:highlight w:val="none"/>
              </w:rPr>
            </w:pPr>
          </w:p>
        </w:tc>
        <w:tc>
          <w:tcPr>
            <w:tcW w:w="1027" w:type="pct"/>
            <w:tcBorders>
              <w:top w:val="single" w:color="auto" w:sz="6" w:space="0"/>
              <w:left w:val="single" w:color="auto" w:sz="6" w:space="0"/>
              <w:bottom w:val="single" w:color="auto" w:sz="6" w:space="0"/>
              <w:right w:val="single" w:color="auto" w:sz="6" w:space="0"/>
            </w:tcBorders>
            <w:noWrap w:val="0"/>
            <w:vAlign w:val="center"/>
          </w:tcPr>
          <w:p w14:paraId="2A7C0213">
            <w:pPr>
              <w:spacing w:before="50" w:after="188"/>
              <w:jc w:val="center"/>
              <w:rPr>
                <w:rFonts w:hint="eastAsia" w:ascii="宋体" w:hAnsi="宋体" w:cs="宋体"/>
                <w:b/>
                <w:bCs/>
                <w:sz w:val="24"/>
                <w:szCs w:val="24"/>
                <w:highlight w:val="none"/>
              </w:rPr>
            </w:pPr>
          </w:p>
        </w:tc>
        <w:tc>
          <w:tcPr>
            <w:tcW w:w="723" w:type="pct"/>
            <w:tcBorders>
              <w:top w:val="single" w:color="auto" w:sz="6" w:space="0"/>
              <w:left w:val="single" w:color="auto" w:sz="6" w:space="0"/>
              <w:bottom w:val="single" w:color="auto" w:sz="6" w:space="0"/>
              <w:right w:val="single" w:color="auto" w:sz="6" w:space="0"/>
            </w:tcBorders>
            <w:noWrap w:val="0"/>
            <w:vAlign w:val="center"/>
          </w:tcPr>
          <w:p w14:paraId="17129D4A">
            <w:pPr>
              <w:spacing w:before="50" w:after="188"/>
              <w:jc w:val="center"/>
              <w:rPr>
                <w:rFonts w:hint="eastAsia" w:ascii="宋体" w:hAnsi="宋体" w:cs="宋体"/>
                <w:b/>
                <w:bCs/>
                <w:sz w:val="24"/>
                <w:szCs w:val="24"/>
                <w:highlight w:val="none"/>
              </w:rPr>
            </w:pPr>
          </w:p>
        </w:tc>
      </w:tr>
      <w:tr w14:paraId="1B55B277">
        <w:tblPrEx>
          <w:tblCellMar>
            <w:top w:w="0" w:type="dxa"/>
            <w:left w:w="30" w:type="dxa"/>
            <w:bottom w:w="0" w:type="dxa"/>
            <w:right w:w="30" w:type="dxa"/>
          </w:tblCellMar>
        </w:tblPrEx>
        <w:trPr>
          <w:trHeight w:val="90" w:hRule="atLeast"/>
          <w:jc w:val="center"/>
        </w:trPr>
        <w:tc>
          <w:tcPr>
            <w:tcW w:w="348" w:type="pct"/>
            <w:tcBorders>
              <w:top w:val="single" w:color="auto" w:sz="6" w:space="0"/>
              <w:left w:val="single" w:color="auto" w:sz="6" w:space="0"/>
              <w:bottom w:val="single" w:color="auto" w:sz="6" w:space="0"/>
              <w:right w:val="single" w:color="auto" w:sz="6" w:space="0"/>
            </w:tcBorders>
            <w:noWrap w:val="0"/>
            <w:vAlign w:val="center"/>
          </w:tcPr>
          <w:p w14:paraId="0D378365">
            <w:pPr>
              <w:pStyle w:val="80"/>
              <w:autoSpaceDE w:val="0"/>
              <w:autoSpaceDN w:val="0"/>
              <w:adjustRightInd w:val="0"/>
              <w:spacing w:before="120" w:beforeLines="50" w:after="120" w:afterLines="50"/>
              <w:jc w:val="center"/>
              <w:rPr>
                <w:rFonts w:hint="eastAsia" w:ascii="宋体" w:hAnsi="宋体" w:cs="宋体"/>
                <w:bCs/>
                <w:sz w:val="24"/>
                <w:szCs w:val="24"/>
                <w:highlight w:val="none"/>
              </w:rPr>
            </w:pPr>
            <w:r>
              <w:rPr>
                <w:rFonts w:hint="eastAsia" w:ascii="宋体" w:hAnsi="宋体" w:cs="宋体"/>
                <w:sz w:val="24"/>
                <w:szCs w:val="24"/>
                <w:highlight w:val="none"/>
              </w:rPr>
              <w:t>3</w:t>
            </w:r>
          </w:p>
        </w:tc>
        <w:tc>
          <w:tcPr>
            <w:tcW w:w="1697" w:type="pct"/>
            <w:tcBorders>
              <w:top w:val="single" w:color="auto" w:sz="6" w:space="0"/>
              <w:left w:val="single" w:color="auto" w:sz="6" w:space="0"/>
              <w:bottom w:val="single" w:color="auto" w:sz="6" w:space="0"/>
              <w:right w:val="single" w:color="auto" w:sz="6" w:space="0"/>
            </w:tcBorders>
            <w:noWrap w:val="0"/>
            <w:vAlign w:val="center"/>
          </w:tcPr>
          <w:p w14:paraId="65FC9707">
            <w:pPr>
              <w:spacing w:before="50" w:after="188"/>
              <w:jc w:val="center"/>
              <w:rPr>
                <w:rFonts w:hint="eastAsia" w:ascii="宋体" w:hAnsi="宋体" w:cs="宋体"/>
                <w:bCs/>
                <w:sz w:val="24"/>
                <w:szCs w:val="24"/>
                <w:highlight w:val="none"/>
              </w:rPr>
            </w:pPr>
            <w:r>
              <w:rPr>
                <w:rFonts w:hint="eastAsia" w:ascii="宋体" w:hAnsi="宋体" w:cs="宋体"/>
                <w:bCs/>
                <w:sz w:val="24"/>
                <w:szCs w:val="24"/>
                <w:highlight w:val="none"/>
              </w:rPr>
              <w:t>②★中标人需承诺提供7×24小时机房现场值班服务和客服热线服务（广州市交通运输局计算机房内，地址：天河区体育东路108号创展中心14楼），现场驻点专职技术服务人员不少于6名，实时监控后台软硬件设备运行情况，发现问题能及时响应处理；中标人收到中标通知书10个工作日内，依照招标人随中标通知书同时发出的《广州市交通运输局计算机房管理制度》（试行）中的相关规定，取得技术人员进出机房的许可并向采购方提供相关材料。</w:t>
            </w:r>
          </w:p>
        </w:tc>
        <w:tc>
          <w:tcPr>
            <w:tcW w:w="1203" w:type="pct"/>
            <w:tcBorders>
              <w:top w:val="single" w:color="auto" w:sz="6" w:space="0"/>
              <w:left w:val="single" w:color="auto" w:sz="6" w:space="0"/>
              <w:bottom w:val="single" w:color="auto" w:sz="6" w:space="0"/>
              <w:right w:val="single" w:color="auto" w:sz="6" w:space="0"/>
            </w:tcBorders>
            <w:noWrap w:val="0"/>
            <w:vAlign w:val="center"/>
          </w:tcPr>
          <w:p w14:paraId="5020EE7F">
            <w:pPr>
              <w:spacing w:before="50" w:after="188"/>
              <w:jc w:val="center"/>
              <w:rPr>
                <w:rFonts w:hint="eastAsia" w:ascii="宋体" w:hAnsi="宋体" w:cs="宋体"/>
                <w:b/>
                <w:bCs/>
                <w:sz w:val="24"/>
                <w:szCs w:val="24"/>
                <w:highlight w:val="none"/>
              </w:rPr>
            </w:pPr>
          </w:p>
        </w:tc>
        <w:tc>
          <w:tcPr>
            <w:tcW w:w="1027" w:type="pct"/>
            <w:tcBorders>
              <w:top w:val="single" w:color="auto" w:sz="6" w:space="0"/>
              <w:left w:val="single" w:color="auto" w:sz="6" w:space="0"/>
              <w:bottom w:val="single" w:color="auto" w:sz="6" w:space="0"/>
              <w:right w:val="single" w:color="auto" w:sz="6" w:space="0"/>
            </w:tcBorders>
            <w:noWrap w:val="0"/>
            <w:vAlign w:val="center"/>
          </w:tcPr>
          <w:p w14:paraId="42432D07">
            <w:pPr>
              <w:spacing w:before="50" w:after="188"/>
              <w:jc w:val="center"/>
              <w:rPr>
                <w:rFonts w:hint="eastAsia" w:ascii="宋体" w:hAnsi="宋体" w:cs="宋体"/>
                <w:b/>
                <w:bCs/>
                <w:sz w:val="24"/>
                <w:szCs w:val="24"/>
                <w:highlight w:val="none"/>
              </w:rPr>
            </w:pPr>
          </w:p>
        </w:tc>
        <w:tc>
          <w:tcPr>
            <w:tcW w:w="723" w:type="pct"/>
            <w:tcBorders>
              <w:top w:val="single" w:color="auto" w:sz="6" w:space="0"/>
              <w:left w:val="single" w:color="auto" w:sz="6" w:space="0"/>
              <w:bottom w:val="single" w:color="auto" w:sz="6" w:space="0"/>
              <w:right w:val="single" w:color="auto" w:sz="6" w:space="0"/>
            </w:tcBorders>
            <w:noWrap w:val="0"/>
            <w:vAlign w:val="center"/>
          </w:tcPr>
          <w:p w14:paraId="749DDDDD">
            <w:pPr>
              <w:spacing w:before="50" w:after="188"/>
              <w:jc w:val="center"/>
              <w:rPr>
                <w:rFonts w:hint="eastAsia" w:ascii="宋体" w:hAnsi="宋体" w:cs="宋体"/>
                <w:b/>
                <w:bCs/>
                <w:sz w:val="24"/>
                <w:szCs w:val="24"/>
                <w:highlight w:val="none"/>
              </w:rPr>
            </w:pPr>
          </w:p>
        </w:tc>
      </w:tr>
      <w:tr w14:paraId="6E1BD97B">
        <w:tblPrEx>
          <w:tblCellMar>
            <w:top w:w="0" w:type="dxa"/>
            <w:left w:w="30" w:type="dxa"/>
            <w:bottom w:w="0" w:type="dxa"/>
            <w:right w:w="30" w:type="dxa"/>
          </w:tblCellMar>
        </w:tblPrEx>
        <w:trPr>
          <w:trHeight w:val="318" w:hRule="atLeast"/>
          <w:jc w:val="center"/>
        </w:trPr>
        <w:tc>
          <w:tcPr>
            <w:tcW w:w="348" w:type="pct"/>
            <w:tcBorders>
              <w:top w:val="single" w:color="auto" w:sz="6" w:space="0"/>
              <w:left w:val="single" w:color="auto" w:sz="6" w:space="0"/>
              <w:bottom w:val="single" w:color="auto" w:sz="6" w:space="0"/>
              <w:right w:val="single" w:color="auto" w:sz="6" w:space="0"/>
            </w:tcBorders>
            <w:noWrap w:val="0"/>
            <w:vAlign w:val="center"/>
          </w:tcPr>
          <w:p w14:paraId="4DB6D86A">
            <w:pPr>
              <w:pStyle w:val="80"/>
              <w:autoSpaceDE w:val="0"/>
              <w:autoSpaceDN w:val="0"/>
              <w:adjustRightInd w:val="0"/>
              <w:spacing w:before="120" w:beforeLines="50" w:after="120" w:afterLines="5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1697" w:type="pct"/>
            <w:tcBorders>
              <w:top w:val="single" w:color="auto" w:sz="6" w:space="0"/>
              <w:left w:val="single" w:color="auto" w:sz="6" w:space="0"/>
              <w:bottom w:val="single" w:color="auto" w:sz="6" w:space="0"/>
              <w:right w:val="single" w:color="auto" w:sz="6" w:space="0"/>
            </w:tcBorders>
            <w:noWrap w:val="0"/>
            <w:vAlign w:val="center"/>
          </w:tcPr>
          <w:p w14:paraId="28BDEE9B">
            <w:pPr>
              <w:spacing w:before="50" w:after="188"/>
              <w:jc w:val="center"/>
              <w:rPr>
                <w:rFonts w:hint="eastAsia" w:ascii="宋体" w:hAnsi="宋体" w:cs="宋体"/>
                <w:bCs/>
                <w:sz w:val="24"/>
                <w:szCs w:val="24"/>
                <w:highlight w:val="none"/>
              </w:rPr>
            </w:pPr>
            <w:r>
              <w:rPr>
                <w:rFonts w:hint="eastAsia" w:ascii="宋体" w:hAnsi="宋体" w:cs="宋体"/>
                <w:bCs/>
                <w:sz w:val="24"/>
                <w:szCs w:val="24"/>
                <w:highlight w:val="none"/>
              </w:rPr>
              <w:t>★为保证及时响应服务请求，中标人需承诺在BRT系统后台服务及网络汇聚中心（广州市交通信息指挥中心机房，地址：天河区体育东路108号创展中心14楼）附近1公里范围内自行落实驻点办公场地，并在收到中标通知书20个日历天内向招标人提供物业权属或租赁的有效证明材料。</w:t>
            </w:r>
          </w:p>
        </w:tc>
        <w:tc>
          <w:tcPr>
            <w:tcW w:w="1203" w:type="pct"/>
            <w:tcBorders>
              <w:top w:val="single" w:color="auto" w:sz="6" w:space="0"/>
              <w:left w:val="single" w:color="auto" w:sz="6" w:space="0"/>
              <w:bottom w:val="single" w:color="auto" w:sz="6" w:space="0"/>
              <w:right w:val="single" w:color="auto" w:sz="6" w:space="0"/>
            </w:tcBorders>
            <w:noWrap w:val="0"/>
            <w:vAlign w:val="center"/>
          </w:tcPr>
          <w:p w14:paraId="48CFAD1F">
            <w:pPr>
              <w:spacing w:before="50" w:after="188"/>
              <w:jc w:val="center"/>
              <w:rPr>
                <w:rFonts w:hint="eastAsia" w:ascii="宋体" w:hAnsi="宋体" w:cs="宋体"/>
                <w:b/>
                <w:bCs/>
                <w:sz w:val="24"/>
                <w:szCs w:val="24"/>
                <w:highlight w:val="none"/>
              </w:rPr>
            </w:pPr>
          </w:p>
        </w:tc>
        <w:tc>
          <w:tcPr>
            <w:tcW w:w="1027" w:type="pct"/>
            <w:tcBorders>
              <w:top w:val="single" w:color="auto" w:sz="6" w:space="0"/>
              <w:left w:val="single" w:color="auto" w:sz="6" w:space="0"/>
              <w:bottom w:val="single" w:color="auto" w:sz="6" w:space="0"/>
              <w:right w:val="single" w:color="auto" w:sz="6" w:space="0"/>
            </w:tcBorders>
            <w:noWrap w:val="0"/>
            <w:vAlign w:val="center"/>
          </w:tcPr>
          <w:p w14:paraId="3402701D">
            <w:pPr>
              <w:spacing w:before="50" w:after="188"/>
              <w:jc w:val="center"/>
              <w:rPr>
                <w:rFonts w:hint="eastAsia" w:ascii="宋体" w:hAnsi="宋体" w:cs="宋体"/>
                <w:b/>
                <w:bCs/>
                <w:sz w:val="24"/>
                <w:szCs w:val="24"/>
                <w:highlight w:val="none"/>
              </w:rPr>
            </w:pPr>
          </w:p>
        </w:tc>
        <w:tc>
          <w:tcPr>
            <w:tcW w:w="723" w:type="pct"/>
            <w:tcBorders>
              <w:top w:val="single" w:color="auto" w:sz="6" w:space="0"/>
              <w:left w:val="single" w:color="auto" w:sz="6" w:space="0"/>
              <w:bottom w:val="single" w:color="auto" w:sz="6" w:space="0"/>
              <w:right w:val="single" w:color="auto" w:sz="6" w:space="0"/>
            </w:tcBorders>
            <w:noWrap w:val="0"/>
            <w:vAlign w:val="center"/>
          </w:tcPr>
          <w:p w14:paraId="4E2C13B1">
            <w:pPr>
              <w:spacing w:before="50" w:after="188"/>
              <w:jc w:val="center"/>
              <w:rPr>
                <w:rFonts w:hint="eastAsia" w:ascii="宋体" w:hAnsi="宋体" w:cs="宋体"/>
                <w:b/>
                <w:bCs/>
                <w:sz w:val="24"/>
                <w:szCs w:val="24"/>
                <w:highlight w:val="none"/>
              </w:rPr>
            </w:pPr>
          </w:p>
        </w:tc>
      </w:tr>
      <w:tr w14:paraId="6713C64B">
        <w:tblPrEx>
          <w:tblCellMar>
            <w:top w:w="0" w:type="dxa"/>
            <w:left w:w="30" w:type="dxa"/>
            <w:bottom w:w="0" w:type="dxa"/>
            <w:right w:w="30" w:type="dxa"/>
          </w:tblCellMar>
        </w:tblPrEx>
        <w:trPr>
          <w:trHeight w:val="318" w:hRule="atLeast"/>
          <w:jc w:val="center"/>
        </w:trPr>
        <w:tc>
          <w:tcPr>
            <w:tcW w:w="348" w:type="pct"/>
            <w:tcBorders>
              <w:top w:val="single" w:color="auto" w:sz="6" w:space="0"/>
              <w:left w:val="single" w:color="auto" w:sz="6" w:space="0"/>
              <w:bottom w:val="single" w:color="auto" w:sz="6" w:space="0"/>
              <w:right w:val="single" w:color="auto" w:sz="6" w:space="0"/>
            </w:tcBorders>
            <w:noWrap w:val="0"/>
            <w:vAlign w:val="center"/>
          </w:tcPr>
          <w:p w14:paraId="6E152611">
            <w:pPr>
              <w:pStyle w:val="80"/>
              <w:autoSpaceDE w:val="0"/>
              <w:autoSpaceDN w:val="0"/>
              <w:adjustRightInd w:val="0"/>
              <w:spacing w:before="120" w:beforeLines="50" w:after="120" w:afterLines="5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c>
          <w:tcPr>
            <w:tcW w:w="1697" w:type="pct"/>
            <w:tcBorders>
              <w:top w:val="single" w:color="auto" w:sz="6" w:space="0"/>
              <w:left w:val="single" w:color="auto" w:sz="6" w:space="0"/>
              <w:bottom w:val="single" w:color="auto" w:sz="6" w:space="0"/>
              <w:right w:val="single" w:color="auto" w:sz="6" w:space="0"/>
            </w:tcBorders>
            <w:noWrap w:val="0"/>
            <w:vAlign w:val="center"/>
          </w:tcPr>
          <w:p w14:paraId="13628922">
            <w:pPr>
              <w:spacing w:before="50" w:after="188"/>
              <w:jc w:val="center"/>
              <w:rPr>
                <w:rFonts w:hint="eastAsia" w:ascii="宋体" w:hAnsi="宋体" w:cs="宋体"/>
                <w:bCs/>
                <w:sz w:val="24"/>
                <w:szCs w:val="24"/>
                <w:highlight w:val="none"/>
              </w:rPr>
            </w:pPr>
            <w:r>
              <w:rPr>
                <w:rFonts w:hint="eastAsia" w:ascii="宋体" w:hAnsi="宋体" w:cs="宋体"/>
                <w:bCs/>
                <w:sz w:val="24"/>
                <w:szCs w:val="24"/>
                <w:highlight w:val="none"/>
                <w:lang w:val="en-US" w:eastAsia="zh-CN"/>
              </w:rPr>
              <w:t>①</w:t>
            </w:r>
            <w:r>
              <w:rPr>
                <w:rFonts w:hint="eastAsia" w:ascii="宋体" w:hAnsi="宋体" w:cs="宋体"/>
                <w:bCs/>
                <w:sz w:val="24"/>
                <w:szCs w:val="24"/>
                <w:highlight w:val="none"/>
              </w:rPr>
              <w:t>★设立专门的后台应用系统维护技术队伍，专职负责BRT智能调度系统、票务系统、电子站牌系统的后台应用软件的运行维护工作。中标人需在招标人指定地点安排至少4名维护工程师提供7×8小时现场驻点服务，实时监控后台应用系统运行情况，发现问题能及时响应处理。招标人有权根据营运需要，要求中标人对原软件系统的功能进行优化、开发以及接入公共交通相关数据，中标人需承诺因此产生的需向所有权人支付的专利权、商标权或其它知识产权的一切相关费用已纳入合同总价。中标人在收到中标通知书20个日历天内，根据招标人随中标通知书同时发出的系统开发商联系方式与相关开发商完成沟通并向招标人提供相关证明材料（如合同、协议或授权文件等）。</w:t>
            </w:r>
          </w:p>
        </w:tc>
        <w:tc>
          <w:tcPr>
            <w:tcW w:w="1203" w:type="pct"/>
            <w:tcBorders>
              <w:top w:val="single" w:color="auto" w:sz="6" w:space="0"/>
              <w:left w:val="single" w:color="auto" w:sz="6" w:space="0"/>
              <w:bottom w:val="single" w:color="auto" w:sz="6" w:space="0"/>
              <w:right w:val="single" w:color="auto" w:sz="6" w:space="0"/>
            </w:tcBorders>
            <w:noWrap w:val="0"/>
            <w:vAlign w:val="center"/>
          </w:tcPr>
          <w:p w14:paraId="2F98BDF6">
            <w:pPr>
              <w:spacing w:before="50" w:after="188"/>
              <w:jc w:val="center"/>
              <w:rPr>
                <w:rFonts w:hint="eastAsia" w:ascii="宋体" w:hAnsi="宋体" w:cs="宋体"/>
                <w:b/>
                <w:bCs/>
                <w:sz w:val="24"/>
                <w:szCs w:val="24"/>
                <w:highlight w:val="none"/>
              </w:rPr>
            </w:pPr>
          </w:p>
        </w:tc>
        <w:tc>
          <w:tcPr>
            <w:tcW w:w="1027" w:type="pct"/>
            <w:tcBorders>
              <w:top w:val="single" w:color="auto" w:sz="6" w:space="0"/>
              <w:left w:val="single" w:color="auto" w:sz="6" w:space="0"/>
              <w:bottom w:val="single" w:color="auto" w:sz="6" w:space="0"/>
              <w:right w:val="single" w:color="auto" w:sz="6" w:space="0"/>
            </w:tcBorders>
            <w:noWrap w:val="0"/>
            <w:vAlign w:val="center"/>
          </w:tcPr>
          <w:p w14:paraId="71B84BB0">
            <w:pPr>
              <w:spacing w:before="50" w:after="188"/>
              <w:jc w:val="center"/>
              <w:rPr>
                <w:rFonts w:hint="eastAsia" w:ascii="宋体" w:hAnsi="宋体" w:cs="宋体"/>
                <w:b/>
                <w:bCs/>
                <w:sz w:val="24"/>
                <w:szCs w:val="24"/>
                <w:highlight w:val="none"/>
              </w:rPr>
            </w:pPr>
          </w:p>
        </w:tc>
        <w:tc>
          <w:tcPr>
            <w:tcW w:w="723" w:type="pct"/>
            <w:tcBorders>
              <w:top w:val="single" w:color="auto" w:sz="6" w:space="0"/>
              <w:left w:val="single" w:color="auto" w:sz="6" w:space="0"/>
              <w:bottom w:val="single" w:color="auto" w:sz="6" w:space="0"/>
              <w:right w:val="single" w:color="auto" w:sz="6" w:space="0"/>
            </w:tcBorders>
            <w:noWrap w:val="0"/>
            <w:vAlign w:val="center"/>
          </w:tcPr>
          <w:p w14:paraId="27240496">
            <w:pPr>
              <w:spacing w:before="50" w:after="188"/>
              <w:jc w:val="center"/>
              <w:rPr>
                <w:rFonts w:hint="eastAsia" w:ascii="宋体" w:hAnsi="宋体" w:cs="宋体"/>
                <w:b/>
                <w:bCs/>
                <w:sz w:val="24"/>
                <w:szCs w:val="24"/>
                <w:highlight w:val="none"/>
              </w:rPr>
            </w:pPr>
          </w:p>
        </w:tc>
      </w:tr>
    </w:tbl>
    <w:p w14:paraId="45BA9196">
      <w:pPr>
        <w:spacing w:before="0" w:beforeLines="0" w:line="360" w:lineRule="auto"/>
        <w:ind w:firstLine="0" w:firstLineChars="0"/>
        <w:rPr>
          <w:rFonts w:hint="eastAsia" w:ascii="宋体" w:hAnsi="宋体" w:cs="宋体"/>
          <w:sz w:val="24"/>
          <w:szCs w:val="24"/>
          <w:highlight w:val="none"/>
        </w:rPr>
      </w:pPr>
      <w:r>
        <w:rPr>
          <w:rFonts w:hint="eastAsia" w:ascii="宋体" w:hAnsi="宋体" w:cs="宋体"/>
          <w:sz w:val="24"/>
          <w:szCs w:val="24"/>
          <w:highlight w:val="none"/>
        </w:rPr>
        <w:t>填报要求：</w:t>
      </w:r>
    </w:p>
    <w:p w14:paraId="7A4ABEE8">
      <w:pPr>
        <w:spacing w:beforeLines="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1.本表所列条款必须一一予以响应，“</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响应情况”一栏应</w:t>
      </w:r>
      <w:r>
        <w:rPr>
          <w:rFonts w:hint="eastAsia" w:ascii="宋体" w:hAnsi="宋体" w:cs="宋体"/>
          <w:b/>
          <w:sz w:val="24"/>
          <w:szCs w:val="24"/>
          <w:highlight w:val="none"/>
        </w:rPr>
        <w:t>填写具体的响应内容</w:t>
      </w:r>
      <w:r>
        <w:rPr>
          <w:rFonts w:hint="eastAsia" w:ascii="宋体" w:hAnsi="宋体" w:cs="宋体"/>
          <w:sz w:val="24"/>
          <w:szCs w:val="24"/>
          <w:highlight w:val="none"/>
        </w:rPr>
        <w:t>并注明差异情况。</w:t>
      </w:r>
      <w:r>
        <w:rPr>
          <w:rFonts w:hint="eastAsia" w:ascii="宋体" w:hAnsi="宋体" w:cs="宋体"/>
          <w:sz w:val="24"/>
          <w:highlight w:val="none"/>
        </w:rPr>
        <w:t>表格可延长</w:t>
      </w:r>
      <w:r>
        <w:rPr>
          <w:rFonts w:hint="eastAsia" w:ascii="宋体" w:hAnsi="宋体" w:cs="宋体"/>
          <w:sz w:val="24"/>
          <w:szCs w:val="24"/>
          <w:highlight w:val="none"/>
        </w:rPr>
        <w:t>。</w:t>
      </w:r>
    </w:p>
    <w:p w14:paraId="72700464">
      <w:pPr>
        <w:autoSpaceDE w:val="0"/>
        <w:autoSpaceDN w:val="0"/>
        <w:adjustRightInd w:val="0"/>
        <w:spacing w:beforeLines="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2.请</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认真填写本表内容，如填写错误将可能导致响应无效。</w:t>
      </w:r>
    </w:p>
    <w:p w14:paraId="04BAB14E">
      <w:pPr>
        <w:tabs>
          <w:tab w:val="left" w:pos="-3780"/>
        </w:tabs>
        <w:autoSpaceDE w:val="0"/>
        <w:autoSpaceDN w:val="0"/>
        <w:adjustRightInd w:val="0"/>
        <w:spacing w:line="360" w:lineRule="auto"/>
        <w:ind w:firstLine="6480" w:firstLineChars="2700"/>
        <w:rPr>
          <w:rFonts w:hint="eastAsia" w:ascii="宋体" w:hAnsi="宋体" w:cs="宋体"/>
          <w:sz w:val="24"/>
          <w:szCs w:val="24"/>
          <w:highlight w:val="none"/>
        </w:rPr>
      </w:pPr>
    </w:p>
    <w:p w14:paraId="05A03FE7">
      <w:pPr>
        <w:tabs>
          <w:tab w:val="left" w:pos="-3780"/>
        </w:tabs>
        <w:autoSpaceDE w:val="0"/>
        <w:autoSpaceDN w:val="0"/>
        <w:adjustRightInd w:val="0"/>
        <w:spacing w:line="360" w:lineRule="auto"/>
        <w:ind w:firstLine="6480" w:firstLineChars="2700"/>
        <w:rPr>
          <w:rFonts w:hint="eastAsia" w:ascii="宋体" w:hAnsi="宋体" w:cs="宋体"/>
          <w:sz w:val="24"/>
          <w:szCs w:val="24"/>
          <w:highlight w:val="none"/>
        </w:rPr>
      </w:pPr>
    </w:p>
    <w:p w14:paraId="3EC5C70A">
      <w:pPr>
        <w:spacing w:line="360" w:lineRule="auto"/>
        <w:ind w:firstLine="4320" w:firstLineChars="18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D743657">
      <w:pPr>
        <w:autoSpaceDE/>
        <w:autoSpaceDN/>
        <w:adjustRightInd w:val="0"/>
        <w:spacing w:line="360" w:lineRule="auto"/>
        <w:ind w:firstLine="4320" w:firstLineChars="1800"/>
        <w:rPr>
          <w:rFonts w:hint="eastAsia" w:ascii="宋体" w:hAnsi="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p>
    <w:p w14:paraId="47B7BD76">
      <w:pPr>
        <w:keepNext w:val="0"/>
        <w:keepLines w:val="0"/>
        <w:spacing w:after="0"/>
        <w:jc w:val="center"/>
        <w:rPr>
          <w:rFonts w:hint="eastAsia" w:ascii="Times New Roman" w:hAnsi="Times New Roman"/>
          <w:highlight w:val="none"/>
          <w:lang w:val="en-US" w:eastAsia="zh-CN"/>
        </w:rPr>
      </w:pPr>
      <w:r>
        <w:rPr>
          <w:rFonts w:hint="eastAsia" w:ascii="Times New Roman" w:hAnsi="Times New Roman"/>
          <w:highlight w:val="none"/>
          <w:lang w:val="en-US" w:eastAsia="zh-CN"/>
        </w:rPr>
        <w:br w:type="page"/>
      </w:r>
    </w:p>
    <w:p w14:paraId="58DDE315">
      <w:pPr>
        <w:pStyle w:val="3"/>
        <w:keepNext w:val="0"/>
        <w:keepLines w:val="0"/>
        <w:spacing w:after="0"/>
        <w:jc w:val="center"/>
        <w:rPr>
          <w:rFonts w:hint="eastAsia" w:ascii="Times New Roman" w:hAnsi="Times New Roman" w:eastAsia="黑体"/>
          <w:highlight w:val="none"/>
          <w:lang w:eastAsia="zh-CN"/>
        </w:rPr>
      </w:pPr>
      <w:r>
        <w:rPr>
          <w:rFonts w:hint="eastAsia" w:ascii="Times New Roman" w:hAnsi="Times New Roman"/>
          <w:highlight w:val="none"/>
          <w:lang w:val="en-US" w:eastAsia="zh-CN"/>
        </w:rPr>
        <w:t>七</w:t>
      </w:r>
      <w:r>
        <w:rPr>
          <w:rFonts w:ascii="Times New Roman" w:hAnsi="Times New Roman"/>
          <w:highlight w:val="none"/>
        </w:rPr>
        <w:t>、</w:t>
      </w:r>
      <w:bookmarkEnd w:id="1303"/>
      <w:r>
        <w:rPr>
          <w:rFonts w:hint="eastAsia" w:ascii="Times New Roman" w:hAnsi="Times New Roman"/>
          <w:b w:val="0"/>
          <w:highlight w:val="none"/>
          <w:lang w:eastAsia="zh-CN"/>
        </w:rPr>
        <w:t>项目实施方案</w:t>
      </w:r>
      <w:bookmarkEnd w:id="1304"/>
    </w:p>
    <w:p w14:paraId="66136C0D">
      <w:pPr>
        <w:spacing w:line="360" w:lineRule="auto"/>
        <w:ind w:firstLine="474" w:firstLineChars="226"/>
        <w:rPr>
          <w:highlight w:val="none"/>
        </w:rPr>
      </w:pPr>
      <w:r>
        <w:rPr>
          <w:rFonts w:hint="eastAsia" w:ascii="Times New Roman" w:hAnsi="Times New Roman"/>
          <w:szCs w:val="21"/>
          <w:highlight w:val="none"/>
          <w:lang w:eastAsia="zh-CN"/>
        </w:rPr>
        <w:t>项目实施方案</w:t>
      </w:r>
      <w:r>
        <w:rPr>
          <w:rFonts w:ascii="Times New Roman" w:hAnsi="Times New Roman"/>
          <w:szCs w:val="21"/>
          <w:highlight w:val="none"/>
        </w:rPr>
        <w:t>内容</w:t>
      </w:r>
      <w:r>
        <w:rPr>
          <w:rFonts w:hint="eastAsia" w:ascii="Times New Roman" w:hAnsi="Times New Roman"/>
          <w:szCs w:val="21"/>
          <w:highlight w:val="none"/>
        </w:rPr>
        <w:t>可根据</w:t>
      </w:r>
      <w:r>
        <w:rPr>
          <w:rFonts w:hint="eastAsia" w:ascii="Times New Roman" w:hAnsi="Times New Roman"/>
          <w:szCs w:val="21"/>
          <w:highlight w:val="none"/>
          <w:lang w:val="en-US" w:eastAsia="zh-CN"/>
        </w:rPr>
        <w:t>评审要求编制，格式自拟。</w:t>
      </w:r>
    </w:p>
    <w:p w14:paraId="381E772F">
      <w:pPr>
        <w:pStyle w:val="3"/>
        <w:keepNext w:val="0"/>
        <w:keepLines w:val="0"/>
        <w:spacing w:after="0"/>
        <w:jc w:val="center"/>
        <w:rPr>
          <w:highlight w:val="none"/>
        </w:rPr>
      </w:pPr>
      <w:bookmarkStart w:id="1305" w:name="_Toc526001350"/>
      <w:r>
        <w:rPr>
          <w:highlight w:val="none"/>
        </w:rPr>
        <w:br w:type="page"/>
      </w:r>
      <w:bookmarkStart w:id="1306" w:name="_Toc14513"/>
      <w:r>
        <w:rPr>
          <w:rFonts w:hint="eastAsia"/>
          <w:highlight w:val="none"/>
          <w:lang w:val="en-US" w:eastAsia="zh-CN"/>
        </w:rPr>
        <w:t>八</w:t>
      </w:r>
      <w:r>
        <w:rPr>
          <w:rFonts w:hint="eastAsia"/>
          <w:highlight w:val="none"/>
        </w:rPr>
        <w:t>、其他资料</w:t>
      </w:r>
      <w:bookmarkEnd w:id="1305"/>
      <w:bookmarkEnd w:id="1306"/>
    </w:p>
    <w:p w14:paraId="24B2E659">
      <w:pPr>
        <w:rPr>
          <w:highlight w:val="none"/>
        </w:rPr>
      </w:pPr>
    </w:p>
    <w:p w14:paraId="1B5D59C0">
      <w:pPr>
        <w:jc w:val="center"/>
        <w:rPr>
          <w:highlight w:val="none"/>
        </w:rPr>
      </w:pPr>
      <w:r>
        <w:rPr>
          <w:rFonts w:hint="eastAsia"/>
          <w:highlight w:val="none"/>
        </w:rPr>
        <w:t>投标人认为有必要提交的其他资料，格式自定。</w:t>
      </w:r>
    </w:p>
    <w:bookmarkEnd w:id="1213"/>
    <w:p w14:paraId="115B5A56">
      <w:pPr>
        <w:jc w:val="center"/>
        <w:rPr>
          <w:rFonts w:hint="eastAsia"/>
          <w:szCs w:val="21"/>
        </w:rPr>
      </w:pPr>
    </w:p>
    <w:sectPr>
      <w:footerReference r:id="rId8" w:type="default"/>
      <w:footerReference r:id="rId9" w:type="even"/>
      <w:pgSz w:w="11850" w:h="16840"/>
      <w:pgMar w:top="1417" w:right="1417" w:bottom="1417" w:left="1417" w:header="851" w:footer="1418"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2D8215-0F9E-4745-97BF-8BB8FA2740C8}"/>
  </w:font>
  <w:font w:name="黑体">
    <w:panose1 w:val="02010609060101010101"/>
    <w:charset w:val="86"/>
    <w:family w:val="auto"/>
    <w:pitch w:val="default"/>
    <w:sig w:usb0="800002BF" w:usb1="38CF7CFA" w:usb2="00000016" w:usb3="00000000" w:csb0="00040001" w:csb1="00000000"/>
    <w:embedRegular r:id="rId2" w:fontKey="{309CA39C-0371-4FA6-8324-C75A58E1BE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C2761A7-6A17-484F-8DC8-A355E5E1A60C}"/>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auto"/>
    <w:pitch w:val="default"/>
    <w:sig w:usb0="00000000" w:usb1="00000000" w:usb2="00000000" w:usb3="00000000" w:csb0="80000000" w:csb1="00000000"/>
    <w:embedRegular r:id="rId4" w:fontKey="{427CE969-765D-44BE-BD96-EA17C50ED9B2}"/>
  </w:font>
  <w:font w:name="楷体_GB2312">
    <w:panose1 w:val="02010609030101010101"/>
    <w:charset w:val="86"/>
    <w:family w:val="modern"/>
    <w:pitch w:val="default"/>
    <w:sig w:usb0="00000001" w:usb1="080E0000" w:usb2="00000000" w:usb3="00000000" w:csb0="00040000" w:csb1="00000000"/>
    <w:embedRegular r:id="rId5" w:fontKey="{5B2FE05E-8874-4D04-B356-2EC3EE8A5116}"/>
  </w:font>
  <w:font w:name="楷体">
    <w:panose1 w:val="02010609060101010101"/>
    <w:charset w:val="86"/>
    <w:family w:val="auto"/>
    <w:pitch w:val="default"/>
    <w:sig w:usb0="800002BF" w:usb1="38CF7CFA" w:usb2="00000016" w:usb3="00000000" w:csb0="00040001" w:csb1="00000000"/>
    <w:embedRegular r:id="rId6" w:fontKey="{92847475-D6A2-4141-955F-5B2C2A6D4C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ECBB7">
    <w:pPr>
      <w:kinsoku w:val="0"/>
      <w:overflowPunct w:val="0"/>
      <w:spacing w:beforeLines="0" w:afterLines="0" w:line="200" w:lineRule="exact"/>
      <w:rPr>
        <w:rFonts w:hint="default"/>
        <w:sz w:val="20"/>
      </w:rPr>
    </w:pPr>
    <w:r>
      <w:rPr>
        <w:rFonts w:hint="eastAsia"/>
        <w:sz w:val="21"/>
      </w:rPr>
      <mc:AlternateContent>
        <mc:Choice Requires="wps">
          <w:drawing>
            <wp:anchor distT="0" distB="0" distL="114300" distR="114300" simplePos="0" relativeHeight="251659264"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1" name="Text Box 6"/>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2798729A">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6" o:spid="_x0000_s1026" o:spt="202" type="#_x0000_t202" style="position:absolute;left:0pt;margin-left:300.5pt;margin-top:734.95pt;height:11pt;width:11.1pt;mso-position-horizontal-relative:page;mso-position-vertical-relative:page;z-index:-251657216;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rReTaAAAADQEAAA8AAAAAAAAAAQAgAAAAIgAAAGRycy9kb3ducmV2LnhtbFBLAQIUABQAAAAI&#10;AIdO4kA5xvHPsgEAAH4DAAAOAAAAAAAAAAEAIAAAACkBAABkcnMvZTJvRG9jLnhtbFBLBQYAAAAA&#10;BgAGAFkBAABNBQAAAAA=&#10;">
              <v:fill on="f" focussize="0,0"/>
              <v:stroke on="f"/>
              <v:imagedata o:title=""/>
              <o:lock v:ext="edit" aspectratio="f"/>
              <v:textbox inset="0mm,0mm,0mm,0mm">
                <w:txbxContent>
                  <w:p w14:paraId="2798729A">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AB647">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4C237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EiIJq3gEAAMADAAAOAAAAAAAA&#10;AAEAIAAAAB4BAABkcnMvZTJvRG9jLnhtbFBLBQYAAAAABgAGAFkBAABuBQAAAAA=&#10;">
              <v:fill on="f" focussize="0,0"/>
              <v:stroke on="f"/>
              <v:imagedata o:title=""/>
              <o:lock v:ext="edit" aspectratio="f"/>
              <v:textbox inset="0mm,0mm,0mm,0mm" style="mso-fit-shape-to-text:t;">
                <w:txbxContent>
                  <w:p w14:paraId="024C2372">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1312"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3" name="Text Box 6"/>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7C2F5AEF">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6" o:spid="_x0000_s1026" o:spt="202" type="#_x0000_t202" style="position:absolute;left:0pt;margin-left:300.5pt;margin-top:734.95pt;height:11pt;width:11.1pt;mso-position-horizontal-relative:page;mso-position-vertical-relative:page;z-index:-251655168;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rReTaAAAADQEAAA8AAAAAAAAAAQAgAAAAIgAAAGRycy9kb3ducmV2LnhtbFBLAQIUABQAAAAI&#10;AIdO4kCH/w4DsgEAAH4DAAAOAAAAAAAAAAEAIAAAACkBAABkcnMvZTJvRG9jLnhtbFBLBQYAAAAA&#10;BgAGAFkBAABNBQAAAAA=&#10;">
              <v:fill on="f" focussize="0,0"/>
              <v:stroke on="f"/>
              <v:imagedata o:title=""/>
              <o:lock v:ext="edit" aspectratio="f"/>
              <v:textbox inset="0mm,0mm,0mm,0mm">
                <w:txbxContent>
                  <w:p w14:paraId="7C2F5AEF">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BEA9">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58353D">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1cvQJN8BAAC/AwAADgAAAAAA&#10;AAABACAAAAAeAQAAZHJzL2Uyb0RvYy54bWxQSwUGAAAAAAYABgBZAQAAbwUAAAAA&#10;">
              <v:fill on="f" focussize="0,0"/>
              <v:stroke on="f"/>
              <v:imagedata o:title=""/>
              <o:lock v:ext="edit" aspectratio="f"/>
              <v:textbox inset="0mm,0mm,0mm,0mm" style="mso-fit-shape-to-text:t;">
                <w:txbxContent>
                  <w:p w14:paraId="4758353D">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2336"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4" name="Text Box 6"/>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43199ACC">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6" o:spid="_x0000_s1026" o:spt="202" type="#_x0000_t202" style="position:absolute;left:0pt;margin-left:300.5pt;margin-top:734.95pt;height:11pt;width:11.1pt;mso-position-horizontal-relative:page;mso-position-vertical-relative:page;z-index:-251654144;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rReTaAAAADQEAAA8AAAAAAAAAAQAgAAAAIgAAAGRycy9kb3ducmV2LnhtbFBLAQIUABQAAAAI&#10;AIdO4kDbLwHrsgEAAH4DAAAOAAAAAAAAAAEAIAAAACkBAABkcnMvZTJvRG9jLnhtbFBLBQYAAAAA&#10;BgAGAFkBAABNBQAAAAA=&#10;">
              <v:fill on="f" focussize="0,0"/>
              <v:stroke on="f"/>
              <v:imagedata o:title=""/>
              <o:lock v:ext="edit" aspectratio="f"/>
              <v:textbox inset="0mm,0mm,0mm,0mm">
                <w:txbxContent>
                  <w:p w14:paraId="43199ACC">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D824">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33A79A">
                          <w:pPr>
                            <w:pStyle w:val="18"/>
                          </w:pPr>
                          <w:r>
                            <w:fldChar w:fldCharType="begin"/>
                          </w:r>
                          <w:r>
                            <w:instrText xml:space="preserve"> PAGE  \* MERGEFORMAT </w:instrText>
                          </w:r>
                          <w:r>
                            <w:fldChar w:fldCharType="separate"/>
                          </w:r>
                          <w:r>
                            <w:t>50</w:t>
                          </w:r>
                          <w:r>
                            <w:fldChar w:fldCharType="end"/>
                          </w:r>
                        </w:p>
                      </w:txbxContent>
                    </wps:txbx>
                    <wps:bodyPr vert="horz" wrap="none" lIns="0" tIns="0" rIns="0" bIns="0" anchor="t" anchorCtr="0" upright="0">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3t5DN8BAAC/AwAADgAAAAAA&#10;AAABACAAAAAeAQAAZHJzL2Uyb0RvYy54bWxQSwUGAAAAAAYABgBZAQAAbwUAAAAA&#10;">
              <v:fill on="f" focussize="0,0"/>
              <v:stroke on="f"/>
              <v:imagedata o:title=""/>
              <o:lock v:ext="edit" aspectratio="f"/>
              <v:textbox inset="0mm,0mm,0mm,0mm" style="mso-fit-shape-to-text:t;">
                <w:txbxContent>
                  <w:p w14:paraId="3533A79A">
                    <w:pPr>
                      <w:pStyle w:val="18"/>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0288"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2" name="Text Box 12"/>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08F00041">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12" o:spid="_x0000_s1026" o:spt="202" type="#_x0000_t202" style="position:absolute;left:0pt;margin-left:300.5pt;margin-top:734.95pt;height:11pt;width:11.1pt;mso-position-horizontal-relative:page;mso-position-vertical-relative:page;z-index:-251656192;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a0Xk2gAAAA0BAAAPAAAAAAAAAAEAIAAAACIAAABkcnMvZG93bnJldi54bWxQSwECFAAUAAAA&#10;CACHTuJA1T22u7MBAAB/AwAADgAAAAAAAAABACAAAAApAQAAZHJzL2Uyb0RvYy54bWxQSwUGAAAA&#10;AAYABgBZAQAATgUAAAAA&#10;">
              <v:fill on="f" focussize="0,0"/>
              <v:stroke on="f"/>
              <v:imagedata o:title=""/>
              <o:lock v:ext="edit" aspectratio="f"/>
              <v:textbox inset="0mm,0mm,0mm,0mm">
                <w:txbxContent>
                  <w:p w14:paraId="08F00041">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AC2D2">
    <w:pPr>
      <w:kinsoku w:val="0"/>
      <w:overflowPunct w:val="0"/>
      <w:spacing w:beforeLines="0" w:afterLines="0" w:line="200" w:lineRule="exact"/>
      <w:rPr>
        <w:rFonts w:hint="default"/>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C3A58D">
                          <w:pPr>
                            <w:pStyle w:val="18"/>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SjLd8BAAC/AwAADgAAAAAA&#10;AAABACAAAAAeAQAAZHJzL2Uyb0RvYy54bWxQSwUGAAAAAAYABgBZAQAAbwUAAAAA&#10;">
              <v:fill on="f" focussize="0,0"/>
              <v:stroke on="f"/>
              <v:imagedata o:title=""/>
              <o:lock v:ext="edit" aspectratio="f"/>
              <v:textbox inset="0mm,0mm,0mm,0mm" style="mso-fit-shape-to-text:t;">
                <w:txbxContent>
                  <w:p w14:paraId="14C3A58D">
                    <w:pPr>
                      <w:pStyle w:val="1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E2D9D">
    <w:pPr>
      <w:pStyle w:val="18"/>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210612">
                          <w:pPr>
                            <w:pStyle w:val="18"/>
                          </w:pPr>
                          <w:r>
                            <w:fldChar w:fldCharType="begin"/>
                          </w:r>
                          <w:r>
                            <w:instrText xml:space="preserve"> PAGE  \* MERGEFORMAT </w:instrText>
                          </w:r>
                          <w:r>
                            <w:fldChar w:fldCharType="separate"/>
                          </w:r>
                          <w:r>
                            <w:t>98</w:t>
                          </w:r>
                          <w:r>
                            <w:fldChar w:fldCharType="end"/>
                          </w:r>
                        </w:p>
                      </w:txbxContent>
                    </wps:txbx>
                    <wps:bodyPr vert="horz" wrap="none" lIns="0" tIns="0" rIns="0" bIns="0" anchor="t" anchorCtr="0"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ZOwt4BAAC/AwAADgAAAGRycy9lMm9Eb2MueG1srVPNjtMwEL4j8Q6W&#10;7zTZC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JzG7oSlgZ+/fzv/+HX++ZW9&#10;vE769AErSrsLlBiH136grZn9SM5Ee2jBpj8RYhQndU8XddUQmUyXVsvVqqSQpNh8IPzi4XoAjG+V&#10;tywZNQcaX1ZVHN9jHFPnlFTN+VttTB6hcX85CDN5itT72GOy4rAbJkI735yID70DqtN5+MJZT1tQ&#10;c0dLz5l550jktDCzAbOxmw3hJF2seeRsNN/EcbEOAfS+y6uWmsLw6hC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tk7C3gEAAL8DAAAOAAAAAAAA&#10;AAEAIAAAAB4BAABkcnMvZTJvRG9jLnhtbFBLBQYAAAAABgAGAFkBAABuBQAAAAA=&#10;">
              <v:fill on="f" focussize="0,0"/>
              <v:stroke on="f"/>
              <v:imagedata o:title=""/>
              <o:lock v:ext="edit" aspectratio="f"/>
              <v:textbox inset="0mm,0mm,0mm,0mm" style="mso-fit-shape-to-text:t;">
                <w:txbxContent>
                  <w:p w14:paraId="0F210612">
                    <w:pPr>
                      <w:pStyle w:val="18"/>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21DF4">
    <w:pPr>
      <w:pStyle w:val="18"/>
      <w:framePr w:wrap="around" w:vAnchor="text" w:hAnchor="margin" w:xAlign="right" w:y="1"/>
      <w:rPr>
        <w:rStyle w:val="32"/>
      </w:rPr>
    </w:pPr>
    <w:r>
      <w:fldChar w:fldCharType="begin"/>
    </w:r>
    <w:r>
      <w:rPr>
        <w:rStyle w:val="32"/>
      </w:rPr>
      <w:instrText xml:space="preserve">PAGE  </w:instrText>
    </w:r>
    <w:r>
      <w:fldChar w:fldCharType="end"/>
    </w:r>
  </w:p>
  <w:p w14:paraId="091A1B38">
    <w:pPr>
      <w:pStyle w:val="1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YjA3YjIxMzU3NjAwM2YzMThjZTFkMmQ5N2ZmMGIifQ=="/>
  </w:docVars>
  <w:rsids>
    <w:rsidRoot w:val="00691CA2"/>
    <w:rsid w:val="00002851"/>
    <w:rsid w:val="0000470D"/>
    <w:rsid w:val="00006340"/>
    <w:rsid w:val="0000650E"/>
    <w:rsid w:val="000065CC"/>
    <w:rsid w:val="000069EE"/>
    <w:rsid w:val="00012638"/>
    <w:rsid w:val="00012A49"/>
    <w:rsid w:val="00015D95"/>
    <w:rsid w:val="0002092E"/>
    <w:rsid w:val="00022897"/>
    <w:rsid w:val="00024F55"/>
    <w:rsid w:val="000263E3"/>
    <w:rsid w:val="000265EE"/>
    <w:rsid w:val="00030E33"/>
    <w:rsid w:val="0003127C"/>
    <w:rsid w:val="00033C4A"/>
    <w:rsid w:val="00036FE0"/>
    <w:rsid w:val="0003726F"/>
    <w:rsid w:val="00042918"/>
    <w:rsid w:val="000447DC"/>
    <w:rsid w:val="00045447"/>
    <w:rsid w:val="00045F27"/>
    <w:rsid w:val="00050540"/>
    <w:rsid w:val="00050590"/>
    <w:rsid w:val="00050D4B"/>
    <w:rsid w:val="00051411"/>
    <w:rsid w:val="000523CE"/>
    <w:rsid w:val="0005310B"/>
    <w:rsid w:val="00055C0A"/>
    <w:rsid w:val="00055D43"/>
    <w:rsid w:val="00055EF8"/>
    <w:rsid w:val="00057069"/>
    <w:rsid w:val="000575F1"/>
    <w:rsid w:val="00057FD6"/>
    <w:rsid w:val="00061637"/>
    <w:rsid w:val="00062C2A"/>
    <w:rsid w:val="00063628"/>
    <w:rsid w:val="00064BC2"/>
    <w:rsid w:val="000670CB"/>
    <w:rsid w:val="00067127"/>
    <w:rsid w:val="0006799A"/>
    <w:rsid w:val="000702AE"/>
    <w:rsid w:val="000708D2"/>
    <w:rsid w:val="000714A3"/>
    <w:rsid w:val="00071730"/>
    <w:rsid w:val="0007203D"/>
    <w:rsid w:val="0007426C"/>
    <w:rsid w:val="000764CD"/>
    <w:rsid w:val="0008208F"/>
    <w:rsid w:val="00083CAF"/>
    <w:rsid w:val="00083E7B"/>
    <w:rsid w:val="0008411E"/>
    <w:rsid w:val="00084A43"/>
    <w:rsid w:val="000920A7"/>
    <w:rsid w:val="00094240"/>
    <w:rsid w:val="00095A2F"/>
    <w:rsid w:val="00096681"/>
    <w:rsid w:val="00096AD5"/>
    <w:rsid w:val="000A09C2"/>
    <w:rsid w:val="000A0B42"/>
    <w:rsid w:val="000A38A4"/>
    <w:rsid w:val="000A482E"/>
    <w:rsid w:val="000A5F9A"/>
    <w:rsid w:val="000B0282"/>
    <w:rsid w:val="000B1A26"/>
    <w:rsid w:val="000B3A24"/>
    <w:rsid w:val="000B3A48"/>
    <w:rsid w:val="000B5E98"/>
    <w:rsid w:val="000B70D0"/>
    <w:rsid w:val="000B7264"/>
    <w:rsid w:val="000C0AE2"/>
    <w:rsid w:val="000C10DE"/>
    <w:rsid w:val="000C14DF"/>
    <w:rsid w:val="000C273F"/>
    <w:rsid w:val="000C2CC4"/>
    <w:rsid w:val="000C41D5"/>
    <w:rsid w:val="000C524F"/>
    <w:rsid w:val="000C5AB3"/>
    <w:rsid w:val="000C6EC3"/>
    <w:rsid w:val="000C778A"/>
    <w:rsid w:val="000C7B14"/>
    <w:rsid w:val="000D0A5D"/>
    <w:rsid w:val="000D2E5B"/>
    <w:rsid w:val="000D4A46"/>
    <w:rsid w:val="000D4B13"/>
    <w:rsid w:val="000D6BAB"/>
    <w:rsid w:val="000E12C8"/>
    <w:rsid w:val="000E2A58"/>
    <w:rsid w:val="000E310C"/>
    <w:rsid w:val="000E3B1E"/>
    <w:rsid w:val="000E5F8C"/>
    <w:rsid w:val="000F00C8"/>
    <w:rsid w:val="000F2160"/>
    <w:rsid w:val="000F3145"/>
    <w:rsid w:val="000F41F0"/>
    <w:rsid w:val="000F4D6F"/>
    <w:rsid w:val="000F6646"/>
    <w:rsid w:val="000F791D"/>
    <w:rsid w:val="000F7C95"/>
    <w:rsid w:val="00100D1A"/>
    <w:rsid w:val="00102380"/>
    <w:rsid w:val="00104217"/>
    <w:rsid w:val="0010757C"/>
    <w:rsid w:val="001112C1"/>
    <w:rsid w:val="00111986"/>
    <w:rsid w:val="001141DC"/>
    <w:rsid w:val="0011425B"/>
    <w:rsid w:val="00116C58"/>
    <w:rsid w:val="00116DA9"/>
    <w:rsid w:val="0012013E"/>
    <w:rsid w:val="00120E46"/>
    <w:rsid w:val="0012100F"/>
    <w:rsid w:val="001212FD"/>
    <w:rsid w:val="00123049"/>
    <w:rsid w:val="001253FB"/>
    <w:rsid w:val="00125A0C"/>
    <w:rsid w:val="00126545"/>
    <w:rsid w:val="0012677A"/>
    <w:rsid w:val="001348EB"/>
    <w:rsid w:val="001376E5"/>
    <w:rsid w:val="0014205E"/>
    <w:rsid w:val="00142B5D"/>
    <w:rsid w:val="001435F2"/>
    <w:rsid w:val="00143EF6"/>
    <w:rsid w:val="00144C6F"/>
    <w:rsid w:val="00147832"/>
    <w:rsid w:val="00150022"/>
    <w:rsid w:val="001501EA"/>
    <w:rsid w:val="00150D02"/>
    <w:rsid w:val="00151323"/>
    <w:rsid w:val="0015191C"/>
    <w:rsid w:val="00152269"/>
    <w:rsid w:val="001523C1"/>
    <w:rsid w:val="00155010"/>
    <w:rsid w:val="001556E8"/>
    <w:rsid w:val="001571B4"/>
    <w:rsid w:val="001604AF"/>
    <w:rsid w:val="00161B68"/>
    <w:rsid w:val="00162CAD"/>
    <w:rsid w:val="00162D7D"/>
    <w:rsid w:val="00167C98"/>
    <w:rsid w:val="001709B6"/>
    <w:rsid w:val="00171EA1"/>
    <w:rsid w:val="001727C0"/>
    <w:rsid w:val="00173372"/>
    <w:rsid w:val="00174367"/>
    <w:rsid w:val="00175AF3"/>
    <w:rsid w:val="00176C82"/>
    <w:rsid w:val="00176FB0"/>
    <w:rsid w:val="00180440"/>
    <w:rsid w:val="001804A8"/>
    <w:rsid w:val="00180A98"/>
    <w:rsid w:val="00183E1D"/>
    <w:rsid w:val="00184EB0"/>
    <w:rsid w:val="00186194"/>
    <w:rsid w:val="00186A1B"/>
    <w:rsid w:val="00187CAC"/>
    <w:rsid w:val="0019070B"/>
    <w:rsid w:val="001913F5"/>
    <w:rsid w:val="00193FBB"/>
    <w:rsid w:val="00194410"/>
    <w:rsid w:val="00194F75"/>
    <w:rsid w:val="001A2508"/>
    <w:rsid w:val="001A400E"/>
    <w:rsid w:val="001A5BF0"/>
    <w:rsid w:val="001A6E7E"/>
    <w:rsid w:val="001B102A"/>
    <w:rsid w:val="001B12D3"/>
    <w:rsid w:val="001B1575"/>
    <w:rsid w:val="001B15A0"/>
    <w:rsid w:val="001B1A3A"/>
    <w:rsid w:val="001B20A0"/>
    <w:rsid w:val="001B3C50"/>
    <w:rsid w:val="001B3FC8"/>
    <w:rsid w:val="001B583D"/>
    <w:rsid w:val="001B5905"/>
    <w:rsid w:val="001B5B49"/>
    <w:rsid w:val="001B6282"/>
    <w:rsid w:val="001B6FE4"/>
    <w:rsid w:val="001B7455"/>
    <w:rsid w:val="001C1C96"/>
    <w:rsid w:val="001C1E9B"/>
    <w:rsid w:val="001C2519"/>
    <w:rsid w:val="001C2EB8"/>
    <w:rsid w:val="001C4902"/>
    <w:rsid w:val="001C4BDD"/>
    <w:rsid w:val="001C798D"/>
    <w:rsid w:val="001C7E19"/>
    <w:rsid w:val="001D018D"/>
    <w:rsid w:val="001D54D1"/>
    <w:rsid w:val="001D66DD"/>
    <w:rsid w:val="001E58FB"/>
    <w:rsid w:val="001E5CCF"/>
    <w:rsid w:val="001E60C5"/>
    <w:rsid w:val="001E79DA"/>
    <w:rsid w:val="001F001A"/>
    <w:rsid w:val="001F0227"/>
    <w:rsid w:val="001F0297"/>
    <w:rsid w:val="001F052F"/>
    <w:rsid w:val="001F08DF"/>
    <w:rsid w:val="001F13F5"/>
    <w:rsid w:val="001F3C7B"/>
    <w:rsid w:val="001F4649"/>
    <w:rsid w:val="001F470D"/>
    <w:rsid w:val="001F47A1"/>
    <w:rsid w:val="001F50C4"/>
    <w:rsid w:val="001F63DB"/>
    <w:rsid w:val="001F6E36"/>
    <w:rsid w:val="001F6E4D"/>
    <w:rsid w:val="001F7CAC"/>
    <w:rsid w:val="00200447"/>
    <w:rsid w:val="00200D54"/>
    <w:rsid w:val="0020156D"/>
    <w:rsid w:val="00202176"/>
    <w:rsid w:val="002065E1"/>
    <w:rsid w:val="00207A90"/>
    <w:rsid w:val="00207C19"/>
    <w:rsid w:val="00210313"/>
    <w:rsid w:val="002105D4"/>
    <w:rsid w:val="00210C1E"/>
    <w:rsid w:val="002119E2"/>
    <w:rsid w:val="00211ABD"/>
    <w:rsid w:val="00211C21"/>
    <w:rsid w:val="00213D42"/>
    <w:rsid w:val="002164BF"/>
    <w:rsid w:val="00224D1F"/>
    <w:rsid w:val="00226A6B"/>
    <w:rsid w:val="00231E21"/>
    <w:rsid w:val="00232182"/>
    <w:rsid w:val="00235CD7"/>
    <w:rsid w:val="00236E6E"/>
    <w:rsid w:val="00237757"/>
    <w:rsid w:val="0024269F"/>
    <w:rsid w:val="00242FB2"/>
    <w:rsid w:val="00242FEE"/>
    <w:rsid w:val="002432AC"/>
    <w:rsid w:val="00244ED0"/>
    <w:rsid w:val="00245760"/>
    <w:rsid w:val="00247597"/>
    <w:rsid w:val="002519C9"/>
    <w:rsid w:val="00252132"/>
    <w:rsid w:val="0025249E"/>
    <w:rsid w:val="0025433E"/>
    <w:rsid w:val="002543E1"/>
    <w:rsid w:val="00254ECF"/>
    <w:rsid w:val="002559E1"/>
    <w:rsid w:val="00260CD4"/>
    <w:rsid w:val="00260E7E"/>
    <w:rsid w:val="00261209"/>
    <w:rsid w:val="00262743"/>
    <w:rsid w:val="002647B8"/>
    <w:rsid w:val="00266A10"/>
    <w:rsid w:val="00266AA2"/>
    <w:rsid w:val="00267845"/>
    <w:rsid w:val="00271AC4"/>
    <w:rsid w:val="00271B1D"/>
    <w:rsid w:val="00273450"/>
    <w:rsid w:val="00273C8B"/>
    <w:rsid w:val="00273DF4"/>
    <w:rsid w:val="00274136"/>
    <w:rsid w:val="00274987"/>
    <w:rsid w:val="00274A55"/>
    <w:rsid w:val="0027594D"/>
    <w:rsid w:val="00275A7E"/>
    <w:rsid w:val="00277948"/>
    <w:rsid w:val="00280C5C"/>
    <w:rsid w:val="00280E55"/>
    <w:rsid w:val="00281225"/>
    <w:rsid w:val="002821E8"/>
    <w:rsid w:val="00282BC0"/>
    <w:rsid w:val="00283D19"/>
    <w:rsid w:val="0028407B"/>
    <w:rsid w:val="00284D04"/>
    <w:rsid w:val="00285256"/>
    <w:rsid w:val="0028747A"/>
    <w:rsid w:val="0029073B"/>
    <w:rsid w:val="002913E3"/>
    <w:rsid w:val="0029140E"/>
    <w:rsid w:val="00295B05"/>
    <w:rsid w:val="00295DA2"/>
    <w:rsid w:val="00296065"/>
    <w:rsid w:val="002964CB"/>
    <w:rsid w:val="00297807"/>
    <w:rsid w:val="00297850"/>
    <w:rsid w:val="00297E60"/>
    <w:rsid w:val="002A3A4E"/>
    <w:rsid w:val="002A3C3D"/>
    <w:rsid w:val="002A7A86"/>
    <w:rsid w:val="002B06B0"/>
    <w:rsid w:val="002B27A1"/>
    <w:rsid w:val="002B56BC"/>
    <w:rsid w:val="002B6610"/>
    <w:rsid w:val="002C0829"/>
    <w:rsid w:val="002C173E"/>
    <w:rsid w:val="002C1C2C"/>
    <w:rsid w:val="002C1D5A"/>
    <w:rsid w:val="002C1F29"/>
    <w:rsid w:val="002C3256"/>
    <w:rsid w:val="002C3A28"/>
    <w:rsid w:val="002C56E2"/>
    <w:rsid w:val="002C6155"/>
    <w:rsid w:val="002C734B"/>
    <w:rsid w:val="002C7DDE"/>
    <w:rsid w:val="002D0F05"/>
    <w:rsid w:val="002D1C56"/>
    <w:rsid w:val="002D2125"/>
    <w:rsid w:val="002D3C3D"/>
    <w:rsid w:val="002D4F5D"/>
    <w:rsid w:val="002D56D0"/>
    <w:rsid w:val="002D77F3"/>
    <w:rsid w:val="002D7C9E"/>
    <w:rsid w:val="002E0553"/>
    <w:rsid w:val="002E184A"/>
    <w:rsid w:val="002E1D8C"/>
    <w:rsid w:val="002E1E84"/>
    <w:rsid w:val="002E3E15"/>
    <w:rsid w:val="002E473B"/>
    <w:rsid w:val="002E6C0E"/>
    <w:rsid w:val="002F1555"/>
    <w:rsid w:val="002F2420"/>
    <w:rsid w:val="002F2543"/>
    <w:rsid w:val="002F4342"/>
    <w:rsid w:val="002F4854"/>
    <w:rsid w:val="002F74A2"/>
    <w:rsid w:val="002F7B0E"/>
    <w:rsid w:val="002F7CCD"/>
    <w:rsid w:val="00300680"/>
    <w:rsid w:val="0030099C"/>
    <w:rsid w:val="0030163A"/>
    <w:rsid w:val="00302A7F"/>
    <w:rsid w:val="00304538"/>
    <w:rsid w:val="00304746"/>
    <w:rsid w:val="00305C92"/>
    <w:rsid w:val="00305DAD"/>
    <w:rsid w:val="003062D2"/>
    <w:rsid w:val="003063E5"/>
    <w:rsid w:val="0030674E"/>
    <w:rsid w:val="00306C13"/>
    <w:rsid w:val="00307240"/>
    <w:rsid w:val="00307410"/>
    <w:rsid w:val="00312E2C"/>
    <w:rsid w:val="00315ACD"/>
    <w:rsid w:val="00316507"/>
    <w:rsid w:val="0031787D"/>
    <w:rsid w:val="00320B3D"/>
    <w:rsid w:val="00325160"/>
    <w:rsid w:val="0032528A"/>
    <w:rsid w:val="003305C3"/>
    <w:rsid w:val="00333C69"/>
    <w:rsid w:val="00334908"/>
    <w:rsid w:val="00334D31"/>
    <w:rsid w:val="00335581"/>
    <w:rsid w:val="00337222"/>
    <w:rsid w:val="00337285"/>
    <w:rsid w:val="0033734A"/>
    <w:rsid w:val="003405FD"/>
    <w:rsid w:val="00340859"/>
    <w:rsid w:val="00340A55"/>
    <w:rsid w:val="00341552"/>
    <w:rsid w:val="003447D3"/>
    <w:rsid w:val="003457A4"/>
    <w:rsid w:val="0034684A"/>
    <w:rsid w:val="00350EF0"/>
    <w:rsid w:val="00350F8E"/>
    <w:rsid w:val="00351C9A"/>
    <w:rsid w:val="0035223F"/>
    <w:rsid w:val="00353093"/>
    <w:rsid w:val="00354A6D"/>
    <w:rsid w:val="00354C35"/>
    <w:rsid w:val="0035622E"/>
    <w:rsid w:val="00356330"/>
    <w:rsid w:val="0035683C"/>
    <w:rsid w:val="003575E2"/>
    <w:rsid w:val="0035771F"/>
    <w:rsid w:val="0036463C"/>
    <w:rsid w:val="00365C7E"/>
    <w:rsid w:val="003672C2"/>
    <w:rsid w:val="003673F2"/>
    <w:rsid w:val="0036787A"/>
    <w:rsid w:val="00367941"/>
    <w:rsid w:val="00370B63"/>
    <w:rsid w:val="00370EEF"/>
    <w:rsid w:val="0037101A"/>
    <w:rsid w:val="003717D6"/>
    <w:rsid w:val="00372ED3"/>
    <w:rsid w:val="00380674"/>
    <w:rsid w:val="00380A4D"/>
    <w:rsid w:val="00380E8B"/>
    <w:rsid w:val="00381E79"/>
    <w:rsid w:val="00382C6C"/>
    <w:rsid w:val="00384402"/>
    <w:rsid w:val="0038644E"/>
    <w:rsid w:val="00386FB1"/>
    <w:rsid w:val="00390CC4"/>
    <w:rsid w:val="0039120B"/>
    <w:rsid w:val="00392158"/>
    <w:rsid w:val="003951CA"/>
    <w:rsid w:val="003955CB"/>
    <w:rsid w:val="003A025E"/>
    <w:rsid w:val="003A0870"/>
    <w:rsid w:val="003A091A"/>
    <w:rsid w:val="003A0D82"/>
    <w:rsid w:val="003A1A99"/>
    <w:rsid w:val="003A35F4"/>
    <w:rsid w:val="003A3CC1"/>
    <w:rsid w:val="003A50E1"/>
    <w:rsid w:val="003A5D6F"/>
    <w:rsid w:val="003A6D25"/>
    <w:rsid w:val="003B0D18"/>
    <w:rsid w:val="003B1248"/>
    <w:rsid w:val="003B14DC"/>
    <w:rsid w:val="003B1C6B"/>
    <w:rsid w:val="003B2A9B"/>
    <w:rsid w:val="003B5121"/>
    <w:rsid w:val="003B5D42"/>
    <w:rsid w:val="003B60F5"/>
    <w:rsid w:val="003B71C7"/>
    <w:rsid w:val="003B7EEE"/>
    <w:rsid w:val="003C3563"/>
    <w:rsid w:val="003C523E"/>
    <w:rsid w:val="003C59B0"/>
    <w:rsid w:val="003D1EB1"/>
    <w:rsid w:val="003D2077"/>
    <w:rsid w:val="003D2A56"/>
    <w:rsid w:val="003D433D"/>
    <w:rsid w:val="003D524E"/>
    <w:rsid w:val="003D573E"/>
    <w:rsid w:val="003D7511"/>
    <w:rsid w:val="003E0576"/>
    <w:rsid w:val="003E0B6D"/>
    <w:rsid w:val="003E0F3E"/>
    <w:rsid w:val="003E1967"/>
    <w:rsid w:val="003E20FC"/>
    <w:rsid w:val="003E2295"/>
    <w:rsid w:val="003E2FA6"/>
    <w:rsid w:val="003E4CCF"/>
    <w:rsid w:val="003E73B1"/>
    <w:rsid w:val="003F0FBF"/>
    <w:rsid w:val="003F1E4F"/>
    <w:rsid w:val="003F5F88"/>
    <w:rsid w:val="003F79E5"/>
    <w:rsid w:val="003F7AF5"/>
    <w:rsid w:val="004040DA"/>
    <w:rsid w:val="00404534"/>
    <w:rsid w:val="0041068A"/>
    <w:rsid w:val="00410873"/>
    <w:rsid w:val="00410CA1"/>
    <w:rsid w:val="00413EDD"/>
    <w:rsid w:val="00414BDD"/>
    <w:rsid w:val="0041553F"/>
    <w:rsid w:val="004241CF"/>
    <w:rsid w:val="00427570"/>
    <w:rsid w:val="004304CD"/>
    <w:rsid w:val="00430B00"/>
    <w:rsid w:val="00431F13"/>
    <w:rsid w:val="00431F3E"/>
    <w:rsid w:val="00432F5B"/>
    <w:rsid w:val="00434B1C"/>
    <w:rsid w:val="004357EE"/>
    <w:rsid w:val="00436114"/>
    <w:rsid w:val="00436658"/>
    <w:rsid w:val="004377B8"/>
    <w:rsid w:val="0044421D"/>
    <w:rsid w:val="004468E1"/>
    <w:rsid w:val="0044763C"/>
    <w:rsid w:val="00447783"/>
    <w:rsid w:val="0045060B"/>
    <w:rsid w:val="004514B5"/>
    <w:rsid w:val="004532F0"/>
    <w:rsid w:val="00453435"/>
    <w:rsid w:val="00454852"/>
    <w:rsid w:val="00454BE1"/>
    <w:rsid w:val="0045670F"/>
    <w:rsid w:val="00457183"/>
    <w:rsid w:val="00461714"/>
    <w:rsid w:val="0046260C"/>
    <w:rsid w:val="004639F8"/>
    <w:rsid w:val="00466D61"/>
    <w:rsid w:val="00470747"/>
    <w:rsid w:val="00470B3E"/>
    <w:rsid w:val="004729BD"/>
    <w:rsid w:val="00473C4F"/>
    <w:rsid w:val="004753B7"/>
    <w:rsid w:val="00475922"/>
    <w:rsid w:val="0047684B"/>
    <w:rsid w:val="00482214"/>
    <w:rsid w:val="00483805"/>
    <w:rsid w:val="00483B89"/>
    <w:rsid w:val="00484E5B"/>
    <w:rsid w:val="00485535"/>
    <w:rsid w:val="00486EF9"/>
    <w:rsid w:val="004875F0"/>
    <w:rsid w:val="004908EB"/>
    <w:rsid w:val="00490FC6"/>
    <w:rsid w:val="004923F2"/>
    <w:rsid w:val="004929F3"/>
    <w:rsid w:val="00492EED"/>
    <w:rsid w:val="00494E11"/>
    <w:rsid w:val="00494EE2"/>
    <w:rsid w:val="00495ECD"/>
    <w:rsid w:val="0049695A"/>
    <w:rsid w:val="004969C7"/>
    <w:rsid w:val="004A01F6"/>
    <w:rsid w:val="004A74A4"/>
    <w:rsid w:val="004B0494"/>
    <w:rsid w:val="004B061A"/>
    <w:rsid w:val="004B0D01"/>
    <w:rsid w:val="004B15F1"/>
    <w:rsid w:val="004B1C8F"/>
    <w:rsid w:val="004B2750"/>
    <w:rsid w:val="004B3DA3"/>
    <w:rsid w:val="004B681F"/>
    <w:rsid w:val="004B792C"/>
    <w:rsid w:val="004C0FCD"/>
    <w:rsid w:val="004C230B"/>
    <w:rsid w:val="004C298C"/>
    <w:rsid w:val="004C4921"/>
    <w:rsid w:val="004C5BE2"/>
    <w:rsid w:val="004C5E9F"/>
    <w:rsid w:val="004C73CE"/>
    <w:rsid w:val="004D010A"/>
    <w:rsid w:val="004D0AE1"/>
    <w:rsid w:val="004D3B20"/>
    <w:rsid w:val="004D3C30"/>
    <w:rsid w:val="004D4176"/>
    <w:rsid w:val="004D5111"/>
    <w:rsid w:val="004D612B"/>
    <w:rsid w:val="004D6468"/>
    <w:rsid w:val="004D66DA"/>
    <w:rsid w:val="004D6EC3"/>
    <w:rsid w:val="004E2445"/>
    <w:rsid w:val="004E37A8"/>
    <w:rsid w:val="004E3BFE"/>
    <w:rsid w:val="004E6D0A"/>
    <w:rsid w:val="004E749E"/>
    <w:rsid w:val="004E786A"/>
    <w:rsid w:val="004F1A5D"/>
    <w:rsid w:val="004F2A25"/>
    <w:rsid w:val="004F68BC"/>
    <w:rsid w:val="004F7164"/>
    <w:rsid w:val="00500AA3"/>
    <w:rsid w:val="005017EB"/>
    <w:rsid w:val="00502C5C"/>
    <w:rsid w:val="005036F4"/>
    <w:rsid w:val="005041D7"/>
    <w:rsid w:val="0050685F"/>
    <w:rsid w:val="00511B62"/>
    <w:rsid w:val="00512ED6"/>
    <w:rsid w:val="00513770"/>
    <w:rsid w:val="00514BF7"/>
    <w:rsid w:val="00515BB3"/>
    <w:rsid w:val="00516523"/>
    <w:rsid w:val="00516564"/>
    <w:rsid w:val="005165CE"/>
    <w:rsid w:val="00517CEE"/>
    <w:rsid w:val="00521296"/>
    <w:rsid w:val="005217C2"/>
    <w:rsid w:val="0052196B"/>
    <w:rsid w:val="0052220C"/>
    <w:rsid w:val="00522B91"/>
    <w:rsid w:val="00523B06"/>
    <w:rsid w:val="0052460A"/>
    <w:rsid w:val="00525FA3"/>
    <w:rsid w:val="005268F2"/>
    <w:rsid w:val="005269BF"/>
    <w:rsid w:val="0052755F"/>
    <w:rsid w:val="00530AB9"/>
    <w:rsid w:val="00531991"/>
    <w:rsid w:val="00531FDE"/>
    <w:rsid w:val="00532C7B"/>
    <w:rsid w:val="00533407"/>
    <w:rsid w:val="00534F38"/>
    <w:rsid w:val="00535A00"/>
    <w:rsid w:val="005362C1"/>
    <w:rsid w:val="00536FAC"/>
    <w:rsid w:val="005406BC"/>
    <w:rsid w:val="005408EE"/>
    <w:rsid w:val="005414B3"/>
    <w:rsid w:val="005418FE"/>
    <w:rsid w:val="00543360"/>
    <w:rsid w:val="00543A50"/>
    <w:rsid w:val="005446EE"/>
    <w:rsid w:val="0054501D"/>
    <w:rsid w:val="00545166"/>
    <w:rsid w:val="005459D6"/>
    <w:rsid w:val="00545AFF"/>
    <w:rsid w:val="00545C36"/>
    <w:rsid w:val="005472CB"/>
    <w:rsid w:val="005504AB"/>
    <w:rsid w:val="0055147B"/>
    <w:rsid w:val="0055337B"/>
    <w:rsid w:val="00553E77"/>
    <w:rsid w:val="00554715"/>
    <w:rsid w:val="0055493F"/>
    <w:rsid w:val="00556F8C"/>
    <w:rsid w:val="00561353"/>
    <w:rsid w:val="00561F90"/>
    <w:rsid w:val="005624EB"/>
    <w:rsid w:val="005630C3"/>
    <w:rsid w:val="005639FA"/>
    <w:rsid w:val="00563A9A"/>
    <w:rsid w:val="00564FFE"/>
    <w:rsid w:val="005653CA"/>
    <w:rsid w:val="00565495"/>
    <w:rsid w:val="00565B07"/>
    <w:rsid w:val="00566598"/>
    <w:rsid w:val="00566939"/>
    <w:rsid w:val="00567E6A"/>
    <w:rsid w:val="005714A4"/>
    <w:rsid w:val="005765AD"/>
    <w:rsid w:val="005806D1"/>
    <w:rsid w:val="005815F6"/>
    <w:rsid w:val="00583207"/>
    <w:rsid w:val="0058596E"/>
    <w:rsid w:val="00585BB6"/>
    <w:rsid w:val="00585EAF"/>
    <w:rsid w:val="00585F0F"/>
    <w:rsid w:val="00586628"/>
    <w:rsid w:val="005866DB"/>
    <w:rsid w:val="005910C3"/>
    <w:rsid w:val="00592214"/>
    <w:rsid w:val="00594047"/>
    <w:rsid w:val="005969A5"/>
    <w:rsid w:val="005A10B8"/>
    <w:rsid w:val="005A1CEF"/>
    <w:rsid w:val="005A1DE3"/>
    <w:rsid w:val="005A2199"/>
    <w:rsid w:val="005A2B30"/>
    <w:rsid w:val="005A33BF"/>
    <w:rsid w:val="005A3F9A"/>
    <w:rsid w:val="005A4FBF"/>
    <w:rsid w:val="005A5CB5"/>
    <w:rsid w:val="005A6E77"/>
    <w:rsid w:val="005A7ADB"/>
    <w:rsid w:val="005B0749"/>
    <w:rsid w:val="005B1AB0"/>
    <w:rsid w:val="005B3CD7"/>
    <w:rsid w:val="005B56AC"/>
    <w:rsid w:val="005B585F"/>
    <w:rsid w:val="005B5BFB"/>
    <w:rsid w:val="005B6241"/>
    <w:rsid w:val="005B6582"/>
    <w:rsid w:val="005C0233"/>
    <w:rsid w:val="005C2975"/>
    <w:rsid w:val="005C2E2A"/>
    <w:rsid w:val="005C35C7"/>
    <w:rsid w:val="005C3A2F"/>
    <w:rsid w:val="005C3C9C"/>
    <w:rsid w:val="005C4542"/>
    <w:rsid w:val="005C47D1"/>
    <w:rsid w:val="005C6A56"/>
    <w:rsid w:val="005D1C83"/>
    <w:rsid w:val="005D24D3"/>
    <w:rsid w:val="005D2730"/>
    <w:rsid w:val="005D3113"/>
    <w:rsid w:val="005D369C"/>
    <w:rsid w:val="005D4742"/>
    <w:rsid w:val="005D589C"/>
    <w:rsid w:val="005D5CD1"/>
    <w:rsid w:val="005D6DD5"/>
    <w:rsid w:val="005E0444"/>
    <w:rsid w:val="005E24E7"/>
    <w:rsid w:val="005E2726"/>
    <w:rsid w:val="005E3CB3"/>
    <w:rsid w:val="005E7477"/>
    <w:rsid w:val="005E77B8"/>
    <w:rsid w:val="005F03B8"/>
    <w:rsid w:val="005F1FAA"/>
    <w:rsid w:val="005F2590"/>
    <w:rsid w:val="005F265A"/>
    <w:rsid w:val="005F2AF7"/>
    <w:rsid w:val="005F3AD3"/>
    <w:rsid w:val="005F4952"/>
    <w:rsid w:val="005F6781"/>
    <w:rsid w:val="0060416D"/>
    <w:rsid w:val="00604CA5"/>
    <w:rsid w:val="006054B9"/>
    <w:rsid w:val="0060594C"/>
    <w:rsid w:val="0061393D"/>
    <w:rsid w:val="00614BB1"/>
    <w:rsid w:val="006205C1"/>
    <w:rsid w:val="00620DDF"/>
    <w:rsid w:val="00620E9C"/>
    <w:rsid w:val="0062134C"/>
    <w:rsid w:val="0062186B"/>
    <w:rsid w:val="00630460"/>
    <w:rsid w:val="00631ED4"/>
    <w:rsid w:val="00632B88"/>
    <w:rsid w:val="00635A74"/>
    <w:rsid w:val="00636DF7"/>
    <w:rsid w:val="00636F84"/>
    <w:rsid w:val="0064025F"/>
    <w:rsid w:val="00641F2A"/>
    <w:rsid w:val="00642023"/>
    <w:rsid w:val="006434F6"/>
    <w:rsid w:val="006446F7"/>
    <w:rsid w:val="0064505F"/>
    <w:rsid w:val="00646AA9"/>
    <w:rsid w:val="00653F00"/>
    <w:rsid w:val="00654882"/>
    <w:rsid w:val="00663E9A"/>
    <w:rsid w:val="00665B2E"/>
    <w:rsid w:val="0066704D"/>
    <w:rsid w:val="00673907"/>
    <w:rsid w:val="00674AFD"/>
    <w:rsid w:val="00675C1A"/>
    <w:rsid w:val="0067609E"/>
    <w:rsid w:val="00677C72"/>
    <w:rsid w:val="00680B60"/>
    <w:rsid w:val="00681ACA"/>
    <w:rsid w:val="0068308E"/>
    <w:rsid w:val="00684BE9"/>
    <w:rsid w:val="00684F9F"/>
    <w:rsid w:val="00686691"/>
    <w:rsid w:val="00686D5C"/>
    <w:rsid w:val="006871C8"/>
    <w:rsid w:val="006874C8"/>
    <w:rsid w:val="00690377"/>
    <w:rsid w:val="006903ED"/>
    <w:rsid w:val="00691561"/>
    <w:rsid w:val="00691929"/>
    <w:rsid w:val="00691CA2"/>
    <w:rsid w:val="00691CF8"/>
    <w:rsid w:val="006923E3"/>
    <w:rsid w:val="00692EE6"/>
    <w:rsid w:val="00693184"/>
    <w:rsid w:val="006959FD"/>
    <w:rsid w:val="00695EE5"/>
    <w:rsid w:val="006A116C"/>
    <w:rsid w:val="006A2731"/>
    <w:rsid w:val="006A3A8F"/>
    <w:rsid w:val="006A6D49"/>
    <w:rsid w:val="006A74DC"/>
    <w:rsid w:val="006A7732"/>
    <w:rsid w:val="006B0C5B"/>
    <w:rsid w:val="006B0F6A"/>
    <w:rsid w:val="006B1153"/>
    <w:rsid w:val="006B3950"/>
    <w:rsid w:val="006B3D18"/>
    <w:rsid w:val="006B4B6A"/>
    <w:rsid w:val="006B5AC6"/>
    <w:rsid w:val="006B5F86"/>
    <w:rsid w:val="006B64C8"/>
    <w:rsid w:val="006B6A50"/>
    <w:rsid w:val="006B6FAD"/>
    <w:rsid w:val="006C0AA0"/>
    <w:rsid w:val="006C268B"/>
    <w:rsid w:val="006C4B91"/>
    <w:rsid w:val="006C4E1D"/>
    <w:rsid w:val="006C6A34"/>
    <w:rsid w:val="006D0BBD"/>
    <w:rsid w:val="006D4CFE"/>
    <w:rsid w:val="006D5402"/>
    <w:rsid w:val="006E0171"/>
    <w:rsid w:val="006E10A5"/>
    <w:rsid w:val="006E60A8"/>
    <w:rsid w:val="006E6C7A"/>
    <w:rsid w:val="006E7C47"/>
    <w:rsid w:val="006F02C4"/>
    <w:rsid w:val="006F0470"/>
    <w:rsid w:val="006F0645"/>
    <w:rsid w:val="006F1254"/>
    <w:rsid w:val="006F23B7"/>
    <w:rsid w:val="006F353A"/>
    <w:rsid w:val="006F3562"/>
    <w:rsid w:val="006F4AF9"/>
    <w:rsid w:val="006F4E75"/>
    <w:rsid w:val="006F53B4"/>
    <w:rsid w:val="006F6B51"/>
    <w:rsid w:val="006F6D5B"/>
    <w:rsid w:val="006F7A72"/>
    <w:rsid w:val="006F7CD7"/>
    <w:rsid w:val="007006F3"/>
    <w:rsid w:val="007014C2"/>
    <w:rsid w:val="00704522"/>
    <w:rsid w:val="0070462D"/>
    <w:rsid w:val="0070562F"/>
    <w:rsid w:val="00705814"/>
    <w:rsid w:val="007067FB"/>
    <w:rsid w:val="00706C36"/>
    <w:rsid w:val="007137E9"/>
    <w:rsid w:val="0071440D"/>
    <w:rsid w:val="00714C85"/>
    <w:rsid w:val="007174DA"/>
    <w:rsid w:val="00717527"/>
    <w:rsid w:val="00717835"/>
    <w:rsid w:val="00724190"/>
    <w:rsid w:val="007247FE"/>
    <w:rsid w:val="00724CC6"/>
    <w:rsid w:val="00726F67"/>
    <w:rsid w:val="00727A9B"/>
    <w:rsid w:val="0073346F"/>
    <w:rsid w:val="0073792E"/>
    <w:rsid w:val="007379E2"/>
    <w:rsid w:val="007408CE"/>
    <w:rsid w:val="007417D2"/>
    <w:rsid w:val="007422D0"/>
    <w:rsid w:val="00742565"/>
    <w:rsid w:val="00742BE4"/>
    <w:rsid w:val="00745E4A"/>
    <w:rsid w:val="00752292"/>
    <w:rsid w:val="0075507A"/>
    <w:rsid w:val="007557E1"/>
    <w:rsid w:val="007566E4"/>
    <w:rsid w:val="007573B9"/>
    <w:rsid w:val="00757D84"/>
    <w:rsid w:val="00757E4D"/>
    <w:rsid w:val="007613BD"/>
    <w:rsid w:val="0076218F"/>
    <w:rsid w:val="00763F20"/>
    <w:rsid w:val="007705F7"/>
    <w:rsid w:val="007751A6"/>
    <w:rsid w:val="0077545C"/>
    <w:rsid w:val="00775EC4"/>
    <w:rsid w:val="007760EA"/>
    <w:rsid w:val="00780962"/>
    <w:rsid w:val="007836DD"/>
    <w:rsid w:val="00783C51"/>
    <w:rsid w:val="00785816"/>
    <w:rsid w:val="00785C56"/>
    <w:rsid w:val="007860A2"/>
    <w:rsid w:val="00787664"/>
    <w:rsid w:val="00790F84"/>
    <w:rsid w:val="00792254"/>
    <w:rsid w:val="00793EA8"/>
    <w:rsid w:val="0079520A"/>
    <w:rsid w:val="00795A4D"/>
    <w:rsid w:val="00797606"/>
    <w:rsid w:val="007A7ABB"/>
    <w:rsid w:val="007B0ABF"/>
    <w:rsid w:val="007B31D3"/>
    <w:rsid w:val="007B40E4"/>
    <w:rsid w:val="007B54EA"/>
    <w:rsid w:val="007B6D2A"/>
    <w:rsid w:val="007B753F"/>
    <w:rsid w:val="007C185A"/>
    <w:rsid w:val="007C361B"/>
    <w:rsid w:val="007C50D8"/>
    <w:rsid w:val="007C5E5A"/>
    <w:rsid w:val="007C7125"/>
    <w:rsid w:val="007D0165"/>
    <w:rsid w:val="007D0218"/>
    <w:rsid w:val="007D1093"/>
    <w:rsid w:val="007D5862"/>
    <w:rsid w:val="007D587A"/>
    <w:rsid w:val="007D5A3D"/>
    <w:rsid w:val="007D76B8"/>
    <w:rsid w:val="007E173E"/>
    <w:rsid w:val="007E5B8C"/>
    <w:rsid w:val="007E7680"/>
    <w:rsid w:val="007F0ECE"/>
    <w:rsid w:val="007F2F0B"/>
    <w:rsid w:val="007F3091"/>
    <w:rsid w:val="007F52D1"/>
    <w:rsid w:val="007F5D99"/>
    <w:rsid w:val="007F6138"/>
    <w:rsid w:val="007F7816"/>
    <w:rsid w:val="008000AF"/>
    <w:rsid w:val="00800932"/>
    <w:rsid w:val="00804CE6"/>
    <w:rsid w:val="00807EEF"/>
    <w:rsid w:val="00810114"/>
    <w:rsid w:val="008101C0"/>
    <w:rsid w:val="00810A47"/>
    <w:rsid w:val="008133A2"/>
    <w:rsid w:val="008145E6"/>
    <w:rsid w:val="00816726"/>
    <w:rsid w:val="008176CF"/>
    <w:rsid w:val="008212CF"/>
    <w:rsid w:val="008218EB"/>
    <w:rsid w:val="00821BAF"/>
    <w:rsid w:val="00824D75"/>
    <w:rsid w:val="0082589D"/>
    <w:rsid w:val="00826779"/>
    <w:rsid w:val="008274D9"/>
    <w:rsid w:val="00833571"/>
    <w:rsid w:val="008348D3"/>
    <w:rsid w:val="008350E4"/>
    <w:rsid w:val="00835C35"/>
    <w:rsid w:val="008363A1"/>
    <w:rsid w:val="00837A2C"/>
    <w:rsid w:val="00837C8D"/>
    <w:rsid w:val="00841152"/>
    <w:rsid w:val="00841300"/>
    <w:rsid w:val="00841849"/>
    <w:rsid w:val="00841B4F"/>
    <w:rsid w:val="008427F3"/>
    <w:rsid w:val="00843F98"/>
    <w:rsid w:val="00845EC0"/>
    <w:rsid w:val="0084606F"/>
    <w:rsid w:val="00847F5E"/>
    <w:rsid w:val="008501F4"/>
    <w:rsid w:val="008513DB"/>
    <w:rsid w:val="00852D6A"/>
    <w:rsid w:val="008547A8"/>
    <w:rsid w:val="008567DA"/>
    <w:rsid w:val="008607AA"/>
    <w:rsid w:val="00861792"/>
    <w:rsid w:val="00861D43"/>
    <w:rsid w:val="00861F37"/>
    <w:rsid w:val="00862631"/>
    <w:rsid w:val="008662BF"/>
    <w:rsid w:val="00871BB1"/>
    <w:rsid w:val="0087490E"/>
    <w:rsid w:val="0087717B"/>
    <w:rsid w:val="00877B2B"/>
    <w:rsid w:val="008814E2"/>
    <w:rsid w:val="008828CF"/>
    <w:rsid w:val="00882A2E"/>
    <w:rsid w:val="00883F34"/>
    <w:rsid w:val="00884C00"/>
    <w:rsid w:val="00892961"/>
    <w:rsid w:val="008930DE"/>
    <w:rsid w:val="008932D5"/>
    <w:rsid w:val="00893C6D"/>
    <w:rsid w:val="00893D00"/>
    <w:rsid w:val="00893D4A"/>
    <w:rsid w:val="00894082"/>
    <w:rsid w:val="00895AC4"/>
    <w:rsid w:val="008962F6"/>
    <w:rsid w:val="008965AB"/>
    <w:rsid w:val="00897BDD"/>
    <w:rsid w:val="008A01C1"/>
    <w:rsid w:val="008A31D4"/>
    <w:rsid w:val="008A64F7"/>
    <w:rsid w:val="008B099E"/>
    <w:rsid w:val="008B0E05"/>
    <w:rsid w:val="008B29E0"/>
    <w:rsid w:val="008B41B6"/>
    <w:rsid w:val="008B7156"/>
    <w:rsid w:val="008B7950"/>
    <w:rsid w:val="008C010F"/>
    <w:rsid w:val="008C1486"/>
    <w:rsid w:val="008C3408"/>
    <w:rsid w:val="008C395A"/>
    <w:rsid w:val="008C3DD3"/>
    <w:rsid w:val="008D04BD"/>
    <w:rsid w:val="008D1E55"/>
    <w:rsid w:val="008D27D2"/>
    <w:rsid w:val="008D3EF3"/>
    <w:rsid w:val="008D630C"/>
    <w:rsid w:val="008D6A87"/>
    <w:rsid w:val="008E0DDD"/>
    <w:rsid w:val="008E22AC"/>
    <w:rsid w:val="008E2618"/>
    <w:rsid w:val="008E312B"/>
    <w:rsid w:val="008E3EF0"/>
    <w:rsid w:val="008E4231"/>
    <w:rsid w:val="008E46EA"/>
    <w:rsid w:val="008E73CA"/>
    <w:rsid w:val="008E7B36"/>
    <w:rsid w:val="008F01A3"/>
    <w:rsid w:val="008F0D6B"/>
    <w:rsid w:val="008F2346"/>
    <w:rsid w:val="008F3812"/>
    <w:rsid w:val="008F3DA0"/>
    <w:rsid w:val="008F5D0C"/>
    <w:rsid w:val="00902514"/>
    <w:rsid w:val="009043C0"/>
    <w:rsid w:val="009044D0"/>
    <w:rsid w:val="00905909"/>
    <w:rsid w:val="00906D49"/>
    <w:rsid w:val="00910946"/>
    <w:rsid w:val="00915573"/>
    <w:rsid w:val="00920B0F"/>
    <w:rsid w:val="00921ACE"/>
    <w:rsid w:val="00921BD1"/>
    <w:rsid w:val="00921D30"/>
    <w:rsid w:val="00922C96"/>
    <w:rsid w:val="00923223"/>
    <w:rsid w:val="00923EF1"/>
    <w:rsid w:val="00924481"/>
    <w:rsid w:val="00924683"/>
    <w:rsid w:val="00924810"/>
    <w:rsid w:val="00925D59"/>
    <w:rsid w:val="0092618E"/>
    <w:rsid w:val="00926E14"/>
    <w:rsid w:val="009271DA"/>
    <w:rsid w:val="0092786D"/>
    <w:rsid w:val="00930F41"/>
    <w:rsid w:val="00931615"/>
    <w:rsid w:val="00933DB7"/>
    <w:rsid w:val="00934E51"/>
    <w:rsid w:val="009353B9"/>
    <w:rsid w:val="009359FC"/>
    <w:rsid w:val="00942CE9"/>
    <w:rsid w:val="0094324B"/>
    <w:rsid w:val="009447B3"/>
    <w:rsid w:val="00945B5A"/>
    <w:rsid w:val="009468A8"/>
    <w:rsid w:val="0095031D"/>
    <w:rsid w:val="0095048A"/>
    <w:rsid w:val="00951029"/>
    <w:rsid w:val="009521AE"/>
    <w:rsid w:val="0095267E"/>
    <w:rsid w:val="0095316E"/>
    <w:rsid w:val="0095534E"/>
    <w:rsid w:val="009614F3"/>
    <w:rsid w:val="00962664"/>
    <w:rsid w:val="00963244"/>
    <w:rsid w:val="009665F5"/>
    <w:rsid w:val="009668BC"/>
    <w:rsid w:val="00967499"/>
    <w:rsid w:val="009677B1"/>
    <w:rsid w:val="009704B8"/>
    <w:rsid w:val="009717E6"/>
    <w:rsid w:val="00973530"/>
    <w:rsid w:val="00973FD1"/>
    <w:rsid w:val="00975426"/>
    <w:rsid w:val="00975FC9"/>
    <w:rsid w:val="00976470"/>
    <w:rsid w:val="00976F75"/>
    <w:rsid w:val="00977900"/>
    <w:rsid w:val="0098243B"/>
    <w:rsid w:val="00983219"/>
    <w:rsid w:val="009839F5"/>
    <w:rsid w:val="00983AE6"/>
    <w:rsid w:val="00983FE1"/>
    <w:rsid w:val="00984E47"/>
    <w:rsid w:val="0098629F"/>
    <w:rsid w:val="00990C5F"/>
    <w:rsid w:val="00992F9A"/>
    <w:rsid w:val="00993068"/>
    <w:rsid w:val="00996146"/>
    <w:rsid w:val="0099655C"/>
    <w:rsid w:val="009972A3"/>
    <w:rsid w:val="00997BD3"/>
    <w:rsid w:val="009A267F"/>
    <w:rsid w:val="009A3188"/>
    <w:rsid w:val="009A53A0"/>
    <w:rsid w:val="009A67DB"/>
    <w:rsid w:val="009A6C21"/>
    <w:rsid w:val="009A76CD"/>
    <w:rsid w:val="009B15BB"/>
    <w:rsid w:val="009B17A9"/>
    <w:rsid w:val="009B38D0"/>
    <w:rsid w:val="009B562C"/>
    <w:rsid w:val="009B57BA"/>
    <w:rsid w:val="009B59F0"/>
    <w:rsid w:val="009B6112"/>
    <w:rsid w:val="009B6219"/>
    <w:rsid w:val="009B69ED"/>
    <w:rsid w:val="009B6C5B"/>
    <w:rsid w:val="009C25F9"/>
    <w:rsid w:val="009C3388"/>
    <w:rsid w:val="009C50FE"/>
    <w:rsid w:val="009C593C"/>
    <w:rsid w:val="009C651F"/>
    <w:rsid w:val="009C6604"/>
    <w:rsid w:val="009C7E2A"/>
    <w:rsid w:val="009D1DA4"/>
    <w:rsid w:val="009D2ECB"/>
    <w:rsid w:val="009D69E3"/>
    <w:rsid w:val="009E0587"/>
    <w:rsid w:val="009E0744"/>
    <w:rsid w:val="009E28E2"/>
    <w:rsid w:val="009E31DA"/>
    <w:rsid w:val="009E41C9"/>
    <w:rsid w:val="009E43F1"/>
    <w:rsid w:val="009E620B"/>
    <w:rsid w:val="009E65F3"/>
    <w:rsid w:val="009E7573"/>
    <w:rsid w:val="009F03D6"/>
    <w:rsid w:val="009F0F3A"/>
    <w:rsid w:val="009F135F"/>
    <w:rsid w:val="009F1780"/>
    <w:rsid w:val="009F2579"/>
    <w:rsid w:val="009F2927"/>
    <w:rsid w:val="009F3CEC"/>
    <w:rsid w:val="009F49DA"/>
    <w:rsid w:val="009F65A5"/>
    <w:rsid w:val="00A012E2"/>
    <w:rsid w:val="00A0608B"/>
    <w:rsid w:val="00A06EC5"/>
    <w:rsid w:val="00A10B41"/>
    <w:rsid w:val="00A12076"/>
    <w:rsid w:val="00A1293B"/>
    <w:rsid w:val="00A17323"/>
    <w:rsid w:val="00A204AE"/>
    <w:rsid w:val="00A217B8"/>
    <w:rsid w:val="00A21B8B"/>
    <w:rsid w:val="00A24B61"/>
    <w:rsid w:val="00A2568C"/>
    <w:rsid w:val="00A26C72"/>
    <w:rsid w:val="00A26E16"/>
    <w:rsid w:val="00A27757"/>
    <w:rsid w:val="00A311EE"/>
    <w:rsid w:val="00A329BF"/>
    <w:rsid w:val="00A33012"/>
    <w:rsid w:val="00A36791"/>
    <w:rsid w:val="00A36DEB"/>
    <w:rsid w:val="00A375C2"/>
    <w:rsid w:val="00A40DC4"/>
    <w:rsid w:val="00A4239B"/>
    <w:rsid w:val="00A439F7"/>
    <w:rsid w:val="00A43FD7"/>
    <w:rsid w:val="00A4444E"/>
    <w:rsid w:val="00A45253"/>
    <w:rsid w:val="00A46959"/>
    <w:rsid w:val="00A4758A"/>
    <w:rsid w:val="00A50017"/>
    <w:rsid w:val="00A5007B"/>
    <w:rsid w:val="00A506C3"/>
    <w:rsid w:val="00A532D4"/>
    <w:rsid w:val="00A53514"/>
    <w:rsid w:val="00A53D74"/>
    <w:rsid w:val="00A618CE"/>
    <w:rsid w:val="00A61B12"/>
    <w:rsid w:val="00A61EF5"/>
    <w:rsid w:val="00A62A92"/>
    <w:rsid w:val="00A62D86"/>
    <w:rsid w:val="00A62E04"/>
    <w:rsid w:val="00A62FB7"/>
    <w:rsid w:val="00A63238"/>
    <w:rsid w:val="00A64093"/>
    <w:rsid w:val="00A65179"/>
    <w:rsid w:val="00A67006"/>
    <w:rsid w:val="00A670ED"/>
    <w:rsid w:val="00A7102A"/>
    <w:rsid w:val="00A8167A"/>
    <w:rsid w:val="00A81A4D"/>
    <w:rsid w:val="00A81ED4"/>
    <w:rsid w:val="00A83F6B"/>
    <w:rsid w:val="00A84EE3"/>
    <w:rsid w:val="00A91C1A"/>
    <w:rsid w:val="00A92C4F"/>
    <w:rsid w:val="00A93A90"/>
    <w:rsid w:val="00A9437E"/>
    <w:rsid w:val="00AA08AF"/>
    <w:rsid w:val="00AA11F4"/>
    <w:rsid w:val="00AA6267"/>
    <w:rsid w:val="00AA6959"/>
    <w:rsid w:val="00AB0D11"/>
    <w:rsid w:val="00AB3434"/>
    <w:rsid w:val="00AB3A9D"/>
    <w:rsid w:val="00AB3BEF"/>
    <w:rsid w:val="00AB4AF5"/>
    <w:rsid w:val="00AB4BD1"/>
    <w:rsid w:val="00AB4C41"/>
    <w:rsid w:val="00AB4C93"/>
    <w:rsid w:val="00AB65BE"/>
    <w:rsid w:val="00AB705C"/>
    <w:rsid w:val="00AC0F93"/>
    <w:rsid w:val="00AC1147"/>
    <w:rsid w:val="00AC5B83"/>
    <w:rsid w:val="00AC5CEC"/>
    <w:rsid w:val="00AC63B3"/>
    <w:rsid w:val="00AC67F3"/>
    <w:rsid w:val="00AC7675"/>
    <w:rsid w:val="00AD0224"/>
    <w:rsid w:val="00AD2320"/>
    <w:rsid w:val="00AD2BB9"/>
    <w:rsid w:val="00AD46AE"/>
    <w:rsid w:val="00AD593C"/>
    <w:rsid w:val="00AD61E3"/>
    <w:rsid w:val="00AE154B"/>
    <w:rsid w:val="00AE194E"/>
    <w:rsid w:val="00AE367B"/>
    <w:rsid w:val="00AE3891"/>
    <w:rsid w:val="00AE4315"/>
    <w:rsid w:val="00AE65AE"/>
    <w:rsid w:val="00AF1972"/>
    <w:rsid w:val="00AF23BC"/>
    <w:rsid w:val="00AF3F8B"/>
    <w:rsid w:val="00AF443F"/>
    <w:rsid w:val="00AF4CD0"/>
    <w:rsid w:val="00AF4DC6"/>
    <w:rsid w:val="00AF50F8"/>
    <w:rsid w:val="00AF5C63"/>
    <w:rsid w:val="00B01407"/>
    <w:rsid w:val="00B01AA5"/>
    <w:rsid w:val="00B02912"/>
    <w:rsid w:val="00B02D97"/>
    <w:rsid w:val="00B03215"/>
    <w:rsid w:val="00B0457B"/>
    <w:rsid w:val="00B05BCC"/>
    <w:rsid w:val="00B06D0C"/>
    <w:rsid w:val="00B10370"/>
    <w:rsid w:val="00B10711"/>
    <w:rsid w:val="00B1071F"/>
    <w:rsid w:val="00B12B3D"/>
    <w:rsid w:val="00B140DC"/>
    <w:rsid w:val="00B14B7F"/>
    <w:rsid w:val="00B15CCF"/>
    <w:rsid w:val="00B1680B"/>
    <w:rsid w:val="00B1754B"/>
    <w:rsid w:val="00B2001C"/>
    <w:rsid w:val="00B20DF2"/>
    <w:rsid w:val="00B215E0"/>
    <w:rsid w:val="00B229BE"/>
    <w:rsid w:val="00B3085A"/>
    <w:rsid w:val="00B3427A"/>
    <w:rsid w:val="00B345A5"/>
    <w:rsid w:val="00B3533A"/>
    <w:rsid w:val="00B355D8"/>
    <w:rsid w:val="00B40900"/>
    <w:rsid w:val="00B40BEF"/>
    <w:rsid w:val="00B41975"/>
    <w:rsid w:val="00B44094"/>
    <w:rsid w:val="00B4463F"/>
    <w:rsid w:val="00B45498"/>
    <w:rsid w:val="00B47470"/>
    <w:rsid w:val="00B47D99"/>
    <w:rsid w:val="00B55050"/>
    <w:rsid w:val="00B564BE"/>
    <w:rsid w:val="00B575E8"/>
    <w:rsid w:val="00B57A1E"/>
    <w:rsid w:val="00B57A37"/>
    <w:rsid w:val="00B60C9E"/>
    <w:rsid w:val="00B61268"/>
    <w:rsid w:val="00B625CE"/>
    <w:rsid w:val="00B63314"/>
    <w:rsid w:val="00B637A7"/>
    <w:rsid w:val="00B640DF"/>
    <w:rsid w:val="00B64538"/>
    <w:rsid w:val="00B66594"/>
    <w:rsid w:val="00B67CDE"/>
    <w:rsid w:val="00B7049F"/>
    <w:rsid w:val="00B708A8"/>
    <w:rsid w:val="00B714EE"/>
    <w:rsid w:val="00B71ADB"/>
    <w:rsid w:val="00B726EF"/>
    <w:rsid w:val="00B73893"/>
    <w:rsid w:val="00B74678"/>
    <w:rsid w:val="00B756AF"/>
    <w:rsid w:val="00B770C7"/>
    <w:rsid w:val="00B80011"/>
    <w:rsid w:val="00B81706"/>
    <w:rsid w:val="00B820E3"/>
    <w:rsid w:val="00B831C6"/>
    <w:rsid w:val="00B846B1"/>
    <w:rsid w:val="00B87D7F"/>
    <w:rsid w:val="00B90F17"/>
    <w:rsid w:val="00B926A1"/>
    <w:rsid w:val="00B93729"/>
    <w:rsid w:val="00B93ECB"/>
    <w:rsid w:val="00B95030"/>
    <w:rsid w:val="00BA51B6"/>
    <w:rsid w:val="00BA5E5B"/>
    <w:rsid w:val="00BA77CB"/>
    <w:rsid w:val="00BB0490"/>
    <w:rsid w:val="00BB1DA1"/>
    <w:rsid w:val="00BB1F9C"/>
    <w:rsid w:val="00BB481A"/>
    <w:rsid w:val="00BB4C88"/>
    <w:rsid w:val="00BB4DC0"/>
    <w:rsid w:val="00BB62FF"/>
    <w:rsid w:val="00BC189E"/>
    <w:rsid w:val="00BC1AE1"/>
    <w:rsid w:val="00BC2FA5"/>
    <w:rsid w:val="00BC4CD0"/>
    <w:rsid w:val="00BC6A6A"/>
    <w:rsid w:val="00BC6AC5"/>
    <w:rsid w:val="00BC7C27"/>
    <w:rsid w:val="00BD05BE"/>
    <w:rsid w:val="00BD0DD8"/>
    <w:rsid w:val="00BD42A0"/>
    <w:rsid w:val="00BD446C"/>
    <w:rsid w:val="00BD64C0"/>
    <w:rsid w:val="00BD6BF3"/>
    <w:rsid w:val="00BE20EB"/>
    <w:rsid w:val="00BE307A"/>
    <w:rsid w:val="00BE4459"/>
    <w:rsid w:val="00BE6B0B"/>
    <w:rsid w:val="00BF0779"/>
    <w:rsid w:val="00BF2A4C"/>
    <w:rsid w:val="00BF2AA2"/>
    <w:rsid w:val="00BF38CA"/>
    <w:rsid w:val="00BF64E1"/>
    <w:rsid w:val="00BF6CDE"/>
    <w:rsid w:val="00C00196"/>
    <w:rsid w:val="00C01920"/>
    <w:rsid w:val="00C027D4"/>
    <w:rsid w:val="00C02841"/>
    <w:rsid w:val="00C037DB"/>
    <w:rsid w:val="00C0416F"/>
    <w:rsid w:val="00C04803"/>
    <w:rsid w:val="00C0497E"/>
    <w:rsid w:val="00C04E1A"/>
    <w:rsid w:val="00C06E9A"/>
    <w:rsid w:val="00C10408"/>
    <w:rsid w:val="00C1068B"/>
    <w:rsid w:val="00C11421"/>
    <w:rsid w:val="00C12D32"/>
    <w:rsid w:val="00C14C35"/>
    <w:rsid w:val="00C159D2"/>
    <w:rsid w:val="00C208FC"/>
    <w:rsid w:val="00C2229E"/>
    <w:rsid w:val="00C247F4"/>
    <w:rsid w:val="00C2530A"/>
    <w:rsid w:val="00C2633E"/>
    <w:rsid w:val="00C30F9F"/>
    <w:rsid w:val="00C3138A"/>
    <w:rsid w:val="00C3169B"/>
    <w:rsid w:val="00C323C2"/>
    <w:rsid w:val="00C32A0F"/>
    <w:rsid w:val="00C3630D"/>
    <w:rsid w:val="00C43CC4"/>
    <w:rsid w:val="00C44988"/>
    <w:rsid w:val="00C44D64"/>
    <w:rsid w:val="00C467FB"/>
    <w:rsid w:val="00C46FF2"/>
    <w:rsid w:val="00C53518"/>
    <w:rsid w:val="00C54F26"/>
    <w:rsid w:val="00C55856"/>
    <w:rsid w:val="00C56C11"/>
    <w:rsid w:val="00C5779F"/>
    <w:rsid w:val="00C63EFF"/>
    <w:rsid w:val="00C64577"/>
    <w:rsid w:val="00C65FA0"/>
    <w:rsid w:val="00C70660"/>
    <w:rsid w:val="00C713E6"/>
    <w:rsid w:val="00C71687"/>
    <w:rsid w:val="00C7189C"/>
    <w:rsid w:val="00C72687"/>
    <w:rsid w:val="00C72D52"/>
    <w:rsid w:val="00C73E5B"/>
    <w:rsid w:val="00C74F8D"/>
    <w:rsid w:val="00C76E61"/>
    <w:rsid w:val="00C7730D"/>
    <w:rsid w:val="00C773A4"/>
    <w:rsid w:val="00C77ECC"/>
    <w:rsid w:val="00C77F3B"/>
    <w:rsid w:val="00C81818"/>
    <w:rsid w:val="00C81BA9"/>
    <w:rsid w:val="00C830CC"/>
    <w:rsid w:val="00C839BE"/>
    <w:rsid w:val="00C83D0E"/>
    <w:rsid w:val="00C847C0"/>
    <w:rsid w:val="00C84E0D"/>
    <w:rsid w:val="00C869FF"/>
    <w:rsid w:val="00C86A7A"/>
    <w:rsid w:val="00C86AD4"/>
    <w:rsid w:val="00C908E0"/>
    <w:rsid w:val="00C91C61"/>
    <w:rsid w:val="00C92621"/>
    <w:rsid w:val="00C93212"/>
    <w:rsid w:val="00C9380F"/>
    <w:rsid w:val="00C94580"/>
    <w:rsid w:val="00C97040"/>
    <w:rsid w:val="00CA2461"/>
    <w:rsid w:val="00CA26A8"/>
    <w:rsid w:val="00CA66C9"/>
    <w:rsid w:val="00CA7D74"/>
    <w:rsid w:val="00CB0025"/>
    <w:rsid w:val="00CB1209"/>
    <w:rsid w:val="00CB12DB"/>
    <w:rsid w:val="00CB15CC"/>
    <w:rsid w:val="00CB49B2"/>
    <w:rsid w:val="00CB5127"/>
    <w:rsid w:val="00CB53BC"/>
    <w:rsid w:val="00CB598A"/>
    <w:rsid w:val="00CB63D8"/>
    <w:rsid w:val="00CB6548"/>
    <w:rsid w:val="00CB6BCA"/>
    <w:rsid w:val="00CB6BE7"/>
    <w:rsid w:val="00CB7C58"/>
    <w:rsid w:val="00CC02DF"/>
    <w:rsid w:val="00CC1420"/>
    <w:rsid w:val="00CC274F"/>
    <w:rsid w:val="00CC3D7F"/>
    <w:rsid w:val="00CC5302"/>
    <w:rsid w:val="00CC544B"/>
    <w:rsid w:val="00CC5F89"/>
    <w:rsid w:val="00CC62CF"/>
    <w:rsid w:val="00CC670F"/>
    <w:rsid w:val="00CC7336"/>
    <w:rsid w:val="00CD17F6"/>
    <w:rsid w:val="00CD4366"/>
    <w:rsid w:val="00CD5C99"/>
    <w:rsid w:val="00CD6E09"/>
    <w:rsid w:val="00CD7BED"/>
    <w:rsid w:val="00CE009F"/>
    <w:rsid w:val="00CE1515"/>
    <w:rsid w:val="00CE1B0B"/>
    <w:rsid w:val="00CE271A"/>
    <w:rsid w:val="00CE3085"/>
    <w:rsid w:val="00CE3AE3"/>
    <w:rsid w:val="00CE421B"/>
    <w:rsid w:val="00CE64F1"/>
    <w:rsid w:val="00CE6FA7"/>
    <w:rsid w:val="00CE7E94"/>
    <w:rsid w:val="00CF0639"/>
    <w:rsid w:val="00CF1D1D"/>
    <w:rsid w:val="00CF1E5A"/>
    <w:rsid w:val="00CF2D3C"/>
    <w:rsid w:val="00CF41F1"/>
    <w:rsid w:val="00CF57A4"/>
    <w:rsid w:val="00CF6ED3"/>
    <w:rsid w:val="00D00F30"/>
    <w:rsid w:val="00D03027"/>
    <w:rsid w:val="00D04E64"/>
    <w:rsid w:val="00D06635"/>
    <w:rsid w:val="00D06C58"/>
    <w:rsid w:val="00D0730E"/>
    <w:rsid w:val="00D10F45"/>
    <w:rsid w:val="00D1107C"/>
    <w:rsid w:val="00D1116F"/>
    <w:rsid w:val="00D1133B"/>
    <w:rsid w:val="00D119F5"/>
    <w:rsid w:val="00D12AB5"/>
    <w:rsid w:val="00D13F8C"/>
    <w:rsid w:val="00D14F10"/>
    <w:rsid w:val="00D14FCA"/>
    <w:rsid w:val="00D151CA"/>
    <w:rsid w:val="00D154B9"/>
    <w:rsid w:val="00D176E1"/>
    <w:rsid w:val="00D21248"/>
    <w:rsid w:val="00D216B5"/>
    <w:rsid w:val="00D24696"/>
    <w:rsid w:val="00D24E4B"/>
    <w:rsid w:val="00D250EC"/>
    <w:rsid w:val="00D256C5"/>
    <w:rsid w:val="00D25C1B"/>
    <w:rsid w:val="00D3011E"/>
    <w:rsid w:val="00D3166E"/>
    <w:rsid w:val="00D316FE"/>
    <w:rsid w:val="00D31B54"/>
    <w:rsid w:val="00D32A92"/>
    <w:rsid w:val="00D33A02"/>
    <w:rsid w:val="00D349EB"/>
    <w:rsid w:val="00D34F03"/>
    <w:rsid w:val="00D35B98"/>
    <w:rsid w:val="00D360EE"/>
    <w:rsid w:val="00D37ED7"/>
    <w:rsid w:val="00D40419"/>
    <w:rsid w:val="00D41FB5"/>
    <w:rsid w:val="00D42D98"/>
    <w:rsid w:val="00D43B6E"/>
    <w:rsid w:val="00D44CA1"/>
    <w:rsid w:val="00D45F08"/>
    <w:rsid w:val="00D46D84"/>
    <w:rsid w:val="00D46F7D"/>
    <w:rsid w:val="00D47756"/>
    <w:rsid w:val="00D47D12"/>
    <w:rsid w:val="00D50282"/>
    <w:rsid w:val="00D51141"/>
    <w:rsid w:val="00D5186B"/>
    <w:rsid w:val="00D555D9"/>
    <w:rsid w:val="00D56419"/>
    <w:rsid w:val="00D56A3C"/>
    <w:rsid w:val="00D56DBE"/>
    <w:rsid w:val="00D56FFD"/>
    <w:rsid w:val="00D60010"/>
    <w:rsid w:val="00D6052A"/>
    <w:rsid w:val="00D61150"/>
    <w:rsid w:val="00D61BBA"/>
    <w:rsid w:val="00D62CD0"/>
    <w:rsid w:val="00D6371E"/>
    <w:rsid w:val="00D63B27"/>
    <w:rsid w:val="00D63BD9"/>
    <w:rsid w:val="00D65C39"/>
    <w:rsid w:val="00D67DA3"/>
    <w:rsid w:val="00D67ED1"/>
    <w:rsid w:val="00D74DCC"/>
    <w:rsid w:val="00D764F2"/>
    <w:rsid w:val="00D81173"/>
    <w:rsid w:val="00D813D8"/>
    <w:rsid w:val="00D81B79"/>
    <w:rsid w:val="00D82E86"/>
    <w:rsid w:val="00D82F1D"/>
    <w:rsid w:val="00D83F0B"/>
    <w:rsid w:val="00D84533"/>
    <w:rsid w:val="00D84A02"/>
    <w:rsid w:val="00D84AA3"/>
    <w:rsid w:val="00D86618"/>
    <w:rsid w:val="00D87803"/>
    <w:rsid w:val="00D917DE"/>
    <w:rsid w:val="00D934D7"/>
    <w:rsid w:val="00D93D5F"/>
    <w:rsid w:val="00D94949"/>
    <w:rsid w:val="00D95F39"/>
    <w:rsid w:val="00D96BFF"/>
    <w:rsid w:val="00D976DF"/>
    <w:rsid w:val="00D97A53"/>
    <w:rsid w:val="00DA08F1"/>
    <w:rsid w:val="00DA0D20"/>
    <w:rsid w:val="00DA12CC"/>
    <w:rsid w:val="00DA3661"/>
    <w:rsid w:val="00DA54C9"/>
    <w:rsid w:val="00DA6F40"/>
    <w:rsid w:val="00DA7DB7"/>
    <w:rsid w:val="00DB00C8"/>
    <w:rsid w:val="00DB0A46"/>
    <w:rsid w:val="00DB1BAD"/>
    <w:rsid w:val="00DB4B30"/>
    <w:rsid w:val="00DB581F"/>
    <w:rsid w:val="00DB6832"/>
    <w:rsid w:val="00DC1B0F"/>
    <w:rsid w:val="00DC2946"/>
    <w:rsid w:val="00DC2B5E"/>
    <w:rsid w:val="00DC2CD5"/>
    <w:rsid w:val="00DC41BB"/>
    <w:rsid w:val="00DC48A3"/>
    <w:rsid w:val="00DC490B"/>
    <w:rsid w:val="00DC4943"/>
    <w:rsid w:val="00DC6381"/>
    <w:rsid w:val="00DC6483"/>
    <w:rsid w:val="00DC6541"/>
    <w:rsid w:val="00DD017A"/>
    <w:rsid w:val="00DD066C"/>
    <w:rsid w:val="00DD1A1E"/>
    <w:rsid w:val="00DD449A"/>
    <w:rsid w:val="00DD48D3"/>
    <w:rsid w:val="00DD4D35"/>
    <w:rsid w:val="00DD6181"/>
    <w:rsid w:val="00DD61B3"/>
    <w:rsid w:val="00DD77E3"/>
    <w:rsid w:val="00DE0C52"/>
    <w:rsid w:val="00DE2474"/>
    <w:rsid w:val="00DE425F"/>
    <w:rsid w:val="00DE76DB"/>
    <w:rsid w:val="00DF20F6"/>
    <w:rsid w:val="00DF3D5D"/>
    <w:rsid w:val="00DF4B4F"/>
    <w:rsid w:val="00DF705C"/>
    <w:rsid w:val="00E013A5"/>
    <w:rsid w:val="00E016B3"/>
    <w:rsid w:val="00E03AD3"/>
    <w:rsid w:val="00E049C4"/>
    <w:rsid w:val="00E05DFE"/>
    <w:rsid w:val="00E06929"/>
    <w:rsid w:val="00E07A04"/>
    <w:rsid w:val="00E10F8F"/>
    <w:rsid w:val="00E11F9B"/>
    <w:rsid w:val="00E14FE7"/>
    <w:rsid w:val="00E1569F"/>
    <w:rsid w:val="00E22104"/>
    <w:rsid w:val="00E23A13"/>
    <w:rsid w:val="00E23E1D"/>
    <w:rsid w:val="00E2673A"/>
    <w:rsid w:val="00E308CF"/>
    <w:rsid w:val="00E31816"/>
    <w:rsid w:val="00E31987"/>
    <w:rsid w:val="00E34393"/>
    <w:rsid w:val="00E353D1"/>
    <w:rsid w:val="00E35536"/>
    <w:rsid w:val="00E36D66"/>
    <w:rsid w:val="00E37B74"/>
    <w:rsid w:val="00E37BE2"/>
    <w:rsid w:val="00E43141"/>
    <w:rsid w:val="00E446E9"/>
    <w:rsid w:val="00E45BC4"/>
    <w:rsid w:val="00E52279"/>
    <w:rsid w:val="00E5602C"/>
    <w:rsid w:val="00E57B3D"/>
    <w:rsid w:val="00E57D87"/>
    <w:rsid w:val="00E63632"/>
    <w:rsid w:val="00E64424"/>
    <w:rsid w:val="00E64924"/>
    <w:rsid w:val="00E6517B"/>
    <w:rsid w:val="00E655E1"/>
    <w:rsid w:val="00E65C8F"/>
    <w:rsid w:val="00E70388"/>
    <w:rsid w:val="00E73D42"/>
    <w:rsid w:val="00E73EEF"/>
    <w:rsid w:val="00E74C5B"/>
    <w:rsid w:val="00E751DC"/>
    <w:rsid w:val="00E75A89"/>
    <w:rsid w:val="00E82C4D"/>
    <w:rsid w:val="00E846F5"/>
    <w:rsid w:val="00E858BA"/>
    <w:rsid w:val="00E85AD2"/>
    <w:rsid w:val="00E8696C"/>
    <w:rsid w:val="00E90723"/>
    <w:rsid w:val="00E90BC9"/>
    <w:rsid w:val="00E932D6"/>
    <w:rsid w:val="00E93CED"/>
    <w:rsid w:val="00E940B5"/>
    <w:rsid w:val="00E95635"/>
    <w:rsid w:val="00E95C65"/>
    <w:rsid w:val="00EA233A"/>
    <w:rsid w:val="00EA2FC2"/>
    <w:rsid w:val="00EA3CD3"/>
    <w:rsid w:val="00EA3DC5"/>
    <w:rsid w:val="00EA44D0"/>
    <w:rsid w:val="00EA50DA"/>
    <w:rsid w:val="00EA5602"/>
    <w:rsid w:val="00EA5A04"/>
    <w:rsid w:val="00EA5F78"/>
    <w:rsid w:val="00EA6449"/>
    <w:rsid w:val="00EB242E"/>
    <w:rsid w:val="00EB2C8F"/>
    <w:rsid w:val="00EB5245"/>
    <w:rsid w:val="00EB65A2"/>
    <w:rsid w:val="00EC0AC0"/>
    <w:rsid w:val="00EC3A6E"/>
    <w:rsid w:val="00EC4347"/>
    <w:rsid w:val="00EC5B0A"/>
    <w:rsid w:val="00EC648C"/>
    <w:rsid w:val="00EC6569"/>
    <w:rsid w:val="00EC7F5E"/>
    <w:rsid w:val="00ED1491"/>
    <w:rsid w:val="00ED1E82"/>
    <w:rsid w:val="00ED3FF3"/>
    <w:rsid w:val="00ED450E"/>
    <w:rsid w:val="00ED59FB"/>
    <w:rsid w:val="00ED61F0"/>
    <w:rsid w:val="00EE6134"/>
    <w:rsid w:val="00EE6598"/>
    <w:rsid w:val="00EE669A"/>
    <w:rsid w:val="00EE6A70"/>
    <w:rsid w:val="00EE6C5B"/>
    <w:rsid w:val="00EF14DD"/>
    <w:rsid w:val="00EF2F83"/>
    <w:rsid w:val="00EF41A3"/>
    <w:rsid w:val="00EF5332"/>
    <w:rsid w:val="00EF5DE2"/>
    <w:rsid w:val="00EF67D7"/>
    <w:rsid w:val="00EF7A07"/>
    <w:rsid w:val="00F0269B"/>
    <w:rsid w:val="00F04963"/>
    <w:rsid w:val="00F0531F"/>
    <w:rsid w:val="00F114E4"/>
    <w:rsid w:val="00F134D1"/>
    <w:rsid w:val="00F1447D"/>
    <w:rsid w:val="00F1464B"/>
    <w:rsid w:val="00F15189"/>
    <w:rsid w:val="00F16344"/>
    <w:rsid w:val="00F163A8"/>
    <w:rsid w:val="00F167F3"/>
    <w:rsid w:val="00F202AC"/>
    <w:rsid w:val="00F216B7"/>
    <w:rsid w:val="00F22685"/>
    <w:rsid w:val="00F23014"/>
    <w:rsid w:val="00F24DA8"/>
    <w:rsid w:val="00F25F99"/>
    <w:rsid w:val="00F26993"/>
    <w:rsid w:val="00F26B29"/>
    <w:rsid w:val="00F307F6"/>
    <w:rsid w:val="00F3087B"/>
    <w:rsid w:val="00F32C50"/>
    <w:rsid w:val="00F32EBE"/>
    <w:rsid w:val="00F35056"/>
    <w:rsid w:val="00F35129"/>
    <w:rsid w:val="00F352B7"/>
    <w:rsid w:val="00F3541E"/>
    <w:rsid w:val="00F35CED"/>
    <w:rsid w:val="00F424B8"/>
    <w:rsid w:val="00F43964"/>
    <w:rsid w:val="00F444A0"/>
    <w:rsid w:val="00F45483"/>
    <w:rsid w:val="00F4641F"/>
    <w:rsid w:val="00F47B4B"/>
    <w:rsid w:val="00F50608"/>
    <w:rsid w:val="00F50621"/>
    <w:rsid w:val="00F50641"/>
    <w:rsid w:val="00F50DF1"/>
    <w:rsid w:val="00F51551"/>
    <w:rsid w:val="00F54ACC"/>
    <w:rsid w:val="00F550EE"/>
    <w:rsid w:val="00F556BD"/>
    <w:rsid w:val="00F57025"/>
    <w:rsid w:val="00F57EB3"/>
    <w:rsid w:val="00F60B0F"/>
    <w:rsid w:val="00F63108"/>
    <w:rsid w:val="00F64A83"/>
    <w:rsid w:val="00F64B07"/>
    <w:rsid w:val="00F64FCF"/>
    <w:rsid w:val="00F655A4"/>
    <w:rsid w:val="00F66580"/>
    <w:rsid w:val="00F6665D"/>
    <w:rsid w:val="00F67199"/>
    <w:rsid w:val="00F67A13"/>
    <w:rsid w:val="00F7045C"/>
    <w:rsid w:val="00F709FD"/>
    <w:rsid w:val="00F70B07"/>
    <w:rsid w:val="00F71790"/>
    <w:rsid w:val="00F71DC6"/>
    <w:rsid w:val="00F7294F"/>
    <w:rsid w:val="00F733B4"/>
    <w:rsid w:val="00F73FE3"/>
    <w:rsid w:val="00F74832"/>
    <w:rsid w:val="00F7484A"/>
    <w:rsid w:val="00F74A9C"/>
    <w:rsid w:val="00F75F4B"/>
    <w:rsid w:val="00F77F8E"/>
    <w:rsid w:val="00F8003D"/>
    <w:rsid w:val="00F804EC"/>
    <w:rsid w:val="00F8052D"/>
    <w:rsid w:val="00F82511"/>
    <w:rsid w:val="00F82A3A"/>
    <w:rsid w:val="00F83642"/>
    <w:rsid w:val="00F83C10"/>
    <w:rsid w:val="00F85719"/>
    <w:rsid w:val="00F8630E"/>
    <w:rsid w:val="00F863F9"/>
    <w:rsid w:val="00F866D9"/>
    <w:rsid w:val="00F873EA"/>
    <w:rsid w:val="00F903A7"/>
    <w:rsid w:val="00F90758"/>
    <w:rsid w:val="00F9081A"/>
    <w:rsid w:val="00F91538"/>
    <w:rsid w:val="00F92194"/>
    <w:rsid w:val="00F927F3"/>
    <w:rsid w:val="00F93A30"/>
    <w:rsid w:val="00F947A5"/>
    <w:rsid w:val="00F94E75"/>
    <w:rsid w:val="00F9532B"/>
    <w:rsid w:val="00F9591F"/>
    <w:rsid w:val="00F95BB1"/>
    <w:rsid w:val="00FA0FC0"/>
    <w:rsid w:val="00FA4CE7"/>
    <w:rsid w:val="00FA527F"/>
    <w:rsid w:val="00FA6C13"/>
    <w:rsid w:val="00FA7561"/>
    <w:rsid w:val="00FB0ACB"/>
    <w:rsid w:val="00FB25A9"/>
    <w:rsid w:val="00FB28B0"/>
    <w:rsid w:val="00FB47C3"/>
    <w:rsid w:val="00FB504C"/>
    <w:rsid w:val="00FB517C"/>
    <w:rsid w:val="00FB5F6F"/>
    <w:rsid w:val="00FB7C0F"/>
    <w:rsid w:val="00FC0D56"/>
    <w:rsid w:val="00FC112A"/>
    <w:rsid w:val="00FC4F7B"/>
    <w:rsid w:val="00FC755E"/>
    <w:rsid w:val="00FD0549"/>
    <w:rsid w:val="00FD0E07"/>
    <w:rsid w:val="00FD107B"/>
    <w:rsid w:val="00FD2AB3"/>
    <w:rsid w:val="00FD34F2"/>
    <w:rsid w:val="00FD373B"/>
    <w:rsid w:val="00FD47B0"/>
    <w:rsid w:val="00FD7B89"/>
    <w:rsid w:val="00FE0A42"/>
    <w:rsid w:val="00FE2C93"/>
    <w:rsid w:val="00FE3BD4"/>
    <w:rsid w:val="00FE4849"/>
    <w:rsid w:val="00FE63F5"/>
    <w:rsid w:val="00FE6C45"/>
    <w:rsid w:val="00FE71D2"/>
    <w:rsid w:val="00FF029A"/>
    <w:rsid w:val="00FF20D7"/>
    <w:rsid w:val="00FF239E"/>
    <w:rsid w:val="00FF2D03"/>
    <w:rsid w:val="00FF3133"/>
    <w:rsid w:val="00FF431D"/>
    <w:rsid w:val="00FF5B6A"/>
    <w:rsid w:val="00FF6A1A"/>
    <w:rsid w:val="00FF7D6A"/>
    <w:rsid w:val="015E7AD8"/>
    <w:rsid w:val="02675529"/>
    <w:rsid w:val="027C3C55"/>
    <w:rsid w:val="028D2FBF"/>
    <w:rsid w:val="02A852F5"/>
    <w:rsid w:val="02F13018"/>
    <w:rsid w:val="04141ABE"/>
    <w:rsid w:val="0422776E"/>
    <w:rsid w:val="04946168"/>
    <w:rsid w:val="053A1E65"/>
    <w:rsid w:val="057D68CC"/>
    <w:rsid w:val="06156CE4"/>
    <w:rsid w:val="06290C64"/>
    <w:rsid w:val="0687062B"/>
    <w:rsid w:val="06A158FA"/>
    <w:rsid w:val="0797664C"/>
    <w:rsid w:val="079A7278"/>
    <w:rsid w:val="07B6061B"/>
    <w:rsid w:val="07DC0035"/>
    <w:rsid w:val="08D233CB"/>
    <w:rsid w:val="08FA7FB4"/>
    <w:rsid w:val="096B30D8"/>
    <w:rsid w:val="0A357ECA"/>
    <w:rsid w:val="0AE659CA"/>
    <w:rsid w:val="0CB727C7"/>
    <w:rsid w:val="0E9D4E90"/>
    <w:rsid w:val="0EAD5C64"/>
    <w:rsid w:val="0ED14275"/>
    <w:rsid w:val="0F141F52"/>
    <w:rsid w:val="0F1E2FE2"/>
    <w:rsid w:val="0F6B3798"/>
    <w:rsid w:val="0FB0474F"/>
    <w:rsid w:val="0FDA4CF1"/>
    <w:rsid w:val="1026215D"/>
    <w:rsid w:val="108E2C5F"/>
    <w:rsid w:val="108F6208"/>
    <w:rsid w:val="11462DEA"/>
    <w:rsid w:val="117B5CE3"/>
    <w:rsid w:val="126F630A"/>
    <w:rsid w:val="140A7419"/>
    <w:rsid w:val="1421701D"/>
    <w:rsid w:val="14B34C62"/>
    <w:rsid w:val="14E945A1"/>
    <w:rsid w:val="14FC175C"/>
    <w:rsid w:val="16131F70"/>
    <w:rsid w:val="166C5148"/>
    <w:rsid w:val="16910E44"/>
    <w:rsid w:val="17AB7270"/>
    <w:rsid w:val="17FB072C"/>
    <w:rsid w:val="19A97743"/>
    <w:rsid w:val="19E97948"/>
    <w:rsid w:val="1C992492"/>
    <w:rsid w:val="1E891731"/>
    <w:rsid w:val="1F1B53E8"/>
    <w:rsid w:val="200D1749"/>
    <w:rsid w:val="20247DA7"/>
    <w:rsid w:val="20276010"/>
    <w:rsid w:val="20884DD7"/>
    <w:rsid w:val="20F12876"/>
    <w:rsid w:val="211410D9"/>
    <w:rsid w:val="21377374"/>
    <w:rsid w:val="21436C93"/>
    <w:rsid w:val="219B405D"/>
    <w:rsid w:val="232744F3"/>
    <w:rsid w:val="235404B4"/>
    <w:rsid w:val="23702E09"/>
    <w:rsid w:val="23793C39"/>
    <w:rsid w:val="25886E75"/>
    <w:rsid w:val="265F3704"/>
    <w:rsid w:val="26830FDB"/>
    <w:rsid w:val="26AF02BE"/>
    <w:rsid w:val="2706469A"/>
    <w:rsid w:val="27184050"/>
    <w:rsid w:val="27323F1F"/>
    <w:rsid w:val="27FF686C"/>
    <w:rsid w:val="28B16486"/>
    <w:rsid w:val="28BA5454"/>
    <w:rsid w:val="28C64562"/>
    <w:rsid w:val="28D84BB8"/>
    <w:rsid w:val="28F62324"/>
    <w:rsid w:val="2984482A"/>
    <w:rsid w:val="2B0F1982"/>
    <w:rsid w:val="2B236DAD"/>
    <w:rsid w:val="2B43556D"/>
    <w:rsid w:val="2BC32F2E"/>
    <w:rsid w:val="2C4A6442"/>
    <w:rsid w:val="2CC020BC"/>
    <w:rsid w:val="2D985220"/>
    <w:rsid w:val="2DA16200"/>
    <w:rsid w:val="2E3C5C41"/>
    <w:rsid w:val="2E47051C"/>
    <w:rsid w:val="2E9C1A03"/>
    <w:rsid w:val="2EE0232E"/>
    <w:rsid w:val="2EE72300"/>
    <w:rsid w:val="2F02092C"/>
    <w:rsid w:val="2F1C69FA"/>
    <w:rsid w:val="2F8867DB"/>
    <w:rsid w:val="30A428F9"/>
    <w:rsid w:val="312D3892"/>
    <w:rsid w:val="322D2CAD"/>
    <w:rsid w:val="32770D05"/>
    <w:rsid w:val="334227A6"/>
    <w:rsid w:val="33736396"/>
    <w:rsid w:val="338B4A07"/>
    <w:rsid w:val="350A6BA5"/>
    <w:rsid w:val="351705A2"/>
    <w:rsid w:val="35AC03B2"/>
    <w:rsid w:val="35C65132"/>
    <w:rsid w:val="35CB45CB"/>
    <w:rsid w:val="36006C32"/>
    <w:rsid w:val="36CE7036"/>
    <w:rsid w:val="36DF4CA5"/>
    <w:rsid w:val="37154AFB"/>
    <w:rsid w:val="372B3E77"/>
    <w:rsid w:val="379207BA"/>
    <w:rsid w:val="37F501FF"/>
    <w:rsid w:val="388E6F09"/>
    <w:rsid w:val="3932734B"/>
    <w:rsid w:val="39F264E7"/>
    <w:rsid w:val="3AB436BE"/>
    <w:rsid w:val="3B331486"/>
    <w:rsid w:val="3B4C0D81"/>
    <w:rsid w:val="3C054011"/>
    <w:rsid w:val="3C5A6DF7"/>
    <w:rsid w:val="3C670E38"/>
    <w:rsid w:val="3D011ECF"/>
    <w:rsid w:val="3D1E7688"/>
    <w:rsid w:val="3D6363B8"/>
    <w:rsid w:val="3D7F72C5"/>
    <w:rsid w:val="3E8302AC"/>
    <w:rsid w:val="3F827DF5"/>
    <w:rsid w:val="3FAE5104"/>
    <w:rsid w:val="40564E07"/>
    <w:rsid w:val="409223BB"/>
    <w:rsid w:val="41024614"/>
    <w:rsid w:val="41B30D53"/>
    <w:rsid w:val="4205067C"/>
    <w:rsid w:val="426B3123"/>
    <w:rsid w:val="42DD5B3B"/>
    <w:rsid w:val="43057BAA"/>
    <w:rsid w:val="43600648"/>
    <w:rsid w:val="437F09E1"/>
    <w:rsid w:val="44A908A5"/>
    <w:rsid w:val="44D95101"/>
    <w:rsid w:val="45403785"/>
    <w:rsid w:val="45DF5CFE"/>
    <w:rsid w:val="45E559E3"/>
    <w:rsid w:val="46202A11"/>
    <w:rsid w:val="463479F4"/>
    <w:rsid w:val="46804174"/>
    <w:rsid w:val="469F3670"/>
    <w:rsid w:val="46AF1D7C"/>
    <w:rsid w:val="46E8782D"/>
    <w:rsid w:val="47435A10"/>
    <w:rsid w:val="475521C6"/>
    <w:rsid w:val="47BA3058"/>
    <w:rsid w:val="48150457"/>
    <w:rsid w:val="48A70C0B"/>
    <w:rsid w:val="497F43A0"/>
    <w:rsid w:val="49BF1E34"/>
    <w:rsid w:val="4A062D4C"/>
    <w:rsid w:val="4AC76663"/>
    <w:rsid w:val="4B7A0C55"/>
    <w:rsid w:val="4BD846DB"/>
    <w:rsid w:val="4C332B01"/>
    <w:rsid w:val="4CA555B9"/>
    <w:rsid w:val="4CFA6154"/>
    <w:rsid w:val="4DA527E1"/>
    <w:rsid w:val="4DD413D0"/>
    <w:rsid w:val="4DD66908"/>
    <w:rsid w:val="50205910"/>
    <w:rsid w:val="504D7495"/>
    <w:rsid w:val="5094241E"/>
    <w:rsid w:val="519C5DEE"/>
    <w:rsid w:val="51DE2EB7"/>
    <w:rsid w:val="52607CF5"/>
    <w:rsid w:val="527332D4"/>
    <w:rsid w:val="53217FC8"/>
    <w:rsid w:val="53D021E7"/>
    <w:rsid w:val="53D43A07"/>
    <w:rsid w:val="53DD5B5E"/>
    <w:rsid w:val="54A02118"/>
    <w:rsid w:val="54AA6F8B"/>
    <w:rsid w:val="54F110E9"/>
    <w:rsid w:val="55347094"/>
    <w:rsid w:val="55C173D4"/>
    <w:rsid w:val="56423E34"/>
    <w:rsid w:val="57183C46"/>
    <w:rsid w:val="57EDC850"/>
    <w:rsid w:val="58E25E13"/>
    <w:rsid w:val="590009DE"/>
    <w:rsid w:val="59511183"/>
    <w:rsid w:val="59780019"/>
    <w:rsid w:val="59C870CD"/>
    <w:rsid w:val="59FD276B"/>
    <w:rsid w:val="5A072000"/>
    <w:rsid w:val="5A145C85"/>
    <w:rsid w:val="5A752C46"/>
    <w:rsid w:val="5AD52610"/>
    <w:rsid w:val="5AD54636"/>
    <w:rsid w:val="5AED5917"/>
    <w:rsid w:val="5BB374CC"/>
    <w:rsid w:val="5BD94122"/>
    <w:rsid w:val="5C6815F1"/>
    <w:rsid w:val="5CC16A84"/>
    <w:rsid w:val="5CC23818"/>
    <w:rsid w:val="5CCD5C2E"/>
    <w:rsid w:val="5DAA120C"/>
    <w:rsid w:val="5DD5494D"/>
    <w:rsid w:val="5E555C56"/>
    <w:rsid w:val="5E9E32BE"/>
    <w:rsid w:val="5EF54E6E"/>
    <w:rsid w:val="5EFA7719"/>
    <w:rsid w:val="5F282F25"/>
    <w:rsid w:val="60545FFD"/>
    <w:rsid w:val="608C5797"/>
    <w:rsid w:val="60CF38F1"/>
    <w:rsid w:val="615F1558"/>
    <w:rsid w:val="61AC5C84"/>
    <w:rsid w:val="6206384D"/>
    <w:rsid w:val="62206CF8"/>
    <w:rsid w:val="64BB632A"/>
    <w:rsid w:val="651A6993"/>
    <w:rsid w:val="65D73958"/>
    <w:rsid w:val="66CB8E49"/>
    <w:rsid w:val="66D038B5"/>
    <w:rsid w:val="67272A3B"/>
    <w:rsid w:val="675C03A4"/>
    <w:rsid w:val="67AC0911"/>
    <w:rsid w:val="68522BF3"/>
    <w:rsid w:val="695A1A36"/>
    <w:rsid w:val="69662A10"/>
    <w:rsid w:val="69903473"/>
    <w:rsid w:val="6A4F2CC4"/>
    <w:rsid w:val="6B545187"/>
    <w:rsid w:val="6B685B14"/>
    <w:rsid w:val="6BAA326A"/>
    <w:rsid w:val="6BB42F2E"/>
    <w:rsid w:val="6C096A30"/>
    <w:rsid w:val="6D122652"/>
    <w:rsid w:val="6D303882"/>
    <w:rsid w:val="6D9D2EBA"/>
    <w:rsid w:val="6DB14977"/>
    <w:rsid w:val="6E564286"/>
    <w:rsid w:val="6E9E1B3E"/>
    <w:rsid w:val="6ED5505E"/>
    <w:rsid w:val="6EF000BA"/>
    <w:rsid w:val="6F24501D"/>
    <w:rsid w:val="6F316969"/>
    <w:rsid w:val="6F326D71"/>
    <w:rsid w:val="6F6E4446"/>
    <w:rsid w:val="6FAFBCB5"/>
    <w:rsid w:val="70726BFC"/>
    <w:rsid w:val="708014A9"/>
    <w:rsid w:val="70822A23"/>
    <w:rsid w:val="70A500A3"/>
    <w:rsid w:val="70A7060F"/>
    <w:rsid w:val="70F968CC"/>
    <w:rsid w:val="7106094F"/>
    <w:rsid w:val="7119421C"/>
    <w:rsid w:val="712D1D5C"/>
    <w:rsid w:val="7176007C"/>
    <w:rsid w:val="7177278D"/>
    <w:rsid w:val="717A7849"/>
    <w:rsid w:val="722140E9"/>
    <w:rsid w:val="72807940"/>
    <w:rsid w:val="73141B73"/>
    <w:rsid w:val="735477F0"/>
    <w:rsid w:val="742B64FC"/>
    <w:rsid w:val="74AB7F63"/>
    <w:rsid w:val="77BB4567"/>
    <w:rsid w:val="77DC14C0"/>
    <w:rsid w:val="78542B67"/>
    <w:rsid w:val="787D5893"/>
    <w:rsid w:val="790A5C35"/>
    <w:rsid w:val="79BF2ECC"/>
    <w:rsid w:val="7A202B88"/>
    <w:rsid w:val="7A2A13E8"/>
    <w:rsid w:val="7A48677B"/>
    <w:rsid w:val="7A6B30F2"/>
    <w:rsid w:val="7A8C0C5A"/>
    <w:rsid w:val="7ADC47C3"/>
    <w:rsid w:val="7B420E12"/>
    <w:rsid w:val="7B9003DA"/>
    <w:rsid w:val="7BE57A8E"/>
    <w:rsid w:val="7BFE1713"/>
    <w:rsid w:val="7C3A70B7"/>
    <w:rsid w:val="7D3C1A39"/>
    <w:rsid w:val="7D777879"/>
    <w:rsid w:val="7D867F72"/>
    <w:rsid w:val="7D8D8843"/>
    <w:rsid w:val="7D992848"/>
    <w:rsid w:val="7DDC408A"/>
    <w:rsid w:val="7E3F7E95"/>
    <w:rsid w:val="7E5E5AFE"/>
    <w:rsid w:val="7F69137C"/>
    <w:rsid w:val="7F6A5F98"/>
    <w:rsid w:val="7FDFDC77"/>
    <w:rsid w:val="B5CBD65E"/>
    <w:rsid w:val="B9FF0003"/>
    <w:rsid w:val="BD37F88C"/>
    <w:rsid w:val="EDD6828E"/>
    <w:rsid w:val="FBD1763D"/>
    <w:rsid w:val="FCF3C2CE"/>
    <w:rsid w:val="FDF9EC79"/>
    <w:rsid w:val="FE7D9703"/>
    <w:rsid w:val="FF1FA7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0"/>
    <w:pPr>
      <w:keepNext/>
      <w:keepLines/>
      <w:spacing w:before="340" w:after="330" w:line="576" w:lineRule="auto"/>
      <w:outlineLvl w:val="0"/>
    </w:pPr>
    <w:rPr>
      <w:rFonts w:ascii="Times New Roman" w:hAnsi="Times New Roman" w:eastAsia="宋体"/>
      <w:b/>
      <w:kern w:val="44"/>
      <w:sz w:val="44"/>
      <w:szCs w:val="20"/>
    </w:rPr>
  </w:style>
  <w:style w:type="paragraph" w:styleId="3">
    <w:name w:val="heading 2"/>
    <w:basedOn w:val="1"/>
    <w:next w:val="1"/>
    <w:link w:val="40"/>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42"/>
    <w:qFormat/>
    <w:uiPriority w:val="0"/>
    <w:pPr>
      <w:keepNext/>
      <w:keepLines/>
      <w:spacing w:line="360" w:lineRule="auto"/>
      <w:outlineLvl w:val="2"/>
    </w:pPr>
    <w:rPr>
      <w:rFonts w:ascii="Times New Roman" w:hAnsi="Times New Roman" w:eastAsia="宋体"/>
      <w:b/>
      <w:bCs/>
      <w:sz w:val="28"/>
      <w:szCs w:val="32"/>
    </w:rPr>
  </w:style>
  <w:style w:type="paragraph" w:styleId="5">
    <w:name w:val="heading 4"/>
    <w:basedOn w:val="1"/>
    <w:next w:val="1"/>
    <w:qFormat/>
    <w:uiPriority w:val="0"/>
    <w:pPr>
      <w:keepNext/>
      <w:keepLines/>
      <w:adjustRightInd w:val="0"/>
      <w:snapToGrid w:val="0"/>
      <w:spacing w:line="500" w:lineRule="exact"/>
      <w:ind w:left="426"/>
      <w:outlineLvl w:val="3"/>
    </w:pPr>
    <w:rPr>
      <w:rFonts w:ascii="Arial" w:hAnsi="Arial"/>
      <w:bCs/>
      <w:sz w:val="24"/>
      <w:szCs w:val="28"/>
    </w:rPr>
  </w:style>
  <w:style w:type="paragraph" w:styleId="6">
    <w:name w:val="heading 5"/>
    <w:basedOn w:val="1"/>
    <w:next w:val="1"/>
    <w:qFormat/>
    <w:uiPriority w:val="0"/>
    <w:pPr>
      <w:keepNext/>
      <w:keepLines/>
      <w:tabs>
        <w:tab w:val="left" w:pos="33"/>
      </w:tabs>
      <w:spacing w:before="280" w:after="290"/>
      <w:ind w:left="436" w:firstLine="448"/>
      <w:outlineLvl w:val="4"/>
    </w:pPr>
    <w:rPr>
      <w:rFonts w:ascii="Times New Roman" w:hAnsi="Times New Roman"/>
      <w:bCs/>
      <w:szCs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adjustRightInd w:val="0"/>
      <w:spacing w:line="360" w:lineRule="atLeast"/>
      <w:ind w:firstLine="420"/>
      <w:textAlignment w:val="baseline"/>
    </w:pPr>
    <w:rPr>
      <w:rFonts w:ascii="Times New Roman" w:hAnsi="Times New Roman"/>
      <w:szCs w:val="20"/>
      <w:lang w:val="zh-CN"/>
    </w:rPr>
  </w:style>
  <w:style w:type="paragraph" w:styleId="8">
    <w:name w:val="Document Map"/>
    <w:basedOn w:val="1"/>
    <w:semiHidden/>
    <w:qFormat/>
    <w:uiPriority w:val="0"/>
    <w:pPr>
      <w:shd w:val="clear" w:color="auto" w:fill="000080"/>
    </w:pPr>
  </w:style>
  <w:style w:type="paragraph" w:styleId="9">
    <w:name w:val="annotation text"/>
    <w:basedOn w:val="1"/>
    <w:link w:val="43"/>
    <w:qFormat/>
    <w:uiPriority w:val="0"/>
    <w:pPr>
      <w:jc w:val="left"/>
    </w:pPr>
    <w:rPr>
      <w:rFonts w:ascii="Times New Roman" w:hAnsi="Times New Roman" w:eastAsia="宋体"/>
      <w:szCs w:val="20"/>
    </w:rPr>
  </w:style>
  <w:style w:type="paragraph" w:styleId="10">
    <w:name w:val="Body Text 3"/>
    <w:basedOn w:val="1"/>
    <w:qFormat/>
    <w:uiPriority w:val="0"/>
    <w:pPr>
      <w:spacing w:after="120"/>
    </w:pPr>
    <w:rPr>
      <w:sz w:val="16"/>
      <w:szCs w:val="16"/>
    </w:rPr>
  </w:style>
  <w:style w:type="paragraph" w:styleId="11">
    <w:name w:val="Body Text"/>
    <w:basedOn w:val="1"/>
    <w:next w:val="1"/>
    <w:link w:val="44"/>
    <w:qFormat/>
    <w:uiPriority w:val="0"/>
    <w:pPr>
      <w:spacing w:after="120"/>
    </w:pPr>
    <w:rPr>
      <w:rFonts w:ascii="Times New Roman" w:hAnsi="Times New Roman" w:eastAsia="宋体"/>
      <w:szCs w:val="24"/>
    </w:rPr>
  </w:style>
  <w:style w:type="paragraph" w:styleId="12">
    <w:name w:val="Body Text Indent"/>
    <w:basedOn w:val="1"/>
    <w:qFormat/>
    <w:uiPriority w:val="0"/>
    <w:pPr>
      <w:spacing w:after="120"/>
      <w:ind w:left="420" w:leftChars="200"/>
    </w:pPr>
  </w:style>
  <w:style w:type="paragraph" w:styleId="13">
    <w:name w:val="index 4"/>
    <w:basedOn w:val="1"/>
    <w:next w:val="1"/>
    <w:unhideWhenUsed/>
    <w:qFormat/>
    <w:uiPriority w:val="99"/>
    <w:pPr>
      <w:ind w:left="600" w:leftChars="600"/>
    </w:pPr>
  </w:style>
  <w:style w:type="paragraph" w:styleId="14">
    <w:name w:val="toc 3"/>
    <w:basedOn w:val="1"/>
    <w:next w:val="1"/>
    <w:link w:val="45"/>
    <w:qFormat/>
    <w:uiPriority w:val="0"/>
    <w:pPr>
      <w:ind w:left="840" w:leftChars="400"/>
    </w:pPr>
  </w:style>
  <w:style w:type="paragraph" w:styleId="15">
    <w:name w:val="Plain Text"/>
    <w:basedOn w:val="1"/>
    <w:link w:val="46"/>
    <w:qFormat/>
    <w:uiPriority w:val="0"/>
    <w:rPr>
      <w:rFonts w:ascii="宋体" w:hAnsi="Courier New" w:eastAsia="宋体" w:cs="Courier New"/>
      <w:szCs w:val="21"/>
    </w:rPr>
  </w:style>
  <w:style w:type="paragraph" w:styleId="16">
    <w:name w:val="Date"/>
    <w:basedOn w:val="1"/>
    <w:next w:val="1"/>
    <w:qFormat/>
    <w:uiPriority w:val="0"/>
    <w:pPr>
      <w:ind w:left="100" w:leftChars="2500"/>
    </w:p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0">
    <w:name w:val="toc 1"/>
    <w:basedOn w:val="1"/>
    <w:next w:val="1"/>
    <w:qFormat/>
    <w:uiPriority w:val="0"/>
  </w:style>
  <w:style w:type="paragraph" w:styleId="21">
    <w:name w:val="footnote text"/>
    <w:basedOn w:val="1"/>
    <w:semiHidden/>
    <w:qFormat/>
    <w:uiPriority w:val="0"/>
    <w:pPr>
      <w:snapToGrid w:val="0"/>
      <w:jc w:val="left"/>
    </w:pPr>
    <w:rPr>
      <w:rFonts w:ascii="Times New Roman" w:hAnsi="Times New Roman"/>
      <w:sz w:val="18"/>
      <w:szCs w:val="18"/>
    </w:rPr>
  </w:style>
  <w:style w:type="paragraph" w:styleId="22">
    <w:name w:val="Body Text Indent 3"/>
    <w:basedOn w:val="1"/>
    <w:qFormat/>
    <w:uiPriority w:val="0"/>
    <w:pPr>
      <w:spacing w:after="120"/>
      <w:ind w:left="420" w:leftChars="200"/>
    </w:pPr>
    <w:rPr>
      <w:rFonts w:ascii="Times New Roman" w:hAnsi="Times New Roman"/>
      <w:sz w:val="16"/>
      <w:szCs w:val="16"/>
    </w:rPr>
  </w:style>
  <w:style w:type="paragraph" w:styleId="23">
    <w:name w:val="toc 2"/>
    <w:basedOn w:val="1"/>
    <w:next w:val="1"/>
    <w:qFormat/>
    <w:uiPriority w:val="0"/>
    <w:pPr>
      <w:ind w:left="420" w:leftChars="200"/>
    </w:pPr>
  </w:style>
  <w:style w:type="paragraph" w:styleId="24">
    <w:name w:val="HTML Preformatted"/>
    <w:basedOn w:val="1"/>
    <w:qFormat/>
    <w:uiPriority w:val="0"/>
    <w:rPr>
      <w:rFonts w:ascii="Courier New" w:hAnsi="Courier New" w:cs="Courier New"/>
      <w:sz w:val="20"/>
      <w:szCs w:val="20"/>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annotation subject"/>
    <w:basedOn w:val="9"/>
    <w:next w:val="9"/>
    <w:semiHidden/>
    <w:qFormat/>
    <w:uiPriority w:val="0"/>
    <w:rPr>
      <w:rFonts w:ascii="Calibri" w:hAnsi="Calibri"/>
      <w:b/>
      <w:bCs/>
      <w:szCs w:val="22"/>
    </w:rPr>
  </w:style>
  <w:style w:type="paragraph" w:styleId="27">
    <w:name w:val="Body Text First Indent"/>
    <w:basedOn w:val="11"/>
    <w:qFormat/>
    <w:uiPriority w:val="0"/>
    <w:pPr>
      <w:ind w:firstLine="420" w:firstLineChars="100"/>
    </w:pPr>
    <w:rPr>
      <w:rFonts w:ascii="Calibri" w:hAnsi="Calibri"/>
      <w:szCs w:val="22"/>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Emphasis"/>
    <w:qFormat/>
    <w:uiPriority w:val="0"/>
    <w:rPr>
      <w:rFonts w:eastAsia="华文仿宋" w:cs="Times New Roman"/>
      <w:sz w:val="24"/>
    </w:rPr>
  </w:style>
  <w:style w:type="character" w:styleId="34">
    <w:name w:val="HTML Definition"/>
    <w:basedOn w:val="30"/>
    <w:qFormat/>
    <w:uiPriority w:val="0"/>
    <w:rPr>
      <w:i/>
      <w:iCs/>
    </w:rPr>
  </w:style>
  <w:style w:type="character" w:styleId="35">
    <w:name w:val="Hyperlink"/>
    <w:basedOn w:val="30"/>
    <w:qFormat/>
    <w:uiPriority w:val="0"/>
    <w:rPr>
      <w:rFonts w:ascii="微软雅黑" w:hAnsi="微软雅黑" w:eastAsia="微软雅黑" w:cs="微软雅黑"/>
      <w:color w:val="337AB7"/>
      <w:u w:val="none"/>
    </w:rPr>
  </w:style>
  <w:style w:type="character" w:styleId="36">
    <w:name w:val="HTML Code"/>
    <w:basedOn w:val="30"/>
    <w:qFormat/>
    <w:uiPriority w:val="0"/>
    <w:rPr>
      <w:rFonts w:ascii="Consolas" w:hAnsi="Consolas" w:eastAsia="Consolas" w:cs="Consolas"/>
      <w:color w:val="C7254E"/>
      <w:sz w:val="21"/>
      <w:szCs w:val="21"/>
      <w:bdr w:val="single" w:color="E1E1E1" w:sz="6" w:space="0"/>
      <w:shd w:val="clear" w:color="auto" w:fill="F9F2F4"/>
    </w:rPr>
  </w:style>
  <w:style w:type="character" w:styleId="37">
    <w:name w:val="annotation reference"/>
    <w:qFormat/>
    <w:uiPriority w:val="0"/>
    <w:rPr>
      <w:rFonts w:cs="Times New Roman"/>
      <w:sz w:val="21"/>
    </w:rPr>
  </w:style>
  <w:style w:type="character" w:styleId="38">
    <w:name w:val="HTML Keyboard"/>
    <w:basedOn w:val="30"/>
    <w:qFormat/>
    <w:uiPriority w:val="0"/>
    <w:rPr>
      <w:rFonts w:hint="default" w:ascii="Consolas" w:hAnsi="Consolas" w:eastAsia="Consolas" w:cs="Consolas"/>
      <w:color w:val="FFFFFF"/>
      <w:sz w:val="21"/>
      <w:szCs w:val="21"/>
      <w:shd w:val="clear" w:color="auto" w:fill="333333"/>
    </w:rPr>
  </w:style>
  <w:style w:type="character" w:styleId="39">
    <w:name w:val="HTML Sample"/>
    <w:basedOn w:val="30"/>
    <w:qFormat/>
    <w:uiPriority w:val="0"/>
    <w:rPr>
      <w:rFonts w:hint="default" w:ascii="Consolas" w:hAnsi="Consolas" w:eastAsia="Consolas" w:cs="Consolas"/>
      <w:sz w:val="21"/>
      <w:szCs w:val="21"/>
    </w:rPr>
  </w:style>
  <w:style w:type="character" w:customStyle="1" w:styleId="40">
    <w:name w:val="标题 2 Char"/>
    <w:link w:val="3"/>
    <w:qFormat/>
    <w:locked/>
    <w:uiPriority w:val="0"/>
    <w:rPr>
      <w:rFonts w:ascii="Arial" w:hAnsi="Arial" w:eastAsia="黑体"/>
      <w:b/>
      <w:kern w:val="2"/>
      <w:sz w:val="32"/>
      <w:lang w:val="en-US" w:eastAsia="zh-CN" w:bidi="ar-SA"/>
    </w:rPr>
  </w:style>
  <w:style w:type="character" w:customStyle="1" w:styleId="41">
    <w:name w:val="标题 1 Char"/>
    <w:link w:val="2"/>
    <w:qFormat/>
    <w:locked/>
    <w:uiPriority w:val="0"/>
    <w:rPr>
      <w:rFonts w:eastAsia="宋体"/>
      <w:b/>
      <w:kern w:val="44"/>
      <w:sz w:val="44"/>
      <w:lang w:val="en-US" w:eastAsia="zh-CN" w:bidi="ar-SA"/>
    </w:rPr>
  </w:style>
  <w:style w:type="character" w:customStyle="1" w:styleId="42">
    <w:name w:val="标题 3 Char"/>
    <w:link w:val="4"/>
    <w:qFormat/>
    <w:uiPriority w:val="0"/>
    <w:rPr>
      <w:rFonts w:ascii="Times New Roman" w:hAnsi="Times New Roman" w:eastAsia="宋体"/>
      <w:b/>
      <w:bCs/>
      <w:sz w:val="28"/>
      <w:szCs w:val="32"/>
    </w:rPr>
  </w:style>
  <w:style w:type="character" w:customStyle="1" w:styleId="43">
    <w:name w:val="批注文字 Char"/>
    <w:link w:val="9"/>
    <w:qFormat/>
    <w:locked/>
    <w:uiPriority w:val="0"/>
    <w:rPr>
      <w:rFonts w:eastAsia="宋体"/>
      <w:kern w:val="2"/>
      <w:sz w:val="21"/>
      <w:lang w:val="en-US" w:eastAsia="zh-CN" w:bidi="ar-SA"/>
    </w:rPr>
  </w:style>
  <w:style w:type="character" w:customStyle="1" w:styleId="44">
    <w:name w:val="正文文本 Char"/>
    <w:link w:val="11"/>
    <w:qFormat/>
    <w:uiPriority w:val="0"/>
    <w:rPr>
      <w:rFonts w:eastAsia="宋体"/>
      <w:kern w:val="2"/>
      <w:sz w:val="21"/>
      <w:szCs w:val="24"/>
      <w:lang w:val="en-US" w:eastAsia="zh-CN" w:bidi="ar-SA"/>
    </w:rPr>
  </w:style>
  <w:style w:type="character" w:customStyle="1" w:styleId="45">
    <w:name w:val="目录 3 Char"/>
    <w:link w:val="14"/>
    <w:qFormat/>
    <w:uiPriority w:val="0"/>
  </w:style>
  <w:style w:type="character" w:customStyle="1" w:styleId="46">
    <w:name w:val="纯文本 Char"/>
    <w:link w:val="15"/>
    <w:qFormat/>
    <w:locked/>
    <w:uiPriority w:val="0"/>
    <w:rPr>
      <w:rFonts w:ascii="宋体" w:hAnsi="Courier New" w:eastAsia="宋体" w:cs="Courier New"/>
      <w:kern w:val="2"/>
      <w:sz w:val="21"/>
      <w:szCs w:val="21"/>
      <w:lang w:val="en-US" w:eastAsia="zh-CN" w:bidi="ar-SA"/>
    </w:rPr>
  </w:style>
  <w:style w:type="character" w:customStyle="1" w:styleId="47">
    <w:name w:val=" Char Char5"/>
    <w:qFormat/>
    <w:uiPriority w:val="0"/>
    <w:rPr>
      <w:rFonts w:eastAsia="宋体"/>
      <w:kern w:val="2"/>
      <w:sz w:val="21"/>
    </w:rPr>
  </w:style>
  <w:style w:type="character" w:customStyle="1" w:styleId="48">
    <w:name w:val="样式 正文文本 + 新宋体 小四 黑色 Char"/>
    <w:link w:val="49"/>
    <w:qFormat/>
    <w:uiPriority w:val="0"/>
    <w:rPr>
      <w:rFonts w:ascii="新宋体" w:hAnsi="新宋体" w:eastAsia="宋体"/>
      <w:color w:val="000000"/>
      <w:kern w:val="2"/>
      <w:sz w:val="21"/>
      <w:szCs w:val="24"/>
      <w:lang w:val="en-US" w:eastAsia="zh-CN" w:bidi="ar-SA"/>
    </w:rPr>
  </w:style>
  <w:style w:type="paragraph" w:customStyle="1" w:styleId="49">
    <w:name w:val="样式 正文文本 + 新宋体 小四 黑色"/>
    <w:basedOn w:val="11"/>
    <w:link w:val="48"/>
    <w:qFormat/>
    <w:uiPriority w:val="0"/>
    <w:rPr>
      <w:rFonts w:ascii="新宋体" w:hAnsi="新宋体"/>
      <w:color w:val="000000"/>
    </w:rPr>
  </w:style>
  <w:style w:type="character" w:customStyle="1" w:styleId="50">
    <w:name w:val=" Char Char21"/>
    <w:qFormat/>
    <w:uiPriority w:val="0"/>
    <w:rPr>
      <w:rFonts w:eastAsia="宋体"/>
      <w:b/>
      <w:kern w:val="44"/>
      <w:sz w:val="44"/>
    </w:rPr>
  </w:style>
  <w:style w:type="character" w:customStyle="1" w:styleId="51">
    <w:name w:val="样式 标题 3 + 新宋体 Char"/>
    <w:link w:val="52"/>
    <w:qFormat/>
    <w:uiPriority w:val="0"/>
    <w:rPr>
      <w:rFonts w:ascii="新宋体" w:hAnsi="新宋体" w:eastAsia="宋体"/>
      <w:sz w:val="21"/>
      <w:szCs w:val="32"/>
      <w:lang w:bidi="ar-SA"/>
    </w:rPr>
  </w:style>
  <w:style w:type="paragraph" w:customStyle="1" w:styleId="52">
    <w:name w:val="样式 标题 3 + 新宋体"/>
    <w:basedOn w:val="4"/>
    <w:link w:val="51"/>
    <w:qFormat/>
    <w:uiPriority w:val="0"/>
    <w:pPr>
      <w:numPr>
        <w:ilvl w:val="2"/>
        <w:numId w:val="0"/>
      </w:numPr>
    </w:pPr>
    <w:rPr>
      <w:rFonts w:ascii="新宋体" w:hAnsi="新宋体" w:eastAsia="宋体"/>
      <w:bCs w:val="0"/>
      <w:kern w:val="0"/>
      <w:sz w:val="21"/>
    </w:rPr>
  </w:style>
  <w:style w:type="character" w:customStyle="1" w:styleId="53">
    <w:name w:val="font161"/>
    <w:qFormat/>
    <w:uiPriority w:val="0"/>
    <w:rPr>
      <w:b/>
      <w:sz w:val="32"/>
    </w:rPr>
  </w:style>
  <w:style w:type="character" w:customStyle="1" w:styleId="54">
    <w:name w:val="批注文字 Char1"/>
    <w:semiHidden/>
    <w:qFormat/>
    <w:uiPriority w:val="0"/>
    <w:rPr>
      <w:rFonts w:ascii="Calibri" w:hAnsi="Calibri" w:eastAsia="宋体"/>
      <w:kern w:val="2"/>
      <w:sz w:val="21"/>
      <w:szCs w:val="22"/>
      <w:lang w:val="en-US" w:eastAsia="zh-CN" w:bidi="ar-SA"/>
    </w:rPr>
  </w:style>
  <w:style w:type="character" w:customStyle="1" w:styleId="55">
    <w:name w:val="Heading 1 Char"/>
    <w:qFormat/>
    <w:locked/>
    <w:uiPriority w:val="0"/>
    <w:rPr>
      <w:rFonts w:eastAsia="宋体" w:cs="Times New Roman"/>
      <w:b/>
      <w:kern w:val="44"/>
      <w:sz w:val="44"/>
    </w:rPr>
  </w:style>
  <w:style w:type="character" w:customStyle="1" w:styleId="56">
    <w:name w:val="样式 新宋体 小四"/>
    <w:qFormat/>
    <w:uiPriority w:val="0"/>
    <w:rPr>
      <w:rFonts w:ascii="新宋体" w:hAnsi="新宋体" w:eastAsia="宋体"/>
      <w:sz w:val="21"/>
    </w:rPr>
  </w:style>
  <w:style w:type="paragraph" w:customStyle="1" w:styleId="57">
    <w:name w:val="Char Char Char Char"/>
    <w:basedOn w:val="8"/>
    <w:qFormat/>
    <w:uiPriority w:val="0"/>
    <w:pPr>
      <w:widowControl/>
      <w:ind w:firstLine="454"/>
      <w:jc w:val="left"/>
    </w:pPr>
    <w:rPr>
      <w:rFonts w:ascii="Times New Roman" w:hAnsi="Times New Roman"/>
      <w:szCs w:val="20"/>
    </w:rPr>
  </w:style>
  <w:style w:type="paragraph" w:customStyle="1" w:styleId="58">
    <w:name w:val="Table Paragraph"/>
    <w:basedOn w:val="1"/>
    <w:qFormat/>
    <w:uiPriority w:val="0"/>
    <w:pPr>
      <w:autoSpaceDE w:val="0"/>
      <w:autoSpaceDN w:val="0"/>
      <w:jc w:val="left"/>
    </w:pPr>
    <w:rPr>
      <w:rFonts w:ascii="宋体" w:hAnsi="Times New Roman" w:cs="宋体"/>
      <w:kern w:val="0"/>
      <w:sz w:val="22"/>
      <w:lang w:val="zh-CN" w:bidi="zh-CN"/>
    </w:rPr>
  </w:style>
  <w:style w:type="paragraph" w:customStyle="1" w:styleId="59">
    <w:name w:val="文二"/>
    <w:basedOn w:val="1"/>
    <w:qFormat/>
    <w:uiPriority w:val="0"/>
    <w:pPr>
      <w:jc w:val="left"/>
    </w:pPr>
    <w:rPr>
      <w:rFonts w:ascii="宋体" w:hAnsi="宋体"/>
      <w:szCs w:val="21"/>
    </w:rPr>
  </w:style>
  <w:style w:type="paragraph" w:customStyle="1" w:styleId="60">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_Style 60"/>
    <w:unhideWhenUsed/>
    <w:qFormat/>
    <w:uiPriority w:val="99"/>
    <w:rPr>
      <w:rFonts w:ascii="Calibri" w:hAnsi="Calibri" w:eastAsia="宋体" w:cs="Times New Roman"/>
      <w:kern w:val="2"/>
      <w:sz w:val="21"/>
      <w:szCs w:val="22"/>
      <w:lang w:val="en-US" w:eastAsia="zh-CN" w:bidi="ar-SA"/>
    </w:rPr>
  </w:style>
  <w:style w:type="character" w:customStyle="1" w:styleId="62">
    <w:name w:val="username"/>
    <w:basedOn w:val="30"/>
    <w:qFormat/>
    <w:uiPriority w:val="0"/>
  </w:style>
  <w:style w:type="character" w:customStyle="1" w:styleId="63">
    <w:name w:val="title26"/>
    <w:basedOn w:val="30"/>
    <w:qFormat/>
    <w:uiPriority w:val="0"/>
  </w:style>
  <w:style w:type="paragraph" w:customStyle="1" w:styleId="64">
    <w:name w:val="Heading 2"/>
    <w:basedOn w:val="1"/>
    <w:unhideWhenUsed/>
    <w:qFormat/>
    <w:uiPriority w:val="1"/>
    <w:pPr>
      <w:spacing w:beforeLines="0" w:afterLines="0"/>
      <w:outlineLvl w:val="1"/>
    </w:pPr>
    <w:rPr>
      <w:rFonts w:hint="eastAsia" w:ascii="宋体" w:hAnsi="宋体" w:eastAsia="宋体"/>
      <w:sz w:val="32"/>
    </w:rPr>
  </w:style>
  <w:style w:type="paragraph" w:customStyle="1" w:styleId="65">
    <w:name w:val="Heading 3"/>
    <w:basedOn w:val="1"/>
    <w:unhideWhenUsed/>
    <w:qFormat/>
    <w:uiPriority w:val="1"/>
    <w:pPr>
      <w:spacing w:beforeLines="0" w:afterLines="0"/>
      <w:ind w:left="237"/>
      <w:outlineLvl w:val="2"/>
    </w:pPr>
    <w:rPr>
      <w:rFonts w:hint="eastAsia" w:ascii="宋体" w:hAnsi="宋体" w:eastAsia="宋体"/>
      <w:sz w:val="28"/>
    </w:rPr>
  </w:style>
  <w:style w:type="paragraph" w:customStyle="1" w:styleId="66">
    <w:name w:val="Heading 1"/>
    <w:basedOn w:val="1"/>
    <w:unhideWhenUsed/>
    <w:qFormat/>
    <w:uiPriority w:val="1"/>
    <w:pPr>
      <w:spacing w:beforeLines="0" w:afterLines="0"/>
      <w:outlineLvl w:val="0"/>
    </w:pPr>
    <w:rPr>
      <w:rFonts w:hint="eastAsia" w:ascii="宋体" w:hAnsi="宋体" w:eastAsia="宋体"/>
      <w:sz w:val="44"/>
    </w:rPr>
  </w:style>
  <w:style w:type="paragraph" w:customStyle="1" w:styleId="67">
    <w:name w:val="BodyText"/>
    <w:basedOn w:val="1"/>
    <w:qFormat/>
    <w:uiPriority w:val="0"/>
    <w:pPr>
      <w:spacing w:after="120"/>
    </w:pPr>
    <w:rPr>
      <w:rFonts w:ascii="Times New Roman" w:hAnsi="Times New Roman"/>
      <w:kern w:val="0"/>
      <w:sz w:val="20"/>
      <w:szCs w:val="20"/>
    </w:r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paragraph" w:customStyle="1" w:styleId="69">
    <w:name w:val="正文缩进1"/>
    <w:basedOn w:val="70"/>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70">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paragraph" w:customStyle="1" w:styleId="7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2">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73">
    <w:name w:val="Other|1"/>
    <w:basedOn w:val="1"/>
    <w:qFormat/>
    <w:uiPriority w:val="0"/>
    <w:pPr>
      <w:spacing w:line="288" w:lineRule="exact"/>
    </w:pPr>
    <w:rPr>
      <w:rFonts w:ascii="宋体" w:hAnsi="宋体" w:cs="宋体"/>
      <w:sz w:val="20"/>
      <w:szCs w:val="20"/>
      <w:lang w:val="zh-TW" w:eastAsia="zh-TW" w:bidi="zh-TW"/>
    </w:rPr>
  </w:style>
  <w:style w:type="character" w:customStyle="1" w:styleId="74">
    <w:name w:val="NormalCharacter"/>
    <w:qFormat/>
    <w:uiPriority w:val="0"/>
  </w:style>
  <w:style w:type="paragraph" w:styleId="75">
    <w:name w:val="List Paragraph"/>
    <w:basedOn w:val="1"/>
    <w:qFormat/>
    <w:uiPriority w:val="0"/>
    <w:pPr>
      <w:ind w:firstLine="420" w:firstLineChars="200"/>
    </w:pPr>
  </w:style>
  <w:style w:type="paragraph" w:customStyle="1" w:styleId="76">
    <w:name w:val="Table Text"/>
    <w:basedOn w:val="1"/>
    <w:semiHidden/>
    <w:qFormat/>
    <w:uiPriority w:val="0"/>
    <w:rPr>
      <w:rFonts w:ascii="宋体" w:hAnsi="宋体" w:eastAsia="宋体" w:cs="宋体"/>
      <w:sz w:val="21"/>
      <w:szCs w:val="21"/>
      <w:lang w:val="en-US" w:eastAsia="en-US" w:bidi="ar-SA"/>
    </w:rPr>
  </w:style>
  <w:style w:type="table" w:customStyle="1" w:styleId="77">
    <w:name w:val="Table Normal"/>
    <w:unhideWhenUsed/>
    <w:qFormat/>
    <w:uiPriority w:val="0"/>
    <w:tblPr>
      <w:tblCellMar>
        <w:top w:w="0" w:type="dxa"/>
        <w:left w:w="0" w:type="dxa"/>
        <w:bottom w:w="0" w:type="dxa"/>
        <w:right w:w="0" w:type="dxa"/>
      </w:tblCellMar>
    </w:tblPr>
  </w:style>
  <w:style w:type="paragraph" w:customStyle="1" w:styleId="78">
    <w:name w:val="null3"/>
    <w:qFormat/>
    <w:uiPriority w:val="0"/>
    <w:rPr>
      <w:rFonts w:hint="eastAsia" w:ascii="Calibri" w:hAnsi="Calibri" w:eastAsia="宋体" w:cs="Times New Roman"/>
      <w:lang w:val="en-US" w:eastAsia="zh-Hans" w:bidi="ar-SA"/>
    </w:rPr>
  </w:style>
  <w:style w:type="paragraph" w:customStyle="1" w:styleId="79">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80">
    <w:name w:val="正文_9"/>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236</Words>
  <Characters>272</Characters>
  <Lines>350</Lines>
  <Paragraphs>98</Paragraphs>
  <TotalTime>40</TotalTime>
  <ScaleCrop>false</ScaleCrop>
  <LinksUpToDate>false</LinksUpToDate>
  <CharactersWithSpaces>307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2022-09-20T12:03:00Z</dcterms:created>
  <dc:creator>asus</dc:creator>
  <cp:lastModifiedBy>方思全</cp:lastModifiedBy>
  <cp:lastPrinted>2025-07-24T09:26:00Z</cp:lastPrinted>
  <dcterms:modified xsi:type="dcterms:W3CDTF">2025-07-31T05:10:06Z</dcterms:modified>
  <dc:title>招标人应当根据招标工程特点和实际需要，依法在其他说明中补充填写相关要求</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A567D2D58E6E45ECB196C3B435E98E2B_13</vt:lpwstr>
  </property>
  <property fmtid="{D5CDD505-2E9C-101B-9397-08002B2CF9AE}" pid="4" name="KSOTemplateDocerSaveRecord">
    <vt:lpwstr>eyJoZGlkIjoiMzkyNjlhY2U2MTdmNTZjYzc0N2ZlN2JlNDdlZmMxMmEiLCJ1c2VySWQiOiIxNjAxMjI1NDI1In0=</vt:lpwstr>
  </property>
</Properties>
</file>