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E9464">
      <w:pPr>
        <w:spacing w:line="287" w:lineRule="exact"/>
        <w:rPr>
          <w:rFonts w:hint="eastAsia" w:ascii="宋体" w:hAnsi="宋体" w:eastAsia="宋体" w:cs="宋体"/>
          <w:color w:val="auto"/>
          <w:sz w:val="24"/>
          <w:highlight w:val="none"/>
        </w:rPr>
      </w:pPr>
    </w:p>
    <w:p w14:paraId="30E3D058">
      <w:pPr>
        <w:spacing w:line="272" w:lineRule="auto"/>
        <w:rPr>
          <w:rFonts w:hint="eastAsia" w:ascii="宋体" w:hAnsi="宋体" w:eastAsia="宋体" w:cs="宋体"/>
          <w:color w:val="auto"/>
          <w:highlight w:val="none"/>
        </w:rPr>
      </w:pPr>
    </w:p>
    <w:p w14:paraId="1D2778F7">
      <w:pPr>
        <w:spacing w:line="273" w:lineRule="auto"/>
        <w:rPr>
          <w:rFonts w:hint="eastAsia" w:ascii="宋体" w:hAnsi="宋体" w:eastAsia="宋体" w:cs="宋体"/>
          <w:color w:val="auto"/>
          <w:highlight w:val="none"/>
        </w:rPr>
      </w:pPr>
    </w:p>
    <w:p w14:paraId="5B5033D7">
      <w:pPr>
        <w:spacing w:line="273" w:lineRule="auto"/>
        <w:rPr>
          <w:rFonts w:hint="eastAsia" w:ascii="宋体" w:hAnsi="宋体" w:eastAsia="宋体" w:cs="宋体"/>
          <w:color w:val="auto"/>
          <w:highlight w:val="none"/>
        </w:rPr>
      </w:pPr>
    </w:p>
    <w:p w14:paraId="339640E1">
      <w:pPr>
        <w:spacing w:line="273" w:lineRule="auto"/>
        <w:jc w:val="center"/>
        <w:rPr>
          <w:rFonts w:hint="eastAsia" w:ascii="宋体" w:hAnsi="宋体" w:eastAsia="宋体" w:cs="宋体"/>
          <w:color w:val="auto"/>
          <w:sz w:val="52"/>
          <w:szCs w:val="52"/>
          <w:highlight w:val="none"/>
          <w:u w:val="single"/>
        </w:rPr>
      </w:pPr>
    </w:p>
    <w:p w14:paraId="06E8E7E9">
      <w:pPr>
        <w:spacing w:line="269" w:lineRule="auto"/>
        <w:jc w:val="center"/>
        <w:rPr>
          <w:rFonts w:hint="eastAsia" w:ascii="宋体" w:hAnsi="宋体" w:eastAsia="宋体" w:cs="宋体"/>
          <w:b/>
          <w:bCs w:val="0"/>
          <w:color w:val="auto"/>
          <w:sz w:val="52"/>
          <w:szCs w:val="52"/>
          <w:highlight w:val="none"/>
          <w:lang w:eastAsia="zh-CN"/>
        </w:rPr>
      </w:pPr>
      <w:r>
        <w:rPr>
          <w:rFonts w:hint="eastAsia" w:ascii="宋体" w:hAnsi="宋体" w:eastAsia="宋体" w:cs="宋体"/>
          <w:b/>
          <w:bCs w:val="0"/>
          <w:color w:val="auto"/>
          <w:sz w:val="52"/>
          <w:szCs w:val="52"/>
          <w:highlight w:val="none"/>
          <w:lang w:eastAsia="zh-CN"/>
        </w:rPr>
        <w:t>广州市增城区大封门水库扩容工程BIM技术应用服务</w:t>
      </w:r>
    </w:p>
    <w:p w14:paraId="4FB99C55">
      <w:pPr>
        <w:spacing w:line="269" w:lineRule="auto"/>
        <w:rPr>
          <w:rFonts w:hint="eastAsia" w:ascii="宋体" w:hAnsi="宋体" w:eastAsia="宋体" w:cs="宋体"/>
          <w:b/>
          <w:bCs w:val="0"/>
          <w:color w:val="auto"/>
          <w:highlight w:val="none"/>
        </w:rPr>
      </w:pPr>
    </w:p>
    <w:p w14:paraId="619C6D23">
      <w:pPr>
        <w:spacing w:line="269" w:lineRule="auto"/>
        <w:rPr>
          <w:rFonts w:hint="eastAsia" w:ascii="宋体" w:hAnsi="宋体" w:eastAsia="宋体" w:cs="宋体"/>
          <w:b/>
          <w:bCs w:val="0"/>
          <w:color w:val="auto"/>
          <w:highlight w:val="none"/>
        </w:rPr>
      </w:pPr>
    </w:p>
    <w:p w14:paraId="7E2C4E12">
      <w:pPr>
        <w:spacing w:line="270" w:lineRule="auto"/>
        <w:rPr>
          <w:rFonts w:hint="eastAsia" w:ascii="宋体" w:hAnsi="宋体" w:eastAsia="宋体" w:cs="宋体"/>
          <w:b/>
          <w:bCs w:val="0"/>
          <w:color w:val="auto"/>
          <w:highlight w:val="none"/>
        </w:rPr>
      </w:pPr>
    </w:p>
    <w:p w14:paraId="294B9084">
      <w:pPr>
        <w:pStyle w:val="55"/>
        <w:rPr>
          <w:rFonts w:hint="eastAsia" w:ascii="宋体" w:hAnsi="宋体" w:eastAsia="宋体" w:cs="宋体"/>
          <w:b/>
          <w:bCs w:val="0"/>
          <w:color w:val="auto"/>
          <w:sz w:val="21"/>
          <w:highlight w:val="none"/>
        </w:rPr>
      </w:pPr>
    </w:p>
    <w:p w14:paraId="69D4BB67">
      <w:pPr>
        <w:pStyle w:val="56"/>
        <w:rPr>
          <w:rFonts w:hint="eastAsia" w:ascii="宋体" w:hAnsi="宋体" w:eastAsia="宋体" w:cs="宋体"/>
          <w:b/>
          <w:bCs w:val="0"/>
          <w:color w:val="auto"/>
          <w:highlight w:val="none"/>
        </w:rPr>
      </w:pPr>
    </w:p>
    <w:p w14:paraId="6C571F04">
      <w:pPr>
        <w:pStyle w:val="26"/>
        <w:ind w:firstLine="420"/>
        <w:rPr>
          <w:rFonts w:hint="eastAsia" w:ascii="宋体" w:hAnsi="宋体" w:eastAsia="宋体" w:cs="宋体"/>
          <w:b/>
          <w:bCs w:val="0"/>
          <w:color w:val="auto"/>
          <w:sz w:val="21"/>
          <w:highlight w:val="none"/>
        </w:rPr>
      </w:pPr>
    </w:p>
    <w:p w14:paraId="46AC8B83">
      <w:pPr>
        <w:rPr>
          <w:rFonts w:hint="eastAsia" w:ascii="宋体" w:hAnsi="宋体" w:eastAsia="宋体" w:cs="宋体"/>
          <w:b/>
          <w:bCs w:val="0"/>
          <w:color w:val="auto"/>
          <w:highlight w:val="none"/>
        </w:rPr>
      </w:pPr>
    </w:p>
    <w:p w14:paraId="04387420">
      <w:pPr>
        <w:spacing w:line="270" w:lineRule="auto"/>
        <w:rPr>
          <w:rFonts w:hint="eastAsia" w:ascii="宋体" w:hAnsi="宋体" w:eastAsia="宋体" w:cs="宋体"/>
          <w:b/>
          <w:bCs w:val="0"/>
          <w:color w:val="auto"/>
          <w:highlight w:val="none"/>
        </w:rPr>
      </w:pPr>
    </w:p>
    <w:p w14:paraId="16FAA3DA">
      <w:pPr>
        <w:spacing w:before="140" w:line="226" w:lineRule="auto"/>
        <w:jc w:val="center"/>
        <w:rPr>
          <w:rFonts w:hint="eastAsia" w:ascii="宋体" w:hAnsi="宋体" w:eastAsia="宋体" w:cs="宋体"/>
          <w:b/>
          <w:bCs w:val="0"/>
          <w:color w:val="auto"/>
          <w:sz w:val="84"/>
          <w:szCs w:val="84"/>
          <w:highlight w:val="none"/>
        </w:rPr>
      </w:pPr>
      <w:r>
        <w:rPr>
          <w:rFonts w:hint="eastAsia" w:ascii="宋体" w:hAnsi="宋体" w:eastAsia="宋体" w:cs="宋体"/>
          <w:b/>
          <w:bCs w:val="0"/>
          <w:color w:val="auto"/>
          <w:sz w:val="84"/>
          <w:szCs w:val="84"/>
          <w:highlight w:val="none"/>
        </w:rPr>
        <w:t>招标文件</w:t>
      </w:r>
    </w:p>
    <w:p w14:paraId="04CEF422">
      <w:pPr>
        <w:spacing w:line="250" w:lineRule="auto"/>
        <w:ind w:left="-105" w:leftChars="-50" w:right="-105" w:rightChars="-50"/>
        <w:rPr>
          <w:rFonts w:hint="eastAsia" w:ascii="宋体" w:hAnsi="宋体" w:eastAsia="宋体" w:cs="宋体"/>
          <w:color w:val="auto"/>
          <w:highlight w:val="none"/>
        </w:rPr>
      </w:pPr>
    </w:p>
    <w:p w14:paraId="2E69DC11">
      <w:pPr>
        <w:spacing w:line="250" w:lineRule="auto"/>
        <w:rPr>
          <w:rFonts w:hint="eastAsia" w:ascii="宋体" w:hAnsi="宋体" w:eastAsia="宋体" w:cs="宋体"/>
          <w:color w:val="auto"/>
          <w:highlight w:val="none"/>
        </w:rPr>
      </w:pPr>
    </w:p>
    <w:p w14:paraId="3A4BD960">
      <w:pPr>
        <w:spacing w:line="250" w:lineRule="auto"/>
        <w:rPr>
          <w:rFonts w:hint="eastAsia" w:ascii="宋体" w:hAnsi="宋体" w:eastAsia="宋体" w:cs="宋体"/>
          <w:color w:val="auto"/>
          <w:highlight w:val="none"/>
        </w:rPr>
      </w:pPr>
    </w:p>
    <w:p w14:paraId="54C2B0B9">
      <w:pPr>
        <w:spacing w:line="250" w:lineRule="auto"/>
        <w:rPr>
          <w:rFonts w:hint="eastAsia" w:ascii="宋体" w:hAnsi="宋体" w:eastAsia="宋体" w:cs="宋体"/>
          <w:color w:val="auto"/>
          <w:highlight w:val="none"/>
        </w:rPr>
      </w:pPr>
    </w:p>
    <w:p w14:paraId="7310F8AB">
      <w:pPr>
        <w:spacing w:line="250" w:lineRule="auto"/>
        <w:rPr>
          <w:rFonts w:hint="eastAsia" w:ascii="宋体" w:hAnsi="宋体" w:eastAsia="宋体" w:cs="宋体"/>
          <w:color w:val="auto"/>
          <w:highlight w:val="none"/>
        </w:rPr>
      </w:pPr>
    </w:p>
    <w:p w14:paraId="1E97593C">
      <w:pPr>
        <w:spacing w:line="250" w:lineRule="auto"/>
        <w:rPr>
          <w:rFonts w:hint="eastAsia" w:ascii="宋体" w:hAnsi="宋体" w:eastAsia="宋体" w:cs="宋体"/>
          <w:color w:val="auto"/>
          <w:highlight w:val="none"/>
        </w:rPr>
      </w:pPr>
    </w:p>
    <w:p w14:paraId="6E68F60C">
      <w:pPr>
        <w:spacing w:line="250" w:lineRule="auto"/>
        <w:rPr>
          <w:rFonts w:hint="eastAsia" w:ascii="宋体" w:hAnsi="宋体" w:eastAsia="宋体" w:cs="宋体"/>
          <w:color w:val="auto"/>
          <w:highlight w:val="none"/>
        </w:rPr>
      </w:pPr>
    </w:p>
    <w:p w14:paraId="7AEE3FDC">
      <w:pPr>
        <w:spacing w:line="250" w:lineRule="auto"/>
        <w:rPr>
          <w:rFonts w:hint="eastAsia" w:ascii="宋体" w:hAnsi="宋体" w:eastAsia="宋体" w:cs="宋体"/>
          <w:color w:val="auto"/>
          <w:highlight w:val="none"/>
        </w:rPr>
      </w:pPr>
    </w:p>
    <w:p w14:paraId="4642E7AA">
      <w:pPr>
        <w:spacing w:line="250" w:lineRule="auto"/>
        <w:rPr>
          <w:rFonts w:hint="eastAsia" w:ascii="宋体" w:hAnsi="宋体" w:eastAsia="宋体" w:cs="宋体"/>
          <w:color w:val="auto"/>
          <w:highlight w:val="none"/>
        </w:rPr>
      </w:pPr>
    </w:p>
    <w:p w14:paraId="061A45DC">
      <w:pPr>
        <w:spacing w:line="250" w:lineRule="auto"/>
        <w:rPr>
          <w:rFonts w:hint="eastAsia" w:ascii="宋体" w:hAnsi="宋体" w:eastAsia="宋体" w:cs="宋体"/>
          <w:color w:val="auto"/>
          <w:highlight w:val="none"/>
        </w:rPr>
      </w:pPr>
    </w:p>
    <w:p w14:paraId="4D2700D2">
      <w:pPr>
        <w:spacing w:line="250" w:lineRule="auto"/>
        <w:rPr>
          <w:rFonts w:hint="eastAsia" w:ascii="宋体" w:hAnsi="宋体" w:eastAsia="宋体" w:cs="宋体"/>
          <w:color w:val="auto"/>
          <w:highlight w:val="none"/>
        </w:rPr>
      </w:pPr>
    </w:p>
    <w:p w14:paraId="38B1F6B3">
      <w:pPr>
        <w:spacing w:line="25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54851C7">
      <w:pPr>
        <w:spacing w:line="250" w:lineRule="auto"/>
        <w:rPr>
          <w:rFonts w:hint="eastAsia" w:ascii="宋体" w:hAnsi="宋体" w:eastAsia="宋体" w:cs="宋体"/>
          <w:color w:val="auto"/>
          <w:highlight w:val="none"/>
        </w:rPr>
      </w:pPr>
    </w:p>
    <w:p w14:paraId="31658DF8">
      <w:pPr>
        <w:spacing w:line="250" w:lineRule="auto"/>
        <w:rPr>
          <w:rFonts w:hint="eastAsia" w:ascii="宋体" w:hAnsi="宋体" w:eastAsia="宋体" w:cs="宋体"/>
          <w:color w:val="auto"/>
          <w:highlight w:val="none"/>
        </w:rPr>
      </w:pPr>
    </w:p>
    <w:p w14:paraId="1B8CB560">
      <w:pPr>
        <w:spacing w:before="88" w:line="468" w:lineRule="auto"/>
        <w:ind w:firstLine="1248" w:firstLineChars="400"/>
        <w:jc w:val="both"/>
        <w:rPr>
          <w:rFonts w:hint="eastAsia" w:ascii="宋体" w:hAnsi="宋体" w:eastAsia="宋体" w:cs="宋体"/>
          <w:b/>
          <w:bCs/>
          <w:color w:val="auto"/>
          <w:spacing w:val="-4"/>
          <w:sz w:val="32"/>
          <w:szCs w:val="32"/>
          <w:highlight w:val="none"/>
          <w:u w:val="none"/>
        </w:rPr>
      </w:pPr>
      <w:r>
        <w:rPr>
          <w:rFonts w:hint="eastAsia" w:ascii="宋体" w:hAnsi="宋体" w:eastAsia="宋体" w:cs="宋体"/>
          <w:b/>
          <w:bCs/>
          <w:color w:val="auto"/>
          <w:spacing w:val="-4"/>
          <w:sz w:val="32"/>
          <w:szCs w:val="32"/>
          <w:highlight w:val="none"/>
          <w:u w:val="none"/>
        </w:rPr>
        <w:t>招标人：</w:t>
      </w:r>
      <w:r>
        <w:rPr>
          <w:rFonts w:hint="eastAsia" w:ascii="宋体" w:hAnsi="宋体" w:eastAsia="宋体" w:cs="宋体"/>
          <w:b/>
          <w:bCs/>
          <w:color w:val="auto"/>
          <w:spacing w:val="-4"/>
          <w:sz w:val="32"/>
          <w:szCs w:val="32"/>
          <w:highlight w:val="none"/>
          <w:u w:val="none"/>
          <w:lang w:eastAsia="zh-CN"/>
        </w:rPr>
        <w:t>广州市增城区大封门水库管理所</w:t>
      </w:r>
    </w:p>
    <w:p w14:paraId="138C3E9D">
      <w:pPr>
        <w:spacing w:before="88" w:line="468" w:lineRule="auto"/>
        <w:ind w:firstLine="1248" w:firstLineChars="400"/>
        <w:jc w:val="both"/>
        <w:rPr>
          <w:rFonts w:hint="eastAsia" w:ascii="宋体" w:hAnsi="宋体" w:eastAsia="宋体" w:cs="宋体"/>
          <w:b/>
          <w:bCs/>
          <w:color w:val="auto"/>
          <w:spacing w:val="-4"/>
          <w:sz w:val="32"/>
          <w:szCs w:val="32"/>
          <w:highlight w:val="none"/>
          <w:u w:val="none"/>
          <w:lang w:eastAsia="zh-CN"/>
        </w:rPr>
      </w:pPr>
      <w:r>
        <w:rPr>
          <w:rFonts w:hint="eastAsia" w:ascii="宋体" w:hAnsi="宋体" w:eastAsia="宋体" w:cs="宋体"/>
          <w:b/>
          <w:bCs/>
          <w:color w:val="auto"/>
          <w:spacing w:val="-4"/>
          <w:sz w:val="32"/>
          <w:szCs w:val="32"/>
          <w:highlight w:val="none"/>
          <w:u w:val="none"/>
        </w:rPr>
        <w:t>招标代理：</w:t>
      </w:r>
      <w:r>
        <w:rPr>
          <w:rFonts w:hint="eastAsia" w:ascii="宋体" w:hAnsi="宋体" w:eastAsia="宋体" w:cs="宋体"/>
          <w:b/>
          <w:bCs/>
          <w:color w:val="auto"/>
          <w:spacing w:val="-4"/>
          <w:sz w:val="32"/>
          <w:szCs w:val="32"/>
          <w:highlight w:val="none"/>
          <w:u w:val="none"/>
          <w:lang w:eastAsia="zh-CN"/>
        </w:rPr>
        <w:t>广东宏茂建设管理有限公司</w:t>
      </w:r>
    </w:p>
    <w:p w14:paraId="1A67C9BD">
      <w:pPr>
        <w:tabs>
          <w:tab w:val="left" w:pos="3507"/>
        </w:tabs>
        <w:spacing w:before="1" w:line="229" w:lineRule="auto"/>
        <w:ind w:left="0"/>
        <w:jc w:val="center"/>
        <w:rPr>
          <w:rFonts w:hint="eastAsia" w:ascii="宋体" w:hAnsi="宋体" w:eastAsia="宋体" w:cs="宋体"/>
          <w:b/>
          <w:bCs/>
          <w:color w:val="auto"/>
          <w:spacing w:val="3"/>
          <w:sz w:val="32"/>
          <w:szCs w:val="32"/>
          <w:highlight w:val="none"/>
          <w:u w:val="none"/>
        </w:rPr>
        <w:sectPr>
          <w:footerReference r:id="rId3" w:type="default"/>
          <w:pgSz w:w="11905" w:h="16838"/>
          <w:pgMar w:top="1344" w:right="1247" w:bottom="1106" w:left="1837" w:header="0" w:footer="680" w:gutter="0"/>
          <w:cols w:space="0" w:num="1"/>
          <w:rtlGutter w:val="0"/>
          <w:docGrid w:type="linesAndChars" w:linePitch="312" w:charSpace="0"/>
        </w:sectPr>
      </w:pPr>
      <w:r>
        <w:rPr>
          <w:rFonts w:hint="eastAsia" w:ascii="宋体" w:hAnsi="宋体" w:eastAsia="宋体" w:cs="宋体"/>
          <w:b/>
          <w:bCs/>
          <w:color w:val="auto"/>
          <w:sz w:val="32"/>
          <w:szCs w:val="32"/>
          <w:highlight w:val="none"/>
          <w:u w:val="none"/>
        </w:rPr>
        <w:t>202</w:t>
      </w:r>
      <w:r>
        <w:rPr>
          <w:rFonts w:hint="eastAsia" w:ascii="宋体" w:hAnsi="宋体" w:eastAsia="宋体" w:cs="宋体"/>
          <w:b/>
          <w:bCs/>
          <w:color w:val="auto"/>
          <w:sz w:val="32"/>
          <w:szCs w:val="32"/>
          <w:highlight w:val="none"/>
          <w:u w:val="none"/>
          <w:lang w:val="en-US" w:eastAsia="zh-CN"/>
        </w:rPr>
        <w:t>5</w:t>
      </w:r>
      <w:r>
        <w:rPr>
          <w:rFonts w:hint="eastAsia" w:ascii="宋体" w:hAnsi="宋体" w:eastAsia="宋体" w:cs="宋体"/>
          <w:b/>
          <w:bCs/>
          <w:color w:val="auto"/>
          <w:spacing w:val="6"/>
          <w:sz w:val="32"/>
          <w:szCs w:val="32"/>
          <w:highlight w:val="none"/>
          <w:u w:val="none"/>
        </w:rPr>
        <w:t>年</w:t>
      </w:r>
      <w:r>
        <w:rPr>
          <w:rFonts w:hint="eastAsia" w:ascii="宋体" w:hAnsi="宋体" w:eastAsia="宋体" w:cs="宋体"/>
          <w:b/>
          <w:bCs/>
          <w:color w:val="auto"/>
          <w:spacing w:val="6"/>
          <w:sz w:val="32"/>
          <w:szCs w:val="32"/>
          <w:highlight w:val="none"/>
          <w:u w:val="none"/>
          <w:lang w:val="en-US" w:eastAsia="zh-CN"/>
        </w:rPr>
        <w:t>7</w:t>
      </w:r>
      <w:r>
        <w:rPr>
          <w:rFonts w:hint="eastAsia" w:ascii="宋体" w:hAnsi="宋体" w:eastAsia="宋体" w:cs="宋体"/>
          <w:b/>
          <w:bCs/>
          <w:color w:val="auto"/>
          <w:spacing w:val="3"/>
          <w:sz w:val="32"/>
          <w:szCs w:val="32"/>
          <w:highlight w:val="none"/>
          <w:u w:val="none"/>
        </w:rPr>
        <w:t>月</w:t>
      </w:r>
    </w:p>
    <w:p w14:paraId="517D2297">
      <w:pPr>
        <w:keepNext w:val="0"/>
        <w:keepLines w:val="0"/>
        <w:pageBreakBefore w:val="0"/>
        <w:widowControl/>
        <w:kinsoku w:val="0"/>
        <w:wordWrap/>
        <w:overflowPunct/>
        <w:topLinePunct w:val="0"/>
        <w:autoSpaceDE w:val="0"/>
        <w:autoSpaceDN w:val="0"/>
        <w:bidi w:val="0"/>
        <w:adjustRightInd/>
        <w:snapToGrid w:val="0"/>
        <w:spacing w:line="480" w:lineRule="auto"/>
        <w:jc w:val="center"/>
        <w:textAlignment w:val="auto"/>
        <w:rPr>
          <w:rFonts w:hint="eastAsia" w:ascii="宋体" w:hAnsi="宋体" w:eastAsia="宋体" w:cs="宋体"/>
          <w:b/>
          <w:bCs/>
          <w:caps/>
          <w:color w:val="auto"/>
          <w:kern w:val="2"/>
          <w:sz w:val="32"/>
          <w:szCs w:val="32"/>
          <w:highlight w:val="none"/>
        </w:rPr>
      </w:pPr>
      <w:r>
        <w:rPr>
          <w:rFonts w:hint="eastAsia" w:ascii="宋体" w:hAnsi="宋体" w:eastAsia="宋体" w:cs="宋体"/>
          <w:b/>
          <w:bCs/>
          <w:caps/>
          <w:color w:val="auto"/>
          <w:kern w:val="2"/>
          <w:sz w:val="32"/>
          <w:szCs w:val="32"/>
          <w:highlight w:val="none"/>
        </w:rPr>
        <w:t>目 录</w:t>
      </w:r>
    </w:p>
    <w:p w14:paraId="5B2E93A6">
      <w:pPr>
        <w:pStyle w:val="18"/>
        <w:keepNext w:val="0"/>
        <w:keepLines w:val="0"/>
        <w:pageBreakBefore w:val="0"/>
        <w:widowControl/>
        <w:tabs>
          <w:tab w:val="right" w:leader="dot" w:pos="8821"/>
        </w:tabs>
        <w:kinsoku w:val="0"/>
        <w:wordWrap/>
        <w:overflowPunct/>
        <w:topLinePunct w:val="0"/>
        <w:autoSpaceDE w:val="0"/>
        <w:autoSpaceDN w:val="0"/>
        <w:bidi w:val="0"/>
        <w:adjustRightInd/>
        <w:snapToGrid w:val="0"/>
        <w:spacing w:line="360" w:lineRule="auto"/>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"1-2"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_Toc7706 </w:instrText>
      </w:r>
      <w:r>
        <w:rPr>
          <w:rFonts w:hint="eastAsia" w:ascii="宋体" w:hAnsi="宋体" w:eastAsia="宋体" w:cs="宋体"/>
          <w:sz w:val="28"/>
          <w:szCs w:val="28"/>
          <w:highlight w:val="none"/>
        </w:rPr>
        <w:fldChar w:fldCharType="separate"/>
      </w:r>
      <w:r>
        <w:rPr>
          <w:rFonts w:hint="eastAsia" w:ascii="宋体" w:hAnsi="宋体" w:eastAsia="宋体" w:cs="宋体"/>
          <w:spacing w:val="7"/>
          <w:sz w:val="28"/>
          <w:szCs w:val="28"/>
          <w:highlight w:val="none"/>
        </w:rPr>
        <w:t>第</w:t>
      </w:r>
      <w:r>
        <w:rPr>
          <w:rFonts w:hint="eastAsia" w:ascii="宋体" w:hAnsi="宋体" w:eastAsia="宋体" w:cs="宋体"/>
          <w:spacing w:val="5"/>
          <w:sz w:val="28"/>
          <w:szCs w:val="28"/>
          <w:highlight w:val="none"/>
        </w:rPr>
        <w:t>一卷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_Toc7706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3A72E907">
      <w:pPr>
        <w:pStyle w:val="21"/>
        <w:keepNext w:val="0"/>
        <w:keepLines w:val="0"/>
        <w:pageBreakBefore w:val="0"/>
        <w:widowControl/>
        <w:tabs>
          <w:tab w:val="right" w:leader="dot" w:pos="8821"/>
        </w:tabs>
        <w:kinsoku w:val="0"/>
        <w:wordWrap/>
        <w:overflowPunct/>
        <w:topLinePunct w:val="0"/>
        <w:autoSpaceDE w:val="0"/>
        <w:autoSpaceDN w:val="0"/>
        <w:bidi w:val="0"/>
        <w:adjustRightInd/>
        <w:snapToGrid w:val="0"/>
        <w:spacing w:line="360" w:lineRule="auto"/>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_Toc20129 </w:instrText>
      </w:r>
      <w:r>
        <w:rPr>
          <w:rFonts w:hint="eastAsia" w:ascii="宋体" w:hAnsi="宋体" w:eastAsia="宋体" w:cs="宋体"/>
          <w:sz w:val="28"/>
          <w:szCs w:val="28"/>
          <w:highlight w:val="none"/>
        </w:rPr>
        <w:fldChar w:fldCharType="separate"/>
      </w:r>
      <w:r>
        <w:rPr>
          <w:rFonts w:hint="eastAsia" w:ascii="宋体" w:hAnsi="宋体" w:eastAsia="宋体" w:cs="宋体"/>
          <w:bCs w:val="0"/>
          <w:spacing w:val="24"/>
          <w:sz w:val="28"/>
          <w:szCs w:val="28"/>
          <w:highlight w:val="none"/>
        </w:rPr>
        <w:t>第</w:t>
      </w:r>
      <w:r>
        <w:rPr>
          <w:rFonts w:hint="eastAsia" w:ascii="宋体" w:hAnsi="宋体" w:eastAsia="宋体" w:cs="宋体"/>
          <w:bCs w:val="0"/>
          <w:spacing w:val="22"/>
          <w:sz w:val="28"/>
          <w:szCs w:val="28"/>
          <w:highlight w:val="none"/>
        </w:rPr>
        <w:t>一章</w:t>
      </w:r>
      <w:r>
        <w:rPr>
          <w:rFonts w:hint="eastAsia" w:ascii="宋体" w:hAnsi="宋体" w:eastAsia="宋体" w:cs="宋体"/>
          <w:bCs w:val="0"/>
          <w:spacing w:val="22"/>
          <w:sz w:val="28"/>
          <w:szCs w:val="28"/>
          <w:highlight w:val="none"/>
          <w:lang w:val="en-US" w:eastAsia="zh-CN"/>
        </w:rPr>
        <w:t xml:space="preserve"> </w:t>
      </w:r>
      <w:r>
        <w:rPr>
          <w:rFonts w:hint="eastAsia" w:ascii="宋体" w:hAnsi="宋体" w:eastAsia="宋体" w:cs="宋体"/>
          <w:bCs w:val="0"/>
          <w:spacing w:val="22"/>
          <w:sz w:val="28"/>
          <w:szCs w:val="28"/>
          <w:highlight w:val="none"/>
        </w:rPr>
        <w:t>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_Toc20129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29C96E68">
      <w:pPr>
        <w:pStyle w:val="21"/>
        <w:keepNext w:val="0"/>
        <w:keepLines w:val="0"/>
        <w:pageBreakBefore w:val="0"/>
        <w:widowControl/>
        <w:tabs>
          <w:tab w:val="right" w:leader="dot" w:pos="8821"/>
        </w:tabs>
        <w:kinsoku w:val="0"/>
        <w:wordWrap/>
        <w:overflowPunct/>
        <w:topLinePunct w:val="0"/>
        <w:autoSpaceDE w:val="0"/>
        <w:autoSpaceDN w:val="0"/>
        <w:bidi w:val="0"/>
        <w:adjustRightInd/>
        <w:snapToGrid w:val="0"/>
        <w:spacing w:line="360" w:lineRule="auto"/>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_Toc25323 </w:instrText>
      </w:r>
      <w:r>
        <w:rPr>
          <w:rFonts w:hint="eastAsia" w:ascii="宋体" w:hAnsi="宋体" w:eastAsia="宋体" w:cs="宋体"/>
          <w:sz w:val="28"/>
          <w:szCs w:val="28"/>
          <w:highlight w:val="none"/>
        </w:rPr>
        <w:fldChar w:fldCharType="separate"/>
      </w:r>
      <w:r>
        <w:rPr>
          <w:rFonts w:hint="eastAsia" w:ascii="宋体" w:hAnsi="宋体" w:eastAsia="宋体" w:cs="宋体"/>
          <w:bCs w:val="0"/>
          <w:spacing w:val="24"/>
          <w:sz w:val="28"/>
          <w:szCs w:val="28"/>
          <w:highlight w:val="none"/>
        </w:rPr>
        <w:t>第二章</w:t>
      </w:r>
      <w:r>
        <w:rPr>
          <w:rFonts w:hint="eastAsia" w:ascii="宋体" w:hAnsi="宋体" w:eastAsia="宋体" w:cs="宋体"/>
          <w:bCs w:val="0"/>
          <w:spacing w:val="24"/>
          <w:sz w:val="28"/>
          <w:szCs w:val="28"/>
          <w:highlight w:val="none"/>
          <w:lang w:val="en-US" w:eastAsia="zh-CN"/>
        </w:rPr>
        <w:t xml:space="preserve"> </w:t>
      </w:r>
      <w:r>
        <w:rPr>
          <w:rFonts w:hint="eastAsia" w:ascii="宋体" w:hAnsi="宋体" w:eastAsia="宋体" w:cs="宋体"/>
          <w:bCs w:val="0"/>
          <w:spacing w:val="24"/>
          <w:sz w:val="28"/>
          <w:szCs w:val="28"/>
          <w:highlight w:val="none"/>
        </w:rPr>
        <w:t>投标人须知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_Toc25323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4603177A">
      <w:pPr>
        <w:pStyle w:val="21"/>
        <w:keepNext w:val="0"/>
        <w:keepLines w:val="0"/>
        <w:pageBreakBefore w:val="0"/>
        <w:widowControl/>
        <w:tabs>
          <w:tab w:val="right" w:leader="dot" w:pos="8821"/>
        </w:tabs>
        <w:kinsoku w:val="0"/>
        <w:wordWrap/>
        <w:overflowPunct/>
        <w:topLinePunct w:val="0"/>
        <w:autoSpaceDE w:val="0"/>
        <w:autoSpaceDN w:val="0"/>
        <w:bidi w:val="0"/>
        <w:adjustRightInd/>
        <w:snapToGrid w:val="0"/>
        <w:spacing w:line="360" w:lineRule="auto"/>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_Toc13407 </w:instrText>
      </w:r>
      <w:r>
        <w:rPr>
          <w:rFonts w:hint="eastAsia" w:ascii="宋体" w:hAnsi="宋体" w:eastAsia="宋体" w:cs="宋体"/>
          <w:sz w:val="28"/>
          <w:szCs w:val="28"/>
          <w:highlight w:val="none"/>
        </w:rPr>
        <w:fldChar w:fldCharType="separate"/>
      </w:r>
      <w:r>
        <w:rPr>
          <w:rFonts w:hint="eastAsia" w:ascii="宋体" w:hAnsi="宋体" w:eastAsia="宋体" w:cs="宋体"/>
          <w:bCs w:val="0"/>
          <w:spacing w:val="24"/>
          <w:sz w:val="28"/>
          <w:szCs w:val="28"/>
          <w:highlight w:val="none"/>
        </w:rPr>
        <w:t>第三章</w:t>
      </w:r>
      <w:r>
        <w:rPr>
          <w:rFonts w:hint="eastAsia" w:ascii="宋体" w:hAnsi="宋体" w:eastAsia="宋体" w:cs="宋体"/>
          <w:bCs w:val="0"/>
          <w:spacing w:val="24"/>
          <w:sz w:val="28"/>
          <w:szCs w:val="28"/>
          <w:highlight w:val="none"/>
          <w:lang w:val="en-US" w:eastAsia="zh-CN"/>
        </w:rPr>
        <w:t xml:space="preserve"> </w:t>
      </w:r>
      <w:r>
        <w:rPr>
          <w:rFonts w:hint="eastAsia" w:ascii="宋体" w:hAnsi="宋体" w:eastAsia="宋体" w:cs="宋体"/>
          <w:bCs w:val="0"/>
          <w:spacing w:val="24"/>
          <w:sz w:val="28"/>
          <w:szCs w:val="28"/>
          <w:highlight w:val="none"/>
        </w:rPr>
        <w:t>评标办法(综合评估法)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_Toc13407 \h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42D161BB">
      <w:pPr>
        <w:pStyle w:val="21"/>
        <w:keepNext w:val="0"/>
        <w:keepLines w:val="0"/>
        <w:pageBreakBefore w:val="0"/>
        <w:widowControl/>
        <w:tabs>
          <w:tab w:val="right" w:leader="dot" w:pos="8821"/>
        </w:tabs>
        <w:kinsoku w:val="0"/>
        <w:wordWrap/>
        <w:overflowPunct/>
        <w:topLinePunct w:val="0"/>
        <w:autoSpaceDE w:val="0"/>
        <w:autoSpaceDN w:val="0"/>
        <w:bidi w:val="0"/>
        <w:adjustRightInd/>
        <w:snapToGrid w:val="0"/>
        <w:spacing w:line="360" w:lineRule="auto"/>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_Toc21819 </w:instrText>
      </w:r>
      <w:r>
        <w:rPr>
          <w:rFonts w:hint="eastAsia" w:ascii="宋体" w:hAnsi="宋体" w:eastAsia="宋体" w:cs="宋体"/>
          <w:sz w:val="28"/>
          <w:szCs w:val="28"/>
          <w:highlight w:val="none"/>
        </w:rPr>
        <w:fldChar w:fldCharType="separate"/>
      </w:r>
      <w:r>
        <w:rPr>
          <w:rFonts w:hint="eastAsia" w:ascii="宋体" w:hAnsi="宋体" w:eastAsia="宋体" w:cs="宋体"/>
          <w:bCs w:val="0"/>
          <w:spacing w:val="24"/>
          <w:sz w:val="28"/>
          <w:szCs w:val="28"/>
          <w:highlight w:val="none"/>
        </w:rPr>
        <w:t>第四章</w:t>
      </w:r>
      <w:r>
        <w:rPr>
          <w:rFonts w:hint="eastAsia" w:ascii="宋体" w:hAnsi="宋体" w:eastAsia="宋体" w:cs="宋体"/>
          <w:bCs w:val="0"/>
          <w:spacing w:val="24"/>
          <w:sz w:val="28"/>
          <w:szCs w:val="28"/>
          <w:highlight w:val="none"/>
          <w:lang w:val="en-US" w:eastAsia="zh-CN"/>
        </w:rPr>
        <w:t xml:space="preserve"> </w:t>
      </w:r>
      <w:r>
        <w:rPr>
          <w:rFonts w:hint="eastAsia" w:ascii="宋体" w:hAnsi="宋体" w:eastAsia="宋体" w:cs="宋体"/>
          <w:bCs w:val="0"/>
          <w:spacing w:val="24"/>
          <w:sz w:val="28"/>
          <w:szCs w:val="28"/>
          <w:highlight w:val="none"/>
        </w:rPr>
        <w:t>合同条款及格式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_Toc21819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74AB2C2A">
      <w:pPr>
        <w:pStyle w:val="18"/>
        <w:keepNext w:val="0"/>
        <w:keepLines w:val="0"/>
        <w:pageBreakBefore w:val="0"/>
        <w:widowControl/>
        <w:tabs>
          <w:tab w:val="right" w:leader="dot" w:pos="8821"/>
        </w:tabs>
        <w:kinsoku w:val="0"/>
        <w:wordWrap/>
        <w:overflowPunct/>
        <w:topLinePunct w:val="0"/>
        <w:autoSpaceDE w:val="0"/>
        <w:autoSpaceDN w:val="0"/>
        <w:bidi w:val="0"/>
        <w:adjustRightInd/>
        <w:snapToGrid w:val="0"/>
        <w:spacing w:line="360" w:lineRule="auto"/>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_Toc12908 </w:instrText>
      </w:r>
      <w:r>
        <w:rPr>
          <w:rFonts w:hint="eastAsia" w:ascii="宋体" w:hAnsi="宋体" w:eastAsia="宋体" w:cs="宋体"/>
          <w:sz w:val="28"/>
          <w:szCs w:val="28"/>
          <w:highlight w:val="none"/>
        </w:rPr>
        <w:fldChar w:fldCharType="separate"/>
      </w:r>
      <w:r>
        <w:rPr>
          <w:rFonts w:hint="eastAsia" w:ascii="宋体" w:hAnsi="宋体" w:eastAsia="宋体" w:cs="宋体"/>
          <w:spacing w:val="7"/>
          <w:sz w:val="28"/>
          <w:szCs w:val="28"/>
          <w:highlight w:val="none"/>
        </w:rPr>
        <w:t>第二卷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_Toc12908 \h </w:instrText>
      </w:r>
      <w:r>
        <w:rPr>
          <w:rFonts w:hint="eastAsia" w:ascii="宋体" w:hAnsi="宋体" w:eastAsia="宋体" w:cs="宋体"/>
          <w:sz w:val="28"/>
          <w:szCs w:val="28"/>
        </w:rPr>
        <w:fldChar w:fldCharType="separate"/>
      </w:r>
      <w:r>
        <w:rPr>
          <w:rFonts w:hint="eastAsia" w:ascii="宋体" w:hAnsi="宋体" w:eastAsia="宋体" w:cs="宋体"/>
          <w:sz w:val="28"/>
          <w:szCs w:val="28"/>
        </w:rPr>
        <w:t>46</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37D69A61">
      <w:pPr>
        <w:pStyle w:val="21"/>
        <w:keepNext w:val="0"/>
        <w:keepLines w:val="0"/>
        <w:pageBreakBefore w:val="0"/>
        <w:widowControl/>
        <w:tabs>
          <w:tab w:val="right" w:leader="dot" w:pos="8821"/>
        </w:tabs>
        <w:kinsoku w:val="0"/>
        <w:wordWrap/>
        <w:overflowPunct/>
        <w:topLinePunct w:val="0"/>
        <w:autoSpaceDE w:val="0"/>
        <w:autoSpaceDN w:val="0"/>
        <w:bidi w:val="0"/>
        <w:adjustRightInd/>
        <w:snapToGrid w:val="0"/>
        <w:spacing w:line="360" w:lineRule="auto"/>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_Toc7483 </w:instrText>
      </w:r>
      <w:r>
        <w:rPr>
          <w:rFonts w:hint="eastAsia" w:ascii="宋体" w:hAnsi="宋体" w:eastAsia="宋体" w:cs="宋体"/>
          <w:sz w:val="28"/>
          <w:szCs w:val="28"/>
          <w:highlight w:val="none"/>
        </w:rPr>
        <w:fldChar w:fldCharType="separate"/>
      </w:r>
      <w:r>
        <w:rPr>
          <w:rFonts w:hint="eastAsia" w:ascii="宋体" w:hAnsi="宋体" w:eastAsia="宋体" w:cs="宋体"/>
          <w:bCs w:val="0"/>
          <w:spacing w:val="24"/>
          <w:sz w:val="28"/>
          <w:szCs w:val="28"/>
          <w:highlight w:val="none"/>
        </w:rPr>
        <w:t>第五章</w:t>
      </w:r>
      <w:r>
        <w:rPr>
          <w:rFonts w:hint="eastAsia" w:ascii="宋体" w:hAnsi="宋体" w:eastAsia="宋体" w:cs="宋体"/>
          <w:bCs w:val="0"/>
          <w:spacing w:val="24"/>
          <w:sz w:val="28"/>
          <w:szCs w:val="28"/>
          <w:highlight w:val="none"/>
          <w:lang w:val="en-US" w:eastAsia="zh-CN"/>
        </w:rPr>
        <w:t xml:space="preserve"> </w:t>
      </w:r>
      <w:r>
        <w:rPr>
          <w:rFonts w:hint="eastAsia" w:ascii="宋体" w:hAnsi="宋体" w:eastAsia="宋体" w:cs="宋体"/>
          <w:bCs w:val="0"/>
          <w:spacing w:val="24"/>
          <w:sz w:val="28"/>
          <w:szCs w:val="28"/>
          <w:highlight w:val="none"/>
        </w:rPr>
        <w:t>发包人要求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_Toc7483 \h </w:instrText>
      </w:r>
      <w:r>
        <w:rPr>
          <w:rFonts w:hint="eastAsia" w:ascii="宋体" w:hAnsi="宋体" w:eastAsia="宋体" w:cs="宋体"/>
          <w:sz w:val="28"/>
          <w:szCs w:val="28"/>
        </w:rPr>
        <w:fldChar w:fldCharType="separate"/>
      </w:r>
      <w:r>
        <w:rPr>
          <w:rFonts w:hint="eastAsia" w:ascii="宋体" w:hAnsi="宋体" w:eastAsia="宋体" w:cs="宋体"/>
          <w:sz w:val="28"/>
          <w:szCs w:val="28"/>
        </w:rPr>
        <w:t>47</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6631F740">
      <w:pPr>
        <w:pStyle w:val="18"/>
        <w:keepNext w:val="0"/>
        <w:keepLines w:val="0"/>
        <w:pageBreakBefore w:val="0"/>
        <w:widowControl/>
        <w:tabs>
          <w:tab w:val="right" w:leader="dot" w:pos="8821"/>
        </w:tabs>
        <w:kinsoku w:val="0"/>
        <w:wordWrap/>
        <w:overflowPunct/>
        <w:topLinePunct w:val="0"/>
        <w:autoSpaceDE w:val="0"/>
        <w:autoSpaceDN w:val="0"/>
        <w:bidi w:val="0"/>
        <w:adjustRightInd/>
        <w:snapToGrid w:val="0"/>
        <w:spacing w:line="360" w:lineRule="auto"/>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_Toc20631 </w:instrText>
      </w:r>
      <w:r>
        <w:rPr>
          <w:rFonts w:hint="eastAsia" w:ascii="宋体" w:hAnsi="宋体" w:eastAsia="宋体" w:cs="宋体"/>
          <w:sz w:val="28"/>
          <w:szCs w:val="28"/>
          <w:highlight w:val="none"/>
        </w:rPr>
        <w:fldChar w:fldCharType="separate"/>
      </w:r>
      <w:r>
        <w:rPr>
          <w:rFonts w:hint="eastAsia" w:ascii="宋体" w:hAnsi="宋体" w:eastAsia="宋体" w:cs="宋体"/>
          <w:spacing w:val="7"/>
          <w:sz w:val="28"/>
          <w:szCs w:val="28"/>
          <w:highlight w:val="none"/>
        </w:rPr>
        <w:t>第三卷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_Toc20631 \h </w:instrText>
      </w:r>
      <w:r>
        <w:rPr>
          <w:rFonts w:hint="eastAsia" w:ascii="宋体" w:hAnsi="宋体" w:eastAsia="宋体" w:cs="宋体"/>
          <w:sz w:val="28"/>
          <w:szCs w:val="28"/>
        </w:rPr>
        <w:fldChar w:fldCharType="separate"/>
      </w:r>
      <w:r>
        <w:rPr>
          <w:rFonts w:hint="eastAsia" w:ascii="宋体" w:hAnsi="宋体" w:eastAsia="宋体" w:cs="宋体"/>
          <w:sz w:val="28"/>
          <w:szCs w:val="28"/>
        </w:rPr>
        <w:t>51</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52D25CD7">
      <w:pPr>
        <w:pStyle w:val="21"/>
        <w:keepNext w:val="0"/>
        <w:keepLines w:val="0"/>
        <w:pageBreakBefore w:val="0"/>
        <w:widowControl/>
        <w:tabs>
          <w:tab w:val="right" w:leader="dot" w:pos="8821"/>
        </w:tabs>
        <w:kinsoku w:val="0"/>
        <w:wordWrap/>
        <w:overflowPunct/>
        <w:topLinePunct w:val="0"/>
        <w:autoSpaceDE w:val="0"/>
        <w:autoSpaceDN w:val="0"/>
        <w:bidi w:val="0"/>
        <w:adjustRightInd/>
        <w:snapToGrid w:val="0"/>
        <w:spacing w:line="360" w:lineRule="auto"/>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_Toc10838 </w:instrText>
      </w:r>
      <w:r>
        <w:rPr>
          <w:rFonts w:hint="eastAsia" w:ascii="宋体" w:hAnsi="宋体" w:eastAsia="宋体" w:cs="宋体"/>
          <w:sz w:val="28"/>
          <w:szCs w:val="28"/>
          <w:highlight w:val="none"/>
        </w:rPr>
        <w:fldChar w:fldCharType="separate"/>
      </w:r>
      <w:r>
        <w:rPr>
          <w:rFonts w:hint="eastAsia" w:ascii="宋体" w:hAnsi="宋体" w:eastAsia="宋体" w:cs="宋体"/>
          <w:bCs w:val="0"/>
          <w:spacing w:val="24"/>
          <w:sz w:val="28"/>
          <w:szCs w:val="28"/>
          <w:highlight w:val="none"/>
        </w:rPr>
        <w:t>第六章</w:t>
      </w:r>
      <w:r>
        <w:rPr>
          <w:rFonts w:hint="eastAsia" w:ascii="宋体" w:hAnsi="宋体" w:eastAsia="宋体" w:cs="宋体"/>
          <w:bCs w:val="0"/>
          <w:spacing w:val="24"/>
          <w:sz w:val="28"/>
          <w:szCs w:val="28"/>
          <w:highlight w:val="none"/>
          <w:lang w:val="en-US" w:eastAsia="zh-CN"/>
        </w:rPr>
        <w:t xml:space="preserve"> </w:t>
      </w:r>
      <w:r>
        <w:rPr>
          <w:rFonts w:hint="eastAsia" w:ascii="宋体" w:hAnsi="宋体" w:eastAsia="宋体" w:cs="宋体"/>
          <w:bCs w:val="0"/>
          <w:spacing w:val="24"/>
          <w:sz w:val="28"/>
          <w:szCs w:val="28"/>
          <w:highlight w:val="none"/>
        </w:rPr>
        <w:t>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_Toc10838 \h </w:instrText>
      </w:r>
      <w:r>
        <w:rPr>
          <w:rFonts w:hint="eastAsia" w:ascii="宋体" w:hAnsi="宋体" w:eastAsia="宋体" w:cs="宋体"/>
          <w:sz w:val="28"/>
          <w:szCs w:val="28"/>
        </w:rPr>
        <w:fldChar w:fldCharType="separate"/>
      </w:r>
      <w:r>
        <w:rPr>
          <w:rFonts w:hint="eastAsia" w:ascii="宋体" w:hAnsi="宋体" w:eastAsia="宋体" w:cs="宋体"/>
          <w:sz w:val="28"/>
          <w:szCs w:val="28"/>
        </w:rPr>
        <w:t>52</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075032D3">
      <w:pPr>
        <w:pStyle w:val="21"/>
        <w:keepNext w:val="0"/>
        <w:keepLines w:val="0"/>
        <w:pageBreakBefore w:val="0"/>
        <w:widowControl/>
        <w:tabs>
          <w:tab w:val="right" w:leader="dot" w:pos="8821"/>
        </w:tabs>
        <w:kinsoku w:val="0"/>
        <w:wordWrap/>
        <w:overflowPunct/>
        <w:topLinePunct w:val="0"/>
        <w:autoSpaceDE w:val="0"/>
        <w:autoSpaceDN w:val="0"/>
        <w:bidi w:val="0"/>
        <w:adjustRightInd/>
        <w:snapToGrid w:val="0"/>
        <w:spacing w:line="360" w:lineRule="auto"/>
        <w:textAlignment w:val="auto"/>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_Toc5140 </w:instrText>
      </w:r>
      <w:r>
        <w:rPr>
          <w:rFonts w:hint="eastAsia" w:ascii="宋体" w:hAnsi="宋体" w:eastAsia="宋体" w:cs="宋体"/>
          <w:sz w:val="28"/>
          <w:szCs w:val="28"/>
          <w:highlight w:val="none"/>
        </w:rPr>
        <w:fldChar w:fldCharType="separate"/>
      </w:r>
      <w:r>
        <w:rPr>
          <w:rFonts w:hint="eastAsia" w:ascii="宋体" w:hAnsi="宋体" w:eastAsia="宋体" w:cs="宋体"/>
          <w:bCs w:val="0"/>
          <w:spacing w:val="24"/>
          <w:sz w:val="28"/>
          <w:szCs w:val="28"/>
          <w:highlight w:val="none"/>
        </w:rPr>
        <w:t>第七章</w:t>
      </w:r>
      <w:r>
        <w:rPr>
          <w:rFonts w:hint="eastAsia" w:ascii="宋体" w:hAnsi="宋体" w:eastAsia="宋体" w:cs="宋体"/>
          <w:bCs w:val="0"/>
          <w:spacing w:val="24"/>
          <w:sz w:val="28"/>
          <w:szCs w:val="28"/>
          <w:highlight w:val="none"/>
          <w:lang w:val="en-US" w:eastAsia="zh-CN"/>
        </w:rPr>
        <w:t xml:space="preserve"> </w:t>
      </w:r>
      <w:r>
        <w:rPr>
          <w:rFonts w:hint="eastAsia" w:ascii="宋体" w:hAnsi="宋体" w:eastAsia="宋体" w:cs="宋体"/>
          <w:bCs w:val="0"/>
          <w:spacing w:val="24"/>
          <w:sz w:val="28"/>
          <w:szCs w:val="28"/>
          <w:highlight w:val="none"/>
        </w:rPr>
        <w:t>否决性条款汇总</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_Toc5140 \h </w:instrText>
      </w:r>
      <w:r>
        <w:rPr>
          <w:rFonts w:hint="eastAsia" w:ascii="宋体" w:hAnsi="宋体" w:eastAsia="宋体" w:cs="宋体"/>
          <w:sz w:val="28"/>
          <w:szCs w:val="28"/>
        </w:rPr>
        <w:fldChar w:fldCharType="separate"/>
      </w:r>
      <w:r>
        <w:rPr>
          <w:rFonts w:hint="eastAsia" w:ascii="宋体" w:hAnsi="宋体" w:eastAsia="宋体" w:cs="宋体"/>
          <w:sz w:val="28"/>
          <w:szCs w:val="28"/>
        </w:rPr>
        <w:t>72</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694EDE29">
      <w:pPr>
        <w:keepNext w:val="0"/>
        <w:keepLines w:val="0"/>
        <w:pageBreakBefore w:val="0"/>
        <w:widowControl/>
        <w:kinsoku w:val="0"/>
        <w:wordWrap/>
        <w:overflowPunct/>
        <w:topLinePunct w:val="0"/>
        <w:autoSpaceDE w:val="0"/>
        <w:autoSpaceDN w:val="0"/>
        <w:bidi w:val="0"/>
        <w:adjustRightInd/>
        <w:snapToGrid w:val="0"/>
        <w:spacing w:line="360" w:lineRule="auto"/>
        <w:textAlignment w:val="auto"/>
        <w:outlineLvl w:val="2"/>
        <w:rPr>
          <w:rFonts w:hint="eastAsia"/>
        </w:rPr>
        <w:sectPr>
          <w:headerReference r:id="rId4" w:type="default"/>
          <w:footerReference r:id="rId5" w:type="default"/>
          <w:pgSz w:w="11905" w:h="16838"/>
          <w:pgMar w:top="1344" w:right="1247" w:bottom="1106" w:left="1837" w:header="0" w:footer="680" w:gutter="0"/>
          <w:cols w:space="0" w:num="1"/>
          <w:rtlGutter w:val="0"/>
          <w:docGrid w:type="linesAndChars" w:linePitch="312" w:charSpace="0"/>
        </w:sectPr>
      </w:pPr>
      <w:r>
        <w:rPr>
          <w:rFonts w:hint="eastAsia" w:ascii="宋体" w:hAnsi="宋体" w:eastAsia="宋体" w:cs="宋体"/>
          <w:color w:val="auto"/>
          <w:sz w:val="28"/>
          <w:szCs w:val="28"/>
          <w:highlight w:val="none"/>
        </w:rPr>
        <w:fldChar w:fldCharType="end"/>
      </w:r>
      <w:bookmarkStart w:id="524" w:name="_GoBack"/>
      <w:bookmarkEnd w:id="524"/>
    </w:p>
    <w:p w14:paraId="35038534">
      <w:pPr>
        <w:pStyle w:val="33"/>
        <w:spacing w:before="5280"/>
        <w:rPr>
          <w:rFonts w:hint="eastAsia" w:ascii="宋体" w:hAnsi="宋体" w:eastAsia="宋体" w:cs="宋体"/>
          <w:color w:val="auto"/>
          <w:spacing w:val="7"/>
          <w:sz w:val="52"/>
          <w:szCs w:val="52"/>
          <w:highlight w:val="none"/>
        </w:rPr>
      </w:pPr>
      <w:bookmarkStart w:id="0" w:name="_Toc4742"/>
      <w:bookmarkStart w:id="1" w:name="_Toc7706"/>
      <w:r>
        <w:rPr>
          <w:rFonts w:hint="eastAsia" w:ascii="宋体" w:hAnsi="宋体" w:eastAsia="宋体" w:cs="宋体"/>
          <w:color w:val="auto"/>
          <w:spacing w:val="7"/>
          <w:sz w:val="52"/>
          <w:szCs w:val="52"/>
          <w:highlight w:val="none"/>
        </w:rPr>
        <w:t>第</w:t>
      </w:r>
      <w:r>
        <w:rPr>
          <w:rFonts w:hint="eastAsia" w:ascii="宋体" w:hAnsi="宋体" w:eastAsia="宋体" w:cs="宋体"/>
          <w:color w:val="auto"/>
          <w:spacing w:val="5"/>
          <w:sz w:val="52"/>
          <w:szCs w:val="52"/>
          <w:highlight w:val="none"/>
        </w:rPr>
        <w:t>一卷</w:t>
      </w:r>
      <w:bookmarkEnd w:id="0"/>
      <w:bookmarkEnd w:id="1"/>
    </w:p>
    <w:p w14:paraId="0B81B22A">
      <w:pPr>
        <w:spacing w:before="5280"/>
        <w:rPr>
          <w:rFonts w:hint="eastAsia" w:ascii="宋体" w:hAnsi="宋体" w:eastAsia="宋体" w:cs="宋体"/>
          <w:color w:val="auto"/>
          <w:highlight w:val="none"/>
        </w:rPr>
        <w:sectPr>
          <w:footerReference r:id="rId6" w:type="default"/>
          <w:pgSz w:w="11905" w:h="16838"/>
          <w:pgMar w:top="1344" w:right="1247" w:bottom="1106" w:left="1837" w:header="0" w:footer="680" w:gutter="0"/>
          <w:pgNumType w:fmt="decimal" w:start="1"/>
          <w:cols w:space="0" w:num="1"/>
          <w:rtlGutter w:val="0"/>
          <w:docGrid w:type="linesAndChars" w:linePitch="312" w:charSpace="0"/>
        </w:sectPr>
      </w:pPr>
    </w:p>
    <w:p w14:paraId="2B35B2EF">
      <w:pPr>
        <w:pStyle w:val="34"/>
        <w:rPr>
          <w:rFonts w:hint="eastAsia" w:ascii="宋体" w:hAnsi="宋体" w:eastAsia="宋体" w:cs="宋体"/>
          <w:b/>
          <w:bCs w:val="0"/>
          <w:color w:val="auto"/>
          <w:spacing w:val="24"/>
          <w:szCs w:val="44"/>
          <w:highlight w:val="none"/>
        </w:rPr>
      </w:pPr>
      <w:bookmarkStart w:id="2" w:name="_Toc10294"/>
      <w:bookmarkStart w:id="3" w:name="_Toc7900"/>
      <w:bookmarkStart w:id="4" w:name="_Toc3097"/>
      <w:bookmarkStart w:id="5" w:name="_Toc1560"/>
      <w:bookmarkStart w:id="6" w:name="_Toc20129"/>
      <w:r>
        <w:rPr>
          <w:rFonts w:hint="eastAsia" w:ascii="宋体" w:hAnsi="宋体" w:eastAsia="宋体" w:cs="宋体"/>
          <w:b/>
          <w:bCs w:val="0"/>
          <w:color w:val="auto"/>
          <w:spacing w:val="24"/>
          <w:szCs w:val="44"/>
          <w:highlight w:val="none"/>
        </w:rPr>
        <w:t>第</w:t>
      </w:r>
      <w:r>
        <w:rPr>
          <w:rFonts w:hint="eastAsia" w:ascii="宋体" w:hAnsi="宋体" w:eastAsia="宋体" w:cs="宋体"/>
          <w:b/>
          <w:bCs w:val="0"/>
          <w:color w:val="auto"/>
          <w:spacing w:val="22"/>
          <w:szCs w:val="44"/>
          <w:highlight w:val="none"/>
        </w:rPr>
        <w:t>一章</w:t>
      </w:r>
      <w:r>
        <w:rPr>
          <w:rFonts w:hint="eastAsia" w:ascii="宋体" w:hAnsi="宋体" w:eastAsia="宋体" w:cs="宋体"/>
          <w:b/>
          <w:bCs w:val="0"/>
          <w:color w:val="auto"/>
          <w:spacing w:val="22"/>
          <w:szCs w:val="44"/>
          <w:highlight w:val="none"/>
          <w:lang w:val="en-US" w:eastAsia="zh-CN"/>
        </w:rPr>
        <w:t xml:space="preserve"> </w:t>
      </w:r>
      <w:r>
        <w:rPr>
          <w:rFonts w:hint="eastAsia" w:ascii="宋体" w:hAnsi="宋体" w:eastAsia="宋体" w:cs="宋体"/>
          <w:b/>
          <w:bCs w:val="0"/>
          <w:color w:val="auto"/>
          <w:spacing w:val="22"/>
          <w:szCs w:val="44"/>
          <w:highlight w:val="none"/>
        </w:rPr>
        <w:t>招标公告</w:t>
      </w:r>
      <w:bookmarkEnd w:id="2"/>
      <w:bookmarkEnd w:id="3"/>
      <w:bookmarkEnd w:id="4"/>
      <w:bookmarkEnd w:id="5"/>
      <w:bookmarkEnd w:id="6"/>
    </w:p>
    <w:p w14:paraId="3A195777">
      <w:pPr>
        <w:bidi w:val="0"/>
        <w:rPr>
          <w:rFonts w:hint="eastAsia"/>
          <w:lang w:eastAsia="zh-CN"/>
        </w:rPr>
      </w:pPr>
    </w:p>
    <w:p w14:paraId="03B5C58E">
      <w:pPr>
        <w:jc w:val="center"/>
        <w:rPr>
          <w:rFonts w:hint="eastAsia" w:ascii="宋体" w:hAnsi="宋体" w:eastAsia="宋体" w:cs="宋体"/>
          <w:b/>
          <w:bCs/>
          <w:color w:val="auto"/>
          <w:spacing w:val="18"/>
          <w:sz w:val="32"/>
          <w:szCs w:val="32"/>
          <w:highlight w:val="none"/>
          <w:lang w:eastAsia="zh-CN"/>
        </w:rPr>
      </w:pPr>
      <w:r>
        <w:rPr>
          <w:rFonts w:hint="eastAsia" w:ascii="宋体" w:hAnsi="宋体" w:eastAsia="宋体" w:cs="宋体"/>
          <w:b/>
          <w:bCs/>
          <w:color w:val="auto"/>
          <w:spacing w:val="18"/>
          <w:sz w:val="32"/>
          <w:szCs w:val="32"/>
          <w:highlight w:val="none"/>
          <w:lang w:eastAsia="zh-CN"/>
        </w:rPr>
        <w:t>广州市增城区大封门水库扩容工程BIM技术应用服务</w:t>
      </w:r>
    </w:p>
    <w:p w14:paraId="0E9878BE">
      <w:pPr>
        <w:jc w:val="center"/>
        <w:rPr>
          <w:rFonts w:hint="eastAsia" w:ascii="宋体" w:hAnsi="宋体" w:eastAsia="宋体" w:cs="宋体"/>
          <w:b/>
          <w:bCs/>
          <w:color w:val="auto"/>
          <w:spacing w:val="18"/>
          <w:sz w:val="32"/>
          <w:szCs w:val="32"/>
          <w:highlight w:val="none"/>
        </w:rPr>
      </w:pPr>
      <w:r>
        <w:rPr>
          <w:rFonts w:hint="eastAsia" w:ascii="宋体" w:hAnsi="宋体" w:eastAsia="宋体" w:cs="宋体"/>
          <w:b/>
          <w:bCs/>
          <w:color w:val="auto"/>
          <w:spacing w:val="18"/>
          <w:sz w:val="32"/>
          <w:szCs w:val="32"/>
          <w:highlight w:val="none"/>
        </w:rPr>
        <w:t>招标公告</w:t>
      </w:r>
    </w:p>
    <w:p w14:paraId="37A0C5F0">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7" w:name="_Toc30951"/>
      <w:bookmarkStart w:id="8" w:name="_Toc29913"/>
      <w:bookmarkStart w:id="9" w:name="_Toc32250"/>
      <w:bookmarkStart w:id="10" w:name="_Toc17602"/>
      <w:bookmarkStart w:id="11" w:name="_Toc11522"/>
      <w:bookmarkStart w:id="12" w:name="_Toc32678"/>
      <w:r>
        <w:rPr>
          <w:rFonts w:hint="eastAsia" w:ascii="宋体" w:hAnsi="宋体" w:eastAsia="宋体" w:cs="宋体"/>
          <w:kern w:val="2"/>
          <w:lang w:val="en-US" w:eastAsia="zh-CN"/>
        </w:rPr>
        <w:t>1．招标条件</w:t>
      </w:r>
      <w:bookmarkEnd w:id="7"/>
      <w:bookmarkEnd w:id="8"/>
      <w:bookmarkEnd w:id="9"/>
      <w:bookmarkEnd w:id="10"/>
      <w:bookmarkEnd w:id="11"/>
      <w:bookmarkEnd w:id="12"/>
    </w:p>
    <w:p w14:paraId="2363C344">
      <w:pPr>
        <w:keepNext w:val="0"/>
        <w:keepLines w:val="0"/>
        <w:pageBreakBefore w:val="0"/>
        <w:widowControl/>
        <w:kinsoku w:val="0"/>
        <w:wordWrap/>
        <w:overflowPunct/>
        <w:topLinePunct w:val="0"/>
        <w:autoSpaceDE w:val="0"/>
        <w:autoSpaceDN w:val="0"/>
        <w:bidi w:val="0"/>
        <w:adjustRightInd/>
        <w:snapToGrid/>
        <w:spacing w:line="360" w:lineRule="auto"/>
        <w:ind w:right="0" w:firstLine="424" w:firstLineChars="200"/>
        <w:jc w:val="both"/>
        <w:textAlignment w:val="auto"/>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本招标项目</w:t>
      </w:r>
      <w:r>
        <w:rPr>
          <w:rFonts w:hint="eastAsia" w:ascii="宋体" w:hAnsi="宋体" w:eastAsia="宋体" w:cs="宋体"/>
          <w:color w:val="auto"/>
          <w:spacing w:val="1"/>
          <w:highlight w:val="none"/>
          <w:u w:val="single"/>
          <w:lang w:eastAsia="zh-CN"/>
        </w:rPr>
        <w:t>广州市增城区大封门水库扩容工程</w:t>
      </w:r>
      <w:r>
        <w:rPr>
          <w:rFonts w:hint="eastAsia" w:ascii="宋体" w:hAnsi="宋体" w:eastAsia="宋体" w:cs="宋体"/>
          <w:color w:val="auto"/>
          <w:highlight w:val="none"/>
        </w:rPr>
        <w:t>已由</w:t>
      </w:r>
      <w:r>
        <w:rPr>
          <w:rFonts w:hint="eastAsia" w:ascii="宋体" w:hAnsi="宋体" w:eastAsia="宋体" w:cs="宋体"/>
          <w:color w:val="auto"/>
          <w:highlight w:val="none"/>
          <w:u w:val="single"/>
        </w:rPr>
        <w:t>广州市发展和改革</w:t>
      </w:r>
      <w:r>
        <w:rPr>
          <w:rFonts w:hint="eastAsia" w:ascii="宋体" w:hAnsi="宋体" w:eastAsia="宋体" w:cs="宋体"/>
          <w:color w:val="auto"/>
          <w:highlight w:val="none"/>
          <w:u w:val="single"/>
          <w:lang w:eastAsia="zh-CN"/>
        </w:rPr>
        <w:t>委员会</w:t>
      </w:r>
      <w:r>
        <w:rPr>
          <w:rFonts w:hint="eastAsia" w:ascii="宋体" w:hAnsi="宋体" w:eastAsia="宋体" w:cs="宋体"/>
          <w:color w:val="auto"/>
          <w:spacing w:val="-2"/>
          <w:highlight w:val="none"/>
        </w:rPr>
        <w:t>以</w:t>
      </w:r>
      <w:r>
        <w:rPr>
          <w:rFonts w:hint="eastAsia" w:ascii="宋体" w:hAnsi="宋体" w:eastAsia="宋体" w:cs="宋体"/>
          <w:color w:val="auto"/>
          <w:highlight w:val="none"/>
          <w:u w:val="single"/>
          <w:lang w:val="en-US"/>
        </w:rPr>
        <w:t>穗发改投批〔2024〕99号（投资项目统一代码：2020-440118-48-01-067482）</w:t>
      </w:r>
      <w:r>
        <w:rPr>
          <w:rFonts w:hint="eastAsia" w:ascii="宋体" w:hAnsi="宋体" w:eastAsia="宋体" w:cs="宋体"/>
          <w:color w:val="auto"/>
          <w:spacing w:val="-1"/>
          <w:highlight w:val="none"/>
        </w:rPr>
        <w:t>批准建设，项目业主为</w:t>
      </w:r>
      <w:r>
        <w:rPr>
          <w:rFonts w:hint="eastAsia" w:ascii="宋体" w:hAnsi="宋体" w:eastAsia="宋体" w:cs="宋体"/>
          <w:bCs/>
          <w:color w:val="auto"/>
          <w:szCs w:val="32"/>
          <w:highlight w:val="none"/>
          <w:u w:val="single"/>
          <w:lang w:eastAsia="zh-CN"/>
        </w:rPr>
        <w:t>广州市增城区大封门水库管理所</w:t>
      </w:r>
      <w:r>
        <w:rPr>
          <w:rFonts w:hint="eastAsia" w:ascii="宋体" w:hAnsi="宋体" w:eastAsia="宋体" w:cs="宋体"/>
          <w:color w:val="auto"/>
          <w:spacing w:val="-1"/>
          <w:highlight w:val="none"/>
        </w:rPr>
        <w:t>，建设资金来</w:t>
      </w:r>
      <w:r>
        <w:rPr>
          <w:rFonts w:hint="eastAsia" w:ascii="宋体" w:hAnsi="宋体" w:eastAsia="宋体" w:cs="宋体"/>
          <w:color w:val="auto"/>
          <w:spacing w:val="1"/>
          <w:highlight w:val="none"/>
        </w:rPr>
        <w:t>自</w:t>
      </w:r>
      <w:r>
        <w:rPr>
          <w:rFonts w:hint="eastAsia" w:ascii="宋体" w:hAnsi="宋体" w:eastAsia="宋体" w:cs="宋体"/>
          <w:color w:val="auto"/>
          <w:spacing w:val="1"/>
          <w:highlight w:val="none"/>
          <w:u w:val="single"/>
        </w:rPr>
        <w:t>财政资金</w:t>
      </w:r>
      <w:r>
        <w:rPr>
          <w:rFonts w:hint="eastAsia" w:ascii="宋体" w:hAnsi="宋体" w:eastAsia="宋体" w:cs="宋体"/>
          <w:color w:val="auto"/>
          <w:spacing w:val="1"/>
          <w:highlight w:val="none"/>
        </w:rPr>
        <w:t>，出资</w:t>
      </w:r>
      <w:r>
        <w:rPr>
          <w:rFonts w:hint="eastAsia" w:ascii="宋体" w:hAnsi="宋体" w:eastAsia="宋体" w:cs="宋体"/>
          <w:color w:val="auto"/>
          <w:highlight w:val="none"/>
        </w:rPr>
        <w:t>比例为</w:t>
      </w:r>
      <w:r>
        <w:rPr>
          <w:rFonts w:hint="eastAsia" w:ascii="宋体" w:hAnsi="宋体" w:eastAsia="宋体" w:cs="宋体"/>
          <w:color w:val="auto"/>
          <w:highlight w:val="none"/>
          <w:u w:val="single"/>
        </w:rPr>
        <w:t>100%</w:t>
      </w:r>
      <w:r>
        <w:rPr>
          <w:rFonts w:hint="eastAsia" w:ascii="宋体" w:hAnsi="宋体" w:eastAsia="宋体" w:cs="宋体"/>
          <w:color w:val="auto"/>
          <w:highlight w:val="none"/>
        </w:rPr>
        <w:t>，招标人为</w:t>
      </w:r>
      <w:r>
        <w:rPr>
          <w:rFonts w:hint="eastAsia" w:ascii="宋体" w:hAnsi="宋体" w:eastAsia="宋体" w:cs="宋体"/>
          <w:bCs/>
          <w:color w:val="auto"/>
          <w:szCs w:val="32"/>
          <w:highlight w:val="none"/>
          <w:u w:val="single"/>
          <w:lang w:eastAsia="zh-CN"/>
        </w:rPr>
        <w:t>广州市增城区大封门水库管理所</w:t>
      </w:r>
      <w:r>
        <w:rPr>
          <w:rFonts w:hint="eastAsia" w:ascii="宋体" w:hAnsi="宋体" w:eastAsia="宋体" w:cs="宋体"/>
          <w:color w:val="auto"/>
          <w:highlight w:val="none"/>
        </w:rPr>
        <w:t>。项目已具备招标</w:t>
      </w:r>
      <w:r>
        <w:rPr>
          <w:rFonts w:hint="eastAsia" w:ascii="宋体" w:hAnsi="宋体" w:eastAsia="宋体" w:cs="宋体"/>
          <w:color w:val="auto"/>
          <w:spacing w:val="-4"/>
          <w:highlight w:val="none"/>
        </w:rPr>
        <w:t>条</w:t>
      </w:r>
      <w:r>
        <w:rPr>
          <w:rFonts w:hint="eastAsia" w:ascii="宋体" w:hAnsi="宋体" w:eastAsia="宋体" w:cs="宋体"/>
          <w:color w:val="auto"/>
          <w:spacing w:val="-2"/>
          <w:highlight w:val="none"/>
        </w:rPr>
        <w:t>件，现对该项目的</w:t>
      </w:r>
      <w:r>
        <w:rPr>
          <w:rFonts w:hint="eastAsia" w:ascii="宋体" w:hAnsi="宋体" w:eastAsia="宋体" w:cs="宋体"/>
          <w:bCs/>
          <w:color w:val="auto"/>
          <w:szCs w:val="32"/>
          <w:highlight w:val="none"/>
          <w:u w:val="single"/>
          <w:lang w:eastAsia="zh-CN"/>
        </w:rPr>
        <w:t>BIM技术应用服务</w:t>
      </w:r>
      <w:r>
        <w:rPr>
          <w:rFonts w:hint="eastAsia" w:ascii="宋体" w:hAnsi="宋体" w:eastAsia="宋体" w:cs="宋体"/>
          <w:color w:val="auto"/>
          <w:spacing w:val="-2"/>
          <w:highlight w:val="none"/>
        </w:rPr>
        <w:t>进行公开招标。</w:t>
      </w:r>
    </w:p>
    <w:p w14:paraId="366C5417">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13" w:name="_Toc4860"/>
      <w:bookmarkStart w:id="14" w:name="_Toc27861"/>
      <w:bookmarkStart w:id="15" w:name="_Toc14486"/>
      <w:bookmarkStart w:id="16" w:name="_Toc22955"/>
      <w:bookmarkStart w:id="17" w:name="_Toc23400"/>
      <w:bookmarkStart w:id="18" w:name="_Toc29432"/>
      <w:r>
        <w:rPr>
          <w:rFonts w:hint="eastAsia" w:ascii="宋体" w:hAnsi="宋体" w:eastAsia="宋体" w:cs="宋体"/>
          <w:kern w:val="2"/>
          <w:lang w:val="en-US" w:eastAsia="zh-CN"/>
        </w:rPr>
        <w:t>2．项目概况与招标范围</w:t>
      </w:r>
      <w:bookmarkEnd w:id="13"/>
      <w:bookmarkEnd w:id="14"/>
      <w:bookmarkEnd w:id="15"/>
      <w:bookmarkEnd w:id="16"/>
      <w:bookmarkEnd w:id="17"/>
      <w:bookmarkEnd w:id="18"/>
    </w:p>
    <w:p w14:paraId="60E8A81F">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2.1 工程名称：</w:t>
      </w:r>
      <w:r>
        <w:rPr>
          <w:rFonts w:hint="eastAsia" w:ascii="宋体" w:hAnsi="宋体" w:eastAsia="宋体" w:cs="宋体"/>
          <w:color w:val="auto"/>
          <w:spacing w:val="1"/>
          <w:highlight w:val="none"/>
          <w:u w:val="single"/>
          <w:lang w:eastAsia="zh-CN"/>
        </w:rPr>
        <w:t>广州市增城区大封门水库扩容工程BIM技术应用服务</w:t>
      </w:r>
    </w:p>
    <w:p w14:paraId="2BE3197F">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2.2 建设地点：</w:t>
      </w:r>
      <w:r>
        <w:rPr>
          <w:rFonts w:hint="eastAsia" w:ascii="宋体" w:hAnsi="宋体" w:eastAsia="宋体" w:cs="宋体"/>
          <w:color w:val="auto"/>
          <w:spacing w:val="1"/>
          <w:highlight w:val="none"/>
          <w:u w:val="single"/>
          <w:lang w:eastAsia="zh-CN"/>
        </w:rPr>
        <w:t>广州市增城区派潭镇</w:t>
      </w:r>
    </w:p>
    <w:p w14:paraId="7AF26FC4">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2.3 建设规模：</w:t>
      </w:r>
    </w:p>
    <w:p w14:paraId="7DFDFE5A">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bCs/>
          <w:color w:val="auto"/>
          <w:szCs w:val="32"/>
          <w:highlight w:val="none"/>
          <w:u w:val="single"/>
          <w:lang w:val="en-US" w:eastAsia="zh-CN"/>
        </w:rPr>
      </w:pPr>
      <w:bookmarkStart w:id="19" w:name="_Hlk195631285"/>
      <w:r>
        <w:rPr>
          <w:rFonts w:hint="eastAsia" w:ascii="宋体" w:hAnsi="宋体" w:eastAsia="宋体" w:cs="宋体"/>
          <w:bCs/>
          <w:color w:val="auto"/>
          <w:szCs w:val="32"/>
          <w:highlight w:val="none"/>
          <w:u w:val="single"/>
          <w:lang w:eastAsia="zh-CN"/>
        </w:rPr>
        <w:t>大封门水库位于广州市增城区派潭镇派潭河上游，工程主要任务为供水、防洪、灌溉，建成后将优化增城区水资源配置，提升区域水安全保障能力。工程主要建设内容包括大坝及引水枢纽、上坝道路、进场道路、管理区等。大坝在原址重建，坝型采用碾压混凝土重力坝，坝轴线长</w:t>
      </w:r>
      <w:r>
        <w:rPr>
          <w:rFonts w:hint="eastAsia" w:ascii="宋体" w:hAnsi="宋体" w:eastAsia="宋体" w:cs="宋体"/>
          <w:bCs/>
          <w:color w:val="auto"/>
          <w:szCs w:val="32"/>
          <w:highlight w:val="none"/>
          <w:u w:val="single"/>
          <w:lang w:val="en-US" w:eastAsia="zh-CN"/>
        </w:rPr>
        <w:t>535米，</w:t>
      </w:r>
      <w:r>
        <w:rPr>
          <w:rFonts w:hint="eastAsia" w:ascii="宋体" w:hAnsi="宋体" w:eastAsia="宋体" w:cs="宋体"/>
          <w:bCs/>
          <w:color w:val="auto"/>
          <w:szCs w:val="32"/>
          <w:highlight w:val="none"/>
          <w:u w:val="single"/>
          <w:lang w:eastAsia="zh-CN"/>
        </w:rPr>
        <w:t>最大坝高86.5米。总库容</w:t>
      </w:r>
      <w:r>
        <w:rPr>
          <w:rFonts w:hint="eastAsia" w:ascii="宋体" w:hAnsi="宋体" w:eastAsia="宋体" w:cs="宋体"/>
          <w:bCs/>
          <w:color w:val="auto"/>
          <w:szCs w:val="32"/>
          <w:highlight w:val="none"/>
          <w:u w:val="single"/>
          <w:lang w:val="en-US" w:eastAsia="zh-CN"/>
        </w:rPr>
        <w:t>2240万立方米；</w:t>
      </w:r>
      <w:r>
        <w:rPr>
          <w:rFonts w:hint="eastAsia" w:ascii="宋体" w:hAnsi="宋体" w:eastAsia="宋体" w:cs="宋体"/>
          <w:bCs/>
          <w:color w:val="auto"/>
          <w:szCs w:val="32"/>
          <w:highlight w:val="none"/>
          <w:u w:val="single"/>
          <w:lang w:eastAsia="zh-CN"/>
        </w:rPr>
        <w:t>工程等别为Ⅲ等，规模为中型</w:t>
      </w:r>
      <w:r>
        <w:rPr>
          <w:rFonts w:hint="eastAsia" w:ascii="宋体" w:hAnsi="宋体" w:eastAsia="宋体" w:cs="宋体"/>
          <w:bCs/>
          <w:color w:val="auto"/>
          <w:szCs w:val="32"/>
          <w:highlight w:val="none"/>
          <w:u w:val="single"/>
          <w:lang w:val="en-US" w:eastAsia="zh-CN"/>
        </w:rPr>
        <w:t>水库</w:t>
      </w:r>
      <w:r>
        <w:rPr>
          <w:rFonts w:hint="eastAsia" w:ascii="宋体" w:hAnsi="宋体" w:eastAsia="宋体" w:cs="宋体"/>
          <w:bCs/>
          <w:color w:val="auto"/>
          <w:szCs w:val="32"/>
          <w:highlight w:val="none"/>
          <w:u w:val="single"/>
          <w:lang w:eastAsia="zh-CN"/>
        </w:rPr>
        <w:t>，大坝和引水建筑物等主要建筑物级别为</w:t>
      </w:r>
      <w:r>
        <w:rPr>
          <w:rFonts w:hint="eastAsia" w:ascii="宋体" w:hAnsi="宋体" w:eastAsia="宋体" w:cs="宋体"/>
          <w:bCs/>
          <w:color w:val="auto"/>
          <w:szCs w:val="32"/>
          <w:highlight w:val="none"/>
          <w:u w:val="single"/>
          <w:lang w:val="en-US" w:eastAsia="zh-CN"/>
        </w:rPr>
        <w:t>3级，次要建筑物级别为4级。大坝设计洪水标准为</w:t>
      </w:r>
      <w:r>
        <w:rPr>
          <w:rFonts w:hint="eastAsia" w:ascii="宋体" w:hAnsi="宋体" w:eastAsia="宋体" w:cs="宋体"/>
          <w:bCs/>
          <w:color w:val="auto"/>
          <w:szCs w:val="32"/>
          <w:highlight w:val="none"/>
          <w:u w:val="single"/>
          <w:lang w:eastAsia="zh-CN"/>
        </w:rPr>
        <w:t>100年一遇，按1000年一遇洪水校</w:t>
      </w:r>
      <w:r>
        <w:rPr>
          <w:rFonts w:hint="eastAsia" w:ascii="宋体" w:hAnsi="宋体" w:eastAsia="宋体" w:cs="宋体"/>
          <w:bCs/>
          <w:color w:val="auto"/>
          <w:szCs w:val="32"/>
          <w:highlight w:val="none"/>
          <w:u w:val="single"/>
          <w:lang w:val="en-US" w:eastAsia="zh-CN"/>
        </w:rPr>
        <w:t>核。本工程概算总投资为161744.04万元。</w:t>
      </w:r>
    </w:p>
    <w:bookmarkEnd w:id="19"/>
    <w:p w14:paraId="183640EC">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2.4 服务期：</w:t>
      </w:r>
    </w:p>
    <w:p w14:paraId="7D0B7EE8">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bCs/>
          <w:color w:val="auto"/>
          <w:szCs w:val="32"/>
          <w:highlight w:val="none"/>
          <w:u w:val="single"/>
          <w:lang w:eastAsia="zh-CN"/>
        </w:rPr>
      </w:pPr>
      <w:r>
        <w:rPr>
          <w:rFonts w:hint="eastAsia" w:ascii="宋体" w:hAnsi="宋体" w:eastAsia="宋体" w:cs="宋体"/>
          <w:bCs/>
          <w:color w:val="auto"/>
          <w:szCs w:val="32"/>
          <w:highlight w:val="none"/>
          <w:u w:val="single"/>
          <w:lang w:eastAsia="zh-CN"/>
        </w:rPr>
        <w:t>自</w:t>
      </w:r>
      <w:r>
        <w:rPr>
          <w:rFonts w:hint="eastAsia" w:ascii="宋体" w:hAnsi="宋体" w:eastAsia="宋体" w:cs="宋体"/>
          <w:color w:val="auto"/>
          <w:highlight w:val="none"/>
          <w:lang w:eastAsia="zh-CN"/>
        </w:rPr>
        <w:t>签订合同</w:t>
      </w:r>
      <w:r>
        <w:rPr>
          <w:rFonts w:hint="eastAsia" w:ascii="宋体" w:hAnsi="宋体" w:eastAsia="宋体" w:cs="宋体"/>
          <w:bCs/>
          <w:color w:val="auto"/>
          <w:szCs w:val="32"/>
          <w:highlight w:val="none"/>
          <w:u w:val="single"/>
          <w:lang w:eastAsia="zh-CN"/>
        </w:rPr>
        <w:t>之日起至完成全部服务内容完成日止。</w:t>
      </w:r>
    </w:p>
    <w:p w14:paraId="4B999297">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2.5 招标范围：</w:t>
      </w:r>
    </w:p>
    <w:p w14:paraId="1B1859DA">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1、本BIM技术应用服务项目根据项目进度分阶段实施。</w:t>
      </w:r>
    </w:p>
    <w:p w14:paraId="19759D13">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2、第一阶段BIM技术应用</w:t>
      </w:r>
    </w:p>
    <w:p w14:paraId="09388BDE">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1）建立BIM模型，根据甲方提供的施工图，建立各专业BIM模型和总体模型。</w:t>
      </w:r>
    </w:p>
    <w:p w14:paraId="04F0FD1D">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2）输出工程量表，根据模型导出主要材料的工程量表。</w:t>
      </w:r>
    </w:p>
    <w:p w14:paraId="6249DE24">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3）碰撞检查，导出碰撞检测报告，如有问题可供设计单位优化修改图纸，并根据修改图纸实时调整模型。</w:t>
      </w:r>
    </w:p>
    <w:p w14:paraId="19381E46">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4）模型可视化应用，轻量化模型，渲染展示，并制作漫游视频。</w:t>
      </w:r>
    </w:p>
    <w:p w14:paraId="5D8CF100">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3、第二阶段BIM技术应用</w:t>
      </w:r>
    </w:p>
    <w:p w14:paraId="6890F0F4">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kern w:val="2"/>
          <w:highlight w:val="none"/>
        </w:rPr>
      </w:pPr>
      <w:r>
        <w:rPr>
          <w:rFonts w:hint="eastAsia" w:ascii="宋体" w:hAnsi="宋体" w:eastAsia="宋体" w:cs="宋体"/>
          <w:color w:val="auto"/>
          <w:kern w:val="2"/>
          <w:highlight w:val="none"/>
        </w:rPr>
        <w:t>1）模型深化，完成现浇结构深化设计（包括二次结构、预留孔洞、节点、预埋件等）、装配式混凝土结构深化设计（如有）、钢结构深化设计（如有）、机电深化设计（如有），交付相关模型，对深化模型开展碰撞检查，生成碰撞报告。</w:t>
      </w:r>
    </w:p>
    <w:p w14:paraId="07675F73">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kern w:val="2"/>
          <w:highlight w:val="none"/>
        </w:rPr>
      </w:pPr>
      <w:r>
        <w:rPr>
          <w:rFonts w:hint="eastAsia" w:ascii="宋体" w:hAnsi="宋体" w:eastAsia="宋体" w:cs="宋体"/>
          <w:color w:val="auto"/>
          <w:kern w:val="2"/>
          <w:highlight w:val="none"/>
        </w:rPr>
        <w:t>2）施工模拟，完成施工现场场地、施工临时工程等模型，交付相关模型，开展施工复杂工艺的组织模拟和施工工艺模拟，交付相关视频；</w:t>
      </w:r>
    </w:p>
    <w:p w14:paraId="0BC23ABB">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kern w:val="2"/>
          <w:highlight w:val="none"/>
        </w:rPr>
      </w:pPr>
      <w:r>
        <w:rPr>
          <w:rFonts w:hint="eastAsia" w:ascii="宋体" w:hAnsi="宋体" w:eastAsia="宋体" w:cs="宋体"/>
          <w:color w:val="auto"/>
          <w:kern w:val="2"/>
          <w:highlight w:val="none"/>
        </w:rPr>
        <w:t>3）基于施工阶段的BIM模型，开展质量、安全、进度、成本管理可视化应用。</w:t>
      </w:r>
    </w:p>
    <w:p w14:paraId="471CA52F">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kern w:val="2"/>
          <w:highlight w:val="none"/>
        </w:rPr>
      </w:pPr>
      <w:r>
        <w:rPr>
          <w:rFonts w:hint="eastAsia" w:ascii="宋体" w:hAnsi="宋体" w:eastAsia="宋体" w:cs="宋体"/>
          <w:color w:val="auto"/>
          <w:kern w:val="2"/>
          <w:highlight w:val="none"/>
        </w:rPr>
        <w:t>4）竣工模型，根据最终的竣工图完成竣工模型。</w:t>
      </w:r>
    </w:p>
    <w:p w14:paraId="6377D5C2">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kern w:val="2"/>
          <w:highlight w:val="none"/>
        </w:rPr>
      </w:pPr>
      <w:r>
        <w:rPr>
          <w:rFonts w:hint="eastAsia" w:ascii="宋体" w:hAnsi="宋体" w:eastAsia="宋体" w:cs="宋体"/>
          <w:color w:val="auto"/>
          <w:kern w:val="2"/>
          <w:highlight w:val="none"/>
        </w:rPr>
        <w:t>4、第三阶段BIM技术应用</w:t>
      </w:r>
    </w:p>
    <w:p w14:paraId="7FE6C151">
      <w:pPr>
        <w:keepNext w:val="0"/>
        <w:keepLines w:val="0"/>
        <w:pageBreakBefore w:val="0"/>
        <w:widowControl/>
        <w:kinsoku w:val="0"/>
        <w:wordWrap/>
        <w:overflowPunct/>
        <w:topLinePunct w:val="0"/>
        <w:autoSpaceDE w:val="0"/>
        <w:autoSpaceDN w:val="0"/>
        <w:bidi w:val="0"/>
        <w:adjustRightInd/>
        <w:snapToGrid/>
        <w:spacing w:line="360" w:lineRule="auto"/>
        <w:ind w:right="0" w:firstLine="424" w:firstLineChars="200"/>
        <w:jc w:val="both"/>
        <w:textAlignment w:val="auto"/>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竣工模型修编，根据竣工图进一步修正完成竣工模型。配合本项目后续信息化项目（如有）或数字孪生项目（如有），提供相关的 BIM 技术成果。</w:t>
      </w:r>
    </w:p>
    <w:p w14:paraId="447FA758">
      <w:pPr>
        <w:keepNext w:val="0"/>
        <w:keepLines w:val="0"/>
        <w:pageBreakBefore w:val="0"/>
        <w:widowControl/>
        <w:kinsoku w:val="0"/>
        <w:wordWrap/>
        <w:overflowPunct/>
        <w:topLinePunct w:val="0"/>
        <w:autoSpaceDE w:val="0"/>
        <w:autoSpaceDN w:val="0"/>
        <w:bidi w:val="0"/>
        <w:adjustRightInd/>
        <w:snapToGrid/>
        <w:spacing w:line="360" w:lineRule="auto"/>
        <w:ind w:right="0" w:firstLine="424" w:firstLineChars="200"/>
        <w:jc w:val="both"/>
        <w:textAlignment w:val="auto"/>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5、其他要求</w:t>
      </w:r>
    </w:p>
    <w:p w14:paraId="04DFAE01">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1）成果交付时间：第一阶段应用成果交付从合同签订后90日交付，第二阶段应用成果根据项目施工进度实时提供，第三阶段根据</w:t>
      </w:r>
      <w:r>
        <w:rPr>
          <w:rFonts w:hint="eastAsia" w:ascii="宋体" w:hAnsi="宋体" w:eastAsia="宋体" w:cs="宋体"/>
          <w:color w:val="auto"/>
          <w:kern w:val="2"/>
          <w:highlight w:val="none"/>
        </w:rPr>
        <w:t>信息化项目（如有）或数字孪生项目（如有）进度实时提供</w:t>
      </w:r>
      <w:r>
        <w:rPr>
          <w:rFonts w:hint="eastAsia" w:ascii="宋体" w:hAnsi="宋体" w:eastAsia="宋体" w:cs="宋体"/>
          <w:color w:val="auto"/>
          <w:highlight w:val="none"/>
        </w:rPr>
        <w:t>。</w:t>
      </w:r>
    </w:p>
    <w:p w14:paraId="2D4C7D58">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2）BIM成果标准：符合相关国家、行业及地方发布的相关规范、标准及规程等的规定。</w:t>
      </w:r>
    </w:p>
    <w:p w14:paraId="5D235693">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3）BIM技术服务标准：乙方派出的BIM技术工程师应当满足甲方要求，并具备充分的专业技术能力。</w:t>
      </w:r>
    </w:p>
    <w:p w14:paraId="25ADFCA3">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20" w:name="_Toc6474"/>
      <w:bookmarkStart w:id="21" w:name="_Toc19035"/>
      <w:bookmarkStart w:id="22" w:name="_Toc17750"/>
      <w:bookmarkStart w:id="23" w:name="_Toc13982"/>
      <w:bookmarkStart w:id="24" w:name="_Toc13470"/>
      <w:bookmarkStart w:id="25" w:name="_Toc13441"/>
      <w:r>
        <w:rPr>
          <w:rFonts w:hint="eastAsia" w:ascii="宋体" w:hAnsi="宋体" w:eastAsia="宋体" w:cs="宋体"/>
          <w:kern w:val="2"/>
          <w:lang w:val="en-US" w:eastAsia="zh-CN"/>
        </w:rPr>
        <w:t>3．投标人资格要求</w:t>
      </w:r>
      <w:bookmarkEnd w:id="20"/>
      <w:bookmarkEnd w:id="21"/>
      <w:bookmarkEnd w:id="22"/>
      <w:bookmarkEnd w:id="23"/>
      <w:bookmarkEnd w:id="24"/>
      <w:bookmarkEnd w:id="25"/>
    </w:p>
    <w:p w14:paraId="7E60A3CC">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bCs/>
          <w:color w:val="auto"/>
          <w:szCs w:val="32"/>
          <w:highlight w:val="none"/>
          <w:u w:val="single"/>
          <w:lang w:eastAsia="zh-CN"/>
        </w:rPr>
      </w:pPr>
      <w:r>
        <w:rPr>
          <w:rFonts w:hint="eastAsia" w:ascii="宋体" w:hAnsi="宋体" w:eastAsia="宋体" w:cs="宋体"/>
          <w:bCs/>
          <w:color w:val="auto"/>
          <w:szCs w:val="32"/>
          <w:highlight w:val="none"/>
          <w:u w:val="single"/>
          <w:lang w:eastAsia="zh-CN"/>
        </w:rPr>
        <w:t>3.1</w:t>
      </w:r>
      <w:r>
        <w:rPr>
          <w:rFonts w:hint="eastAsia" w:ascii="宋体" w:hAnsi="宋体" w:eastAsia="宋体" w:cs="宋体"/>
          <w:bCs/>
          <w:color w:val="auto"/>
          <w:szCs w:val="32"/>
          <w:highlight w:val="none"/>
          <w:u w:val="single"/>
          <w:lang w:val="en-US" w:eastAsia="zh-CN"/>
        </w:rPr>
        <w:t xml:space="preserve"> </w:t>
      </w:r>
      <w:r>
        <w:rPr>
          <w:rFonts w:hint="eastAsia" w:ascii="宋体" w:hAnsi="宋体" w:eastAsia="宋体" w:cs="宋体"/>
          <w:bCs/>
          <w:color w:val="auto"/>
          <w:szCs w:val="32"/>
          <w:highlight w:val="none"/>
          <w:u w:val="single"/>
          <w:lang w:eastAsia="zh-CN"/>
        </w:rPr>
        <w:t>投标人参加投标的意思表达清楚，投标人代表被授权有效。</w:t>
      </w:r>
    </w:p>
    <w:p w14:paraId="0914FC9F">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bCs/>
          <w:color w:val="auto"/>
          <w:szCs w:val="32"/>
          <w:highlight w:val="none"/>
          <w:u w:val="single"/>
          <w:lang w:eastAsia="zh-CN"/>
        </w:rPr>
      </w:pPr>
      <w:r>
        <w:rPr>
          <w:rFonts w:hint="eastAsia" w:ascii="宋体" w:hAnsi="宋体" w:eastAsia="宋体" w:cs="宋体"/>
          <w:bCs/>
          <w:color w:val="auto"/>
          <w:szCs w:val="32"/>
          <w:highlight w:val="none"/>
          <w:u w:val="single"/>
          <w:lang w:eastAsia="zh-CN"/>
        </w:rPr>
        <w:t>3.2</w:t>
      </w:r>
      <w:r>
        <w:rPr>
          <w:rFonts w:hint="eastAsia" w:ascii="宋体" w:hAnsi="宋体" w:eastAsia="宋体" w:cs="宋体"/>
          <w:bCs/>
          <w:color w:val="auto"/>
          <w:szCs w:val="32"/>
          <w:highlight w:val="none"/>
          <w:u w:val="single"/>
          <w:lang w:val="en-US" w:eastAsia="zh-CN"/>
        </w:rPr>
        <w:t xml:space="preserve"> </w:t>
      </w:r>
      <w:r>
        <w:rPr>
          <w:rFonts w:hint="eastAsia" w:ascii="宋体" w:hAnsi="宋体" w:eastAsia="宋体" w:cs="宋体"/>
          <w:bCs/>
          <w:color w:val="auto"/>
          <w:szCs w:val="32"/>
          <w:highlight w:val="none"/>
          <w:u w:val="single"/>
          <w:lang w:eastAsia="zh-CN"/>
        </w:rPr>
        <w:t>投标人是法人或其他组织，按国家法律经营。</w:t>
      </w:r>
    </w:p>
    <w:p w14:paraId="457B502E">
      <w:pPr>
        <w:keepNext w:val="0"/>
        <w:keepLines w:val="0"/>
        <w:pageBreakBefore w:val="0"/>
        <w:widowControl/>
        <w:kinsoku/>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bCs/>
          <w:color w:val="auto"/>
          <w:szCs w:val="32"/>
          <w:highlight w:val="none"/>
          <w:u w:val="single"/>
          <w:lang w:eastAsia="zh-CN"/>
        </w:rPr>
      </w:pPr>
      <w:r>
        <w:rPr>
          <w:rFonts w:hint="eastAsia" w:ascii="宋体" w:hAnsi="宋体" w:eastAsia="宋体" w:cs="宋体"/>
          <w:bCs/>
          <w:color w:val="auto"/>
          <w:szCs w:val="32"/>
          <w:highlight w:val="none"/>
          <w:u w:val="single"/>
          <w:lang w:eastAsia="zh-CN"/>
        </w:rPr>
        <w:t>注：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w:t>
      </w:r>
    </w:p>
    <w:p w14:paraId="3935CAD6">
      <w:pPr>
        <w:keepNext w:val="0"/>
        <w:keepLines w:val="0"/>
        <w:pageBreakBefore w:val="0"/>
        <w:widowControl/>
        <w:kinsoku/>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 xml:space="preserve">3 </w:t>
      </w:r>
      <w:r>
        <w:rPr>
          <w:rFonts w:hint="eastAsia" w:ascii="宋体" w:hAnsi="宋体" w:eastAsia="宋体" w:cs="宋体"/>
          <w:color w:val="auto"/>
          <w:highlight w:val="none"/>
        </w:rPr>
        <w:t>投标人委派的项目负责人须具备</w:t>
      </w:r>
      <w:r>
        <w:rPr>
          <w:rFonts w:hint="eastAsia" w:ascii="宋体" w:hAnsi="宋体" w:eastAsia="宋体" w:cs="宋体"/>
          <w:color w:val="auto"/>
          <w:highlight w:val="none"/>
          <w:u w:val="single"/>
        </w:rPr>
        <w:t>水利工程相关专业高级工程师（或以上）职称</w:t>
      </w:r>
      <w:r>
        <w:rPr>
          <w:rFonts w:hint="eastAsia" w:ascii="宋体" w:hAnsi="宋体" w:eastAsia="宋体" w:cs="宋体"/>
          <w:color w:val="auto"/>
          <w:highlight w:val="none"/>
        </w:rPr>
        <w:t>。</w:t>
      </w:r>
      <w:r>
        <w:rPr>
          <w:rFonts w:hint="eastAsia" w:ascii="宋体" w:hAnsi="宋体" w:eastAsia="宋体" w:cs="宋体"/>
          <w:b w:val="0"/>
          <w:bCs w:val="0"/>
          <w:color w:val="auto"/>
          <w:szCs w:val="21"/>
          <w:highlight w:val="none"/>
        </w:rPr>
        <w:t>须提供相关职称证和投标人为其缴纳在本投标单位的近</w:t>
      </w:r>
      <w:r>
        <w:rPr>
          <w:rFonts w:hint="eastAsia" w:ascii="宋体" w:hAnsi="宋体" w:eastAsia="宋体" w:cs="宋体"/>
          <w:b w:val="0"/>
          <w:bCs w:val="0"/>
          <w:color w:val="auto"/>
          <w:szCs w:val="21"/>
          <w:highlight w:val="none"/>
          <w:lang w:val="en-US" w:eastAsia="zh-CN"/>
        </w:rPr>
        <w:t>一</w:t>
      </w:r>
      <w:r>
        <w:rPr>
          <w:rFonts w:hint="eastAsia" w:ascii="宋体" w:hAnsi="宋体" w:eastAsia="宋体" w:cs="宋体"/>
          <w:b w:val="0"/>
          <w:bCs w:val="0"/>
          <w:color w:val="auto"/>
          <w:szCs w:val="21"/>
          <w:highlight w:val="none"/>
        </w:rPr>
        <w:t>个</w:t>
      </w:r>
      <w:r>
        <w:rPr>
          <w:rFonts w:hint="eastAsia" w:ascii="宋体" w:hAnsi="宋体" w:eastAsia="宋体" w:cs="宋体"/>
          <w:b w:val="0"/>
          <w:bCs w:val="0"/>
          <w:color w:val="auto"/>
          <w:szCs w:val="21"/>
          <w:highlight w:val="none"/>
          <w:lang w:val="en-US" w:eastAsia="zh-CN"/>
        </w:rPr>
        <w:t>月</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2025年6月</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有效的社保证明材料</w:t>
      </w:r>
      <w:r>
        <w:rPr>
          <w:rFonts w:hint="eastAsia" w:ascii="宋体" w:hAnsi="宋体" w:eastAsia="宋体" w:cs="宋体"/>
          <w:b w:val="0"/>
          <w:bCs w:val="0"/>
          <w:color w:val="auto"/>
          <w:sz w:val="21"/>
          <w:szCs w:val="21"/>
          <w:highlight w:val="none"/>
          <w:lang w:eastAsia="zh-CN"/>
        </w:rPr>
        <w:t>。</w:t>
      </w:r>
    </w:p>
    <w:p w14:paraId="0A76E455">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注：若拟委派的项目负责人为香港专业人士，则须已在广东省住房和城乡建设主管部门备案且备案的业务范围相当于</w:t>
      </w:r>
      <w:r>
        <w:rPr>
          <w:rFonts w:hint="eastAsia" w:ascii="宋体" w:hAnsi="宋体" w:eastAsia="宋体" w:cs="宋体"/>
          <w:color w:val="auto"/>
          <w:highlight w:val="none"/>
          <w:u w:val="single"/>
        </w:rPr>
        <w:t>满足本项目招标文件要求</w:t>
      </w:r>
      <w:r>
        <w:rPr>
          <w:rFonts w:hint="eastAsia" w:ascii="宋体" w:hAnsi="宋体" w:eastAsia="宋体" w:cs="宋体"/>
          <w:color w:val="auto"/>
          <w:highlight w:val="none"/>
        </w:rPr>
        <w:t>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3FAED71C">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rPr>
      </w:pPr>
      <w:bookmarkStart w:id="26" w:name="_Toc8744"/>
      <w:bookmarkStart w:id="27" w:name="_Toc32048"/>
      <w:bookmarkStart w:id="28" w:name="_Toc32634"/>
      <w:bookmarkStart w:id="29" w:name="_Toc20272"/>
      <w:bookmarkStart w:id="30" w:name="_Toc253143216"/>
      <w:bookmarkStart w:id="31" w:name="_Toc245023997"/>
      <w:bookmarkStart w:id="32" w:name="_Toc249846223"/>
      <w:bookmarkStart w:id="33" w:name="_Toc266093545"/>
      <w:bookmarkStart w:id="34" w:name="_Toc7102"/>
      <w:bookmarkStart w:id="35" w:name="_Toc249845968"/>
      <w:bookmarkStart w:id="36" w:name="_Toc266881397"/>
      <w:bookmarkStart w:id="37" w:name="_Toc19668"/>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关于联合体投标：</w:t>
      </w:r>
      <w:bookmarkEnd w:id="26"/>
      <w:bookmarkEnd w:id="27"/>
      <w:bookmarkEnd w:id="28"/>
      <w:bookmarkEnd w:id="29"/>
      <w:bookmarkEnd w:id="30"/>
      <w:bookmarkEnd w:id="31"/>
      <w:bookmarkEnd w:id="32"/>
      <w:bookmarkEnd w:id="33"/>
      <w:bookmarkEnd w:id="34"/>
      <w:bookmarkEnd w:id="35"/>
      <w:bookmarkEnd w:id="36"/>
      <w:bookmarkEnd w:id="37"/>
      <w:r>
        <w:rPr>
          <w:rFonts w:hint="eastAsia" w:ascii="宋体" w:hAnsi="宋体" w:eastAsia="宋体" w:cs="宋体"/>
          <w:color w:val="auto"/>
          <w:highlight w:val="none"/>
          <w:u w:val="single"/>
        </w:rPr>
        <w:t>本次招标</w:t>
      </w:r>
      <w:r>
        <w:rPr>
          <w:rFonts w:hint="eastAsia" w:ascii="宋体" w:hAnsi="宋体" w:eastAsia="宋体" w:cs="宋体"/>
          <w:color w:val="auto"/>
          <w:highlight w:val="none"/>
          <w:u w:val="single"/>
          <w:lang w:val="en-US" w:eastAsia="zh-CN"/>
        </w:rPr>
        <w:t>不</w:t>
      </w:r>
      <w:r>
        <w:rPr>
          <w:rFonts w:hint="eastAsia" w:ascii="宋体" w:hAnsi="宋体" w:eastAsia="宋体" w:cs="宋体"/>
          <w:color w:val="auto"/>
          <w:highlight w:val="none"/>
          <w:u w:val="single"/>
        </w:rPr>
        <w:t>接受联合体投标</w:t>
      </w:r>
      <w:r>
        <w:rPr>
          <w:rFonts w:hint="eastAsia" w:ascii="宋体" w:hAnsi="宋体" w:eastAsia="宋体" w:cs="宋体"/>
          <w:color w:val="auto"/>
          <w:highlight w:val="none"/>
          <w:u w:val="single"/>
          <w:lang w:eastAsia="zh-CN"/>
        </w:rPr>
        <w:t>。</w:t>
      </w:r>
    </w:p>
    <w:p w14:paraId="59215044">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投标人未被列入“在一定期限内依法取消参加依法必须进行招标的项目的投标资格”，具体名单以递交投标文件截止时间“信用广州”公布的“黑名单”为准。</w:t>
      </w:r>
    </w:p>
    <w:p w14:paraId="150A1371">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注：《全国失信惩戒措施清单基础清单》（202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版）。</w:t>
      </w:r>
    </w:p>
    <w:p w14:paraId="7985395B">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38" w:name="_Toc25583"/>
      <w:bookmarkStart w:id="39" w:name="_Toc26086"/>
      <w:bookmarkStart w:id="40" w:name="_Toc26793"/>
      <w:bookmarkStart w:id="41" w:name="_Toc28948"/>
      <w:bookmarkStart w:id="42" w:name="_Toc10241"/>
      <w:bookmarkStart w:id="43" w:name="_Toc16210"/>
      <w:r>
        <w:rPr>
          <w:rFonts w:hint="eastAsia" w:ascii="宋体" w:hAnsi="宋体" w:eastAsia="宋体" w:cs="宋体"/>
          <w:kern w:val="2"/>
          <w:lang w:val="en-US" w:eastAsia="zh-CN"/>
        </w:rPr>
        <w:t>4．技术成果经济补偿</w:t>
      </w:r>
      <w:bookmarkEnd w:id="38"/>
      <w:bookmarkEnd w:id="39"/>
      <w:bookmarkEnd w:id="40"/>
      <w:bookmarkEnd w:id="41"/>
      <w:bookmarkEnd w:id="42"/>
      <w:bookmarkEnd w:id="43"/>
    </w:p>
    <w:p w14:paraId="0DB4138A">
      <w:pPr>
        <w:keepNext w:val="0"/>
        <w:keepLines w:val="0"/>
        <w:pageBreakBefore w:val="0"/>
        <w:widowControl/>
        <w:kinsoku w:val="0"/>
        <w:wordWrap/>
        <w:overflowPunct/>
        <w:topLinePunct w:val="0"/>
        <w:autoSpaceDE w:val="0"/>
        <w:autoSpaceDN w:val="0"/>
        <w:bidi w:val="0"/>
        <w:adjustRightInd/>
        <w:snapToGrid/>
        <w:spacing w:line="360" w:lineRule="auto"/>
        <w:ind w:right="0" w:firstLine="428" w:firstLineChars="200"/>
        <w:jc w:val="both"/>
        <w:textAlignment w:val="auto"/>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本次招标对未中标人投标文件中的技术成果</w:t>
      </w:r>
      <w:r>
        <w:rPr>
          <w:rFonts w:hint="eastAsia" w:ascii="宋体" w:hAnsi="宋体" w:eastAsia="宋体" w:cs="宋体"/>
          <w:color w:val="auto"/>
          <w:spacing w:val="2"/>
          <w:highlight w:val="none"/>
          <w:u w:val="single"/>
        </w:rPr>
        <w:t>不给予</w:t>
      </w:r>
      <w:r>
        <w:rPr>
          <w:rFonts w:hint="eastAsia" w:ascii="宋体" w:hAnsi="宋体" w:eastAsia="宋体" w:cs="宋体"/>
          <w:color w:val="auto"/>
          <w:spacing w:val="1"/>
          <w:highlight w:val="none"/>
        </w:rPr>
        <w:t>经济补偿。</w:t>
      </w:r>
    </w:p>
    <w:p w14:paraId="76028F68">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44" w:name="_Toc26631"/>
      <w:bookmarkStart w:id="45" w:name="_Toc14668"/>
      <w:bookmarkStart w:id="46" w:name="_Toc9312"/>
      <w:bookmarkStart w:id="47" w:name="_Toc5228"/>
      <w:bookmarkStart w:id="48" w:name="_Toc29809"/>
      <w:bookmarkStart w:id="49" w:name="_Toc9369"/>
      <w:r>
        <w:rPr>
          <w:rFonts w:hint="eastAsia" w:ascii="宋体" w:hAnsi="宋体" w:eastAsia="宋体" w:cs="宋体"/>
          <w:kern w:val="2"/>
          <w:lang w:val="en-US" w:eastAsia="zh-CN"/>
        </w:rPr>
        <w:t>5．招标文件的获取</w:t>
      </w:r>
      <w:bookmarkEnd w:id="44"/>
      <w:bookmarkEnd w:id="45"/>
      <w:bookmarkEnd w:id="46"/>
      <w:bookmarkEnd w:id="47"/>
      <w:bookmarkEnd w:id="48"/>
      <w:bookmarkEnd w:id="49"/>
    </w:p>
    <w:p w14:paraId="32CBB950">
      <w:pPr>
        <w:keepNext w:val="0"/>
        <w:keepLines w:val="0"/>
        <w:pageBreakBefore w:val="0"/>
        <w:widowControl/>
        <w:kinsoku w:val="0"/>
        <w:wordWrap/>
        <w:overflowPunct/>
        <w:topLinePunct w:val="0"/>
        <w:autoSpaceDE w:val="0"/>
        <w:autoSpaceDN w:val="0"/>
        <w:bidi w:val="0"/>
        <w:adjustRightInd/>
        <w:snapToGrid/>
        <w:spacing w:line="360" w:lineRule="auto"/>
        <w:ind w:right="0" w:firstLine="416" w:firstLineChars="200"/>
        <w:jc w:val="both"/>
        <w:textAlignment w:val="auto"/>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5.1</w:t>
      </w:r>
      <w:r>
        <w:rPr>
          <w:rFonts w:hint="eastAsia" w:ascii="宋体" w:hAnsi="宋体" w:eastAsia="宋体" w:cs="宋体"/>
          <w:color w:val="auto"/>
          <w:spacing w:val="-1"/>
          <w:highlight w:val="none"/>
          <w:lang w:val="en-US" w:eastAsia="zh-CN"/>
        </w:rPr>
        <w:t xml:space="preserve"> </w:t>
      </w:r>
      <w:r>
        <w:rPr>
          <w:rFonts w:hint="eastAsia" w:ascii="宋体" w:hAnsi="宋体" w:eastAsia="宋体" w:cs="宋体"/>
          <w:color w:val="auto"/>
          <w:highlight w:val="none"/>
        </w:rPr>
        <w:t>发布招标公告的时间：</w:t>
      </w:r>
      <w:r>
        <w:rPr>
          <w:rFonts w:hint="eastAsia" w:ascii="宋体" w:hAnsi="宋体" w:eastAsia="宋体" w:cs="宋体"/>
          <w:color w:val="auto"/>
          <w:highlight w:val="none"/>
          <w:u w:val="single"/>
        </w:rPr>
        <w:t xml:space="preserve"> 202</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日至</w:t>
      </w:r>
      <w:r>
        <w:rPr>
          <w:rFonts w:hint="eastAsia" w:ascii="宋体" w:hAnsi="宋体" w:eastAsia="宋体" w:cs="宋体"/>
          <w:color w:val="auto"/>
          <w:highlight w:val="none"/>
          <w:u w:val="single"/>
        </w:rPr>
        <w:t>202</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日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分（北京时间，下同），凡有意参加投标者，请登录广州交易集团有限公司（广州公共资源交易中心）网站下载电子招标文件。</w:t>
      </w:r>
    </w:p>
    <w:p w14:paraId="04007CEE">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注：发布招标公告的时间为招标公告发出之日起至递交投标文件截止时间止。</w:t>
      </w:r>
    </w:p>
    <w:p w14:paraId="7FFE5FA1">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5.2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本项目招标文件随招标公告一并在广州交易集团有限公司（广州公共资源交易中心）网站交易平台发布。招标文件一经在交易平台发布，视为发出给投标人，招标文件由投标人自行在交易平台下载。</w:t>
      </w:r>
    </w:p>
    <w:p w14:paraId="57624477">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50" w:name="_Toc8908"/>
      <w:bookmarkStart w:id="51" w:name="_Toc25595"/>
      <w:bookmarkStart w:id="52" w:name="_Toc19023"/>
      <w:bookmarkStart w:id="53" w:name="_Toc20569"/>
      <w:bookmarkStart w:id="54" w:name="_Toc13565"/>
      <w:bookmarkStart w:id="55" w:name="_Toc8002"/>
      <w:r>
        <w:rPr>
          <w:rFonts w:hint="eastAsia" w:ascii="宋体" w:hAnsi="宋体" w:eastAsia="宋体" w:cs="宋体"/>
          <w:kern w:val="2"/>
          <w:lang w:val="en-US" w:eastAsia="zh-CN"/>
        </w:rPr>
        <w:t>6．投标文件的递交</w:t>
      </w:r>
      <w:bookmarkEnd w:id="50"/>
      <w:bookmarkEnd w:id="51"/>
      <w:bookmarkEnd w:id="52"/>
      <w:bookmarkEnd w:id="53"/>
      <w:bookmarkEnd w:id="54"/>
      <w:bookmarkEnd w:id="55"/>
    </w:p>
    <w:p w14:paraId="3C053429">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投标截止时间为</w:t>
      </w:r>
      <w:r>
        <w:rPr>
          <w:rFonts w:hint="eastAsia" w:ascii="宋体" w:hAnsi="宋体" w:eastAsia="宋体" w:cs="宋体"/>
          <w:color w:val="auto"/>
          <w:highlight w:val="none"/>
          <w:u w:val="single"/>
        </w:rPr>
        <w:t>202</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投标人应在截止时间前通过广州交易集团有限公司（广州公共资源交易中心）网站交易平台递交电子投标文件。投标人完成电子投标文件上传后，交易平台即时向投标人发出递交回执通知。递交时间以递交回执通知载明的传输完成时间为准。</w:t>
      </w:r>
    </w:p>
    <w:p w14:paraId="0D3614EB">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在投标截止时间后半小时内，投标人通过广州交易集团有限公司（广州公共资源交易中心）网站对已递交的电子投标文件进行解密。</w:t>
      </w:r>
    </w:p>
    <w:p w14:paraId="74C94D45">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6.2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人应在递交投标文件截止时间前，登录广州交易集团有限公司（广州公共资源交易中心）网站交易平台办理网上投标登记手续；按照广州交易集团有限公司（广州公共资源交易中心）网站关于全流程电子化项目的相关指南进行操作。</w:t>
      </w:r>
    </w:p>
    <w:p w14:paraId="4F5435C6">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6.3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开标开始时间：</w:t>
      </w:r>
      <w:r>
        <w:rPr>
          <w:rFonts w:hint="eastAsia" w:ascii="宋体" w:hAnsi="宋体" w:eastAsia="宋体" w:cs="宋体"/>
          <w:color w:val="auto"/>
          <w:highlight w:val="none"/>
          <w:u w:val="single"/>
        </w:rPr>
        <w:t>202</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分。    </w:t>
      </w:r>
    </w:p>
    <w:p w14:paraId="2786F1AE">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6.4</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16081CBC">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6.5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逾期送达的电子投标文件，广州交易集团有限公司（广州公共资源交易中心）网站交易平台将予以拒收。</w:t>
      </w:r>
    </w:p>
    <w:p w14:paraId="66B77AA8">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6.6 投标人应自行检查广州交易集团有限公司（广州公共资源交易中心）信息登记中的企业基础信息扫描件（包括企业资质证书、企业营业执照、项目负责人相关证书等），评标委员会对上述资料的审查将以递交投标文件截止时间在广州交易集团有限公司（广州公共资源交易中心）信息登记的信息为依据。投标人应及时维护其在广州交易集团有限公司（广州公共资源交易中心）信息登记的信息，确保各项信息在有效期内。如因投标单位资料缺失导致资格审查不通过，责任由投标单位自行承担。</w:t>
      </w:r>
    </w:p>
    <w:p w14:paraId="7CD0B83A">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56" w:name="_Toc828"/>
      <w:r>
        <w:rPr>
          <w:rFonts w:hint="eastAsia" w:ascii="宋体" w:hAnsi="宋体" w:eastAsia="宋体" w:cs="宋体"/>
          <w:kern w:val="2"/>
          <w:lang w:val="en-US" w:eastAsia="zh-CN"/>
        </w:rPr>
        <w:t>7．发布公告的媒介</w:t>
      </w:r>
      <w:bookmarkEnd w:id="56"/>
    </w:p>
    <w:p w14:paraId="6239F1FE">
      <w:pPr>
        <w:keepNext w:val="0"/>
        <w:keepLines w:val="0"/>
        <w:pageBreakBefore w:val="0"/>
        <w:widowControl/>
        <w:kinsoku/>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本公告在广州交易集团有限公司（广州公共资源交易中心）网（网址：http://www.gzggzy.cn）、广东省招标投标监管网（网址：http://zbtb.gd.gov.cn/#/index）、中国招标投标公共服务平台（网址：http://www.cebpubservice.com/）和广州市增城区人民政府门户网站的“首页&gt;</w:t>
      </w:r>
      <w:r>
        <w:rPr>
          <w:rFonts w:hint="eastAsia" w:ascii="宋体" w:hAnsi="宋体" w:eastAsia="宋体" w:cs="宋体"/>
          <w:color w:val="auto"/>
          <w:highlight w:val="none"/>
          <w:lang w:val="en-US" w:eastAsia="zh-CN"/>
        </w:rPr>
        <w:t>政务</w:t>
      </w:r>
      <w:r>
        <w:rPr>
          <w:rFonts w:hint="eastAsia" w:ascii="宋体" w:hAnsi="宋体" w:eastAsia="宋体" w:cs="宋体"/>
          <w:color w:val="auto"/>
          <w:highlight w:val="none"/>
        </w:rPr>
        <w:t>公开&gt;公共资源配置领域&gt;工程建设项目招投标</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等法定媒体发布，本公告的修改、补充，在广州交易集团有限公司（广州公共资源交易中心）网站</w:t>
      </w:r>
      <w:r>
        <w:rPr>
          <w:rFonts w:hint="eastAsia" w:ascii="宋体" w:hAnsi="宋体" w:eastAsia="宋体" w:cs="宋体"/>
          <w:color w:val="auto"/>
          <w:highlight w:val="none"/>
          <w:lang w:eastAsia="zh-CN"/>
        </w:rPr>
        <w:t>和</w:t>
      </w:r>
      <w:r>
        <w:rPr>
          <w:rFonts w:hint="eastAsia" w:ascii="宋体" w:hAnsi="宋体" w:eastAsia="宋体" w:cs="宋体"/>
          <w:color w:val="auto"/>
          <w:highlight w:val="none"/>
        </w:rPr>
        <w:t>广东省招标投标监管网</w:t>
      </w:r>
      <w:r>
        <w:rPr>
          <w:rFonts w:hint="eastAsia" w:ascii="宋体" w:hAnsi="宋体" w:eastAsia="宋体" w:cs="宋体"/>
          <w:color w:val="auto"/>
          <w:highlight w:val="none"/>
          <w:lang w:eastAsia="zh-CN"/>
        </w:rPr>
        <w:t>站</w:t>
      </w:r>
      <w:r>
        <w:rPr>
          <w:rFonts w:hint="eastAsia" w:ascii="宋体" w:hAnsi="宋体" w:eastAsia="宋体" w:cs="宋体"/>
          <w:color w:val="auto"/>
          <w:highlight w:val="none"/>
        </w:rPr>
        <w:t>发布。</w:t>
      </w:r>
    </w:p>
    <w:p w14:paraId="2FF44E02">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57" w:name="_Toc8477"/>
      <w:bookmarkStart w:id="58" w:name="_Toc17357"/>
      <w:bookmarkStart w:id="59" w:name="_Toc8339"/>
      <w:bookmarkStart w:id="60" w:name="_Toc17336"/>
      <w:bookmarkStart w:id="61" w:name="_Toc8443"/>
      <w:bookmarkStart w:id="62" w:name="_Toc21787632"/>
      <w:bookmarkStart w:id="63" w:name="_Toc29364"/>
      <w:r>
        <w:rPr>
          <w:rFonts w:hint="eastAsia" w:ascii="宋体" w:hAnsi="宋体" w:eastAsia="宋体" w:cs="宋体"/>
          <w:kern w:val="2"/>
          <w:lang w:val="en-US" w:eastAsia="zh-CN"/>
        </w:rPr>
        <w:t>8．资格审查方式</w:t>
      </w:r>
      <w:bookmarkEnd w:id="57"/>
      <w:bookmarkEnd w:id="58"/>
      <w:bookmarkEnd w:id="59"/>
      <w:bookmarkEnd w:id="60"/>
      <w:bookmarkEnd w:id="61"/>
      <w:bookmarkEnd w:id="62"/>
      <w:bookmarkEnd w:id="63"/>
    </w:p>
    <w:p w14:paraId="7009D6E8">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rPr>
      </w:pPr>
      <w:bookmarkStart w:id="64" w:name="_Toc12248"/>
      <w:bookmarkStart w:id="65" w:name="_Toc279"/>
      <w:bookmarkStart w:id="66" w:name="_Toc6681"/>
      <w:r>
        <w:rPr>
          <w:rFonts w:hint="eastAsia" w:ascii="宋体" w:hAnsi="宋体" w:eastAsia="宋体" w:cs="宋体"/>
          <w:color w:val="auto"/>
          <w:highlight w:val="none"/>
        </w:rPr>
        <w:t>8.1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本工程采用资格后审方式，由评标委员会负责资格审查。</w:t>
      </w:r>
      <w:bookmarkEnd w:id="64"/>
      <w:bookmarkEnd w:id="65"/>
      <w:bookmarkEnd w:id="66"/>
    </w:p>
    <w:p w14:paraId="206BDB56">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8.2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资格审查结果将在广州交易集团有限公司（广州公共资源交易中心）网站和广东省招标投标监管网公示，公示时间不得少于3日，最后一天应为工作日。</w:t>
      </w:r>
    </w:p>
    <w:p w14:paraId="11D3777E">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67" w:name="_Toc22780"/>
      <w:bookmarkStart w:id="68" w:name="_Toc21787633"/>
      <w:bookmarkStart w:id="69" w:name="_Toc21532"/>
      <w:bookmarkStart w:id="70" w:name="_Toc24417"/>
      <w:bookmarkStart w:id="71" w:name="_Toc21787635"/>
      <w:bookmarkStart w:id="72" w:name="_Toc5540"/>
      <w:bookmarkStart w:id="73" w:name="_Toc10143"/>
      <w:bookmarkStart w:id="74" w:name="_Toc217"/>
      <w:bookmarkStart w:id="75" w:name="_Toc24569"/>
      <w:r>
        <w:rPr>
          <w:rFonts w:hint="eastAsia" w:ascii="宋体" w:hAnsi="宋体" w:eastAsia="宋体" w:cs="宋体"/>
          <w:kern w:val="2"/>
          <w:lang w:val="en-US" w:eastAsia="zh-CN"/>
        </w:rPr>
        <w:t>9．企业信息登记</w:t>
      </w:r>
      <w:bookmarkEnd w:id="67"/>
      <w:bookmarkEnd w:id="68"/>
      <w:bookmarkEnd w:id="69"/>
    </w:p>
    <w:p w14:paraId="22CCC970">
      <w:pPr>
        <w:keepNext w:val="0"/>
        <w:keepLines w:val="0"/>
        <w:pageBreakBefore w:val="0"/>
        <w:widowControl/>
        <w:kinsoku/>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bCs/>
          <w:color w:val="auto"/>
          <w:szCs w:val="32"/>
          <w:highlight w:val="none"/>
          <w:u w:val="none"/>
          <w:lang w:eastAsia="zh-CN"/>
        </w:rPr>
      </w:pPr>
      <w:r>
        <w:rPr>
          <w:rFonts w:hint="eastAsia" w:ascii="宋体" w:hAnsi="宋体" w:eastAsia="宋体" w:cs="宋体"/>
          <w:bCs/>
          <w:color w:val="auto"/>
          <w:szCs w:val="32"/>
          <w:highlight w:val="none"/>
          <w:u w:val="none"/>
          <w:lang w:eastAsia="zh-CN"/>
        </w:rPr>
        <w:t>投标人已在广州交易集团有限公司（广州公共资源交易中心）办理企业信息登记，本项目负责人是本企业在广州交易集团有限公司（广州公共资源交易中心）企业信息登记中的在册人员。企业信息登记应按照广州交易集团有限公司（广州公共资源交易中心）网站关于企业信息登记的相关指南进行操作。</w:t>
      </w:r>
    </w:p>
    <w:p w14:paraId="2654CD8C">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76" w:name="_Toc28680"/>
      <w:r>
        <w:rPr>
          <w:rFonts w:hint="eastAsia" w:ascii="宋体" w:hAnsi="宋体" w:eastAsia="宋体" w:cs="宋体"/>
          <w:kern w:val="2"/>
          <w:lang w:val="en-US" w:eastAsia="zh-CN"/>
        </w:rPr>
        <w:t>10．疑问、异议、投诉处理</w:t>
      </w:r>
      <w:bookmarkEnd w:id="70"/>
      <w:bookmarkEnd w:id="71"/>
      <w:bookmarkEnd w:id="72"/>
      <w:bookmarkEnd w:id="73"/>
      <w:bookmarkEnd w:id="74"/>
      <w:bookmarkEnd w:id="75"/>
      <w:bookmarkEnd w:id="76"/>
    </w:p>
    <w:p w14:paraId="486583A3">
      <w:pPr>
        <w:keepNext w:val="0"/>
        <w:keepLines w:val="0"/>
        <w:pageBreakBefore w:val="0"/>
        <w:widowControl/>
        <w:kinsoku/>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10.1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1D4407D5">
      <w:pPr>
        <w:keepNext w:val="0"/>
        <w:keepLines w:val="0"/>
        <w:pageBreakBefore w:val="0"/>
        <w:widowControl/>
        <w:kinsoku/>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10.2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42BAB2B6">
      <w:pPr>
        <w:keepNext w:val="0"/>
        <w:keepLines w:val="0"/>
        <w:pageBreakBefore w:val="0"/>
        <w:widowControl/>
        <w:kinsoku/>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10.3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54AE979E">
      <w:pPr>
        <w:keepNext w:val="0"/>
        <w:keepLines w:val="0"/>
        <w:pageBreakBefore w:val="0"/>
        <w:widowControl/>
        <w:kinsoku/>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3998BA05">
      <w:pPr>
        <w:keepNext w:val="0"/>
        <w:keepLines w:val="0"/>
        <w:pageBreakBefore w:val="0"/>
        <w:widowControl/>
        <w:kinsoku w:val="0"/>
        <w:wordWrap/>
        <w:overflowPunct/>
        <w:topLinePunct w:val="0"/>
        <w:autoSpaceDE w:val="0"/>
        <w:autoSpaceDN w:val="0"/>
        <w:bidi w:val="0"/>
        <w:adjustRightInd/>
        <w:snapToGrid/>
        <w:spacing w:line="360" w:lineRule="auto"/>
        <w:ind w:right="0"/>
        <w:jc w:val="both"/>
        <w:textAlignment w:val="auto"/>
        <w:rPr>
          <w:rFonts w:hint="eastAsia" w:ascii="宋体" w:hAnsi="宋体" w:eastAsia="宋体" w:cs="宋体"/>
          <w:b/>
          <w:color w:val="auto"/>
          <w:sz w:val="28"/>
          <w:szCs w:val="24"/>
          <w:highlight w:val="none"/>
        </w:rPr>
      </w:pPr>
      <w:r>
        <w:rPr>
          <w:rFonts w:hint="eastAsia" w:ascii="宋体" w:hAnsi="宋体" w:eastAsia="宋体" w:cs="宋体"/>
          <w:b/>
          <w:bCs/>
          <w:color w:val="000000"/>
          <w:kern w:val="2"/>
          <w:sz w:val="28"/>
          <w:szCs w:val="28"/>
          <w:lang w:val="en-US" w:eastAsia="zh-CN" w:bidi="ar-SA"/>
        </w:rPr>
        <w:t>11．</w:t>
      </w:r>
      <w:r>
        <w:rPr>
          <w:rFonts w:hint="eastAsia" w:ascii="宋体" w:hAnsi="宋体" w:eastAsia="宋体" w:cs="宋体"/>
          <w:color w:val="auto"/>
          <w:highlight w:val="non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06275F0C">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77" w:name="_Toc1700"/>
      <w:bookmarkStart w:id="78" w:name="_Toc21856"/>
      <w:bookmarkStart w:id="79" w:name="_Toc18047"/>
      <w:r>
        <w:rPr>
          <w:rFonts w:hint="eastAsia" w:ascii="宋体" w:hAnsi="宋体" w:eastAsia="宋体" w:cs="宋体"/>
          <w:kern w:val="2"/>
          <w:lang w:val="en-US" w:eastAsia="zh-CN"/>
        </w:rPr>
        <w:t>12．联系方式</w:t>
      </w:r>
      <w:bookmarkEnd w:id="77"/>
      <w:bookmarkEnd w:id="78"/>
      <w:bookmarkEnd w:id="79"/>
    </w:p>
    <w:p w14:paraId="0388DF96">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招标</w:t>
      </w:r>
      <w:r>
        <w:rPr>
          <w:rFonts w:hint="eastAsia" w:ascii="宋体" w:hAnsi="宋体" w:eastAsia="宋体" w:cs="宋体"/>
          <w:color w:val="auto"/>
          <w:sz w:val="21"/>
          <w:szCs w:val="21"/>
          <w:highlight w:val="none"/>
          <w:u w:val="none"/>
          <w:lang w:eastAsia="zh-CN"/>
        </w:rPr>
        <w:t>人</w:t>
      </w:r>
      <w:r>
        <w:rPr>
          <w:rFonts w:hint="eastAsia" w:ascii="宋体" w:hAnsi="宋体" w:eastAsia="宋体" w:cs="宋体"/>
          <w:color w:val="auto"/>
          <w:sz w:val="21"/>
          <w:szCs w:val="21"/>
          <w:highlight w:val="none"/>
          <w:u w:val="none"/>
        </w:rPr>
        <w:t>：</w:t>
      </w:r>
      <w:r>
        <w:rPr>
          <w:rFonts w:hint="eastAsia" w:ascii="宋体" w:hAnsi="宋体" w:eastAsia="宋体" w:cs="宋体"/>
          <w:bCs/>
          <w:color w:val="auto"/>
          <w:sz w:val="21"/>
          <w:szCs w:val="21"/>
          <w:highlight w:val="none"/>
          <w:u w:val="none"/>
          <w:lang w:eastAsia="zh-CN"/>
        </w:rPr>
        <w:t>广州市增城区大封门水库管理所</w:t>
      </w:r>
    </w:p>
    <w:p w14:paraId="07AFB75F">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地  址：广州市增城区派潭镇</w:t>
      </w:r>
      <w:r>
        <w:rPr>
          <w:rFonts w:hint="eastAsia" w:ascii="宋体" w:hAnsi="宋体" w:eastAsia="宋体" w:cs="宋体"/>
          <w:color w:val="auto"/>
          <w:sz w:val="21"/>
          <w:szCs w:val="21"/>
          <w:highlight w:val="none"/>
          <w:u w:val="none"/>
          <w:lang w:val="en-US" w:eastAsia="zh-CN"/>
        </w:rPr>
        <w:t>上九陂村北山路132号</w:t>
      </w:r>
    </w:p>
    <w:p w14:paraId="6E955904">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 xml:space="preserve">联系人： </w:t>
      </w:r>
      <w:r>
        <w:rPr>
          <w:rFonts w:hint="eastAsia" w:ascii="宋体" w:hAnsi="宋体" w:eastAsia="宋体" w:cs="宋体"/>
          <w:color w:val="auto"/>
          <w:sz w:val="21"/>
          <w:szCs w:val="21"/>
          <w:highlight w:val="none"/>
          <w:u w:val="none"/>
          <w:lang w:val="en-US" w:eastAsia="zh-CN"/>
        </w:rPr>
        <w:t>屈工</w:t>
      </w:r>
      <w:r>
        <w:rPr>
          <w:rFonts w:hint="eastAsia" w:ascii="宋体" w:hAnsi="宋体" w:eastAsia="宋体" w:cs="宋体"/>
          <w:color w:val="auto"/>
          <w:sz w:val="21"/>
          <w:szCs w:val="21"/>
          <w:highlight w:val="none"/>
          <w:u w:val="none"/>
        </w:rPr>
        <w:t xml:space="preserve">          联系电话：</w:t>
      </w:r>
      <w:r>
        <w:rPr>
          <w:rFonts w:hint="eastAsia" w:ascii="宋体" w:hAnsi="宋体" w:eastAsia="宋体" w:cs="宋体"/>
          <w:bCs/>
          <w:color w:val="auto"/>
          <w:sz w:val="21"/>
          <w:szCs w:val="21"/>
          <w:highlight w:val="none"/>
          <w:u w:val="none"/>
          <w:lang w:eastAsia="zh-CN"/>
        </w:rPr>
        <w:t>020-82639382</w:t>
      </w:r>
    </w:p>
    <w:p w14:paraId="69BC257B">
      <w:pPr>
        <w:bidi w:val="0"/>
        <w:rPr>
          <w:rFonts w:hint="eastAsia"/>
        </w:rPr>
      </w:pPr>
    </w:p>
    <w:p w14:paraId="5201C8AA">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招标代理机构：</w:t>
      </w:r>
      <w:r>
        <w:rPr>
          <w:rFonts w:hint="eastAsia" w:ascii="宋体" w:hAnsi="宋体" w:eastAsia="宋体" w:cs="宋体"/>
          <w:bCs/>
          <w:color w:val="auto"/>
          <w:sz w:val="21"/>
          <w:szCs w:val="21"/>
          <w:highlight w:val="none"/>
          <w:u w:val="none"/>
          <w:lang w:eastAsia="zh-CN"/>
        </w:rPr>
        <w:t>广东宏茂建设管理有限公司</w:t>
      </w:r>
      <w:r>
        <w:rPr>
          <w:rFonts w:hint="eastAsia" w:ascii="宋体" w:hAnsi="宋体" w:eastAsia="宋体" w:cs="宋体"/>
          <w:bCs/>
          <w:color w:val="auto"/>
          <w:sz w:val="21"/>
          <w:szCs w:val="21"/>
          <w:highlight w:val="none"/>
          <w:u w:val="none"/>
        </w:rPr>
        <w:t xml:space="preserve"> </w:t>
      </w:r>
    </w:p>
    <w:p w14:paraId="43EA5EDA">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i w:val="0"/>
          <w:iCs w:val="0"/>
          <w:caps w:val="0"/>
          <w:color w:val="auto"/>
          <w:spacing w:val="0"/>
          <w:sz w:val="21"/>
          <w:szCs w:val="21"/>
          <w:highlight w:val="none"/>
          <w:u w:val="none"/>
          <w:shd w:val="clear"/>
        </w:rPr>
        <w:t>地址：广州市天河区燕岭路123号建设大厦第四层</w:t>
      </w:r>
    </w:p>
    <w:p w14:paraId="2ED77713">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联系人：</w:t>
      </w:r>
      <w:r>
        <w:rPr>
          <w:rFonts w:hint="eastAsia" w:ascii="宋体" w:hAnsi="宋体" w:eastAsia="宋体" w:cs="宋体"/>
          <w:color w:val="auto"/>
          <w:sz w:val="21"/>
          <w:szCs w:val="21"/>
          <w:highlight w:val="none"/>
          <w:u w:val="none"/>
          <w:lang w:val="en-US" w:eastAsia="zh-CN"/>
        </w:rPr>
        <w:t>王</w:t>
      </w:r>
      <w:r>
        <w:rPr>
          <w:rFonts w:hint="eastAsia" w:ascii="宋体" w:hAnsi="宋体" w:eastAsia="宋体" w:cs="宋体"/>
          <w:color w:val="auto"/>
          <w:sz w:val="21"/>
          <w:szCs w:val="21"/>
          <w:highlight w:val="none"/>
          <w:u w:val="none"/>
          <w:lang w:eastAsia="zh-CN"/>
        </w:rPr>
        <w:t>工</w:t>
      </w:r>
      <w:r>
        <w:rPr>
          <w:rFonts w:hint="eastAsia" w:ascii="宋体" w:hAnsi="宋体" w:eastAsia="宋体" w:cs="宋体"/>
          <w:color w:val="auto"/>
          <w:sz w:val="21"/>
          <w:szCs w:val="21"/>
          <w:highlight w:val="none"/>
          <w:u w:val="none"/>
        </w:rPr>
        <w:t xml:space="preserve">             联系电话： </w:t>
      </w:r>
      <w:r>
        <w:rPr>
          <w:rFonts w:hint="eastAsia" w:ascii="宋体" w:hAnsi="宋体" w:eastAsia="宋体" w:cs="宋体"/>
          <w:i w:val="0"/>
          <w:iCs w:val="0"/>
          <w:caps w:val="0"/>
          <w:color w:val="auto"/>
          <w:spacing w:val="0"/>
          <w:sz w:val="21"/>
          <w:szCs w:val="21"/>
          <w:highlight w:val="none"/>
          <w:u w:val="none"/>
          <w:shd w:val="clear"/>
          <w:lang w:val="en-US" w:eastAsia="zh-CN"/>
        </w:rPr>
        <w:t>020-38937455</w:t>
      </w:r>
    </w:p>
    <w:p w14:paraId="612DCB8F">
      <w:pPr>
        <w:bidi w:val="0"/>
        <w:rPr>
          <w:rFonts w:hint="eastAsia"/>
        </w:rPr>
      </w:pPr>
    </w:p>
    <w:p w14:paraId="4557C7B1">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招标监督机构：广州市增城区水务局</w:t>
      </w:r>
    </w:p>
    <w:p w14:paraId="317C6E57">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地址：广州市增城区荔城街园圃路4号</w:t>
      </w:r>
    </w:p>
    <w:p w14:paraId="08D2E607">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监督电话：020-82639502</w:t>
      </w:r>
    </w:p>
    <w:p w14:paraId="7A1911B7">
      <w:pPr>
        <w:bidi w:val="0"/>
        <w:rPr>
          <w:rFonts w:hint="eastAsia"/>
        </w:rPr>
      </w:pPr>
    </w:p>
    <w:p w14:paraId="5BD017C5">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异议受理部门：广州市增城区大封门水库管理所</w:t>
      </w:r>
    </w:p>
    <w:p w14:paraId="1039BC65">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地    址：广州市增城区派潭镇</w:t>
      </w:r>
      <w:r>
        <w:rPr>
          <w:rFonts w:hint="eastAsia" w:ascii="宋体" w:hAnsi="宋体" w:eastAsia="宋体" w:cs="宋体"/>
          <w:color w:val="auto"/>
          <w:sz w:val="21"/>
          <w:szCs w:val="21"/>
          <w:highlight w:val="none"/>
          <w:u w:val="none"/>
          <w:lang w:val="en-US" w:eastAsia="zh-CN"/>
        </w:rPr>
        <w:t>上九陂村北山路132号</w:t>
      </w:r>
    </w:p>
    <w:p w14:paraId="0D13C523">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联 系 人：屈工 </w:t>
      </w:r>
    </w:p>
    <w:p w14:paraId="1A321F25">
      <w:pPr>
        <w:keepNext w:val="0"/>
        <w:keepLines w:val="0"/>
        <w:pageBreakBefore w:val="0"/>
        <w:widowControl/>
        <w:kinsoku w:val="0"/>
        <w:wordWrap/>
        <w:overflowPunct/>
        <w:topLinePunct w:val="0"/>
        <w:autoSpaceDE w:val="0"/>
        <w:autoSpaceDN w:val="0"/>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电    话：020-82639382</w:t>
      </w:r>
    </w:p>
    <w:p w14:paraId="177370BC">
      <w:pPr>
        <w:keepNext w:val="0"/>
        <w:keepLines w:val="0"/>
        <w:pageBreakBefore w:val="0"/>
        <w:widowControl/>
        <w:tabs>
          <w:tab w:val="left" w:pos="5747"/>
        </w:tabs>
        <w:overflowPunct/>
        <w:bidi w:val="0"/>
        <w:adjustRightInd/>
        <w:snapToGrid w:val="0"/>
        <w:spacing w:line="360" w:lineRule="auto"/>
        <w:ind w:left="5003"/>
        <w:textAlignment w:val="auto"/>
        <w:rPr>
          <w:rFonts w:hint="eastAsia" w:ascii="宋体" w:hAnsi="宋体" w:eastAsia="宋体" w:cs="宋体"/>
          <w:color w:val="auto"/>
          <w:highlight w:val="none"/>
          <w:u w:val="single"/>
        </w:rPr>
      </w:pPr>
    </w:p>
    <w:p w14:paraId="73F6673B">
      <w:pPr>
        <w:keepNext w:val="0"/>
        <w:keepLines w:val="0"/>
        <w:pageBreakBefore w:val="0"/>
        <w:widowControl/>
        <w:tabs>
          <w:tab w:val="left" w:pos="5747"/>
        </w:tabs>
        <w:overflowPunct/>
        <w:bidi w:val="0"/>
        <w:adjustRightInd/>
        <w:snapToGrid w:val="0"/>
        <w:spacing w:line="360" w:lineRule="auto"/>
        <w:ind w:left="5003" w:firstLine="2100" w:firstLineChars="10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u w:val="single"/>
        </w:rPr>
        <w:t>202</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spacing w:val="3"/>
          <w:highlight w:val="none"/>
        </w:rPr>
        <w:t>年</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rPr>
        <w:t>月</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rPr>
        <w:t>日</w:t>
      </w:r>
    </w:p>
    <w:p w14:paraId="27B48709">
      <w:pPr>
        <w:keepNext w:val="0"/>
        <w:keepLines w:val="0"/>
        <w:pageBreakBefore w:val="0"/>
        <w:widowControl/>
        <w:overflowPunct/>
        <w:bidi w:val="0"/>
        <w:adjustRightInd/>
        <w:snapToGrid w:val="0"/>
        <w:spacing w:line="360" w:lineRule="auto"/>
        <w:textAlignment w:val="auto"/>
        <w:rPr>
          <w:rFonts w:hint="eastAsia" w:ascii="宋体" w:hAnsi="宋体" w:eastAsia="宋体" w:cs="宋体"/>
          <w:color w:val="auto"/>
          <w:highlight w:val="none"/>
        </w:rPr>
        <w:sectPr>
          <w:footerReference r:id="rId7" w:type="default"/>
          <w:pgSz w:w="11905" w:h="16838"/>
          <w:pgMar w:top="1344" w:right="1247" w:bottom="1106" w:left="1837" w:header="0" w:footer="680" w:gutter="0"/>
          <w:pgNumType w:fmt="decimal"/>
          <w:cols w:space="0" w:num="1"/>
          <w:rtlGutter w:val="0"/>
          <w:docGrid w:type="linesAndChars" w:linePitch="312" w:charSpace="0"/>
        </w:sectPr>
      </w:pPr>
    </w:p>
    <w:p w14:paraId="5C2954FE">
      <w:pPr>
        <w:pStyle w:val="34"/>
        <w:rPr>
          <w:rFonts w:hint="eastAsia" w:ascii="宋体" w:hAnsi="宋体" w:eastAsia="宋体" w:cs="宋体"/>
          <w:b/>
          <w:bCs w:val="0"/>
          <w:color w:val="auto"/>
          <w:spacing w:val="24"/>
          <w:szCs w:val="44"/>
          <w:highlight w:val="none"/>
        </w:rPr>
      </w:pPr>
      <w:bookmarkStart w:id="80" w:name="_Toc12949"/>
      <w:bookmarkStart w:id="81" w:name="_Toc799"/>
      <w:bookmarkStart w:id="82" w:name="_Toc23846"/>
      <w:bookmarkStart w:id="83" w:name="_Toc18831"/>
      <w:bookmarkStart w:id="84" w:name="_Toc25323"/>
      <w:r>
        <w:rPr>
          <w:rFonts w:hint="eastAsia" w:ascii="宋体" w:hAnsi="宋体" w:eastAsia="宋体" w:cs="宋体"/>
          <w:b/>
          <w:bCs w:val="0"/>
          <w:color w:val="auto"/>
          <w:spacing w:val="24"/>
          <w:szCs w:val="44"/>
          <w:highlight w:val="none"/>
        </w:rPr>
        <w:t>第二章</w:t>
      </w:r>
      <w:r>
        <w:rPr>
          <w:rFonts w:hint="eastAsia" w:ascii="宋体" w:hAnsi="宋体" w:cs="宋体"/>
          <w:b/>
          <w:bCs w:val="0"/>
          <w:color w:val="auto"/>
          <w:spacing w:val="24"/>
          <w:szCs w:val="44"/>
          <w:highlight w:val="none"/>
          <w:lang w:val="en-US" w:eastAsia="zh-CN"/>
        </w:rPr>
        <w:t xml:space="preserve"> </w:t>
      </w:r>
      <w:r>
        <w:rPr>
          <w:rFonts w:hint="eastAsia" w:ascii="宋体" w:hAnsi="宋体" w:eastAsia="宋体" w:cs="宋体"/>
          <w:b/>
          <w:bCs w:val="0"/>
          <w:color w:val="auto"/>
          <w:spacing w:val="24"/>
          <w:szCs w:val="44"/>
          <w:highlight w:val="none"/>
        </w:rPr>
        <w:t>投标人须知</w:t>
      </w:r>
      <w:bookmarkEnd w:id="80"/>
      <w:bookmarkEnd w:id="81"/>
      <w:bookmarkEnd w:id="82"/>
      <w:bookmarkEnd w:id="83"/>
      <w:bookmarkEnd w:id="84"/>
    </w:p>
    <w:p w14:paraId="2D811214">
      <w:pPr>
        <w:spacing w:line="263" w:lineRule="auto"/>
        <w:rPr>
          <w:rFonts w:hint="eastAsia" w:ascii="宋体" w:hAnsi="宋体" w:eastAsia="宋体" w:cs="宋体"/>
          <w:color w:val="auto"/>
          <w:highlight w:val="none"/>
        </w:rPr>
      </w:pPr>
    </w:p>
    <w:p w14:paraId="0BF8B6FE">
      <w:pPr>
        <w:jc w:val="center"/>
        <w:rPr>
          <w:rFonts w:hint="eastAsia" w:ascii="宋体" w:hAnsi="宋体" w:eastAsia="宋体" w:cs="宋体"/>
          <w:color w:val="auto"/>
          <w:spacing w:val="10"/>
          <w:sz w:val="31"/>
          <w:szCs w:val="31"/>
          <w:highlight w:val="none"/>
        </w:rPr>
      </w:pPr>
      <w:bookmarkStart w:id="85" w:name="_Toc30811"/>
      <w:bookmarkStart w:id="86" w:name="_Toc22370"/>
      <w:bookmarkStart w:id="87" w:name="_Toc13454"/>
      <w:bookmarkStart w:id="88" w:name="_Toc29587"/>
      <w:bookmarkStart w:id="89" w:name="_Toc22800"/>
      <w:bookmarkStart w:id="90" w:name="_Toc22412"/>
      <w:r>
        <w:rPr>
          <w:rFonts w:hint="eastAsia" w:ascii="宋体" w:hAnsi="宋体" w:eastAsia="宋体" w:cs="宋体"/>
          <w:color w:val="auto"/>
          <w:spacing w:val="10"/>
          <w:sz w:val="31"/>
          <w:szCs w:val="31"/>
          <w:highlight w:val="none"/>
        </w:rPr>
        <w:t>投标人须知前附表</w:t>
      </w:r>
      <w:bookmarkEnd w:id="85"/>
      <w:bookmarkEnd w:id="86"/>
      <w:bookmarkEnd w:id="87"/>
      <w:bookmarkEnd w:id="88"/>
      <w:bookmarkEnd w:id="89"/>
      <w:bookmarkEnd w:id="90"/>
    </w:p>
    <w:p w14:paraId="0150DE45">
      <w:pPr>
        <w:spacing w:line="62" w:lineRule="exact"/>
        <w:rPr>
          <w:rFonts w:hint="eastAsia" w:ascii="宋体" w:hAnsi="宋体" w:eastAsia="宋体" w:cs="宋体"/>
          <w:color w:val="auto"/>
          <w:highlight w:val="none"/>
        </w:rPr>
      </w:pPr>
    </w:p>
    <w:tbl>
      <w:tblPr>
        <w:tblStyle w:val="27"/>
        <w:tblW w:w="93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857"/>
        <w:gridCol w:w="6498"/>
      </w:tblGrid>
      <w:tr w14:paraId="51272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blHeader/>
          <w:jc w:val="center"/>
        </w:trPr>
        <w:tc>
          <w:tcPr>
            <w:tcW w:w="971" w:type="dxa"/>
            <w:vAlign w:val="center"/>
          </w:tcPr>
          <w:p w14:paraId="148D30D7">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857" w:type="dxa"/>
            <w:vAlign w:val="center"/>
          </w:tcPr>
          <w:p w14:paraId="758CE2F5">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6498" w:type="dxa"/>
            <w:vAlign w:val="center"/>
          </w:tcPr>
          <w:p w14:paraId="354251A7">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6DA98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58CF9340">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857" w:type="dxa"/>
            <w:vAlign w:val="center"/>
          </w:tcPr>
          <w:p w14:paraId="23EE1F44">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6498" w:type="dxa"/>
            <w:vAlign w:val="center"/>
          </w:tcPr>
          <w:p w14:paraId="3E41AF02">
            <w:pPr>
              <w:keepNext w:val="0"/>
              <w:keepLines w:val="0"/>
              <w:pageBreakBefore w:val="0"/>
              <w:widowControl/>
              <w:kinsoku w:val="0"/>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名称：广州市增城区大封门水库管理所 </w:t>
            </w:r>
          </w:p>
          <w:p w14:paraId="4B1DB663">
            <w:pPr>
              <w:keepNext w:val="0"/>
              <w:keepLines w:val="0"/>
              <w:pageBreakBefore w:val="0"/>
              <w:widowControl/>
              <w:kinsoku w:val="0"/>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地址：广州市增城区派潭镇</w:t>
            </w:r>
            <w:r>
              <w:rPr>
                <w:rFonts w:hint="eastAsia" w:ascii="宋体" w:hAnsi="宋体" w:eastAsia="宋体" w:cs="宋体"/>
                <w:color w:val="auto"/>
                <w:sz w:val="21"/>
                <w:szCs w:val="21"/>
                <w:highlight w:val="none"/>
                <w:lang w:val="en-US" w:eastAsia="zh-CN"/>
              </w:rPr>
              <w:t>上九陂村北山路132号</w:t>
            </w:r>
          </w:p>
          <w:p w14:paraId="32D99EDA">
            <w:pPr>
              <w:keepNext w:val="0"/>
              <w:keepLines w:val="0"/>
              <w:pageBreakBefore w:val="0"/>
              <w:widowControl/>
              <w:kinsoku w:val="0"/>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联系人：屈工</w:t>
            </w:r>
          </w:p>
          <w:p w14:paraId="19CEAF2E">
            <w:pPr>
              <w:keepNext w:val="0"/>
              <w:keepLines w:val="0"/>
              <w:pageBreakBefore w:val="0"/>
              <w:widowControl/>
              <w:kinsoku w:val="0"/>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pacing w:val="-19"/>
                <w:sz w:val="21"/>
                <w:szCs w:val="21"/>
                <w:highlight w:val="none"/>
              </w:rPr>
            </w:pPr>
            <w:r>
              <w:rPr>
                <w:rFonts w:hint="eastAsia" w:ascii="宋体" w:hAnsi="宋体" w:eastAsia="宋体" w:cs="宋体"/>
                <w:color w:val="auto"/>
                <w:sz w:val="21"/>
                <w:szCs w:val="21"/>
                <w:highlight w:val="none"/>
                <w:lang w:eastAsia="zh-CN"/>
              </w:rPr>
              <w:t>电话：020-8263938</w:t>
            </w:r>
          </w:p>
        </w:tc>
      </w:tr>
      <w:tr w14:paraId="4EAFC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1491E83A">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857" w:type="dxa"/>
            <w:vAlign w:val="center"/>
          </w:tcPr>
          <w:p w14:paraId="6C035D72">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p>
        </w:tc>
        <w:tc>
          <w:tcPr>
            <w:tcW w:w="6498" w:type="dxa"/>
            <w:vAlign w:val="center"/>
          </w:tcPr>
          <w:p w14:paraId="5898453F">
            <w:pPr>
              <w:keepNext w:val="0"/>
              <w:keepLines w:val="0"/>
              <w:pageBreakBefore w:val="0"/>
              <w:widowControl/>
              <w:kinsoku w:val="0"/>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名称：广东宏茂建设管理有限公司</w:t>
            </w:r>
          </w:p>
          <w:p w14:paraId="29B3731D">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地址：广州市天河区燕岭路123号建设大厦第四层</w:t>
            </w:r>
          </w:p>
          <w:p w14:paraId="24B96A9B">
            <w:pPr>
              <w:keepNext w:val="0"/>
              <w:keepLines w:val="0"/>
              <w:pageBreakBefore w:val="0"/>
              <w:widowControl/>
              <w:kinsoku w:val="0"/>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联系人：</w:t>
            </w:r>
            <w:r>
              <w:rPr>
                <w:rFonts w:hint="eastAsia" w:ascii="宋体" w:hAnsi="宋体" w:eastAsia="宋体" w:cs="宋体"/>
                <w:color w:val="auto"/>
                <w:sz w:val="21"/>
                <w:szCs w:val="21"/>
                <w:highlight w:val="none"/>
                <w:lang w:val="en-US" w:eastAsia="zh-CN"/>
              </w:rPr>
              <w:t>王</w:t>
            </w:r>
            <w:r>
              <w:rPr>
                <w:rFonts w:hint="eastAsia" w:ascii="宋体" w:hAnsi="宋体" w:eastAsia="宋体" w:cs="宋体"/>
                <w:color w:val="auto"/>
                <w:sz w:val="21"/>
                <w:szCs w:val="21"/>
                <w:highlight w:val="none"/>
                <w:lang w:eastAsia="zh-CN"/>
              </w:rPr>
              <w:t>工</w:t>
            </w:r>
          </w:p>
          <w:p w14:paraId="2F20B290">
            <w:pPr>
              <w:keepNext w:val="0"/>
              <w:keepLines w:val="0"/>
              <w:pageBreakBefore w:val="0"/>
              <w:widowControl/>
              <w:kinsoku w:val="0"/>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pacing w:val="-19"/>
                <w:sz w:val="21"/>
                <w:szCs w:val="21"/>
                <w:highlight w:val="none"/>
              </w:rPr>
            </w:pPr>
            <w:r>
              <w:rPr>
                <w:rFonts w:hint="eastAsia" w:ascii="宋体" w:hAnsi="宋体" w:eastAsia="宋体" w:cs="宋体"/>
                <w:color w:val="auto"/>
                <w:sz w:val="21"/>
                <w:szCs w:val="21"/>
                <w:highlight w:val="none"/>
                <w:lang w:eastAsia="zh-CN"/>
              </w:rPr>
              <w:t>电话：</w:t>
            </w:r>
            <w:r>
              <w:rPr>
                <w:rFonts w:hint="eastAsia" w:ascii="宋体" w:hAnsi="宋体" w:eastAsia="宋体" w:cs="宋体"/>
                <w:color w:val="auto"/>
                <w:sz w:val="21"/>
                <w:szCs w:val="21"/>
                <w:highlight w:val="none"/>
                <w:lang w:val="en-US" w:eastAsia="zh-CN"/>
              </w:rPr>
              <w:t>020-38937455</w:t>
            </w:r>
          </w:p>
        </w:tc>
      </w:tr>
      <w:tr w14:paraId="6CE13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7C69325B">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857" w:type="dxa"/>
            <w:vAlign w:val="center"/>
          </w:tcPr>
          <w:p w14:paraId="4B3E864C">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招标项目名称</w:t>
            </w:r>
          </w:p>
        </w:tc>
        <w:tc>
          <w:tcPr>
            <w:tcW w:w="6498" w:type="dxa"/>
            <w:vAlign w:val="center"/>
          </w:tcPr>
          <w:p w14:paraId="1DB7AD5F">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广州市增城区大封门水库扩容工程BIM技术应用服务</w:t>
            </w:r>
          </w:p>
        </w:tc>
      </w:tr>
      <w:tr w14:paraId="0CA6E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50712874">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1857" w:type="dxa"/>
            <w:vAlign w:val="center"/>
          </w:tcPr>
          <w:p w14:paraId="1565BC80">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项目建设地点</w:t>
            </w:r>
          </w:p>
        </w:tc>
        <w:tc>
          <w:tcPr>
            <w:tcW w:w="6498" w:type="dxa"/>
            <w:vAlign w:val="center"/>
          </w:tcPr>
          <w:p w14:paraId="3FF2B6F3">
            <w:pPr>
              <w:keepNext w:val="0"/>
              <w:keepLines w:val="0"/>
              <w:pageBreakBefore w:val="0"/>
              <w:widowControl/>
              <w:kinsoku w:val="0"/>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广州市增城区派潭镇</w:t>
            </w:r>
          </w:p>
        </w:tc>
      </w:tr>
      <w:tr w14:paraId="7B139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49407A84">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1857" w:type="dxa"/>
            <w:vAlign w:val="center"/>
          </w:tcPr>
          <w:p w14:paraId="796BCB59">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项目建设规模</w:t>
            </w:r>
          </w:p>
        </w:tc>
        <w:tc>
          <w:tcPr>
            <w:tcW w:w="6498" w:type="dxa"/>
            <w:vAlign w:val="center"/>
          </w:tcPr>
          <w:p w14:paraId="1925CB91">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bCs/>
                <w:color w:val="auto"/>
                <w:sz w:val="21"/>
                <w:szCs w:val="21"/>
                <w:highlight w:val="none"/>
                <w:u w:val="none"/>
                <w:lang w:eastAsia="zh-CN"/>
              </w:rPr>
              <w:t>大封门水库位于广州市增城区派潭镇派潭河上游，工程主要任务为供水、防洪、灌溉，建成后将优化增城区水资源配置，提升区域水安全保障能力。工程主要建设内容包括大坝及引水枢纽、上坝道路、进场道路、管理区等。大坝在原址重建，坝型采用碾压混凝土重力坝，坝轴线长</w:t>
            </w:r>
            <w:r>
              <w:rPr>
                <w:rFonts w:hint="eastAsia" w:ascii="宋体" w:hAnsi="宋体" w:eastAsia="宋体" w:cs="宋体"/>
                <w:bCs/>
                <w:color w:val="auto"/>
                <w:sz w:val="21"/>
                <w:szCs w:val="21"/>
                <w:highlight w:val="none"/>
                <w:u w:val="none"/>
                <w:lang w:val="en-US" w:eastAsia="zh-CN"/>
              </w:rPr>
              <w:t>535米，</w:t>
            </w:r>
            <w:r>
              <w:rPr>
                <w:rFonts w:hint="eastAsia" w:ascii="宋体" w:hAnsi="宋体" w:eastAsia="宋体" w:cs="宋体"/>
                <w:bCs/>
                <w:color w:val="auto"/>
                <w:sz w:val="21"/>
                <w:szCs w:val="21"/>
                <w:highlight w:val="none"/>
                <w:u w:val="none"/>
                <w:lang w:eastAsia="zh-CN"/>
              </w:rPr>
              <w:t>最大坝高86.5米。总库容</w:t>
            </w:r>
            <w:r>
              <w:rPr>
                <w:rFonts w:hint="eastAsia" w:ascii="宋体" w:hAnsi="宋体" w:eastAsia="宋体" w:cs="宋体"/>
                <w:bCs/>
                <w:color w:val="auto"/>
                <w:sz w:val="21"/>
                <w:szCs w:val="21"/>
                <w:highlight w:val="none"/>
                <w:u w:val="none"/>
                <w:lang w:val="en-US" w:eastAsia="zh-CN"/>
              </w:rPr>
              <w:t>2240万立方米；</w:t>
            </w:r>
            <w:r>
              <w:rPr>
                <w:rFonts w:hint="eastAsia" w:ascii="宋体" w:hAnsi="宋体" w:eastAsia="宋体" w:cs="宋体"/>
                <w:bCs/>
                <w:color w:val="auto"/>
                <w:sz w:val="21"/>
                <w:szCs w:val="21"/>
                <w:highlight w:val="none"/>
                <w:u w:val="none"/>
                <w:lang w:eastAsia="zh-CN"/>
              </w:rPr>
              <w:t>工程等别为Ⅲ等，规模为中型，大坝和引水建筑物等主要建筑物级别为</w:t>
            </w:r>
            <w:r>
              <w:rPr>
                <w:rFonts w:hint="eastAsia" w:ascii="宋体" w:hAnsi="宋体" w:eastAsia="宋体" w:cs="宋体"/>
                <w:bCs/>
                <w:color w:val="auto"/>
                <w:sz w:val="21"/>
                <w:szCs w:val="21"/>
                <w:highlight w:val="none"/>
                <w:u w:val="none"/>
                <w:lang w:val="en-US" w:eastAsia="zh-CN"/>
              </w:rPr>
              <w:t>3级，次要建筑物级别为4级。大坝设计洪水标准为</w:t>
            </w:r>
            <w:r>
              <w:rPr>
                <w:rFonts w:hint="eastAsia" w:ascii="宋体" w:hAnsi="宋体" w:eastAsia="宋体" w:cs="宋体"/>
                <w:bCs/>
                <w:color w:val="auto"/>
                <w:sz w:val="21"/>
                <w:szCs w:val="21"/>
                <w:highlight w:val="none"/>
                <w:u w:val="none"/>
                <w:lang w:eastAsia="zh-CN"/>
              </w:rPr>
              <w:t>100年一遇，按1000年一遇洪水校</w:t>
            </w:r>
            <w:r>
              <w:rPr>
                <w:rFonts w:hint="eastAsia" w:ascii="宋体" w:hAnsi="宋体" w:eastAsia="宋体" w:cs="宋体"/>
                <w:bCs/>
                <w:color w:val="auto"/>
                <w:sz w:val="21"/>
                <w:szCs w:val="21"/>
                <w:highlight w:val="none"/>
                <w:u w:val="none"/>
                <w:lang w:val="en-US" w:eastAsia="zh-CN"/>
              </w:rPr>
              <w:t>核。</w:t>
            </w:r>
          </w:p>
        </w:tc>
      </w:tr>
      <w:tr w14:paraId="5A20E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48E7C585">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w:t>
            </w:r>
          </w:p>
        </w:tc>
        <w:tc>
          <w:tcPr>
            <w:tcW w:w="1857" w:type="dxa"/>
            <w:vAlign w:val="center"/>
          </w:tcPr>
          <w:p w14:paraId="613B3279">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项目投资估算</w:t>
            </w:r>
          </w:p>
        </w:tc>
        <w:tc>
          <w:tcPr>
            <w:tcW w:w="6498" w:type="dxa"/>
            <w:vAlign w:val="center"/>
          </w:tcPr>
          <w:p w14:paraId="4F215A01">
            <w:pPr>
              <w:keepNext w:val="0"/>
              <w:keepLines w:val="0"/>
              <w:pageBreakBefore w:val="0"/>
              <w:widowControl/>
              <w:kinsoku w:val="0"/>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bCs/>
                <w:color w:val="auto"/>
                <w:sz w:val="21"/>
                <w:szCs w:val="21"/>
                <w:highlight w:val="none"/>
                <w:u w:val="none"/>
                <w:lang w:val="en-US" w:eastAsia="zh-CN"/>
              </w:rPr>
              <w:t>本工程概算总投资为161744.04万元。</w:t>
            </w:r>
          </w:p>
        </w:tc>
      </w:tr>
      <w:tr w14:paraId="7F884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3701AFCA">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1857" w:type="dxa"/>
            <w:vAlign w:val="center"/>
          </w:tcPr>
          <w:p w14:paraId="08802E02">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资金来源及比例</w:t>
            </w:r>
          </w:p>
        </w:tc>
        <w:tc>
          <w:tcPr>
            <w:tcW w:w="6498" w:type="dxa"/>
            <w:vAlign w:val="center"/>
          </w:tcPr>
          <w:p w14:paraId="5F1D5BD0">
            <w:pPr>
              <w:keepNext w:val="0"/>
              <w:keepLines w:val="0"/>
              <w:pageBreakBefore w:val="0"/>
              <w:widowControl/>
              <w:kinsoku w:val="0"/>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财政资金，</w:t>
            </w:r>
            <w:r>
              <w:rPr>
                <w:rFonts w:hint="eastAsia" w:ascii="宋体" w:hAnsi="宋体" w:eastAsia="宋体" w:cs="宋体"/>
                <w:color w:val="auto"/>
                <w:sz w:val="21"/>
                <w:szCs w:val="21"/>
                <w:highlight w:val="none"/>
                <w:lang w:val="en-US" w:eastAsia="zh-CN"/>
              </w:rPr>
              <w:t>100%</w:t>
            </w:r>
          </w:p>
        </w:tc>
      </w:tr>
      <w:tr w14:paraId="4C333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07AEA95C">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1857" w:type="dxa"/>
            <w:vAlign w:val="center"/>
          </w:tcPr>
          <w:p w14:paraId="7C17FBD2">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6498" w:type="dxa"/>
            <w:vAlign w:val="center"/>
          </w:tcPr>
          <w:p w14:paraId="718C8476">
            <w:pPr>
              <w:keepNext w:val="0"/>
              <w:keepLines w:val="0"/>
              <w:pageBreakBefore w:val="0"/>
              <w:widowControl/>
              <w:kinsoku w:val="0"/>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w:t>
            </w:r>
            <w:r>
              <w:rPr>
                <w:rFonts w:hint="eastAsia" w:ascii="宋体" w:hAnsi="宋体" w:eastAsia="宋体" w:cs="宋体"/>
                <w:color w:val="auto"/>
                <w:sz w:val="21"/>
                <w:szCs w:val="21"/>
                <w:highlight w:val="none"/>
                <w:lang w:eastAsia="zh-CN"/>
              </w:rPr>
              <w:t>落实</w:t>
            </w:r>
          </w:p>
        </w:tc>
      </w:tr>
      <w:tr w14:paraId="5F1B4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2F39BDDF">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857" w:type="dxa"/>
            <w:vAlign w:val="center"/>
          </w:tcPr>
          <w:p w14:paraId="56D86160">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w:t>
            </w:r>
          </w:p>
        </w:tc>
        <w:tc>
          <w:tcPr>
            <w:tcW w:w="6498" w:type="dxa"/>
            <w:vAlign w:val="center"/>
          </w:tcPr>
          <w:p w14:paraId="0952BF64">
            <w:pPr>
              <w:keepNext w:val="0"/>
              <w:keepLines w:val="0"/>
              <w:pageBreakBefore w:val="0"/>
              <w:widowControl/>
              <w:kinsoku w:val="0"/>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63B15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6ECEF905">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1857" w:type="dxa"/>
            <w:vAlign w:val="center"/>
          </w:tcPr>
          <w:p w14:paraId="014CDCCF">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服务期限</w:t>
            </w:r>
          </w:p>
        </w:tc>
        <w:tc>
          <w:tcPr>
            <w:tcW w:w="6498" w:type="dxa"/>
            <w:vAlign w:val="center"/>
          </w:tcPr>
          <w:p w14:paraId="66A1AE09">
            <w:pPr>
              <w:keepNext w:val="0"/>
              <w:keepLines w:val="0"/>
              <w:pageBreakBefore w:val="0"/>
              <w:widowControl/>
              <w:kinsoku w:val="0"/>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6BB1D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60A962A1">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1857" w:type="dxa"/>
            <w:vAlign w:val="center"/>
          </w:tcPr>
          <w:p w14:paraId="4FBE4BF6">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6498" w:type="dxa"/>
            <w:vAlign w:val="center"/>
          </w:tcPr>
          <w:p w14:paraId="72E21E71">
            <w:pPr>
              <w:keepNext w:val="0"/>
              <w:keepLines w:val="0"/>
              <w:pageBreakBefore w:val="0"/>
              <w:widowControl/>
              <w:kinsoku w:val="0"/>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snapToGrid w:val="0"/>
                <w:color w:val="auto"/>
                <w:sz w:val="21"/>
                <w:szCs w:val="21"/>
                <w:highlight w:val="none"/>
              </w:rPr>
              <w:t>须满足国家相关规范及合同要求。</w:t>
            </w:r>
          </w:p>
        </w:tc>
      </w:tr>
      <w:tr w14:paraId="48344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1097F8F4">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1857" w:type="dxa"/>
            <w:vAlign w:val="center"/>
          </w:tcPr>
          <w:p w14:paraId="57971706">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投标人资质条件、能力、信誉</w:t>
            </w:r>
          </w:p>
        </w:tc>
        <w:tc>
          <w:tcPr>
            <w:tcW w:w="6498" w:type="dxa"/>
            <w:vAlign w:val="center"/>
          </w:tcPr>
          <w:p w14:paraId="02B757BD">
            <w:pPr>
              <w:keepNext w:val="0"/>
              <w:keepLines w:val="0"/>
              <w:pageBreakBefore w:val="0"/>
              <w:widowControl/>
              <w:kinsoku w:val="0"/>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w:t>
            </w:r>
            <w:bookmarkStart w:id="91" w:name="_Toc221950015"/>
            <w:r>
              <w:rPr>
                <w:rFonts w:hint="eastAsia" w:ascii="宋体" w:hAnsi="宋体" w:eastAsia="宋体" w:cs="宋体"/>
                <w:color w:val="auto"/>
                <w:sz w:val="21"/>
                <w:szCs w:val="21"/>
                <w:highlight w:val="none"/>
              </w:rPr>
              <w:t>见本项目招</w:t>
            </w:r>
            <w:bookmarkEnd w:id="91"/>
            <w:r>
              <w:rPr>
                <w:rFonts w:hint="eastAsia" w:ascii="宋体" w:hAnsi="宋体" w:eastAsia="宋体" w:cs="宋体"/>
                <w:color w:val="auto"/>
                <w:sz w:val="21"/>
                <w:szCs w:val="21"/>
                <w:highlight w:val="none"/>
              </w:rPr>
              <w:t>标公告</w:t>
            </w:r>
          </w:p>
        </w:tc>
      </w:tr>
      <w:tr w14:paraId="27740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495ACEE6">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p>
          <w:p w14:paraId="18C8B552">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857" w:type="dxa"/>
            <w:vAlign w:val="center"/>
          </w:tcPr>
          <w:p w14:paraId="141431A1">
            <w:pPr>
              <w:pStyle w:val="68"/>
              <w:keepNext w:val="0"/>
              <w:keepLines w:val="0"/>
              <w:pageBreakBefore w:val="0"/>
              <w:widowControl/>
              <w:kinsoku w:val="0"/>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6498" w:type="dxa"/>
            <w:vAlign w:val="center"/>
          </w:tcPr>
          <w:p w14:paraId="69973AA5">
            <w:pPr>
              <w:keepNext w:val="0"/>
              <w:keepLines w:val="0"/>
              <w:pageBreakBefore w:val="0"/>
              <w:widowControl/>
              <w:kinsoku w:val="0"/>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不接受</w:t>
            </w:r>
          </w:p>
          <w:p w14:paraId="7C70C31A">
            <w:pPr>
              <w:keepNext w:val="0"/>
              <w:keepLines w:val="0"/>
              <w:pageBreakBefore w:val="0"/>
              <w:widowControl/>
              <w:kinsoku w:val="0"/>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接受，应满足下列</w:t>
            </w:r>
            <w:r>
              <w:rPr>
                <w:rFonts w:hint="eastAsia" w:ascii="宋体" w:hAnsi="宋体" w:eastAsia="宋体" w:cs="宋体"/>
                <w:color w:val="auto"/>
                <w:sz w:val="21"/>
                <w:szCs w:val="21"/>
                <w:highlight w:val="none"/>
                <w:lang w:eastAsia="zh-CN"/>
              </w:rPr>
              <w:t>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  </w:t>
            </w:r>
          </w:p>
        </w:tc>
      </w:tr>
      <w:tr w14:paraId="307FB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66993684">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w:t>
            </w:r>
          </w:p>
        </w:tc>
        <w:tc>
          <w:tcPr>
            <w:tcW w:w="1857" w:type="dxa"/>
            <w:vAlign w:val="center"/>
          </w:tcPr>
          <w:p w14:paraId="78008223">
            <w:pPr>
              <w:pStyle w:val="68"/>
              <w:keepNext w:val="0"/>
              <w:keepLines w:val="0"/>
              <w:pageBreakBefore w:val="0"/>
              <w:widowControl/>
              <w:kinsoku w:val="0"/>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投标人不得存在的其他情形</w:t>
            </w:r>
          </w:p>
        </w:tc>
        <w:tc>
          <w:tcPr>
            <w:tcW w:w="6498" w:type="dxa"/>
            <w:vAlign w:val="center"/>
          </w:tcPr>
          <w:p w14:paraId="6B2A8CE3">
            <w:pPr>
              <w:keepNext w:val="0"/>
              <w:keepLines w:val="0"/>
              <w:pageBreakBefore w:val="0"/>
              <w:widowControl/>
              <w:kinsoku w:val="0"/>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791B3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45C6F725">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1857" w:type="dxa"/>
            <w:vAlign w:val="center"/>
          </w:tcPr>
          <w:p w14:paraId="3350B65A">
            <w:pPr>
              <w:pStyle w:val="68"/>
              <w:keepNext w:val="0"/>
              <w:keepLines w:val="0"/>
              <w:pageBreakBefore w:val="0"/>
              <w:widowControl/>
              <w:kinsoku w:val="0"/>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498" w:type="dxa"/>
            <w:vAlign w:val="center"/>
          </w:tcPr>
          <w:p w14:paraId="0DD09C29">
            <w:pPr>
              <w:keepNext w:val="0"/>
              <w:keepLines w:val="0"/>
              <w:pageBreakBefore w:val="0"/>
              <w:widowControl/>
              <w:kinsoku w:val="0"/>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招标人不集中组织，由投标人自行踏勘；</w:t>
            </w:r>
          </w:p>
          <w:p w14:paraId="7AF65D4F">
            <w:pPr>
              <w:keepNext w:val="0"/>
              <w:keepLines w:val="0"/>
              <w:pageBreakBefore w:val="0"/>
              <w:widowControl/>
              <w:kinsoku w:val="0"/>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bookmarkStart w:id="92" w:name="_Toc221950042"/>
            <w:r>
              <w:rPr>
                <w:rFonts w:hint="eastAsia" w:ascii="宋体" w:hAnsi="宋体" w:eastAsia="宋体" w:cs="宋体"/>
                <w:color w:val="auto"/>
                <w:sz w:val="21"/>
                <w:szCs w:val="21"/>
                <w:highlight w:val="none"/>
              </w:rPr>
              <w:t>：自/年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月/日起具备现场踏勘条</w:t>
            </w:r>
            <w:bookmarkEnd w:id="92"/>
            <w:r>
              <w:rPr>
                <w:rFonts w:hint="eastAsia" w:ascii="宋体" w:hAnsi="宋体" w:eastAsia="宋体" w:cs="宋体"/>
                <w:color w:val="auto"/>
                <w:sz w:val="21"/>
                <w:szCs w:val="21"/>
                <w:highlight w:val="none"/>
              </w:rPr>
              <w:t>件；</w:t>
            </w:r>
          </w:p>
          <w:p w14:paraId="61053F24">
            <w:pPr>
              <w:keepNext w:val="0"/>
              <w:keepLines w:val="0"/>
              <w:pageBreakBefore w:val="0"/>
              <w:widowControl/>
              <w:kinsoku w:val="0"/>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现场详细地</w:t>
            </w:r>
            <w:bookmarkStart w:id="93" w:name="_Toc221950044"/>
            <w:r>
              <w:rPr>
                <w:rFonts w:hint="eastAsia" w:ascii="宋体" w:hAnsi="宋体" w:eastAsia="宋体" w:cs="宋体"/>
                <w:color w:val="auto"/>
                <w:sz w:val="21"/>
                <w:szCs w:val="21"/>
                <w:highlight w:val="none"/>
              </w:rPr>
              <w:t>点：</w:t>
            </w:r>
            <w:r>
              <w:rPr>
                <w:rFonts w:hint="eastAsia" w:ascii="宋体" w:hAnsi="宋体" w:eastAsia="宋体" w:cs="宋体"/>
                <w:color w:val="auto"/>
                <w:sz w:val="21"/>
                <w:szCs w:val="21"/>
                <w:highlight w:val="none"/>
                <w:u w:val="single"/>
              </w:rPr>
              <w:t xml:space="preserve"> </w:t>
            </w:r>
            <w:bookmarkEnd w:id="93"/>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w:t>
            </w:r>
          </w:p>
        </w:tc>
      </w:tr>
      <w:tr w14:paraId="7FA97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406E90C8">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1857" w:type="dxa"/>
            <w:vAlign w:val="center"/>
          </w:tcPr>
          <w:p w14:paraId="57360F8F">
            <w:pPr>
              <w:pStyle w:val="68"/>
              <w:keepNext w:val="0"/>
              <w:keepLines w:val="0"/>
              <w:pageBreakBefore w:val="0"/>
              <w:widowControl/>
              <w:kinsoku w:val="0"/>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6498" w:type="dxa"/>
            <w:vAlign w:val="center"/>
          </w:tcPr>
          <w:p w14:paraId="24E3D9F9">
            <w:pPr>
              <w:keepNext w:val="0"/>
              <w:keepLines w:val="0"/>
              <w:pageBreakBefore w:val="0"/>
              <w:widowControl/>
              <w:kinsoku w:val="0"/>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p w14:paraId="2589ECF6">
            <w:pPr>
              <w:keepNext w:val="0"/>
              <w:keepLines w:val="0"/>
              <w:pageBreakBefore w:val="0"/>
              <w:widowControl/>
              <w:kinsoku w:val="0"/>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召开，召开时间：</w:t>
            </w:r>
          </w:p>
          <w:p w14:paraId="3E497EE2">
            <w:pPr>
              <w:keepNext w:val="0"/>
              <w:keepLines w:val="0"/>
              <w:pageBreakBefore w:val="0"/>
              <w:widowControl/>
              <w:kinsoku w:val="0"/>
              <w:wordWrap/>
              <w:overflowPunct/>
              <w:topLinePunct w:val="0"/>
              <w:autoSpaceDE w:val="0"/>
              <w:autoSpaceDN w:val="0"/>
              <w:bidi w:val="0"/>
              <w:adjustRightInd/>
              <w:snapToGrid w:val="0"/>
              <w:spacing w:line="360" w:lineRule="exact"/>
              <w:ind w:left="105" w:leftChars="50" w:right="105" w:rightChars="50" w:firstLine="840" w:firstLineChars="4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召开地点：</w:t>
            </w:r>
          </w:p>
        </w:tc>
      </w:tr>
      <w:tr w14:paraId="7E313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Merge w:val="restart"/>
            <w:vAlign w:val="center"/>
          </w:tcPr>
          <w:p w14:paraId="457A78C2">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1.10.2</w:t>
            </w:r>
          </w:p>
        </w:tc>
        <w:tc>
          <w:tcPr>
            <w:tcW w:w="1857" w:type="dxa"/>
            <w:vMerge w:val="restart"/>
            <w:vAlign w:val="center"/>
          </w:tcPr>
          <w:p w14:paraId="52392D7E">
            <w:pPr>
              <w:pStyle w:val="68"/>
              <w:keepNext w:val="0"/>
              <w:keepLines w:val="0"/>
              <w:pageBreakBefore w:val="0"/>
              <w:widowControl/>
              <w:kinsoku w:val="0"/>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投标人在投标预备会前提出问题</w:t>
            </w:r>
          </w:p>
        </w:tc>
        <w:tc>
          <w:tcPr>
            <w:tcW w:w="6498" w:type="dxa"/>
            <w:vAlign w:val="center"/>
          </w:tcPr>
          <w:p w14:paraId="0A8425F8">
            <w:pPr>
              <w:keepNext w:val="0"/>
              <w:keepLines w:val="0"/>
              <w:pageBreakBefore w:val="0"/>
              <w:widowControl/>
              <w:kinsoku w:val="0"/>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 /</w:t>
            </w:r>
          </w:p>
        </w:tc>
      </w:tr>
      <w:tr w14:paraId="79C03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Merge w:val="continue"/>
            <w:vAlign w:val="center"/>
          </w:tcPr>
          <w:p w14:paraId="138218D0">
            <w:pPr>
              <w:keepNext w:val="0"/>
              <w:keepLines w:val="0"/>
              <w:pageBreakBefore w:val="0"/>
              <w:wordWrap/>
              <w:topLinePunct w:val="0"/>
              <w:bidi w:val="0"/>
              <w:adjustRightInd/>
              <w:spacing w:line="360" w:lineRule="exact"/>
              <w:ind w:left="343" w:right="105" w:rightChars="50"/>
              <w:jc w:val="center"/>
              <w:textAlignment w:val="auto"/>
              <w:rPr>
                <w:rFonts w:hint="eastAsia" w:ascii="宋体" w:hAnsi="宋体" w:eastAsia="宋体" w:cs="宋体"/>
                <w:color w:val="auto"/>
                <w:spacing w:val="-5"/>
                <w:sz w:val="21"/>
                <w:szCs w:val="21"/>
                <w:highlight w:val="none"/>
              </w:rPr>
            </w:pPr>
          </w:p>
        </w:tc>
        <w:tc>
          <w:tcPr>
            <w:tcW w:w="1857" w:type="dxa"/>
            <w:vMerge w:val="continue"/>
            <w:vAlign w:val="center"/>
          </w:tcPr>
          <w:p w14:paraId="7A5CD0A5">
            <w:pPr>
              <w:keepNext w:val="0"/>
              <w:keepLines w:val="0"/>
              <w:pageBreakBefore w:val="0"/>
              <w:wordWrap/>
              <w:topLinePunct w:val="0"/>
              <w:bidi w:val="0"/>
              <w:adjustRightInd/>
              <w:spacing w:line="360" w:lineRule="exact"/>
              <w:ind w:left="1433" w:right="105" w:rightChars="50"/>
              <w:jc w:val="center"/>
              <w:textAlignment w:val="auto"/>
              <w:rPr>
                <w:rFonts w:hint="eastAsia" w:ascii="宋体" w:hAnsi="宋体" w:eastAsia="宋体" w:cs="宋体"/>
                <w:color w:val="auto"/>
                <w:spacing w:val="-2"/>
                <w:sz w:val="21"/>
                <w:szCs w:val="21"/>
                <w:highlight w:val="none"/>
              </w:rPr>
            </w:pPr>
          </w:p>
        </w:tc>
        <w:tc>
          <w:tcPr>
            <w:tcW w:w="6498" w:type="dxa"/>
            <w:vAlign w:val="center"/>
          </w:tcPr>
          <w:p w14:paraId="3C8A4916">
            <w:pPr>
              <w:keepNext w:val="0"/>
              <w:keepLines w:val="0"/>
              <w:pageBreakBefore w:val="0"/>
              <w:widowControl/>
              <w:kinsoku w:val="0"/>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 /</w:t>
            </w:r>
          </w:p>
        </w:tc>
      </w:tr>
      <w:tr w14:paraId="3E4AC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7D01F2B5">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1.10.3</w:t>
            </w:r>
          </w:p>
        </w:tc>
        <w:tc>
          <w:tcPr>
            <w:tcW w:w="1857" w:type="dxa"/>
            <w:vAlign w:val="center"/>
          </w:tcPr>
          <w:p w14:paraId="640556D1">
            <w:pPr>
              <w:pStyle w:val="68"/>
              <w:keepNext w:val="0"/>
              <w:keepLines w:val="0"/>
              <w:pageBreakBefore w:val="0"/>
              <w:widowControl/>
              <w:kinsoku w:val="0"/>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招标文件澄清发出的形式</w:t>
            </w:r>
          </w:p>
        </w:tc>
        <w:tc>
          <w:tcPr>
            <w:tcW w:w="6498" w:type="dxa"/>
            <w:vAlign w:val="center"/>
          </w:tcPr>
          <w:p w14:paraId="06E41FDB">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招标人应在投标截止时间15日前解答和澄清投标人对招标文件提出的疑问，形成答疑纪要（或招标文件澄清文件），并在</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网站</w:t>
            </w:r>
            <w:r>
              <w:rPr>
                <w:rFonts w:hint="eastAsia" w:ascii="宋体" w:hAnsi="宋体" w:eastAsia="宋体" w:cs="宋体"/>
                <w:color w:val="auto"/>
                <w:sz w:val="21"/>
                <w:szCs w:val="21"/>
                <w:highlight w:val="none"/>
                <w:u w:val="single"/>
                <w:lang w:eastAsia="zh-CN"/>
              </w:rPr>
              <w:t>通过项目疑专区网上公开发布，相关信息与文件同步推送至广东省招标投标监管网站</w:t>
            </w:r>
            <w:r>
              <w:rPr>
                <w:rFonts w:hint="eastAsia" w:ascii="宋体" w:hAnsi="宋体" w:eastAsia="宋体" w:cs="宋体"/>
                <w:color w:val="auto"/>
                <w:sz w:val="21"/>
                <w:szCs w:val="21"/>
                <w:highlight w:val="none"/>
                <w:u w:val="single"/>
              </w:rPr>
              <w:t>。</w:t>
            </w:r>
          </w:p>
        </w:tc>
      </w:tr>
      <w:tr w14:paraId="60770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5BDEE600">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w:t>
            </w:r>
          </w:p>
        </w:tc>
        <w:tc>
          <w:tcPr>
            <w:tcW w:w="1857" w:type="dxa"/>
            <w:vAlign w:val="center"/>
          </w:tcPr>
          <w:p w14:paraId="51E11BAE">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6498" w:type="dxa"/>
            <w:vAlign w:val="center"/>
          </w:tcPr>
          <w:p w14:paraId="05151F20">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sym w:font="Wingdings 2" w:char="F052"/>
            </w:r>
            <w:r>
              <w:rPr>
                <w:rFonts w:hint="eastAsia" w:ascii="宋体" w:hAnsi="宋体" w:eastAsia="宋体" w:cs="宋体"/>
                <w:color w:val="auto"/>
                <w:spacing w:val="-3"/>
                <w:sz w:val="21"/>
                <w:szCs w:val="21"/>
                <w:highlight w:val="none"/>
              </w:rPr>
              <w:t>不允许</w:t>
            </w:r>
          </w:p>
          <w:p w14:paraId="42615798">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6"/>
                <w:sz w:val="21"/>
                <w:szCs w:val="21"/>
                <w:highlight w:val="none"/>
              </w:rPr>
              <w:t>允许，分包内容要求：</w:t>
            </w:r>
            <w:r>
              <w:rPr>
                <w:rFonts w:hint="eastAsia" w:ascii="宋体" w:hAnsi="宋体" w:eastAsia="宋体" w:cs="宋体"/>
                <w:color w:val="auto"/>
                <w:sz w:val="21"/>
                <w:szCs w:val="21"/>
                <w:highlight w:val="none"/>
              </w:rPr>
              <w:t xml:space="preserve"> </w:t>
            </w:r>
          </w:p>
          <w:p w14:paraId="3DB10799">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分</w:t>
            </w:r>
            <w:r>
              <w:rPr>
                <w:rFonts w:hint="eastAsia" w:ascii="宋体" w:hAnsi="宋体" w:eastAsia="宋体" w:cs="宋体"/>
                <w:color w:val="auto"/>
                <w:spacing w:val="-8"/>
                <w:sz w:val="21"/>
                <w:szCs w:val="21"/>
                <w:highlight w:val="none"/>
              </w:rPr>
              <w:t>包金额要求：</w:t>
            </w:r>
          </w:p>
          <w:p w14:paraId="63298746">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对</w:t>
            </w:r>
            <w:r>
              <w:rPr>
                <w:rFonts w:hint="eastAsia" w:ascii="宋体" w:hAnsi="宋体" w:eastAsia="宋体" w:cs="宋体"/>
                <w:color w:val="auto"/>
                <w:spacing w:val="-5"/>
                <w:sz w:val="21"/>
                <w:szCs w:val="21"/>
                <w:highlight w:val="none"/>
              </w:rPr>
              <w:t>分包人的资质要求：</w:t>
            </w:r>
          </w:p>
        </w:tc>
      </w:tr>
      <w:tr w14:paraId="04117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11586CD6">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1.12.1</w:t>
            </w:r>
          </w:p>
        </w:tc>
        <w:tc>
          <w:tcPr>
            <w:tcW w:w="1857" w:type="dxa"/>
            <w:vAlign w:val="center"/>
          </w:tcPr>
          <w:p w14:paraId="7380C3C0">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实质性要求和条件</w:t>
            </w:r>
          </w:p>
        </w:tc>
        <w:tc>
          <w:tcPr>
            <w:tcW w:w="6498" w:type="dxa"/>
            <w:vAlign w:val="center"/>
          </w:tcPr>
          <w:p w14:paraId="7921E0AD">
            <w:pPr>
              <w:keepNext w:val="0"/>
              <w:keepLines w:val="0"/>
              <w:pageBreakBefore w:val="0"/>
              <w:wordWrap/>
              <w:topLinePunct w:val="0"/>
              <w:bidi w:val="0"/>
              <w:adjustRightInd/>
              <w:spacing w:line="360" w:lineRule="exact"/>
              <w:ind w:left="105" w:leftChars="50" w:right="105" w:rightChars="50" w:firstLine="14" w:firstLineChars="7"/>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45B73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79B583A7">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1.12.3</w:t>
            </w:r>
          </w:p>
        </w:tc>
        <w:tc>
          <w:tcPr>
            <w:tcW w:w="1857" w:type="dxa"/>
            <w:vAlign w:val="center"/>
          </w:tcPr>
          <w:p w14:paraId="7D894436">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w:t>
            </w:r>
          </w:p>
        </w:tc>
        <w:tc>
          <w:tcPr>
            <w:tcW w:w="6498" w:type="dxa"/>
            <w:vAlign w:val="center"/>
          </w:tcPr>
          <w:p w14:paraId="611FA3EB">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sym w:font="Wingdings 2" w:char="F052"/>
            </w:r>
            <w:r>
              <w:rPr>
                <w:rFonts w:hint="eastAsia" w:ascii="宋体" w:hAnsi="宋体" w:eastAsia="宋体" w:cs="宋体"/>
                <w:color w:val="auto"/>
                <w:spacing w:val="-3"/>
                <w:sz w:val="21"/>
                <w:szCs w:val="21"/>
                <w:highlight w:val="none"/>
              </w:rPr>
              <w:t>不允许</w:t>
            </w:r>
          </w:p>
          <w:p w14:paraId="05BE2D89">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pacing w:val="-24"/>
                <w:sz w:val="21"/>
                <w:szCs w:val="21"/>
                <w:highlight w:val="none"/>
                <w:lang w:eastAsia="zh-CN"/>
              </w:rPr>
            </w:pPr>
            <w:r>
              <w:rPr>
                <w:rFonts w:hint="eastAsia" w:ascii="宋体" w:hAnsi="宋体" w:eastAsia="宋体" w:cs="宋体"/>
                <w:color w:val="auto"/>
                <w:spacing w:val="-24"/>
                <w:sz w:val="21"/>
                <w:szCs w:val="21"/>
                <w:highlight w:val="none"/>
              </w:rPr>
              <w:t>□ 允许，偏差范围</w:t>
            </w:r>
            <w:r>
              <w:rPr>
                <w:rFonts w:hint="eastAsia" w:ascii="宋体" w:hAnsi="宋体" w:eastAsia="宋体" w:cs="宋体"/>
                <w:color w:val="auto"/>
                <w:spacing w:val="-11"/>
                <w:sz w:val="21"/>
                <w:szCs w:val="21"/>
                <w:highlight w:val="none"/>
                <w:lang w:eastAsia="zh-CN"/>
              </w:rPr>
              <w:t>：</w:t>
            </w:r>
          </w:p>
          <w:p w14:paraId="2786532E">
            <w:pPr>
              <w:keepNext w:val="0"/>
              <w:keepLines w:val="0"/>
              <w:pageBreakBefore w:val="0"/>
              <w:widowControl/>
              <w:kinsoku/>
              <w:wordWrap/>
              <w:overflowPunct/>
              <w:topLinePunct w:val="0"/>
              <w:autoSpaceDE w:val="0"/>
              <w:autoSpaceDN w:val="0"/>
              <w:bidi w:val="0"/>
              <w:adjustRightInd/>
              <w:snapToGrid w:val="0"/>
              <w:spacing w:line="360" w:lineRule="exact"/>
              <w:ind w:right="105" w:rightChars="50" w:firstLine="920" w:firstLineChars="500"/>
              <w:jc w:val="both"/>
              <w:textAlignment w:val="auto"/>
              <w:rPr>
                <w:rFonts w:hint="eastAsia" w:ascii="宋体" w:hAnsi="宋体" w:eastAsia="宋体" w:cs="宋体"/>
                <w:color w:val="auto"/>
                <w:spacing w:val="-13"/>
                <w:sz w:val="21"/>
                <w:szCs w:val="21"/>
                <w:highlight w:val="none"/>
                <w:lang w:eastAsia="zh-CN"/>
              </w:rPr>
            </w:pPr>
            <w:r>
              <w:rPr>
                <w:rFonts w:hint="eastAsia" w:ascii="宋体" w:hAnsi="宋体" w:eastAsia="宋体" w:cs="宋体"/>
                <w:color w:val="auto"/>
                <w:spacing w:val="-13"/>
                <w:sz w:val="21"/>
                <w:szCs w:val="21"/>
                <w:highlight w:val="none"/>
              </w:rPr>
              <w:t>偏</w:t>
            </w:r>
            <w:r>
              <w:rPr>
                <w:rFonts w:hint="eastAsia" w:ascii="宋体" w:hAnsi="宋体" w:eastAsia="宋体" w:cs="宋体"/>
                <w:color w:val="auto"/>
                <w:spacing w:val="-11"/>
                <w:sz w:val="21"/>
                <w:szCs w:val="21"/>
                <w:highlight w:val="none"/>
              </w:rPr>
              <w:t>差幅度</w:t>
            </w:r>
            <w:r>
              <w:rPr>
                <w:rFonts w:hint="eastAsia" w:ascii="宋体" w:hAnsi="宋体" w:eastAsia="宋体" w:cs="宋体"/>
                <w:color w:val="auto"/>
                <w:spacing w:val="-11"/>
                <w:sz w:val="21"/>
                <w:szCs w:val="21"/>
                <w:highlight w:val="none"/>
                <w:lang w:eastAsia="zh-CN"/>
              </w:rPr>
              <w:t>：</w:t>
            </w:r>
          </w:p>
        </w:tc>
      </w:tr>
      <w:tr w14:paraId="29DCC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46E74E0D">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857" w:type="dxa"/>
            <w:vAlign w:val="center"/>
          </w:tcPr>
          <w:p w14:paraId="206AF916">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构成招标文件的其他资料</w:t>
            </w:r>
          </w:p>
        </w:tc>
        <w:tc>
          <w:tcPr>
            <w:tcW w:w="6498" w:type="dxa"/>
            <w:vAlign w:val="center"/>
          </w:tcPr>
          <w:p w14:paraId="27621DD3">
            <w:pPr>
              <w:keepNext w:val="0"/>
              <w:keepLines w:val="0"/>
              <w:pageBreakBefore w:val="0"/>
              <w:wordWrap/>
              <w:topLinePunct w:val="0"/>
              <w:bidi w:val="0"/>
              <w:adjustRightInd/>
              <w:spacing w:line="360" w:lineRule="exact"/>
              <w:ind w:left="105" w:leftChars="50" w:right="105" w:rightChars="50" w:firstLine="920" w:firstLineChars="500"/>
              <w:jc w:val="both"/>
              <w:textAlignment w:val="auto"/>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w:t>
            </w:r>
          </w:p>
        </w:tc>
      </w:tr>
      <w:tr w14:paraId="2A5C6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4ED3877E">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857" w:type="dxa"/>
            <w:vAlign w:val="center"/>
          </w:tcPr>
          <w:p w14:paraId="210EFEF7">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招标答疑</w:t>
            </w:r>
          </w:p>
        </w:tc>
        <w:tc>
          <w:tcPr>
            <w:tcW w:w="6498" w:type="dxa"/>
            <w:vAlign w:val="center"/>
          </w:tcPr>
          <w:p w14:paraId="70CA5F29">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疑问提交时间：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时前；</w:t>
            </w:r>
          </w:p>
          <w:p w14:paraId="5ACD6FF0">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形式：投标人的疑问通过广州交易集团</w:t>
            </w:r>
            <w:r>
              <w:rPr>
                <w:rFonts w:hint="eastAsia" w:ascii="宋体" w:hAnsi="宋体" w:eastAsia="宋体" w:cs="宋体"/>
                <w:color w:val="auto"/>
                <w:spacing w:val="-24"/>
                <w:sz w:val="21"/>
                <w:szCs w:val="21"/>
                <w:highlight w:val="none"/>
              </w:rPr>
              <w:t>有限公司</w:t>
            </w:r>
            <w:r>
              <w:rPr>
                <w:rFonts w:hint="eastAsia" w:ascii="宋体" w:hAnsi="宋体" w:eastAsia="宋体" w:cs="宋体"/>
                <w:color w:val="auto"/>
                <w:sz w:val="21"/>
                <w:szCs w:val="21"/>
                <w:highlight w:val="none"/>
              </w:rPr>
              <w:t>（广州公共资源交易中心）网站提交。</w:t>
            </w:r>
          </w:p>
          <w:p w14:paraId="4D82445C">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具体要求：按照广州交易集团</w:t>
            </w:r>
            <w:r>
              <w:rPr>
                <w:rFonts w:hint="eastAsia" w:ascii="宋体" w:hAnsi="宋体" w:eastAsia="宋体" w:cs="宋体"/>
                <w:color w:val="auto"/>
                <w:spacing w:val="-24"/>
                <w:sz w:val="21"/>
                <w:szCs w:val="21"/>
                <w:highlight w:val="none"/>
              </w:rPr>
              <w:t>有限公司</w:t>
            </w:r>
            <w:r>
              <w:rPr>
                <w:rFonts w:hint="eastAsia" w:ascii="宋体" w:hAnsi="宋体" w:eastAsia="宋体" w:cs="宋体"/>
                <w:color w:val="auto"/>
                <w:sz w:val="21"/>
                <w:szCs w:val="21"/>
                <w:highlight w:val="none"/>
              </w:rPr>
              <w:t>（广州公共资源交易中心）网站关于全流程电子化项目的相关指南进行操作，提问一律不得署名。</w:t>
            </w:r>
          </w:p>
        </w:tc>
      </w:tr>
      <w:tr w14:paraId="38821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12571E46">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857" w:type="dxa"/>
            <w:vAlign w:val="center"/>
          </w:tcPr>
          <w:p w14:paraId="54FD4F7B">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招标文件的澄清和修改</w:t>
            </w:r>
          </w:p>
        </w:tc>
        <w:tc>
          <w:tcPr>
            <w:tcW w:w="6498" w:type="dxa"/>
            <w:vAlign w:val="center"/>
          </w:tcPr>
          <w:p w14:paraId="1C22A3EA">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招标文件的修改期限：在投标截止时间</w:t>
            </w:r>
            <w:r>
              <w:rPr>
                <w:rFonts w:hint="eastAsia" w:ascii="宋体" w:hAnsi="宋体" w:eastAsia="宋体" w:cs="宋体"/>
                <w:color w:val="auto"/>
                <w:sz w:val="21"/>
                <w:szCs w:val="21"/>
                <w:highlight w:val="none"/>
                <w:u w:val="single"/>
              </w:rPr>
              <w:t xml:space="preserve"> 15 </w:t>
            </w:r>
            <w:r>
              <w:rPr>
                <w:rFonts w:hint="eastAsia" w:ascii="宋体" w:hAnsi="宋体" w:eastAsia="宋体" w:cs="宋体"/>
                <w:color w:val="auto"/>
                <w:sz w:val="21"/>
                <w:szCs w:val="21"/>
                <w:highlight w:val="none"/>
              </w:rPr>
              <w:t>天前</w:t>
            </w:r>
          </w:p>
        </w:tc>
      </w:tr>
      <w:tr w14:paraId="7A86F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09C67F9F">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tc>
        <w:tc>
          <w:tcPr>
            <w:tcW w:w="1857" w:type="dxa"/>
            <w:vAlign w:val="center"/>
          </w:tcPr>
          <w:p w14:paraId="343A7238">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构成投标文件的其他资料</w:t>
            </w:r>
          </w:p>
        </w:tc>
        <w:tc>
          <w:tcPr>
            <w:tcW w:w="6498" w:type="dxa"/>
            <w:vAlign w:val="center"/>
          </w:tcPr>
          <w:p w14:paraId="5051C69E">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满足本项目评审要求的其他资料。</w:t>
            </w:r>
          </w:p>
        </w:tc>
      </w:tr>
      <w:tr w14:paraId="1A1B0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724F777D">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p>
        </w:tc>
        <w:tc>
          <w:tcPr>
            <w:tcW w:w="1857" w:type="dxa"/>
            <w:vAlign w:val="center"/>
          </w:tcPr>
          <w:p w14:paraId="1821A9C0">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增值税税金的计算方法</w:t>
            </w:r>
          </w:p>
        </w:tc>
        <w:tc>
          <w:tcPr>
            <w:tcW w:w="6498" w:type="dxa"/>
            <w:vAlign w:val="center"/>
          </w:tcPr>
          <w:p w14:paraId="443E8207">
            <w:pPr>
              <w:keepNext w:val="0"/>
              <w:keepLines w:val="0"/>
              <w:pageBreakBefore w:val="0"/>
              <w:widowControl/>
              <w:kinsoku w:val="0"/>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0ACEE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26FE14E5">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w:t>
            </w:r>
          </w:p>
        </w:tc>
        <w:tc>
          <w:tcPr>
            <w:tcW w:w="1857" w:type="dxa"/>
            <w:vAlign w:val="center"/>
          </w:tcPr>
          <w:p w14:paraId="6D660000">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报价方式</w:t>
            </w:r>
          </w:p>
        </w:tc>
        <w:tc>
          <w:tcPr>
            <w:tcW w:w="6498" w:type="dxa"/>
            <w:vAlign w:val="center"/>
          </w:tcPr>
          <w:p w14:paraId="3D119BD5">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人根据企业自身情况进行报价，报价不得超过本项目最高投标限价，超过的投标将被否决。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65989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3BB9B05E">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p>
          <w:p w14:paraId="5558FFEE">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w:t>
            </w:r>
          </w:p>
        </w:tc>
        <w:tc>
          <w:tcPr>
            <w:tcW w:w="1857" w:type="dxa"/>
            <w:vAlign w:val="center"/>
          </w:tcPr>
          <w:p w14:paraId="116BD692">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最高投标限价</w:t>
            </w:r>
          </w:p>
        </w:tc>
        <w:tc>
          <w:tcPr>
            <w:tcW w:w="6498" w:type="dxa"/>
            <w:vAlign w:val="center"/>
          </w:tcPr>
          <w:p w14:paraId="09F36381">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8"/>
                <w:sz w:val="21"/>
                <w:szCs w:val="21"/>
                <w:highlight w:val="none"/>
              </w:rPr>
              <w:t>无</w:t>
            </w:r>
          </w:p>
          <w:p w14:paraId="5152060C">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sym w:font="Wingdings 2" w:char="F052"/>
            </w:r>
            <w:r>
              <w:rPr>
                <w:rFonts w:hint="eastAsia" w:ascii="宋体" w:hAnsi="宋体" w:eastAsia="宋体" w:cs="宋体"/>
                <w:color w:val="auto"/>
                <w:spacing w:val="-6"/>
                <w:sz w:val="21"/>
                <w:szCs w:val="21"/>
                <w:highlight w:val="none"/>
              </w:rPr>
              <w:t>有，最高投标限价：</w:t>
            </w:r>
          </w:p>
          <w:p w14:paraId="4562F668">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本次招标最高投标限价为</w:t>
            </w:r>
            <w:r>
              <w:rPr>
                <w:rFonts w:hint="eastAsia" w:ascii="宋体" w:hAnsi="宋体" w:eastAsia="宋体" w:cs="宋体"/>
                <w:color w:val="auto"/>
                <w:sz w:val="21"/>
                <w:szCs w:val="21"/>
                <w:highlight w:val="none"/>
                <w:u w:val="single"/>
                <w:lang w:val="en-US" w:eastAsia="zh-CN"/>
              </w:rPr>
              <w:t>421.831533</w:t>
            </w:r>
            <w:r>
              <w:rPr>
                <w:rFonts w:hint="eastAsia" w:ascii="宋体" w:hAnsi="宋体" w:eastAsia="宋体" w:cs="宋体"/>
                <w:color w:val="auto"/>
                <w:sz w:val="21"/>
                <w:szCs w:val="21"/>
                <w:highlight w:val="none"/>
              </w:rPr>
              <w:t>万元。</w:t>
            </w:r>
          </w:p>
        </w:tc>
      </w:tr>
      <w:tr w14:paraId="18732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14DD651F">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w:t>
            </w:r>
          </w:p>
        </w:tc>
        <w:tc>
          <w:tcPr>
            <w:tcW w:w="1857" w:type="dxa"/>
            <w:vAlign w:val="center"/>
          </w:tcPr>
          <w:p w14:paraId="4C4F7607">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投标报价的其他要求</w:t>
            </w:r>
          </w:p>
        </w:tc>
        <w:tc>
          <w:tcPr>
            <w:tcW w:w="6498" w:type="dxa"/>
            <w:vAlign w:val="center"/>
          </w:tcPr>
          <w:p w14:paraId="126C652B">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投标人必须详细审阅全部招标文件，充分考虑职责和义务，全面地理解招标文件对投标报价的要求，并按招标人提出的条件及内容进行报价。</w:t>
            </w:r>
          </w:p>
        </w:tc>
      </w:tr>
      <w:tr w14:paraId="24416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23B2998A">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1857" w:type="dxa"/>
            <w:vAlign w:val="center"/>
          </w:tcPr>
          <w:p w14:paraId="318FD222">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498" w:type="dxa"/>
            <w:vAlign w:val="center"/>
          </w:tcPr>
          <w:p w14:paraId="684315E9">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90</w:t>
            </w:r>
            <w:r>
              <w:rPr>
                <w:rFonts w:hint="eastAsia" w:ascii="宋体" w:hAnsi="宋体" w:eastAsia="宋体" w:cs="宋体"/>
                <w:color w:val="auto"/>
                <w:sz w:val="21"/>
                <w:szCs w:val="21"/>
                <w:highlight w:val="none"/>
              </w:rPr>
              <w:t>日历天（从投标截止之日计起）</w:t>
            </w:r>
          </w:p>
        </w:tc>
      </w:tr>
      <w:tr w14:paraId="2FF2C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46B8633E">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1857" w:type="dxa"/>
            <w:vAlign w:val="center"/>
          </w:tcPr>
          <w:p w14:paraId="0ECAC6BE">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498" w:type="dxa"/>
            <w:vAlign w:val="center"/>
          </w:tcPr>
          <w:p w14:paraId="3EC6F8E7">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是否要</w:t>
            </w:r>
            <w:r>
              <w:rPr>
                <w:rFonts w:hint="eastAsia" w:ascii="宋体" w:hAnsi="宋体" w:eastAsia="宋体" w:cs="宋体"/>
                <w:color w:val="auto"/>
                <w:spacing w:val="-5"/>
                <w:sz w:val="21"/>
                <w:szCs w:val="21"/>
                <w:highlight w:val="none"/>
              </w:rPr>
              <w:t>求</w:t>
            </w:r>
            <w:r>
              <w:rPr>
                <w:rFonts w:hint="eastAsia" w:ascii="宋体" w:hAnsi="宋体" w:eastAsia="宋体" w:cs="宋体"/>
                <w:color w:val="auto"/>
                <w:spacing w:val="-3"/>
                <w:sz w:val="21"/>
                <w:szCs w:val="21"/>
                <w:highlight w:val="none"/>
              </w:rPr>
              <w:t>投标人递交投标保证金：</w:t>
            </w:r>
          </w:p>
          <w:p w14:paraId="720689B2">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sym w:font="Wingdings 2" w:char="F052"/>
            </w:r>
            <w:r>
              <w:rPr>
                <w:rFonts w:hint="eastAsia" w:ascii="宋体" w:hAnsi="宋体" w:eastAsia="宋体" w:cs="宋体"/>
                <w:color w:val="auto"/>
                <w:spacing w:val="-3"/>
                <w:sz w:val="21"/>
                <w:szCs w:val="21"/>
                <w:highlight w:val="none"/>
              </w:rPr>
              <w:t>不要求</w:t>
            </w:r>
          </w:p>
          <w:p w14:paraId="56478920">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5"/>
                <w:sz w:val="21"/>
                <w:szCs w:val="21"/>
                <w:highlight w:val="none"/>
              </w:rPr>
              <w:t>要求，投标保证金的形式：</w:t>
            </w:r>
            <w:r>
              <w:rPr>
                <w:rFonts w:hint="eastAsia" w:ascii="宋体" w:hAnsi="宋体" w:eastAsia="宋体" w:cs="宋体"/>
                <w:color w:val="auto"/>
                <w:spacing w:val="-13"/>
                <w:sz w:val="21"/>
                <w:szCs w:val="21"/>
                <w:highlight w:val="none"/>
              </w:rPr>
              <w:t>/</w:t>
            </w:r>
            <w:r>
              <w:rPr>
                <w:rFonts w:hint="eastAsia" w:ascii="宋体" w:hAnsi="宋体" w:eastAsia="宋体" w:cs="宋体"/>
                <w:color w:val="auto"/>
                <w:sz w:val="21"/>
                <w:szCs w:val="21"/>
                <w:highlight w:val="none"/>
              </w:rPr>
              <w:t xml:space="preserve"> </w:t>
            </w:r>
          </w:p>
          <w:p w14:paraId="2F6ABA37">
            <w:pPr>
              <w:pStyle w:val="47"/>
              <w:keepNext w:val="0"/>
              <w:keepLines w:val="0"/>
              <w:pageBreakBefore w:val="0"/>
              <w:widowControl w:val="0"/>
              <w:kinsoku/>
              <w:wordWrap/>
              <w:topLinePunct w:val="0"/>
              <w:autoSpaceDE/>
              <w:autoSpaceDN/>
              <w:bidi w:val="0"/>
              <w:adjustRightInd/>
              <w:snapToGrid/>
              <w:spacing w:line="360" w:lineRule="exact"/>
              <w:ind w:left="105" w:leftChars="50" w:right="105" w:rightChars="50"/>
              <w:jc w:val="both"/>
              <w:textAlignment w:val="auto"/>
              <w:rPr>
                <w:rFonts w:hint="eastAsia" w:ascii="宋体" w:hAnsi="宋体" w:eastAsia="宋体" w:cs="宋体"/>
                <w:color w:val="auto"/>
                <w:sz w:val="21"/>
                <w:szCs w:val="21"/>
                <w:highlight w:val="none"/>
              </w:rPr>
            </w:pPr>
          </w:p>
        </w:tc>
      </w:tr>
      <w:tr w14:paraId="0C2D3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7C615B15">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p>
          <w:p w14:paraId="69433376">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857" w:type="dxa"/>
            <w:vAlign w:val="center"/>
          </w:tcPr>
          <w:p w14:paraId="215B083E">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资格审查资料的特殊要求</w:t>
            </w:r>
          </w:p>
        </w:tc>
        <w:tc>
          <w:tcPr>
            <w:tcW w:w="6498" w:type="dxa"/>
            <w:vAlign w:val="center"/>
          </w:tcPr>
          <w:p w14:paraId="7AC9A335">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sym w:font="Wingdings 2" w:char="F052"/>
            </w:r>
            <w:r>
              <w:rPr>
                <w:rFonts w:hint="eastAsia" w:ascii="宋体" w:hAnsi="宋体" w:eastAsia="宋体" w:cs="宋体"/>
                <w:color w:val="auto"/>
                <w:spacing w:val="-8"/>
                <w:sz w:val="21"/>
                <w:szCs w:val="21"/>
                <w:highlight w:val="none"/>
              </w:rPr>
              <w:t>无</w:t>
            </w:r>
          </w:p>
          <w:p w14:paraId="4F664F36">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pacing w:val="-11"/>
                <w:sz w:val="21"/>
                <w:szCs w:val="21"/>
                <w:highlight w:val="none"/>
              </w:rPr>
            </w:pPr>
            <w:r>
              <w:rPr>
                <w:rFonts w:hint="eastAsia" w:ascii="宋体" w:hAnsi="宋体" w:eastAsia="宋体" w:cs="宋体"/>
                <w:color w:val="auto"/>
                <w:spacing w:val="-7"/>
                <w:sz w:val="21"/>
                <w:szCs w:val="21"/>
                <w:highlight w:val="none"/>
              </w:rPr>
              <w:t>□有，具体要求：</w:t>
            </w:r>
            <w:r>
              <w:rPr>
                <w:rFonts w:hint="eastAsia" w:ascii="宋体" w:hAnsi="宋体" w:eastAsia="宋体" w:cs="宋体"/>
                <w:color w:val="auto"/>
                <w:spacing w:val="-13"/>
                <w:sz w:val="21"/>
                <w:szCs w:val="21"/>
                <w:highlight w:val="none"/>
              </w:rPr>
              <w:t>/</w:t>
            </w:r>
          </w:p>
        </w:tc>
      </w:tr>
      <w:tr w14:paraId="21160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0EC69AEE">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w:t>
            </w:r>
          </w:p>
        </w:tc>
        <w:tc>
          <w:tcPr>
            <w:tcW w:w="1857" w:type="dxa"/>
            <w:vAlign w:val="center"/>
          </w:tcPr>
          <w:p w14:paraId="4C8FE491">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近年完成的类似项目情况的时间要求</w:t>
            </w:r>
          </w:p>
        </w:tc>
        <w:tc>
          <w:tcPr>
            <w:tcW w:w="6498" w:type="dxa"/>
            <w:vAlign w:val="center"/>
          </w:tcPr>
          <w:p w14:paraId="54DD69DC">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202</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日至今</w:t>
            </w:r>
          </w:p>
        </w:tc>
      </w:tr>
      <w:tr w14:paraId="39198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675E852F">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1857" w:type="dxa"/>
            <w:vAlign w:val="center"/>
          </w:tcPr>
          <w:p w14:paraId="7C2BDABC">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是否允许递交备选投标方案</w:t>
            </w:r>
          </w:p>
        </w:tc>
        <w:tc>
          <w:tcPr>
            <w:tcW w:w="6498" w:type="dxa"/>
            <w:vAlign w:val="center"/>
          </w:tcPr>
          <w:p w14:paraId="504C3802">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sym w:font="Wingdings 2" w:char="F052"/>
            </w:r>
            <w:r>
              <w:rPr>
                <w:rFonts w:hint="eastAsia" w:ascii="宋体" w:hAnsi="宋体" w:eastAsia="宋体" w:cs="宋体"/>
                <w:color w:val="auto"/>
                <w:spacing w:val="-3"/>
                <w:sz w:val="21"/>
                <w:szCs w:val="21"/>
                <w:highlight w:val="none"/>
              </w:rPr>
              <w:t>不允许</w:t>
            </w:r>
          </w:p>
          <w:p w14:paraId="4FA5DF2C">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3"/>
                <w:sz w:val="21"/>
                <w:szCs w:val="21"/>
                <w:highlight w:val="none"/>
              </w:rPr>
              <w:t>允许</w:t>
            </w:r>
          </w:p>
        </w:tc>
      </w:tr>
      <w:tr w14:paraId="423E9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119341BB">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p>
        </w:tc>
        <w:tc>
          <w:tcPr>
            <w:tcW w:w="1857" w:type="dxa"/>
            <w:vAlign w:val="center"/>
          </w:tcPr>
          <w:p w14:paraId="4F6BDAA3">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投标文件签字或盖章要求</w:t>
            </w:r>
          </w:p>
        </w:tc>
        <w:tc>
          <w:tcPr>
            <w:tcW w:w="6498" w:type="dxa"/>
            <w:vAlign w:val="center"/>
          </w:tcPr>
          <w:p w14:paraId="690E1A1A">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投标文件格式规定需个人签字的，应签字或签章后扫描上传（</w:t>
            </w:r>
            <w:r>
              <w:rPr>
                <w:rFonts w:hint="eastAsia" w:ascii="宋体" w:hAnsi="宋体" w:eastAsia="宋体" w:cs="宋体"/>
                <w:color w:val="auto"/>
                <w:kern w:val="2"/>
                <w:sz w:val="21"/>
                <w:szCs w:val="21"/>
                <w:highlight w:val="none"/>
              </w:rPr>
              <w:t>可靠的电子签名与手写签名或者盖章具有同等的法律效力</w:t>
            </w:r>
            <w:r>
              <w:rPr>
                <w:rFonts w:hint="eastAsia" w:ascii="宋体" w:hAnsi="宋体" w:eastAsia="宋体" w:cs="宋体"/>
                <w:color w:val="auto"/>
                <w:sz w:val="21"/>
                <w:szCs w:val="21"/>
                <w:highlight w:val="none"/>
              </w:rPr>
              <w:t>）。投标文件格式规定盖单位公章的页面必须盖单位公章（公章与电子公章具有相同法律效力）</w:t>
            </w:r>
          </w:p>
        </w:tc>
      </w:tr>
      <w:tr w14:paraId="5A369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287E2AFE">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w:t>
            </w:r>
          </w:p>
        </w:tc>
        <w:tc>
          <w:tcPr>
            <w:tcW w:w="1857" w:type="dxa"/>
            <w:vAlign w:val="center"/>
          </w:tcPr>
          <w:p w14:paraId="3AE28B23">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6498" w:type="dxa"/>
            <w:vAlign w:val="center"/>
          </w:tcPr>
          <w:p w14:paraId="69772440">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r>
              <w:rPr>
                <w:rFonts w:hint="eastAsia" w:ascii="宋体" w:hAnsi="宋体" w:eastAsia="宋体" w:cs="宋体"/>
                <w:color w:val="auto"/>
                <w:sz w:val="21"/>
                <w:szCs w:val="21"/>
                <w:highlight w:val="none"/>
                <w:u w:val="single"/>
              </w:rPr>
              <w:t xml:space="preserve">  年  月   日   时 分</w:t>
            </w:r>
            <w:r>
              <w:rPr>
                <w:rFonts w:hint="eastAsia" w:ascii="宋体" w:hAnsi="宋体" w:eastAsia="宋体" w:cs="宋体"/>
                <w:color w:val="auto"/>
                <w:sz w:val="21"/>
                <w:szCs w:val="21"/>
                <w:highlight w:val="none"/>
              </w:rPr>
              <w:t>（北京时间）</w:t>
            </w:r>
          </w:p>
        </w:tc>
      </w:tr>
      <w:tr w14:paraId="5ED35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3F25BCD4">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857" w:type="dxa"/>
            <w:vAlign w:val="center"/>
          </w:tcPr>
          <w:p w14:paraId="4437DB5D">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开标时间和地点</w:t>
            </w:r>
          </w:p>
        </w:tc>
        <w:tc>
          <w:tcPr>
            <w:tcW w:w="6498" w:type="dxa"/>
            <w:vAlign w:val="center"/>
          </w:tcPr>
          <w:p w14:paraId="2754300E">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1、开标时间：同投标截止时间</w:t>
            </w:r>
          </w:p>
          <w:p w14:paraId="62270E00">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2、开标地点：广州交易集团有限公司（广州公共资源交易中心）增城交易部第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开标室（地址：广州市增城区增城大道2号3幢108号）</w:t>
            </w:r>
          </w:p>
          <w:p w14:paraId="2F51BBA1">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3、递交投标文件备用光盘时间：____年____月____日____时____分至____年___月___日____时___分；递交地点：</w:t>
            </w:r>
            <w:r>
              <w:rPr>
                <w:rFonts w:hint="eastAsia" w:ascii="宋体" w:hAnsi="宋体" w:eastAsia="宋体" w:cs="宋体"/>
                <w:color w:val="auto"/>
                <w:sz w:val="21"/>
                <w:szCs w:val="21"/>
                <w:highlight w:val="none"/>
                <w:u w:val="single"/>
              </w:rPr>
              <w:t>同开标地点</w:t>
            </w:r>
            <w:r>
              <w:rPr>
                <w:rFonts w:hint="eastAsia" w:ascii="宋体" w:hAnsi="宋体" w:eastAsia="宋体" w:cs="宋体"/>
                <w:color w:val="auto"/>
                <w:sz w:val="21"/>
                <w:szCs w:val="21"/>
                <w:highlight w:val="none"/>
              </w:rPr>
              <w:t>。(投标文件截止时间前 15 分钟至投标文件截止时间）</w:t>
            </w:r>
          </w:p>
          <w:p w14:paraId="15229A0E">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4、提交投标文件光盘备用</w:t>
            </w:r>
          </w:p>
          <w:p w14:paraId="47C3F3E2">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可制作非加密的电子投标文件（PDF格式）刻入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5FCED20A">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5、补救方案</w:t>
            </w:r>
          </w:p>
          <w:p w14:paraId="6AA659E6">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（1）投标文件解密失败的补救方案：</w:t>
            </w:r>
          </w:p>
          <w:p w14:paraId="7A896AAA">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4B6D523C">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（2）评标时突发情况的补救方案</w:t>
            </w:r>
          </w:p>
          <w:p w14:paraId="76265AE9">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若遇不可抗力发生（指网络瘫痪、服务器损坏、交易系统故障短期无法恢复等因素），由评标委员会开启投标人递交的全部投标文件光盘，并按光盘内容进行评审。</w:t>
            </w:r>
          </w:p>
          <w:p w14:paraId="4BECE722">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（3）除发生上述情况外，开标评标均以投标人通过交易平台网上递交的电子投标文件为准。</w:t>
            </w:r>
          </w:p>
          <w:p w14:paraId="5CA3326B">
            <w:pPr>
              <w:keepNext w:val="0"/>
              <w:keepLines w:val="0"/>
              <w:pageBreakBefore w:val="0"/>
              <w:widowControl/>
              <w:kinsoku w:val="0"/>
              <w:wordWrap/>
              <w:topLinePunct w:val="0"/>
              <w:autoSpaceDE w:val="0"/>
              <w:autoSpaceDN w:val="0"/>
              <w:bidi w:val="0"/>
              <w:adjustRightInd/>
              <w:snapToGrid w:val="0"/>
              <w:spacing w:line="360" w:lineRule="exact"/>
              <w:ind w:left="105" w:leftChars="50" w:right="105" w:rightChars="5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开标时，投标人代表有权参加现场开标或在线开标，也可以自主决定不参加开标，投标人选择参加在线开标的，具体按照交易平台相关指南进行操作。</w:t>
            </w:r>
          </w:p>
          <w:p w14:paraId="0A1A2727">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6、上述时间及地点是否有改变，请密切留意补充公告或招标答疑纪要的相关信息。</w:t>
            </w:r>
          </w:p>
        </w:tc>
      </w:tr>
      <w:tr w14:paraId="2D9D8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50ADB782">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1857" w:type="dxa"/>
            <w:vAlign w:val="center"/>
          </w:tcPr>
          <w:p w14:paraId="03CB96DB">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6498" w:type="dxa"/>
            <w:vAlign w:val="center"/>
          </w:tcPr>
          <w:p w14:paraId="737E7FE1">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评标委员会由招标人依法组建。</w:t>
            </w:r>
          </w:p>
          <w:p w14:paraId="7B2F7539">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评标专家确定方式：从</w:t>
            </w:r>
            <w:r>
              <w:rPr>
                <w:rFonts w:hint="eastAsia" w:ascii="宋体" w:hAnsi="宋体" w:eastAsia="宋体" w:cs="宋体"/>
                <w:color w:val="auto"/>
                <w:sz w:val="21"/>
                <w:szCs w:val="21"/>
                <w:highlight w:val="none"/>
                <w:u w:val="single"/>
              </w:rPr>
              <w:t>广东省综合评标评审专家库</w:t>
            </w:r>
            <w:r>
              <w:rPr>
                <w:rFonts w:hint="eastAsia" w:ascii="宋体" w:hAnsi="宋体" w:eastAsia="宋体" w:cs="宋体"/>
                <w:color w:val="auto"/>
                <w:sz w:val="21"/>
                <w:szCs w:val="21"/>
                <w:highlight w:val="none"/>
              </w:rPr>
              <w:t>中抽取</w:t>
            </w:r>
            <w:r>
              <w:rPr>
                <w:rFonts w:hint="eastAsia" w:ascii="宋体" w:hAnsi="宋体" w:eastAsia="宋体" w:cs="宋体"/>
                <w:color w:val="auto"/>
                <w:sz w:val="21"/>
                <w:szCs w:val="21"/>
                <w:highlight w:val="none"/>
                <w:lang w:val="en-US" w:eastAsia="zh-CN"/>
              </w:rPr>
              <w:t>。</w:t>
            </w:r>
          </w:p>
        </w:tc>
      </w:tr>
      <w:tr w14:paraId="215E0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16B574BB">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w:t>
            </w:r>
          </w:p>
        </w:tc>
        <w:tc>
          <w:tcPr>
            <w:tcW w:w="1857" w:type="dxa"/>
            <w:vAlign w:val="center"/>
          </w:tcPr>
          <w:p w14:paraId="7BB3F03B">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评标委员会推荐中标候选人的人数</w:t>
            </w:r>
          </w:p>
        </w:tc>
        <w:tc>
          <w:tcPr>
            <w:tcW w:w="6498" w:type="dxa"/>
            <w:vAlign w:val="center"/>
          </w:tcPr>
          <w:p w14:paraId="0B0967B1">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推荐中标候选人：</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名。</w:t>
            </w:r>
          </w:p>
        </w:tc>
      </w:tr>
      <w:tr w14:paraId="4E4DD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6FAE7C3A">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857" w:type="dxa"/>
            <w:vAlign w:val="center"/>
          </w:tcPr>
          <w:p w14:paraId="41B3D8BF">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中标候选人公示媒介及期限</w:t>
            </w:r>
          </w:p>
        </w:tc>
        <w:tc>
          <w:tcPr>
            <w:tcW w:w="6498" w:type="dxa"/>
            <w:vAlign w:val="center"/>
          </w:tcPr>
          <w:p w14:paraId="4C209E4E">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公</w:t>
            </w:r>
            <w:r>
              <w:rPr>
                <w:rFonts w:hint="eastAsia" w:ascii="宋体" w:hAnsi="宋体" w:eastAsia="宋体" w:cs="宋体"/>
                <w:color w:val="auto"/>
                <w:spacing w:val="-10"/>
                <w:sz w:val="21"/>
                <w:szCs w:val="21"/>
                <w:highlight w:val="none"/>
              </w:rPr>
              <w:t>示媒介：</w:t>
            </w:r>
            <w:r>
              <w:rPr>
                <w:rFonts w:hint="eastAsia" w:ascii="宋体" w:hAnsi="宋体" w:eastAsia="宋体" w:cs="宋体"/>
                <w:color w:val="auto"/>
                <w:sz w:val="21"/>
                <w:szCs w:val="21"/>
                <w:highlight w:val="none"/>
                <w:lang w:val="zh-CN"/>
              </w:rPr>
              <w:t>广州交易集团有限公司（广州公共资源交易中心）网和广东省招标投标监管网、中国招标投标公共服务平台、广州市增城区人民政府门户网站</w:t>
            </w:r>
          </w:p>
          <w:p w14:paraId="69ADC08C">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公示期</w:t>
            </w:r>
            <w:r>
              <w:rPr>
                <w:rFonts w:hint="eastAsia" w:ascii="宋体" w:hAnsi="宋体" w:eastAsia="宋体" w:cs="宋体"/>
                <w:color w:val="auto"/>
                <w:spacing w:val="-4"/>
                <w:sz w:val="21"/>
                <w:szCs w:val="21"/>
                <w:highlight w:val="none"/>
              </w:rPr>
              <w:t>限：</w:t>
            </w:r>
            <w:r>
              <w:rPr>
                <w:rFonts w:hint="eastAsia" w:ascii="宋体" w:hAnsi="宋体" w:eastAsia="宋体" w:cs="宋体"/>
                <w:color w:val="auto"/>
                <w:spacing w:val="-4"/>
                <w:sz w:val="21"/>
                <w:szCs w:val="21"/>
                <w:highlight w:val="none"/>
                <w:u w:val="single"/>
              </w:rPr>
              <w:t>不少于3</w:t>
            </w:r>
            <w:r>
              <w:rPr>
                <w:rFonts w:hint="eastAsia" w:ascii="宋体" w:hAnsi="宋体" w:eastAsia="宋体" w:cs="宋体"/>
                <w:color w:val="auto"/>
                <w:spacing w:val="-4"/>
                <w:sz w:val="21"/>
                <w:szCs w:val="21"/>
                <w:highlight w:val="none"/>
              </w:rPr>
              <w:t>日</w:t>
            </w:r>
            <w:r>
              <w:rPr>
                <w:rFonts w:hint="eastAsia" w:ascii="宋体" w:hAnsi="宋体" w:eastAsia="宋体" w:cs="宋体"/>
                <w:color w:val="auto"/>
                <w:spacing w:val="-5"/>
                <w:sz w:val="21"/>
                <w:szCs w:val="21"/>
                <w:highlight w:val="none"/>
              </w:rPr>
              <w:t>（最后一天应为工作日）</w:t>
            </w:r>
          </w:p>
        </w:tc>
      </w:tr>
      <w:tr w14:paraId="6D9A6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07217972">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w:t>
            </w:r>
          </w:p>
        </w:tc>
        <w:tc>
          <w:tcPr>
            <w:tcW w:w="1857" w:type="dxa"/>
            <w:vAlign w:val="center"/>
          </w:tcPr>
          <w:p w14:paraId="5824C5D5">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是否授权评标委员会确定中标人</w:t>
            </w:r>
          </w:p>
        </w:tc>
        <w:tc>
          <w:tcPr>
            <w:tcW w:w="6498" w:type="dxa"/>
            <w:vAlign w:val="center"/>
          </w:tcPr>
          <w:p w14:paraId="75DF9693">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3"/>
                <w:sz w:val="21"/>
                <w:szCs w:val="21"/>
                <w:highlight w:val="none"/>
              </w:rPr>
              <w:t>是</w:t>
            </w:r>
          </w:p>
          <w:p w14:paraId="70C763B5">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sym w:font="Wingdings 2" w:char="F052"/>
            </w:r>
            <w:r>
              <w:rPr>
                <w:rFonts w:hint="eastAsia" w:ascii="宋体" w:hAnsi="宋体" w:eastAsia="宋体" w:cs="宋体"/>
                <w:color w:val="auto"/>
                <w:spacing w:val="-2"/>
                <w:sz w:val="21"/>
                <w:szCs w:val="21"/>
                <w:highlight w:val="none"/>
              </w:rPr>
              <w:t>否</w:t>
            </w:r>
          </w:p>
        </w:tc>
      </w:tr>
      <w:tr w14:paraId="77F9E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54566B19">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w:t>
            </w:r>
          </w:p>
        </w:tc>
        <w:tc>
          <w:tcPr>
            <w:tcW w:w="1857" w:type="dxa"/>
            <w:vAlign w:val="center"/>
          </w:tcPr>
          <w:p w14:paraId="555E364A">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技术成果经济补偿</w:t>
            </w:r>
          </w:p>
        </w:tc>
        <w:tc>
          <w:tcPr>
            <w:tcW w:w="6498" w:type="dxa"/>
            <w:vAlign w:val="center"/>
          </w:tcPr>
          <w:p w14:paraId="5943BEFF">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sym w:font="Wingdings 2" w:char="F052"/>
            </w:r>
            <w:r>
              <w:rPr>
                <w:rFonts w:hint="eastAsia" w:ascii="宋体" w:hAnsi="宋体" w:eastAsia="宋体" w:cs="宋体"/>
                <w:color w:val="auto"/>
                <w:spacing w:val="-3"/>
                <w:sz w:val="21"/>
                <w:szCs w:val="21"/>
                <w:highlight w:val="none"/>
              </w:rPr>
              <w:t>不补偿</w:t>
            </w:r>
          </w:p>
          <w:p w14:paraId="26925413">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pacing w:val="-12"/>
                <w:sz w:val="21"/>
                <w:szCs w:val="21"/>
                <w:highlight w:val="none"/>
              </w:rPr>
            </w:pPr>
            <w:r>
              <w:rPr>
                <w:rFonts w:hint="eastAsia" w:ascii="宋体" w:hAnsi="宋体" w:eastAsia="宋体" w:cs="宋体"/>
                <w:color w:val="auto"/>
                <w:spacing w:val="-7"/>
                <w:sz w:val="21"/>
                <w:szCs w:val="21"/>
                <w:highlight w:val="none"/>
              </w:rPr>
              <w:t>□补</w:t>
            </w:r>
            <w:r>
              <w:rPr>
                <w:rFonts w:hint="eastAsia" w:ascii="宋体" w:hAnsi="宋体" w:eastAsia="宋体" w:cs="宋体"/>
                <w:color w:val="auto"/>
                <w:spacing w:val="-6"/>
                <w:sz w:val="21"/>
                <w:szCs w:val="21"/>
                <w:highlight w:val="none"/>
              </w:rPr>
              <w:t>偿，补偿标准：</w:t>
            </w:r>
            <w:r>
              <w:rPr>
                <w:rFonts w:hint="eastAsia" w:ascii="宋体" w:hAnsi="宋体" w:eastAsia="宋体" w:cs="宋体"/>
                <w:color w:val="auto"/>
                <w:spacing w:val="-13"/>
                <w:sz w:val="21"/>
                <w:szCs w:val="21"/>
                <w:highlight w:val="none"/>
              </w:rPr>
              <w:t>/</w:t>
            </w:r>
          </w:p>
        </w:tc>
      </w:tr>
      <w:tr w14:paraId="08B6D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71EEEA07">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7.7.1</w:t>
            </w:r>
          </w:p>
        </w:tc>
        <w:tc>
          <w:tcPr>
            <w:tcW w:w="1857" w:type="dxa"/>
            <w:vAlign w:val="center"/>
          </w:tcPr>
          <w:p w14:paraId="6DBE0682">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498" w:type="dxa"/>
            <w:vAlign w:val="center"/>
          </w:tcPr>
          <w:p w14:paraId="173CAB79">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是否要</w:t>
            </w:r>
            <w:r>
              <w:rPr>
                <w:rFonts w:hint="eastAsia" w:ascii="宋体" w:hAnsi="宋体" w:eastAsia="宋体" w:cs="宋体"/>
                <w:color w:val="auto"/>
                <w:spacing w:val="-5"/>
                <w:sz w:val="21"/>
                <w:szCs w:val="21"/>
                <w:highlight w:val="none"/>
              </w:rPr>
              <w:t>求</w:t>
            </w:r>
            <w:r>
              <w:rPr>
                <w:rFonts w:hint="eastAsia" w:ascii="宋体" w:hAnsi="宋体" w:eastAsia="宋体" w:cs="宋体"/>
                <w:color w:val="auto"/>
                <w:spacing w:val="-3"/>
                <w:sz w:val="21"/>
                <w:szCs w:val="21"/>
                <w:highlight w:val="none"/>
              </w:rPr>
              <w:t>中标人提交履约保证金：</w:t>
            </w:r>
          </w:p>
          <w:p w14:paraId="7D415045">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5"/>
                <w:sz w:val="21"/>
                <w:szCs w:val="21"/>
                <w:highlight w:val="none"/>
              </w:rPr>
              <w:t>要求，履约保证金的形式：</w:t>
            </w:r>
            <w:r>
              <w:rPr>
                <w:rFonts w:hint="eastAsia" w:ascii="宋体" w:hAnsi="宋体" w:eastAsia="宋体" w:cs="宋体"/>
                <w:color w:val="auto"/>
                <w:sz w:val="21"/>
                <w:szCs w:val="21"/>
                <w:highlight w:val="none"/>
                <w:u w:val="single"/>
                <w:lang w:bidi="ar-SA"/>
              </w:rPr>
              <w:t>履约</w:t>
            </w:r>
            <w:r>
              <w:rPr>
                <w:rFonts w:hint="eastAsia" w:ascii="宋体" w:hAnsi="宋体" w:eastAsia="宋体" w:cs="宋体"/>
                <w:color w:val="auto"/>
                <w:sz w:val="21"/>
                <w:szCs w:val="21"/>
                <w:highlight w:val="none"/>
                <w:u w:val="single"/>
                <w:lang w:eastAsia="zh-CN" w:bidi="ar-SA"/>
              </w:rPr>
              <w:t>保证金</w:t>
            </w:r>
            <w:r>
              <w:rPr>
                <w:rFonts w:hint="eastAsia" w:ascii="宋体" w:hAnsi="宋体" w:eastAsia="宋体" w:cs="宋体"/>
                <w:color w:val="auto"/>
                <w:sz w:val="21"/>
                <w:szCs w:val="21"/>
                <w:highlight w:val="none"/>
                <w:u w:val="single"/>
                <w:lang w:bidi="ar-SA"/>
              </w:rPr>
              <w:t>须以银行保函或保证保险或担保保函的形式提交。</w:t>
            </w:r>
            <w:r>
              <w:rPr>
                <w:rFonts w:hint="eastAsia" w:ascii="宋体" w:hAnsi="宋体" w:eastAsia="宋体" w:cs="宋体"/>
                <w:color w:val="auto"/>
                <w:sz w:val="21"/>
                <w:szCs w:val="21"/>
                <w:highlight w:val="none"/>
                <w:u w:val="single"/>
                <w:lang w:eastAsia="zh-CN" w:bidi="ar-SA"/>
              </w:rPr>
              <w:t>（</w:t>
            </w:r>
            <w:r>
              <w:rPr>
                <w:rFonts w:hint="eastAsia" w:ascii="宋体" w:hAnsi="宋体" w:eastAsia="宋体" w:cs="宋体"/>
                <w:color w:val="auto"/>
                <w:sz w:val="21"/>
                <w:szCs w:val="21"/>
                <w:highlight w:val="none"/>
                <w:u w:val="single"/>
                <w:lang w:bidi="ar-SA"/>
              </w:rPr>
              <w:t>以合同约定为准</w:t>
            </w:r>
            <w:r>
              <w:rPr>
                <w:rFonts w:hint="eastAsia" w:ascii="宋体" w:hAnsi="宋体" w:eastAsia="宋体" w:cs="宋体"/>
                <w:color w:val="auto"/>
                <w:sz w:val="21"/>
                <w:szCs w:val="21"/>
                <w:highlight w:val="none"/>
                <w:u w:val="single"/>
                <w:lang w:val="en-US" w:eastAsia="zh-CN" w:bidi="ar-SA"/>
              </w:rPr>
              <w:t>)。</w:t>
            </w:r>
          </w:p>
          <w:p w14:paraId="2A4BE357">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履</w:t>
            </w:r>
            <w:r>
              <w:rPr>
                <w:rFonts w:hint="eastAsia" w:ascii="宋体" w:hAnsi="宋体" w:eastAsia="宋体" w:cs="宋体"/>
                <w:color w:val="auto"/>
                <w:spacing w:val="-6"/>
                <w:sz w:val="21"/>
                <w:szCs w:val="21"/>
                <w:highlight w:val="none"/>
              </w:rPr>
              <w:t>约保证金的金额：</w:t>
            </w:r>
            <w:r>
              <w:rPr>
                <w:rFonts w:hint="eastAsia" w:ascii="宋体" w:hAnsi="宋体" w:eastAsia="宋体" w:cs="宋体"/>
                <w:color w:val="auto"/>
                <w:sz w:val="21"/>
                <w:szCs w:val="21"/>
                <w:highlight w:val="none"/>
                <w:u w:val="single"/>
                <w:lang w:bidi="ar-SA"/>
              </w:rPr>
              <w:t>中标合同金额的10%。</w:t>
            </w:r>
          </w:p>
          <w:p w14:paraId="2C8B3E72">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sym w:font="Wingdings 2" w:char="00A3"/>
            </w:r>
            <w:r>
              <w:rPr>
                <w:rFonts w:hint="eastAsia" w:ascii="宋体" w:hAnsi="宋体" w:eastAsia="宋体" w:cs="宋体"/>
                <w:color w:val="auto"/>
                <w:spacing w:val="-3"/>
                <w:sz w:val="21"/>
                <w:szCs w:val="21"/>
                <w:highlight w:val="none"/>
              </w:rPr>
              <w:t>不要求</w:t>
            </w:r>
          </w:p>
        </w:tc>
      </w:tr>
      <w:tr w14:paraId="46C24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6D33A2BD">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857" w:type="dxa"/>
            <w:vAlign w:val="center"/>
          </w:tcPr>
          <w:p w14:paraId="52A1A9EA">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c>
          <w:tcPr>
            <w:tcW w:w="6498" w:type="dxa"/>
            <w:vAlign w:val="center"/>
          </w:tcPr>
          <w:p w14:paraId="0741DFBE">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36EF3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24DBEE51">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1857" w:type="dxa"/>
            <w:vAlign w:val="center"/>
          </w:tcPr>
          <w:p w14:paraId="2CD7CE0B">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其他费用</w:t>
            </w:r>
          </w:p>
        </w:tc>
        <w:tc>
          <w:tcPr>
            <w:tcW w:w="6498" w:type="dxa"/>
            <w:vAlign w:val="center"/>
          </w:tcPr>
          <w:p w14:paraId="09661082">
            <w:pPr>
              <w:keepNext w:val="0"/>
              <w:keepLines w:val="0"/>
              <w:pageBreakBefore w:val="0"/>
              <w:widowControl/>
              <w:numPr>
                <w:ilvl w:val="0"/>
                <w:numId w:val="1"/>
              </w:numPr>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交易服务费：中标人代缴</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交易服务费，其费用包含在中标人报价中，由</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向中标人开具发票。</w:t>
            </w:r>
          </w:p>
          <w:p w14:paraId="73234F1C">
            <w:pPr>
              <w:keepNext w:val="0"/>
              <w:keepLines w:val="0"/>
              <w:pageBreakBefore w:val="0"/>
              <w:widowControl/>
              <w:numPr>
                <w:ilvl w:val="0"/>
                <w:numId w:val="1"/>
              </w:numPr>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招标代理费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按照招标人与招标代理签订的招标代理合同约定的内容执行，由中标人在</w:t>
            </w:r>
            <w:r>
              <w:rPr>
                <w:rFonts w:hint="eastAsia" w:ascii="宋体" w:hAnsi="宋体" w:eastAsia="宋体" w:cs="宋体"/>
                <w:color w:val="auto"/>
                <w:sz w:val="21"/>
                <w:szCs w:val="21"/>
                <w:highlight w:val="none"/>
                <w:lang w:val="en-US" w:eastAsia="zh-CN"/>
              </w:rPr>
              <w:t>领取中标通知书</w:t>
            </w:r>
            <w:r>
              <w:rPr>
                <w:rFonts w:hint="eastAsia" w:ascii="宋体" w:hAnsi="宋体" w:eastAsia="宋体" w:cs="宋体"/>
                <w:color w:val="auto"/>
                <w:sz w:val="21"/>
                <w:szCs w:val="21"/>
                <w:highlight w:val="none"/>
              </w:rPr>
              <w:t>一次性支付。</w:t>
            </w:r>
          </w:p>
        </w:tc>
      </w:tr>
      <w:tr w14:paraId="6BC0C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53D5E0E7">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857" w:type="dxa"/>
            <w:vAlign w:val="center"/>
          </w:tcPr>
          <w:p w14:paraId="00A01F51">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招标失败的情形</w:t>
            </w:r>
          </w:p>
        </w:tc>
        <w:tc>
          <w:tcPr>
            <w:tcW w:w="6498" w:type="dxa"/>
            <w:vAlign w:val="center"/>
          </w:tcPr>
          <w:p w14:paraId="3AC7382A">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本项目采用资格后审方式，满足资格审查合格条件或通过初步评审的投标申请人不足3名时为招标失败。招标人分析招标失败原因，修正招标方案，报有关管理部门核准后，重新组织招标。</w:t>
            </w:r>
          </w:p>
        </w:tc>
      </w:tr>
      <w:tr w14:paraId="3959D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1600FA5D">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857" w:type="dxa"/>
            <w:vAlign w:val="center"/>
          </w:tcPr>
          <w:p w14:paraId="29D05242">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补交纸质投标文件</w:t>
            </w:r>
          </w:p>
        </w:tc>
        <w:tc>
          <w:tcPr>
            <w:tcW w:w="6498" w:type="dxa"/>
            <w:vAlign w:val="center"/>
          </w:tcPr>
          <w:p w14:paraId="3573BFF4">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rPr>
              <w:t>中标单位领取中标通知书前，中标人需向招标人提交与上传至广州交易集团有限公司（广州公共资源交易中心）交易平台的电子投标文件内容一致的纸质文件（1正2副）及电子光盘</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或U盘</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1张（提交传至广州交易集团有限公司（广州公共资源交易中心）交易平台的电子文件一致的文件）。</w:t>
            </w:r>
          </w:p>
        </w:tc>
      </w:tr>
      <w:tr w14:paraId="1B478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71" w:type="dxa"/>
            <w:vAlign w:val="center"/>
          </w:tcPr>
          <w:p w14:paraId="5E7CE54D">
            <w:pPr>
              <w:pStyle w:val="68"/>
              <w:keepNext w:val="0"/>
              <w:keepLines w:val="0"/>
              <w:pageBreakBefore w:val="0"/>
              <w:wordWrap/>
              <w:overflowPunct w:val="0"/>
              <w:topLinePunct w:val="0"/>
              <w:bidi w:val="0"/>
              <w:adjustRightInd/>
              <w:spacing w:line="360" w:lineRule="exact"/>
              <w:ind w:right="105" w:rightChars="5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857" w:type="dxa"/>
            <w:vAlign w:val="center"/>
          </w:tcPr>
          <w:p w14:paraId="65564235">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投标报价</w:t>
            </w:r>
            <w:r>
              <w:rPr>
                <w:rFonts w:hint="eastAsia" w:ascii="宋体" w:hAnsi="宋体" w:eastAsia="宋体" w:cs="宋体"/>
                <w:color w:val="auto"/>
                <w:sz w:val="21"/>
                <w:szCs w:val="21"/>
                <w:highlight w:val="none"/>
                <w:lang w:val="en-US"/>
              </w:rPr>
              <w:t>评审优惠政策</w:t>
            </w:r>
          </w:p>
        </w:tc>
        <w:tc>
          <w:tcPr>
            <w:tcW w:w="6498" w:type="dxa"/>
            <w:vAlign w:val="center"/>
          </w:tcPr>
          <w:p w14:paraId="2B3F8FF1">
            <w:pPr>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auto"/>
              <w:rPr>
                <w:rFonts w:hint="eastAsia" w:ascii="宋体" w:hAnsi="宋体" w:eastAsia="宋体" w:cs="宋体"/>
                <w:b w:val="0"/>
                <w:bCs w:val="0"/>
                <w:color w:val="auto"/>
                <w:sz w:val="21"/>
                <w:szCs w:val="21"/>
                <w:highlight w:val="none"/>
                <w:u w:val="none"/>
                <w:lang w:val="en-US"/>
              </w:rPr>
            </w:pPr>
            <w:r>
              <w:rPr>
                <w:rFonts w:hint="eastAsia" w:ascii="宋体" w:hAnsi="宋体" w:eastAsia="宋体" w:cs="宋体"/>
                <w:b w:val="0"/>
                <w:bCs w:val="0"/>
                <w:color w:val="auto"/>
                <w:sz w:val="21"/>
                <w:szCs w:val="21"/>
                <w:highlight w:val="none"/>
                <w:u w:val="single"/>
                <w:lang w:val="en-US" w:eastAsia="zh-CN"/>
              </w:rPr>
              <w:t>投标报价</w:t>
            </w:r>
            <w:r>
              <w:rPr>
                <w:rFonts w:hint="eastAsia" w:ascii="宋体" w:hAnsi="宋体" w:eastAsia="宋体" w:cs="宋体"/>
                <w:b w:val="0"/>
                <w:bCs w:val="0"/>
                <w:color w:val="auto"/>
                <w:sz w:val="21"/>
                <w:szCs w:val="21"/>
                <w:highlight w:val="none"/>
                <w:u w:val="single"/>
                <w:lang w:val="en-US"/>
              </w:rPr>
              <w:t>评审优惠政策（仅适用于招标人为国家机关、事业单位、团体组织，且使用财政性资金开展的依法必须招标项目）</w:t>
            </w:r>
          </w:p>
          <w:p w14:paraId="37413B81">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val="0"/>
                <w:bCs w:val="0"/>
                <w:color w:val="auto"/>
                <w:sz w:val="21"/>
                <w:szCs w:val="21"/>
                <w:highlight w:val="none"/>
                <w:u w:val="none"/>
                <w:lang w:val="en-US"/>
              </w:rPr>
            </w:pPr>
            <w:r>
              <w:rPr>
                <w:rFonts w:hint="eastAsia" w:ascii="宋体" w:hAnsi="宋体" w:eastAsia="宋体" w:cs="宋体"/>
                <w:color w:val="auto"/>
                <w:kern w:val="2"/>
                <w:sz w:val="21"/>
                <w:szCs w:val="21"/>
                <w:highlight w:val="none"/>
                <w:u w:val="none"/>
                <w:lang w:val="zh-CN" w:eastAsia="zh-CN" w:bidi="ar-SA"/>
              </w:rPr>
              <w:t>■</w:t>
            </w:r>
            <w:r>
              <w:rPr>
                <w:rFonts w:hint="eastAsia" w:ascii="宋体" w:hAnsi="宋体" w:eastAsia="宋体" w:cs="宋体"/>
                <w:b/>
                <w:bCs/>
                <w:color w:val="auto"/>
                <w:sz w:val="21"/>
                <w:szCs w:val="21"/>
                <w:highlight w:val="none"/>
                <w:u w:val="none"/>
                <w:lang w:val="en-US"/>
              </w:rPr>
              <w:t>本招标项目执行</w:t>
            </w:r>
            <w:r>
              <w:rPr>
                <w:rFonts w:hint="eastAsia" w:ascii="宋体" w:hAnsi="宋体" w:eastAsia="宋体" w:cs="宋体"/>
                <w:b/>
                <w:bCs/>
                <w:color w:val="auto"/>
                <w:sz w:val="21"/>
                <w:szCs w:val="21"/>
                <w:highlight w:val="none"/>
                <w:u w:val="none"/>
                <w:lang w:val="en-US" w:eastAsia="zh-CN"/>
              </w:rPr>
              <w:t>投标报价</w:t>
            </w:r>
            <w:r>
              <w:rPr>
                <w:rFonts w:hint="eastAsia" w:ascii="宋体" w:hAnsi="宋体" w:eastAsia="宋体" w:cs="宋体"/>
                <w:b/>
                <w:bCs/>
                <w:color w:val="auto"/>
                <w:sz w:val="21"/>
                <w:szCs w:val="21"/>
                <w:highlight w:val="none"/>
                <w:u w:val="none"/>
                <w:lang w:val="en-US"/>
              </w:rPr>
              <w:t>评审优惠政策</w:t>
            </w:r>
          </w:p>
          <w:p w14:paraId="5394AC8D">
            <w:pPr>
              <w:keepNext w:val="0"/>
              <w:keepLines w:val="0"/>
              <w:pageBreakBefore w:val="0"/>
              <w:widowControl w:val="0"/>
              <w:kinsoku/>
              <w:wordWrap/>
              <w:overflowPunct/>
              <w:topLinePunct w:val="0"/>
              <w:autoSpaceDE w:val="0"/>
              <w:autoSpaceDN w:val="0"/>
              <w:bidi w:val="0"/>
              <w:adjustRightInd w:val="0"/>
              <w:snapToGrid/>
              <w:spacing w:line="360" w:lineRule="exact"/>
              <w:ind w:firstLine="0" w:firstLineChars="0"/>
              <w:jc w:val="both"/>
              <w:textAlignment w:val="auto"/>
              <w:rPr>
                <w:rFonts w:hint="eastAsia" w:ascii="宋体" w:hAnsi="宋体" w:eastAsia="宋体" w:cs="宋体"/>
                <w:b w:val="0"/>
                <w:bCs w:val="0"/>
                <w:color w:val="auto"/>
                <w:sz w:val="21"/>
                <w:szCs w:val="21"/>
                <w:highlight w:val="none"/>
                <w:u w:val="none"/>
                <w:lang w:val="en-US"/>
              </w:rPr>
            </w:pPr>
            <w:r>
              <w:rPr>
                <w:rFonts w:hint="eastAsia" w:ascii="宋体" w:hAnsi="宋体" w:eastAsia="宋体" w:cs="宋体"/>
                <w:b w:val="0"/>
                <w:bCs w:val="0"/>
                <w:color w:val="auto"/>
                <w:sz w:val="21"/>
                <w:szCs w:val="21"/>
                <w:highlight w:val="none"/>
                <w:u w:val="none"/>
                <w:lang w:val="en-US"/>
              </w:rPr>
              <w:t>□本招标项目不执行</w:t>
            </w:r>
            <w:r>
              <w:rPr>
                <w:rFonts w:hint="eastAsia" w:ascii="宋体" w:hAnsi="宋体" w:eastAsia="宋体" w:cs="宋体"/>
                <w:b w:val="0"/>
                <w:bCs w:val="0"/>
                <w:color w:val="auto"/>
                <w:sz w:val="21"/>
                <w:szCs w:val="21"/>
                <w:highlight w:val="none"/>
                <w:u w:val="none"/>
                <w:lang w:val="en-US" w:eastAsia="zh-CN"/>
              </w:rPr>
              <w:t>投标报价</w:t>
            </w:r>
            <w:r>
              <w:rPr>
                <w:rFonts w:hint="eastAsia" w:ascii="宋体" w:hAnsi="宋体" w:eastAsia="宋体" w:cs="宋体"/>
                <w:b w:val="0"/>
                <w:bCs w:val="0"/>
                <w:color w:val="auto"/>
                <w:sz w:val="21"/>
                <w:szCs w:val="21"/>
                <w:highlight w:val="none"/>
                <w:u w:val="none"/>
                <w:lang w:val="en-US"/>
              </w:rPr>
              <w:t>评审优惠政策</w:t>
            </w:r>
          </w:p>
          <w:p w14:paraId="64376AA8">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根据《广东省政府采购促进中小企业发展实施细则（试行）》要求，对符合《政府采购促进中小企业发展管理办法》的投标人，给予相应的价格评审优惠。</w:t>
            </w:r>
          </w:p>
          <w:p w14:paraId="4AF86A72">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投标人属于招标项目行业小微企业的，评标时在采用原报价进行评分的基础上，</w:t>
            </w:r>
            <w:r>
              <w:rPr>
                <w:rFonts w:hint="eastAsia" w:ascii="宋体" w:hAnsi="宋体" w:eastAsia="宋体" w:cs="宋体"/>
                <w:b/>
                <w:bCs/>
                <w:color w:val="auto"/>
                <w:sz w:val="21"/>
                <w:szCs w:val="21"/>
                <w:highlight w:val="none"/>
                <w:u w:val="none"/>
                <w:lang w:eastAsia="zh-CN"/>
              </w:rPr>
              <w:t>按5%增加</w:t>
            </w:r>
            <w:r>
              <w:rPr>
                <w:rFonts w:hint="eastAsia" w:ascii="宋体" w:hAnsi="宋体" w:eastAsia="宋体" w:cs="宋体"/>
                <w:color w:val="auto"/>
                <w:sz w:val="21"/>
                <w:szCs w:val="21"/>
                <w:highlight w:val="none"/>
                <w:u w:val="none"/>
                <w:lang w:eastAsia="zh-CN"/>
              </w:rPr>
              <w:t>其价格得分。</w:t>
            </w:r>
          </w:p>
          <w:p w14:paraId="6F52A307">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注：①根据《广东省政府采购促进中小企业发展实施细则（试行）》（粤财采购</w:t>
            </w:r>
            <w:r>
              <w:rPr>
                <w:rFonts w:hint="eastAsia" w:ascii="宋体" w:hAnsi="宋体" w:eastAsia="宋体" w:cs="宋体"/>
                <w:strike w:val="0"/>
                <w:dstrike w:val="0"/>
                <w:color w:val="auto"/>
                <w:sz w:val="21"/>
                <w:szCs w:val="21"/>
                <w:highlight w:val="none"/>
                <w:u w:val="none"/>
                <w:lang w:val="en-US" w:eastAsia="zh-CN"/>
              </w:rPr>
              <w:t>〔2022〕</w:t>
            </w:r>
            <w:r>
              <w:rPr>
                <w:rFonts w:hint="eastAsia" w:ascii="宋体" w:hAnsi="宋体" w:eastAsia="宋体" w:cs="宋体"/>
                <w:color w:val="auto"/>
                <w:sz w:val="21"/>
                <w:szCs w:val="21"/>
                <w:highlight w:val="none"/>
                <w:u w:val="none"/>
                <w:lang w:eastAsia="zh-CN"/>
              </w:rPr>
              <w:t>10号）要求，对符合《政府采购促进中小企业发展管理办法》（财库</w:t>
            </w:r>
            <w:r>
              <w:rPr>
                <w:rFonts w:hint="eastAsia" w:ascii="宋体" w:hAnsi="宋体" w:eastAsia="宋体" w:cs="宋体"/>
                <w:strike w:val="0"/>
                <w:dstrike w:val="0"/>
                <w:color w:val="auto"/>
                <w:sz w:val="21"/>
                <w:szCs w:val="21"/>
                <w:highlight w:val="none"/>
                <w:u w:val="none"/>
                <w:lang w:val="en-US" w:eastAsia="zh-CN"/>
              </w:rPr>
              <w:t>〔2020〕</w:t>
            </w:r>
            <w:r>
              <w:rPr>
                <w:rFonts w:hint="eastAsia" w:ascii="宋体" w:hAnsi="宋体" w:eastAsia="宋体" w:cs="宋体"/>
                <w:color w:val="auto"/>
                <w:sz w:val="21"/>
                <w:szCs w:val="21"/>
                <w:highlight w:val="none"/>
                <w:u w:val="none"/>
                <w:lang w:eastAsia="zh-CN"/>
              </w:rPr>
              <w:t>46号）的投标人，给予相应的价格评审优惠。</w:t>
            </w:r>
          </w:p>
          <w:p w14:paraId="47AD186F">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②小微企业划分标准按照《工业和信息化部国家统计局国家发展和改革委员会财政部关于印发中小企业划型标准规定的通知》（工信部联企业</w:t>
            </w:r>
            <w:r>
              <w:rPr>
                <w:rFonts w:hint="eastAsia" w:ascii="宋体" w:hAnsi="宋体" w:eastAsia="宋体" w:cs="宋体"/>
                <w:b w:val="0"/>
                <w:bCs w:val="0"/>
                <w:color w:val="auto"/>
                <w:kern w:val="2"/>
                <w:sz w:val="21"/>
                <w:szCs w:val="21"/>
                <w:highlight w:val="none"/>
                <w:u w:val="none"/>
                <w:lang w:val="en-US" w:eastAsia="zh-CN" w:bidi="ar-SA"/>
              </w:rPr>
              <w:t>〔2011〕</w:t>
            </w:r>
            <w:r>
              <w:rPr>
                <w:rFonts w:hint="eastAsia" w:ascii="宋体" w:hAnsi="宋体" w:eastAsia="宋体" w:cs="宋体"/>
                <w:color w:val="auto"/>
                <w:sz w:val="21"/>
                <w:szCs w:val="21"/>
                <w:highlight w:val="none"/>
                <w:u w:val="none"/>
                <w:lang w:eastAsia="zh-CN"/>
              </w:rPr>
              <w:t>300号）执行。本项目属于</w:t>
            </w:r>
            <w:r>
              <w:rPr>
                <w:rFonts w:hint="eastAsia" w:ascii="宋体" w:hAnsi="宋体" w:eastAsia="宋体" w:cs="宋体"/>
                <w:b/>
                <w:bCs/>
                <w:color w:val="auto"/>
                <w:sz w:val="21"/>
                <w:szCs w:val="21"/>
                <w:highlight w:val="none"/>
                <w:u w:val="none"/>
                <w:lang w:eastAsia="zh-CN"/>
              </w:rPr>
              <w:t>其他未列明行业</w:t>
            </w:r>
            <w:r>
              <w:rPr>
                <w:rFonts w:hint="eastAsia" w:ascii="宋体" w:hAnsi="宋体" w:eastAsia="宋体" w:cs="宋体"/>
                <w:color w:val="auto"/>
                <w:sz w:val="21"/>
                <w:szCs w:val="21"/>
                <w:highlight w:val="none"/>
                <w:u w:val="none"/>
                <w:lang w:eastAsia="zh-CN"/>
              </w:rPr>
              <w:t>，从业人员300人以下的为中小微型企业。其中，从业人员100人及以上的为中型企业；从业人员10人及以上的为小型企业；从业人员10人以下的为微型企业。</w:t>
            </w:r>
          </w:p>
          <w:p w14:paraId="2572AFA3">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③根据《关于政府采购支持监狱企业发展有关问题的通知》(财库</w:t>
            </w:r>
            <w:r>
              <w:rPr>
                <w:rFonts w:hint="eastAsia" w:ascii="宋体" w:hAnsi="宋体" w:eastAsia="宋体" w:cs="宋体"/>
                <w:color w:val="auto"/>
                <w:sz w:val="21"/>
                <w:szCs w:val="21"/>
                <w:highlight w:val="none"/>
                <w:u w:val="none"/>
                <w:lang w:val="en-US" w:eastAsia="zh-CN"/>
              </w:rPr>
              <w:t>〔2014〕</w:t>
            </w:r>
            <w:r>
              <w:rPr>
                <w:rFonts w:hint="eastAsia" w:ascii="宋体" w:hAnsi="宋体" w:eastAsia="宋体" w:cs="宋体"/>
                <w:color w:val="auto"/>
                <w:sz w:val="21"/>
                <w:szCs w:val="21"/>
                <w:highlight w:val="none"/>
                <w:u w:val="none"/>
                <w:lang w:eastAsia="zh-CN"/>
              </w:rPr>
              <w:t>68号）、《关于促进残疾人就业政府采购政策的通知》（财库</w:t>
            </w:r>
            <w:r>
              <w:rPr>
                <w:rFonts w:hint="eastAsia" w:ascii="宋体" w:hAnsi="宋体" w:eastAsia="宋体" w:cs="宋体"/>
                <w:color w:val="auto"/>
                <w:sz w:val="21"/>
                <w:szCs w:val="21"/>
                <w:highlight w:val="none"/>
                <w:u w:val="none"/>
                <w:lang w:val="en-US" w:eastAsia="zh-CN"/>
              </w:rPr>
              <w:t>〔2017〕</w:t>
            </w:r>
            <w:r>
              <w:rPr>
                <w:rFonts w:hint="eastAsia" w:ascii="宋体" w:hAnsi="宋体" w:eastAsia="宋体" w:cs="宋体"/>
                <w:color w:val="auto"/>
                <w:sz w:val="21"/>
                <w:szCs w:val="21"/>
                <w:highlight w:val="none"/>
                <w:u w:val="none"/>
                <w:lang w:eastAsia="zh-CN"/>
              </w:rPr>
              <w:t>141号）规定，监狱企业、残疾人福利性单位视同小型、微型企业。</w:t>
            </w:r>
          </w:p>
          <w:p w14:paraId="4D6DCC37">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④投标人应按</w:t>
            </w:r>
            <w:r>
              <w:rPr>
                <w:rFonts w:hint="eastAsia" w:ascii="宋体" w:hAnsi="宋体" w:eastAsia="宋体" w:cs="宋体"/>
                <w:b/>
                <w:bCs/>
                <w:color w:val="auto"/>
                <w:sz w:val="21"/>
                <w:szCs w:val="21"/>
                <w:highlight w:val="none"/>
                <w:u w:val="none"/>
                <w:lang w:eastAsia="zh-CN"/>
              </w:rPr>
              <w:t>招标文件第六章规定的格式</w:t>
            </w:r>
            <w:r>
              <w:rPr>
                <w:rFonts w:hint="eastAsia" w:ascii="宋体" w:hAnsi="宋体" w:eastAsia="宋体" w:cs="宋体"/>
                <w:color w:val="auto"/>
                <w:sz w:val="21"/>
                <w:szCs w:val="21"/>
                <w:highlight w:val="none"/>
                <w:u w:val="none"/>
                <w:lang w:eastAsia="zh-CN"/>
              </w:rPr>
              <w:t>出具《中小企业声明函》、或属于监狱企业的证明文件、或《残疾人福利性单位声明函》，否则不得享受相关价格评审优惠。</w:t>
            </w:r>
          </w:p>
          <w:p w14:paraId="234D36BE">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⑤小微企业与大企业的负责人为同一人，或者与大企业存在直接控股、管理关系的，均不给予相应的价格评审优惠。</w:t>
            </w:r>
          </w:p>
          <w:p w14:paraId="69231AC1">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⑥监狱企业、残疾人福利性单位属于小型、微型企业的，不重复享受政策。</w:t>
            </w:r>
          </w:p>
          <w:p w14:paraId="3F46A26A">
            <w:pPr>
              <w:keepNext w:val="0"/>
              <w:keepLines w:val="0"/>
              <w:pageBreakBefore w:val="0"/>
              <w:widowControl/>
              <w:kinsoku/>
              <w:wordWrap/>
              <w:overflowPunct/>
              <w:topLinePunct w:val="0"/>
              <w:autoSpaceDE w:val="0"/>
              <w:autoSpaceDN w:val="0"/>
              <w:bidi w:val="0"/>
              <w:adjustRightInd/>
              <w:snapToGrid w:val="0"/>
              <w:spacing w:line="360" w:lineRule="exact"/>
              <w:ind w:left="105" w:leftChars="50" w:right="105" w:rightChars="50"/>
              <w:jc w:val="both"/>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⑦若原报价已满分，以满分作为最终价格分。</w:t>
            </w:r>
          </w:p>
        </w:tc>
      </w:tr>
    </w:tbl>
    <w:p w14:paraId="62DE7979">
      <w:pPr>
        <w:rPr>
          <w:rFonts w:hint="eastAsia" w:ascii="宋体" w:hAnsi="宋体" w:eastAsia="宋体" w:cs="宋体"/>
          <w:color w:val="auto"/>
          <w:highlight w:val="none"/>
        </w:rPr>
      </w:pPr>
    </w:p>
    <w:p w14:paraId="47518CB2">
      <w:pPr>
        <w:rPr>
          <w:rFonts w:hint="eastAsia" w:ascii="宋体" w:hAnsi="宋体" w:eastAsia="宋体" w:cs="宋体"/>
          <w:color w:val="auto"/>
          <w:highlight w:val="none"/>
        </w:rPr>
        <w:sectPr>
          <w:footerReference r:id="rId8" w:type="default"/>
          <w:pgSz w:w="11905" w:h="16838"/>
          <w:pgMar w:top="1344" w:right="1247" w:bottom="1106" w:left="1837" w:header="0" w:footer="680" w:gutter="0"/>
          <w:pgNumType w:fmt="decimal"/>
          <w:cols w:space="0" w:num="1"/>
          <w:rtlGutter w:val="0"/>
          <w:docGrid w:type="linesAndChars" w:linePitch="312" w:charSpace="0"/>
        </w:sectPr>
      </w:pPr>
    </w:p>
    <w:p w14:paraId="0851242B">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94" w:name="_Toc14454"/>
      <w:bookmarkStart w:id="95" w:name="_Toc2101"/>
      <w:bookmarkStart w:id="96" w:name="_Toc3373"/>
      <w:bookmarkStart w:id="97" w:name="_Toc24325"/>
      <w:bookmarkStart w:id="98" w:name="_Toc357"/>
      <w:bookmarkStart w:id="99" w:name="_Toc22922"/>
      <w:r>
        <w:rPr>
          <w:rFonts w:hint="eastAsia" w:ascii="宋体" w:hAnsi="宋体" w:eastAsia="宋体" w:cs="宋体"/>
          <w:kern w:val="2"/>
          <w:lang w:val="en-US" w:eastAsia="zh-CN"/>
        </w:rPr>
        <w:t>1．总则</w:t>
      </w:r>
      <w:bookmarkEnd w:id="94"/>
      <w:bookmarkEnd w:id="95"/>
      <w:bookmarkEnd w:id="96"/>
      <w:bookmarkEnd w:id="97"/>
      <w:bookmarkEnd w:id="98"/>
      <w:bookmarkEnd w:id="99"/>
    </w:p>
    <w:p w14:paraId="05133CAB">
      <w:pPr>
        <w:spacing w:before="68" w:line="352" w:lineRule="auto"/>
        <w:ind w:right="72"/>
        <w:rPr>
          <w:rFonts w:hint="eastAsia" w:ascii="宋体" w:hAnsi="宋体" w:eastAsia="宋体" w:cs="宋体"/>
          <w:b/>
          <w:bCs/>
          <w:color w:val="auto"/>
          <w:spacing w:val="-2"/>
          <w:sz w:val="24"/>
          <w:szCs w:val="24"/>
          <w:highlight w:val="none"/>
        </w:rPr>
      </w:pPr>
      <w:bookmarkStart w:id="100" w:name="_Toc24214"/>
      <w:bookmarkStart w:id="101" w:name="_Toc31737"/>
      <w:bookmarkStart w:id="102" w:name="_Toc3974"/>
      <w:bookmarkStart w:id="103" w:name="_Toc27791"/>
      <w:bookmarkStart w:id="104" w:name="_Toc9379"/>
      <w:r>
        <w:rPr>
          <w:rFonts w:hint="eastAsia" w:ascii="宋体" w:hAnsi="宋体" w:eastAsia="宋体" w:cs="宋体"/>
          <w:b/>
          <w:bCs/>
          <w:color w:val="auto"/>
          <w:spacing w:val="-2"/>
          <w:sz w:val="24"/>
          <w:szCs w:val="24"/>
          <w:highlight w:val="none"/>
        </w:rPr>
        <w:t>1.1 招标项目概况</w:t>
      </w:r>
      <w:bookmarkEnd w:id="100"/>
      <w:bookmarkEnd w:id="101"/>
      <w:bookmarkEnd w:id="102"/>
      <w:bookmarkEnd w:id="103"/>
      <w:bookmarkEnd w:id="104"/>
    </w:p>
    <w:p w14:paraId="5E9E928C">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380" w:firstLineChars="200"/>
        <w:jc w:val="both"/>
        <w:textAlignment w:val="auto"/>
        <w:rPr>
          <w:rFonts w:hint="eastAsia" w:ascii="宋体" w:hAnsi="宋体" w:eastAsia="宋体" w:cs="宋体"/>
          <w:color w:val="auto"/>
          <w:spacing w:val="-10"/>
          <w:highlight w:val="none"/>
        </w:rPr>
      </w:pPr>
      <w:r>
        <w:rPr>
          <w:rFonts w:hint="eastAsia" w:ascii="宋体" w:hAnsi="宋体" w:eastAsia="宋体" w:cs="宋体"/>
          <w:color w:val="auto"/>
          <w:spacing w:val="-10"/>
          <w:highlight w:val="none"/>
        </w:rPr>
        <w:t>1.1.1</w:t>
      </w:r>
      <w:r>
        <w:rPr>
          <w:rFonts w:hint="eastAsia" w:ascii="宋体" w:hAnsi="宋体" w:eastAsia="宋体" w:cs="宋体"/>
          <w:color w:val="auto"/>
          <w:spacing w:val="-10"/>
          <w:highlight w:val="none"/>
          <w:lang w:val="en-US" w:eastAsia="zh-CN"/>
        </w:rPr>
        <w:t xml:space="preserve"> </w:t>
      </w:r>
      <w:r>
        <w:rPr>
          <w:rFonts w:hint="eastAsia" w:ascii="宋体" w:hAnsi="宋体" w:eastAsia="宋体" w:cs="宋体"/>
          <w:color w:val="auto"/>
          <w:spacing w:val="-10"/>
          <w:highlight w:val="none"/>
        </w:rPr>
        <w:t>根</w:t>
      </w:r>
      <w:r>
        <w:rPr>
          <w:rFonts w:hint="eastAsia" w:ascii="宋体" w:hAnsi="宋体" w:eastAsia="宋体" w:cs="宋体"/>
          <w:color w:val="auto"/>
          <w:spacing w:val="-5"/>
          <w:highlight w:val="none"/>
        </w:rPr>
        <w:t>据《中华人民共和国招标投标法》、《中华人民共和国招标投标法实施条例》等有关</w:t>
      </w:r>
      <w:r>
        <w:rPr>
          <w:rFonts w:hint="eastAsia" w:ascii="宋体" w:hAnsi="宋体" w:eastAsia="宋体" w:cs="宋体"/>
          <w:color w:val="auto"/>
          <w:highlight w:val="none"/>
        </w:rPr>
        <w:t xml:space="preserve"> </w:t>
      </w:r>
      <w:r>
        <w:rPr>
          <w:rFonts w:hint="eastAsia" w:ascii="宋体" w:hAnsi="宋体" w:eastAsia="宋体" w:cs="宋体"/>
          <w:color w:val="auto"/>
          <w:spacing w:val="-2"/>
          <w:highlight w:val="none"/>
        </w:rPr>
        <w:t>法律、法</w:t>
      </w:r>
      <w:r>
        <w:rPr>
          <w:rFonts w:hint="eastAsia" w:ascii="宋体" w:hAnsi="宋体" w:eastAsia="宋体" w:cs="宋体"/>
          <w:color w:val="auto"/>
          <w:spacing w:val="-1"/>
          <w:highlight w:val="none"/>
        </w:rPr>
        <w:t>规和规章的规定，本招标项目已具备招标条件，现对</w:t>
      </w:r>
      <w:r>
        <w:rPr>
          <w:rFonts w:hint="eastAsia" w:ascii="宋体" w:hAnsi="宋体" w:eastAsia="宋体" w:cs="宋体"/>
          <w:bCs/>
          <w:color w:val="auto"/>
          <w:szCs w:val="32"/>
          <w:highlight w:val="none"/>
          <w:u w:val="single"/>
          <w:lang w:val="en-US" w:eastAsia="zh-CN"/>
        </w:rPr>
        <w:t>广州市增城区大封门水库扩容工程</w:t>
      </w:r>
      <w:r>
        <w:rPr>
          <w:rFonts w:hint="eastAsia" w:ascii="宋体" w:hAnsi="宋体" w:eastAsia="宋体" w:cs="宋体"/>
          <w:bCs/>
          <w:color w:val="auto"/>
          <w:szCs w:val="32"/>
          <w:highlight w:val="none"/>
          <w:u w:val="single"/>
          <w:lang w:eastAsia="zh-CN"/>
        </w:rPr>
        <w:t>BIM技术应用服务</w:t>
      </w:r>
      <w:r>
        <w:rPr>
          <w:rFonts w:hint="eastAsia" w:ascii="宋体" w:hAnsi="宋体" w:eastAsia="宋体" w:cs="宋体"/>
          <w:color w:val="auto"/>
          <w:spacing w:val="-1"/>
          <w:highlight w:val="none"/>
        </w:rPr>
        <w:t>进行招标。</w:t>
      </w:r>
    </w:p>
    <w:p w14:paraId="288003FA">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1.1.2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招标人：见投标人须知前附表。</w:t>
      </w:r>
    </w:p>
    <w:p w14:paraId="47C26033">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1.1.3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招标代理机构：见投标人须知前附表。</w:t>
      </w:r>
    </w:p>
    <w:p w14:paraId="3569B85A">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1.1.4</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招标项目名称：见投标人须知前附表。</w:t>
      </w:r>
    </w:p>
    <w:p w14:paraId="4F58FB8F">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1.1.5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项目建设地点：见投标人须知前附表。</w:t>
      </w:r>
    </w:p>
    <w:p w14:paraId="2EB51D44">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1.1.6</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项目建设规模：见投标人须知前附表。</w:t>
      </w:r>
    </w:p>
    <w:p w14:paraId="78DC9025">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1.1.7</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项目投资估算：见投标人须知前附表。</w:t>
      </w:r>
    </w:p>
    <w:p w14:paraId="226AA689">
      <w:pPr>
        <w:spacing w:before="68" w:line="352" w:lineRule="auto"/>
        <w:ind w:right="72"/>
        <w:rPr>
          <w:rFonts w:hint="eastAsia" w:ascii="宋体" w:hAnsi="宋体" w:eastAsia="宋体" w:cs="宋体"/>
          <w:b/>
          <w:bCs/>
          <w:color w:val="auto"/>
          <w:spacing w:val="-2"/>
          <w:sz w:val="24"/>
          <w:szCs w:val="24"/>
          <w:highlight w:val="none"/>
        </w:rPr>
      </w:pPr>
      <w:bookmarkStart w:id="105" w:name="_Toc3794"/>
      <w:bookmarkStart w:id="106" w:name="_Toc9196"/>
      <w:bookmarkStart w:id="107" w:name="_Toc17697"/>
      <w:bookmarkStart w:id="108" w:name="_Toc24724"/>
      <w:bookmarkStart w:id="109" w:name="_Toc6870"/>
      <w:r>
        <w:rPr>
          <w:rFonts w:hint="eastAsia" w:ascii="宋体" w:hAnsi="宋体" w:eastAsia="宋体" w:cs="宋体"/>
          <w:b/>
          <w:bCs/>
          <w:color w:val="auto"/>
          <w:spacing w:val="-2"/>
          <w:sz w:val="24"/>
          <w:szCs w:val="24"/>
          <w:highlight w:val="none"/>
        </w:rPr>
        <w:t>1.2 招标项目的资金来源和落实情况</w:t>
      </w:r>
      <w:bookmarkEnd w:id="105"/>
      <w:bookmarkEnd w:id="106"/>
      <w:bookmarkEnd w:id="107"/>
      <w:bookmarkEnd w:id="108"/>
      <w:bookmarkEnd w:id="109"/>
    </w:p>
    <w:p w14:paraId="6498D0BF">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1.2.1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资金来源及比例：见投标人须知前附表。</w:t>
      </w:r>
    </w:p>
    <w:p w14:paraId="65772C08">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1.2.2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资金落实情况：见投标人须知前附表。</w:t>
      </w:r>
    </w:p>
    <w:p w14:paraId="49633CF9">
      <w:pPr>
        <w:spacing w:before="68" w:line="352" w:lineRule="auto"/>
        <w:ind w:right="72"/>
        <w:rPr>
          <w:rFonts w:hint="eastAsia" w:ascii="宋体" w:hAnsi="宋体" w:eastAsia="宋体" w:cs="宋体"/>
          <w:b/>
          <w:bCs/>
          <w:color w:val="auto"/>
          <w:spacing w:val="-2"/>
          <w:sz w:val="24"/>
          <w:szCs w:val="24"/>
          <w:highlight w:val="none"/>
        </w:rPr>
      </w:pPr>
      <w:bookmarkStart w:id="110" w:name="_Toc4137"/>
      <w:bookmarkStart w:id="111" w:name="_Toc20605"/>
      <w:bookmarkStart w:id="112" w:name="_Toc16472"/>
      <w:bookmarkStart w:id="113" w:name="_Toc16178"/>
      <w:bookmarkStart w:id="114" w:name="_Toc12983"/>
      <w:r>
        <w:rPr>
          <w:rFonts w:hint="eastAsia" w:ascii="宋体" w:hAnsi="宋体" w:eastAsia="宋体" w:cs="宋体"/>
          <w:b/>
          <w:bCs/>
          <w:color w:val="auto"/>
          <w:spacing w:val="-2"/>
          <w:sz w:val="24"/>
          <w:szCs w:val="24"/>
          <w:highlight w:val="none"/>
        </w:rPr>
        <w:t>1.3 招标范围、服务期限和质量标准</w:t>
      </w:r>
      <w:bookmarkEnd w:id="110"/>
      <w:bookmarkEnd w:id="111"/>
      <w:bookmarkEnd w:id="112"/>
      <w:bookmarkEnd w:id="113"/>
      <w:bookmarkEnd w:id="114"/>
    </w:p>
    <w:p w14:paraId="131DFE2F">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1.3.1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招标范围：见投标人须知前附表。</w:t>
      </w:r>
    </w:p>
    <w:p w14:paraId="0C1CC56E">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1.3.2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服务期限：见投标人须知前附表。</w:t>
      </w:r>
    </w:p>
    <w:p w14:paraId="2755364B">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1.3.3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质量标准：见投标人须知前附表。</w:t>
      </w:r>
    </w:p>
    <w:p w14:paraId="64903CEA">
      <w:pPr>
        <w:spacing w:before="68" w:line="352" w:lineRule="auto"/>
        <w:ind w:right="72"/>
        <w:rPr>
          <w:rFonts w:hint="eastAsia" w:ascii="宋体" w:hAnsi="宋体" w:eastAsia="宋体" w:cs="宋体"/>
          <w:b/>
          <w:bCs/>
          <w:color w:val="auto"/>
          <w:spacing w:val="-2"/>
          <w:sz w:val="24"/>
          <w:szCs w:val="24"/>
          <w:highlight w:val="none"/>
        </w:rPr>
      </w:pPr>
      <w:bookmarkStart w:id="115" w:name="_Toc22838"/>
      <w:bookmarkStart w:id="116" w:name="_Toc15406"/>
      <w:bookmarkStart w:id="117" w:name="_Toc4053"/>
      <w:bookmarkStart w:id="118" w:name="_Toc19751"/>
      <w:bookmarkStart w:id="119" w:name="_Toc2472"/>
      <w:r>
        <w:rPr>
          <w:rFonts w:hint="eastAsia" w:ascii="宋体" w:hAnsi="宋体" w:eastAsia="宋体" w:cs="宋体"/>
          <w:b/>
          <w:bCs/>
          <w:color w:val="auto"/>
          <w:spacing w:val="-2"/>
          <w:sz w:val="24"/>
          <w:szCs w:val="24"/>
          <w:highlight w:val="none"/>
        </w:rPr>
        <w:t>1.4 投标人资格要求</w:t>
      </w:r>
      <w:bookmarkEnd w:id="115"/>
      <w:bookmarkEnd w:id="116"/>
      <w:bookmarkEnd w:id="117"/>
      <w:bookmarkEnd w:id="118"/>
      <w:bookmarkEnd w:id="119"/>
    </w:p>
    <w:p w14:paraId="62C46ABC">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1.4.1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投标人应具备承担本招标项目资质条件、能力和信誉：详见</w:t>
      </w:r>
      <w:r>
        <w:rPr>
          <w:rFonts w:hint="eastAsia" w:ascii="宋体" w:hAnsi="宋体" w:eastAsia="宋体" w:cs="宋体"/>
          <w:color w:val="auto"/>
          <w:highlight w:val="none"/>
          <w:lang w:eastAsia="zh-CN"/>
        </w:rPr>
        <w:t>本项目</w:t>
      </w:r>
      <w:r>
        <w:rPr>
          <w:rFonts w:hint="eastAsia" w:ascii="宋体" w:hAnsi="宋体" w:eastAsia="宋体" w:cs="宋体"/>
          <w:color w:val="auto"/>
          <w:highlight w:val="none"/>
        </w:rPr>
        <w:t>招标公告；</w:t>
      </w:r>
    </w:p>
    <w:p w14:paraId="16D1F44F">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需要提交的相关证明材料见本章第 3.5 款的规定。</w:t>
      </w:r>
    </w:p>
    <w:p w14:paraId="7D2EFEF6">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1.4.2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投标人须知前附表规定接受联合体投标的，联合体除应符合本章第 1.4.1 项和投标人须知前附表的要求外，还应遵守以下规定：</w:t>
      </w:r>
    </w:p>
    <w:p w14:paraId="1F836BA9">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(1)联合体各方应按招标文件提供的格式签订联合体协议书，明确联合体主办方和各方权 利义务，并承诺就中标项目向招标人承担连带责任；</w:t>
      </w:r>
    </w:p>
    <w:p w14:paraId="5CFB6FBD">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(2)由同一专业的单位组成的联合体，按照资质等级较低的单位确定资质等级；</w:t>
      </w:r>
    </w:p>
    <w:p w14:paraId="496C8164">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(3)联合体各方不得再以自己名义单独或参加其他联合体在本招标项目中投标，否则各相 关投标均无效。</w:t>
      </w:r>
    </w:p>
    <w:p w14:paraId="2E9489A0">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1.4.3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投标人不得存在下列情形之一：</w:t>
      </w:r>
    </w:p>
    <w:p w14:paraId="2549F790">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(1)为招标人不具有独立法人资格的附属机构(单位)；</w:t>
      </w:r>
    </w:p>
    <w:p w14:paraId="0CC32E67">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(2)与招标人存在利害关系且可能影响招标公正性；</w:t>
      </w:r>
    </w:p>
    <w:p w14:paraId="2F464F3B">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(3)与本招标项目的其他投标人为同一个单位负责人；</w:t>
      </w:r>
    </w:p>
    <w:p w14:paraId="2064AEC2">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(4)与本招标项目的其他投标人存在控股、管理关系；</w:t>
      </w:r>
    </w:p>
    <w:p w14:paraId="75136EC0">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(5)为本招标项目的代建人；</w:t>
      </w:r>
    </w:p>
    <w:p w14:paraId="7E880374">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(6)为本招标项目的招标代理机构；</w:t>
      </w:r>
    </w:p>
    <w:p w14:paraId="26645C5A">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(7)与本招标项目的代建人或招标代理机构同为一个法定代表人；</w:t>
      </w:r>
    </w:p>
    <w:p w14:paraId="7897D855">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(8)与本招标项目的代建人或招标代理机构存在控股或参股关系；</w:t>
      </w:r>
    </w:p>
    <w:p w14:paraId="2B1018B8">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(9)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2E4BE1B6">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(10)被责令停产停业、暂扣或者吊销许可证、暂扣或者吊销执照的(本项事实应当以根据《中华人民共和国行政处罚法》依法作出并已经生效的行政处罚决定为认定依据)；</w:t>
      </w:r>
    </w:p>
    <w:p w14:paraId="097F1156">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(11)进入清算程序，或被宣布破产，或其他丧失履约能力的情形；</w:t>
      </w:r>
    </w:p>
    <w:p w14:paraId="4F2B3CBF">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(12)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DF674FD">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(13)在投标文件有关技术方案和要求中不得指定与工程建设项目有关的重要设备、材料的生产供应者，或者含有倾向或者排斥特定生产供应者的内容；</w:t>
      </w:r>
    </w:p>
    <w:p w14:paraId="2E6A0841">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(14)法律法规或投标人须知前附表规定的其他情形。</w:t>
      </w:r>
    </w:p>
    <w:p w14:paraId="1BF211D7">
      <w:pPr>
        <w:spacing w:before="68" w:line="352" w:lineRule="auto"/>
        <w:ind w:right="72"/>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1.5 费用承担</w:t>
      </w:r>
    </w:p>
    <w:p w14:paraId="2C78074C">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投标人准备和参加投标活动发生的费用自理。</w:t>
      </w:r>
    </w:p>
    <w:p w14:paraId="1EB81F1B">
      <w:pPr>
        <w:spacing w:before="68" w:line="352" w:lineRule="auto"/>
        <w:ind w:right="72"/>
        <w:rPr>
          <w:rFonts w:hint="eastAsia" w:ascii="宋体" w:hAnsi="宋体" w:eastAsia="宋体" w:cs="宋体"/>
          <w:b/>
          <w:bCs/>
          <w:color w:val="auto"/>
          <w:spacing w:val="-2"/>
          <w:sz w:val="24"/>
          <w:szCs w:val="24"/>
          <w:highlight w:val="none"/>
        </w:rPr>
      </w:pPr>
      <w:bookmarkStart w:id="120" w:name="_Toc22983"/>
      <w:bookmarkStart w:id="121" w:name="_Toc8766"/>
      <w:bookmarkStart w:id="122" w:name="_Toc28683"/>
      <w:bookmarkStart w:id="123" w:name="_Toc21663"/>
      <w:bookmarkStart w:id="124" w:name="_Toc1659"/>
      <w:r>
        <w:rPr>
          <w:rFonts w:hint="eastAsia" w:ascii="宋体" w:hAnsi="宋体" w:eastAsia="宋体" w:cs="宋体"/>
          <w:b/>
          <w:bCs/>
          <w:color w:val="auto"/>
          <w:spacing w:val="-2"/>
          <w:sz w:val="24"/>
          <w:szCs w:val="24"/>
          <w:highlight w:val="none"/>
        </w:rPr>
        <w:t>1.6 保密</w:t>
      </w:r>
      <w:bookmarkEnd w:id="120"/>
      <w:bookmarkEnd w:id="121"/>
      <w:bookmarkEnd w:id="122"/>
      <w:bookmarkEnd w:id="123"/>
      <w:bookmarkEnd w:id="124"/>
    </w:p>
    <w:p w14:paraId="18A898DF">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参与招标投标活动的各方应对招标文件和投标文件中的商业和技术等秘密保密，否则应承 担相应的法律责任。</w:t>
      </w:r>
    </w:p>
    <w:p w14:paraId="748BB3BD">
      <w:pPr>
        <w:spacing w:before="68" w:line="352" w:lineRule="auto"/>
        <w:ind w:right="72"/>
        <w:rPr>
          <w:rFonts w:hint="eastAsia" w:ascii="宋体" w:hAnsi="宋体" w:eastAsia="宋体" w:cs="宋体"/>
          <w:b/>
          <w:bCs/>
          <w:color w:val="auto"/>
          <w:spacing w:val="-2"/>
          <w:sz w:val="24"/>
          <w:szCs w:val="24"/>
          <w:highlight w:val="none"/>
        </w:rPr>
      </w:pPr>
      <w:bookmarkStart w:id="125" w:name="_Toc13936"/>
      <w:bookmarkStart w:id="126" w:name="_Toc8611"/>
      <w:bookmarkStart w:id="127" w:name="_Toc19771"/>
      <w:bookmarkStart w:id="128" w:name="_Toc8781"/>
      <w:bookmarkStart w:id="129" w:name="_Toc13173"/>
      <w:r>
        <w:rPr>
          <w:rFonts w:hint="eastAsia" w:ascii="宋体" w:hAnsi="宋体" w:eastAsia="宋体" w:cs="宋体"/>
          <w:b/>
          <w:bCs/>
          <w:color w:val="auto"/>
          <w:spacing w:val="-2"/>
          <w:sz w:val="24"/>
          <w:szCs w:val="24"/>
          <w:highlight w:val="none"/>
        </w:rPr>
        <w:t>1.7 语言文字</w:t>
      </w:r>
      <w:bookmarkEnd w:id="125"/>
      <w:bookmarkEnd w:id="126"/>
      <w:bookmarkEnd w:id="127"/>
      <w:bookmarkEnd w:id="128"/>
      <w:bookmarkEnd w:id="129"/>
    </w:p>
    <w:p w14:paraId="039C7DF4">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招标投标文件使用的语言文字为中文。专用术语使用外文的，应附有中文注释。</w:t>
      </w:r>
    </w:p>
    <w:p w14:paraId="73841EDA">
      <w:pPr>
        <w:spacing w:before="68" w:line="352" w:lineRule="auto"/>
        <w:ind w:right="72"/>
        <w:rPr>
          <w:rFonts w:hint="eastAsia" w:ascii="宋体" w:hAnsi="宋体" w:eastAsia="宋体" w:cs="宋体"/>
          <w:b/>
          <w:bCs/>
          <w:color w:val="auto"/>
          <w:spacing w:val="-2"/>
          <w:sz w:val="24"/>
          <w:szCs w:val="24"/>
          <w:highlight w:val="none"/>
        </w:rPr>
      </w:pPr>
      <w:bookmarkStart w:id="130" w:name="_Toc15777"/>
      <w:bookmarkStart w:id="131" w:name="_Toc8341"/>
      <w:bookmarkStart w:id="132" w:name="_Toc20197"/>
      <w:bookmarkStart w:id="133" w:name="_Toc3696"/>
      <w:bookmarkStart w:id="134" w:name="_Toc19348"/>
      <w:r>
        <w:rPr>
          <w:rFonts w:hint="eastAsia" w:ascii="宋体" w:hAnsi="宋体" w:eastAsia="宋体" w:cs="宋体"/>
          <w:b/>
          <w:bCs/>
          <w:color w:val="auto"/>
          <w:spacing w:val="-2"/>
          <w:sz w:val="24"/>
          <w:szCs w:val="24"/>
          <w:highlight w:val="none"/>
        </w:rPr>
        <w:t>1.8 计量单位</w:t>
      </w:r>
      <w:bookmarkEnd w:id="130"/>
      <w:bookmarkEnd w:id="131"/>
      <w:bookmarkEnd w:id="132"/>
      <w:bookmarkEnd w:id="133"/>
      <w:bookmarkEnd w:id="134"/>
    </w:p>
    <w:p w14:paraId="4A3DC67E">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412" w:firstLineChars="200"/>
        <w:jc w:val="both"/>
        <w:textAlignment w:val="auto"/>
        <w:rPr>
          <w:rFonts w:hint="eastAsia" w:ascii="宋体" w:hAnsi="宋体" w:eastAsia="宋体" w:cs="宋体"/>
          <w:color w:val="auto"/>
          <w:spacing w:val="-1"/>
          <w:highlight w:val="none"/>
        </w:rPr>
      </w:pPr>
      <w:r>
        <w:rPr>
          <w:rFonts w:hint="eastAsia" w:ascii="宋体" w:hAnsi="宋体" w:eastAsia="宋体" w:cs="宋体"/>
          <w:color w:val="auto"/>
          <w:spacing w:val="-2"/>
          <w:highlight w:val="none"/>
        </w:rPr>
        <w:t>所有</w:t>
      </w:r>
      <w:r>
        <w:rPr>
          <w:rFonts w:hint="eastAsia" w:ascii="宋体" w:hAnsi="宋体" w:eastAsia="宋体" w:cs="宋体"/>
          <w:color w:val="auto"/>
          <w:spacing w:val="8"/>
          <w:highlight w:val="none"/>
        </w:rPr>
        <w:t>计量</w:t>
      </w:r>
      <w:r>
        <w:rPr>
          <w:rFonts w:hint="eastAsia" w:ascii="宋体" w:hAnsi="宋体" w:eastAsia="宋体" w:cs="宋体"/>
          <w:color w:val="auto"/>
          <w:spacing w:val="-2"/>
          <w:highlight w:val="none"/>
        </w:rPr>
        <w:t>均采用中华人民共和国法</w:t>
      </w:r>
      <w:r>
        <w:rPr>
          <w:rFonts w:hint="eastAsia" w:ascii="宋体" w:hAnsi="宋体" w:eastAsia="宋体" w:cs="宋体"/>
          <w:color w:val="auto"/>
          <w:spacing w:val="-1"/>
          <w:highlight w:val="none"/>
        </w:rPr>
        <w:t>定计量单位。</w:t>
      </w:r>
    </w:p>
    <w:p w14:paraId="1F11AFCB">
      <w:pPr>
        <w:spacing w:before="68" w:line="352" w:lineRule="auto"/>
        <w:ind w:right="72"/>
        <w:rPr>
          <w:rFonts w:hint="eastAsia" w:ascii="宋体" w:hAnsi="宋体" w:eastAsia="宋体" w:cs="宋体"/>
          <w:b/>
          <w:bCs/>
          <w:color w:val="auto"/>
          <w:spacing w:val="-2"/>
          <w:sz w:val="24"/>
          <w:szCs w:val="24"/>
          <w:highlight w:val="none"/>
        </w:rPr>
      </w:pPr>
      <w:bookmarkStart w:id="135" w:name="_Toc24572"/>
      <w:bookmarkStart w:id="136" w:name="_Toc4426"/>
      <w:bookmarkStart w:id="137" w:name="_Toc21090"/>
      <w:bookmarkStart w:id="138" w:name="_Toc14820"/>
      <w:bookmarkStart w:id="139" w:name="_Toc28280"/>
      <w:r>
        <w:rPr>
          <w:rFonts w:hint="eastAsia" w:ascii="宋体" w:hAnsi="宋体" w:eastAsia="宋体" w:cs="宋体"/>
          <w:b/>
          <w:bCs/>
          <w:color w:val="auto"/>
          <w:spacing w:val="-2"/>
          <w:sz w:val="24"/>
          <w:szCs w:val="24"/>
          <w:highlight w:val="none"/>
        </w:rPr>
        <w:t>1.9 踏勘现场</w:t>
      </w:r>
      <w:bookmarkEnd w:id="135"/>
      <w:bookmarkEnd w:id="136"/>
      <w:bookmarkEnd w:id="137"/>
      <w:bookmarkEnd w:id="138"/>
      <w:bookmarkEnd w:id="139"/>
    </w:p>
    <w:p w14:paraId="6FC2EDF8">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404" w:firstLineChars="200"/>
        <w:jc w:val="both"/>
        <w:textAlignment w:val="auto"/>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1.9.1</w:t>
      </w:r>
      <w:r>
        <w:rPr>
          <w:rFonts w:hint="eastAsia" w:ascii="宋体" w:hAnsi="宋体" w:eastAsia="宋体" w:cs="宋体"/>
          <w:color w:val="auto"/>
          <w:spacing w:val="-3"/>
          <w:highlight w:val="none"/>
          <w:lang w:val="en-US" w:eastAsia="zh-CN"/>
        </w:rPr>
        <w:t xml:space="preserve"> </w:t>
      </w:r>
      <w:r>
        <w:rPr>
          <w:rFonts w:hint="eastAsia" w:ascii="宋体" w:hAnsi="宋体" w:eastAsia="宋体" w:cs="宋体"/>
          <w:color w:val="auto"/>
          <w:highlight w:val="none"/>
          <w:u w:val="single"/>
        </w:rPr>
        <w:t>招标人不集中组织，由投标人自行踏勘</w:t>
      </w:r>
      <w:r>
        <w:rPr>
          <w:rFonts w:hint="eastAsia" w:ascii="宋体" w:hAnsi="宋体" w:eastAsia="宋体" w:cs="宋体"/>
          <w:color w:val="auto"/>
          <w:spacing w:val="-5"/>
          <w:highlight w:val="none"/>
          <w:u w:val="single"/>
        </w:rPr>
        <w:t>。</w:t>
      </w:r>
    </w:p>
    <w:p w14:paraId="05D105D8">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1.9.2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投标人踏勘现场发生的费用自理。</w:t>
      </w:r>
    </w:p>
    <w:p w14:paraId="25E5DE94">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1.9.3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除招标人的原因外，投标人自行负责在踏勘现场中所发生的人员伤亡和财产损失。</w:t>
      </w:r>
    </w:p>
    <w:p w14:paraId="1D775AA9">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1.9.4</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招标人在踏勘现场中介绍的工程场地和相关的周边环境情况，供投标人在编制投标文 件时参考，招标人不对投标人据此作出的判断和决策负责。</w:t>
      </w:r>
    </w:p>
    <w:p w14:paraId="1F5E6447">
      <w:pPr>
        <w:spacing w:before="68" w:line="352" w:lineRule="auto"/>
        <w:ind w:right="72"/>
        <w:rPr>
          <w:rFonts w:hint="eastAsia" w:ascii="宋体" w:hAnsi="宋体" w:eastAsia="宋体" w:cs="宋体"/>
          <w:b/>
          <w:bCs/>
          <w:color w:val="auto"/>
          <w:spacing w:val="-2"/>
          <w:sz w:val="24"/>
          <w:szCs w:val="24"/>
          <w:highlight w:val="none"/>
        </w:rPr>
      </w:pPr>
      <w:bookmarkStart w:id="140" w:name="_Toc9708"/>
      <w:bookmarkStart w:id="141" w:name="_Toc25329"/>
      <w:bookmarkStart w:id="142" w:name="_Toc28835"/>
      <w:bookmarkStart w:id="143" w:name="_Toc5577"/>
      <w:bookmarkStart w:id="144" w:name="_Toc6267"/>
      <w:r>
        <w:rPr>
          <w:rFonts w:hint="eastAsia" w:ascii="宋体" w:hAnsi="宋体" w:eastAsia="宋体" w:cs="宋体"/>
          <w:b/>
          <w:bCs/>
          <w:color w:val="auto"/>
          <w:spacing w:val="-2"/>
          <w:sz w:val="24"/>
          <w:szCs w:val="24"/>
          <w:highlight w:val="none"/>
        </w:rPr>
        <w:t>1.10 投标预备会</w:t>
      </w:r>
      <w:bookmarkEnd w:id="140"/>
      <w:bookmarkEnd w:id="141"/>
      <w:bookmarkEnd w:id="142"/>
      <w:bookmarkEnd w:id="143"/>
      <w:bookmarkEnd w:id="144"/>
    </w:p>
    <w:p w14:paraId="650FF764">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1.10.1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投标人须知前附表规定召开投标预备会的，招标人按投标人须知前附表规定的时间 和地点召开投标预备会，澄清投标人提出的问题。</w:t>
      </w:r>
    </w:p>
    <w:p w14:paraId="760186FC">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1.10.2 投标人应按投标人须知前附表规定的时间和形式将提出的问题送达招标人，以便招 标人在会议期间澄清。</w:t>
      </w:r>
    </w:p>
    <w:p w14:paraId="631C001A">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1.10.3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投标预备会后，招标人将对投标人所提问题的澄清，以投标人须知前附表规定的形 式通知所有潜在投标人。该澄清内容为招标文件的组成部分。</w:t>
      </w:r>
    </w:p>
    <w:p w14:paraId="30C63215">
      <w:pPr>
        <w:spacing w:before="68" w:line="352" w:lineRule="auto"/>
        <w:ind w:right="72"/>
        <w:rPr>
          <w:rFonts w:hint="eastAsia" w:ascii="宋体" w:hAnsi="宋体" w:eastAsia="宋体" w:cs="宋体"/>
          <w:b/>
          <w:bCs/>
          <w:color w:val="auto"/>
          <w:spacing w:val="-2"/>
          <w:sz w:val="24"/>
          <w:szCs w:val="24"/>
          <w:highlight w:val="none"/>
        </w:rPr>
      </w:pPr>
      <w:bookmarkStart w:id="145" w:name="_Toc27543"/>
      <w:bookmarkStart w:id="146" w:name="_Toc27659"/>
      <w:bookmarkStart w:id="147" w:name="_Toc27217"/>
      <w:bookmarkStart w:id="148" w:name="_Toc30287"/>
      <w:bookmarkStart w:id="149" w:name="_Toc7302"/>
      <w:r>
        <w:rPr>
          <w:rFonts w:hint="eastAsia" w:ascii="宋体" w:hAnsi="宋体" w:eastAsia="宋体" w:cs="宋体"/>
          <w:b/>
          <w:bCs/>
          <w:color w:val="auto"/>
          <w:spacing w:val="-2"/>
          <w:sz w:val="24"/>
          <w:szCs w:val="24"/>
          <w:highlight w:val="none"/>
        </w:rPr>
        <w:t>1.11 分包</w:t>
      </w:r>
      <w:bookmarkEnd w:id="145"/>
      <w:bookmarkEnd w:id="146"/>
      <w:bookmarkEnd w:id="147"/>
      <w:bookmarkEnd w:id="148"/>
      <w:bookmarkEnd w:id="149"/>
    </w:p>
    <w:p w14:paraId="445ED182">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1.11.1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人拟在中标后将中标项目的非主体、非关键性工作进行分包的，应符合投标人须知前附表规定的分包内容、分包金额和资质要求等限制性条件，除投标人须知前附表规定的非主体、非关键性工作外，其他工作不得分包。</w:t>
      </w:r>
    </w:p>
    <w:p w14:paraId="7DE2A231">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1.11.2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中标人不得向他人转让中标项目，接受分包的人不得再次分包。中标人应当就分包项目向招标人负责，接受分包的人就分包项目承担连带责任。</w:t>
      </w:r>
    </w:p>
    <w:p w14:paraId="305026DD">
      <w:pPr>
        <w:spacing w:before="68" w:line="352" w:lineRule="auto"/>
        <w:ind w:right="72"/>
        <w:rPr>
          <w:rFonts w:hint="eastAsia" w:ascii="宋体" w:hAnsi="宋体" w:eastAsia="宋体" w:cs="宋体"/>
          <w:b/>
          <w:bCs/>
          <w:color w:val="auto"/>
          <w:spacing w:val="-2"/>
          <w:sz w:val="24"/>
          <w:szCs w:val="24"/>
          <w:highlight w:val="none"/>
        </w:rPr>
      </w:pPr>
      <w:bookmarkStart w:id="150" w:name="_Toc22166"/>
      <w:bookmarkStart w:id="151" w:name="_Toc17104"/>
      <w:bookmarkStart w:id="152" w:name="_Toc19091"/>
      <w:bookmarkStart w:id="153" w:name="_Toc23891"/>
      <w:bookmarkStart w:id="154" w:name="_Toc19834"/>
      <w:r>
        <w:rPr>
          <w:rFonts w:hint="eastAsia" w:ascii="宋体" w:hAnsi="宋体" w:eastAsia="宋体" w:cs="宋体"/>
          <w:b/>
          <w:bCs/>
          <w:color w:val="auto"/>
          <w:spacing w:val="-2"/>
          <w:sz w:val="24"/>
          <w:szCs w:val="24"/>
          <w:highlight w:val="none"/>
        </w:rPr>
        <w:t>1.12 响应和偏差</w:t>
      </w:r>
      <w:bookmarkEnd w:id="150"/>
      <w:bookmarkEnd w:id="151"/>
      <w:bookmarkEnd w:id="152"/>
      <w:bookmarkEnd w:id="153"/>
      <w:bookmarkEnd w:id="154"/>
    </w:p>
    <w:p w14:paraId="5861066C">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1.12.1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投标文件应当对招标文件的实质性要求和条件作出满足性或更有利于招标人的响应，否则，投标人的投标将被否决。实质性要求和条件见投标人须知前附表。</w:t>
      </w:r>
    </w:p>
    <w:p w14:paraId="1D207684">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1.12.2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投标人应根据招标文件的要求提供投标</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方案等内容以对招标文件作出响应。</w:t>
      </w:r>
    </w:p>
    <w:p w14:paraId="60A46117">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1.12.3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投标人须知前附表允许投标文件偏离招标文件某些要求的，偏差应当符合招标文件规定的偏差范围和幅度。</w:t>
      </w:r>
    </w:p>
    <w:p w14:paraId="680AD554">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155" w:name="_Toc22139"/>
      <w:bookmarkStart w:id="156" w:name="_Toc19722"/>
      <w:bookmarkStart w:id="157" w:name="_Toc27910"/>
      <w:bookmarkStart w:id="158" w:name="_Toc6382"/>
      <w:bookmarkStart w:id="159" w:name="_Toc7606"/>
      <w:bookmarkStart w:id="160" w:name="_Toc19859"/>
      <w:r>
        <w:rPr>
          <w:rFonts w:hint="eastAsia" w:ascii="宋体" w:hAnsi="宋体" w:eastAsia="宋体" w:cs="宋体"/>
          <w:kern w:val="2"/>
          <w:lang w:val="en-US" w:eastAsia="zh-CN"/>
        </w:rPr>
        <w:t>2．招标文件</w:t>
      </w:r>
      <w:bookmarkEnd w:id="155"/>
      <w:bookmarkEnd w:id="156"/>
      <w:bookmarkEnd w:id="157"/>
      <w:bookmarkEnd w:id="158"/>
      <w:bookmarkEnd w:id="159"/>
      <w:bookmarkEnd w:id="160"/>
    </w:p>
    <w:p w14:paraId="1DEC37C7">
      <w:pPr>
        <w:spacing w:before="68" w:line="352" w:lineRule="auto"/>
        <w:ind w:right="72"/>
        <w:rPr>
          <w:rFonts w:hint="eastAsia" w:ascii="宋体" w:hAnsi="宋体" w:eastAsia="宋体" w:cs="宋体"/>
          <w:b/>
          <w:bCs/>
          <w:color w:val="auto"/>
          <w:spacing w:val="-2"/>
          <w:sz w:val="24"/>
          <w:szCs w:val="24"/>
          <w:highlight w:val="none"/>
        </w:rPr>
      </w:pPr>
      <w:bookmarkStart w:id="161" w:name="_Toc29880"/>
      <w:bookmarkStart w:id="162" w:name="_Toc31379"/>
      <w:bookmarkStart w:id="163" w:name="_Toc27677"/>
      <w:bookmarkStart w:id="164" w:name="_Toc22902"/>
      <w:bookmarkStart w:id="165" w:name="_Toc5178"/>
      <w:r>
        <w:rPr>
          <w:rFonts w:hint="eastAsia" w:ascii="宋体" w:hAnsi="宋体" w:eastAsia="宋体" w:cs="宋体"/>
          <w:b/>
          <w:bCs/>
          <w:color w:val="auto"/>
          <w:spacing w:val="-2"/>
          <w:sz w:val="24"/>
          <w:szCs w:val="24"/>
          <w:highlight w:val="none"/>
        </w:rPr>
        <w:t>2.1 招标文件的组成</w:t>
      </w:r>
      <w:bookmarkEnd w:id="161"/>
      <w:bookmarkEnd w:id="162"/>
      <w:bookmarkEnd w:id="163"/>
      <w:bookmarkEnd w:id="164"/>
      <w:bookmarkEnd w:id="165"/>
    </w:p>
    <w:p w14:paraId="247D11CC">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本招标文件包括：</w:t>
      </w:r>
    </w:p>
    <w:p w14:paraId="15C91EDF">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(1)招标公告；</w:t>
      </w:r>
    </w:p>
    <w:p w14:paraId="6FCF7FCA">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(2)投标人须知；</w:t>
      </w:r>
    </w:p>
    <w:p w14:paraId="00BBF291">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(3)评标办法；</w:t>
      </w:r>
    </w:p>
    <w:p w14:paraId="7C8DAD4D">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(4)合同条款及格式；</w:t>
      </w:r>
    </w:p>
    <w:p w14:paraId="6D4EC483">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(5)发包人要求；</w:t>
      </w:r>
    </w:p>
    <w:p w14:paraId="0AC67130">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(6)投标文件格式；</w:t>
      </w:r>
    </w:p>
    <w:p w14:paraId="3B943BC4">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(7)投标人须知前附表规定的其他资料。</w:t>
      </w:r>
    </w:p>
    <w:p w14:paraId="1ED91B1C">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根据本章第 1.10 款、第 2.2 款和第 2.3 款对招标文件所作的澄清、修改，构成招标文件的组成部分。</w:t>
      </w:r>
    </w:p>
    <w:p w14:paraId="72A7B8E0">
      <w:pPr>
        <w:spacing w:before="68" w:line="352" w:lineRule="auto"/>
        <w:ind w:right="72"/>
        <w:rPr>
          <w:rFonts w:hint="eastAsia" w:ascii="宋体" w:hAnsi="宋体" w:eastAsia="宋体" w:cs="宋体"/>
          <w:b/>
          <w:bCs/>
          <w:color w:val="auto"/>
          <w:spacing w:val="-2"/>
          <w:sz w:val="24"/>
          <w:szCs w:val="24"/>
          <w:highlight w:val="none"/>
        </w:rPr>
      </w:pPr>
      <w:bookmarkStart w:id="166" w:name="_Toc5697"/>
      <w:bookmarkStart w:id="167" w:name="_Toc22940"/>
      <w:bookmarkStart w:id="168" w:name="_Toc3229"/>
      <w:bookmarkStart w:id="169" w:name="_Toc32188"/>
      <w:bookmarkStart w:id="170" w:name="_Toc22758"/>
      <w:r>
        <w:rPr>
          <w:rFonts w:hint="eastAsia" w:ascii="宋体" w:hAnsi="宋体" w:eastAsia="宋体" w:cs="宋体"/>
          <w:b/>
          <w:bCs/>
          <w:color w:val="auto"/>
          <w:spacing w:val="-2"/>
          <w:sz w:val="24"/>
          <w:szCs w:val="24"/>
          <w:highlight w:val="none"/>
        </w:rPr>
        <w:t>2.2 招标文件的答疑</w:t>
      </w:r>
      <w:bookmarkEnd w:id="166"/>
      <w:bookmarkEnd w:id="167"/>
      <w:bookmarkEnd w:id="168"/>
      <w:bookmarkEnd w:id="169"/>
      <w:bookmarkEnd w:id="170"/>
    </w:p>
    <w:p w14:paraId="38AA88FF">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2.2.1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投标人应仔细阅读和检查招标文件的全部内容。如有疑问，应按投标人须知前附表规定的时间和形式将提出的问题送达招标人，要求招标人对招标文件予以澄清。</w:t>
      </w:r>
    </w:p>
    <w:p w14:paraId="6A2274FF">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2.2.2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招标答疑采用网上答疑方式进行。投标人若对招标文件有疑问的，通过广州交易集团有限公司（广州公共资源交易中心）网站提交，应按照广州交易集团有限公司（广州公共资源交易中心）网站关于全流程电子化项目的相关指南进行操作。提问一律不得署名。</w:t>
      </w:r>
    </w:p>
    <w:p w14:paraId="19B409B6">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2.2.3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招标答疑会会议纪要将在提交投标文件截止时间 15 日前在广州交易集团有限公司（广州公共资源交易中心）网站“项目答疑纪要”专区公开发布。答疑纪要一经在广州交易集团有限公司（广州公共资源交易中心）网站发布，视作已发放给所有投标人。</w:t>
      </w:r>
    </w:p>
    <w:p w14:paraId="6BD919DE">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2.2.4</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招标答疑会会议纪要是招标文件的组成部分，对投标人起约束作用。</w:t>
      </w:r>
    </w:p>
    <w:p w14:paraId="6122573F">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2.2.5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若招标答疑会会议纪要与招标文件有矛盾时，以广州交易集团有限公司（广州公共资源交易中心）网站最后发布的答疑纪要为准。</w:t>
      </w:r>
    </w:p>
    <w:p w14:paraId="7EE79440">
      <w:pPr>
        <w:spacing w:before="68" w:line="352" w:lineRule="auto"/>
        <w:ind w:right="72"/>
        <w:rPr>
          <w:rFonts w:hint="eastAsia" w:ascii="宋体" w:hAnsi="宋体" w:eastAsia="宋体" w:cs="宋体"/>
          <w:b/>
          <w:bCs/>
          <w:color w:val="auto"/>
          <w:spacing w:val="-2"/>
          <w:sz w:val="24"/>
          <w:szCs w:val="24"/>
          <w:highlight w:val="none"/>
        </w:rPr>
      </w:pPr>
      <w:bookmarkStart w:id="171" w:name="_Toc20382"/>
      <w:bookmarkStart w:id="172" w:name="_Toc7983"/>
      <w:bookmarkStart w:id="173" w:name="_Toc25724"/>
      <w:bookmarkStart w:id="174" w:name="_Toc18693"/>
      <w:bookmarkStart w:id="175" w:name="_Toc12871"/>
      <w:r>
        <w:rPr>
          <w:rFonts w:hint="eastAsia" w:ascii="宋体" w:hAnsi="宋体" w:eastAsia="宋体" w:cs="宋体"/>
          <w:b/>
          <w:bCs/>
          <w:color w:val="auto"/>
          <w:spacing w:val="-2"/>
          <w:sz w:val="24"/>
          <w:szCs w:val="24"/>
          <w:highlight w:val="none"/>
        </w:rPr>
        <w:t>2.3 招标文件的澄清与修改</w:t>
      </w:r>
      <w:bookmarkEnd w:id="171"/>
      <w:bookmarkEnd w:id="172"/>
      <w:bookmarkEnd w:id="173"/>
      <w:bookmarkEnd w:id="174"/>
      <w:bookmarkEnd w:id="175"/>
    </w:p>
    <w:p w14:paraId="5922BEED">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2.3.1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招标文件发出后，在提交投标文件截止时间15日前，招标人可对招标文件进行必要的澄清或修改。</w:t>
      </w:r>
    </w:p>
    <w:p w14:paraId="03C7F285">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2.3.2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招标文件的澄清或修改将在广州交易集团有限公司（广州公共资源交易中心）网站“项目答疑纪要”专区公开发布。招标文件的澄清或修改一经在广州交易集团有限公司（广州公共资源交易中心）网站发布，视作已发放给所有投标人，以广州交易集团有限公司（广州公共资源交易中心）网站发布时间作为送达时间。</w:t>
      </w:r>
    </w:p>
    <w:p w14:paraId="5DCE1554">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2.3.3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招标文件的澄清或修改是招标文件的组成部分，对投标人起约束作用。</w:t>
      </w:r>
    </w:p>
    <w:p w14:paraId="162B0209">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2.3.4</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招标文件的澄清或修改均以广州交易集团有限公司（广州公共资源交易中心）网站发布的内容为准。当招标文件的澄清、修改、补充等在同一内容的表述不一致时，以广州交易集团有限公司（广州公共资源交易中心）网站最后发布的内容为准。</w:t>
      </w:r>
    </w:p>
    <w:p w14:paraId="3B9DCAB4">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2.3.5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04A2F07D">
      <w:pPr>
        <w:spacing w:before="68" w:line="352" w:lineRule="auto"/>
        <w:ind w:right="72"/>
        <w:rPr>
          <w:rFonts w:hint="eastAsia" w:ascii="宋体" w:hAnsi="宋体" w:eastAsia="宋体" w:cs="宋体"/>
          <w:b/>
          <w:bCs/>
          <w:color w:val="auto"/>
          <w:spacing w:val="-2"/>
          <w:sz w:val="24"/>
          <w:szCs w:val="24"/>
          <w:highlight w:val="none"/>
        </w:rPr>
      </w:pPr>
      <w:bookmarkStart w:id="176" w:name="_Toc17119"/>
      <w:bookmarkStart w:id="177" w:name="_Toc4597"/>
      <w:bookmarkStart w:id="178" w:name="_Toc20862"/>
      <w:bookmarkStart w:id="179" w:name="_Toc23452"/>
      <w:bookmarkStart w:id="180" w:name="_Toc228"/>
      <w:r>
        <w:rPr>
          <w:rFonts w:hint="eastAsia" w:ascii="宋体" w:hAnsi="宋体" w:eastAsia="宋体" w:cs="宋体"/>
          <w:b/>
          <w:bCs/>
          <w:color w:val="auto"/>
          <w:spacing w:val="-2"/>
          <w:sz w:val="24"/>
          <w:szCs w:val="24"/>
          <w:highlight w:val="none"/>
        </w:rPr>
        <w:t>2.4 招标文件的异议</w:t>
      </w:r>
      <w:bookmarkEnd w:id="176"/>
      <w:bookmarkEnd w:id="177"/>
      <w:bookmarkEnd w:id="178"/>
      <w:bookmarkEnd w:id="179"/>
      <w:bookmarkEnd w:id="180"/>
    </w:p>
    <w:p w14:paraId="1D48F26B">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投标人或者其他利害关系人对招标文件有异议的， 应当在投标截止时间 10 日前以书面形式提出。招标人将在收到异议之日起 3 日内作出答复；作出答复前，将暂停招标投标活动。</w:t>
      </w:r>
    </w:p>
    <w:p w14:paraId="47117FE2">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181" w:name="_Toc3192"/>
      <w:r>
        <w:rPr>
          <w:rFonts w:hint="eastAsia" w:ascii="宋体" w:hAnsi="宋体" w:eastAsia="宋体" w:cs="宋体"/>
          <w:kern w:val="2"/>
          <w:lang w:val="en-US" w:eastAsia="zh-CN"/>
        </w:rPr>
        <w:t>3．投标文件</w:t>
      </w:r>
      <w:bookmarkEnd w:id="181"/>
    </w:p>
    <w:p w14:paraId="398B5B1C">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pacing w:val="10"/>
          <w:sz w:val="27"/>
          <w:szCs w:val="27"/>
          <w:highlight w:val="none"/>
        </w:rPr>
      </w:pPr>
      <w:r>
        <w:rPr>
          <w:rFonts w:hint="eastAsia" w:ascii="宋体" w:hAnsi="宋体" w:eastAsia="宋体" w:cs="宋体"/>
          <w:b/>
          <w:bCs/>
          <w:color w:val="auto"/>
          <w:spacing w:val="-2"/>
          <w:sz w:val="24"/>
          <w:szCs w:val="24"/>
          <w:highlight w:val="none"/>
        </w:rPr>
        <w:t>3.1 投标文件的组成</w:t>
      </w:r>
      <w:r>
        <w:rPr>
          <w:rFonts w:hint="eastAsia" w:ascii="宋体" w:hAnsi="宋体" w:eastAsia="宋体" w:cs="宋体"/>
          <w:color w:val="auto"/>
          <w:highlight w:val="none"/>
        </w:rPr>
        <w:t>（适用于暗标形式）</w:t>
      </w:r>
    </w:p>
    <w:p w14:paraId="5C58BD34">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3.1.1</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rPr>
        <w:t>商务文件（含资格审查文件）由下列资料组成：</w:t>
      </w:r>
    </w:p>
    <w:p w14:paraId="65ACB106">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(1)投标函及投标函附录；</w:t>
      </w:r>
    </w:p>
    <w:p w14:paraId="6DB1E5C7">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(2)法定代表人身份证明或附有法定代表人身份证明的授权委托书；</w:t>
      </w:r>
    </w:p>
    <w:p w14:paraId="7021A8C7">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投标</w:t>
      </w:r>
      <w:r>
        <w:rPr>
          <w:rFonts w:hint="eastAsia" w:ascii="宋体" w:hAnsi="宋体" w:eastAsia="宋体" w:cs="宋体"/>
          <w:color w:val="auto"/>
          <w:highlight w:val="none"/>
        </w:rPr>
        <w:t>报价表；</w:t>
      </w:r>
    </w:p>
    <w:p w14:paraId="08A0818B">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)资格审查资料；</w:t>
      </w:r>
    </w:p>
    <w:p w14:paraId="26CB6F57">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)投标人须知前附表规定的其他资料。</w:t>
      </w:r>
    </w:p>
    <w:p w14:paraId="24C0494E">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3.1.2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服务方案</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暗标</w:t>
      </w:r>
      <w:r>
        <w:rPr>
          <w:rFonts w:hint="eastAsia" w:ascii="宋体" w:hAnsi="宋体" w:eastAsia="宋体" w:cs="宋体"/>
          <w:color w:val="auto"/>
          <w:highlight w:val="none"/>
          <w:lang w:eastAsia="zh-CN"/>
        </w:rPr>
        <w:t>）</w:t>
      </w:r>
    </w:p>
    <w:p w14:paraId="147B676A">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注：①须提供服务方案封面：</w:t>
      </w:r>
    </w:p>
    <w:p w14:paraId="5F9EF678">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(a)封面：写明项目名称、服务方案、编制年月；（白色封面）</w:t>
      </w:r>
    </w:p>
    <w:p w14:paraId="4777DEC3">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(b)目录。</w:t>
      </w:r>
    </w:p>
    <w:p w14:paraId="151D422E">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②服务方案以A3(297mm×420mm) 单面规格编排（含封面及封底不得超过200页）</w:t>
      </w:r>
    </w:p>
    <w:p w14:paraId="61899C89">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3.1.3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保密要求</w:t>
      </w:r>
    </w:p>
    <w:p w14:paraId="470C6E41">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服务方案必须隐匿投标人及专</w:t>
      </w:r>
      <w:r>
        <w:rPr>
          <w:rFonts w:hint="eastAsia" w:ascii="宋体" w:hAnsi="宋体" w:eastAsia="宋体" w:cs="宋体"/>
          <w:color w:val="auto"/>
          <w:highlight w:val="none"/>
        </w:rPr>
        <w:t>业技术人员的名称及投标报价信息，投标人不得在</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方案上标注或做任何可以辨认投标人及专业技术人员身份的名称、印章、商标，也不得显示投标报价信息。</w:t>
      </w:r>
    </w:p>
    <w:p w14:paraId="432F5C17">
      <w:pPr>
        <w:spacing w:before="68" w:line="352" w:lineRule="auto"/>
        <w:ind w:right="72"/>
        <w:rPr>
          <w:rFonts w:hint="eastAsia" w:ascii="宋体" w:hAnsi="宋体" w:eastAsia="宋体" w:cs="宋体"/>
          <w:b/>
          <w:bCs/>
          <w:color w:val="auto"/>
          <w:spacing w:val="-2"/>
          <w:sz w:val="24"/>
          <w:szCs w:val="24"/>
          <w:highlight w:val="none"/>
        </w:rPr>
      </w:pPr>
      <w:bookmarkStart w:id="182" w:name="_Toc22873"/>
      <w:bookmarkStart w:id="183" w:name="_Toc14762"/>
      <w:bookmarkStart w:id="184" w:name="_Toc5232"/>
      <w:bookmarkStart w:id="185" w:name="_Toc29848"/>
      <w:bookmarkStart w:id="186" w:name="_Toc11008"/>
      <w:r>
        <w:rPr>
          <w:rFonts w:hint="eastAsia" w:ascii="宋体" w:hAnsi="宋体" w:eastAsia="宋体" w:cs="宋体"/>
          <w:b/>
          <w:bCs/>
          <w:color w:val="auto"/>
          <w:spacing w:val="-2"/>
          <w:sz w:val="24"/>
          <w:szCs w:val="24"/>
          <w:highlight w:val="none"/>
        </w:rPr>
        <w:t>3.2 投标报价</w:t>
      </w:r>
      <w:bookmarkEnd w:id="182"/>
      <w:bookmarkEnd w:id="183"/>
      <w:bookmarkEnd w:id="184"/>
      <w:bookmarkEnd w:id="185"/>
      <w:bookmarkEnd w:id="186"/>
    </w:p>
    <w:p w14:paraId="72B8191F">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3.2.1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投标报价应包括国家规定的增值税税金，除投标人须知前附表另有规定外，增值税税金按一般计税方法计算。投标人应按第六章“投标文件格式”的要求在投标函中进行报价。</w:t>
      </w:r>
    </w:p>
    <w:p w14:paraId="30CF8656">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3.2.2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投标人应充分了解该项目的总体情况以及影响投标报价的其他要素。</w:t>
      </w:r>
    </w:p>
    <w:p w14:paraId="3118278B">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3.2.3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本项目的报价方式见投标人须知前附表。投标人在投标截止时间前修改投标函中的投标报价总额，应同时修改投标文件“</w:t>
      </w:r>
      <w:r>
        <w:rPr>
          <w:rFonts w:hint="eastAsia" w:ascii="宋体" w:hAnsi="宋体" w:eastAsia="宋体" w:cs="宋体"/>
          <w:color w:val="auto"/>
          <w:highlight w:val="none"/>
          <w:lang w:eastAsia="zh-CN"/>
        </w:rPr>
        <w:t>投标</w:t>
      </w:r>
      <w:r>
        <w:rPr>
          <w:rFonts w:hint="eastAsia" w:ascii="宋体" w:hAnsi="宋体" w:eastAsia="宋体" w:cs="宋体"/>
          <w:color w:val="auto"/>
          <w:highlight w:val="none"/>
        </w:rPr>
        <w:t>报价表”中的相应报价。此修改须符合本章第4.3 款的有关要求。</w:t>
      </w:r>
    </w:p>
    <w:p w14:paraId="4F134408">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3.2.4</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投标报价不符合国家颁布的</w:t>
      </w:r>
      <w:r>
        <w:rPr>
          <w:rFonts w:hint="eastAsia" w:ascii="宋体" w:hAnsi="宋体" w:eastAsia="宋体" w:cs="宋体"/>
          <w:color w:val="auto"/>
          <w:highlight w:val="none"/>
          <w:lang w:eastAsia="zh-CN"/>
        </w:rPr>
        <w:t>相关</w:t>
      </w:r>
      <w:r>
        <w:rPr>
          <w:rFonts w:hint="eastAsia" w:ascii="宋体" w:hAnsi="宋体" w:eastAsia="宋体" w:cs="宋体"/>
          <w:color w:val="auto"/>
          <w:highlight w:val="none"/>
        </w:rPr>
        <w:t>取费标准，或者低于成本，设有最高投标限价的，投标人的投标报价不得超过最高投标限价，最高投标限价在投标人须知前附表中载明。</w:t>
      </w:r>
    </w:p>
    <w:p w14:paraId="535FB6E9">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3.2.5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投标报价的其他要求见投标人须知前附表。</w:t>
      </w:r>
    </w:p>
    <w:p w14:paraId="5A7AB208">
      <w:pPr>
        <w:spacing w:before="68" w:line="352" w:lineRule="auto"/>
        <w:ind w:right="72"/>
        <w:rPr>
          <w:rFonts w:hint="eastAsia" w:ascii="宋体" w:hAnsi="宋体" w:eastAsia="宋体" w:cs="宋体"/>
          <w:b/>
          <w:bCs/>
          <w:color w:val="auto"/>
          <w:spacing w:val="-2"/>
          <w:sz w:val="24"/>
          <w:szCs w:val="24"/>
          <w:highlight w:val="none"/>
        </w:rPr>
      </w:pPr>
      <w:bookmarkStart w:id="187" w:name="_Toc10086"/>
      <w:bookmarkStart w:id="188" w:name="_Toc3010"/>
      <w:bookmarkStart w:id="189" w:name="_Toc5074"/>
      <w:bookmarkStart w:id="190" w:name="_Toc29536"/>
      <w:bookmarkStart w:id="191" w:name="_Toc5500"/>
      <w:r>
        <w:rPr>
          <w:rFonts w:hint="eastAsia" w:ascii="宋体" w:hAnsi="宋体" w:eastAsia="宋体" w:cs="宋体"/>
          <w:b/>
          <w:bCs/>
          <w:color w:val="auto"/>
          <w:spacing w:val="-2"/>
          <w:sz w:val="24"/>
          <w:szCs w:val="24"/>
          <w:highlight w:val="none"/>
        </w:rPr>
        <w:t>3.3 投标有效期</w:t>
      </w:r>
      <w:bookmarkEnd w:id="187"/>
      <w:bookmarkEnd w:id="188"/>
      <w:bookmarkEnd w:id="189"/>
      <w:bookmarkEnd w:id="190"/>
      <w:bookmarkEnd w:id="191"/>
    </w:p>
    <w:p w14:paraId="1226BFE9">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3.3.1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除投标人须知前附表另有规定外，投标有效期为90 天。</w:t>
      </w:r>
    </w:p>
    <w:p w14:paraId="6EC39595">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3.3.2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在投标有效期内，投标人撤销投标文件的，应承担招标文件和法律规定的责任。</w:t>
      </w:r>
    </w:p>
    <w:p w14:paraId="5C1C7B4A">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3.3.3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w:t>
      </w:r>
      <w:r>
        <w:rPr>
          <w:rFonts w:hint="eastAsia" w:ascii="宋体" w:hAnsi="宋体" w:eastAsia="宋体" w:cs="宋体"/>
          <w:strike/>
          <w:color w:val="auto"/>
          <w:highlight w:val="none"/>
        </w:rPr>
        <w:t>但投标人有权收回其投标保证金</w:t>
      </w:r>
      <w:r>
        <w:rPr>
          <w:rFonts w:hint="eastAsia" w:ascii="宋体" w:hAnsi="宋体" w:eastAsia="宋体" w:cs="宋体"/>
          <w:color w:val="auto"/>
          <w:highlight w:val="none"/>
        </w:rPr>
        <w:t>。</w:t>
      </w:r>
    </w:p>
    <w:p w14:paraId="733B13F4">
      <w:pPr>
        <w:spacing w:before="68" w:line="352" w:lineRule="auto"/>
        <w:ind w:right="72"/>
        <w:rPr>
          <w:rFonts w:hint="eastAsia" w:ascii="宋体" w:hAnsi="宋体" w:eastAsia="宋体" w:cs="宋体"/>
          <w:b/>
          <w:bCs/>
          <w:color w:val="auto"/>
          <w:spacing w:val="-2"/>
          <w:sz w:val="24"/>
          <w:szCs w:val="24"/>
          <w:highlight w:val="none"/>
        </w:rPr>
      </w:pPr>
      <w:bookmarkStart w:id="192" w:name="_Toc10898"/>
      <w:bookmarkStart w:id="193" w:name="_Toc19957"/>
      <w:bookmarkStart w:id="194" w:name="_Toc17631"/>
      <w:bookmarkStart w:id="195" w:name="_Toc4540"/>
      <w:bookmarkStart w:id="196" w:name="_Toc11406"/>
      <w:bookmarkStart w:id="197" w:name="_Hlk183204952"/>
      <w:r>
        <w:rPr>
          <w:rFonts w:hint="eastAsia" w:ascii="宋体" w:hAnsi="宋体" w:eastAsia="宋体" w:cs="宋体"/>
          <w:b/>
          <w:bCs/>
          <w:color w:val="auto"/>
          <w:spacing w:val="-2"/>
          <w:sz w:val="24"/>
          <w:szCs w:val="24"/>
          <w:highlight w:val="none"/>
        </w:rPr>
        <w:t>3.4 投标保证金</w:t>
      </w:r>
      <w:bookmarkEnd w:id="192"/>
      <w:bookmarkEnd w:id="193"/>
      <w:bookmarkEnd w:id="194"/>
      <w:bookmarkEnd w:id="195"/>
      <w:bookmarkEnd w:id="196"/>
    </w:p>
    <w:p w14:paraId="7CCCF936">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04" w:firstLineChars="200"/>
        <w:jc w:val="both"/>
        <w:textAlignment w:val="auto"/>
        <w:rPr>
          <w:rFonts w:hint="eastAsia" w:ascii="宋体" w:hAnsi="宋体" w:eastAsia="宋体" w:cs="宋体"/>
          <w:strike w:val="0"/>
          <w:color w:val="auto"/>
          <w:spacing w:val="-4"/>
          <w:highlight w:val="none"/>
          <w:u w:val="single"/>
        </w:rPr>
      </w:pPr>
      <w:r>
        <w:rPr>
          <w:rFonts w:hint="eastAsia" w:ascii="宋体" w:hAnsi="宋体" w:eastAsia="宋体" w:cs="宋体"/>
          <w:strike w:val="0"/>
          <w:color w:val="auto"/>
          <w:spacing w:val="-4"/>
          <w:highlight w:val="none"/>
          <w:u w:val="single"/>
        </w:rPr>
        <w:t>本项目无需投标保证金。</w:t>
      </w:r>
    </w:p>
    <w:bookmarkEnd w:id="197"/>
    <w:p w14:paraId="4F53FC02">
      <w:pPr>
        <w:spacing w:before="68" w:line="352" w:lineRule="auto"/>
        <w:ind w:right="72"/>
        <w:rPr>
          <w:rFonts w:hint="eastAsia" w:ascii="宋体" w:hAnsi="宋体" w:eastAsia="宋体" w:cs="宋体"/>
          <w:b/>
          <w:bCs/>
          <w:color w:val="auto"/>
          <w:spacing w:val="-2"/>
          <w:sz w:val="24"/>
          <w:szCs w:val="24"/>
          <w:highlight w:val="none"/>
        </w:rPr>
      </w:pPr>
      <w:bookmarkStart w:id="198" w:name="_Toc27015"/>
      <w:bookmarkStart w:id="199" w:name="_Toc28903"/>
      <w:bookmarkStart w:id="200" w:name="_Toc5682"/>
      <w:bookmarkStart w:id="201" w:name="_Toc21945"/>
      <w:bookmarkStart w:id="202" w:name="_Toc30309"/>
      <w:r>
        <w:rPr>
          <w:rFonts w:hint="eastAsia" w:ascii="宋体" w:hAnsi="宋体" w:eastAsia="宋体" w:cs="宋体"/>
          <w:b/>
          <w:bCs/>
          <w:color w:val="auto"/>
          <w:spacing w:val="-2"/>
          <w:sz w:val="24"/>
          <w:szCs w:val="24"/>
          <w:highlight w:val="none"/>
        </w:rPr>
        <w:t>3.5 资格审查资料</w:t>
      </w:r>
      <w:bookmarkEnd w:id="198"/>
      <w:bookmarkEnd w:id="199"/>
      <w:bookmarkEnd w:id="200"/>
      <w:bookmarkEnd w:id="201"/>
      <w:bookmarkEnd w:id="202"/>
    </w:p>
    <w:p w14:paraId="40A95A2E">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除投标人须知前附表另有规定外，投标人应按下列规定提供资格审查资料，以证明其满足本章第 1.4 款规定的资质、财务、业绩、信誉等要求。</w:t>
      </w:r>
    </w:p>
    <w:p w14:paraId="1B937098">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3.5.1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“投标人基本情况表”应附投标人营业执照等材料的扫描件。</w:t>
      </w:r>
    </w:p>
    <w:p w14:paraId="28ADC6A1">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spacing w:val="-5"/>
          <w:highlight w:val="none"/>
        </w:rPr>
      </w:pPr>
      <w:r>
        <w:rPr>
          <w:rFonts w:hint="eastAsia" w:ascii="宋体" w:hAnsi="宋体" w:eastAsia="宋体" w:cs="宋体"/>
          <w:color w:val="auto"/>
          <w:highlight w:val="none"/>
        </w:rPr>
        <w:t>3.5.</w:t>
      </w:r>
      <w:r>
        <w:rPr>
          <w:rFonts w:hint="eastAsia" w:ascii="宋体" w:hAnsi="宋体" w:eastAsia="宋体" w:cs="宋体"/>
          <w:color w:val="auto"/>
          <w:highlight w:val="none"/>
          <w:lang w:val="en-US" w:eastAsia="zh-CN"/>
        </w:rPr>
        <w:t xml:space="preserve">2 </w:t>
      </w:r>
      <w:r>
        <w:rPr>
          <w:rFonts w:hint="eastAsia" w:ascii="宋体" w:hAnsi="宋体" w:eastAsia="宋体" w:cs="宋体"/>
          <w:color w:val="auto"/>
          <w:highlight w:val="none"/>
        </w:rPr>
        <w:t>“拟委任的主要人员汇总表”应填报满足本章第 1.4.1 项规定的项目负责人和其他主要人员的相关信息。</w:t>
      </w:r>
      <w:r>
        <w:rPr>
          <w:rFonts w:hint="eastAsia" w:ascii="宋体" w:hAnsi="宋体" w:eastAsia="宋体" w:cs="宋体"/>
          <w:color w:val="auto"/>
          <w:sz w:val="21"/>
          <w:szCs w:val="21"/>
          <w:highlight w:val="none"/>
        </w:rPr>
        <w:t>“主要人员简历表”</w:t>
      </w:r>
      <w:r>
        <w:rPr>
          <w:rFonts w:hint="eastAsia" w:ascii="宋体" w:hAnsi="宋体" w:eastAsia="宋体" w:cs="宋体"/>
          <w:color w:val="auto"/>
          <w:highlight w:val="none"/>
        </w:rPr>
        <w:t>中项目负责人应附身份证、学历证、职称证、执业资格证书（若有）和社保缴费证明</w:t>
      </w:r>
      <w:r>
        <w:rPr>
          <w:rFonts w:hint="eastAsia" w:ascii="宋体" w:hAnsi="宋体" w:eastAsia="宋体" w:cs="宋体"/>
          <w:strike/>
          <w:color w:val="auto"/>
          <w:highlight w:val="none"/>
        </w:rPr>
        <w:t>，管理过的项目业绩须附合同协议书（若有）；其他主要人员应附身份证、学历证、职称证、有关证书和社保缴费证明（若有）</w:t>
      </w:r>
      <w:r>
        <w:rPr>
          <w:rFonts w:hint="eastAsia" w:ascii="宋体" w:hAnsi="宋体" w:eastAsia="宋体" w:cs="宋体"/>
          <w:color w:val="auto"/>
          <w:highlight w:val="none"/>
        </w:rPr>
        <w:t>。</w:t>
      </w:r>
      <w:r>
        <w:rPr>
          <w:rFonts w:hint="eastAsia" w:ascii="宋体" w:hAnsi="宋体" w:eastAsia="宋体" w:cs="宋体"/>
          <w:color w:val="auto"/>
          <w:sz w:val="21"/>
          <w:szCs w:val="21"/>
          <w:highlight w:val="none"/>
          <w:lang w:eastAsia="zh-CN"/>
        </w:rPr>
        <w:t>（注：以上人员社保要求：具有投标人为其缴纳在本投标单位的近一个月（2025年</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月）有效的社保证明材料。</w:t>
      </w:r>
      <w:r>
        <w:rPr>
          <w:rFonts w:hint="eastAsia" w:ascii="宋体" w:hAnsi="宋体" w:eastAsia="宋体" w:cs="宋体"/>
          <w:color w:val="auto"/>
          <w:spacing w:val="-5"/>
          <w:highlight w:val="none"/>
        </w:rPr>
        <w:t>）</w:t>
      </w:r>
    </w:p>
    <w:p w14:paraId="4E62C323">
      <w:pPr>
        <w:spacing w:before="68" w:line="352" w:lineRule="auto"/>
        <w:ind w:right="72"/>
        <w:rPr>
          <w:rFonts w:hint="eastAsia" w:ascii="宋体" w:hAnsi="宋体" w:eastAsia="宋体" w:cs="宋体"/>
          <w:b/>
          <w:bCs/>
          <w:color w:val="auto"/>
          <w:spacing w:val="-2"/>
          <w:sz w:val="24"/>
          <w:szCs w:val="24"/>
          <w:highlight w:val="none"/>
        </w:rPr>
      </w:pPr>
      <w:bookmarkStart w:id="203" w:name="_Toc9669"/>
      <w:bookmarkStart w:id="204" w:name="_Toc11556"/>
      <w:bookmarkStart w:id="205" w:name="_Toc6032"/>
      <w:bookmarkStart w:id="206" w:name="_Toc15266"/>
      <w:bookmarkStart w:id="207" w:name="_Toc16079"/>
      <w:r>
        <w:rPr>
          <w:rFonts w:hint="eastAsia" w:ascii="宋体" w:hAnsi="宋体" w:eastAsia="宋体" w:cs="宋体"/>
          <w:b/>
          <w:bCs/>
          <w:color w:val="auto"/>
          <w:spacing w:val="-2"/>
          <w:sz w:val="24"/>
          <w:szCs w:val="24"/>
          <w:highlight w:val="none"/>
        </w:rPr>
        <w:t>3.6 备选投标方案</w:t>
      </w:r>
      <w:bookmarkEnd w:id="203"/>
      <w:bookmarkEnd w:id="204"/>
      <w:bookmarkEnd w:id="205"/>
      <w:bookmarkEnd w:id="206"/>
      <w:bookmarkEnd w:id="207"/>
    </w:p>
    <w:p w14:paraId="1527B022">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12" w:firstLineChars="200"/>
        <w:jc w:val="both"/>
        <w:textAlignment w:val="auto"/>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3.6.1 除投标人须知前附表规定允许外，投标人不得递交备选投标方案，否则其投标</w:t>
      </w:r>
      <w:r>
        <w:rPr>
          <w:rFonts w:hint="eastAsia" w:ascii="宋体" w:hAnsi="宋体" w:eastAsia="宋体" w:cs="宋体"/>
          <w:color w:val="auto"/>
          <w:spacing w:val="-1"/>
          <w:highlight w:val="none"/>
        </w:rPr>
        <w:t>将</w:t>
      </w:r>
      <w:r>
        <w:rPr>
          <w:rFonts w:hint="eastAsia" w:ascii="宋体" w:hAnsi="宋体" w:eastAsia="宋体" w:cs="宋体"/>
          <w:color w:val="auto"/>
          <w:highlight w:val="none"/>
        </w:rPr>
        <w:t>被否</w:t>
      </w:r>
      <w:r>
        <w:rPr>
          <w:rFonts w:hint="eastAsia" w:ascii="宋体" w:hAnsi="宋体" w:eastAsia="宋体" w:cs="宋体"/>
          <w:color w:val="auto"/>
          <w:spacing w:val="-12"/>
          <w:highlight w:val="none"/>
        </w:rPr>
        <w:t>决</w:t>
      </w:r>
      <w:r>
        <w:rPr>
          <w:rFonts w:hint="eastAsia" w:ascii="宋体" w:hAnsi="宋体" w:eastAsia="宋体" w:cs="宋体"/>
          <w:color w:val="auto"/>
          <w:spacing w:val="-11"/>
          <w:highlight w:val="none"/>
        </w:rPr>
        <w:t>。</w:t>
      </w:r>
    </w:p>
    <w:p w14:paraId="4C599913">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16" w:firstLineChars="200"/>
        <w:jc w:val="both"/>
        <w:textAlignment w:val="auto"/>
        <w:rPr>
          <w:rFonts w:hint="eastAsia" w:ascii="宋体" w:hAnsi="宋体" w:eastAsia="宋体" w:cs="宋体"/>
          <w:strike/>
          <w:color w:val="auto"/>
          <w:spacing w:val="-1"/>
          <w:highlight w:val="none"/>
        </w:rPr>
      </w:pPr>
      <w:r>
        <w:rPr>
          <w:rFonts w:hint="eastAsia" w:ascii="宋体" w:hAnsi="宋体" w:eastAsia="宋体" w:cs="宋体"/>
          <w:strike/>
          <w:color w:val="auto"/>
          <w:spacing w:val="-1"/>
          <w:highlight w:val="none"/>
        </w:rPr>
        <w:t>3.6.2</w:t>
      </w:r>
      <w:r>
        <w:rPr>
          <w:rFonts w:hint="eastAsia" w:ascii="宋体" w:hAnsi="宋体" w:eastAsia="宋体" w:cs="宋体"/>
          <w:strike/>
          <w:color w:val="auto"/>
          <w:spacing w:val="-1"/>
          <w:highlight w:val="none"/>
          <w:lang w:val="en-US" w:eastAsia="zh-CN"/>
        </w:rPr>
        <w:t xml:space="preserve"> </w:t>
      </w:r>
      <w:r>
        <w:rPr>
          <w:rFonts w:hint="eastAsia" w:ascii="宋体" w:hAnsi="宋体" w:eastAsia="宋体" w:cs="宋体"/>
          <w:strike/>
          <w:color w:val="auto"/>
          <w:spacing w:val="-1"/>
          <w:highlight w:val="none"/>
        </w:rPr>
        <w:t>允许投标人递交备选投标方案的，只有中标人所递交的备选投标方案方</w:t>
      </w:r>
      <w:r>
        <w:rPr>
          <w:rFonts w:hint="eastAsia" w:ascii="宋体" w:hAnsi="宋体" w:eastAsia="宋体" w:cs="宋体"/>
          <w:strike/>
          <w:color w:val="auto"/>
          <w:highlight w:val="none"/>
        </w:rPr>
        <w:t>可予以考虑。</w:t>
      </w:r>
      <w:r>
        <w:rPr>
          <w:rFonts w:hint="eastAsia" w:ascii="宋体" w:hAnsi="宋体" w:eastAsia="宋体" w:cs="宋体"/>
          <w:strike/>
          <w:color w:val="auto"/>
          <w:spacing w:val="1"/>
          <w:highlight w:val="none"/>
        </w:rPr>
        <w:t>评标委员会认为中标人的备选投标方</w:t>
      </w:r>
      <w:r>
        <w:rPr>
          <w:rFonts w:hint="eastAsia" w:ascii="宋体" w:hAnsi="宋体" w:eastAsia="宋体" w:cs="宋体"/>
          <w:strike/>
          <w:color w:val="auto"/>
          <w:highlight w:val="none"/>
        </w:rPr>
        <w:t xml:space="preserve">案优于其按照招标文件要求编制的投标方案的，招标人可 </w:t>
      </w:r>
      <w:r>
        <w:rPr>
          <w:rFonts w:hint="eastAsia" w:ascii="宋体" w:hAnsi="宋体" w:eastAsia="宋体" w:cs="宋体"/>
          <w:strike/>
          <w:color w:val="auto"/>
          <w:spacing w:val="-4"/>
          <w:highlight w:val="none"/>
        </w:rPr>
        <w:t>以</w:t>
      </w:r>
      <w:r>
        <w:rPr>
          <w:rFonts w:hint="eastAsia" w:ascii="宋体" w:hAnsi="宋体" w:eastAsia="宋体" w:cs="宋体"/>
          <w:strike/>
          <w:color w:val="auto"/>
          <w:spacing w:val="-3"/>
          <w:highlight w:val="none"/>
        </w:rPr>
        <w:t>接受该备选投标方案。</w:t>
      </w:r>
    </w:p>
    <w:p w14:paraId="0BB0D35A">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12" w:firstLineChars="200"/>
        <w:jc w:val="both"/>
        <w:textAlignment w:val="auto"/>
        <w:rPr>
          <w:rFonts w:hint="eastAsia" w:ascii="宋体" w:hAnsi="宋体" w:eastAsia="宋体" w:cs="宋体"/>
          <w:strike/>
          <w:color w:val="auto"/>
          <w:spacing w:val="-1"/>
          <w:highlight w:val="none"/>
        </w:rPr>
      </w:pPr>
      <w:r>
        <w:rPr>
          <w:rFonts w:hint="eastAsia" w:ascii="宋体" w:hAnsi="宋体" w:eastAsia="宋体" w:cs="宋体"/>
          <w:strike/>
          <w:color w:val="auto"/>
          <w:spacing w:val="-2"/>
          <w:highlight w:val="none"/>
        </w:rPr>
        <w:t>3.6.3</w:t>
      </w:r>
      <w:r>
        <w:rPr>
          <w:rFonts w:hint="eastAsia" w:ascii="宋体" w:hAnsi="宋体" w:eastAsia="宋体" w:cs="宋体"/>
          <w:strike/>
          <w:color w:val="auto"/>
          <w:spacing w:val="-2"/>
          <w:highlight w:val="none"/>
          <w:lang w:val="en-US" w:eastAsia="zh-CN"/>
        </w:rPr>
        <w:t xml:space="preserve"> </w:t>
      </w:r>
      <w:r>
        <w:rPr>
          <w:rFonts w:hint="eastAsia" w:ascii="宋体" w:hAnsi="宋体" w:eastAsia="宋体" w:cs="宋体"/>
          <w:strike/>
          <w:color w:val="auto"/>
          <w:spacing w:val="-2"/>
          <w:highlight w:val="none"/>
        </w:rPr>
        <w:t>投标人提供两个或两个以上投标报价，或者在投标文件中提供一个报价，但同</w:t>
      </w:r>
      <w:r>
        <w:rPr>
          <w:rFonts w:hint="eastAsia" w:ascii="宋体" w:hAnsi="宋体" w:eastAsia="宋体" w:cs="宋体"/>
          <w:strike/>
          <w:color w:val="auto"/>
          <w:spacing w:val="-1"/>
          <w:highlight w:val="none"/>
        </w:rPr>
        <w:t>时</w:t>
      </w:r>
      <w:r>
        <w:rPr>
          <w:rFonts w:hint="eastAsia" w:ascii="宋体" w:hAnsi="宋体" w:eastAsia="宋体" w:cs="宋体"/>
          <w:strike/>
          <w:color w:val="auto"/>
          <w:highlight w:val="none"/>
        </w:rPr>
        <w:t>提供</w:t>
      </w:r>
      <w:r>
        <w:rPr>
          <w:rFonts w:hint="eastAsia" w:ascii="宋体" w:hAnsi="宋体" w:eastAsia="宋体" w:cs="宋体"/>
          <w:strike/>
          <w:color w:val="auto"/>
          <w:spacing w:val="-2"/>
          <w:highlight w:val="none"/>
        </w:rPr>
        <w:t>两个或两个以上勘察设计方案的，视为</w:t>
      </w:r>
      <w:r>
        <w:rPr>
          <w:rFonts w:hint="eastAsia" w:ascii="宋体" w:hAnsi="宋体" w:eastAsia="宋体" w:cs="宋体"/>
          <w:strike/>
          <w:color w:val="auto"/>
          <w:spacing w:val="-1"/>
          <w:highlight w:val="none"/>
        </w:rPr>
        <w:t>提供备选方案。</w:t>
      </w:r>
    </w:p>
    <w:p w14:paraId="3CCB7F14">
      <w:pPr>
        <w:spacing w:before="68" w:line="352" w:lineRule="auto"/>
        <w:ind w:right="72"/>
        <w:rPr>
          <w:rFonts w:hint="eastAsia" w:ascii="宋体" w:hAnsi="宋体" w:eastAsia="宋体" w:cs="宋体"/>
          <w:b/>
          <w:bCs/>
          <w:color w:val="auto"/>
          <w:spacing w:val="-2"/>
          <w:sz w:val="24"/>
          <w:szCs w:val="24"/>
          <w:highlight w:val="none"/>
        </w:rPr>
      </w:pPr>
      <w:bookmarkStart w:id="208" w:name="_Toc28058"/>
      <w:bookmarkStart w:id="209" w:name="_Toc9249"/>
      <w:bookmarkStart w:id="210" w:name="_Toc22549"/>
      <w:bookmarkStart w:id="211" w:name="_Toc22875"/>
      <w:bookmarkStart w:id="212" w:name="_Toc6029"/>
      <w:r>
        <w:rPr>
          <w:rFonts w:hint="eastAsia" w:ascii="宋体" w:hAnsi="宋体" w:eastAsia="宋体" w:cs="宋体"/>
          <w:b/>
          <w:bCs/>
          <w:color w:val="auto"/>
          <w:spacing w:val="-2"/>
          <w:sz w:val="24"/>
          <w:szCs w:val="24"/>
          <w:highlight w:val="none"/>
        </w:rPr>
        <w:t>3.7 投标文件的编制</w:t>
      </w:r>
      <w:bookmarkEnd w:id="208"/>
      <w:bookmarkEnd w:id="209"/>
      <w:bookmarkEnd w:id="210"/>
      <w:bookmarkEnd w:id="211"/>
      <w:bookmarkEnd w:id="212"/>
    </w:p>
    <w:p w14:paraId="73879F47">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3.7.1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投标文件应按第六章“投标文件格式”进行编写，如有必要，可以增加附页，作为投标文件的组成部分。其中，投标函附录在满足招标文件实质性要求的基础上，可以提出比招标文件要求更有利于招标人的承诺。</w:t>
      </w:r>
    </w:p>
    <w:p w14:paraId="1012594A">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3.7.2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投标文件应当对招标文件有关服务期限、投标有效期、发包人要求、招标范围等实质性内容作出响应。</w:t>
      </w:r>
    </w:p>
    <w:p w14:paraId="4EE9E565">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3.7.3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文件全部采用电子文档，投标文件所附证书证件均为原件扫描件或电子证书，并采用单位数字证书，按招标文件要求在相应位置加盖电子印章。投标文件中需个人签字或盖章的，应加盖个人电子印章或在线下完成后扫描上传（可靠的电子签名与手写签名或者盖章具有同等的法律效力）。按照广州交易集团有限公司（广州公共资源交易中心）网站关于全流程电子化项目的相关指南进行操作。</w:t>
      </w:r>
    </w:p>
    <w:p w14:paraId="4B95BA1A">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3.7.4</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联合体投标时，投标人封面及其他内容落款中的“投标人”应填写联合体各方的单位全称【格式为：（主）XXXX公司（成）XXXX公司】。除联合体共同投标协议需联合体各方按要求共同盖章或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扫描件。</w:t>
      </w:r>
    </w:p>
    <w:p w14:paraId="5FC9DD61">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3.7.5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文件应按照广州交易集团有限公司（广州公共资源交易中心）网站关于全流程电子化项目的相关指南进行编制。如因不按上述编排要求编制而所引起系统无法检索、读取相关信息时，其后果将由投标人自行承担。</w:t>
      </w:r>
    </w:p>
    <w:p w14:paraId="33B0D6F6">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213" w:name="_Toc28963"/>
      <w:bookmarkStart w:id="214" w:name="_Toc13817"/>
      <w:bookmarkStart w:id="215" w:name="_Toc8579"/>
      <w:bookmarkStart w:id="216" w:name="_Toc12551"/>
      <w:bookmarkStart w:id="217" w:name="_Toc21673"/>
      <w:bookmarkStart w:id="218" w:name="_Toc25877"/>
      <w:r>
        <w:rPr>
          <w:rFonts w:hint="eastAsia" w:ascii="宋体" w:hAnsi="宋体" w:eastAsia="宋体" w:cs="宋体"/>
          <w:kern w:val="2"/>
          <w:lang w:val="en-US" w:eastAsia="zh-CN"/>
        </w:rPr>
        <w:t>4．投标</w:t>
      </w:r>
      <w:bookmarkEnd w:id="213"/>
      <w:bookmarkEnd w:id="214"/>
      <w:bookmarkEnd w:id="215"/>
      <w:bookmarkEnd w:id="216"/>
      <w:bookmarkEnd w:id="217"/>
      <w:bookmarkEnd w:id="218"/>
    </w:p>
    <w:p w14:paraId="1B44FC07">
      <w:pPr>
        <w:spacing w:before="68" w:line="352" w:lineRule="auto"/>
        <w:ind w:right="72"/>
        <w:rPr>
          <w:rFonts w:hint="eastAsia" w:ascii="宋体" w:hAnsi="宋体" w:eastAsia="宋体" w:cs="宋体"/>
          <w:b/>
          <w:bCs/>
          <w:color w:val="auto"/>
          <w:spacing w:val="-2"/>
          <w:sz w:val="24"/>
          <w:szCs w:val="24"/>
          <w:highlight w:val="none"/>
        </w:rPr>
      </w:pPr>
      <w:bookmarkStart w:id="219" w:name="_Toc28705"/>
      <w:bookmarkStart w:id="220" w:name="_Toc26104"/>
      <w:bookmarkStart w:id="221" w:name="_Toc2460"/>
      <w:bookmarkStart w:id="222" w:name="_Toc26388"/>
      <w:bookmarkStart w:id="223" w:name="_Toc28213"/>
      <w:r>
        <w:rPr>
          <w:rFonts w:hint="eastAsia" w:ascii="宋体" w:hAnsi="宋体" w:eastAsia="宋体" w:cs="宋体"/>
          <w:b/>
          <w:bCs/>
          <w:color w:val="auto"/>
          <w:spacing w:val="-2"/>
          <w:sz w:val="24"/>
          <w:szCs w:val="24"/>
          <w:highlight w:val="none"/>
        </w:rPr>
        <w:t>4.1 投标文件的密封和标记</w:t>
      </w:r>
      <w:bookmarkEnd w:id="219"/>
      <w:bookmarkEnd w:id="220"/>
      <w:bookmarkEnd w:id="221"/>
      <w:bookmarkEnd w:id="222"/>
      <w:bookmarkEnd w:id="223"/>
    </w:p>
    <w:p w14:paraId="0300C09A">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4.1.1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递交的电子投标文件（不含备用光盘）必须进行加密。按照广州交易集团有限公司（广州公共资源交易中心）网站关于全流程电子化项目的相关指南进行操作。</w:t>
      </w:r>
    </w:p>
    <w:p w14:paraId="540AF889">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4.1.2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未按要求加密的投标文件，广州交易集团有限公司（广州公共资源交易中心）网站交易平台将予以拒收。</w:t>
      </w:r>
    </w:p>
    <w:p w14:paraId="0CB26F1B">
      <w:pPr>
        <w:spacing w:before="68" w:line="352" w:lineRule="auto"/>
        <w:ind w:right="72"/>
        <w:rPr>
          <w:rFonts w:hint="eastAsia" w:ascii="宋体" w:hAnsi="宋体" w:eastAsia="宋体" w:cs="宋体"/>
          <w:b/>
          <w:bCs/>
          <w:color w:val="auto"/>
          <w:spacing w:val="-2"/>
          <w:sz w:val="24"/>
          <w:szCs w:val="24"/>
          <w:highlight w:val="none"/>
        </w:rPr>
      </w:pPr>
      <w:bookmarkStart w:id="224" w:name="_Toc24305"/>
      <w:bookmarkStart w:id="225" w:name="_Toc6297"/>
      <w:bookmarkStart w:id="226" w:name="_Toc17831"/>
      <w:bookmarkStart w:id="227" w:name="_Toc7999"/>
      <w:bookmarkStart w:id="228" w:name="_Toc14279"/>
      <w:r>
        <w:rPr>
          <w:rFonts w:hint="eastAsia" w:ascii="宋体" w:hAnsi="宋体" w:eastAsia="宋体" w:cs="宋体"/>
          <w:b/>
          <w:bCs/>
          <w:color w:val="auto"/>
          <w:spacing w:val="-2"/>
          <w:sz w:val="24"/>
          <w:szCs w:val="24"/>
          <w:highlight w:val="none"/>
        </w:rPr>
        <w:t>4.2 投标文件的递交</w:t>
      </w:r>
      <w:bookmarkEnd w:id="224"/>
      <w:bookmarkEnd w:id="225"/>
      <w:bookmarkEnd w:id="226"/>
      <w:bookmarkEnd w:id="227"/>
      <w:bookmarkEnd w:id="228"/>
    </w:p>
    <w:p w14:paraId="780E071C">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4.2.1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投标人应在投标人须知前附表规定的投标截止时间前，通过广州交易集团有限公司（广州公共资源交易中心）网站交易平台递交电子投标文件。</w:t>
      </w:r>
    </w:p>
    <w:p w14:paraId="704436D4">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4.2.2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投标人完成电子投标文件上传后，广州交易集团有限公司（广州公共资源交易中心）网站交易平台即时向投标人发出递交回执通知。递交时间以递交回执通知载明的传输完成时间为准。</w:t>
      </w:r>
    </w:p>
    <w:p w14:paraId="249D2BEE">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4.2.3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逾期送达的电子投标文件，广州交易集团有限公司（广州公共资源交易中心）网站交易平台将予以拒收。</w:t>
      </w:r>
    </w:p>
    <w:p w14:paraId="058F6E35">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4.2.4</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投标截止前，招标人拒绝接收符合条件的投标文件，投标人可向招标监督机构投诉。</w:t>
      </w:r>
    </w:p>
    <w:p w14:paraId="285D6030">
      <w:pPr>
        <w:spacing w:before="68" w:line="352" w:lineRule="auto"/>
        <w:ind w:right="72"/>
        <w:rPr>
          <w:rFonts w:hint="eastAsia" w:ascii="宋体" w:hAnsi="宋体" w:eastAsia="宋体" w:cs="宋体"/>
          <w:b/>
          <w:bCs/>
          <w:color w:val="auto"/>
          <w:spacing w:val="-2"/>
          <w:sz w:val="24"/>
          <w:szCs w:val="24"/>
          <w:highlight w:val="none"/>
        </w:rPr>
      </w:pPr>
      <w:bookmarkStart w:id="229" w:name="_Toc1278"/>
      <w:bookmarkStart w:id="230" w:name="_Toc8848"/>
      <w:bookmarkStart w:id="231" w:name="_Toc25623"/>
      <w:bookmarkStart w:id="232" w:name="_Toc6649"/>
      <w:bookmarkStart w:id="233" w:name="_Toc20560"/>
      <w:r>
        <w:rPr>
          <w:rFonts w:hint="eastAsia" w:ascii="宋体" w:hAnsi="宋体" w:eastAsia="宋体" w:cs="宋体"/>
          <w:b/>
          <w:bCs/>
          <w:color w:val="auto"/>
          <w:spacing w:val="-2"/>
          <w:sz w:val="24"/>
          <w:szCs w:val="24"/>
          <w:highlight w:val="none"/>
        </w:rPr>
        <w:t>4.3 投标文件的修改与撤回</w:t>
      </w:r>
      <w:bookmarkEnd w:id="229"/>
      <w:bookmarkEnd w:id="230"/>
      <w:bookmarkEnd w:id="231"/>
      <w:bookmarkEnd w:id="232"/>
      <w:bookmarkEnd w:id="233"/>
    </w:p>
    <w:p w14:paraId="77184D2D">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4.3.1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在规定的投标截止时间前，投标人可以修改或撤回已递交的投标文件，但应以书面形式通知招标人。</w:t>
      </w:r>
    </w:p>
    <w:p w14:paraId="6B447D0E">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4.3.2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投标人修改或撤回已递交投标文件，需在交易平台发出修改或撤回通知，并按要求加盖电子印章。电子招标投标交易平台收到通知后，即时向投标人发出确认回执通知。</w:t>
      </w:r>
    </w:p>
    <w:p w14:paraId="7AD7E1BD">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4.3.3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修改后再次递交的，按第4.2项的规定执行。</w:t>
      </w:r>
    </w:p>
    <w:p w14:paraId="53000F90">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4.3.4</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在投标截止时间之后，投标人不得补充、修改和更换投标文件。</w:t>
      </w:r>
    </w:p>
    <w:p w14:paraId="60565895">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234" w:name="_Toc14905"/>
      <w:bookmarkStart w:id="235" w:name="_Toc30468"/>
      <w:bookmarkStart w:id="236" w:name="_Toc5844"/>
      <w:bookmarkStart w:id="237" w:name="_Toc13390"/>
      <w:bookmarkStart w:id="238" w:name="_Toc15392"/>
      <w:bookmarkStart w:id="239" w:name="_Toc9020"/>
      <w:r>
        <w:rPr>
          <w:rFonts w:hint="eastAsia" w:ascii="宋体" w:hAnsi="宋体" w:eastAsia="宋体" w:cs="宋体"/>
          <w:kern w:val="2"/>
          <w:lang w:val="en-US" w:eastAsia="zh-CN"/>
        </w:rPr>
        <w:t>5．开标</w:t>
      </w:r>
      <w:bookmarkEnd w:id="234"/>
      <w:bookmarkEnd w:id="235"/>
      <w:bookmarkEnd w:id="236"/>
      <w:bookmarkEnd w:id="237"/>
      <w:bookmarkEnd w:id="238"/>
      <w:bookmarkEnd w:id="239"/>
    </w:p>
    <w:p w14:paraId="0942655A">
      <w:pPr>
        <w:spacing w:before="68" w:line="352" w:lineRule="auto"/>
        <w:ind w:right="72"/>
        <w:rPr>
          <w:rFonts w:hint="eastAsia" w:ascii="宋体" w:hAnsi="宋体" w:eastAsia="宋体" w:cs="宋体"/>
          <w:b/>
          <w:bCs/>
          <w:color w:val="auto"/>
          <w:spacing w:val="-2"/>
          <w:sz w:val="24"/>
          <w:szCs w:val="24"/>
          <w:highlight w:val="none"/>
        </w:rPr>
      </w:pPr>
      <w:bookmarkStart w:id="240" w:name="_Toc14670"/>
      <w:bookmarkStart w:id="241" w:name="_Toc19309"/>
      <w:bookmarkStart w:id="242" w:name="_Toc22724"/>
      <w:bookmarkStart w:id="243" w:name="_Toc5053"/>
      <w:bookmarkStart w:id="244" w:name="_Toc3725"/>
      <w:r>
        <w:rPr>
          <w:rFonts w:hint="eastAsia" w:ascii="宋体" w:hAnsi="宋体" w:eastAsia="宋体" w:cs="宋体"/>
          <w:b/>
          <w:bCs/>
          <w:color w:val="auto"/>
          <w:spacing w:val="-2"/>
          <w:sz w:val="24"/>
          <w:szCs w:val="24"/>
          <w:highlight w:val="none"/>
        </w:rPr>
        <w:t>5.1 开标时间和地点</w:t>
      </w:r>
      <w:bookmarkEnd w:id="240"/>
      <w:bookmarkEnd w:id="241"/>
      <w:bookmarkEnd w:id="242"/>
      <w:bookmarkEnd w:id="243"/>
      <w:bookmarkEnd w:id="244"/>
    </w:p>
    <w:p w14:paraId="27576D29">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5.1.1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招标人按投标须知前附表规定的时间和地点公开开标。截标后，开标开始时间因故推迟的，相关评标信息仍以原定的开标开始时间的信息为准。</w:t>
      </w:r>
    </w:p>
    <w:p w14:paraId="1E2054D1">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5.1.2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09C35BBC">
      <w:pPr>
        <w:spacing w:before="68" w:line="352" w:lineRule="auto"/>
        <w:ind w:right="72"/>
        <w:rPr>
          <w:rFonts w:hint="eastAsia" w:ascii="宋体" w:hAnsi="宋体" w:eastAsia="宋体" w:cs="宋体"/>
          <w:b/>
          <w:bCs/>
          <w:color w:val="auto"/>
          <w:spacing w:val="-2"/>
          <w:sz w:val="24"/>
          <w:szCs w:val="24"/>
          <w:highlight w:val="none"/>
        </w:rPr>
      </w:pPr>
      <w:bookmarkStart w:id="245" w:name="_Toc695"/>
      <w:bookmarkStart w:id="246" w:name="_Toc13348"/>
      <w:bookmarkStart w:id="247" w:name="_Toc16400"/>
      <w:bookmarkStart w:id="248" w:name="_Toc8588"/>
      <w:bookmarkStart w:id="249" w:name="_Toc28659"/>
      <w:r>
        <w:rPr>
          <w:rFonts w:hint="eastAsia" w:ascii="宋体" w:hAnsi="宋体" w:eastAsia="宋体" w:cs="宋体"/>
          <w:b/>
          <w:bCs/>
          <w:color w:val="auto"/>
          <w:spacing w:val="-2"/>
          <w:sz w:val="24"/>
          <w:szCs w:val="24"/>
          <w:highlight w:val="none"/>
        </w:rPr>
        <w:t>5.2 开标程序</w:t>
      </w:r>
      <w:bookmarkEnd w:id="245"/>
      <w:bookmarkEnd w:id="246"/>
      <w:bookmarkEnd w:id="247"/>
      <w:bookmarkEnd w:id="248"/>
      <w:bookmarkEnd w:id="249"/>
    </w:p>
    <w:p w14:paraId="10913D9B">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5.2.1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在投标截止时间后</w:t>
      </w:r>
      <w:r>
        <w:rPr>
          <w:rFonts w:hint="eastAsia" w:ascii="宋体" w:hAnsi="宋体" w:eastAsia="宋体" w:cs="宋体"/>
          <w:color w:val="auto"/>
          <w:highlight w:val="none"/>
          <w:u w:val="single"/>
        </w:rPr>
        <w:t>半小时</w:t>
      </w:r>
      <w:r>
        <w:rPr>
          <w:rFonts w:hint="eastAsia" w:ascii="宋体" w:hAnsi="宋体" w:eastAsia="宋体" w:cs="宋体"/>
          <w:color w:val="auto"/>
          <w:highlight w:val="none"/>
        </w:rPr>
        <w:t>内，投标人通过递交投标文件的交易平台对已递交的电子投标文件进行解密。投标人完成解密后，再由招标人进行解密。解密完成后，公布招标项目名称、投标人名称</w:t>
      </w:r>
      <w:r>
        <w:rPr>
          <w:rFonts w:hint="eastAsia" w:ascii="宋体" w:hAnsi="宋体" w:eastAsia="宋体" w:cs="宋体"/>
          <w:strike/>
          <w:color w:val="auto"/>
          <w:highlight w:val="none"/>
        </w:rPr>
        <w:t>、投标保证金</w:t>
      </w:r>
      <w:r>
        <w:rPr>
          <w:rFonts w:hint="eastAsia" w:ascii="宋体" w:hAnsi="宋体" w:eastAsia="宋体" w:cs="宋体"/>
          <w:color w:val="auto"/>
          <w:highlight w:val="none"/>
        </w:rPr>
        <w:t>的递交情况、投标报价、项目负责人及其他内容。未在规定时间内解密的投标文件不参与开标、评标。</w:t>
      </w:r>
    </w:p>
    <w:p w14:paraId="5F1CEEFD">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5.2.2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按开标记录表规定的内容进行唱标。</w:t>
      </w:r>
    </w:p>
    <w:p w14:paraId="30B971DD">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5.2.3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投标人代表、招标人代表、监标人、记录人等有关人员在开标记录上签字确认；若有关人员不签字的，不影响开标程序。</w:t>
      </w:r>
    </w:p>
    <w:p w14:paraId="46B75E9C">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5.2.4</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开标结束。</w:t>
      </w:r>
    </w:p>
    <w:p w14:paraId="4F56E6CC">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5.2.5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42288618">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5.2.6</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开标时，两个（含两个）以上的投标人加密打包投标文件电脑机器特征码一致的，不参与下一程序，并由评标委员会否决其投标。</w:t>
      </w:r>
    </w:p>
    <w:p w14:paraId="439763C8">
      <w:pPr>
        <w:spacing w:before="68" w:line="352" w:lineRule="auto"/>
        <w:ind w:right="72"/>
        <w:rPr>
          <w:rFonts w:hint="eastAsia" w:ascii="宋体" w:hAnsi="宋体" w:eastAsia="宋体" w:cs="宋体"/>
          <w:b/>
          <w:bCs/>
          <w:color w:val="auto"/>
          <w:spacing w:val="-2"/>
          <w:sz w:val="24"/>
          <w:szCs w:val="24"/>
          <w:highlight w:val="none"/>
        </w:rPr>
      </w:pPr>
      <w:bookmarkStart w:id="250" w:name="_Toc1095"/>
      <w:bookmarkStart w:id="251" w:name="_Toc6534"/>
      <w:bookmarkStart w:id="252" w:name="_Toc21783"/>
      <w:bookmarkStart w:id="253" w:name="_Toc8139"/>
      <w:bookmarkStart w:id="254" w:name="_Toc24106"/>
      <w:r>
        <w:rPr>
          <w:rFonts w:hint="eastAsia" w:ascii="宋体" w:hAnsi="宋体" w:eastAsia="宋体" w:cs="宋体"/>
          <w:b/>
          <w:bCs/>
          <w:color w:val="auto"/>
          <w:spacing w:val="-2"/>
          <w:sz w:val="24"/>
          <w:szCs w:val="24"/>
          <w:highlight w:val="none"/>
        </w:rPr>
        <w:t>5.3 开标异议</w:t>
      </w:r>
      <w:bookmarkEnd w:id="250"/>
      <w:bookmarkEnd w:id="251"/>
      <w:bookmarkEnd w:id="252"/>
      <w:bookmarkEnd w:id="253"/>
      <w:bookmarkEnd w:id="254"/>
    </w:p>
    <w:p w14:paraId="4D12D273">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5.3.1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参加现场开标的投标人对开标结果有异议的，应当在开标现场提出，招标人应当当场作出答复，并制作记录。</w:t>
      </w:r>
    </w:p>
    <w:p w14:paraId="0A539336">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5.3.2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 答复是招标人真实意思表示。未答复的，开标程序不得结束。</w:t>
      </w:r>
    </w:p>
    <w:p w14:paraId="5702F806">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5.3.3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投标人未参加开标或在规定的时间内未提出异议的，视为对开标无异议。</w:t>
      </w:r>
    </w:p>
    <w:p w14:paraId="377A8AC5">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255" w:name="_Toc32000"/>
      <w:bookmarkStart w:id="256" w:name="_Toc10755"/>
      <w:bookmarkStart w:id="257" w:name="_Toc6481"/>
      <w:bookmarkStart w:id="258" w:name="_Toc32638"/>
      <w:bookmarkStart w:id="259" w:name="_Toc6884"/>
      <w:bookmarkStart w:id="260" w:name="_Toc27309"/>
      <w:r>
        <w:rPr>
          <w:rFonts w:hint="eastAsia" w:ascii="宋体" w:hAnsi="宋体" w:eastAsia="宋体" w:cs="宋体"/>
          <w:kern w:val="2"/>
          <w:lang w:val="en-US" w:eastAsia="zh-CN"/>
        </w:rPr>
        <w:t>6．评标</w:t>
      </w:r>
      <w:bookmarkEnd w:id="255"/>
      <w:bookmarkEnd w:id="256"/>
      <w:bookmarkEnd w:id="257"/>
      <w:bookmarkEnd w:id="258"/>
      <w:bookmarkEnd w:id="259"/>
      <w:bookmarkEnd w:id="260"/>
    </w:p>
    <w:p w14:paraId="7F6E2BA5">
      <w:pPr>
        <w:spacing w:before="68" w:line="352" w:lineRule="auto"/>
        <w:ind w:right="72"/>
        <w:rPr>
          <w:rFonts w:hint="eastAsia" w:ascii="宋体" w:hAnsi="宋体" w:eastAsia="宋体" w:cs="宋体"/>
          <w:b/>
          <w:bCs/>
          <w:color w:val="auto"/>
          <w:spacing w:val="-2"/>
          <w:sz w:val="24"/>
          <w:szCs w:val="24"/>
          <w:highlight w:val="none"/>
        </w:rPr>
      </w:pPr>
      <w:bookmarkStart w:id="261" w:name="_Toc4252"/>
      <w:bookmarkStart w:id="262" w:name="_Toc25470"/>
      <w:bookmarkStart w:id="263" w:name="_Toc1336"/>
      <w:bookmarkStart w:id="264" w:name="_Toc17470"/>
      <w:bookmarkStart w:id="265" w:name="_Toc14687"/>
      <w:r>
        <w:rPr>
          <w:rFonts w:hint="eastAsia" w:ascii="宋体" w:hAnsi="宋体" w:eastAsia="宋体" w:cs="宋体"/>
          <w:b/>
          <w:bCs/>
          <w:color w:val="auto"/>
          <w:spacing w:val="-2"/>
          <w:sz w:val="24"/>
          <w:szCs w:val="24"/>
          <w:highlight w:val="none"/>
        </w:rPr>
        <w:t>6.1 评标委员会</w:t>
      </w:r>
      <w:bookmarkEnd w:id="261"/>
      <w:bookmarkEnd w:id="262"/>
      <w:bookmarkEnd w:id="263"/>
      <w:bookmarkEnd w:id="264"/>
      <w:bookmarkEnd w:id="265"/>
    </w:p>
    <w:p w14:paraId="297CFB65">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12" w:firstLineChars="200"/>
        <w:jc w:val="both"/>
        <w:textAlignment w:val="auto"/>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6.1.1</w:t>
      </w:r>
      <w:r>
        <w:rPr>
          <w:rFonts w:hint="eastAsia" w:ascii="宋体" w:hAnsi="宋体" w:eastAsia="宋体" w:cs="宋体"/>
          <w:color w:val="auto"/>
          <w:spacing w:val="-2"/>
          <w:highlight w:val="none"/>
          <w:lang w:val="en-US" w:eastAsia="zh-CN"/>
        </w:rPr>
        <w:t xml:space="preserve"> </w:t>
      </w:r>
      <w:r>
        <w:rPr>
          <w:rFonts w:hint="eastAsia" w:ascii="宋体" w:hAnsi="宋体" w:eastAsia="宋体" w:cs="宋体"/>
          <w:color w:val="auto"/>
          <w:highlight w:val="none"/>
        </w:rPr>
        <w:t>评标由招标人依法组建的评标委员会负责。评标委员会由有关技术、经济等方面的专家和招标人代表组成，专家从</w:t>
      </w:r>
      <w:r>
        <w:rPr>
          <w:rFonts w:hint="eastAsia" w:ascii="宋体" w:hAnsi="宋体" w:eastAsia="宋体" w:cs="宋体"/>
          <w:color w:val="auto"/>
          <w:highlight w:val="none"/>
          <w:u w:val="single"/>
        </w:rPr>
        <w:t>广东省综合评标评审专家库</w:t>
      </w:r>
      <w:r>
        <w:rPr>
          <w:rFonts w:hint="eastAsia" w:ascii="宋体" w:hAnsi="宋体" w:eastAsia="宋体" w:cs="宋体"/>
          <w:color w:val="auto"/>
          <w:highlight w:val="none"/>
        </w:rPr>
        <w:t>中抽取。评标委员会成员人数以及技术、经济等方面专家的确定方式见投标人须知前附表。</w:t>
      </w:r>
    </w:p>
    <w:p w14:paraId="0CBA538A">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12" w:firstLineChars="200"/>
        <w:jc w:val="both"/>
        <w:textAlignment w:val="auto"/>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6.1.2</w:t>
      </w:r>
      <w:r>
        <w:rPr>
          <w:rFonts w:hint="eastAsia" w:ascii="宋体" w:hAnsi="宋体" w:eastAsia="宋体" w:cs="宋体"/>
          <w:color w:val="auto"/>
          <w:spacing w:val="-2"/>
          <w:highlight w:val="none"/>
          <w:lang w:val="en-US" w:eastAsia="zh-CN"/>
        </w:rPr>
        <w:t xml:space="preserve"> </w:t>
      </w:r>
      <w:r>
        <w:rPr>
          <w:rFonts w:hint="eastAsia" w:ascii="宋体" w:hAnsi="宋体" w:eastAsia="宋体" w:cs="宋体"/>
          <w:color w:val="auto"/>
          <w:spacing w:val="-2"/>
          <w:highlight w:val="none"/>
        </w:rPr>
        <w:t>评标委员会成员有下列情形之一的，应当回避：</w:t>
      </w:r>
    </w:p>
    <w:p w14:paraId="3BDCC6F3">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(1)投标人或投标人主要负责人的近亲属；</w:t>
      </w:r>
    </w:p>
    <w:p w14:paraId="21EC5A50">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(2)项目主管部门或者行政监督部门的人员；</w:t>
      </w:r>
    </w:p>
    <w:p w14:paraId="12A6D7CC">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(3)招标人或投标人的工作人员、退休或离职未满3年的人员；</w:t>
      </w:r>
    </w:p>
    <w:p w14:paraId="399EDB92">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(4)与投标人有经济利益关系，可能影响对投标公正评审的；</w:t>
      </w:r>
    </w:p>
    <w:p w14:paraId="1CCFA79F">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(5)曾因在招标、评标以及其他与招标投标有关活动中从事违法行为而受过行政处罚或刑事处罚的；</w:t>
      </w:r>
    </w:p>
    <w:p w14:paraId="6EDE0DB1">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(6)与投标人有其他利害关系。</w:t>
      </w:r>
    </w:p>
    <w:p w14:paraId="15CC3531">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6.1.3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评标过程中，评标委员会成员有回避事由、擅离职守或者因健康等原因不能继续评标的，招标人有权更换。被更换的评标委员会成员作出的评审结论无效，由更换后的评标委员会成员重新进行评审。</w:t>
      </w:r>
    </w:p>
    <w:p w14:paraId="7376F7B3">
      <w:pPr>
        <w:spacing w:before="68" w:line="352" w:lineRule="auto"/>
        <w:ind w:right="72"/>
        <w:rPr>
          <w:rFonts w:hint="eastAsia" w:ascii="宋体" w:hAnsi="宋体" w:eastAsia="宋体" w:cs="宋体"/>
          <w:b/>
          <w:bCs/>
          <w:color w:val="auto"/>
          <w:spacing w:val="-2"/>
          <w:sz w:val="24"/>
          <w:szCs w:val="24"/>
          <w:highlight w:val="none"/>
        </w:rPr>
      </w:pPr>
      <w:bookmarkStart w:id="266" w:name="_Toc27967"/>
      <w:bookmarkStart w:id="267" w:name="_Toc22628"/>
      <w:bookmarkStart w:id="268" w:name="_Toc17421"/>
      <w:bookmarkStart w:id="269" w:name="_Toc8881"/>
      <w:bookmarkStart w:id="270" w:name="_Toc17027"/>
      <w:r>
        <w:rPr>
          <w:rFonts w:hint="eastAsia" w:ascii="宋体" w:hAnsi="宋体" w:eastAsia="宋体" w:cs="宋体"/>
          <w:b/>
          <w:bCs/>
          <w:color w:val="auto"/>
          <w:spacing w:val="-2"/>
          <w:sz w:val="24"/>
          <w:szCs w:val="24"/>
          <w:highlight w:val="none"/>
        </w:rPr>
        <w:t>6.2 评标原则</w:t>
      </w:r>
      <w:bookmarkEnd w:id="266"/>
      <w:bookmarkEnd w:id="267"/>
      <w:bookmarkEnd w:id="268"/>
      <w:bookmarkEnd w:id="269"/>
      <w:bookmarkEnd w:id="270"/>
    </w:p>
    <w:p w14:paraId="6622376C">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评标活动遵循公平、公正、科学和择优的原则。</w:t>
      </w:r>
    </w:p>
    <w:p w14:paraId="08A5CAAE">
      <w:pPr>
        <w:spacing w:before="68" w:line="352" w:lineRule="auto"/>
        <w:ind w:right="72"/>
        <w:rPr>
          <w:rFonts w:hint="eastAsia" w:ascii="宋体" w:hAnsi="宋体" w:eastAsia="宋体" w:cs="宋体"/>
          <w:b/>
          <w:bCs/>
          <w:color w:val="auto"/>
          <w:spacing w:val="-2"/>
          <w:sz w:val="24"/>
          <w:szCs w:val="24"/>
          <w:highlight w:val="none"/>
        </w:rPr>
      </w:pPr>
      <w:bookmarkStart w:id="271" w:name="_Toc20620"/>
      <w:bookmarkStart w:id="272" w:name="_Toc20235"/>
      <w:bookmarkStart w:id="273" w:name="_Toc19586"/>
      <w:bookmarkStart w:id="274" w:name="_Toc21600"/>
      <w:bookmarkStart w:id="275" w:name="_Toc4719"/>
      <w:r>
        <w:rPr>
          <w:rFonts w:hint="eastAsia" w:ascii="宋体" w:hAnsi="宋体" w:eastAsia="宋体" w:cs="宋体"/>
          <w:b/>
          <w:bCs/>
          <w:color w:val="auto"/>
          <w:spacing w:val="-2"/>
          <w:sz w:val="24"/>
          <w:szCs w:val="24"/>
          <w:highlight w:val="none"/>
        </w:rPr>
        <w:t>6.3 评标</w:t>
      </w:r>
      <w:bookmarkEnd w:id="271"/>
      <w:bookmarkEnd w:id="272"/>
      <w:bookmarkEnd w:id="273"/>
      <w:bookmarkEnd w:id="274"/>
      <w:bookmarkEnd w:id="275"/>
    </w:p>
    <w:p w14:paraId="348B3F0E">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6.3.1 评标委员会按照第三章“评标办法”规定的方法、评审因素、标准和程序对投标文件进行评审。第三章“评标办法”没有规定的方法、评审因素和标准，不作为评标依据。</w:t>
      </w:r>
    </w:p>
    <w:p w14:paraId="74A82924">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6.3.2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评标完成后，评标委员会应当向招标人提交书面评标报告和中标候选人名单。评标委员会推荐中标候选人的人数见投标人须知前附表。</w:t>
      </w:r>
    </w:p>
    <w:p w14:paraId="45DF8723">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276" w:name="_Toc24097"/>
      <w:bookmarkStart w:id="277" w:name="_Toc28945"/>
      <w:bookmarkStart w:id="278" w:name="_Toc8591"/>
      <w:bookmarkStart w:id="279" w:name="_Toc6785"/>
      <w:bookmarkStart w:id="280" w:name="_Toc19815"/>
      <w:bookmarkStart w:id="281" w:name="_Toc8464"/>
      <w:r>
        <w:rPr>
          <w:rFonts w:hint="eastAsia" w:ascii="宋体" w:hAnsi="宋体" w:eastAsia="宋体" w:cs="宋体"/>
          <w:kern w:val="2"/>
          <w:lang w:val="en-US" w:eastAsia="zh-CN"/>
        </w:rPr>
        <w:t>7．合同授予</w:t>
      </w:r>
      <w:bookmarkEnd w:id="276"/>
      <w:bookmarkEnd w:id="277"/>
      <w:bookmarkEnd w:id="278"/>
      <w:bookmarkEnd w:id="279"/>
      <w:bookmarkEnd w:id="280"/>
      <w:bookmarkEnd w:id="281"/>
    </w:p>
    <w:p w14:paraId="2FED77E2">
      <w:pPr>
        <w:spacing w:before="68" w:line="352" w:lineRule="auto"/>
        <w:ind w:right="72"/>
        <w:rPr>
          <w:rFonts w:hint="eastAsia" w:ascii="宋体" w:hAnsi="宋体" w:eastAsia="宋体" w:cs="宋体"/>
          <w:b/>
          <w:bCs/>
          <w:color w:val="auto"/>
          <w:spacing w:val="-2"/>
          <w:sz w:val="24"/>
          <w:szCs w:val="24"/>
          <w:highlight w:val="none"/>
        </w:rPr>
      </w:pPr>
      <w:bookmarkStart w:id="282" w:name="_Toc30868"/>
      <w:bookmarkStart w:id="283" w:name="_Toc10561"/>
      <w:bookmarkStart w:id="284" w:name="_Toc27973"/>
      <w:bookmarkStart w:id="285" w:name="_Toc26925"/>
      <w:bookmarkStart w:id="286" w:name="_Toc15711"/>
      <w:r>
        <w:rPr>
          <w:rFonts w:hint="eastAsia" w:ascii="宋体" w:hAnsi="宋体" w:eastAsia="宋体" w:cs="宋体"/>
          <w:b/>
          <w:bCs/>
          <w:color w:val="auto"/>
          <w:spacing w:val="-2"/>
          <w:sz w:val="24"/>
          <w:szCs w:val="24"/>
          <w:highlight w:val="none"/>
        </w:rPr>
        <w:t>7.1 中标候选人公示</w:t>
      </w:r>
      <w:bookmarkEnd w:id="282"/>
      <w:bookmarkEnd w:id="283"/>
      <w:bookmarkEnd w:id="284"/>
      <w:bookmarkEnd w:id="285"/>
      <w:bookmarkEnd w:id="286"/>
    </w:p>
    <w:p w14:paraId="2C3F1905">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7.1.1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招标人在收到评标报告之日起 3 日内，按照投标人须知前附表规定的公示媒介和期限公示中标候选人，公示期不得少于 3 天，最后一天应为工作日。</w:t>
      </w:r>
    </w:p>
    <w:p w14:paraId="6AF5A4C9">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7.1.2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在产生中标候选人后，招标人将中标候选人的投标文件商务部分（包括报价清单、人员、业绩、奖项等资料）在广州交易集团有限公司（广州公共资源交易中心）网站和广东省招标投标监管网公开。</w:t>
      </w:r>
    </w:p>
    <w:p w14:paraId="64B63475">
      <w:pPr>
        <w:spacing w:before="68" w:line="352" w:lineRule="auto"/>
        <w:ind w:right="72"/>
        <w:rPr>
          <w:rFonts w:hint="eastAsia" w:ascii="宋体" w:hAnsi="宋体" w:eastAsia="宋体" w:cs="宋体"/>
          <w:b/>
          <w:bCs/>
          <w:color w:val="auto"/>
          <w:spacing w:val="-2"/>
          <w:sz w:val="24"/>
          <w:szCs w:val="24"/>
          <w:highlight w:val="none"/>
        </w:rPr>
      </w:pPr>
      <w:bookmarkStart w:id="287" w:name="_Toc15182"/>
      <w:bookmarkStart w:id="288" w:name="_Toc2660"/>
      <w:bookmarkStart w:id="289" w:name="_Toc12474"/>
      <w:bookmarkStart w:id="290" w:name="_Toc8357"/>
      <w:bookmarkStart w:id="291" w:name="_Toc31424"/>
      <w:r>
        <w:rPr>
          <w:rFonts w:hint="eastAsia" w:ascii="宋体" w:hAnsi="宋体" w:eastAsia="宋体" w:cs="宋体"/>
          <w:b/>
          <w:bCs/>
          <w:color w:val="auto"/>
          <w:spacing w:val="-2"/>
          <w:sz w:val="24"/>
          <w:szCs w:val="24"/>
          <w:highlight w:val="none"/>
        </w:rPr>
        <w:t>7.2 评标结果异议</w:t>
      </w:r>
      <w:bookmarkEnd w:id="287"/>
      <w:bookmarkEnd w:id="288"/>
      <w:bookmarkEnd w:id="289"/>
      <w:bookmarkEnd w:id="290"/>
      <w:bookmarkEnd w:id="291"/>
    </w:p>
    <w:p w14:paraId="1731ECF1">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投标人或者其他利害关系人对评标结果有异议的，应当在中标候选人公示期间提出。招标人将在收到异议之日起 3 日内作出答复；作出答复前，将暂停招标投标活动。</w:t>
      </w:r>
    </w:p>
    <w:p w14:paraId="0CAC340D">
      <w:pPr>
        <w:spacing w:before="68" w:line="352" w:lineRule="auto"/>
        <w:ind w:right="72"/>
        <w:rPr>
          <w:rFonts w:hint="eastAsia" w:ascii="宋体" w:hAnsi="宋体" w:eastAsia="宋体" w:cs="宋体"/>
          <w:b/>
          <w:bCs/>
          <w:color w:val="auto"/>
          <w:spacing w:val="-2"/>
          <w:sz w:val="24"/>
          <w:szCs w:val="24"/>
          <w:highlight w:val="none"/>
        </w:rPr>
      </w:pPr>
      <w:bookmarkStart w:id="292" w:name="_Toc11042"/>
      <w:bookmarkStart w:id="293" w:name="_Toc7359"/>
      <w:bookmarkStart w:id="294" w:name="_Toc24899"/>
      <w:bookmarkStart w:id="295" w:name="_Toc1302"/>
      <w:bookmarkStart w:id="296" w:name="_Toc31709"/>
      <w:r>
        <w:rPr>
          <w:rFonts w:hint="eastAsia" w:ascii="宋体" w:hAnsi="宋体" w:eastAsia="宋体" w:cs="宋体"/>
          <w:b/>
          <w:bCs/>
          <w:color w:val="auto"/>
          <w:spacing w:val="-2"/>
          <w:sz w:val="24"/>
          <w:szCs w:val="24"/>
          <w:highlight w:val="none"/>
        </w:rPr>
        <w:t>7.3 中标候选人履约能力审查</w:t>
      </w:r>
      <w:bookmarkEnd w:id="292"/>
      <w:bookmarkEnd w:id="293"/>
      <w:bookmarkEnd w:id="294"/>
      <w:bookmarkEnd w:id="295"/>
      <w:bookmarkEnd w:id="296"/>
    </w:p>
    <w:p w14:paraId="1B6ED6FD">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中标候选人的经营、财务状况发生较大变化或存在违法行为， 招标人认为可能影响其履约能力的，将在发出中标通知书前提请原评标委员会按照招标文件规定的标准和方法进行审查确认。</w:t>
      </w:r>
    </w:p>
    <w:p w14:paraId="31964F79">
      <w:pPr>
        <w:spacing w:before="68" w:line="352" w:lineRule="auto"/>
        <w:ind w:right="72"/>
        <w:rPr>
          <w:rFonts w:hint="eastAsia" w:ascii="宋体" w:hAnsi="宋体" w:eastAsia="宋体" w:cs="宋体"/>
          <w:b/>
          <w:bCs/>
          <w:color w:val="auto"/>
          <w:spacing w:val="-2"/>
          <w:sz w:val="24"/>
          <w:szCs w:val="24"/>
          <w:highlight w:val="none"/>
        </w:rPr>
      </w:pPr>
      <w:bookmarkStart w:id="297" w:name="_Toc7161"/>
      <w:bookmarkStart w:id="298" w:name="_Toc1563"/>
      <w:bookmarkStart w:id="299" w:name="_Toc24845"/>
      <w:bookmarkStart w:id="300" w:name="_Toc26287"/>
      <w:bookmarkStart w:id="301" w:name="_Toc4372"/>
      <w:r>
        <w:rPr>
          <w:rFonts w:hint="eastAsia" w:ascii="宋体" w:hAnsi="宋体" w:eastAsia="宋体" w:cs="宋体"/>
          <w:b/>
          <w:bCs/>
          <w:color w:val="auto"/>
          <w:spacing w:val="-2"/>
          <w:sz w:val="24"/>
          <w:szCs w:val="24"/>
          <w:highlight w:val="none"/>
        </w:rPr>
        <w:t>7.4 定标</w:t>
      </w:r>
      <w:bookmarkEnd w:id="297"/>
      <w:bookmarkEnd w:id="298"/>
      <w:bookmarkEnd w:id="299"/>
      <w:bookmarkEnd w:id="300"/>
      <w:bookmarkEnd w:id="301"/>
    </w:p>
    <w:p w14:paraId="456E11A4">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按照投标人须知前附表的规定，招标人或招标人授权的评标委员会依法确定中标人。</w:t>
      </w:r>
    </w:p>
    <w:p w14:paraId="395B2458">
      <w:pPr>
        <w:spacing w:before="68" w:line="352" w:lineRule="auto"/>
        <w:ind w:right="72"/>
        <w:rPr>
          <w:rFonts w:hint="eastAsia" w:ascii="宋体" w:hAnsi="宋体" w:eastAsia="宋体" w:cs="宋体"/>
          <w:b/>
          <w:bCs/>
          <w:color w:val="auto"/>
          <w:spacing w:val="-2"/>
          <w:sz w:val="24"/>
          <w:szCs w:val="24"/>
          <w:highlight w:val="none"/>
        </w:rPr>
      </w:pPr>
      <w:bookmarkStart w:id="302" w:name="_Toc3434"/>
      <w:bookmarkStart w:id="303" w:name="_Toc24854"/>
      <w:bookmarkStart w:id="304" w:name="_Toc6635"/>
      <w:bookmarkStart w:id="305" w:name="_Toc6214"/>
      <w:bookmarkStart w:id="306" w:name="_Toc31531"/>
      <w:r>
        <w:rPr>
          <w:rFonts w:hint="eastAsia" w:ascii="宋体" w:hAnsi="宋体" w:eastAsia="宋体" w:cs="宋体"/>
          <w:b/>
          <w:bCs/>
          <w:color w:val="auto"/>
          <w:spacing w:val="-2"/>
          <w:sz w:val="24"/>
          <w:szCs w:val="24"/>
          <w:highlight w:val="none"/>
        </w:rPr>
        <w:t>7.5 中标通知</w:t>
      </w:r>
      <w:bookmarkEnd w:id="302"/>
      <w:bookmarkEnd w:id="303"/>
      <w:bookmarkEnd w:id="304"/>
      <w:bookmarkEnd w:id="305"/>
      <w:bookmarkEnd w:id="306"/>
    </w:p>
    <w:p w14:paraId="5FD9D023">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7.5.1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在法规规定的时间内，招标人以书面形式向中标人发出中标通知书。在广州交易集团有限公司（广州公共资源交易中心）网和广东省招标投标监管网发布中标信息，视同将中标结果通知未中标的投标人。</w:t>
      </w:r>
    </w:p>
    <w:p w14:paraId="187189B0">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spacing w:val="-1"/>
          <w:highlight w:val="none"/>
        </w:rPr>
      </w:pPr>
      <w:r>
        <w:rPr>
          <w:rFonts w:hint="eastAsia" w:ascii="宋体" w:hAnsi="宋体" w:eastAsia="宋体" w:cs="宋体"/>
          <w:color w:val="auto"/>
          <w:highlight w:val="none"/>
        </w:rPr>
        <w:t>7.5.2 中标通知书发出前，中标人应未被纳入失信联合惩戒名单，否则招标人将取消其中标资格。失信联合惩戒名单以“信用广州”网站公布的“黑名单”为准。</w:t>
      </w:r>
    </w:p>
    <w:p w14:paraId="07CC3584">
      <w:pPr>
        <w:spacing w:before="68" w:line="352" w:lineRule="auto"/>
        <w:ind w:right="72"/>
        <w:rPr>
          <w:rFonts w:hint="eastAsia" w:ascii="宋体" w:hAnsi="宋体" w:eastAsia="宋体" w:cs="宋体"/>
          <w:b/>
          <w:bCs/>
          <w:color w:val="auto"/>
          <w:spacing w:val="-2"/>
          <w:sz w:val="24"/>
          <w:szCs w:val="24"/>
          <w:highlight w:val="none"/>
        </w:rPr>
      </w:pPr>
      <w:bookmarkStart w:id="307" w:name="_Toc15532"/>
      <w:bookmarkStart w:id="308" w:name="_Toc1332"/>
      <w:bookmarkStart w:id="309" w:name="_Toc32598"/>
      <w:bookmarkStart w:id="310" w:name="_Toc274"/>
      <w:bookmarkStart w:id="311" w:name="_Toc23546"/>
      <w:r>
        <w:rPr>
          <w:rFonts w:hint="eastAsia" w:ascii="宋体" w:hAnsi="宋体" w:eastAsia="宋体" w:cs="宋体"/>
          <w:b/>
          <w:bCs/>
          <w:color w:val="auto"/>
          <w:spacing w:val="-2"/>
          <w:sz w:val="24"/>
          <w:szCs w:val="24"/>
          <w:highlight w:val="none"/>
        </w:rPr>
        <w:t>7.6 技术成果经济补偿</w:t>
      </w:r>
      <w:bookmarkEnd w:id="307"/>
      <w:bookmarkEnd w:id="308"/>
      <w:bookmarkEnd w:id="309"/>
      <w:bookmarkEnd w:id="310"/>
      <w:bookmarkEnd w:id="311"/>
    </w:p>
    <w:p w14:paraId="07401C4C">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spacing w:val="-2"/>
          <w:highlight w:val="none"/>
        </w:rPr>
      </w:pPr>
      <w:r>
        <w:rPr>
          <w:rFonts w:hint="eastAsia" w:ascii="宋体" w:hAnsi="宋体" w:eastAsia="宋体" w:cs="宋体"/>
          <w:color w:val="auto"/>
          <w:highlight w:val="none"/>
        </w:rPr>
        <w:t>招标人对符合招标文件规定的未中标人的技术成果进行补偿的，招标人将按投标人须知前附表规定的标准给予经济补偿，未中标人在投标文件中声明放弃技术成果经济补偿费的除外。 招标人将于中标通知书发出后 30 日内向未中标人支付技术成果经济补偿费。</w:t>
      </w:r>
    </w:p>
    <w:p w14:paraId="35457F10">
      <w:pPr>
        <w:spacing w:before="68" w:line="352" w:lineRule="auto"/>
        <w:ind w:right="72"/>
        <w:rPr>
          <w:rFonts w:hint="eastAsia" w:ascii="宋体" w:hAnsi="宋体" w:eastAsia="宋体" w:cs="宋体"/>
          <w:b/>
          <w:bCs/>
          <w:color w:val="auto"/>
          <w:spacing w:val="-2"/>
          <w:sz w:val="24"/>
          <w:szCs w:val="24"/>
          <w:highlight w:val="none"/>
        </w:rPr>
      </w:pPr>
      <w:bookmarkStart w:id="312" w:name="_Toc23864"/>
      <w:bookmarkStart w:id="313" w:name="_Toc26550"/>
      <w:bookmarkStart w:id="314" w:name="_Toc32158"/>
      <w:bookmarkStart w:id="315" w:name="_Toc27672"/>
      <w:bookmarkStart w:id="316" w:name="_Toc6711"/>
      <w:r>
        <w:rPr>
          <w:rFonts w:hint="eastAsia" w:ascii="宋体" w:hAnsi="宋体" w:eastAsia="宋体" w:cs="宋体"/>
          <w:b/>
          <w:bCs/>
          <w:color w:val="auto"/>
          <w:spacing w:val="-2"/>
          <w:sz w:val="24"/>
          <w:szCs w:val="24"/>
          <w:highlight w:val="none"/>
        </w:rPr>
        <w:t>7.7</w:t>
      </w:r>
      <w:r>
        <w:rPr>
          <w:rFonts w:hint="eastAsia" w:ascii="宋体" w:hAnsi="宋体" w:eastAsia="宋体" w:cs="宋体"/>
          <w:b/>
          <w:bCs/>
          <w:color w:val="auto"/>
          <w:spacing w:val="-2"/>
          <w:sz w:val="24"/>
          <w:szCs w:val="24"/>
          <w:highlight w:val="none"/>
          <w:lang w:val="en-US" w:eastAsia="zh-CN"/>
        </w:rPr>
        <w:t xml:space="preserve"> </w:t>
      </w:r>
      <w:r>
        <w:rPr>
          <w:rFonts w:hint="eastAsia" w:ascii="宋体" w:hAnsi="宋体" w:eastAsia="宋体" w:cs="宋体"/>
          <w:b/>
          <w:bCs/>
          <w:color w:val="auto"/>
          <w:spacing w:val="-2"/>
          <w:sz w:val="24"/>
          <w:szCs w:val="24"/>
          <w:highlight w:val="none"/>
        </w:rPr>
        <w:t>履约保证金</w:t>
      </w:r>
      <w:bookmarkEnd w:id="312"/>
      <w:bookmarkEnd w:id="313"/>
      <w:bookmarkEnd w:id="314"/>
      <w:bookmarkEnd w:id="315"/>
      <w:bookmarkEnd w:id="316"/>
    </w:p>
    <w:p w14:paraId="64943D4C">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7.7.1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10%。联合体中标的，其履约保证金以联合体各方或者联合体中主办方的名义提交。</w:t>
      </w:r>
    </w:p>
    <w:p w14:paraId="27B692B3">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7.7.2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中标人不能按本章第 7.7.1 项要求提交履约保证金的，视为放弃中标，给招标人造成的损失的，中标人还应当予以赔偿。</w:t>
      </w:r>
    </w:p>
    <w:p w14:paraId="54814864">
      <w:pPr>
        <w:spacing w:before="68" w:line="352" w:lineRule="auto"/>
        <w:ind w:right="72"/>
        <w:rPr>
          <w:rFonts w:hint="eastAsia" w:ascii="宋体" w:hAnsi="宋体" w:eastAsia="宋体" w:cs="宋体"/>
          <w:b/>
          <w:bCs/>
          <w:color w:val="auto"/>
          <w:spacing w:val="-2"/>
          <w:sz w:val="24"/>
          <w:szCs w:val="24"/>
          <w:highlight w:val="none"/>
        </w:rPr>
      </w:pPr>
      <w:bookmarkStart w:id="317" w:name="_Toc19251"/>
      <w:bookmarkStart w:id="318" w:name="_Toc16196"/>
      <w:bookmarkStart w:id="319" w:name="_Toc12741"/>
      <w:bookmarkStart w:id="320" w:name="_Toc25518"/>
      <w:bookmarkStart w:id="321" w:name="_Toc2899"/>
      <w:r>
        <w:rPr>
          <w:rFonts w:hint="eastAsia" w:ascii="宋体" w:hAnsi="宋体" w:eastAsia="宋体" w:cs="宋体"/>
          <w:b/>
          <w:bCs/>
          <w:color w:val="auto"/>
          <w:spacing w:val="-2"/>
          <w:sz w:val="24"/>
          <w:szCs w:val="24"/>
          <w:highlight w:val="none"/>
        </w:rPr>
        <w:t>7.8</w:t>
      </w:r>
      <w:r>
        <w:rPr>
          <w:rFonts w:hint="eastAsia" w:ascii="宋体" w:hAnsi="宋体" w:eastAsia="宋体" w:cs="宋体"/>
          <w:b/>
          <w:bCs/>
          <w:color w:val="auto"/>
          <w:spacing w:val="-2"/>
          <w:sz w:val="24"/>
          <w:szCs w:val="24"/>
          <w:highlight w:val="none"/>
          <w:lang w:val="en-US" w:eastAsia="zh-CN"/>
        </w:rPr>
        <w:t xml:space="preserve"> </w:t>
      </w:r>
      <w:r>
        <w:rPr>
          <w:rFonts w:hint="eastAsia" w:ascii="宋体" w:hAnsi="宋体" w:eastAsia="宋体" w:cs="宋体"/>
          <w:b/>
          <w:bCs/>
          <w:color w:val="auto"/>
          <w:spacing w:val="-2"/>
          <w:sz w:val="24"/>
          <w:szCs w:val="24"/>
          <w:highlight w:val="none"/>
        </w:rPr>
        <w:t>签订合同</w:t>
      </w:r>
      <w:bookmarkEnd w:id="317"/>
      <w:bookmarkEnd w:id="318"/>
      <w:bookmarkEnd w:id="319"/>
      <w:bookmarkEnd w:id="320"/>
      <w:bookmarkEnd w:id="321"/>
    </w:p>
    <w:p w14:paraId="40A9ED06">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spacing w:val="-1"/>
          <w:highlight w:val="none"/>
        </w:rPr>
      </w:pPr>
      <w:r>
        <w:rPr>
          <w:rFonts w:hint="eastAsia" w:ascii="宋体" w:hAnsi="宋体" w:eastAsia="宋体" w:cs="宋体"/>
          <w:color w:val="auto"/>
          <w:highlight w:val="none"/>
        </w:rPr>
        <w:t>7.8.1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招标人和中标人应当在中标通知书发出之日起 30 日内，根据招标文件和中标人的投标文件订立书面合同，并通过电子交易系统与中标人在线签订合同。中标人无正当理由拒签合同， 在签订合同</w:t>
      </w:r>
      <w:r>
        <w:rPr>
          <w:rFonts w:hint="eastAsia" w:ascii="宋体" w:hAnsi="宋体" w:eastAsia="宋体" w:cs="宋体"/>
          <w:color w:val="auto"/>
          <w:spacing w:val="-2"/>
          <w:highlight w:val="none"/>
        </w:rPr>
        <w:t>时向招标人提出附加条件，</w:t>
      </w:r>
      <w:r>
        <w:rPr>
          <w:rFonts w:hint="eastAsia" w:ascii="宋体" w:hAnsi="宋体" w:eastAsia="宋体" w:cs="宋体"/>
          <w:strike w:val="0"/>
          <w:dstrike w:val="0"/>
          <w:color w:val="auto"/>
          <w:spacing w:val="-2"/>
          <w:highlight w:val="none"/>
        </w:rPr>
        <w:t>或</w:t>
      </w:r>
      <w:r>
        <w:rPr>
          <w:rFonts w:hint="eastAsia" w:ascii="宋体" w:hAnsi="宋体" w:eastAsia="宋体" w:cs="宋体"/>
          <w:strike w:val="0"/>
          <w:dstrike w:val="0"/>
          <w:color w:val="auto"/>
          <w:spacing w:val="-4"/>
          <w:highlight w:val="none"/>
        </w:rPr>
        <w:t>者</w:t>
      </w:r>
      <w:r>
        <w:rPr>
          <w:rFonts w:hint="eastAsia" w:ascii="宋体" w:hAnsi="宋体" w:eastAsia="宋体" w:cs="宋体"/>
          <w:strike w:val="0"/>
          <w:dstrike w:val="0"/>
          <w:color w:val="auto"/>
          <w:spacing w:val="-3"/>
          <w:highlight w:val="none"/>
        </w:rPr>
        <w:t>不</w:t>
      </w:r>
      <w:r>
        <w:rPr>
          <w:rFonts w:hint="eastAsia" w:ascii="宋体" w:hAnsi="宋体" w:eastAsia="宋体" w:cs="宋体"/>
          <w:strike w:val="0"/>
          <w:dstrike w:val="0"/>
          <w:color w:val="auto"/>
          <w:spacing w:val="-2"/>
          <w:highlight w:val="none"/>
        </w:rPr>
        <w:t>按照招标文件要求提交履约保证金的，</w:t>
      </w:r>
      <w:r>
        <w:rPr>
          <w:rFonts w:hint="eastAsia" w:ascii="宋体" w:hAnsi="宋体" w:eastAsia="宋体" w:cs="宋体"/>
          <w:color w:val="auto"/>
          <w:spacing w:val="-2"/>
          <w:highlight w:val="none"/>
        </w:rPr>
        <w:t>招标人有权取消其中标资格</w:t>
      </w:r>
      <w:r>
        <w:rPr>
          <w:rFonts w:hint="eastAsia" w:ascii="宋体" w:hAnsi="宋体" w:eastAsia="宋体" w:cs="宋体"/>
          <w:strike/>
          <w:color w:val="auto"/>
          <w:spacing w:val="-2"/>
          <w:highlight w:val="none"/>
        </w:rPr>
        <w:t>，</w:t>
      </w:r>
      <w:r>
        <w:rPr>
          <w:rFonts w:hint="eastAsia" w:ascii="宋体" w:hAnsi="宋体" w:eastAsia="宋体" w:cs="宋体"/>
          <w:strike/>
          <w:dstrike w:val="0"/>
          <w:color w:val="auto"/>
          <w:spacing w:val="-2"/>
          <w:highlight w:val="none"/>
        </w:rPr>
        <w:t>其投标保证金不予退</w:t>
      </w:r>
      <w:r>
        <w:rPr>
          <w:rFonts w:hint="eastAsia" w:ascii="宋体" w:hAnsi="宋体" w:eastAsia="宋体" w:cs="宋体"/>
          <w:strike/>
          <w:dstrike w:val="0"/>
          <w:color w:val="auto"/>
          <w:spacing w:val="-1"/>
          <w:highlight w:val="none"/>
        </w:rPr>
        <w:t>还；给招标人造成的损失</w:t>
      </w:r>
      <w:r>
        <w:rPr>
          <w:rFonts w:hint="eastAsia" w:ascii="宋体" w:hAnsi="宋体" w:eastAsia="宋体" w:cs="宋体"/>
          <w:strike/>
          <w:dstrike w:val="0"/>
          <w:color w:val="auto"/>
          <w:spacing w:val="-1"/>
          <w:highlight w:val="none"/>
          <w:u w:val="single"/>
        </w:rPr>
        <w:t>超过投标保证金数额的</w:t>
      </w:r>
      <w:r>
        <w:rPr>
          <w:rFonts w:hint="eastAsia" w:ascii="宋体" w:hAnsi="宋体" w:eastAsia="宋体" w:cs="宋体"/>
          <w:strike/>
          <w:dstrike w:val="0"/>
          <w:color w:val="auto"/>
          <w:spacing w:val="-1"/>
          <w:highlight w:val="none"/>
        </w:rPr>
        <w:t>，</w:t>
      </w:r>
      <w:r>
        <w:rPr>
          <w:rFonts w:hint="eastAsia" w:ascii="宋体" w:hAnsi="宋体" w:eastAsia="宋体" w:cs="宋体"/>
          <w:strike w:val="0"/>
          <w:color w:val="auto"/>
          <w:spacing w:val="-1"/>
          <w:highlight w:val="none"/>
        </w:rPr>
        <w:t>中标人还应当</w:t>
      </w:r>
      <w:r>
        <w:rPr>
          <w:rFonts w:hint="eastAsia" w:ascii="宋体" w:hAnsi="宋体" w:eastAsia="宋体" w:cs="宋体"/>
          <w:strike/>
          <w:dstrike w:val="0"/>
          <w:color w:val="auto"/>
          <w:spacing w:val="-1"/>
          <w:highlight w:val="none"/>
        </w:rPr>
        <w:t>对超过部分</w:t>
      </w:r>
      <w:r>
        <w:rPr>
          <w:rFonts w:hint="eastAsia" w:ascii="宋体" w:hAnsi="宋体" w:eastAsia="宋体" w:cs="宋体"/>
          <w:strike w:val="0"/>
          <w:color w:val="auto"/>
          <w:spacing w:val="-1"/>
          <w:highlight w:val="none"/>
        </w:rPr>
        <w:t>予以赔</w:t>
      </w:r>
      <w:r>
        <w:rPr>
          <w:rFonts w:hint="eastAsia" w:ascii="宋体" w:hAnsi="宋体" w:eastAsia="宋体" w:cs="宋体"/>
          <w:strike w:val="0"/>
          <w:color w:val="auto"/>
          <w:highlight w:val="none"/>
        </w:rPr>
        <w:t>偿。</w:t>
      </w:r>
    </w:p>
    <w:p w14:paraId="7AF16987">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372" w:firstLineChars="200"/>
        <w:jc w:val="both"/>
        <w:textAlignment w:val="auto"/>
        <w:rPr>
          <w:rFonts w:hint="eastAsia" w:ascii="宋体" w:hAnsi="宋体" w:eastAsia="宋体" w:cs="宋体"/>
          <w:color w:val="auto"/>
          <w:spacing w:val="-12"/>
          <w:highlight w:val="none"/>
        </w:rPr>
      </w:pPr>
      <w:r>
        <w:rPr>
          <w:rFonts w:hint="eastAsia" w:ascii="宋体" w:hAnsi="宋体" w:eastAsia="宋体" w:cs="宋体"/>
          <w:color w:val="auto"/>
          <w:spacing w:val="-12"/>
          <w:highlight w:val="none"/>
        </w:rPr>
        <w:t>7.</w:t>
      </w:r>
      <w:r>
        <w:rPr>
          <w:rFonts w:hint="eastAsia" w:ascii="宋体" w:hAnsi="宋体" w:eastAsia="宋体" w:cs="宋体"/>
          <w:color w:val="auto"/>
          <w:spacing w:val="-10"/>
          <w:highlight w:val="none"/>
        </w:rPr>
        <w:t>8</w:t>
      </w:r>
      <w:r>
        <w:rPr>
          <w:rFonts w:hint="eastAsia" w:ascii="宋体" w:hAnsi="宋体" w:eastAsia="宋体" w:cs="宋体"/>
          <w:color w:val="auto"/>
          <w:spacing w:val="-6"/>
          <w:highlight w:val="none"/>
        </w:rPr>
        <w:t>.2</w:t>
      </w:r>
      <w:r>
        <w:rPr>
          <w:rFonts w:hint="eastAsia" w:ascii="宋体" w:hAnsi="宋体" w:eastAsia="宋体" w:cs="宋体"/>
          <w:color w:val="auto"/>
          <w:spacing w:val="-6"/>
          <w:highlight w:val="none"/>
          <w:lang w:val="en-US" w:eastAsia="zh-CN"/>
        </w:rPr>
        <w:t xml:space="preserve"> </w:t>
      </w:r>
      <w:r>
        <w:rPr>
          <w:rFonts w:hint="eastAsia" w:ascii="宋体" w:hAnsi="宋体" w:eastAsia="宋体" w:cs="宋体"/>
          <w:color w:val="auto"/>
          <w:spacing w:val="-6"/>
          <w:highlight w:val="none"/>
        </w:rPr>
        <w:t>发出中标通知书后，招标人无正当理由拒签合同，或者在签订合同时向中标人提出附</w:t>
      </w:r>
      <w:r>
        <w:rPr>
          <w:rFonts w:hint="eastAsia" w:ascii="宋体" w:hAnsi="宋体" w:eastAsia="宋体" w:cs="宋体"/>
          <w:color w:val="auto"/>
          <w:spacing w:val="-1"/>
          <w:highlight w:val="none"/>
        </w:rPr>
        <w:t>加条件的</w:t>
      </w:r>
      <w:r>
        <w:rPr>
          <w:rFonts w:hint="eastAsia" w:ascii="宋体" w:hAnsi="宋体" w:eastAsia="宋体" w:cs="宋体"/>
          <w:strike/>
          <w:color w:val="auto"/>
          <w:spacing w:val="-1"/>
          <w:highlight w:val="none"/>
        </w:rPr>
        <w:t>，招标人向中标人退还投标保证金；</w:t>
      </w:r>
      <w:r>
        <w:rPr>
          <w:rFonts w:hint="eastAsia" w:ascii="宋体" w:hAnsi="宋体" w:eastAsia="宋体" w:cs="宋体"/>
          <w:color w:val="auto"/>
          <w:spacing w:val="-1"/>
          <w:highlight w:val="none"/>
        </w:rPr>
        <w:t>给中标人造成损失的，还应当赔偿损失</w:t>
      </w:r>
      <w:r>
        <w:rPr>
          <w:rFonts w:hint="eastAsia" w:ascii="宋体" w:hAnsi="宋体" w:eastAsia="宋体" w:cs="宋体"/>
          <w:color w:val="auto"/>
          <w:highlight w:val="none"/>
        </w:rPr>
        <w:t>。</w:t>
      </w:r>
    </w:p>
    <w:p w14:paraId="6DB221C9">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16" w:firstLineChars="200"/>
        <w:jc w:val="both"/>
        <w:textAlignment w:val="auto"/>
        <w:rPr>
          <w:rFonts w:hint="eastAsia" w:ascii="宋体" w:hAnsi="宋体" w:eastAsia="宋体" w:cs="宋体"/>
          <w:strike/>
          <w:dstrike w:val="0"/>
          <w:color w:val="auto"/>
          <w:spacing w:val="-7"/>
          <w:highlight w:val="none"/>
        </w:rPr>
      </w:pPr>
      <w:r>
        <w:rPr>
          <w:rFonts w:hint="eastAsia" w:ascii="宋体" w:hAnsi="宋体" w:eastAsia="宋体" w:cs="宋体"/>
          <w:strike/>
          <w:dstrike w:val="0"/>
          <w:color w:val="auto"/>
          <w:spacing w:val="-1"/>
          <w:highlight w:val="none"/>
        </w:rPr>
        <w:t>7.8.3</w:t>
      </w:r>
      <w:r>
        <w:rPr>
          <w:rFonts w:hint="eastAsia" w:ascii="宋体" w:hAnsi="宋体" w:eastAsia="宋体" w:cs="宋体"/>
          <w:strike/>
          <w:dstrike w:val="0"/>
          <w:color w:val="auto"/>
          <w:spacing w:val="-1"/>
          <w:highlight w:val="none"/>
          <w:lang w:val="en-US" w:eastAsia="zh-CN"/>
        </w:rPr>
        <w:t xml:space="preserve"> </w:t>
      </w:r>
      <w:r>
        <w:rPr>
          <w:rFonts w:hint="eastAsia" w:ascii="宋体" w:hAnsi="宋体" w:eastAsia="宋体" w:cs="宋体"/>
          <w:strike/>
          <w:dstrike w:val="0"/>
          <w:color w:val="auto"/>
          <w:spacing w:val="-1"/>
          <w:highlight w:val="none"/>
        </w:rPr>
        <w:t>联合体中标的，联合体各方应当共同与招标人签</w:t>
      </w:r>
      <w:r>
        <w:rPr>
          <w:rFonts w:hint="eastAsia" w:ascii="宋体" w:hAnsi="宋体" w:eastAsia="宋体" w:cs="宋体"/>
          <w:strike/>
          <w:dstrike w:val="0"/>
          <w:color w:val="auto"/>
          <w:highlight w:val="none"/>
        </w:rPr>
        <w:t>订合同，就中标项目向招标人承担连</w:t>
      </w:r>
      <w:r>
        <w:rPr>
          <w:rFonts w:hint="eastAsia" w:ascii="宋体" w:hAnsi="宋体" w:eastAsia="宋体" w:cs="宋体"/>
          <w:strike/>
          <w:dstrike w:val="0"/>
          <w:color w:val="auto"/>
          <w:spacing w:val="-10"/>
          <w:highlight w:val="none"/>
        </w:rPr>
        <w:t>带</w:t>
      </w:r>
      <w:r>
        <w:rPr>
          <w:rFonts w:hint="eastAsia" w:ascii="宋体" w:hAnsi="宋体" w:eastAsia="宋体" w:cs="宋体"/>
          <w:strike/>
          <w:dstrike w:val="0"/>
          <w:color w:val="auto"/>
          <w:spacing w:val="-7"/>
          <w:highlight w:val="none"/>
        </w:rPr>
        <w:t>责任。</w:t>
      </w:r>
    </w:p>
    <w:p w14:paraId="71F56A6F">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322" w:name="_Toc10749"/>
      <w:bookmarkStart w:id="323" w:name="_Toc23119"/>
      <w:bookmarkStart w:id="324" w:name="_Toc15932"/>
      <w:bookmarkStart w:id="325" w:name="_Toc4425"/>
      <w:bookmarkStart w:id="326" w:name="_Toc19030"/>
      <w:bookmarkStart w:id="327" w:name="_Toc7779"/>
      <w:r>
        <w:rPr>
          <w:rFonts w:hint="eastAsia" w:ascii="宋体" w:hAnsi="宋体" w:eastAsia="宋体" w:cs="宋体"/>
          <w:kern w:val="2"/>
          <w:lang w:val="en-US" w:eastAsia="zh-CN"/>
        </w:rPr>
        <w:t>8．纪律和监督</w:t>
      </w:r>
      <w:bookmarkEnd w:id="322"/>
      <w:bookmarkEnd w:id="323"/>
      <w:bookmarkEnd w:id="324"/>
      <w:bookmarkEnd w:id="325"/>
      <w:bookmarkEnd w:id="326"/>
      <w:bookmarkEnd w:id="327"/>
    </w:p>
    <w:p w14:paraId="5D9BDA12">
      <w:pPr>
        <w:spacing w:before="68" w:line="352" w:lineRule="auto"/>
        <w:ind w:right="72"/>
        <w:rPr>
          <w:rFonts w:hint="eastAsia" w:ascii="宋体" w:hAnsi="宋体" w:eastAsia="宋体" w:cs="宋体"/>
          <w:b/>
          <w:bCs/>
          <w:color w:val="auto"/>
          <w:spacing w:val="-2"/>
          <w:sz w:val="24"/>
          <w:szCs w:val="24"/>
          <w:highlight w:val="none"/>
        </w:rPr>
      </w:pPr>
      <w:bookmarkStart w:id="328" w:name="_Toc18682"/>
      <w:bookmarkStart w:id="329" w:name="_Toc2666"/>
      <w:bookmarkStart w:id="330" w:name="_Toc22300"/>
      <w:bookmarkStart w:id="331" w:name="_Toc2147"/>
      <w:bookmarkStart w:id="332" w:name="_Toc31267"/>
      <w:r>
        <w:rPr>
          <w:rFonts w:hint="eastAsia" w:ascii="宋体" w:hAnsi="宋体" w:eastAsia="宋体" w:cs="宋体"/>
          <w:b/>
          <w:bCs/>
          <w:color w:val="auto"/>
          <w:spacing w:val="-2"/>
          <w:sz w:val="24"/>
          <w:szCs w:val="24"/>
          <w:highlight w:val="none"/>
        </w:rPr>
        <w:t>8.1</w:t>
      </w:r>
      <w:r>
        <w:rPr>
          <w:rFonts w:hint="eastAsia" w:ascii="宋体" w:hAnsi="宋体" w:eastAsia="宋体" w:cs="宋体"/>
          <w:b/>
          <w:bCs/>
          <w:color w:val="auto"/>
          <w:spacing w:val="-2"/>
          <w:sz w:val="24"/>
          <w:szCs w:val="24"/>
          <w:highlight w:val="none"/>
          <w:lang w:val="en-US" w:eastAsia="zh-CN"/>
        </w:rPr>
        <w:t xml:space="preserve"> </w:t>
      </w:r>
      <w:r>
        <w:rPr>
          <w:rFonts w:hint="eastAsia" w:ascii="宋体" w:hAnsi="宋体" w:eastAsia="宋体" w:cs="宋体"/>
          <w:b/>
          <w:bCs/>
          <w:color w:val="auto"/>
          <w:spacing w:val="-2"/>
          <w:sz w:val="24"/>
          <w:szCs w:val="24"/>
          <w:highlight w:val="none"/>
        </w:rPr>
        <w:t>对招标人的纪律要求</w:t>
      </w:r>
      <w:bookmarkEnd w:id="328"/>
      <w:bookmarkEnd w:id="329"/>
      <w:bookmarkEnd w:id="330"/>
      <w:bookmarkEnd w:id="331"/>
      <w:bookmarkEnd w:id="332"/>
    </w:p>
    <w:p w14:paraId="10748473">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spacing w:val="-2"/>
          <w:highlight w:val="none"/>
        </w:rPr>
      </w:pPr>
      <w:r>
        <w:rPr>
          <w:rFonts w:hint="eastAsia" w:ascii="宋体" w:hAnsi="宋体" w:eastAsia="宋体" w:cs="宋体"/>
          <w:color w:val="auto"/>
          <w:highlight w:val="none"/>
        </w:rPr>
        <w:t>招标人不得泄露招标投标活动中应当保密的情况和资料，不得与投标人串通损害国家利益、社会公共利益或者他人合法权益</w:t>
      </w:r>
      <w:r>
        <w:rPr>
          <w:rFonts w:hint="eastAsia" w:ascii="宋体" w:hAnsi="宋体" w:eastAsia="宋体" w:cs="宋体"/>
          <w:color w:val="auto"/>
          <w:spacing w:val="-2"/>
          <w:highlight w:val="none"/>
        </w:rPr>
        <w:t>。</w:t>
      </w:r>
    </w:p>
    <w:p w14:paraId="69CCA000">
      <w:pPr>
        <w:spacing w:before="68" w:line="352" w:lineRule="auto"/>
        <w:ind w:right="72"/>
        <w:rPr>
          <w:rFonts w:hint="eastAsia" w:ascii="宋体" w:hAnsi="宋体" w:eastAsia="宋体" w:cs="宋体"/>
          <w:b/>
          <w:bCs/>
          <w:color w:val="auto"/>
          <w:spacing w:val="-2"/>
          <w:sz w:val="24"/>
          <w:szCs w:val="24"/>
          <w:highlight w:val="none"/>
        </w:rPr>
      </w:pPr>
      <w:bookmarkStart w:id="333" w:name="_Toc21761"/>
      <w:bookmarkStart w:id="334" w:name="_Toc1223"/>
      <w:bookmarkStart w:id="335" w:name="_Toc4329"/>
      <w:bookmarkStart w:id="336" w:name="_Toc26897"/>
      <w:bookmarkStart w:id="337" w:name="_Toc352"/>
      <w:r>
        <w:rPr>
          <w:rFonts w:hint="eastAsia" w:ascii="宋体" w:hAnsi="宋体" w:eastAsia="宋体" w:cs="宋体"/>
          <w:b/>
          <w:bCs/>
          <w:color w:val="auto"/>
          <w:spacing w:val="-2"/>
          <w:sz w:val="24"/>
          <w:szCs w:val="24"/>
          <w:highlight w:val="none"/>
        </w:rPr>
        <w:t>8.2</w:t>
      </w:r>
      <w:r>
        <w:rPr>
          <w:rFonts w:hint="eastAsia" w:ascii="宋体" w:hAnsi="宋体" w:eastAsia="宋体" w:cs="宋体"/>
          <w:b/>
          <w:bCs/>
          <w:color w:val="auto"/>
          <w:spacing w:val="-2"/>
          <w:sz w:val="24"/>
          <w:szCs w:val="24"/>
          <w:highlight w:val="none"/>
          <w:lang w:val="en-US" w:eastAsia="zh-CN"/>
        </w:rPr>
        <w:t xml:space="preserve"> </w:t>
      </w:r>
      <w:r>
        <w:rPr>
          <w:rFonts w:hint="eastAsia" w:ascii="宋体" w:hAnsi="宋体" w:eastAsia="宋体" w:cs="宋体"/>
          <w:b/>
          <w:bCs/>
          <w:color w:val="auto"/>
          <w:spacing w:val="-2"/>
          <w:sz w:val="24"/>
          <w:szCs w:val="24"/>
          <w:highlight w:val="none"/>
        </w:rPr>
        <w:t>对投标人的纪律要求</w:t>
      </w:r>
      <w:bookmarkEnd w:id="333"/>
      <w:bookmarkEnd w:id="334"/>
      <w:bookmarkEnd w:id="335"/>
      <w:bookmarkEnd w:id="336"/>
      <w:bookmarkEnd w:id="337"/>
    </w:p>
    <w:p w14:paraId="16AC01C6">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FE23B52">
      <w:pPr>
        <w:spacing w:before="68" w:line="352" w:lineRule="auto"/>
        <w:ind w:right="72"/>
        <w:rPr>
          <w:rFonts w:hint="eastAsia" w:ascii="宋体" w:hAnsi="宋体" w:eastAsia="宋体" w:cs="宋体"/>
          <w:b/>
          <w:bCs/>
          <w:color w:val="auto"/>
          <w:spacing w:val="-2"/>
          <w:sz w:val="24"/>
          <w:szCs w:val="24"/>
          <w:highlight w:val="none"/>
        </w:rPr>
      </w:pPr>
      <w:bookmarkStart w:id="338" w:name="_Toc1811"/>
      <w:bookmarkStart w:id="339" w:name="_Toc13086"/>
      <w:bookmarkStart w:id="340" w:name="_Toc16711"/>
      <w:bookmarkStart w:id="341" w:name="_Toc28102"/>
      <w:bookmarkStart w:id="342" w:name="_Toc1587"/>
      <w:r>
        <w:rPr>
          <w:rFonts w:hint="eastAsia" w:ascii="宋体" w:hAnsi="宋体" w:eastAsia="宋体" w:cs="宋体"/>
          <w:b/>
          <w:bCs/>
          <w:color w:val="auto"/>
          <w:spacing w:val="-2"/>
          <w:sz w:val="24"/>
          <w:szCs w:val="24"/>
          <w:highlight w:val="none"/>
        </w:rPr>
        <w:t>8.3</w:t>
      </w:r>
      <w:r>
        <w:rPr>
          <w:rFonts w:hint="eastAsia" w:ascii="宋体" w:hAnsi="宋体" w:eastAsia="宋体" w:cs="宋体"/>
          <w:b/>
          <w:bCs/>
          <w:color w:val="auto"/>
          <w:spacing w:val="-2"/>
          <w:sz w:val="24"/>
          <w:szCs w:val="24"/>
          <w:highlight w:val="none"/>
          <w:lang w:val="en-US" w:eastAsia="zh-CN"/>
        </w:rPr>
        <w:t xml:space="preserve"> </w:t>
      </w:r>
      <w:r>
        <w:rPr>
          <w:rFonts w:hint="eastAsia" w:ascii="宋体" w:hAnsi="宋体" w:eastAsia="宋体" w:cs="宋体"/>
          <w:b/>
          <w:bCs/>
          <w:color w:val="auto"/>
          <w:spacing w:val="-2"/>
          <w:sz w:val="24"/>
          <w:szCs w:val="24"/>
          <w:highlight w:val="none"/>
        </w:rPr>
        <w:t>对评标委员会成员的纪律要求</w:t>
      </w:r>
      <w:bookmarkEnd w:id="338"/>
      <w:bookmarkEnd w:id="339"/>
      <w:bookmarkEnd w:id="340"/>
      <w:bookmarkEnd w:id="341"/>
      <w:bookmarkEnd w:id="342"/>
    </w:p>
    <w:p w14:paraId="1B1AAFBC">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B9E7568">
      <w:pPr>
        <w:spacing w:before="68" w:line="352" w:lineRule="auto"/>
        <w:ind w:right="72"/>
        <w:rPr>
          <w:rFonts w:hint="eastAsia" w:ascii="宋体" w:hAnsi="宋体" w:eastAsia="宋体" w:cs="宋体"/>
          <w:b/>
          <w:bCs/>
          <w:color w:val="auto"/>
          <w:spacing w:val="-2"/>
          <w:sz w:val="24"/>
          <w:szCs w:val="24"/>
          <w:highlight w:val="none"/>
        </w:rPr>
      </w:pPr>
      <w:bookmarkStart w:id="343" w:name="_Toc23647"/>
      <w:bookmarkStart w:id="344" w:name="_Toc17089"/>
      <w:bookmarkStart w:id="345" w:name="_Toc11797"/>
      <w:bookmarkStart w:id="346" w:name="_Toc23055"/>
      <w:bookmarkStart w:id="347" w:name="_Toc16896"/>
      <w:r>
        <w:rPr>
          <w:rFonts w:hint="eastAsia" w:ascii="宋体" w:hAnsi="宋体" w:eastAsia="宋体" w:cs="宋体"/>
          <w:b/>
          <w:bCs/>
          <w:color w:val="auto"/>
          <w:spacing w:val="-2"/>
          <w:sz w:val="24"/>
          <w:szCs w:val="24"/>
          <w:highlight w:val="none"/>
        </w:rPr>
        <w:t>8.4</w:t>
      </w:r>
      <w:r>
        <w:rPr>
          <w:rFonts w:hint="eastAsia" w:ascii="宋体" w:hAnsi="宋体" w:eastAsia="宋体" w:cs="宋体"/>
          <w:b/>
          <w:bCs/>
          <w:color w:val="auto"/>
          <w:spacing w:val="-2"/>
          <w:sz w:val="24"/>
          <w:szCs w:val="24"/>
          <w:highlight w:val="none"/>
          <w:lang w:val="en-US" w:eastAsia="zh-CN"/>
        </w:rPr>
        <w:t xml:space="preserve"> </w:t>
      </w:r>
      <w:r>
        <w:rPr>
          <w:rFonts w:hint="eastAsia" w:ascii="宋体" w:hAnsi="宋体" w:eastAsia="宋体" w:cs="宋体"/>
          <w:b/>
          <w:bCs/>
          <w:color w:val="auto"/>
          <w:spacing w:val="-2"/>
          <w:sz w:val="24"/>
          <w:szCs w:val="24"/>
          <w:highlight w:val="none"/>
        </w:rPr>
        <w:t>对与评标活动有关的工作人员的纪律要求</w:t>
      </w:r>
      <w:bookmarkEnd w:id="343"/>
      <w:bookmarkEnd w:id="344"/>
      <w:bookmarkEnd w:id="345"/>
      <w:bookmarkEnd w:id="346"/>
      <w:bookmarkEnd w:id="347"/>
    </w:p>
    <w:p w14:paraId="08C03DE9">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63D134D">
      <w:pPr>
        <w:spacing w:before="68" w:line="352" w:lineRule="auto"/>
        <w:ind w:right="72"/>
        <w:rPr>
          <w:rFonts w:hint="eastAsia" w:ascii="宋体" w:hAnsi="宋体" w:eastAsia="宋体" w:cs="宋体"/>
          <w:b/>
          <w:bCs/>
          <w:color w:val="auto"/>
          <w:spacing w:val="-2"/>
          <w:sz w:val="24"/>
          <w:szCs w:val="24"/>
          <w:highlight w:val="none"/>
        </w:rPr>
      </w:pPr>
      <w:bookmarkStart w:id="348" w:name="_Toc17462"/>
      <w:bookmarkStart w:id="349" w:name="_Toc32762"/>
      <w:bookmarkStart w:id="350" w:name="_Toc10402"/>
      <w:bookmarkStart w:id="351" w:name="_Toc31393"/>
      <w:bookmarkStart w:id="352" w:name="_Toc15962"/>
      <w:r>
        <w:rPr>
          <w:rFonts w:hint="eastAsia" w:ascii="宋体" w:hAnsi="宋体" w:eastAsia="宋体" w:cs="宋体"/>
          <w:b/>
          <w:bCs/>
          <w:color w:val="auto"/>
          <w:spacing w:val="-2"/>
          <w:sz w:val="24"/>
          <w:szCs w:val="24"/>
          <w:highlight w:val="none"/>
        </w:rPr>
        <w:t>8.5</w:t>
      </w:r>
      <w:r>
        <w:rPr>
          <w:rFonts w:hint="eastAsia" w:ascii="宋体" w:hAnsi="宋体" w:eastAsia="宋体" w:cs="宋体"/>
          <w:b/>
          <w:bCs/>
          <w:color w:val="auto"/>
          <w:spacing w:val="-2"/>
          <w:sz w:val="24"/>
          <w:szCs w:val="24"/>
          <w:highlight w:val="none"/>
          <w:lang w:val="en-US" w:eastAsia="zh-CN"/>
        </w:rPr>
        <w:t xml:space="preserve"> </w:t>
      </w:r>
      <w:r>
        <w:rPr>
          <w:rFonts w:hint="eastAsia" w:ascii="宋体" w:hAnsi="宋体" w:eastAsia="宋体" w:cs="宋体"/>
          <w:b/>
          <w:bCs/>
          <w:color w:val="auto"/>
          <w:spacing w:val="-2"/>
          <w:sz w:val="24"/>
          <w:szCs w:val="24"/>
          <w:highlight w:val="none"/>
        </w:rPr>
        <w:t>投诉</w:t>
      </w:r>
      <w:bookmarkEnd w:id="348"/>
      <w:bookmarkEnd w:id="349"/>
      <w:bookmarkEnd w:id="350"/>
      <w:bookmarkEnd w:id="351"/>
      <w:bookmarkEnd w:id="352"/>
    </w:p>
    <w:p w14:paraId="121627AD">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8.5.1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投标人或者其他利害关系人认为招标投标活动不符合法律、行政法规规定的，可以自知道或者应当知道之日起 10 日内向有关行政监督部门投诉。投诉应当有明确的请求和必要的证明材料。</w:t>
      </w:r>
    </w:p>
    <w:p w14:paraId="70C17A44">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8.5.2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投标人或者其他利害关系人对招标文件、开标和评标结果提出投诉的，应当按照投标人须知第2.4 款、第 5.3 款和第 7.2 款的规定先向招标人提出异议。异议答复期间不计算在第 8.5.1 项规定的期限内。</w:t>
      </w:r>
    </w:p>
    <w:p w14:paraId="5C798E69">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353" w:name="_Toc19781"/>
      <w:bookmarkStart w:id="354" w:name="_Toc5656"/>
      <w:bookmarkStart w:id="355" w:name="_Toc25410"/>
      <w:bookmarkStart w:id="356" w:name="_Toc4587"/>
      <w:bookmarkStart w:id="357" w:name="_Toc15884"/>
      <w:bookmarkStart w:id="358" w:name="_Toc19261"/>
      <w:r>
        <w:rPr>
          <w:rFonts w:hint="eastAsia" w:ascii="宋体" w:hAnsi="宋体" w:eastAsia="宋体" w:cs="宋体"/>
          <w:kern w:val="2"/>
          <w:lang w:val="en-US" w:eastAsia="zh-CN"/>
        </w:rPr>
        <w:t>9．是否采用电子招标投标</w:t>
      </w:r>
      <w:bookmarkEnd w:id="353"/>
      <w:bookmarkEnd w:id="354"/>
      <w:bookmarkEnd w:id="355"/>
      <w:bookmarkEnd w:id="356"/>
      <w:bookmarkEnd w:id="357"/>
      <w:bookmarkEnd w:id="358"/>
    </w:p>
    <w:p w14:paraId="77924B36">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本招标项目采用电子招标投标方式，按照广州交易集团有限公司（广州公共资源交易中心）网站关于全流程电子化项目的相关指南进行操作。</w:t>
      </w:r>
    </w:p>
    <w:p w14:paraId="50917F8B">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359" w:name="_Toc1292"/>
      <w:r>
        <w:rPr>
          <w:rFonts w:hint="eastAsia" w:ascii="宋体" w:hAnsi="宋体" w:eastAsia="宋体" w:cs="宋体"/>
          <w:kern w:val="2"/>
          <w:lang w:val="en-US" w:eastAsia="zh-CN"/>
        </w:rPr>
        <w:t>10．重新招标情形</w:t>
      </w:r>
      <w:bookmarkEnd w:id="359"/>
    </w:p>
    <w:p w14:paraId="546BB4E6">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在下列情况下，依法必须招标项目的招标人在分析招标失败的原因并采取相应措施后，应当依照本办法重新招标：</w:t>
      </w:r>
    </w:p>
    <w:p w14:paraId="657D04C8">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（一）资格预审合格的潜在投标人不足三个的；</w:t>
      </w:r>
    </w:p>
    <w:p w14:paraId="0A133399">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（二）在投标截止时间前提交投标文件的投标人少于三个的；</w:t>
      </w:r>
    </w:p>
    <w:p w14:paraId="43DEA673">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（三）所有投标均被否决的；</w:t>
      </w:r>
    </w:p>
    <w:p w14:paraId="5693A742">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（四）评标委员会否决不合格投标后，因有效投标不足三个使得投标明显缺乏竞争，评标委员会决定否决全部投标的；</w:t>
      </w:r>
    </w:p>
    <w:p w14:paraId="1C32419C">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04" w:firstLineChars="200"/>
        <w:jc w:val="both"/>
        <w:textAlignment w:val="auto"/>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（五）</w:t>
      </w:r>
      <w:r>
        <w:rPr>
          <w:rFonts w:hint="eastAsia" w:ascii="宋体" w:hAnsi="宋体" w:eastAsia="宋体" w:cs="宋体"/>
          <w:strike/>
          <w:dstrike w:val="0"/>
          <w:color w:val="auto"/>
          <w:spacing w:val="-4"/>
          <w:highlight w:val="none"/>
        </w:rPr>
        <w:t>根据</w:t>
      </w:r>
      <w:bookmarkStart w:id="360" w:name="_Toc26088"/>
      <w:r>
        <w:rPr>
          <w:rFonts w:hint="eastAsia" w:ascii="宋体" w:hAnsi="宋体" w:eastAsia="宋体" w:cs="宋体"/>
          <w:strike/>
          <w:dstrike w:val="0"/>
          <w:color w:val="auto"/>
          <w:spacing w:val="-4"/>
          <w:highlight w:val="none"/>
        </w:rPr>
        <w:t>《</w:t>
      </w:r>
      <w:r>
        <w:rPr>
          <w:rFonts w:hint="eastAsia" w:ascii="宋体" w:hAnsi="宋体" w:eastAsia="宋体" w:cs="宋体"/>
          <w:strike/>
          <w:dstrike w:val="0"/>
          <w:color w:val="auto"/>
          <w:highlight w:val="none"/>
        </w:rPr>
        <w:t>工程建设项目勘察设计招标投标办法</w:t>
      </w:r>
      <w:bookmarkEnd w:id="360"/>
      <w:r>
        <w:rPr>
          <w:rFonts w:hint="eastAsia" w:ascii="宋体" w:hAnsi="宋体" w:eastAsia="宋体" w:cs="宋体"/>
          <w:strike/>
          <w:dstrike w:val="0"/>
          <w:color w:val="auto"/>
          <w:highlight w:val="none"/>
        </w:rPr>
        <w:t>》</w:t>
      </w:r>
      <w:r>
        <w:rPr>
          <w:rFonts w:hint="eastAsia" w:ascii="宋体" w:hAnsi="宋体" w:eastAsia="宋体" w:cs="宋体"/>
          <w:strike/>
          <w:dstrike w:val="0"/>
          <w:color w:val="auto"/>
          <w:spacing w:val="-4"/>
          <w:highlight w:val="none"/>
        </w:rPr>
        <w:t>第四十六条规定，</w:t>
      </w:r>
      <w:r>
        <w:rPr>
          <w:rFonts w:hint="eastAsia" w:ascii="宋体" w:hAnsi="宋体" w:eastAsia="宋体" w:cs="宋体"/>
          <w:color w:val="auto"/>
          <w:spacing w:val="-4"/>
          <w:highlight w:val="none"/>
        </w:rPr>
        <w:t>同意延长投标有效期的</w:t>
      </w:r>
      <w:r>
        <w:rPr>
          <w:rFonts w:hint="eastAsia" w:ascii="宋体" w:hAnsi="宋体" w:eastAsia="宋体" w:cs="宋体"/>
          <w:color w:val="auto"/>
          <w:highlight w:val="none"/>
        </w:rPr>
        <w:t>投标人少于三个的。</w:t>
      </w:r>
    </w:p>
    <w:p w14:paraId="720FFC6F">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361" w:name="_Toc9611"/>
      <w:bookmarkStart w:id="362" w:name="_Toc9782"/>
      <w:bookmarkStart w:id="363" w:name="_Toc5125"/>
      <w:bookmarkStart w:id="364" w:name="_Toc4820"/>
      <w:bookmarkStart w:id="365" w:name="_Toc22380"/>
      <w:bookmarkStart w:id="366" w:name="_Toc18689"/>
      <w:r>
        <w:rPr>
          <w:rFonts w:hint="eastAsia" w:ascii="宋体" w:hAnsi="宋体" w:eastAsia="宋体" w:cs="宋体"/>
          <w:kern w:val="2"/>
          <w:lang w:val="en-US" w:eastAsia="zh-CN"/>
        </w:rPr>
        <w:t>11．需要补充的其他内容</w:t>
      </w:r>
      <w:bookmarkEnd w:id="361"/>
      <w:bookmarkEnd w:id="362"/>
      <w:bookmarkEnd w:id="363"/>
      <w:bookmarkEnd w:id="364"/>
      <w:bookmarkEnd w:id="365"/>
      <w:bookmarkEnd w:id="366"/>
    </w:p>
    <w:p w14:paraId="57B0C0F3">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需要补充的其他内容：见投标人须知前附表。</w:t>
      </w:r>
    </w:p>
    <w:p w14:paraId="6F06E8A2">
      <w:pPr>
        <w:rPr>
          <w:rFonts w:hint="eastAsia" w:ascii="宋体" w:hAnsi="宋体" w:eastAsia="宋体" w:cs="宋体"/>
          <w:color w:val="auto"/>
          <w:highlight w:val="none"/>
        </w:rPr>
        <w:sectPr>
          <w:footerReference r:id="rId9" w:type="default"/>
          <w:pgSz w:w="11905" w:h="16838"/>
          <w:pgMar w:top="1344" w:right="1247" w:bottom="1106" w:left="1837" w:header="0" w:footer="680" w:gutter="0"/>
          <w:pgNumType w:fmt="decimal"/>
          <w:cols w:space="0" w:num="1"/>
          <w:rtlGutter w:val="0"/>
          <w:docGrid w:type="linesAndChars" w:linePitch="312" w:charSpace="0"/>
        </w:sectPr>
      </w:pPr>
    </w:p>
    <w:p w14:paraId="134D11E0">
      <w:pPr>
        <w:spacing w:line="248" w:lineRule="auto"/>
        <w:rPr>
          <w:rFonts w:hint="eastAsia" w:ascii="宋体" w:hAnsi="宋体" w:eastAsia="宋体" w:cs="宋体"/>
          <w:color w:val="auto"/>
          <w:highlight w:val="none"/>
        </w:rPr>
      </w:pPr>
    </w:p>
    <w:p w14:paraId="121BCD35">
      <w:pPr>
        <w:pStyle w:val="35"/>
        <w:spacing w:before="120" w:after="120"/>
        <w:outlineLvl w:val="9"/>
        <w:rPr>
          <w:rFonts w:hint="eastAsia" w:ascii="宋体" w:hAnsi="宋体" w:eastAsia="宋体" w:cs="宋体"/>
          <w:color w:val="auto"/>
          <w:spacing w:val="14"/>
          <w:sz w:val="27"/>
          <w:szCs w:val="27"/>
          <w:highlight w:val="none"/>
        </w:rPr>
      </w:pPr>
      <w:bookmarkStart w:id="367" w:name="_Toc9613"/>
      <w:bookmarkStart w:id="368" w:name="_Toc18427"/>
      <w:bookmarkStart w:id="369" w:name="_Toc7946"/>
      <w:bookmarkStart w:id="370" w:name="_Toc16330"/>
      <w:bookmarkStart w:id="371" w:name="_Toc17042"/>
      <w:r>
        <w:rPr>
          <w:rFonts w:hint="eastAsia" w:ascii="宋体" w:hAnsi="宋体" w:eastAsia="宋体" w:cs="宋体"/>
          <w:color w:val="auto"/>
          <w:spacing w:val="14"/>
          <w:sz w:val="27"/>
          <w:szCs w:val="27"/>
          <w:highlight w:val="none"/>
        </w:rPr>
        <w:t>附</w:t>
      </w:r>
      <w:r>
        <w:rPr>
          <w:rFonts w:hint="eastAsia" w:ascii="宋体" w:hAnsi="宋体" w:eastAsia="宋体" w:cs="宋体"/>
          <w:color w:val="auto"/>
          <w:spacing w:val="7"/>
          <w:sz w:val="27"/>
          <w:szCs w:val="27"/>
          <w:highlight w:val="none"/>
        </w:rPr>
        <w:t>件一：问题澄清通知</w:t>
      </w:r>
      <w:bookmarkEnd w:id="367"/>
      <w:bookmarkEnd w:id="368"/>
      <w:bookmarkEnd w:id="369"/>
      <w:bookmarkEnd w:id="370"/>
      <w:bookmarkEnd w:id="371"/>
    </w:p>
    <w:p w14:paraId="13E7C70C">
      <w:pPr>
        <w:spacing w:line="241" w:lineRule="auto"/>
        <w:rPr>
          <w:rFonts w:hint="eastAsia" w:ascii="宋体" w:hAnsi="宋体" w:eastAsia="宋体" w:cs="宋体"/>
          <w:color w:val="auto"/>
          <w:highlight w:val="none"/>
        </w:rPr>
      </w:pPr>
    </w:p>
    <w:p w14:paraId="6968D646">
      <w:pPr>
        <w:spacing w:line="241" w:lineRule="auto"/>
        <w:rPr>
          <w:rFonts w:hint="eastAsia" w:ascii="宋体" w:hAnsi="宋体" w:eastAsia="宋体" w:cs="宋体"/>
          <w:color w:val="auto"/>
          <w:highlight w:val="none"/>
        </w:rPr>
      </w:pPr>
    </w:p>
    <w:p w14:paraId="7824F061">
      <w:pPr>
        <w:spacing w:line="241" w:lineRule="auto"/>
        <w:rPr>
          <w:rFonts w:hint="eastAsia" w:ascii="宋体" w:hAnsi="宋体" w:eastAsia="宋体" w:cs="宋体"/>
          <w:color w:val="auto"/>
          <w:highlight w:val="none"/>
        </w:rPr>
      </w:pPr>
    </w:p>
    <w:p w14:paraId="50EA4003">
      <w:pPr>
        <w:spacing w:line="241" w:lineRule="auto"/>
        <w:rPr>
          <w:rFonts w:hint="eastAsia" w:ascii="宋体" w:hAnsi="宋体" w:eastAsia="宋体" w:cs="宋体"/>
          <w:color w:val="auto"/>
          <w:highlight w:val="none"/>
        </w:rPr>
      </w:pPr>
    </w:p>
    <w:p w14:paraId="55D5ED57">
      <w:pPr>
        <w:spacing w:before="88" w:line="229" w:lineRule="auto"/>
        <w:ind w:left="3506"/>
        <w:rPr>
          <w:rFonts w:hint="eastAsia" w:ascii="宋体" w:hAnsi="宋体" w:eastAsia="宋体" w:cs="宋体"/>
          <w:color w:val="auto"/>
          <w:spacing w:val="6"/>
          <w:sz w:val="27"/>
          <w:szCs w:val="27"/>
          <w:highlight w:val="none"/>
        </w:rPr>
      </w:pPr>
      <w:r>
        <w:rPr>
          <w:rFonts w:hint="eastAsia" w:ascii="宋体" w:hAnsi="宋体" w:eastAsia="宋体" w:cs="宋体"/>
          <w:color w:val="auto"/>
          <w:spacing w:val="6"/>
          <w:sz w:val="27"/>
          <w:szCs w:val="27"/>
          <w:highlight w:val="none"/>
        </w:rPr>
        <w:t>问题澄清通</w:t>
      </w:r>
      <w:r>
        <w:rPr>
          <w:rFonts w:hint="eastAsia" w:ascii="宋体" w:hAnsi="宋体" w:eastAsia="宋体" w:cs="宋体"/>
          <w:color w:val="auto"/>
          <w:spacing w:val="5"/>
          <w:sz w:val="27"/>
          <w:szCs w:val="27"/>
          <w:highlight w:val="none"/>
        </w:rPr>
        <w:t>知</w:t>
      </w:r>
    </w:p>
    <w:p w14:paraId="603FF258">
      <w:pPr>
        <w:spacing w:before="164" w:line="220" w:lineRule="auto"/>
        <w:ind w:left="2758"/>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(编号：</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75B3AC1">
      <w:pPr>
        <w:spacing w:line="278" w:lineRule="auto"/>
        <w:rPr>
          <w:rFonts w:hint="eastAsia" w:ascii="宋体" w:hAnsi="宋体" w:eastAsia="宋体" w:cs="宋体"/>
          <w:color w:val="auto"/>
          <w:highlight w:val="none"/>
        </w:rPr>
      </w:pPr>
    </w:p>
    <w:p w14:paraId="7E0DE8CA">
      <w:pPr>
        <w:spacing w:line="279" w:lineRule="auto"/>
        <w:rPr>
          <w:rFonts w:hint="eastAsia" w:ascii="宋体" w:hAnsi="宋体" w:eastAsia="宋体" w:cs="宋体"/>
          <w:color w:val="auto"/>
          <w:highlight w:val="none"/>
        </w:rPr>
      </w:pPr>
    </w:p>
    <w:p w14:paraId="19B70B4F">
      <w:pPr>
        <w:tabs>
          <w:tab w:val="left" w:pos="2323"/>
        </w:tabs>
        <w:spacing w:before="68" w:line="221" w:lineRule="auto"/>
        <w:rPr>
          <w:rFonts w:hint="eastAsia" w:ascii="宋体" w:hAnsi="宋体" w:eastAsia="宋体" w:cs="宋体"/>
          <w:color w:val="auto"/>
          <w:highlight w:val="none"/>
          <w:u w:val="single"/>
        </w:rPr>
      </w:pPr>
      <w:r>
        <w:rPr>
          <w:rFonts w:hint="eastAsia" w:ascii="宋体" w:hAnsi="宋体" w:eastAsia="宋体" w:cs="宋体"/>
          <w:color w:val="auto"/>
          <w:highlight w:val="none"/>
          <w:u w:val="single"/>
        </w:rPr>
        <w:tab/>
      </w:r>
      <w:r>
        <w:rPr>
          <w:rFonts w:hint="eastAsia" w:ascii="宋体" w:hAnsi="宋体" w:eastAsia="宋体" w:cs="宋体"/>
          <w:color w:val="auto"/>
          <w:spacing w:val="-6"/>
          <w:highlight w:val="none"/>
        </w:rPr>
        <w:t>(</w:t>
      </w:r>
      <w:r>
        <w:rPr>
          <w:rFonts w:hint="eastAsia" w:ascii="宋体" w:hAnsi="宋体" w:eastAsia="宋体" w:cs="宋体"/>
          <w:color w:val="auto"/>
          <w:spacing w:val="-4"/>
          <w:highlight w:val="none"/>
        </w:rPr>
        <w:t>投</w:t>
      </w:r>
      <w:r>
        <w:rPr>
          <w:rFonts w:hint="eastAsia" w:ascii="宋体" w:hAnsi="宋体" w:eastAsia="宋体" w:cs="宋体"/>
          <w:color w:val="auto"/>
          <w:spacing w:val="-3"/>
          <w:highlight w:val="none"/>
        </w:rPr>
        <w:t>标人名称)：</w:t>
      </w:r>
    </w:p>
    <w:p w14:paraId="641EB32A">
      <w:pPr>
        <w:spacing w:line="278" w:lineRule="auto"/>
        <w:rPr>
          <w:rFonts w:hint="eastAsia" w:ascii="宋体" w:hAnsi="宋体" w:eastAsia="宋体" w:cs="宋体"/>
          <w:color w:val="auto"/>
          <w:highlight w:val="none"/>
        </w:rPr>
      </w:pPr>
    </w:p>
    <w:p w14:paraId="6101EA41">
      <w:pPr>
        <w:keepNext w:val="0"/>
        <w:keepLines w:val="0"/>
        <w:pageBreakBefore w:val="0"/>
        <w:widowControl/>
        <w:kinsoku w:val="0"/>
        <w:wordWrap/>
        <w:overflowPunct/>
        <w:topLinePunct w:val="0"/>
        <w:autoSpaceDE w:val="0"/>
        <w:autoSpaceDN w:val="0"/>
        <w:bidi w:val="0"/>
        <w:adjustRightInd/>
        <w:snapToGrid w:val="0"/>
        <w:spacing w:line="278" w:lineRule="auto"/>
        <w:ind w:firstLine="420" w:firstLineChars="200"/>
        <w:textAlignment w:val="auto"/>
        <w:rPr>
          <w:rFonts w:hint="eastAsia" w:ascii="宋体" w:hAnsi="宋体" w:eastAsia="宋体" w:cs="宋体"/>
          <w:color w:val="auto"/>
          <w:highlight w:val="none"/>
        </w:rPr>
      </w:pPr>
    </w:p>
    <w:p w14:paraId="0737D912">
      <w:pPr>
        <w:keepNext w:val="0"/>
        <w:keepLines w:val="0"/>
        <w:pageBreakBefore w:val="0"/>
        <w:widowControl/>
        <w:kinsoku w:val="0"/>
        <w:wordWrap/>
        <w:overflowPunct/>
        <w:topLinePunct w:val="0"/>
        <w:autoSpaceDE w:val="0"/>
        <w:autoSpaceDN w:val="0"/>
        <w:bidi w:val="0"/>
        <w:adjustRightInd/>
        <w:snapToGrid w:val="0"/>
        <w:spacing w:before="68" w:line="360" w:lineRule="auto"/>
        <w:ind w:left="8" w:right="6" w:firstLine="404" w:firstLineChars="200"/>
        <w:textAlignment w:val="auto"/>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评标委员会</w:t>
      </w:r>
      <w:r>
        <w:rPr>
          <w:rFonts w:hint="eastAsia" w:ascii="宋体" w:hAnsi="宋体" w:eastAsia="宋体" w:cs="宋体"/>
          <w:color w:val="auto"/>
          <w:spacing w:val="-2"/>
          <w:highlight w:val="none"/>
        </w:rPr>
        <w:t>对你方的投标文件进行了仔细的审查， 现需你方对下列问题以书面形式予以澄</w:t>
      </w:r>
      <w:r>
        <w:rPr>
          <w:rFonts w:hint="eastAsia" w:ascii="宋体" w:hAnsi="宋体" w:eastAsia="宋体" w:cs="宋体"/>
          <w:color w:val="auto"/>
          <w:highlight w:val="none"/>
        </w:rPr>
        <w:t xml:space="preserve"> </w:t>
      </w:r>
      <w:r>
        <w:rPr>
          <w:rFonts w:hint="eastAsia" w:ascii="宋体" w:hAnsi="宋体" w:eastAsia="宋体" w:cs="宋体"/>
          <w:color w:val="auto"/>
          <w:spacing w:val="-8"/>
          <w:highlight w:val="none"/>
        </w:rPr>
        <w:t>清</w:t>
      </w:r>
      <w:r>
        <w:rPr>
          <w:rFonts w:hint="eastAsia" w:ascii="宋体" w:hAnsi="宋体" w:eastAsia="宋体" w:cs="宋体"/>
          <w:color w:val="auto"/>
          <w:spacing w:val="-6"/>
          <w:highlight w:val="none"/>
        </w:rPr>
        <w:t>、说明或补正：</w:t>
      </w:r>
    </w:p>
    <w:p w14:paraId="7FF36C7D">
      <w:pPr>
        <w:keepNext w:val="0"/>
        <w:keepLines w:val="0"/>
        <w:pageBreakBefore w:val="0"/>
        <w:widowControl/>
        <w:kinsoku w:val="0"/>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highlight w:val="none"/>
        </w:rPr>
      </w:pPr>
    </w:p>
    <w:p w14:paraId="210908BE">
      <w:pPr>
        <w:keepNext w:val="0"/>
        <w:keepLines w:val="0"/>
        <w:pageBreakBefore w:val="0"/>
        <w:widowControl/>
        <w:kinsoku w:val="0"/>
        <w:wordWrap/>
        <w:overflowPunct/>
        <w:topLinePunct w:val="0"/>
        <w:autoSpaceDE w:val="0"/>
        <w:autoSpaceDN w:val="0"/>
        <w:bidi w:val="0"/>
        <w:adjustRightInd/>
        <w:snapToGrid w:val="0"/>
        <w:spacing w:before="68" w:line="360" w:lineRule="auto"/>
        <w:ind w:left="8" w:right="6" w:firstLine="388" w:firstLineChars="200"/>
        <w:textAlignment w:val="auto"/>
        <w:rPr>
          <w:rFonts w:hint="eastAsia" w:ascii="宋体" w:hAnsi="宋体" w:eastAsia="宋体" w:cs="宋体"/>
          <w:color w:val="auto"/>
          <w:spacing w:val="-8"/>
          <w:position w:val="21"/>
          <w:highlight w:val="none"/>
        </w:rPr>
      </w:pPr>
      <w:r>
        <w:rPr>
          <w:rFonts w:hint="eastAsia" w:ascii="宋体" w:hAnsi="宋体" w:eastAsia="宋体" w:cs="宋体"/>
          <w:color w:val="auto"/>
          <w:spacing w:val="-8"/>
          <w:position w:val="21"/>
          <w:highlight w:val="none"/>
        </w:rPr>
        <w:t>1.</w:t>
      </w:r>
    </w:p>
    <w:p w14:paraId="2568322A">
      <w:pPr>
        <w:keepNext w:val="0"/>
        <w:keepLines w:val="0"/>
        <w:pageBreakBefore w:val="0"/>
        <w:widowControl/>
        <w:kinsoku w:val="0"/>
        <w:wordWrap/>
        <w:overflowPunct/>
        <w:topLinePunct w:val="0"/>
        <w:autoSpaceDE w:val="0"/>
        <w:autoSpaceDN w:val="0"/>
        <w:bidi w:val="0"/>
        <w:adjustRightInd/>
        <w:snapToGrid w:val="0"/>
        <w:spacing w:before="68" w:line="360" w:lineRule="auto"/>
        <w:ind w:left="8" w:right="6" w:firstLine="412" w:firstLineChars="200"/>
        <w:textAlignment w:val="auto"/>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2</w:t>
      </w:r>
      <w:r>
        <w:rPr>
          <w:rFonts w:hint="eastAsia" w:ascii="宋体" w:hAnsi="宋体" w:eastAsia="宋体" w:cs="宋体"/>
          <w:color w:val="auto"/>
          <w:spacing w:val="-1"/>
          <w:highlight w:val="none"/>
        </w:rPr>
        <w:t>.</w:t>
      </w:r>
    </w:p>
    <w:p w14:paraId="4CB90672">
      <w:pPr>
        <w:keepNext w:val="0"/>
        <w:keepLines w:val="0"/>
        <w:pageBreakBefore w:val="0"/>
        <w:widowControl/>
        <w:kinsoku w:val="0"/>
        <w:wordWrap/>
        <w:overflowPunct/>
        <w:topLinePunct w:val="0"/>
        <w:autoSpaceDE w:val="0"/>
        <w:autoSpaceDN w:val="0"/>
        <w:bidi w:val="0"/>
        <w:adjustRightInd/>
        <w:snapToGrid w:val="0"/>
        <w:spacing w:before="68" w:line="360" w:lineRule="auto"/>
        <w:ind w:left="8" w:right="6" w:firstLine="420" w:firstLineChars="200"/>
        <w:textAlignment w:val="auto"/>
        <w:rPr>
          <w:rFonts w:hint="eastAsia" w:ascii="宋体" w:hAnsi="宋体" w:eastAsia="宋体" w:cs="宋体"/>
          <w:color w:val="auto"/>
          <w:highlight w:val="none"/>
        </w:rPr>
      </w:pPr>
    </w:p>
    <w:p w14:paraId="50106DCC">
      <w:pPr>
        <w:keepNext w:val="0"/>
        <w:keepLines w:val="0"/>
        <w:pageBreakBefore w:val="0"/>
        <w:widowControl/>
        <w:kinsoku w:val="0"/>
        <w:wordWrap/>
        <w:overflowPunct/>
        <w:topLinePunct w:val="0"/>
        <w:autoSpaceDE w:val="0"/>
        <w:autoSpaceDN w:val="0"/>
        <w:bidi w:val="0"/>
        <w:adjustRightInd/>
        <w:snapToGrid w:val="0"/>
        <w:spacing w:before="68" w:line="360" w:lineRule="auto"/>
        <w:ind w:left="8" w:right="6" w:firstLine="412" w:firstLineChars="200"/>
        <w:textAlignment w:val="auto"/>
        <w:rPr>
          <w:rFonts w:hint="eastAsia" w:ascii="宋体" w:hAnsi="宋体" w:eastAsia="宋体" w:cs="宋体"/>
          <w:color w:val="auto"/>
          <w:spacing w:val="-2"/>
          <w:position w:val="1"/>
          <w:highlight w:val="none"/>
        </w:rPr>
      </w:pPr>
      <w:r>
        <w:rPr>
          <w:rFonts w:hint="eastAsia" w:ascii="宋体" w:hAnsi="宋体" w:eastAsia="宋体" w:cs="宋体"/>
          <w:color w:val="auto"/>
          <w:spacing w:val="-2"/>
          <w:position w:val="1"/>
          <w:highlight w:val="none"/>
        </w:rPr>
        <w:t>......</w:t>
      </w:r>
    </w:p>
    <w:p w14:paraId="135E23B1">
      <w:pPr>
        <w:keepNext w:val="0"/>
        <w:keepLines w:val="0"/>
        <w:pageBreakBefore w:val="0"/>
        <w:widowControl/>
        <w:kinsoku w:val="0"/>
        <w:wordWrap/>
        <w:overflowPunct/>
        <w:topLinePunct w:val="0"/>
        <w:autoSpaceDE w:val="0"/>
        <w:autoSpaceDN w:val="0"/>
        <w:bidi w:val="0"/>
        <w:adjustRightInd/>
        <w:snapToGrid w:val="0"/>
        <w:spacing w:before="68" w:line="360" w:lineRule="auto"/>
        <w:ind w:left="8" w:right="6" w:firstLine="420" w:firstLineChars="200"/>
        <w:textAlignment w:val="auto"/>
        <w:rPr>
          <w:rFonts w:hint="eastAsia" w:ascii="宋体" w:hAnsi="宋体" w:eastAsia="宋体" w:cs="宋体"/>
          <w:color w:val="auto"/>
          <w:highlight w:val="none"/>
        </w:rPr>
      </w:pPr>
    </w:p>
    <w:p w14:paraId="608AD456">
      <w:pPr>
        <w:keepNext w:val="0"/>
        <w:keepLines w:val="0"/>
        <w:pageBreakBefore w:val="0"/>
        <w:widowControl/>
        <w:kinsoku w:val="0"/>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highlight w:val="none"/>
        </w:rPr>
      </w:pPr>
    </w:p>
    <w:p w14:paraId="06ED1BB9">
      <w:pPr>
        <w:keepNext w:val="0"/>
        <w:keepLines w:val="0"/>
        <w:pageBreakBefore w:val="0"/>
        <w:widowControl/>
        <w:kinsoku w:val="0"/>
        <w:wordWrap/>
        <w:overflowPunct/>
        <w:topLinePunct w:val="0"/>
        <w:autoSpaceDE w:val="0"/>
        <w:autoSpaceDN w:val="0"/>
        <w:bidi w:val="0"/>
        <w:adjustRightInd/>
        <w:snapToGrid w:val="0"/>
        <w:spacing w:before="68" w:line="360" w:lineRule="auto"/>
        <w:ind w:left="8" w:right="6" w:firstLine="404" w:firstLineChars="200"/>
        <w:textAlignment w:val="auto"/>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请将上</w:t>
      </w:r>
      <w:r>
        <w:rPr>
          <w:rFonts w:hint="eastAsia" w:ascii="宋体" w:hAnsi="宋体" w:eastAsia="宋体" w:cs="宋体"/>
          <w:color w:val="auto"/>
          <w:spacing w:val="-2"/>
          <w:highlight w:val="none"/>
        </w:rPr>
        <w:t>述问题的澄清、说明或补正于</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rPr>
        <w:t xml:space="preserve"> 年</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rPr>
        <w:t>月</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rPr>
        <w:t>日</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rPr>
        <w:t>时前递交至</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spacing w:val="1"/>
          <w:highlight w:val="none"/>
        </w:rPr>
        <w:t>(详细地址) 或传真至</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(传真号码) 或 通过下载招标文件的电子招标交易平台上传。采用传真方式的，应在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ab/>
      </w:r>
      <w:r>
        <w:rPr>
          <w:rFonts w:hint="eastAsia" w:ascii="宋体" w:hAnsi="宋体" w:eastAsia="宋体" w:cs="宋体"/>
          <w:color w:val="auto"/>
          <w:spacing w:val="-2"/>
          <w:highlight w:val="none"/>
        </w:rPr>
        <w:t>日</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rPr>
        <w:t>时前将原件</w:t>
      </w:r>
      <w:r>
        <w:rPr>
          <w:rFonts w:hint="eastAsia" w:ascii="宋体" w:hAnsi="宋体" w:eastAsia="宋体" w:cs="宋体"/>
          <w:color w:val="auto"/>
          <w:spacing w:val="-1"/>
          <w:highlight w:val="none"/>
        </w:rPr>
        <w:t>递交至</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spacing w:val="-1"/>
          <w:highlight w:val="none"/>
        </w:rPr>
        <w:t>(详细地址)。</w:t>
      </w:r>
    </w:p>
    <w:p w14:paraId="273162AD">
      <w:pPr>
        <w:spacing w:line="263" w:lineRule="auto"/>
        <w:rPr>
          <w:rFonts w:hint="eastAsia" w:ascii="宋体" w:hAnsi="宋体" w:eastAsia="宋体" w:cs="宋体"/>
          <w:color w:val="auto"/>
          <w:highlight w:val="none"/>
        </w:rPr>
      </w:pPr>
    </w:p>
    <w:p w14:paraId="2B23DD45">
      <w:pPr>
        <w:spacing w:line="263" w:lineRule="auto"/>
        <w:rPr>
          <w:rFonts w:hint="eastAsia" w:ascii="宋体" w:hAnsi="宋体" w:eastAsia="宋体" w:cs="宋体"/>
          <w:color w:val="auto"/>
          <w:highlight w:val="none"/>
        </w:rPr>
      </w:pPr>
    </w:p>
    <w:p w14:paraId="75C26CC6">
      <w:pPr>
        <w:spacing w:line="263" w:lineRule="auto"/>
        <w:rPr>
          <w:rFonts w:hint="eastAsia" w:ascii="宋体" w:hAnsi="宋体" w:eastAsia="宋体" w:cs="宋体"/>
          <w:color w:val="auto"/>
          <w:highlight w:val="none"/>
        </w:rPr>
      </w:pPr>
    </w:p>
    <w:p w14:paraId="608B9C01">
      <w:pPr>
        <w:spacing w:before="69" w:line="217" w:lineRule="auto"/>
        <w:ind w:right="251"/>
        <w:jc w:val="center"/>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评标委员会</w:t>
      </w:r>
      <w:r>
        <w:rPr>
          <w:rFonts w:hint="eastAsia" w:ascii="宋体" w:hAnsi="宋体" w:eastAsia="宋体" w:cs="宋体"/>
          <w:color w:val="auto"/>
          <w:spacing w:val="-4"/>
          <w:highlight w:val="none"/>
        </w:rPr>
        <w:t>签字</w:t>
      </w:r>
      <w:r>
        <w:rPr>
          <w:rFonts w:hint="eastAsia" w:ascii="宋体" w:hAnsi="宋体" w:eastAsia="宋体" w:cs="宋体"/>
          <w:color w:val="auto"/>
          <w:spacing w:val="-3"/>
          <w:highlight w:val="none"/>
        </w:rPr>
        <w:t>：</w:t>
      </w:r>
      <w:r>
        <w:rPr>
          <w:rFonts w:hint="eastAsia" w:ascii="宋体" w:hAnsi="宋体" w:eastAsia="宋体" w:cs="宋体"/>
          <w:color w:val="auto"/>
          <w:spacing w:val="-3"/>
          <w:highlight w:val="none"/>
          <w:u w:val="single"/>
        </w:rPr>
        <w:t xml:space="preserve">                       </w:t>
      </w:r>
    </w:p>
    <w:p w14:paraId="162680F0">
      <w:pPr>
        <w:spacing w:line="281" w:lineRule="auto"/>
        <w:rPr>
          <w:rFonts w:hint="eastAsia" w:ascii="宋体" w:hAnsi="宋体" w:eastAsia="宋体" w:cs="宋体"/>
          <w:color w:val="auto"/>
          <w:highlight w:val="none"/>
        </w:rPr>
      </w:pPr>
    </w:p>
    <w:p w14:paraId="7CF472A1">
      <w:pPr>
        <w:spacing w:line="281" w:lineRule="auto"/>
        <w:rPr>
          <w:rFonts w:hint="eastAsia" w:ascii="宋体" w:hAnsi="宋体" w:eastAsia="宋体" w:cs="宋体"/>
          <w:color w:val="auto"/>
          <w:highlight w:val="none"/>
        </w:rPr>
      </w:pPr>
    </w:p>
    <w:p w14:paraId="6C2F28C2">
      <w:pPr>
        <w:tabs>
          <w:tab w:val="left" w:pos="5709"/>
        </w:tabs>
        <w:spacing w:before="69" w:line="220" w:lineRule="auto"/>
        <w:ind w:left="486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ab/>
      </w:r>
      <w:r>
        <w:rPr>
          <w:rFonts w:hint="eastAsia" w:ascii="宋体" w:hAnsi="宋体" w:eastAsia="宋体" w:cs="宋体"/>
          <w:color w:val="auto"/>
          <w:spacing w:val="3"/>
          <w:highlight w:val="none"/>
        </w:rPr>
        <w:t>年</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rPr>
        <w:t>月</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rPr>
        <w:t>日</w:t>
      </w:r>
    </w:p>
    <w:p w14:paraId="1AB78C0C">
      <w:pPr>
        <w:rPr>
          <w:rFonts w:hint="eastAsia" w:ascii="宋体" w:hAnsi="宋体" w:eastAsia="宋体" w:cs="宋体"/>
          <w:color w:val="auto"/>
          <w:highlight w:val="none"/>
        </w:rPr>
        <w:sectPr>
          <w:footerReference r:id="rId10" w:type="default"/>
          <w:pgSz w:w="11905" w:h="16838"/>
          <w:pgMar w:top="1344" w:right="1247" w:bottom="1106" w:left="1837" w:header="0" w:footer="680" w:gutter="0"/>
          <w:pgNumType w:fmt="decimal"/>
          <w:cols w:space="0" w:num="1"/>
          <w:rtlGutter w:val="0"/>
          <w:docGrid w:type="linesAndChars" w:linePitch="312" w:charSpace="0"/>
        </w:sectPr>
      </w:pPr>
    </w:p>
    <w:p w14:paraId="5E2113FE">
      <w:pPr>
        <w:spacing w:line="352" w:lineRule="auto"/>
        <w:rPr>
          <w:rFonts w:hint="eastAsia" w:ascii="宋体" w:hAnsi="宋体" w:eastAsia="宋体" w:cs="宋体"/>
          <w:color w:val="auto"/>
          <w:highlight w:val="none"/>
        </w:rPr>
      </w:pPr>
    </w:p>
    <w:p w14:paraId="354FD218">
      <w:pPr>
        <w:pStyle w:val="35"/>
        <w:spacing w:before="120" w:after="120"/>
        <w:outlineLvl w:val="9"/>
        <w:rPr>
          <w:rFonts w:hint="eastAsia" w:ascii="宋体" w:hAnsi="宋体" w:eastAsia="宋体" w:cs="宋体"/>
          <w:color w:val="auto"/>
          <w:spacing w:val="10"/>
          <w:sz w:val="27"/>
          <w:szCs w:val="27"/>
          <w:highlight w:val="none"/>
        </w:rPr>
      </w:pPr>
      <w:bookmarkStart w:id="372" w:name="_Toc24841"/>
      <w:bookmarkStart w:id="373" w:name="_Toc18312"/>
      <w:r>
        <w:rPr>
          <w:rFonts w:hint="eastAsia" w:ascii="宋体" w:hAnsi="宋体" w:eastAsia="宋体" w:cs="宋体"/>
          <w:color w:val="auto"/>
          <w:spacing w:val="10"/>
          <w:sz w:val="27"/>
          <w:szCs w:val="27"/>
          <w:highlight w:val="none"/>
        </w:rPr>
        <w:t>附</w:t>
      </w:r>
      <w:r>
        <w:rPr>
          <w:rFonts w:hint="eastAsia" w:ascii="宋体" w:hAnsi="宋体" w:eastAsia="宋体" w:cs="宋体"/>
          <w:color w:val="auto"/>
          <w:spacing w:val="7"/>
          <w:sz w:val="27"/>
          <w:szCs w:val="27"/>
          <w:highlight w:val="none"/>
        </w:rPr>
        <w:t>件二：问题的澄清</w:t>
      </w:r>
      <w:bookmarkEnd w:id="372"/>
      <w:bookmarkEnd w:id="373"/>
    </w:p>
    <w:p w14:paraId="5A4B35CF">
      <w:pPr>
        <w:spacing w:line="297" w:lineRule="auto"/>
        <w:rPr>
          <w:rFonts w:hint="eastAsia" w:ascii="宋体" w:hAnsi="宋体" w:eastAsia="宋体" w:cs="宋体"/>
          <w:color w:val="auto"/>
          <w:highlight w:val="none"/>
        </w:rPr>
      </w:pPr>
    </w:p>
    <w:p w14:paraId="13FBE89D">
      <w:pPr>
        <w:spacing w:line="298" w:lineRule="auto"/>
        <w:rPr>
          <w:rFonts w:hint="eastAsia" w:ascii="宋体" w:hAnsi="宋体" w:eastAsia="宋体" w:cs="宋体"/>
          <w:color w:val="auto"/>
          <w:highlight w:val="none"/>
        </w:rPr>
      </w:pPr>
    </w:p>
    <w:p w14:paraId="5BBF7899">
      <w:pPr>
        <w:spacing w:line="298" w:lineRule="auto"/>
        <w:rPr>
          <w:rFonts w:hint="eastAsia" w:ascii="宋体" w:hAnsi="宋体" w:eastAsia="宋体" w:cs="宋体"/>
          <w:color w:val="auto"/>
          <w:highlight w:val="none"/>
        </w:rPr>
      </w:pPr>
    </w:p>
    <w:p w14:paraId="2A2C0899">
      <w:pPr>
        <w:spacing w:before="87" w:line="229" w:lineRule="auto"/>
        <w:ind w:left="3639"/>
        <w:rPr>
          <w:rFonts w:hint="eastAsia" w:ascii="宋体" w:hAnsi="宋体" w:eastAsia="宋体" w:cs="宋体"/>
          <w:color w:val="auto"/>
          <w:spacing w:val="5"/>
          <w:sz w:val="27"/>
          <w:szCs w:val="27"/>
          <w:highlight w:val="none"/>
        </w:rPr>
      </w:pPr>
      <w:r>
        <w:rPr>
          <w:rFonts w:hint="eastAsia" w:ascii="宋体" w:hAnsi="宋体" w:eastAsia="宋体" w:cs="宋体"/>
          <w:color w:val="auto"/>
          <w:spacing w:val="5"/>
          <w:sz w:val="27"/>
          <w:szCs w:val="27"/>
          <w:highlight w:val="none"/>
        </w:rPr>
        <w:t>问题的澄</w:t>
      </w:r>
      <w:r>
        <w:rPr>
          <w:rFonts w:hint="eastAsia" w:ascii="宋体" w:hAnsi="宋体" w:eastAsia="宋体" w:cs="宋体"/>
          <w:color w:val="auto"/>
          <w:spacing w:val="4"/>
          <w:sz w:val="27"/>
          <w:szCs w:val="27"/>
          <w:highlight w:val="none"/>
        </w:rPr>
        <w:t>清</w:t>
      </w:r>
    </w:p>
    <w:p w14:paraId="60BF94A9">
      <w:pPr>
        <w:spacing w:before="123" w:line="220" w:lineRule="auto"/>
        <w:ind w:left="3470"/>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(编号：</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01ADB07">
      <w:pPr>
        <w:spacing w:line="255" w:lineRule="auto"/>
        <w:rPr>
          <w:rFonts w:hint="eastAsia" w:ascii="宋体" w:hAnsi="宋体" w:eastAsia="宋体" w:cs="宋体"/>
          <w:color w:val="auto"/>
          <w:highlight w:val="none"/>
        </w:rPr>
      </w:pPr>
    </w:p>
    <w:p w14:paraId="4F448625">
      <w:pPr>
        <w:spacing w:line="255" w:lineRule="auto"/>
        <w:rPr>
          <w:rFonts w:hint="eastAsia" w:ascii="宋体" w:hAnsi="宋体" w:eastAsia="宋体" w:cs="宋体"/>
          <w:color w:val="auto"/>
          <w:highlight w:val="none"/>
        </w:rPr>
      </w:pPr>
    </w:p>
    <w:p w14:paraId="54AD2AD3">
      <w:pPr>
        <w:spacing w:before="68" w:line="217" w:lineRule="auto"/>
        <w:rPr>
          <w:rFonts w:hint="eastAsia" w:ascii="宋体" w:hAnsi="宋体" w:eastAsia="宋体" w:cs="宋体"/>
          <w:color w:val="auto"/>
          <w:spacing w:val="-12"/>
          <w:highlight w:val="none"/>
        </w:rPr>
      </w:pPr>
      <w:r>
        <w:rPr>
          <w:rFonts w:hint="eastAsia" w:ascii="宋体" w:hAnsi="宋体" w:eastAsia="宋体" w:cs="宋体"/>
          <w:color w:val="auto"/>
          <w:spacing w:val="-12"/>
          <w:highlight w:val="none"/>
        </w:rPr>
        <w:t>评</w:t>
      </w:r>
      <w:r>
        <w:rPr>
          <w:rFonts w:hint="eastAsia" w:ascii="宋体" w:hAnsi="宋体" w:eastAsia="宋体" w:cs="宋体"/>
          <w:color w:val="auto"/>
          <w:spacing w:val="-7"/>
          <w:highlight w:val="none"/>
        </w:rPr>
        <w:t>标委员会：</w:t>
      </w:r>
    </w:p>
    <w:p w14:paraId="005E4CDE">
      <w:pPr>
        <w:spacing w:line="280" w:lineRule="auto"/>
        <w:rPr>
          <w:rFonts w:hint="eastAsia" w:ascii="宋体" w:hAnsi="宋体" w:eastAsia="宋体" w:cs="宋体"/>
          <w:color w:val="auto"/>
          <w:highlight w:val="none"/>
        </w:rPr>
      </w:pPr>
    </w:p>
    <w:p w14:paraId="00E173E3">
      <w:pPr>
        <w:spacing w:line="281" w:lineRule="auto"/>
        <w:rPr>
          <w:rFonts w:hint="eastAsia" w:ascii="宋体" w:hAnsi="宋体" w:eastAsia="宋体" w:cs="宋体"/>
          <w:color w:val="auto"/>
          <w:highlight w:val="none"/>
        </w:rPr>
      </w:pPr>
    </w:p>
    <w:p w14:paraId="0350BF27">
      <w:pPr>
        <w:keepNext w:val="0"/>
        <w:keepLines w:val="0"/>
        <w:pageBreakBefore w:val="0"/>
        <w:widowControl/>
        <w:kinsoku w:val="0"/>
        <w:wordWrap/>
        <w:overflowPunct/>
        <w:topLinePunct w:val="0"/>
        <w:autoSpaceDE w:val="0"/>
        <w:autoSpaceDN w:val="0"/>
        <w:bidi w:val="0"/>
        <w:adjustRightInd/>
        <w:snapToGrid w:val="0"/>
        <w:spacing w:before="68" w:line="360" w:lineRule="auto"/>
        <w:ind w:left="8" w:right="6" w:firstLine="424" w:firstLineChars="200"/>
        <w:textAlignment w:val="auto"/>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问题澄清通知(编号：</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spacing w:val="1"/>
          <w:highlight w:val="none"/>
        </w:rPr>
        <w:t>)已收悉，</w:t>
      </w:r>
      <w:r>
        <w:rPr>
          <w:rFonts w:hint="eastAsia" w:ascii="宋体" w:hAnsi="宋体" w:eastAsia="宋体" w:cs="宋体"/>
          <w:color w:val="auto"/>
          <w:highlight w:val="none"/>
        </w:rPr>
        <w:t>现澄清、说明或补正如下：</w:t>
      </w:r>
    </w:p>
    <w:p w14:paraId="17DF2C88">
      <w:pPr>
        <w:keepNext w:val="0"/>
        <w:keepLines w:val="0"/>
        <w:pageBreakBefore w:val="0"/>
        <w:widowControl/>
        <w:kinsoku w:val="0"/>
        <w:wordWrap/>
        <w:overflowPunct/>
        <w:topLinePunct w:val="0"/>
        <w:autoSpaceDE w:val="0"/>
        <w:autoSpaceDN w:val="0"/>
        <w:bidi w:val="0"/>
        <w:adjustRightInd/>
        <w:snapToGrid w:val="0"/>
        <w:spacing w:before="68" w:line="360" w:lineRule="auto"/>
        <w:ind w:left="8" w:right="6" w:firstLine="388" w:firstLineChars="200"/>
        <w:textAlignment w:val="auto"/>
        <w:rPr>
          <w:rFonts w:hint="eastAsia" w:ascii="宋体" w:hAnsi="宋体" w:eastAsia="宋体" w:cs="宋体"/>
          <w:color w:val="auto"/>
          <w:spacing w:val="-8"/>
          <w:position w:val="21"/>
          <w:highlight w:val="none"/>
        </w:rPr>
      </w:pPr>
      <w:r>
        <w:rPr>
          <w:rFonts w:hint="eastAsia" w:ascii="宋体" w:hAnsi="宋体" w:eastAsia="宋体" w:cs="宋体"/>
          <w:color w:val="auto"/>
          <w:spacing w:val="-8"/>
          <w:position w:val="21"/>
          <w:highlight w:val="none"/>
        </w:rPr>
        <w:t>1.</w:t>
      </w:r>
    </w:p>
    <w:p w14:paraId="0BDE47B2">
      <w:pPr>
        <w:keepNext w:val="0"/>
        <w:keepLines w:val="0"/>
        <w:pageBreakBefore w:val="0"/>
        <w:widowControl/>
        <w:kinsoku w:val="0"/>
        <w:wordWrap/>
        <w:overflowPunct/>
        <w:topLinePunct w:val="0"/>
        <w:autoSpaceDE w:val="0"/>
        <w:autoSpaceDN w:val="0"/>
        <w:bidi w:val="0"/>
        <w:adjustRightInd/>
        <w:snapToGrid w:val="0"/>
        <w:spacing w:before="68" w:line="360" w:lineRule="auto"/>
        <w:ind w:left="8" w:right="6" w:firstLine="412" w:firstLineChars="200"/>
        <w:textAlignment w:val="auto"/>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2</w:t>
      </w:r>
      <w:r>
        <w:rPr>
          <w:rFonts w:hint="eastAsia" w:ascii="宋体" w:hAnsi="宋体" w:eastAsia="宋体" w:cs="宋体"/>
          <w:color w:val="auto"/>
          <w:spacing w:val="-1"/>
          <w:highlight w:val="none"/>
        </w:rPr>
        <w:t>.</w:t>
      </w:r>
    </w:p>
    <w:p w14:paraId="6E106991">
      <w:pPr>
        <w:keepNext w:val="0"/>
        <w:keepLines w:val="0"/>
        <w:pageBreakBefore w:val="0"/>
        <w:widowControl/>
        <w:kinsoku w:val="0"/>
        <w:wordWrap/>
        <w:overflowPunct/>
        <w:topLinePunct w:val="0"/>
        <w:autoSpaceDE w:val="0"/>
        <w:autoSpaceDN w:val="0"/>
        <w:bidi w:val="0"/>
        <w:adjustRightInd/>
        <w:snapToGrid w:val="0"/>
        <w:spacing w:before="68" w:line="360" w:lineRule="auto"/>
        <w:ind w:left="8" w:right="6" w:firstLine="420" w:firstLineChars="200"/>
        <w:textAlignment w:val="auto"/>
        <w:rPr>
          <w:rFonts w:hint="eastAsia" w:ascii="宋体" w:hAnsi="宋体" w:eastAsia="宋体" w:cs="宋体"/>
          <w:color w:val="auto"/>
          <w:highlight w:val="none"/>
        </w:rPr>
      </w:pPr>
    </w:p>
    <w:p w14:paraId="4E1D68F4">
      <w:pPr>
        <w:keepNext w:val="0"/>
        <w:keepLines w:val="0"/>
        <w:pageBreakBefore w:val="0"/>
        <w:widowControl/>
        <w:kinsoku w:val="0"/>
        <w:wordWrap/>
        <w:overflowPunct/>
        <w:topLinePunct w:val="0"/>
        <w:autoSpaceDE w:val="0"/>
        <w:autoSpaceDN w:val="0"/>
        <w:bidi w:val="0"/>
        <w:adjustRightInd/>
        <w:snapToGrid w:val="0"/>
        <w:spacing w:before="68" w:line="360" w:lineRule="auto"/>
        <w:ind w:left="8" w:right="6" w:firstLine="404" w:firstLineChars="200"/>
        <w:textAlignment w:val="auto"/>
        <w:rPr>
          <w:rFonts w:hint="eastAsia" w:ascii="宋体" w:hAnsi="宋体" w:eastAsia="宋体" w:cs="宋体"/>
          <w:color w:val="auto"/>
          <w:spacing w:val="-4"/>
          <w:position w:val="1"/>
          <w:highlight w:val="none"/>
        </w:rPr>
      </w:pPr>
      <w:r>
        <w:rPr>
          <w:rFonts w:hint="eastAsia" w:ascii="宋体" w:hAnsi="宋体" w:eastAsia="宋体" w:cs="宋体"/>
          <w:color w:val="auto"/>
          <w:spacing w:val="-4"/>
          <w:position w:val="1"/>
          <w:highlight w:val="none"/>
        </w:rPr>
        <w:t>.</w:t>
      </w:r>
      <w:r>
        <w:rPr>
          <w:rFonts w:hint="eastAsia" w:ascii="宋体" w:hAnsi="宋体" w:eastAsia="宋体" w:cs="宋体"/>
          <w:color w:val="auto"/>
          <w:spacing w:val="-3"/>
          <w:position w:val="1"/>
          <w:highlight w:val="none"/>
        </w:rPr>
        <w:t>.</w:t>
      </w:r>
      <w:r>
        <w:rPr>
          <w:rFonts w:hint="eastAsia" w:ascii="宋体" w:hAnsi="宋体" w:eastAsia="宋体" w:cs="宋体"/>
          <w:color w:val="auto"/>
          <w:spacing w:val="-2"/>
          <w:position w:val="1"/>
          <w:highlight w:val="none"/>
        </w:rPr>
        <w:t>...</w:t>
      </w:r>
    </w:p>
    <w:p w14:paraId="7FDC4ECF">
      <w:pPr>
        <w:spacing w:line="242" w:lineRule="auto"/>
        <w:rPr>
          <w:rFonts w:hint="eastAsia" w:ascii="宋体" w:hAnsi="宋体" w:eastAsia="宋体" w:cs="宋体"/>
          <w:color w:val="auto"/>
          <w:highlight w:val="none"/>
        </w:rPr>
      </w:pPr>
    </w:p>
    <w:p w14:paraId="263FB1D6">
      <w:pPr>
        <w:spacing w:line="242" w:lineRule="auto"/>
        <w:rPr>
          <w:rFonts w:hint="eastAsia" w:ascii="宋体" w:hAnsi="宋体" w:eastAsia="宋体" w:cs="宋体"/>
          <w:color w:val="auto"/>
          <w:highlight w:val="none"/>
        </w:rPr>
      </w:pPr>
    </w:p>
    <w:p w14:paraId="111B4782">
      <w:pPr>
        <w:spacing w:line="243" w:lineRule="auto"/>
        <w:rPr>
          <w:rFonts w:hint="eastAsia" w:ascii="宋体" w:hAnsi="宋体" w:eastAsia="宋体" w:cs="宋体"/>
          <w:color w:val="auto"/>
          <w:highlight w:val="none"/>
        </w:rPr>
      </w:pPr>
    </w:p>
    <w:p w14:paraId="45CD342D">
      <w:pPr>
        <w:spacing w:line="243" w:lineRule="auto"/>
        <w:rPr>
          <w:rFonts w:hint="eastAsia" w:ascii="宋体" w:hAnsi="宋体" w:eastAsia="宋体" w:cs="宋体"/>
          <w:color w:val="auto"/>
          <w:highlight w:val="none"/>
        </w:rPr>
      </w:pPr>
    </w:p>
    <w:p w14:paraId="5CFB82EF">
      <w:pPr>
        <w:spacing w:line="243" w:lineRule="auto"/>
        <w:rPr>
          <w:rFonts w:hint="eastAsia" w:ascii="宋体" w:hAnsi="宋体" w:eastAsia="宋体" w:cs="宋体"/>
          <w:color w:val="auto"/>
          <w:highlight w:val="none"/>
        </w:rPr>
      </w:pPr>
    </w:p>
    <w:p w14:paraId="532E37C7">
      <w:pPr>
        <w:spacing w:line="243" w:lineRule="auto"/>
        <w:rPr>
          <w:rFonts w:hint="eastAsia" w:ascii="宋体" w:hAnsi="宋体" w:eastAsia="宋体" w:cs="宋体"/>
          <w:color w:val="auto"/>
          <w:highlight w:val="none"/>
        </w:rPr>
      </w:pPr>
    </w:p>
    <w:p w14:paraId="42EB511B">
      <w:pPr>
        <w:keepNext w:val="0"/>
        <w:keepLines w:val="0"/>
        <w:pageBreakBefore w:val="0"/>
        <w:widowControl/>
        <w:kinsoku w:val="0"/>
        <w:wordWrap/>
        <w:overflowPunct/>
        <w:topLinePunct w:val="0"/>
        <w:autoSpaceDE w:val="0"/>
        <w:autoSpaceDN w:val="0"/>
        <w:bidi w:val="0"/>
        <w:adjustRightInd/>
        <w:snapToGrid w:val="0"/>
        <w:spacing w:before="68" w:line="360" w:lineRule="auto"/>
        <w:ind w:left="8" w:right="6" w:firstLine="424" w:firstLineChars="200"/>
        <w:textAlignment w:val="auto"/>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上述问题澄清、说明或补正，不</w:t>
      </w:r>
      <w:r>
        <w:rPr>
          <w:rFonts w:hint="eastAsia" w:ascii="宋体" w:hAnsi="宋体" w:eastAsia="宋体" w:cs="宋体"/>
          <w:color w:val="auto"/>
          <w:highlight w:val="none"/>
        </w:rPr>
        <w:t>改变我方投标文件的实质性内容，构成我方投标文件的组</w:t>
      </w:r>
      <w:r>
        <w:rPr>
          <w:rFonts w:hint="eastAsia" w:ascii="宋体" w:hAnsi="宋体" w:eastAsia="宋体" w:cs="宋体"/>
          <w:color w:val="auto"/>
          <w:spacing w:val="-9"/>
          <w:highlight w:val="none"/>
        </w:rPr>
        <w:t>成</w:t>
      </w:r>
      <w:r>
        <w:rPr>
          <w:rFonts w:hint="eastAsia" w:ascii="宋体" w:hAnsi="宋体" w:eastAsia="宋体" w:cs="宋体"/>
          <w:color w:val="auto"/>
          <w:spacing w:val="-7"/>
          <w:highlight w:val="none"/>
        </w:rPr>
        <w:t>部分。</w:t>
      </w:r>
    </w:p>
    <w:p w14:paraId="3F13E108">
      <w:pPr>
        <w:spacing w:line="325" w:lineRule="auto"/>
        <w:rPr>
          <w:rFonts w:hint="eastAsia" w:ascii="宋体" w:hAnsi="宋体" w:eastAsia="宋体" w:cs="宋体"/>
          <w:color w:val="auto"/>
          <w:highlight w:val="none"/>
        </w:rPr>
      </w:pPr>
    </w:p>
    <w:p w14:paraId="5A1CAEA5">
      <w:pPr>
        <w:spacing w:line="325" w:lineRule="auto"/>
        <w:rPr>
          <w:rFonts w:hint="eastAsia" w:ascii="宋体" w:hAnsi="宋体" w:eastAsia="宋体" w:cs="宋体"/>
          <w:color w:val="auto"/>
          <w:highlight w:val="none"/>
        </w:rPr>
      </w:pPr>
    </w:p>
    <w:p w14:paraId="1E4D499E">
      <w:pPr>
        <w:spacing w:before="69" w:line="220" w:lineRule="auto"/>
        <w:ind w:right="110"/>
        <w:jc w:val="righ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投</w:t>
      </w:r>
      <w:r>
        <w:rPr>
          <w:rFonts w:hint="eastAsia" w:ascii="宋体" w:hAnsi="宋体" w:eastAsia="宋体" w:cs="宋体"/>
          <w:color w:val="auto"/>
          <w:spacing w:val="-2"/>
          <w:highlight w:val="none"/>
        </w:rPr>
        <w:t>标人：</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rPr>
        <w:t>(盖单位章)</w:t>
      </w:r>
    </w:p>
    <w:p w14:paraId="40BE3EC2">
      <w:pPr>
        <w:spacing w:before="295" w:line="217" w:lineRule="auto"/>
        <w:ind w:left="2941"/>
        <w:rPr>
          <w:rFonts w:hint="eastAsia" w:ascii="宋体" w:hAnsi="宋体" w:eastAsia="宋体" w:cs="宋体"/>
          <w:color w:val="auto"/>
          <w:spacing w:val="-8"/>
          <w:highlight w:val="none"/>
        </w:rPr>
      </w:pPr>
      <w:r>
        <w:rPr>
          <w:rFonts w:hint="eastAsia" w:ascii="宋体" w:hAnsi="宋体" w:eastAsia="宋体" w:cs="宋体"/>
          <w:color w:val="auto"/>
          <w:spacing w:val="-8"/>
          <w:highlight w:val="none"/>
        </w:rPr>
        <w:t>法定代表</w:t>
      </w:r>
      <w:r>
        <w:rPr>
          <w:rFonts w:hint="eastAsia" w:ascii="宋体" w:hAnsi="宋体" w:eastAsia="宋体" w:cs="宋体"/>
          <w:color w:val="auto"/>
          <w:spacing w:val="-4"/>
          <w:highlight w:val="none"/>
        </w:rPr>
        <w:t>人或其委托代理人：</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(签字)</w:t>
      </w:r>
    </w:p>
    <w:p w14:paraId="06FD2BCD">
      <w:pPr>
        <w:spacing w:line="268" w:lineRule="auto"/>
        <w:rPr>
          <w:rFonts w:hint="eastAsia" w:ascii="宋体" w:hAnsi="宋体" w:eastAsia="宋体" w:cs="宋体"/>
          <w:color w:val="auto"/>
          <w:highlight w:val="none"/>
        </w:rPr>
      </w:pPr>
    </w:p>
    <w:p w14:paraId="0FD9852E">
      <w:pPr>
        <w:spacing w:line="268" w:lineRule="auto"/>
        <w:rPr>
          <w:rFonts w:hint="eastAsia" w:ascii="宋体" w:hAnsi="宋体" w:eastAsia="宋体" w:cs="宋体"/>
          <w:color w:val="auto"/>
          <w:highlight w:val="none"/>
        </w:rPr>
      </w:pPr>
    </w:p>
    <w:p w14:paraId="3EE15B97">
      <w:pPr>
        <w:spacing w:line="269" w:lineRule="auto"/>
        <w:rPr>
          <w:rFonts w:hint="eastAsia" w:ascii="宋体" w:hAnsi="宋体" w:eastAsia="宋体" w:cs="宋体"/>
          <w:color w:val="auto"/>
          <w:highlight w:val="none"/>
        </w:rPr>
      </w:pPr>
    </w:p>
    <w:p w14:paraId="19AADDB4">
      <w:pPr>
        <w:tabs>
          <w:tab w:val="left" w:pos="6330"/>
        </w:tabs>
        <w:spacing w:before="68" w:line="220" w:lineRule="auto"/>
        <w:ind w:left="5482"/>
        <w:rPr>
          <w:rFonts w:hint="eastAsia" w:ascii="宋体" w:hAnsi="宋体" w:eastAsia="宋体" w:cs="宋体"/>
          <w:color w:val="auto"/>
          <w:highlight w:val="none"/>
          <w:u w:val="single"/>
        </w:rPr>
      </w:pPr>
      <w:r>
        <w:rPr>
          <w:rFonts w:hint="eastAsia" w:ascii="宋体" w:hAnsi="宋体" w:eastAsia="宋体" w:cs="宋体"/>
          <w:color w:val="auto"/>
          <w:highlight w:val="none"/>
          <w:u w:val="single"/>
        </w:rPr>
        <w:tab/>
      </w:r>
      <w:r>
        <w:rPr>
          <w:rFonts w:hint="eastAsia" w:ascii="宋体" w:hAnsi="宋体" w:eastAsia="宋体" w:cs="宋体"/>
          <w:color w:val="auto"/>
          <w:spacing w:val="-1"/>
          <w:highlight w:val="none"/>
        </w:rPr>
        <w:t>年</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1E339E39">
      <w:pPr>
        <w:rPr>
          <w:rFonts w:hint="eastAsia" w:ascii="宋体" w:hAnsi="宋体" w:eastAsia="宋体" w:cs="宋体"/>
          <w:color w:val="auto"/>
          <w:highlight w:val="none"/>
        </w:rPr>
        <w:sectPr>
          <w:footerReference r:id="rId11" w:type="default"/>
          <w:pgSz w:w="11905" w:h="16838"/>
          <w:pgMar w:top="1344" w:right="1247" w:bottom="1106" w:left="1837" w:header="0" w:footer="680" w:gutter="0"/>
          <w:pgNumType w:fmt="decimal"/>
          <w:cols w:space="0" w:num="1"/>
          <w:rtlGutter w:val="0"/>
          <w:docGrid w:type="linesAndChars" w:linePitch="312" w:charSpace="0"/>
        </w:sectPr>
      </w:pPr>
    </w:p>
    <w:p w14:paraId="60F4F54F">
      <w:pPr>
        <w:bidi w:val="0"/>
        <w:rPr>
          <w:rFonts w:hint="eastAsia" w:ascii="宋体" w:hAnsi="宋体" w:eastAsia="宋体" w:cs="宋体"/>
          <w:color w:val="auto"/>
          <w:highlight w:val="none"/>
        </w:rPr>
      </w:pPr>
      <w:bookmarkStart w:id="374" w:name="_Toc183207163"/>
    </w:p>
    <w:p w14:paraId="45A05362">
      <w:pPr>
        <w:pStyle w:val="34"/>
        <w:rPr>
          <w:rFonts w:hint="eastAsia" w:ascii="宋体" w:hAnsi="宋体" w:eastAsia="宋体" w:cs="宋体"/>
          <w:b/>
          <w:bCs w:val="0"/>
          <w:color w:val="auto"/>
          <w:spacing w:val="24"/>
          <w:szCs w:val="44"/>
          <w:highlight w:val="none"/>
        </w:rPr>
      </w:pPr>
      <w:bookmarkStart w:id="375" w:name="_Toc13407"/>
      <w:bookmarkStart w:id="376" w:name="_Toc21835"/>
      <w:r>
        <w:rPr>
          <w:rFonts w:hint="eastAsia" w:ascii="宋体" w:hAnsi="宋体" w:eastAsia="宋体" w:cs="宋体"/>
          <w:b/>
          <w:bCs w:val="0"/>
          <w:color w:val="auto"/>
          <w:spacing w:val="24"/>
          <w:szCs w:val="44"/>
          <w:highlight w:val="none"/>
        </w:rPr>
        <w:t>第三章</w:t>
      </w:r>
      <w:r>
        <w:rPr>
          <w:rFonts w:hint="eastAsia" w:ascii="宋体" w:hAnsi="宋体" w:cs="宋体"/>
          <w:b/>
          <w:bCs w:val="0"/>
          <w:color w:val="auto"/>
          <w:spacing w:val="24"/>
          <w:szCs w:val="44"/>
          <w:highlight w:val="none"/>
          <w:lang w:val="en-US" w:eastAsia="zh-CN"/>
        </w:rPr>
        <w:t xml:space="preserve"> </w:t>
      </w:r>
      <w:r>
        <w:rPr>
          <w:rFonts w:hint="eastAsia" w:ascii="宋体" w:hAnsi="宋体" w:eastAsia="宋体" w:cs="宋体"/>
          <w:b/>
          <w:bCs w:val="0"/>
          <w:color w:val="auto"/>
          <w:spacing w:val="24"/>
          <w:szCs w:val="44"/>
          <w:highlight w:val="none"/>
        </w:rPr>
        <w:t>评标办法(综合评估法)</w:t>
      </w:r>
      <w:bookmarkEnd w:id="374"/>
      <w:bookmarkEnd w:id="375"/>
      <w:bookmarkEnd w:id="376"/>
    </w:p>
    <w:p w14:paraId="23ACDAC2">
      <w:pPr>
        <w:jc w:val="center"/>
        <w:rPr>
          <w:rFonts w:hint="eastAsia" w:ascii="宋体" w:hAnsi="宋体" w:eastAsia="宋体" w:cs="宋体"/>
          <w:color w:val="auto"/>
          <w:spacing w:val="23"/>
          <w:sz w:val="43"/>
          <w:szCs w:val="43"/>
          <w:highlight w:val="none"/>
        </w:rPr>
      </w:pPr>
      <w:r>
        <w:rPr>
          <w:rFonts w:hint="eastAsia" w:ascii="宋体" w:hAnsi="宋体" w:eastAsia="宋体" w:cs="宋体"/>
          <w:color w:val="auto"/>
          <w:spacing w:val="23"/>
          <w:sz w:val="43"/>
          <w:szCs w:val="43"/>
          <w:highlight w:val="none"/>
        </w:rPr>
        <w:t>（暗标形式）</w:t>
      </w:r>
    </w:p>
    <w:p w14:paraId="16709E74">
      <w:pPr>
        <w:bidi w:val="0"/>
        <w:rPr>
          <w:rFonts w:hint="eastAsia"/>
        </w:rPr>
      </w:pPr>
    </w:p>
    <w:p w14:paraId="7DD63E67">
      <w:pPr>
        <w:spacing w:before="68" w:line="352" w:lineRule="auto"/>
        <w:ind w:right="72"/>
        <w:jc w:val="center"/>
        <w:rPr>
          <w:rFonts w:hint="eastAsia" w:ascii="宋体" w:hAnsi="宋体" w:eastAsia="宋体" w:cs="宋体"/>
          <w:b/>
          <w:bCs/>
          <w:color w:val="auto"/>
          <w:spacing w:val="-2"/>
          <w:sz w:val="28"/>
          <w:szCs w:val="28"/>
          <w:highlight w:val="none"/>
        </w:rPr>
      </w:pPr>
      <w:r>
        <w:rPr>
          <w:rFonts w:hint="eastAsia" w:ascii="宋体" w:hAnsi="宋体" w:eastAsia="宋体" w:cs="宋体"/>
          <w:b/>
          <w:bCs/>
          <w:color w:val="auto"/>
          <w:spacing w:val="-2"/>
          <w:sz w:val="28"/>
          <w:szCs w:val="28"/>
          <w:highlight w:val="none"/>
        </w:rPr>
        <w:t>评标办法前附表</w:t>
      </w:r>
    </w:p>
    <w:p w14:paraId="21805F29">
      <w:pPr>
        <w:spacing w:line="62" w:lineRule="exact"/>
        <w:rPr>
          <w:rFonts w:hint="eastAsia" w:ascii="宋体" w:hAnsi="宋体" w:eastAsia="宋体" w:cs="宋体"/>
          <w:color w:val="auto"/>
          <w:highlight w:val="none"/>
        </w:rPr>
      </w:pPr>
    </w:p>
    <w:tbl>
      <w:tblPr>
        <w:tblStyle w:val="27"/>
        <w:tblW w:w="94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1069"/>
        <w:gridCol w:w="1835"/>
        <w:gridCol w:w="5765"/>
      </w:tblGrid>
      <w:tr w14:paraId="334C0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830" w:type="dxa"/>
            <w:gridSpan w:val="2"/>
            <w:vAlign w:val="center"/>
          </w:tcPr>
          <w:p w14:paraId="63C5FD09">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条款号</w:t>
            </w:r>
          </w:p>
        </w:tc>
        <w:tc>
          <w:tcPr>
            <w:tcW w:w="1835" w:type="dxa"/>
            <w:vAlign w:val="center"/>
          </w:tcPr>
          <w:p w14:paraId="062A99DB">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评审因素</w:t>
            </w:r>
          </w:p>
        </w:tc>
        <w:tc>
          <w:tcPr>
            <w:tcW w:w="5765" w:type="dxa"/>
            <w:vAlign w:val="center"/>
          </w:tcPr>
          <w:p w14:paraId="41BA28AD">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评审标准</w:t>
            </w:r>
          </w:p>
        </w:tc>
      </w:tr>
      <w:tr w14:paraId="02265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61" w:type="dxa"/>
            <w:vAlign w:val="center"/>
          </w:tcPr>
          <w:p w14:paraId="040D3914">
            <w:pPr>
              <w:keepNext w:val="0"/>
              <w:keepLines w:val="0"/>
              <w:pageBreakBefore w:val="0"/>
              <w:wordWrap/>
              <w:autoSpaceDE w:val="0"/>
              <w:autoSpaceDN w:val="0"/>
              <w:bidi w:val="0"/>
              <w:adjustRightInd/>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69" w:type="dxa"/>
            <w:vAlign w:val="center"/>
          </w:tcPr>
          <w:p w14:paraId="7B27A1E3">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评标方法</w:t>
            </w:r>
          </w:p>
        </w:tc>
        <w:tc>
          <w:tcPr>
            <w:tcW w:w="1835" w:type="dxa"/>
            <w:vAlign w:val="center"/>
          </w:tcPr>
          <w:p w14:paraId="338EB345">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中标候选人排序方法</w:t>
            </w:r>
          </w:p>
        </w:tc>
        <w:tc>
          <w:tcPr>
            <w:tcW w:w="5765" w:type="dxa"/>
            <w:vAlign w:val="center"/>
          </w:tcPr>
          <w:p w14:paraId="07F1E71E">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各综合得分由高到低顺序排列，综合得分最高的投标人为第一中标候选人，综合得分次高的投标人为第二中标候选人，以此类推。各标段中标候选人顺序确定方法如下：综合评分相等时，以投标报价低的优先；投标报价也相等的，以</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方案得分高的优先；如果</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方案得分也相等，评标委员会视投标人情况综合比较，投票确定其名次，以“少数服从多数”的原则确定中标候选人的排序。</w:t>
            </w:r>
          </w:p>
        </w:tc>
      </w:tr>
      <w:tr w14:paraId="485AC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61" w:type="dxa"/>
            <w:vMerge w:val="restart"/>
            <w:vAlign w:val="center"/>
          </w:tcPr>
          <w:p w14:paraId="6B20C0C1">
            <w:pPr>
              <w:keepNext w:val="0"/>
              <w:keepLines w:val="0"/>
              <w:pageBreakBefore w:val="0"/>
              <w:wordWrap/>
              <w:autoSpaceDE w:val="0"/>
              <w:autoSpaceDN w:val="0"/>
              <w:bidi w:val="0"/>
              <w:adjustRightInd/>
              <w:snapToGrid w:val="0"/>
              <w:spacing w:line="360" w:lineRule="exact"/>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2.1</w:t>
            </w:r>
            <w:r>
              <w:rPr>
                <w:rFonts w:hint="eastAsia" w:ascii="宋体" w:hAnsi="宋体" w:eastAsia="宋体" w:cs="宋体"/>
                <w:color w:val="auto"/>
                <w:sz w:val="21"/>
                <w:szCs w:val="21"/>
                <w:highlight w:val="none"/>
              </w:rPr>
              <w:t>.1</w:t>
            </w:r>
          </w:p>
        </w:tc>
        <w:tc>
          <w:tcPr>
            <w:tcW w:w="1069" w:type="dxa"/>
            <w:vMerge w:val="restart"/>
            <w:vAlign w:val="center"/>
          </w:tcPr>
          <w:p w14:paraId="65F46364">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资格评审标准</w:t>
            </w:r>
          </w:p>
        </w:tc>
        <w:tc>
          <w:tcPr>
            <w:tcW w:w="1835" w:type="dxa"/>
            <w:vAlign w:val="center"/>
          </w:tcPr>
          <w:p w14:paraId="0DEA9BAF">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营业执照</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事业单位法人证书</w:t>
            </w:r>
          </w:p>
        </w:tc>
        <w:tc>
          <w:tcPr>
            <w:tcW w:w="5765" w:type="dxa"/>
            <w:vAlign w:val="center"/>
          </w:tcPr>
          <w:p w14:paraId="4BCD2283">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3.5.1 项规定</w:t>
            </w:r>
          </w:p>
        </w:tc>
      </w:tr>
      <w:tr w14:paraId="20182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61" w:type="dxa"/>
            <w:vMerge w:val="continue"/>
          </w:tcPr>
          <w:p w14:paraId="38AB0807">
            <w:pPr>
              <w:keepNext w:val="0"/>
              <w:keepLines w:val="0"/>
              <w:pageBreakBefore w:val="0"/>
              <w:wordWrap/>
              <w:autoSpaceDE w:val="0"/>
              <w:autoSpaceDN w:val="0"/>
              <w:bidi w:val="0"/>
              <w:adjustRightInd/>
              <w:snapToGrid w:val="0"/>
              <w:spacing w:line="360" w:lineRule="exact"/>
              <w:ind w:left="420"/>
              <w:textAlignment w:val="auto"/>
              <w:rPr>
                <w:rFonts w:hint="eastAsia" w:ascii="宋体" w:hAnsi="宋体" w:eastAsia="宋体" w:cs="宋体"/>
                <w:color w:val="auto"/>
                <w:sz w:val="21"/>
                <w:szCs w:val="21"/>
                <w:highlight w:val="none"/>
              </w:rPr>
            </w:pPr>
          </w:p>
        </w:tc>
        <w:tc>
          <w:tcPr>
            <w:tcW w:w="1069" w:type="dxa"/>
            <w:vMerge w:val="continue"/>
          </w:tcPr>
          <w:p w14:paraId="1D2035D7">
            <w:pPr>
              <w:keepNext w:val="0"/>
              <w:keepLines w:val="0"/>
              <w:pageBreakBefore w:val="0"/>
              <w:wordWrap/>
              <w:autoSpaceDE w:val="0"/>
              <w:autoSpaceDN w:val="0"/>
              <w:bidi w:val="0"/>
              <w:adjustRightInd/>
              <w:snapToGrid w:val="0"/>
              <w:spacing w:line="360" w:lineRule="exact"/>
              <w:ind w:left="144"/>
              <w:textAlignment w:val="auto"/>
              <w:rPr>
                <w:rFonts w:hint="eastAsia" w:ascii="宋体" w:hAnsi="宋体" w:eastAsia="宋体" w:cs="宋体"/>
                <w:color w:val="auto"/>
                <w:spacing w:val="-2"/>
                <w:sz w:val="21"/>
                <w:szCs w:val="21"/>
                <w:highlight w:val="none"/>
              </w:rPr>
            </w:pPr>
          </w:p>
        </w:tc>
        <w:tc>
          <w:tcPr>
            <w:tcW w:w="1835" w:type="dxa"/>
            <w:vAlign w:val="center"/>
          </w:tcPr>
          <w:p w14:paraId="38EA4955">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项目负责人</w:t>
            </w:r>
          </w:p>
        </w:tc>
        <w:tc>
          <w:tcPr>
            <w:tcW w:w="5765" w:type="dxa"/>
            <w:vAlign w:val="center"/>
          </w:tcPr>
          <w:p w14:paraId="337F93F7">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1.4.1 项规定</w:t>
            </w:r>
          </w:p>
        </w:tc>
      </w:tr>
      <w:tr w14:paraId="3E3BC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61" w:type="dxa"/>
            <w:vMerge w:val="continue"/>
          </w:tcPr>
          <w:p w14:paraId="173766D8">
            <w:pPr>
              <w:keepNext w:val="0"/>
              <w:keepLines w:val="0"/>
              <w:pageBreakBefore w:val="0"/>
              <w:wordWrap/>
              <w:autoSpaceDE w:val="0"/>
              <w:autoSpaceDN w:val="0"/>
              <w:bidi w:val="0"/>
              <w:adjustRightInd/>
              <w:snapToGrid w:val="0"/>
              <w:spacing w:line="360" w:lineRule="exact"/>
              <w:ind w:left="420"/>
              <w:textAlignment w:val="auto"/>
              <w:rPr>
                <w:rFonts w:hint="eastAsia" w:ascii="宋体" w:hAnsi="宋体" w:eastAsia="宋体" w:cs="宋体"/>
                <w:color w:val="auto"/>
                <w:sz w:val="21"/>
                <w:szCs w:val="21"/>
                <w:highlight w:val="none"/>
              </w:rPr>
            </w:pPr>
          </w:p>
        </w:tc>
        <w:tc>
          <w:tcPr>
            <w:tcW w:w="1069" w:type="dxa"/>
            <w:vMerge w:val="continue"/>
          </w:tcPr>
          <w:p w14:paraId="0D42C72D">
            <w:pPr>
              <w:keepNext w:val="0"/>
              <w:keepLines w:val="0"/>
              <w:pageBreakBefore w:val="0"/>
              <w:wordWrap/>
              <w:autoSpaceDE w:val="0"/>
              <w:autoSpaceDN w:val="0"/>
              <w:bidi w:val="0"/>
              <w:adjustRightInd/>
              <w:snapToGrid w:val="0"/>
              <w:spacing w:line="360" w:lineRule="exact"/>
              <w:ind w:left="144"/>
              <w:textAlignment w:val="auto"/>
              <w:rPr>
                <w:rFonts w:hint="eastAsia" w:ascii="宋体" w:hAnsi="宋体" w:eastAsia="宋体" w:cs="宋体"/>
                <w:color w:val="auto"/>
                <w:spacing w:val="-2"/>
                <w:sz w:val="21"/>
                <w:szCs w:val="21"/>
                <w:highlight w:val="none"/>
              </w:rPr>
            </w:pPr>
          </w:p>
        </w:tc>
        <w:tc>
          <w:tcPr>
            <w:tcW w:w="1835" w:type="dxa"/>
            <w:vAlign w:val="center"/>
          </w:tcPr>
          <w:p w14:paraId="08015B6A">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联合体投标人</w:t>
            </w:r>
          </w:p>
        </w:tc>
        <w:tc>
          <w:tcPr>
            <w:tcW w:w="5765" w:type="dxa"/>
            <w:vAlign w:val="center"/>
          </w:tcPr>
          <w:p w14:paraId="6133E0CC">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1.4.2 项规定</w:t>
            </w:r>
          </w:p>
        </w:tc>
      </w:tr>
      <w:tr w14:paraId="6F98F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61" w:type="dxa"/>
            <w:vMerge w:val="continue"/>
          </w:tcPr>
          <w:p w14:paraId="02C4C119">
            <w:pPr>
              <w:keepNext w:val="0"/>
              <w:keepLines w:val="0"/>
              <w:pageBreakBefore w:val="0"/>
              <w:wordWrap/>
              <w:autoSpaceDE w:val="0"/>
              <w:autoSpaceDN w:val="0"/>
              <w:bidi w:val="0"/>
              <w:adjustRightInd/>
              <w:snapToGrid w:val="0"/>
              <w:spacing w:line="360" w:lineRule="exact"/>
              <w:ind w:left="420"/>
              <w:textAlignment w:val="auto"/>
              <w:rPr>
                <w:rFonts w:hint="eastAsia" w:ascii="宋体" w:hAnsi="宋体" w:eastAsia="宋体" w:cs="宋体"/>
                <w:color w:val="auto"/>
                <w:sz w:val="21"/>
                <w:szCs w:val="21"/>
                <w:highlight w:val="none"/>
              </w:rPr>
            </w:pPr>
          </w:p>
        </w:tc>
        <w:tc>
          <w:tcPr>
            <w:tcW w:w="1069" w:type="dxa"/>
            <w:vMerge w:val="continue"/>
          </w:tcPr>
          <w:p w14:paraId="5711A8C6">
            <w:pPr>
              <w:keepNext w:val="0"/>
              <w:keepLines w:val="0"/>
              <w:pageBreakBefore w:val="0"/>
              <w:wordWrap/>
              <w:autoSpaceDE w:val="0"/>
              <w:autoSpaceDN w:val="0"/>
              <w:bidi w:val="0"/>
              <w:adjustRightInd/>
              <w:snapToGrid w:val="0"/>
              <w:spacing w:line="360" w:lineRule="exact"/>
              <w:ind w:left="144"/>
              <w:textAlignment w:val="auto"/>
              <w:rPr>
                <w:rFonts w:hint="eastAsia" w:ascii="宋体" w:hAnsi="宋体" w:eastAsia="宋体" w:cs="宋体"/>
                <w:color w:val="auto"/>
                <w:spacing w:val="-2"/>
                <w:sz w:val="21"/>
                <w:szCs w:val="21"/>
                <w:highlight w:val="none"/>
              </w:rPr>
            </w:pPr>
          </w:p>
        </w:tc>
        <w:tc>
          <w:tcPr>
            <w:tcW w:w="1835" w:type="dxa"/>
            <w:vAlign w:val="center"/>
          </w:tcPr>
          <w:p w14:paraId="7B0C2A9F">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未被纳入失信联合惩戒名单且被限制参与相关项目投标的</w:t>
            </w:r>
          </w:p>
        </w:tc>
        <w:tc>
          <w:tcPr>
            <w:tcW w:w="5765" w:type="dxa"/>
            <w:vAlign w:val="center"/>
          </w:tcPr>
          <w:p w14:paraId="223AF64D">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失信联合惩戒名单以“信用广州”网站公布的“黑名单”为准。（提供查询结果网页截图，并加盖公章。）</w:t>
            </w:r>
          </w:p>
        </w:tc>
      </w:tr>
      <w:tr w14:paraId="43255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61" w:type="dxa"/>
            <w:vMerge w:val="continue"/>
          </w:tcPr>
          <w:p w14:paraId="5AC513F6">
            <w:pPr>
              <w:keepNext w:val="0"/>
              <w:keepLines w:val="0"/>
              <w:pageBreakBefore w:val="0"/>
              <w:wordWrap/>
              <w:autoSpaceDE w:val="0"/>
              <w:autoSpaceDN w:val="0"/>
              <w:bidi w:val="0"/>
              <w:adjustRightInd/>
              <w:snapToGrid w:val="0"/>
              <w:spacing w:line="360" w:lineRule="exact"/>
              <w:ind w:left="420"/>
              <w:textAlignment w:val="auto"/>
              <w:rPr>
                <w:rFonts w:hint="eastAsia" w:ascii="宋体" w:hAnsi="宋体" w:eastAsia="宋体" w:cs="宋体"/>
                <w:color w:val="auto"/>
                <w:sz w:val="21"/>
                <w:szCs w:val="21"/>
                <w:highlight w:val="none"/>
              </w:rPr>
            </w:pPr>
          </w:p>
        </w:tc>
        <w:tc>
          <w:tcPr>
            <w:tcW w:w="1069" w:type="dxa"/>
            <w:vMerge w:val="continue"/>
          </w:tcPr>
          <w:p w14:paraId="2CC2DBCB">
            <w:pPr>
              <w:keepNext w:val="0"/>
              <w:keepLines w:val="0"/>
              <w:pageBreakBefore w:val="0"/>
              <w:wordWrap/>
              <w:autoSpaceDE w:val="0"/>
              <w:autoSpaceDN w:val="0"/>
              <w:bidi w:val="0"/>
              <w:adjustRightInd/>
              <w:snapToGrid w:val="0"/>
              <w:spacing w:line="360" w:lineRule="exact"/>
              <w:ind w:left="144"/>
              <w:textAlignment w:val="auto"/>
              <w:rPr>
                <w:rFonts w:hint="eastAsia" w:ascii="宋体" w:hAnsi="宋体" w:eastAsia="宋体" w:cs="宋体"/>
                <w:color w:val="auto"/>
                <w:spacing w:val="-2"/>
                <w:sz w:val="21"/>
                <w:szCs w:val="21"/>
                <w:highlight w:val="none"/>
              </w:rPr>
            </w:pPr>
          </w:p>
        </w:tc>
        <w:tc>
          <w:tcPr>
            <w:tcW w:w="1835" w:type="dxa"/>
            <w:vAlign w:val="center"/>
          </w:tcPr>
          <w:p w14:paraId="79483CFB">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不存在禁止投标的情形</w:t>
            </w:r>
          </w:p>
        </w:tc>
        <w:tc>
          <w:tcPr>
            <w:tcW w:w="5765" w:type="dxa"/>
            <w:vAlign w:val="center"/>
          </w:tcPr>
          <w:p w14:paraId="0E1B3CC4">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rPr>
              <w:t>不存在第二章“投</w:t>
            </w:r>
            <w:r>
              <w:rPr>
                <w:rFonts w:hint="eastAsia" w:ascii="宋体" w:hAnsi="宋体" w:eastAsia="宋体" w:cs="宋体"/>
                <w:color w:val="auto"/>
                <w:spacing w:val="-2"/>
                <w:sz w:val="21"/>
                <w:szCs w:val="21"/>
                <w:highlight w:val="none"/>
              </w:rPr>
              <w:t>标人须知”第 1.4.3项规定的任何一种情形</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4"/>
                <w:sz w:val="21"/>
                <w:szCs w:val="21"/>
                <w:highlight w:val="none"/>
                <w:lang w:eastAsia="zh-CN"/>
              </w:rPr>
              <w:t>（提供投标人声明）</w:t>
            </w:r>
          </w:p>
        </w:tc>
      </w:tr>
      <w:tr w14:paraId="3B209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61" w:type="dxa"/>
            <w:vMerge w:val="restart"/>
            <w:vAlign w:val="center"/>
          </w:tcPr>
          <w:p w14:paraId="6E72A4A0">
            <w:pPr>
              <w:keepNext w:val="0"/>
              <w:keepLines w:val="0"/>
              <w:pageBreakBefore w:val="0"/>
              <w:wordWrap/>
              <w:autoSpaceDE w:val="0"/>
              <w:autoSpaceDN w:val="0"/>
              <w:bidi w:val="0"/>
              <w:adjustRightInd/>
              <w:snapToGrid w:val="0"/>
              <w:spacing w:line="360" w:lineRule="exact"/>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2.1.2</w:t>
            </w:r>
          </w:p>
        </w:tc>
        <w:tc>
          <w:tcPr>
            <w:tcW w:w="1069" w:type="dxa"/>
            <w:vMerge w:val="restart"/>
            <w:vAlign w:val="center"/>
          </w:tcPr>
          <w:p w14:paraId="700DBB6A">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商</w:t>
            </w:r>
            <w:r>
              <w:rPr>
                <w:rFonts w:hint="eastAsia" w:ascii="宋体" w:hAnsi="宋体" w:eastAsia="宋体" w:cs="宋体"/>
                <w:color w:val="auto"/>
                <w:kern w:val="0"/>
                <w:sz w:val="21"/>
                <w:szCs w:val="21"/>
                <w:highlight w:val="none"/>
                <w:lang w:val="zh-CN" w:eastAsia="zh-CN" w:bidi="ar-SA"/>
              </w:rPr>
              <w:t>务文件形式评审标准</w:t>
            </w:r>
          </w:p>
        </w:tc>
        <w:tc>
          <w:tcPr>
            <w:tcW w:w="1835" w:type="dxa"/>
            <w:vAlign w:val="center"/>
          </w:tcPr>
          <w:p w14:paraId="002668C4">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投标人名称</w:t>
            </w:r>
          </w:p>
        </w:tc>
        <w:tc>
          <w:tcPr>
            <w:tcW w:w="5765" w:type="dxa"/>
            <w:vAlign w:val="center"/>
          </w:tcPr>
          <w:p w14:paraId="1F09C3BB">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与营业执照</w:t>
            </w:r>
            <w:r>
              <w:rPr>
                <w:rFonts w:hint="eastAsia" w:ascii="宋体" w:hAnsi="宋体" w:eastAsia="宋体" w:cs="宋体"/>
                <w:color w:val="auto"/>
                <w:sz w:val="21"/>
                <w:szCs w:val="21"/>
                <w:highlight w:val="none"/>
              </w:rPr>
              <w:t>（或事业单位法人证书）</w:t>
            </w:r>
            <w:r>
              <w:rPr>
                <w:rFonts w:hint="eastAsia" w:ascii="宋体" w:hAnsi="宋体" w:eastAsia="宋体" w:cs="宋体"/>
                <w:color w:val="auto"/>
                <w:spacing w:val="-1"/>
                <w:sz w:val="21"/>
                <w:szCs w:val="21"/>
                <w:highlight w:val="none"/>
              </w:rPr>
              <w:t>一致</w:t>
            </w:r>
          </w:p>
        </w:tc>
      </w:tr>
      <w:tr w14:paraId="35072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61" w:type="dxa"/>
            <w:vMerge w:val="continue"/>
          </w:tcPr>
          <w:p w14:paraId="2CFFADC3">
            <w:pPr>
              <w:keepNext w:val="0"/>
              <w:keepLines w:val="0"/>
              <w:pageBreakBefore w:val="0"/>
              <w:wordWrap/>
              <w:autoSpaceDE w:val="0"/>
              <w:autoSpaceDN w:val="0"/>
              <w:bidi w:val="0"/>
              <w:adjustRightInd/>
              <w:snapToGrid w:val="0"/>
              <w:spacing w:line="360" w:lineRule="exact"/>
              <w:jc w:val="center"/>
              <w:textAlignment w:val="auto"/>
              <w:rPr>
                <w:rFonts w:hint="eastAsia" w:ascii="宋体" w:hAnsi="宋体" w:eastAsia="宋体" w:cs="宋体"/>
                <w:color w:val="auto"/>
                <w:spacing w:val="-1"/>
                <w:sz w:val="21"/>
                <w:szCs w:val="21"/>
                <w:highlight w:val="none"/>
              </w:rPr>
            </w:pPr>
          </w:p>
        </w:tc>
        <w:tc>
          <w:tcPr>
            <w:tcW w:w="1069" w:type="dxa"/>
            <w:vMerge w:val="continue"/>
          </w:tcPr>
          <w:p w14:paraId="75D9C2FC">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color w:val="auto"/>
                <w:sz w:val="21"/>
                <w:szCs w:val="21"/>
                <w:highlight w:val="none"/>
                <w:lang w:val="zh-CN"/>
              </w:rPr>
            </w:pPr>
          </w:p>
        </w:tc>
        <w:tc>
          <w:tcPr>
            <w:tcW w:w="1835" w:type="dxa"/>
            <w:vAlign w:val="center"/>
          </w:tcPr>
          <w:p w14:paraId="757D59CC">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投标人参加投标的意思表达清楚，投标人代表被授权有效</w:t>
            </w:r>
          </w:p>
        </w:tc>
        <w:tc>
          <w:tcPr>
            <w:tcW w:w="5765" w:type="dxa"/>
            <w:vAlign w:val="center"/>
          </w:tcPr>
          <w:p w14:paraId="7A00A5D9">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投标人声明、廉洁承诺书、法定代表人证明书；委托投标的还应提供法人授权委托证明书</w:t>
            </w:r>
          </w:p>
        </w:tc>
      </w:tr>
      <w:tr w14:paraId="3EEAF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61" w:type="dxa"/>
            <w:vMerge w:val="continue"/>
          </w:tcPr>
          <w:p w14:paraId="7B98B907">
            <w:pPr>
              <w:keepNext w:val="0"/>
              <w:keepLines w:val="0"/>
              <w:pageBreakBefore w:val="0"/>
              <w:wordWrap/>
              <w:autoSpaceDE w:val="0"/>
              <w:autoSpaceDN w:val="0"/>
              <w:bidi w:val="0"/>
              <w:adjustRightInd/>
              <w:snapToGrid w:val="0"/>
              <w:spacing w:line="360" w:lineRule="exact"/>
              <w:jc w:val="center"/>
              <w:textAlignment w:val="auto"/>
              <w:rPr>
                <w:rFonts w:hint="eastAsia" w:ascii="宋体" w:hAnsi="宋体" w:eastAsia="宋体" w:cs="宋体"/>
                <w:color w:val="auto"/>
                <w:spacing w:val="-1"/>
                <w:sz w:val="21"/>
                <w:szCs w:val="21"/>
                <w:highlight w:val="none"/>
              </w:rPr>
            </w:pPr>
          </w:p>
        </w:tc>
        <w:tc>
          <w:tcPr>
            <w:tcW w:w="1069" w:type="dxa"/>
            <w:vMerge w:val="continue"/>
          </w:tcPr>
          <w:p w14:paraId="3556DD26">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color w:val="auto"/>
                <w:sz w:val="21"/>
                <w:szCs w:val="21"/>
                <w:highlight w:val="none"/>
                <w:lang w:val="zh-CN"/>
              </w:rPr>
            </w:pPr>
          </w:p>
        </w:tc>
        <w:tc>
          <w:tcPr>
            <w:tcW w:w="1835" w:type="dxa"/>
            <w:vAlign w:val="center"/>
          </w:tcPr>
          <w:p w14:paraId="7347702D">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投标函及投标函附录签字盖章</w:t>
            </w:r>
          </w:p>
        </w:tc>
        <w:tc>
          <w:tcPr>
            <w:tcW w:w="5765" w:type="dxa"/>
            <w:vAlign w:val="center"/>
          </w:tcPr>
          <w:p w14:paraId="52D413E9">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pacing w:val="21"/>
                <w:sz w:val="21"/>
                <w:szCs w:val="21"/>
                <w:highlight w:val="none"/>
              </w:rPr>
            </w:pPr>
            <w:r>
              <w:rPr>
                <w:rFonts w:hint="eastAsia" w:ascii="宋体" w:hAnsi="宋体" w:eastAsia="宋体" w:cs="宋体"/>
                <w:color w:val="auto"/>
                <w:spacing w:val="21"/>
                <w:sz w:val="21"/>
                <w:szCs w:val="21"/>
                <w:highlight w:val="none"/>
              </w:rPr>
              <w:t>有</w:t>
            </w:r>
            <w:r>
              <w:rPr>
                <w:rFonts w:hint="eastAsia" w:ascii="宋体" w:hAnsi="宋体" w:eastAsia="宋体" w:cs="宋体"/>
                <w:color w:val="auto"/>
                <w:spacing w:val="12"/>
                <w:sz w:val="21"/>
                <w:szCs w:val="21"/>
                <w:highlight w:val="none"/>
              </w:rPr>
              <w:t>法定代表人或其委托代理人签字或加盖单位</w:t>
            </w:r>
            <w:r>
              <w:rPr>
                <w:rFonts w:hint="eastAsia" w:ascii="宋体" w:hAnsi="宋体" w:eastAsia="宋体" w:cs="宋体"/>
                <w:color w:val="auto"/>
                <w:spacing w:val="2"/>
                <w:sz w:val="21"/>
                <w:szCs w:val="21"/>
                <w:highlight w:val="none"/>
              </w:rPr>
              <w:t>章。由法定代表人签字的，应附法定代表人身</w:t>
            </w:r>
            <w:r>
              <w:rPr>
                <w:rFonts w:hint="eastAsia" w:ascii="宋体" w:hAnsi="宋体" w:eastAsia="宋体" w:cs="宋体"/>
                <w:color w:val="auto"/>
                <w:sz w:val="21"/>
                <w:szCs w:val="21"/>
                <w:highlight w:val="none"/>
              </w:rPr>
              <w:t>份</w:t>
            </w:r>
            <w:r>
              <w:rPr>
                <w:rFonts w:hint="eastAsia" w:ascii="宋体" w:hAnsi="宋体" w:eastAsia="宋体" w:cs="宋体"/>
                <w:color w:val="auto"/>
                <w:spacing w:val="-3"/>
                <w:sz w:val="21"/>
                <w:szCs w:val="21"/>
                <w:highlight w:val="none"/>
              </w:rPr>
              <w:t>证明，由代理人签字的，应附授权委托书，身</w:t>
            </w:r>
            <w:r>
              <w:rPr>
                <w:rFonts w:hint="eastAsia" w:ascii="宋体" w:hAnsi="宋体" w:eastAsia="宋体" w:cs="宋体"/>
                <w:color w:val="auto"/>
                <w:spacing w:val="-2"/>
                <w:sz w:val="21"/>
                <w:szCs w:val="21"/>
                <w:highlight w:val="none"/>
              </w:rPr>
              <w:t>份</w:t>
            </w:r>
            <w:r>
              <w:rPr>
                <w:rFonts w:hint="eastAsia" w:ascii="宋体" w:hAnsi="宋体" w:eastAsia="宋体" w:cs="宋体"/>
                <w:color w:val="auto"/>
                <w:spacing w:val="10"/>
                <w:sz w:val="21"/>
                <w:szCs w:val="21"/>
                <w:highlight w:val="none"/>
              </w:rPr>
              <w:t>证</w:t>
            </w:r>
            <w:r>
              <w:rPr>
                <w:rFonts w:hint="eastAsia" w:ascii="宋体" w:hAnsi="宋体" w:eastAsia="宋体" w:cs="宋体"/>
                <w:color w:val="auto"/>
                <w:spacing w:val="5"/>
                <w:sz w:val="21"/>
                <w:szCs w:val="21"/>
                <w:highlight w:val="none"/>
              </w:rPr>
              <w:t>明或授权委托书应符合第六章“投标文件格式”</w:t>
            </w:r>
            <w:r>
              <w:rPr>
                <w:rFonts w:hint="eastAsia" w:ascii="宋体" w:hAnsi="宋体" w:eastAsia="宋体" w:cs="宋体"/>
                <w:color w:val="auto"/>
                <w:spacing w:val="-7"/>
                <w:sz w:val="21"/>
                <w:szCs w:val="21"/>
                <w:highlight w:val="none"/>
              </w:rPr>
              <w:t>的</w:t>
            </w:r>
            <w:r>
              <w:rPr>
                <w:rFonts w:hint="eastAsia" w:ascii="宋体" w:hAnsi="宋体" w:eastAsia="宋体" w:cs="宋体"/>
                <w:color w:val="auto"/>
                <w:spacing w:val="-5"/>
                <w:sz w:val="21"/>
                <w:szCs w:val="21"/>
                <w:highlight w:val="none"/>
              </w:rPr>
              <w:t>规定</w:t>
            </w:r>
          </w:p>
        </w:tc>
      </w:tr>
      <w:tr w14:paraId="04216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61" w:type="dxa"/>
            <w:vMerge w:val="continue"/>
          </w:tcPr>
          <w:p w14:paraId="2403B06C">
            <w:pPr>
              <w:keepNext w:val="0"/>
              <w:keepLines w:val="0"/>
              <w:pageBreakBefore w:val="0"/>
              <w:wordWrap/>
              <w:autoSpaceDE w:val="0"/>
              <w:autoSpaceDN w:val="0"/>
              <w:bidi w:val="0"/>
              <w:adjustRightInd/>
              <w:snapToGrid w:val="0"/>
              <w:spacing w:line="360" w:lineRule="exact"/>
              <w:jc w:val="center"/>
              <w:textAlignment w:val="auto"/>
              <w:rPr>
                <w:rFonts w:hint="eastAsia" w:ascii="宋体" w:hAnsi="宋体" w:eastAsia="宋体" w:cs="宋体"/>
                <w:color w:val="auto"/>
                <w:spacing w:val="-1"/>
                <w:sz w:val="21"/>
                <w:szCs w:val="21"/>
                <w:highlight w:val="none"/>
              </w:rPr>
            </w:pPr>
          </w:p>
        </w:tc>
        <w:tc>
          <w:tcPr>
            <w:tcW w:w="1069" w:type="dxa"/>
            <w:vMerge w:val="continue"/>
          </w:tcPr>
          <w:p w14:paraId="76AF1908">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color w:val="auto"/>
                <w:sz w:val="21"/>
                <w:szCs w:val="21"/>
                <w:highlight w:val="none"/>
                <w:lang w:val="zh-CN"/>
              </w:rPr>
            </w:pPr>
          </w:p>
        </w:tc>
        <w:tc>
          <w:tcPr>
            <w:tcW w:w="1835" w:type="dxa"/>
            <w:vAlign w:val="center"/>
          </w:tcPr>
          <w:p w14:paraId="4C2CD234">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投标文件格式</w:t>
            </w:r>
          </w:p>
        </w:tc>
        <w:tc>
          <w:tcPr>
            <w:tcW w:w="5765" w:type="dxa"/>
            <w:vAlign w:val="center"/>
          </w:tcPr>
          <w:p w14:paraId="0B0D6A9E">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符合第六章“投标文件格</w:t>
            </w:r>
            <w:r>
              <w:rPr>
                <w:rFonts w:hint="eastAsia" w:ascii="宋体" w:hAnsi="宋体" w:eastAsia="宋体" w:cs="宋体"/>
                <w:color w:val="auto"/>
                <w:sz w:val="21"/>
                <w:szCs w:val="21"/>
                <w:highlight w:val="none"/>
              </w:rPr>
              <w:t>式”的规定</w:t>
            </w:r>
          </w:p>
        </w:tc>
      </w:tr>
      <w:tr w14:paraId="06BAA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61" w:type="dxa"/>
            <w:vMerge w:val="continue"/>
          </w:tcPr>
          <w:p w14:paraId="1403F818">
            <w:pPr>
              <w:keepNext w:val="0"/>
              <w:keepLines w:val="0"/>
              <w:pageBreakBefore w:val="0"/>
              <w:wordWrap/>
              <w:autoSpaceDE w:val="0"/>
              <w:autoSpaceDN w:val="0"/>
              <w:bidi w:val="0"/>
              <w:adjustRightInd/>
              <w:snapToGrid w:val="0"/>
              <w:spacing w:line="360" w:lineRule="exact"/>
              <w:jc w:val="center"/>
              <w:textAlignment w:val="auto"/>
              <w:rPr>
                <w:rFonts w:hint="eastAsia" w:ascii="宋体" w:hAnsi="宋体" w:eastAsia="宋体" w:cs="宋体"/>
                <w:color w:val="auto"/>
                <w:spacing w:val="-1"/>
                <w:sz w:val="21"/>
                <w:szCs w:val="21"/>
                <w:highlight w:val="none"/>
              </w:rPr>
            </w:pPr>
          </w:p>
        </w:tc>
        <w:tc>
          <w:tcPr>
            <w:tcW w:w="1069" w:type="dxa"/>
            <w:vMerge w:val="continue"/>
          </w:tcPr>
          <w:p w14:paraId="74C13911">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color w:val="auto"/>
                <w:sz w:val="21"/>
                <w:szCs w:val="21"/>
                <w:highlight w:val="none"/>
                <w:lang w:val="zh-CN"/>
              </w:rPr>
            </w:pPr>
          </w:p>
        </w:tc>
        <w:tc>
          <w:tcPr>
            <w:tcW w:w="1835" w:type="dxa"/>
            <w:vAlign w:val="center"/>
          </w:tcPr>
          <w:p w14:paraId="7CEA9A9B">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备选投标方案</w:t>
            </w:r>
          </w:p>
        </w:tc>
        <w:tc>
          <w:tcPr>
            <w:tcW w:w="5765" w:type="dxa"/>
            <w:vAlign w:val="center"/>
          </w:tcPr>
          <w:p w14:paraId="5F3F96AF">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除招标文件明确允许提交备选投标方案外，投标人不得提交备选投标方案</w:t>
            </w:r>
          </w:p>
        </w:tc>
      </w:tr>
      <w:tr w14:paraId="34A5A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61" w:type="dxa"/>
            <w:vMerge w:val="continue"/>
          </w:tcPr>
          <w:p w14:paraId="0820E975">
            <w:pPr>
              <w:keepNext w:val="0"/>
              <w:keepLines w:val="0"/>
              <w:pageBreakBefore w:val="0"/>
              <w:wordWrap/>
              <w:autoSpaceDE w:val="0"/>
              <w:autoSpaceDN w:val="0"/>
              <w:bidi w:val="0"/>
              <w:adjustRightInd/>
              <w:snapToGrid w:val="0"/>
              <w:spacing w:line="360" w:lineRule="exact"/>
              <w:jc w:val="center"/>
              <w:textAlignment w:val="auto"/>
              <w:rPr>
                <w:rFonts w:hint="eastAsia" w:ascii="宋体" w:hAnsi="宋体" w:eastAsia="宋体" w:cs="宋体"/>
                <w:color w:val="auto"/>
                <w:spacing w:val="-1"/>
                <w:sz w:val="21"/>
                <w:szCs w:val="21"/>
                <w:highlight w:val="none"/>
              </w:rPr>
            </w:pPr>
          </w:p>
        </w:tc>
        <w:tc>
          <w:tcPr>
            <w:tcW w:w="1069" w:type="dxa"/>
            <w:vMerge w:val="continue"/>
          </w:tcPr>
          <w:p w14:paraId="61C6613A">
            <w:pPr>
              <w:keepNext w:val="0"/>
              <w:keepLines w:val="0"/>
              <w:pageBreakBefore w:val="0"/>
              <w:wordWrap/>
              <w:autoSpaceDE w:val="0"/>
              <w:autoSpaceDN w:val="0"/>
              <w:bidi w:val="0"/>
              <w:adjustRightInd/>
              <w:snapToGrid w:val="0"/>
              <w:spacing w:line="360" w:lineRule="exact"/>
              <w:textAlignment w:val="auto"/>
              <w:rPr>
                <w:rFonts w:hint="eastAsia" w:ascii="宋体" w:hAnsi="宋体" w:eastAsia="宋体" w:cs="宋体"/>
                <w:color w:val="auto"/>
                <w:sz w:val="21"/>
                <w:szCs w:val="21"/>
                <w:highlight w:val="none"/>
              </w:rPr>
            </w:pPr>
          </w:p>
        </w:tc>
        <w:tc>
          <w:tcPr>
            <w:tcW w:w="1835" w:type="dxa"/>
            <w:vAlign w:val="center"/>
          </w:tcPr>
          <w:p w14:paraId="22298213">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投标人机器码</w:t>
            </w:r>
          </w:p>
        </w:tc>
        <w:tc>
          <w:tcPr>
            <w:tcW w:w="5765" w:type="dxa"/>
            <w:vAlign w:val="center"/>
          </w:tcPr>
          <w:p w14:paraId="41DBD1B8">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投标人与本项目其他投标人加密打包投标文件电脑机器特征码不一致的(以广州交易集团有限公司（广州公共资源交易中心）交易平台开标系统的检索信息为准)</w:t>
            </w:r>
          </w:p>
        </w:tc>
      </w:tr>
      <w:tr w14:paraId="18742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61" w:type="dxa"/>
            <w:vMerge w:val="restart"/>
            <w:vAlign w:val="center"/>
          </w:tcPr>
          <w:p w14:paraId="726DC4B5">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2.1.3</w:t>
            </w:r>
          </w:p>
        </w:tc>
        <w:tc>
          <w:tcPr>
            <w:tcW w:w="1069" w:type="dxa"/>
            <w:vMerge w:val="restart"/>
            <w:vAlign w:val="center"/>
          </w:tcPr>
          <w:p w14:paraId="37E8C71D">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商务文件响应性评审标准</w:t>
            </w:r>
          </w:p>
        </w:tc>
        <w:tc>
          <w:tcPr>
            <w:tcW w:w="1835" w:type="dxa"/>
            <w:vAlign w:val="center"/>
          </w:tcPr>
          <w:p w14:paraId="75AAE120">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5765" w:type="dxa"/>
            <w:vAlign w:val="center"/>
          </w:tcPr>
          <w:p w14:paraId="7B4642A0">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符合第二章“投标人须知”第 3.2 款规</w:t>
            </w:r>
            <w:r>
              <w:rPr>
                <w:rFonts w:hint="eastAsia" w:ascii="宋体" w:hAnsi="宋体" w:eastAsia="宋体" w:cs="宋体"/>
                <w:color w:val="auto"/>
                <w:spacing w:val="-2"/>
                <w:sz w:val="21"/>
                <w:szCs w:val="21"/>
                <w:highlight w:val="none"/>
              </w:rPr>
              <w:t>定</w:t>
            </w:r>
          </w:p>
        </w:tc>
      </w:tr>
      <w:tr w14:paraId="7C878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61" w:type="dxa"/>
            <w:vMerge w:val="continue"/>
          </w:tcPr>
          <w:p w14:paraId="77ED440B">
            <w:pPr>
              <w:keepNext w:val="0"/>
              <w:keepLines w:val="0"/>
              <w:pageBreakBefore w:val="0"/>
              <w:wordWrap/>
              <w:autoSpaceDE w:val="0"/>
              <w:autoSpaceDN w:val="0"/>
              <w:bidi w:val="0"/>
              <w:adjustRightInd/>
              <w:snapToGrid w:val="0"/>
              <w:spacing w:line="360" w:lineRule="exact"/>
              <w:textAlignment w:val="auto"/>
              <w:rPr>
                <w:rFonts w:hint="eastAsia" w:ascii="宋体" w:hAnsi="宋体" w:eastAsia="宋体" w:cs="宋体"/>
                <w:color w:val="auto"/>
                <w:sz w:val="21"/>
                <w:szCs w:val="21"/>
                <w:highlight w:val="none"/>
              </w:rPr>
            </w:pPr>
          </w:p>
        </w:tc>
        <w:tc>
          <w:tcPr>
            <w:tcW w:w="1069" w:type="dxa"/>
            <w:vMerge w:val="continue"/>
          </w:tcPr>
          <w:p w14:paraId="2BE45C25">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p>
        </w:tc>
        <w:tc>
          <w:tcPr>
            <w:tcW w:w="1835" w:type="dxa"/>
            <w:vAlign w:val="center"/>
          </w:tcPr>
          <w:p w14:paraId="03A07DDD">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投标内容</w:t>
            </w:r>
          </w:p>
        </w:tc>
        <w:tc>
          <w:tcPr>
            <w:tcW w:w="5765" w:type="dxa"/>
            <w:vAlign w:val="center"/>
          </w:tcPr>
          <w:p w14:paraId="6A2FD134">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符合第二章“投</w:t>
            </w:r>
            <w:r>
              <w:rPr>
                <w:rFonts w:hint="eastAsia" w:ascii="宋体" w:hAnsi="宋体" w:eastAsia="宋体" w:cs="宋体"/>
                <w:color w:val="auto"/>
                <w:spacing w:val="-2"/>
                <w:sz w:val="21"/>
                <w:szCs w:val="21"/>
                <w:highlight w:val="none"/>
              </w:rPr>
              <w:t>标人须知”第 1.3.1 项规定</w:t>
            </w:r>
          </w:p>
        </w:tc>
      </w:tr>
      <w:tr w14:paraId="4E1FC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61" w:type="dxa"/>
            <w:vMerge w:val="continue"/>
          </w:tcPr>
          <w:p w14:paraId="405F82B4">
            <w:pPr>
              <w:keepNext w:val="0"/>
              <w:keepLines w:val="0"/>
              <w:pageBreakBefore w:val="0"/>
              <w:wordWrap/>
              <w:autoSpaceDE w:val="0"/>
              <w:autoSpaceDN w:val="0"/>
              <w:bidi w:val="0"/>
              <w:adjustRightInd/>
              <w:snapToGrid w:val="0"/>
              <w:spacing w:line="360" w:lineRule="exact"/>
              <w:textAlignment w:val="auto"/>
              <w:rPr>
                <w:rFonts w:hint="eastAsia" w:ascii="宋体" w:hAnsi="宋体" w:eastAsia="宋体" w:cs="宋体"/>
                <w:color w:val="auto"/>
                <w:sz w:val="21"/>
                <w:szCs w:val="21"/>
                <w:highlight w:val="none"/>
              </w:rPr>
            </w:pPr>
          </w:p>
        </w:tc>
        <w:tc>
          <w:tcPr>
            <w:tcW w:w="1069" w:type="dxa"/>
            <w:vMerge w:val="continue"/>
          </w:tcPr>
          <w:p w14:paraId="6FE8527A">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p>
        </w:tc>
        <w:tc>
          <w:tcPr>
            <w:tcW w:w="1835" w:type="dxa"/>
            <w:vAlign w:val="center"/>
          </w:tcPr>
          <w:p w14:paraId="5A0C12F0">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服务期限</w:t>
            </w:r>
          </w:p>
        </w:tc>
        <w:tc>
          <w:tcPr>
            <w:tcW w:w="5765" w:type="dxa"/>
            <w:vAlign w:val="center"/>
          </w:tcPr>
          <w:p w14:paraId="0E73893A">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符合第二章“投</w:t>
            </w:r>
            <w:r>
              <w:rPr>
                <w:rFonts w:hint="eastAsia" w:ascii="宋体" w:hAnsi="宋体" w:eastAsia="宋体" w:cs="宋体"/>
                <w:color w:val="auto"/>
                <w:spacing w:val="-2"/>
                <w:sz w:val="21"/>
                <w:szCs w:val="21"/>
                <w:highlight w:val="none"/>
              </w:rPr>
              <w:t>标人须知”第 1.3.2 项规定</w:t>
            </w:r>
          </w:p>
        </w:tc>
      </w:tr>
      <w:tr w14:paraId="456AC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61" w:type="dxa"/>
            <w:vMerge w:val="continue"/>
          </w:tcPr>
          <w:p w14:paraId="4CDBBCCB">
            <w:pPr>
              <w:keepNext w:val="0"/>
              <w:keepLines w:val="0"/>
              <w:pageBreakBefore w:val="0"/>
              <w:wordWrap/>
              <w:autoSpaceDE w:val="0"/>
              <w:autoSpaceDN w:val="0"/>
              <w:bidi w:val="0"/>
              <w:adjustRightInd/>
              <w:snapToGrid w:val="0"/>
              <w:spacing w:line="360" w:lineRule="exact"/>
              <w:textAlignment w:val="auto"/>
              <w:rPr>
                <w:rFonts w:hint="eastAsia" w:ascii="宋体" w:hAnsi="宋体" w:eastAsia="宋体" w:cs="宋体"/>
                <w:color w:val="auto"/>
                <w:sz w:val="21"/>
                <w:szCs w:val="21"/>
                <w:highlight w:val="none"/>
              </w:rPr>
            </w:pPr>
          </w:p>
        </w:tc>
        <w:tc>
          <w:tcPr>
            <w:tcW w:w="1069" w:type="dxa"/>
            <w:vMerge w:val="continue"/>
          </w:tcPr>
          <w:p w14:paraId="487C31A9">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p>
        </w:tc>
        <w:tc>
          <w:tcPr>
            <w:tcW w:w="1835" w:type="dxa"/>
            <w:vAlign w:val="center"/>
          </w:tcPr>
          <w:p w14:paraId="1D258668">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质量标准</w:t>
            </w:r>
          </w:p>
        </w:tc>
        <w:tc>
          <w:tcPr>
            <w:tcW w:w="5765" w:type="dxa"/>
            <w:vAlign w:val="center"/>
          </w:tcPr>
          <w:p w14:paraId="0CAEDDDF">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符合第二章“投</w:t>
            </w:r>
            <w:r>
              <w:rPr>
                <w:rFonts w:hint="eastAsia" w:ascii="宋体" w:hAnsi="宋体" w:eastAsia="宋体" w:cs="宋体"/>
                <w:color w:val="auto"/>
                <w:spacing w:val="-2"/>
                <w:sz w:val="21"/>
                <w:szCs w:val="21"/>
                <w:highlight w:val="none"/>
              </w:rPr>
              <w:t>标人须知”第 1.3.3 项规定</w:t>
            </w:r>
          </w:p>
        </w:tc>
      </w:tr>
      <w:tr w14:paraId="4DDC5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61" w:type="dxa"/>
            <w:vMerge w:val="continue"/>
          </w:tcPr>
          <w:p w14:paraId="7D539F5F">
            <w:pPr>
              <w:keepNext w:val="0"/>
              <w:keepLines w:val="0"/>
              <w:pageBreakBefore w:val="0"/>
              <w:wordWrap/>
              <w:autoSpaceDE w:val="0"/>
              <w:autoSpaceDN w:val="0"/>
              <w:bidi w:val="0"/>
              <w:adjustRightInd/>
              <w:snapToGrid w:val="0"/>
              <w:spacing w:line="360" w:lineRule="exact"/>
              <w:textAlignment w:val="auto"/>
              <w:rPr>
                <w:rFonts w:hint="eastAsia" w:ascii="宋体" w:hAnsi="宋体" w:eastAsia="宋体" w:cs="宋体"/>
                <w:color w:val="auto"/>
                <w:sz w:val="21"/>
                <w:szCs w:val="21"/>
                <w:highlight w:val="none"/>
              </w:rPr>
            </w:pPr>
          </w:p>
        </w:tc>
        <w:tc>
          <w:tcPr>
            <w:tcW w:w="1069" w:type="dxa"/>
            <w:vMerge w:val="continue"/>
          </w:tcPr>
          <w:p w14:paraId="44331BA9">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p>
        </w:tc>
        <w:tc>
          <w:tcPr>
            <w:tcW w:w="1835" w:type="dxa"/>
            <w:vAlign w:val="center"/>
          </w:tcPr>
          <w:p w14:paraId="073A5FD7">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投标有效期</w:t>
            </w:r>
          </w:p>
        </w:tc>
        <w:tc>
          <w:tcPr>
            <w:tcW w:w="5765" w:type="dxa"/>
            <w:vAlign w:val="center"/>
          </w:tcPr>
          <w:p w14:paraId="7D3C30A7">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符合第二章“投</w:t>
            </w:r>
            <w:r>
              <w:rPr>
                <w:rFonts w:hint="eastAsia" w:ascii="宋体" w:hAnsi="宋体" w:eastAsia="宋体" w:cs="宋体"/>
                <w:color w:val="auto"/>
                <w:spacing w:val="-2"/>
                <w:sz w:val="21"/>
                <w:szCs w:val="21"/>
                <w:highlight w:val="none"/>
              </w:rPr>
              <w:t>标人须知”第 3.3.1 项规定</w:t>
            </w:r>
          </w:p>
        </w:tc>
      </w:tr>
      <w:tr w14:paraId="5E291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61" w:type="dxa"/>
            <w:vMerge w:val="continue"/>
          </w:tcPr>
          <w:p w14:paraId="16288DF8">
            <w:pPr>
              <w:keepNext w:val="0"/>
              <w:keepLines w:val="0"/>
              <w:pageBreakBefore w:val="0"/>
              <w:wordWrap/>
              <w:autoSpaceDE w:val="0"/>
              <w:autoSpaceDN w:val="0"/>
              <w:bidi w:val="0"/>
              <w:adjustRightInd/>
              <w:snapToGrid w:val="0"/>
              <w:spacing w:line="360" w:lineRule="exact"/>
              <w:textAlignment w:val="auto"/>
              <w:rPr>
                <w:rFonts w:hint="eastAsia" w:ascii="宋体" w:hAnsi="宋体" w:eastAsia="宋体" w:cs="宋体"/>
                <w:color w:val="auto"/>
                <w:sz w:val="21"/>
                <w:szCs w:val="21"/>
                <w:highlight w:val="none"/>
              </w:rPr>
            </w:pPr>
          </w:p>
        </w:tc>
        <w:tc>
          <w:tcPr>
            <w:tcW w:w="1069" w:type="dxa"/>
            <w:vMerge w:val="continue"/>
          </w:tcPr>
          <w:p w14:paraId="6E303D66">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p>
        </w:tc>
        <w:tc>
          <w:tcPr>
            <w:tcW w:w="1835" w:type="dxa"/>
            <w:vAlign w:val="center"/>
          </w:tcPr>
          <w:p w14:paraId="04FA018E">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其他否决情形</w:t>
            </w:r>
          </w:p>
        </w:tc>
        <w:tc>
          <w:tcPr>
            <w:tcW w:w="5765" w:type="dxa"/>
            <w:vAlign w:val="center"/>
          </w:tcPr>
          <w:p w14:paraId="328C0206">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‌投标人不存在法律法规和招标文件规定的其他否决情形</w:t>
            </w:r>
          </w:p>
        </w:tc>
      </w:tr>
      <w:tr w14:paraId="608F4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61" w:type="dxa"/>
            <w:vMerge w:val="restart"/>
            <w:vAlign w:val="center"/>
          </w:tcPr>
          <w:p w14:paraId="6EE9CD05">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2.1</w:t>
            </w:r>
            <w:r>
              <w:rPr>
                <w:rFonts w:hint="eastAsia" w:ascii="宋体" w:hAnsi="宋体" w:eastAsia="宋体" w:cs="宋体"/>
                <w:color w:val="auto"/>
                <w:spacing w:val="-1"/>
                <w:sz w:val="21"/>
                <w:szCs w:val="21"/>
                <w:highlight w:val="none"/>
                <w:lang w:val="en-US" w:eastAsia="zh-CN"/>
              </w:rPr>
              <w:t>.</w:t>
            </w:r>
            <w:r>
              <w:rPr>
                <w:rFonts w:hint="eastAsia" w:ascii="宋体" w:hAnsi="宋体" w:eastAsia="宋体" w:cs="宋体"/>
                <w:color w:val="auto"/>
                <w:spacing w:val="-1"/>
                <w:sz w:val="21"/>
                <w:szCs w:val="21"/>
                <w:highlight w:val="none"/>
              </w:rPr>
              <w:t>4</w:t>
            </w:r>
          </w:p>
        </w:tc>
        <w:tc>
          <w:tcPr>
            <w:tcW w:w="1069" w:type="dxa"/>
            <w:vMerge w:val="restart"/>
            <w:vAlign w:val="center"/>
          </w:tcPr>
          <w:p w14:paraId="5ED03D6D">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服务</w:t>
            </w:r>
            <w:r>
              <w:rPr>
                <w:rFonts w:hint="eastAsia" w:ascii="宋体" w:hAnsi="宋体" w:eastAsia="宋体" w:cs="宋体"/>
                <w:color w:val="auto"/>
                <w:sz w:val="21"/>
                <w:szCs w:val="21"/>
                <w:highlight w:val="none"/>
                <w:lang w:val="zh-CN"/>
              </w:rPr>
              <w:t>方案响应性评审标准</w:t>
            </w:r>
          </w:p>
        </w:tc>
        <w:tc>
          <w:tcPr>
            <w:tcW w:w="1835" w:type="dxa"/>
            <w:vAlign w:val="center"/>
          </w:tcPr>
          <w:p w14:paraId="2D1A27E7">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编制要求</w:t>
            </w:r>
          </w:p>
        </w:tc>
        <w:tc>
          <w:tcPr>
            <w:tcW w:w="5765" w:type="dxa"/>
            <w:vAlign w:val="center"/>
          </w:tcPr>
          <w:p w14:paraId="0CE7F3DA">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未发现投标人在技术文件</w:t>
            </w:r>
            <w:r>
              <w:rPr>
                <w:rFonts w:hint="eastAsia" w:ascii="宋体" w:hAnsi="宋体" w:eastAsia="宋体" w:cs="宋体"/>
                <w:color w:val="auto"/>
                <w:sz w:val="21"/>
                <w:szCs w:val="21"/>
                <w:highlight w:val="none"/>
                <w:lang w:eastAsia="zh-CN"/>
              </w:rPr>
              <w:t>（服务方案）</w:t>
            </w:r>
            <w:r>
              <w:rPr>
                <w:rFonts w:hint="eastAsia" w:ascii="宋体" w:hAnsi="宋体" w:eastAsia="宋体" w:cs="宋体"/>
                <w:color w:val="auto"/>
                <w:sz w:val="21"/>
                <w:szCs w:val="21"/>
                <w:highlight w:val="none"/>
              </w:rPr>
              <w:t>内标注名称、印章、商标、图形等记认符号，使人辨认出投标人或其专业技术人员的身份</w:t>
            </w:r>
          </w:p>
        </w:tc>
      </w:tr>
      <w:tr w14:paraId="2950B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61" w:type="dxa"/>
            <w:vMerge w:val="continue"/>
            <w:vAlign w:val="top"/>
          </w:tcPr>
          <w:p w14:paraId="154A7415">
            <w:pPr>
              <w:keepNext w:val="0"/>
              <w:keepLines w:val="0"/>
              <w:pageBreakBefore w:val="0"/>
              <w:wordWrap/>
              <w:autoSpaceDE w:val="0"/>
              <w:autoSpaceDN w:val="0"/>
              <w:bidi w:val="0"/>
              <w:adjustRightInd/>
              <w:snapToGrid w:val="0"/>
              <w:spacing w:line="360" w:lineRule="exact"/>
              <w:textAlignment w:val="auto"/>
              <w:rPr>
                <w:rFonts w:hint="eastAsia" w:ascii="宋体" w:hAnsi="宋体" w:eastAsia="宋体" w:cs="宋体"/>
                <w:color w:val="auto"/>
                <w:sz w:val="21"/>
                <w:szCs w:val="21"/>
                <w:highlight w:val="none"/>
              </w:rPr>
            </w:pPr>
          </w:p>
        </w:tc>
        <w:tc>
          <w:tcPr>
            <w:tcW w:w="1069" w:type="dxa"/>
            <w:vMerge w:val="continue"/>
            <w:vAlign w:val="top"/>
          </w:tcPr>
          <w:p w14:paraId="388E990F">
            <w:pPr>
              <w:keepNext w:val="0"/>
              <w:keepLines w:val="0"/>
              <w:pageBreakBefore w:val="0"/>
              <w:wordWrap/>
              <w:autoSpaceDE w:val="0"/>
              <w:autoSpaceDN w:val="0"/>
              <w:bidi w:val="0"/>
              <w:adjustRightInd/>
              <w:snapToGrid w:val="0"/>
              <w:spacing w:line="360" w:lineRule="exact"/>
              <w:textAlignment w:val="auto"/>
              <w:rPr>
                <w:rFonts w:hint="eastAsia" w:ascii="宋体" w:hAnsi="宋体" w:eastAsia="宋体" w:cs="宋体"/>
                <w:color w:val="auto"/>
                <w:sz w:val="21"/>
                <w:szCs w:val="21"/>
                <w:highlight w:val="none"/>
              </w:rPr>
            </w:pPr>
          </w:p>
        </w:tc>
        <w:tc>
          <w:tcPr>
            <w:tcW w:w="1835" w:type="dxa"/>
            <w:vAlign w:val="center"/>
          </w:tcPr>
          <w:p w14:paraId="78AE4351">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方案</w:t>
            </w:r>
          </w:p>
        </w:tc>
        <w:tc>
          <w:tcPr>
            <w:tcW w:w="5765" w:type="dxa"/>
            <w:vAlign w:val="center"/>
          </w:tcPr>
          <w:p w14:paraId="405BDB94">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符合第五章“发包人要求”中的实质性要求和条件</w:t>
            </w:r>
          </w:p>
        </w:tc>
      </w:tr>
      <w:tr w14:paraId="4A073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61" w:type="dxa"/>
            <w:vMerge w:val="continue"/>
            <w:vAlign w:val="top"/>
          </w:tcPr>
          <w:p w14:paraId="184CA6A8">
            <w:pPr>
              <w:keepNext w:val="0"/>
              <w:keepLines w:val="0"/>
              <w:pageBreakBefore w:val="0"/>
              <w:wordWrap/>
              <w:autoSpaceDE w:val="0"/>
              <w:autoSpaceDN w:val="0"/>
              <w:bidi w:val="0"/>
              <w:adjustRightInd/>
              <w:snapToGrid w:val="0"/>
              <w:spacing w:line="360" w:lineRule="exact"/>
              <w:textAlignment w:val="auto"/>
              <w:rPr>
                <w:rFonts w:hint="eastAsia" w:ascii="宋体" w:hAnsi="宋体" w:eastAsia="宋体" w:cs="宋体"/>
                <w:color w:val="auto"/>
                <w:sz w:val="21"/>
                <w:szCs w:val="21"/>
                <w:highlight w:val="none"/>
              </w:rPr>
            </w:pPr>
          </w:p>
        </w:tc>
        <w:tc>
          <w:tcPr>
            <w:tcW w:w="1069" w:type="dxa"/>
            <w:vMerge w:val="continue"/>
            <w:vAlign w:val="top"/>
          </w:tcPr>
          <w:p w14:paraId="4CB74F74">
            <w:pPr>
              <w:keepNext w:val="0"/>
              <w:keepLines w:val="0"/>
              <w:pageBreakBefore w:val="0"/>
              <w:wordWrap/>
              <w:autoSpaceDE w:val="0"/>
              <w:autoSpaceDN w:val="0"/>
              <w:bidi w:val="0"/>
              <w:adjustRightInd/>
              <w:snapToGrid w:val="0"/>
              <w:spacing w:line="360" w:lineRule="exact"/>
              <w:textAlignment w:val="auto"/>
              <w:rPr>
                <w:rFonts w:hint="eastAsia" w:ascii="宋体" w:hAnsi="宋体" w:eastAsia="宋体" w:cs="宋体"/>
                <w:color w:val="auto"/>
                <w:sz w:val="21"/>
                <w:szCs w:val="21"/>
                <w:highlight w:val="none"/>
              </w:rPr>
            </w:pPr>
          </w:p>
        </w:tc>
        <w:tc>
          <w:tcPr>
            <w:tcW w:w="1835" w:type="dxa"/>
            <w:vAlign w:val="center"/>
          </w:tcPr>
          <w:p w14:paraId="23C6CFAD">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其他否决情形</w:t>
            </w:r>
          </w:p>
        </w:tc>
        <w:tc>
          <w:tcPr>
            <w:tcW w:w="5765" w:type="dxa"/>
            <w:vAlign w:val="center"/>
          </w:tcPr>
          <w:p w14:paraId="099B8C70">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‌投标人不存在法律法规和招标文件规定的其他否决情形</w:t>
            </w:r>
          </w:p>
        </w:tc>
      </w:tr>
      <w:tr w14:paraId="0C477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830" w:type="dxa"/>
            <w:gridSpan w:val="2"/>
            <w:vAlign w:val="center"/>
          </w:tcPr>
          <w:p w14:paraId="67A10353">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条款号</w:t>
            </w:r>
          </w:p>
        </w:tc>
        <w:tc>
          <w:tcPr>
            <w:tcW w:w="1835" w:type="dxa"/>
            <w:vAlign w:val="center"/>
          </w:tcPr>
          <w:p w14:paraId="04FC0367">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条款内容</w:t>
            </w:r>
          </w:p>
        </w:tc>
        <w:tc>
          <w:tcPr>
            <w:tcW w:w="5765" w:type="dxa"/>
            <w:vAlign w:val="center"/>
          </w:tcPr>
          <w:p w14:paraId="50CC918A">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编列内容</w:t>
            </w:r>
          </w:p>
        </w:tc>
      </w:tr>
      <w:tr w14:paraId="47E81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830" w:type="dxa"/>
            <w:gridSpan w:val="2"/>
            <w:vAlign w:val="center"/>
          </w:tcPr>
          <w:p w14:paraId="1D6E225D">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color w:val="auto"/>
                <w:spacing w:val="-1"/>
                <w:sz w:val="21"/>
                <w:szCs w:val="21"/>
                <w:highlight w:val="none"/>
                <w:lang w:val="zh-CN"/>
              </w:rPr>
            </w:pPr>
            <w:r>
              <w:rPr>
                <w:rFonts w:hint="eastAsia" w:ascii="宋体" w:hAnsi="宋体" w:eastAsia="宋体" w:cs="宋体"/>
                <w:color w:val="auto"/>
                <w:spacing w:val="-1"/>
                <w:sz w:val="21"/>
                <w:szCs w:val="21"/>
                <w:highlight w:val="none"/>
                <w:lang w:val="zh-CN"/>
              </w:rPr>
              <w:t>2.2.1</w:t>
            </w:r>
          </w:p>
        </w:tc>
        <w:tc>
          <w:tcPr>
            <w:tcW w:w="1835" w:type="dxa"/>
            <w:vAlign w:val="center"/>
          </w:tcPr>
          <w:p w14:paraId="525E4721">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分值构成</w:t>
            </w:r>
          </w:p>
          <w:p w14:paraId="01E445E8">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(总分 100 分)</w:t>
            </w:r>
          </w:p>
        </w:tc>
        <w:tc>
          <w:tcPr>
            <w:tcW w:w="5765" w:type="dxa"/>
            <w:vAlign w:val="center"/>
          </w:tcPr>
          <w:p w14:paraId="754452D1">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资信业绩部分：</w:t>
            </w:r>
            <w:r>
              <w:rPr>
                <w:rFonts w:hint="eastAsia" w:ascii="宋体" w:hAnsi="宋体" w:eastAsia="宋体" w:cs="宋体"/>
                <w:color w:val="auto"/>
                <w:spacing w:val="-7"/>
                <w:sz w:val="21"/>
                <w:szCs w:val="21"/>
                <w:highlight w:val="none"/>
                <w:u w:val="single"/>
              </w:rPr>
              <w:t xml:space="preserve"> </w:t>
            </w:r>
            <w:r>
              <w:rPr>
                <w:rFonts w:hint="eastAsia" w:ascii="宋体" w:hAnsi="宋体" w:eastAsia="宋体" w:cs="宋体"/>
                <w:color w:val="auto"/>
                <w:spacing w:val="-7"/>
                <w:sz w:val="21"/>
                <w:szCs w:val="21"/>
                <w:highlight w:val="none"/>
                <w:u w:val="single"/>
                <w:lang w:val="en-US" w:eastAsia="zh-CN"/>
              </w:rPr>
              <w:t>30</w:t>
            </w:r>
            <w:r>
              <w:rPr>
                <w:rFonts w:hint="eastAsia" w:ascii="宋体" w:hAnsi="宋体" w:eastAsia="宋体" w:cs="宋体"/>
                <w:color w:val="auto"/>
                <w:spacing w:val="-7"/>
                <w:sz w:val="21"/>
                <w:szCs w:val="21"/>
                <w:highlight w:val="none"/>
                <w:u w:val="single"/>
              </w:rPr>
              <w:t xml:space="preserve"> </w:t>
            </w:r>
            <w:r>
              <w:rPr>
                <w:rFonts w:hint="eastAsia" w:ascii="宋体" w:hAnsi="宋体" w:eastAsia="宋体" w:cs="宋体"/>
                <w:color w:val="auto"/>
                <w:spacing w:val="-7"/>
                <w:sz w:val="21"/>
                <w:szCs w:val="21"/>
                <w:highlight w:val="none"/>
              </w:rPr>
              <w:t>分</w:t>
            </w:r>
          </w:p>
          <w:p w14:paraId="4EF8A742">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pacing w:val="-12"/>
                <w:sz w:val="21"/>
                <w:szCs w:val="21"/>
                <w:highlight w:val="none"/>
              </w:rPr>
            </w:pP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方案</w:t>
            </w:r>
            <w:r>
              <w:rPr>
                <w:rFonts w:hint="eastAsia" w:ascii="宋体" w:hAnsi="宋体" w:eastAsia="宋体" w:cs="宋体"/>
                <w:color w:val="auto"/>
                <w:spacing w:val="-6"/>
                <w:sz w:val="21"/>
                <w:szCs w:val="21"/>
                <w:highlight w:val="none"/>
              </w:rPr>
              <w:t>部分：</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u w:val="single"/>
                <w:lang w:val="en-US" w:eastAsia="zh-CN"/>
              </w:rPr>
              <w:t>60</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rPr>
              <w:t>分</w:t>
            </w:r>
          </w:p>
          <w:p w14:paraId="7057738F">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14"/>
                <w:sz w:val="21"/>
                <w:szCs w:val="21"/>
                <w:highlight w:val="none"/>
              </w:rPr>
              <w:t>投</w:t>
            </w:r>
            <w:r>
              <w:rPr>
                <w:rFonts w:hint="eastAsia" w:ascii="宋体" w:hAnsi="宋体" w:eastAsia="宋体" w:cs="宋体"/>
                <w:color w:val="auto"/>
                <w:spacing w:val="-8"/>
                <w:sz w:val="21"/>
                <w:szCs w:val="21"/>
                <w:highlight w:val="none"/>
              </w:rPr>
              <w:t>标</w:t>
            </w:r>
            <w:r>
              <w:rPr>
                <w:rFonts w:hint="eastAsia" w:ascii="宋体" w:hAnsi="宋体" w:eastAsia="宋体" w:cs="宋体"/>
                <w:color w:val="auto"/>
                <w:spacing w:val="-7"/>
                <w:sz w:val="21"/>
                <w:szCs w:val="21"/>
                <w:highlight w:val="none"/>
              </w:rPr>
              <w:t>报价：</w:t>
            </w:r>
            <w:r>
              <w:rPr>
                <w:rFonts w:hint="eastAsia" w:ascii="宋体" w:hAnsi="宋体" w:eastAsia="宋体" w:cs="宋体"/>
                <w:color w:val="auto"/>
                <w:spacing w:val="-7"/>
                <w:sz w:val="21"/>
                <w:szCs w:val="21"/>
                <w:highlight w:val="none"/>
                <w:u w:val="single"/>
              </w:rPr>
              <w:t xml:space="preserve"> 10 </w:t>
            </w:r>
            <w:r>
              <w:rPr>
                <w:rFonts w:hint="eastAsia" w:ascii="宋体" w:hAnsi="宋体" w:eastAsia="宋体" w:cs="宋体"/>
                <w:color w:val="auto"/>
                <w:spacing w:val="-7"/>
                <w:sz w:val="21"/>
                <w:szCs w:val="21"/>
                <w:highlight w:val="none"/>
              </w:rPr>
              <w:t>分</w:t>
            </w:r>
          </w:p>
        </w:tc>
      </w:tr>
      <w:tr w14:paraId="09377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830" w:type="dxa"/>
            <w:gridSpan w:val="2"/>
            <w:vAlign w:val="center"/>
          </w:tcPr>
          <w:p w14:paraId="7D7BCE93">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color w:val="auto"/>
                <w:spacing w:val="-1"/>
                <w:sz w:val="21"/>
                <w:szCs w:val="21"/>
                <w:highlight w:val="none"/>
                <w:lang w:val="zh-CN"/>
              </w:rPr>
            </w:pPr>
            <w:r>
              <w:rPr>
                <w:rFonts w:hint="eastAsia" w:ascii="宋体" w:hAnsi="宋体" w:eastAsia="宋体" w:cs="宋体"/>
                <w:color w:val="auto"/>
                <w:spacing w:val="-1"/>
                <w:sz w:val="21"/>
                <w:szCs w:val="21"/>
                <w:highlight w:val="none"/>
                <w:lang w:val="zh-CN"/>
              </w:rPr>
              <w:t>2.2.2</w:t>
            </w:r>
          </w:p>
        </w:tc>
        <w:tc>
          <w:tcPr>
            <w:tcW w:w="1835" w:type="dxa"/>
            <w:vAlign w:val="center"/>
          </w:tcPr>
          <w:p w14:paraId="27DC9EE6">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评标基准价计算方法</w:t>
            </w:r>
          </w:p>
        </w:tc>
        <w:tc>
          <w:tcPr>
            <w:tcW w:w="5765" w:type="dxa"/>
            <w:vAlign w:val="center"/>
          </w:tcPr>
          <w:p w14:paraId="610484CF">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（1）当通过形式评审、资格评审、响应性评审的有效投标报价个数 n≥5 时，投标人评标基准价为所有投标人投标报价中分别去掉一个</w:t>
            </w:r>
            <w:r>
              <w:rPr>
                <w:rFonts w:hint="eastAsia" w:ascii="宋体" w:hAnsi="宋体" w:eastAsia="宋体" w:cs="宋体"/>
                <w:color w:val="auto"/>
                <w:sz w:val="21"/>
                <w:szCs w:val="21"/>
                <w:highlight w:val="none"/>
                <w:lang w:eastAsia="zh-CN"/>
              </w:rPr>
              <w:t>最</w:t>
            </w:r>
            <w:r>
              <w:rPr>
                <w:rFonts w:hint="eastAsia" w:ascii="宋体" w:hAnsi="宋体" w:eastAsia="宋体" w:cs="宋体"/>
                <w:color w:val="auto"/>
                <w:sz w:val="21"/>
                <w:szCs w:val="21"/>
                <w:highlight w:val="none"/>
              </w:rPr>
              <w:t>高值和一个</w:t>
            </w:r>
            <w:r>
              <w:rPr>
                <w:rFonts w:hint="eastAsia" w:ascii="宋体" w:hAnsi="宋体" w:eastAsia="宋体" w:cs="宋体"/>
                <w:color w:val="auto"/>
                <w:sz w:val="21"/>
                <w:szCs w:val="21"/>
                <w:highlight w:val="none"/>
                <w:lang w:eastAsia="zh-CN"/>
              </w:rPr>
              <w:t>最</w:t>
            </w:r>
            <w:r>
              <w:rPr>
                <w:rFonts w:hint="eastAsia" w:ascii="宋体" w:hAnsi="宋体" w:eastAsia="宋体" w:cs="宋体"/>
                <w:color w:val="auto"/>
                <w:sz w:val="21"/>
                <w:szCs w:val="21"/>
                <w:highlight w:val="none"/>
              </w:rPr>
              <w:t>低值后其余投标人投标报价的算术平均值。</w:t>
            </w:r>
          </w:p>
          <w:p w14:paraId="14B4F9D1">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（2）当通过形式评审、资格评审、响应性评审的有效投标报价个数n＜5 时，投标人评标基准价为所有投标人投标报价的算术平均值。</w:t>
            </w:r>
          </w:p>
          <w:p w14:paraId="3C375AF7">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注：投标人的投标报价下浮率必须≥0.00%(以百分比为单位，精确到小数点后2位)；评标基准价取小数点后2位，小数点后第3位四舍五入计。</w:t>
            </w:r>
          </w:p>
        </w:tc>
      </w:tr>
      <w:tr w14:paraId="17361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830" w:type="dxa"/>
            <w:gridSpan w:val="2"/>
            <w:vAlign w:val="center"/>
          </w:tcPr>
          <w:p w14:paraId="09831F79">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pacing w:val="-1"/>
                <w:sz w:val="21"/>
                <w:szCs w:val="21"/>
                <w:highlight w:val="none"/>
                <w:lang w:val="zh-CN"/>
              </w:rPr>
              <w:t>2.2.3</w:t>
            </w:r>
          </w:p>
        </w:tc>
        <w:tc>
          <w:tcPr>
            <w:tcW w:w="1835" w:type="dxa"/>
            <w:vAlign w:val="center"/>
          </w:tcPr>
          <w:p w14:paraId="330313A6">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投标报价的偏差率计算公式</w:t>
            </w:r>
          </w:p>
        </w:tc>
        <w:tc>
          <w:tcPr>
            <w:tcW w:w="5765" w:type="dxa"/>
            <w:vAlign w:val="center"/>
          </w:tcPr>
          <w:p w14:paraId="348CCE81">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投标报价偏差率=（投标报价-评标基准价）/评标基准价×100%。</w:t>
            </w:r>
          </w:p>
        </w:tc>
      </w:tr>
      <w:tr w14:paraId="1C9C4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830" w:type="dxa"/>
            <w:gridSpan w:val="2"/>
            <w:vAlign w:val="center"/>
          </w:tcPr>
          <w:p w14:paraId="32C60315">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条款号</w:t>
            </w:r>
          </w:p>
        </w:tc>
        <w:tc>
          <w:tcPr>
            <w:tcW w:w="1835" w:type="dxa"/>
            <w:vAlign w:val="center"/>
          </w:tcPr>
          <w:p w14:paraId="6EEB9237">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评分因素</w:t>
            </w:r>
          </w:p>
          <w:p w14:paraId="55D9D7E6">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(偏差率)</w:t>
            </w:r>
          </w:p>
        </w:tc>
        <w:tc>
          <w:tcPr>
            <w:tcW w:w="5765" w:type="dxa"/>
            <w:vAlign w:val="center"/>
          </w:tcPr>
          <w:p w14:paraId="785C6325">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b/>
                <w:bCs/>
                <w:color w:val="auto"/>
                <w:spacing w:val="-2"/>
                <w:sz w:val="21"/>
                <w:szCs w:val="21"/>
                <w:highlight w:val="none"/>
              </w:rPr>
            </w:pPr>
            <w:r>
              <w:rPr>
                <w:rFonts w:hint="eastAsia" w:ascii="宋体" w:hAnsi="宋体" w:eastAsia="宋体" w:cs="宋体"/>
                <w:b/>
                <w:bCs/>
                <w:color w:val="auto"/>
                <w:spacing w:val="-2"/>
                <w:sz w:val="21"/>
                <w:szCs w:val="21"/>
                <w:highlight w:val="none"/>
              </w:rPr>
              <w:t>评分标</w:t>
            </w:r>
            <w:r>
              <w:rPr>
                <w:rFonts w:hint="eastAsia" w:ascii="宋体" w:hAnsi="宋体" w:eastAsia="宋体" w:cs="宋体"/>
                <w:b/>
                <w:bCs/>
                <w:color w:val="auto"/>
                <w:spacing w:val="-1"/>
                <w:sz w:val="21"/>
                <w:szCs w:val="21"/>
                <w:highlight w:val="none"/>
              </w:rPr>
              <w:t>准</w:t>
            </w:r>
          </w:p>
        </w:tc>
      </w:tr>
      <w:tr w14:paraId="3AD65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61" w:type="dxa"/>
            <w:vMerge w:val="restart"/>
            <w:vAlign w:val="center"/>
          </w:tcPr>
          <w:p w14:paraId="0934DABE">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color w:val="auto"/>
                <w:spacing w:val="-1"/>
                <w:sz w:val="21"/>
                <w:szCs w:val="21"/>
                <w:highlight w:val="none"/>
              </w:rPr>
            </w:pPr>
          </w:p>
          <w:p w14:paraId="1AF5CDE9">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color w:val="auto"/>
                <w:spacing w:val="-1"/>
                <w:sz w:val="21"/>
                <w:szCs w:val="21"/>
                <w:highlight w:val="none"/>
              </w:rPr>
            </w:pPr>
          </w:p>
          <w:p w14:paraId="0755FDC6">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color w:val="auto"/>
                <w:spacing w:val="-1"/>
                <w:sz w:val="21"/>
                <w:szCs w:val="21"/>
                <w:highlight w:val="none"/>
              </w:rPr>
            </w:pPr>
          </w:p>
          <w:p w14:paraId="0D5A4666">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2.2.4</w:t>
            </w:r>
          </w:p>
          <w:p w14:paraId="77FEB049">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w:t>
            </w:r>
          </w:p>
        </w:tc>
        <w:tc>
          <w:tcPr>
            <w:tcW w:w="1069" w:type="dxa"/>
            <w:vMerge w:val="restart"/>
            <w:vAlign w:val="center"/>
          </w:tcPr>
          <w:p w14:paraId="7DD11D2D">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p>
          <w:p w14:paraId="7A3711BE">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p>
          <w:p w14:paraId="50B9C30C">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p>
          <w:p w14:paraId="50F1EB7E">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资信业绩 评分标准</w:t>
            </w:r>
          </w:p>
          <w:p w14:paraId="3E7E4B01">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lang w:val="zh-CN"/>
              </w:rPr>
              <w:t>分）</w:t>
            </w:r>
          </w:p>
        </w:tc>
        <w:tc>
          <w:tcPr>
            <w:tcW w:w="1835" w:type="dxa"/>
            <w:vAlign w:val="center"/>
          </w:tcPr>
          <w:p w14:paraId="39332520">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企业业绩</w:t>
            </w:r>
          </w:p>
          <w:p w14:paraId="1AA9F76A">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zh-CN"/>
              </w:rPr>
              <w:t>分）</w:t>
            </w:r>
          </w:p>
        </w:tc>
        <w:tc>
          <w:tcPr>
            <w:tcW w:w="5765" w:type="dxa"/>
            <w:vAlign w:val="center"/>
          </w:tcPr>
          <w:p w14:paraId="537F3E3C">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（一）评分内容：</w:t>
            </w:r>
          </w:p>
          <w:p w14:paraId="74E18102">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年1月1日（以合同签订时间为准）</w:t>
            </w:r>
            <w:r>
              <w:rPr>
                <w:rFonts w:hint="eastAsia" w:ascii="宋体" w:hAnsi="宋体" w:eastAsia="宋体" w:cs="宋体"/>
                <w:color w:val="auto"/>
                <w:sz w:val="21"/>
                <w:szCs w:val="21"/>
                <w:highlight w:val="none"/>
                <w:lang w:eastAsia="zh-CN"/>
              </w:rPr>
              <w:t>至今有承接过</w:t>
            </w:r>
            <w:r>
              <w:rPr>
                <w:rFonts w:hint="eastAsia" w:ascii="宋体" w:hAnsi="宋体" w:eastAsia="宋体" w:cs="宋体"/>
                <w:color w:val="auto"/>
                <w:sz w:val="21"/>
                <w:szCs w:val="21"/>
                <w:highlight w:val="none"/>
              </w:rPr>
              <w:t>水利项目BIM咨询（应用）业绩，每项</w:t>
            </w:r>
            <w:r>
              <w:rPr>
                <w:rFonts w:hint="eastAsia" w:ascii="宋体" w:hAnsi="宋体" w:eastAsia="宋体" w:cs="宋体"/>
                <w:color w:val="auto"/>
                <w:sz w:val="21"/>
                <w:szCs w:val="21"/>
                <w:highlight w:val="none"/>
                <w:lang w:val="en-US" w:eastAsia="zh-CN"/>
              </w:rPr>
              <w:t>得4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本项</w:t>
            </w:r>
            <w:r>
              <w:rPr>
                <w:rFonts w:hint="eastAsia" w:ascii="宋体" w:hAnsi="宋体" w:eastAsia="宋体" w:cs="宋体"/>
                <w:color w:val="auto"/>
                <w:sz w:val="21"/>
                <w:szCs w:val="21"/>
                <w:highlight w:val="none"/>
              </w:rPr>
              <w:t>最高得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p w14:paraId="0453D39F">
            <w:pPr>
              <w:keepNext w:val="0"/>
              <w:keepLines w:val="0"/>
              <w:pageBreakBefore w:val="0"/>
              <w:kinsoku/>
              <w:wordWrap/>
              <w:overflowPunct/>
              <w:autoSpaceDE w:val="0"/>
              <w:autoSpaceDN w:val="0"/>
              <w:bidi w:val="0"/>
              <w:adjustRightInd/>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（二）评分依据：</w:t>
            </w:r>
          </w:p>
          <w:p w14:paraId="4BF71635">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要求提供合同关键</w:t>
            </w:r>
            <w:r>
              <w:rPr>
                <w:rFonts w:hint="eastAsia" w:ascii="宋体" w:hAnsi="宋体" w:eastAsia="宋体" w:cs="宋体"/>
                <w:color w:val="auto"/>
                <w:sz w:val="21"/>
                <w:szCs w:val="21"/>
                <w:highlight w:val="none"/>
                <w:lang w:eastAsia="zh-CN"/>
              </w:rPr>
              <w:t>页扫描件</w:t>
            </w:r>
            <w:r>
              <w:rPr>
                <w:rFonts w:hint="eastAsia" w:ascii="宋体" w:hAnsi="宋体" w:eastAsia="宋体" w:cs="宋体"/>
                <w:color w:val="auto"/>
                <w:sz w:val="21"/>
                <w:szCs w:val="21"/>
                <w:highlight w:val="none"/>
              </w:rPr>
              <w:t>（包括</w:t>
            </w:r>
            <w:r>
              <w:rPr>
                <w:rFonts w:hint="eastAsia" w:ascii="宋体" w:hAnsi="宋体" w:eastAsia="宋体" w:cs="宋体"/>
                <w:color w:val="auto"/>
                <w:sz w:val="21"/>
                <w:szCs w:val="21"/>
                <w:highlight w:val="none"/>
                <w:lang w:eastAsia="zh-CN"/>
              </w:rPr>
              <w:t>封面、服务内容</w:t>
            </w:r>
            <w:r>
              <w:rPr>
                <w:rFonts w:hint="eastAsia" w:ascii="宋体" w:hAnsi="宋体" w:eastAsia="宋体" w:cs="宋体"/>
                <w:color w:val="auto"/>
                <w:sz w:val="21"/>
                <w:szCs w:val="21"/>
                <w:highlight w:val="none"/>
              </w:rPr>
              <w:t>、签订时间、双方签章页</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）作为得分依据，通过合同关键信息无法判断是否得分的，还须同时提供能证明得分的其它证明资料，如甲方出具的证明文件或政府单位下发的项目投资批复文件等。</w:t>
            </w:r>
          </w:p>
          <w:p w14:paraId="26325788">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以上资料均要求提供扫描件。</w:t>
            </w:r>
          </w:p>
          <w:p w14:paraId="1BB2845B">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3、评分中出现无证明资料或者专家无法凭所提供资料判断是否得分的情况，一律</w:t>
            </w:r>
            <w:r>
              <w:rPr>
                <w:rFonts w:hint="eastAsia" w:ascii="宋体" w:hAnsi="宋体" w:eastAsia="宋体" w:cs="宋体"/>
                <w:color w:val="auto"/>
                <w:sz w:val="21"/>
                <w:szCs w:val="21"/>
                <w:highlight w:val="none"/>
                <w:lang w:val="en-US" w:eastAsia="zh-CN"/>
              </w:rPr>
              <w:t>作</w:t>
            </w:r>
            <w:r>
              <w:rPr>
                <w:rFonts w:hint="eastAsia" w:ascii="宋体" w:hAnsi="宋体" w:eastAsia="宋体" w:cs="宋体"/>
                <w:color w:val="auto"/>
                <w:sz w:val="21"/>
                <w:szCs w:val="21"/>
                <w:highlight w:val="none"/>
              </w:rPr>
              <w:t>不得分处理。</w:t>
            </w:r>
          </w:p>
        </w:tc>
      </w:tr>
      <w:tr w14:paraId="719AB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61" w:type="dxa"/>
            <w:vMerge w:val="continue"/>
            <w:vAlign w:val="center"/>
          </w:tcPr>
          <w:p w14:paraId="06ECFB29">
            <w:pPr>
              <w:keepNext w:val="0"/>
              <w:keepLines w:val="0"/>
              <w:pageBreakBefore w:val="0"/>
              <w:wordWrap/>
              <w:autoSpaceDE w:val="0"/>
              <w:autoSpaceDN w:val="0"/>
              <w:bidi w:val="0"/>
              <w:adjustRightInd/>
              <w:snapToGrid w:val="0"/>
              <w:spacing w:line="360" w:lineRule="exact"/>
              <w:ind w:left="199"/>
              <w:jc w:val="center"/>
              <w:textAlignment w:val="auto"/>
              <w:rPr>
                <w:rFonts w:hint="eastAsia" w:ascii="宋体" w:hAnsi="宋体" w:eastAsia="宋体" w:cs="宋体"/>
                <w:color w:val="auto"/>
                <w:spacing w:val="31"/>
                <w:sz w:val="21"/>
                <w:szCs w:val="21"/>
                <w:highlight w:val="none"/>
              </w:rPr>
            </w:pPr>
          </w:p>
        </w:tc>
        <w:tc>
          <w:tcPr>
            <w:tcW w:w="1069" w:type="dxa"/>
            <w:vMerge w:val="continue"/>
            <w:vAlign w:val="center"/>
          </w:tcPr>
          <w:p w14:paraId="5D979282">
            <w:pPr>
              <w:keepNext w:val="0"/>
              <w:keepLines w:val="0"/>
              <w:pageBreakBefore w:val="0"/>
              <w:wordWrap/>
              <w:autoSpaceDE w:val="0"/>
              <w:autoSpaceDN w:val="0"/>
              <w:bidi w:val="0"/>
              <w:adjustRightInd/>
              <w:snapToGrid w:val="0"/>
              <w:spacing w:line="360" w:lineRule="exact"/>
              <w:ind w:left="144" w:right="141" w:firstLine="9"/>
              <w:jc w:val="center"/>
              <w:textAlignment w:val="auto"/>
              <w:rPr>
                <w:rFonts w:hint="eastAsia" w:ascii="宋体" w:hAnsi="宋体" w:eastAsia="宋体" w:cs="宋体"/>
                <w:color w:val="auto"/>
                <w:spacing w:val="-6"/>
                <w:sz w:val="21"/>
                <w:szCs w:val="21"/>
                <w:highlight w:val="none"/>
              </w:rPr>
            </w:pPr>
          </w:p>
        </w:tc>
        <w:tc>
          <w:tcPr>
            <w:tcW w:w="1835" w:type="dxa"/>
            <w:vAlign w:val="center"/>
          </w:tcPr>
          <w:p w14:paraId="6CF2226C">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拟安排的项目</w:t>
            </w:r>
          </w:p>
          <w:p w14:paraId="7634E49B">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负责人情况</w:t>
            </w:r>
          </w:p>
          <w:p w14:paraId="28D80BF8">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分）</w:t>
            </w:r>
          </w:p>
        </w:tc>
        <w:tc>
          <w:tcPr>
            <w:tcW w:w="5765" w:type="dxa"/>
            <w:vAlign w:val="center"/>
          </w:tcPr>
          <w:p w14:paraId="430E415D">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（一）评分内容：</w:t>
            </w:r>
          </w:p>
          <w:p w14:paraId="30951820">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val="zh-CN"/>
              </w:rPr>
              <w:t>具有注册土木工程师（</w:t>
            </w:r>
            <w:r>
              <w:rPr>
                <w:rFonts w:hint="eastAsia" w:ascii="宋体" w:hAnsi="宋体" w:eastAsia="宋体" w:cs="宋体"/>
                <w:color w:val="auto"/>
                <w:sz w:val="21"/>
                <w:szCs w:val="21"/>
                <w:highlight w:val="none"/>
                <w:lang w:val="en-US" w:eastAsia="zh-CN"/>
              </w:rPr>
              <w:t>水利水电</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水工结构</w:t>
            </w:r>
            <w:r>
              <w:rPr>
                <w:rFonts w:hint="eastAsia" w:ascii="宋体" w:hAnsi="宋体" w:eastAsia="宋体" w:cs="宋体"/>
                <w:color w:val="auto"/>
                <w:sz w:val="21"/>
                <w:szCs w:val="21"/>
                <w:highlight w:val="none"/>
              </w:rPr>
              <w:t>专业</w:t>
            </w:r>
            <w:r>
              <w:rPr>
                <w:rFonts w:hint="eastAsia" w:ascii="宋体" w:hAnsi="宋体" w:eastAsia="宋体" w:cs="宋体"/>
                <w:color w:val="auto"/>
                <w:sz w:val="21"/>
                <w:szCs w:val="21"/>
                <w:highlight w:val="none"/>
                <w:lang w:val="zh-CN"/>
              </w:rPr>
              <w:t>资格的得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rPr>
              <w:t>具有注册咨询工程师资格证书且登记专业包含“水利水电”的得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本小项最高得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1EC27532">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项目负责人自202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年1月1日（以合同签订时间为准）</w:t>
            </w:r>
            <w:r>
              <w:rPr>
                <w:rFonts w:hint="eastAsia" w:ascii="宋体" w:hAnsi="宋体" w:eastAsia="宋体" w:cs="宋体"/>
                <w:color w:val="auto"/>
                <w:sz w:val="21"/>
                <w:szCs w:val="21"/>
                <w:highlight w:val="none"/>
                <w:lang w:eastAsia="zh-CN"/>
              </w:rPr>
              <w:t>至今有承接过</w:t>
            </w:r>
            <w:r>
              <w:rPr>
                <w:rFonts w:hint="eastAsia" w:ascii="宋体" w:hAnsi="宋体" w:eastAsia="宋体" w:cs="宋体"/>
                <w:color w:val="auto"/>
                <w:sz w:val="21"/>
                <w:szCs w:val="21"/>
                <w:highlight w:val="none"/>
              </w:rPr>
              <w:t>水利项目BIM咨询（应用）业绩，每项</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本小项最高得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63C9B80C">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本项合计最高得6分。</w:t>
            </w:r>
          </w:p>
          <w:p w14:paraId="2A73180A">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（二）评分依据</w:t>
            </w:r>
          </w:p>
          <w:p w14:paraId="35AF33C5">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证书扫描件</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投标人为其缴纳在本投标单位的近一个月（2025年</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月）有效的社保证明材料</w:t>
            </w:r>
            <w:r>
              <w:rPr>
                <w:rFonts w:hint="eastAsia" w:ascii="宋体" w:hAnsi="宋体" w:eastAsia="宋体" w:cs="宋体"/>
                <w:color w:val="auto"/>
                <w:sz w:val="21"/>
                <w:szCs w:val="21"/>
                <w:highlight w:val="none"/>
              </w:rPr>
              <w:t>作为得分依据；</w:t>
            </w:r>
            <w:r>
              <w:rPr>
                <w:rFonts w:hint="eastAsia" w:ascii="宋体" w:hAnsi="宋体" w:eastAsia="宋体" w:cs="宋体"/>
                <w:b w:val="0"/>
                <w:bCs w:val="0"/>
                <w:color w:val="auto"/>
                <w:sz w:val="21"/>
                <w:szCs w:val="21"/>
                <w:highlight w:val="none"/>
              </w:rPr>
              <w:t>业绩证明</w:t>
            </w:r>
            <w:r>
              <w:rPr>
                <w:rFonts w:hint="eastAsia" w:ascii="宋体" w:hAnsi="宋体" w:eastAsia="宋体" w:cs="宋体"/>
                <w:b w:val="0"/>
                <w:bCs w:val="0"/>
                <w:color w:val="auto"/>
                <w:sz w:val="21"/>
                <w:szCs w:val="21"/>
                <w:highlight w:val="none"/>
                <w:lang w:eastAsia="zh-CN"/>
              </w:rPr>
              <w:t>需提供</w:t>
            </w:r>
            <w:r>
              <w:rPr>
                <w:rFonts w:hint="eastAsia" w:ascii="宋体" w:hAnsi="宋体" w:eastAsia="宋体" w:cs="宋体"/>
                <w:b w:val="0"/>
                <w:bCs w:val="0"/>
                <w:color w:val="auto"/>
                <w:sz w:val="21"/>
                <w:szCs w:val="21"/>
                <w:highlight w:val="none"/>
                <w:lang w:val="en-US" w:eastAsia="zh-CN"/>
              </w:rPr>
              <w:t>中标通知书或</w:t>
            </w:r>
            <w:r>
              <w:rPr>
                <w:rFonts w:hint="eastAsia" w:ascii="宋体" w:hAnsi="宋体" w:eastAsia="宋体" w:cs="宋体"/>
                <w:b w:val="0"/>
                <w:bCs w:val="0"/>
                <w:color w:val="auto"/>
                <w:sz w:val="21"/>
                <w:szCs w:val="21"/>
                <w:highlight w:val="none"/>
                <w:lang w:eastAsia="zh-CN"/>
              </w:rPr>
              <w:t>合同</w:t>
            </w:r>
            <w:r>
              <w:rPr>
                <w:rFonts w:hint="eastAsia" w:ascii="宋体" w:hAnsi="宋体" w:eastAsia="宋体" w:cs="宋体"/>
                <w:b w:val="0"/>
                <w:bCs w:val="0"/>
                <w:color w:val="auto"/>
                <w:sz w:val="21"/>
                <w:szCs w:val="21"/>
                <w:highlight w:val="none"/>
              </w:rPr>
              <w:t>关键</w:t>
            </w:r>
            <w:r>
              <w:rPr>
                <w:rFonts w:hint="eastAsia" w:ascii="宋体" w:hAnsi="宋体" w:eastAsia="宋体" w:cs="宋体"/>
                <w:b w:val="0"/>
                <w:bCs w:val="0"/>
                <w:color w:val="auto"/>
                <w:sz w:val="21"/>
                <w:szCs w:val="21"/>
                <w:highlight w:val="none"/>
                <w:lang w:eastAsia="zh-CN"/>
              </w:rPr>
              <w:t>页扫描件</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rPr>
              <w:t>包括</w:t>
            </w:r>
            <w:r>
              <w:rPr>
                <w:rFonts w:hint="eastAsia" w:ascii="宋体" w:hAnsi="宋体" w:eastAsia="宋体" w:cs="宋体"/>
                <w:color w:val="auto"/>
                <w:sz w:val="21"/>
                <w:szCs w:val="21"/>
                <w:highlight w:val="none"/>
                <w:lang w:eastAsia="zh-CN"/>
              </w:rPr>
              <w:t>封面、服务内容</w:t>
            </w:r>
            <w:r>
              <w:rPr>
                <w:rFonts w:hint="eastAsia" w:ascii="宋体" w:hAnsi="宋体" w:eastAsia="宋体" w:cs="宋体"/>
                <w:color w:val="auto"/>
                <w:sz w:val="21"/>
                <w:szCs w:val="21"/>
                <w:highlight w:val="none"/>
              </w:rPr>
              <w:t>、签订时间、双方签章页</w:t>
            </w:r>
            <w:r>
              <w:rPr>
                <w:rFonts w:hint="eastAsia" w:ascii="宋体" w:hAnsi="宋体" w:eastAsia="宋体" w:cs="宋体"/>
                <w:color w:val="auto"/>
                <w:sz w:val="21"/>
                <w:szCs w:val="21"/>
                <w:highlight w:val="none"/>
                <w:lang w:eastAsia="zh-CN"/>
              </w:rPr>
              <w:t>等</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，若合同上未体现项目负责人的，提供业主证明或其它相关证明</w:t>
            </w:r>
            <w:r>
              <w:rPr>
                <w:rFonts w:hint="eastAsia" w:ascii="宋体" w:hAnsi="宋体" w:eastAsia="宋体" w:cs="宋体"/>
                <w:b w:val="0"/>
                <w:bCs w:val="0"/>
                <w:color w:val="auto"/>
                <w:sz w:val="21"/>
                <w:szCs w:val="21"/>
                <w:highlight w:val="none"/>
              </w:rPr>
              <w:t>。</w:t>
            </w:r>
          </w:p>
          <w:p w14:paraId="3285C9B0">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、评分中出现无证明资料或者专家无法凭所提供资料判断是否得分的情况，一律</w:t>
            </w:r>
            <w:r>
              <w:rPr>
                <w:rFonts w:hint="eastAsia" w:ascii="宋体" w:hAnsi="宋体" w:eastAsia="宋体" w:cs="宋体"/>
                <w:color w:val="auto"/>
                <w:sz w:val="21"/>
                <w:szCs w:val="21"/>
                <w:highlight w:val="none"/>
                <w:lang w:val="en-US" w:eastAsia="zh-CN"/>
              </w:rPr>
              <w:t>作</w:t>
            </w:r>
            <w:r>
              <w:rPr>
                <w:rFonts w:hint="eastAsia" w:ascii="宋体" w:hAnsi="宋体" w:eastAsia="宋体" w:cs="宋体"/>
                <w:color w:val="auto"/>
                <w:sz w:val="21"/>
                <w:szCs w:val="21"/>
                <w:highlight w:val="none"/>
              </w:rPr>
              <w:t>不得分处理。</w:t>
            </w:r>
          </w:p>
        </w:tc>
      </w:tr>
      <w:tr w14:paraId="27231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61" w:type="dxa"/>
            <w:vMerge w:val="continue"/>
          </w:tcPr>
          <w:p w14:paraId="63E05F99">
            <w:pPr>
              <w:keepNext w:val="0"/>
              <w:keepLines w:val="0"/>
              <w:pageBreakBefore w:val="0"/>
              <w:wordWrap/>
              <w:autoSpaceDE w:val="0"/>
              <w:autoSpaceDN w:val="0"/>
              <w:bidi w:val="0"/>
              <w:adjustRightInd/>
              <w:snapToGrid w:val="0"/>
              <w:spacing w:line="360" w:lineRule="exact"/>
              <w:textAlignment w:val="auto"/>
              <w:rPr>
                <w:rFonts w:hint="eastAsia" w:ascii="宋体" w:hAnsi="宋体" w:eastAsia="宋体" w:cs="宋体"/>
                <w:color w:val="auto"/>
                <w:sz w:val="21"/>
                <w:szCs w:val="21"/>
                <w:highlight w:val="none"/>
              </w:rPr>
            </w:pPr>
          </w:p>
        </w:tc>
        <w:tc>
          <w:tcPr>
            <w:tcW w:w="1069" w:type="dxa"/>
            <w:vMerge w:val="continue"/>
          </w:tcPr>
          <w:p w14:paraId="751F44C0">
            <w:pPr>
              <w:keepNext w:val="0"/>
              <w:keepLines w:val="0"/>
              <w:pageBreakBefore w:val="0"/>
              <w:wordWrap/>
              <w:autoSpaceDE w:val="0"/>
              <w:autoSpaceDN w:val="0"/>
              <w:bidi w:val="0"/>
              <w:adjustRightInd/>
              <w:snapToGrid w:val="0"/>
              <w:spacing w:line="360" w:lineRule="exact"/>
              <w:textAlignment w:val="auto"/>
              <w:rPr>
                <w:rFonts w:hint="eastAsia" w:ascii="宋体" w:hAnsi="宋体" w:eastAsia="宋体" w:cs="宋体"/>
                <w:color w:val="auto"/>
                <w:sz w:val="21"/>
                <w:szCs w:val="21"/>
                <w:highlight w:val="none"/>
              </w:rPr>
            </w:pPr>
          </w:p>
        </w:tc>
        <w:tc>
          <w:tcPr>
            <w:tcW w:w="1835" w:type="dxa"/>
            <w:vAlign w:val="center"/>
          </w:tcPr>
          <w:p w14:paraId="79B38C26">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p>
          <w:p w14:paraId="19A3F3E5">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p>
          <w:p w14:paraId="25625989">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p>
          <w:p w14:paraId="7ABBA3B5">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p>
          <w:p w14:paraId="61014BEC">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p>
          <w:p w14:paraId="0080140A">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p>
          <w:p w14:paraId="1F7C92EC">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p>
          <w:p w14:paraId="1E39046D">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p>
          <w:p w14:paraId="1CE90DF2">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拟安排的项目主要专业负责人情况（项目负责人除外）（</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zh-CN"/>
              </w:rPr>
              <w:t>分）</w:t>
            </w:r>
          </w:p>
        </w:tc>
        <w:tc>
          <w:tcPr>
            <w:tcW w:w="5765" w:type="dxa"/>
            <w:vAlign w:val="center"/>
          </w:tcPr>
          <w:p w14:paraId="1288E5C0">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（一）评分内容：</w:t>
            </w:r>
          </w:p>
          <w:p w14:paraId="1F49B3AA">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水工建筑专业负责人具有水工建筑</w:t>
            </w:r>
            <w:r>
              <w:rPr>
                <w:rFonts w:hint="eastAsia" w:ascii="宋体" w:hAnsi="宋体" w:eastAsia="宋体" w:cs="宋体"/>
                <w:color w:val="auto"/>
                <w:sz w:val="21"/>
                <w:szCs w:val="21"/>
                <w:highlight w:val="none"/>
              </w:rPr>
              <w:t>专业高级或以上职称</w:t>
            </w:r>
            <w:r>
              <w:rPr>
                <w:rFonts w:hint="eastAsia" w:ascii="宋体" w:hAnsi="宋体" w:eastAsia="宋体" w:cs="宋体"/>
                <w:color w:val="auto"/>
                <w:sz w:val="21"/>
                <w:szCs w:val="21"/>
                <w:highlight w:val="none"/>
                <w:lang w:val="en-US" w:eastAsia="zh-CN"/>
              </w:rPr>
              <w:t>得2分，具有</w:t>
            </w:r>
            <w:r>
              <w:rPr>
                <w:rFonts w:hint="eastAsia" w:ascii="宋体" w:hAnsi="宋体" w:eastAsia="宋体" w:cs="宋体"/>
                <w:color w:val="auto"/>
                <w:sz w:val="21"/>
                <w:szCs w:val="21"/>
                <w:highlight w:val="none"/>
              </w:rPr>
              <w:t>注册土木工程师（水利水电）执业资格</w:t>
            </w:r>
            <w:r>
              <w:rPr>
                <w:rFonts w:hint="eastAsia" w:ascii="宋体" w:hAnsi="宋体" w:eastAsia="宋体" w:cs="宋体"/>
                <w:color w:val="auto"/>
                <w:sz w:val="21"/>
                <w:szCs w:val="21"/>
                <w:highlight w:val="none"/>
                <w:lang w:val="en-US" w:eastAsia="zh-CN"/>
              </w:rPr>
              <w:t>得2分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本小项最高得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5346F27B">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信息系统专业负责人具有</w:t>
            </w:r>
            <w:r>
              <w:rPr>
                <w:rFonts w:hint="eastAsia" w:ascii="宋体" w:hAnsi="宋体" w:eastAsia="宋体" w:cs="宋体"/>
                <w:color w:val="auto"/>
                <w:sz w:val="21"/>
                <w:szCs w:val="21"/>
                <w:highlight w:val="none"/>
              </w:rPr>
              <w:t>（高级）信息系统项目管理师证书</w:t>
            </w:r>
            <w:r>
              <w:rPr>
                <w:rFonts w:hint="eastAsia" w:ascii="宋体" w:hAnsi="宋体" w:eastAsia="宋体" w:cs="宋体"/>
                <w:color w:val="auto"/>
                <w:sz w:val="21"/>
                <w:szCs w:val="21"/>
                <w:highlight w:val="none"/>
                <w:lang w:val="en-US" w:eastAsia="zh-CN"/>
              </w:rPr>
              <w:t>的得2分，具有</w:t>
            </w:r>
            <w:r>
              <w:rPr>
                <w:rFonts w:hint="eastAsia" w:ascii="宋体" w:hAnsi="宋体" w:eastAsia="宋体" w:cs="宋体"/>
                <w:color w:val="auto"/>
                <w:sz w:val="21"/>
                <w:szCs w:val="21"/>
                <w:highlight w:val="none"/>
              </w:rPr>
              <w:t>注册咨询工程师资格证书且登记专业包含“电子、信息工程（含通信、广电、信息化）”</w:t>
            </w:r>
            <w:r>
              <w:rPr>
                <w:rFonts w:hint="eastAsia" w:ascii="宋体" w:hAnsi="宋体" w:eastAsia="宋体" w:cs="宋体"/>
                <w:color w:val="auto"/>
                <w:sz w:val="21"/>
                <w:szCs w:val="21"/>
                <w:highlight w:val="none"/>
                <w:lang w:val="en-US" w:eastAsia="zh-CN"/>
              </w:rPr>
              <w:t>执业资格的得2分；</w:t>
            </w:r>
            <w:r>
              <w:rPr>
                <w:rFonts w:hint="eastAsia" w:ascii="宋体" w:hAnsi="宋体" w:eastAsia="宋体" w:cs="宋体"/>
                <w:color w:val="auto"/>
                <w:sz w:val="21"/>
                <w:szCs w:val="21"/>
                <w:highlight w:val="none"/>
              </w:rPr>
              <w:t>本小项最高得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4A74C343">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3、水利电气专业负责人具有</w:t>
            </w:r>
            <w:r>
              <w:rPr>
                <w:rFonts w:hint="eastAsia" w:ascii="宋体" w:hAnsi="宋体" w:eastAsia="宋体" w:cs="宋体"/>
                <w:color w:val="auto"/>
                <w:sz w:val="21"/>
                <w:szCs w:val="21"/>
                <w:highlight w:val="none"/>
              </w:rPr>
              <w:t>水利</w:t>
            </w:r>
            <w:r>
              <w:rPr>
                <w:rFonts w:hint="eastAsia" w:ascii="宋体" w:hAnsi="宋体" w:eastAsia="宋体" w:cs="宋体"/>
                <w:color w:val="auto"/>
                <w:sz w:val="21"/>
                <w:szCs w:val="21"/>
                <w:highlight w:val="none"/>
                <w:lang w:val="en-US" w:eastAsia="zh-CN"/>
              </w:rPr>
              <w:t>电气</w:t>
            </w:r>
            <w:r>
              <w:rPr>
                <w:rFonts w:hint="eastAsia" w:ascii="宋体" w:hAnsi="宋体" w:eastAsia="宋体" w:cs="宋体"/>
                <w:color w:val="auto"/>
                <w:sz w:val="21"/>
                <w:szCs w:val="21"/>
                <w:highlight w:val="none"/>
              </w:rPr>
              <w:t>专业高级或以上职称</w:t>
            </w:r>
            <w:r>
              <w:rPr>
                <w:rFonts w:hint="eastAsia" w:ascii="宋体" w:hAnsi="宋体" w:eastAsia="宋体" w:cs="宋体"/>
                <w:color w:val="auto"/>
                <w:sz w:val="21"/>
                <w:szCs w:val="21"/>
                <w:highlight w:val="none"/>
                <w:lang w:val="en-US" w:eastAsia="zh-CN"/>
              </w:rPr>
              <w:t>得2分，具有</w:t>
            </w:r>
            <w:r>
              <w:rPr>
                <w:rFonts w:hint="eastAsia" w:ascii="宋体" w:hAnsi="宋体" w:eastAsia="宋体" w:cs="宋体"/>
                <w:color w:val="auto"/>
                <w:sz w:val="21"/>
                <w:szCs w:val="21"/>
                <w:highlight w:val="none"/>
              </w:rPr>
              <w:t>注册电气工程师（供配电）执业资格</w:t>
            </w:r>
            <w:r>
              <w:rPr>
                <w:rFonts w:hint="eastAsia" w:ascii="宋体" w:hAnsi="宋体" w:eastAsia="宋体" w:cs="宋体"/>
                <w:color w:val="auto"/>
                <w:sz w:val="21"/>
                <w:szCs w:val="21"/>
                <w:highlight w:val="none"/>
                <w:lang w:val="en-US" w:eastAsia="zh-CN"/>
              </w:rPr>
              <w:t>得2分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本小项最高得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2C41EAB7">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本项合计最高得12分。</w:t>
            </w:r>
          </w:p>
          <w:p w14:paraId="368825F5">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（二）评分依据</w:t>
            </w:r>
          </w:p>
          <w:p w14:paraId="4AA83E61">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证书扫描件作为得分依据；</w:t>
            </w:r>
          </w:p>
          <w:p w14:paraId="05CA7722">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拟投入的专业负责人须为投标人单位正式员工，需</w:t>
            </w:r>
            <w:r>
              <w:rPr>
                <w:rFonts w:hint="eastAsia" w:ascii="宋体" w:hAnsi="宋体" w:eastAsia="宋体" w:cs="宋体"/>
                <w:color w:val="auto"/>
                <w:sz w:val="21"/>
                <w:szCs w:val="21"/>
                <w:highlight w:val="none"/>
              </w:rPr>
              <w:t>提供</w:t>
            </w:r>
            <w:r>
              <w:rPr>
                <w:rFonts w:hint="eastAsia" w:ascii="宋体" w:hAnsi="宋体" w:eastAsia="宋体" w:cs="宋体"/>
                <w:b w:val="0"/>
                <w:bCs w:val="0"/>
                <w:color w:val="auto"/>
                <w:sz w:val="21"/>
                <w:szCs w:val="21"/>
                <w:highlight w:val="none"/>
              </w:rPr>
              <w:t>投标人为其缴纳在本投标单位的近</w:t>
            </w: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个</w:t>
            </w:r>
            <w:r>
              <w:rPr>
                <w:rFonts w:hint="eastAsia" w:ascii="宋体" w:hAnsi="宋体" w:eastAsia="宋体" w:cs="宋体"/>
                <w:b w:val="0"/>
                <w:bCs w:val="0"/>
                <w:color w:val="auto"/>
                <w:sz w:val="21"/>
                <w:szCs w:val="21"/>
                <w:highlight w:val="none"/>
                <w:lang w:val="en-US" w:eastAsia="zh-CN"/>
              </w:rPr>
              <w:t>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2025年6月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有效的社保证明材料</w:t>
            </w:r>
            <w:r>
              <w:rPr>
                <w:rFonts w:hint="eastAsia" w:ascii="宋体" w:hAnsi="宋体" w:eastAsia="宋体" w:cs="宋体"/>
                <w:b w:val="0"/>
                <w:bCs w:val="0"/>
                <w:color w:val="auto"/>
                <w:sz w:val="21"/>
                <w:szCs w:val="21"/>
                <w:highlight w:val="none"/>
                <w:lang w:eastAsia="zh-CN"/>
              </w:rPr>
              <w:t>；</w:t>
            </w:r>
          </w:p>
          <w:p w14:paraId="20635370">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3、评分中出现无证明资料或者专家无法凭所提供资料判断是否得分的情况，一律</w:t>
            </w:r>
            <w:r>
              <w:rPr>
                <w:rFonts w:hint="eastAsia" w:ascii="宋体" w:hAnsi="宋体" w:eastAsia="宋体" w:cs="宋体"/>
                <w:color w:val="auto"/>
                <w:sz w:val="21"/>
                <w:szCs w:val="21"/>
                <w:highlight w:val="none"/>
                <w:lang w:val="en-US" w:eastAsia="zh-CN"/>
              </w:rPr>
              <w:t>作</w:t>
            </w:r>
            <w:r>
              <w:rPr>
                <w:rFonts w:hint="eastAsia" w:ascii="宋体" w:hAnsi="宋体" w:eastAsia="宋体" w:cs="宋体"/>
                <w:color w:val="auto"/>
                <w:sz w:val="21"/>
                <w:szCs w:val="21"/>
                <w:highlight w:val="none"/>
              </w:rPr>
              <w:t>不得分处理。</w:t>
            </w:r>
          </w:p>
        </w:tc>
      </w:tr>
      <w:tr w14:paraId="3CAC2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61" w:type="dxa"/>
            <w:vMerge w:val="restart"/>
            <w:vAlign w:val="center"/>
          </w:tcPr>
          <w:p w14:paraId="1F5E08EB">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2.2.4</w:t>
            </w:r>
          </w:p>
          <w:p w14:paraId="65D7CC18">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w:t>
            </w:r>
          </w:p>
        </w:tc>
        <w:tc>
          <w:tcPr>
            <w:tcW w:w="1069" w:type="dxa"/>
            <w:vMerge w:val="restart"/>
            <w:vAlign w:val="center"/>
          </w:tcPr>
          <w:p w14:paraId="7F34AC5A">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服务</w:t>
            </w:r>
            <w:r>
              <w:rPr>
                <w:rFonts w:hint="eastAsia" w:ascii="宋体" w:hAnsi="宋体" w:eastAsia="宋体" w:cs="宋体"/>
                <w:color w:val="auto"/>
                <w:sz w:val="21"/>
                <w:szCs w:val="21"/>
                <w:highlight w:val="none"/>
                <w:lang w:val="zh-CN"/>
              </w:rPr>
              <w:t>方案评分标准（</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lang w:val="zh-CN"/>
              </w:rPr>
              <w:t>分）</w:t>
            </w:r>
          </w:p>
        </w:tc>
        <w:tc>
          <w:tcPr>
            <w:tcW w:w="1835" w:type="dxa"/>
            <w:shd w:val="clear" w:color="auto" w:fill="auto"/>
            <w:vAlign w:val="center"/>
          </w:tcPr>
          <w:p w14:paraId="55D4661F">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项目实施方案</w:t>
            </w:r>
          </w:p>
          <w:p w14:paraId="42367B28">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zh-CN"/>
              </w:rPr>
              <w:t>分）</w:t>
            </w:r>
          </w:p>
        </w:tc>
        <w:tc>
          <w:tcPr>
            <w:tcW w:w="5765" w:type="dxa"/>
            <w:shd w:val="clear" w:color="auto" w:fill="auto"/>
            <w:vAlign w:val="center"/>
          </w:tcPr>
          <w:p w14:paraId="166A8DC2">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（一）评分内容：</w:t>
            </w:r>
          </w:p>
          <w:p w14:paraId="68A801EF">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（1）详细阐述项目建设的背景和目标</w:t>
            </w:r>
          </w:p>
          <w:p w14:paraId="716CBD94">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（2）详细阐述项目组织管理方案</w:t>
            </w:r>
          </w:p>
          <w:p w14:paraId="14E16248">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（3）详细阐述项目交付节点的计划安排</w:t>
            </w:r>
          </w:p>
          <w:p w14:paraId="1A1B651E">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（4）详细阐述项目BIM应用实施内容（含技术路线、模型的精度要求，模型的应用场景等）</w:t>
            </w:r>
          </w:p>
          <w:p w14:paraId="40F87584">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（二）评分依据</w:t>
            </w:r>
          </w:p>
          <w:p w14:paraId="1DBD5B5B">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根据招标文件的需求和投标文件响应情况，按照完整性、合理性和准确程度进行分档评分：</w:t>
            </w:r>
          </w:p>
          <w:p w14:paraId="68C8B7A4">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（1）优：内容完整，可操作性强，针对性强，得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7C1C3EBA">
            <w:pPr>
              <w:keepNext w:val="0"/>
              <w:keepLines w:val="0"/>
              <w:pageBreakBefore w:val="0"/>
              <w:kinsoku/>
              <w:wordWrap/>
              <w:overflowPunct/>
              <w:autoSpaceDE w:val="0"/>
              <w:autoSpaceDN w:val="0"/>
              <w:bidi w:val="0"/>
              <w:adjustRightInd/>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（2）良：内容较完整，可操作性较强，针对性较强，得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p w14:paraId="397B8FD6">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（3）中：内容完整性一般，可操作性一般，针对性一般，得</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p w14:paraId="04BBBB89">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（4）差：内容不完整、不可操作或无针对性，得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09F1C72B">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（5）无相关内容不得分。</w:t>
            </w:r>
          </w:p>
        </w:tc>
      </w:tr>
      <w:tr w14:paraId="52FF7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61" w:type="dxa"/>
            <w:vMerge w:val="continue"/>
            <w:vAlign w:val="center"/>
          </w:tcPr>
          <w:p w14:paraId="41B4CB01">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color w:val="auto"/>
                <w:spacing w:val="-1"/>
                <w:sz w:val="21"/>
                <w:szCs w:val="21"/>
                <w:highlight w:val="none"/>
              </w:rPr>
            </w:pPr>
          </w:p>
        </w:tc>
        <w:tc>
          <w:tcPr>
            <w:tcW w:w="1069" w:type="dxa"/>
            <w:vMerge w:val="continue"/>
            <w:vAlign w:val="center"/>
          </w:tcPr>
          <w:p w14:paraId="767DE567">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eastAsia="zh-CN"/>
              </w:rPr>
            </w:pPr>
          </w:p>
        </w:tc>
        <w:tc>
          <w:tcPr>
            <w:tcW w:w="1835" w:type="dxa"/>
            <w:shd w:val="clear" w:color="auto" w:fill="auto"/>
            <w:vAlign w:val="center"/>
          </w:tcPr>
          <w:p w14:paraId="7AF40494">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项目建设重难点分析、措施及建议（15分）</w:t>
            </w:r>
          </w:p>
        </w:tc>
        <w:tc>
          <w:tcPr>
            <w:tcW w:w="5765" w:type="dxa"/>
            <w:shd w:val="clear" w:color="auto" w:fill="auto"/>
            <w:vAlign w:val="center"/>
          </w:tcPr>
          <w:p w14:paraId="124246BF">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（一）评分内容：</w:t>
            </w:r>
          </w:p>
          <w:p w14:paraId="758D6428">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（1）详细分析项目实施存在的重难点问题；</w:t>
            </w:r>
          </w:p>
          <w:p w14:paraId="680F402A">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（2）基于本项目重难点分析，详细阐述BIM技术的应用点。</w:t>
            </w:r>
          </w:p>
          <w:p w14:paraId="7CB4C0AE">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（3）向采购方提出推动本项目BIM应用的具体建议。</w:t>
            </w:r>
          </w:p>
          <w:p w14:paraId="72A4F60E">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（二）评分依据</w:t>
            </w:r>
          </w:p>
          <w:p w14:paraId="355CD4AC">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根据招标文件的需求和投标文件响应情况，按照完整性、合理性和准确程度进行分档评分：</w:t>
            </w:r>
          </w:p>
          <w:p w14:paraId="3E824E42">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（1）优：内容完整，可操作性强，针对性强，得1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4C212916">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（2）良：内容较完整，可操作性较强，针对性较强，得 </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p w14:paraId="58B3111B">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（3）中：内容完整性一般，可操作性一般，针对性一般，得</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p w14:paraId="33918739">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（4）差：内容不完整、不可操作或无针对性，得 </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56010A50">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（5）无相关内容不得分。</w:t>
            </w:r>
          </w:p>
        </w:tc>
      </w:tr>
      <w:tr w14:paraId="6BFEC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61" w:type="dxa"/>
            <w:vMerge w:val="continue"/>
            <w:vAlign w:val="center"/>
          </w:tcPr>
          <w:p w14:paraId="5B1D7D8F">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color w:val="auto"/>
                <w:spacing w:val="-1"/>
                <w:sz w:val="21"/>
                <w:szCs w:val="21"/>
                <w:highlight w:val="none"/>
              </w:rPr>
            </w:pPr>
          </w:p>
        </w:tc>
        <w:tc>
          <w:tcPr>
            <w:tcW w:w="1069" w:type="dxa"/>
            <w:vMerge w:val="continue"/>
            <w:vAlign w:val="center"/>
          </w:tcPr>
          <w:p w14:paraId="4C6E8BDA">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color w:val="auto"/>
                <w:spacing w:val="-1"/>
                <w:sz w:val="21"/>
                <w:szCs w:val="21"/>
                <w:highlight w:val="none"/>
                <w:lang w:val="zh-CN" w:eastAsia="zh-CN"/>
              </w:rPr>
            </w:pPr>
          </w:p>
        </w:tc>
        <w:tc>
          <w:tcPr>
            <w:tcW w:w="1835" w:type="dxa"/>
            <w:shd w:val="clear" w:color="auto" w:fill="auto"/>
            <w:vAlign w:val="center"/>
          </w:tcPr>
          <w:p w14:paraId="268FDB8E">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BIM实施方案</w:t>
            </w:r>
          </w:p>
          <w:p w14:paraId="42A12650">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（20分）</w:t>
            </w:r>
          </w:p>
        </w:tc>
        <w:tc>
          <w:tcPr>
            <w:tcW w:w="5765" w:type="dxa"/>
            <w:shd w:val="clear" w:color="auto" w:fill="auto"/>
            <w:vAlign w:val="center"/>
          </w:tcPr>
          <w:p w14:paraId="0355EA66">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（一）评分内容：</w:t>
            </w:r>
          </w:p>
          <w:p w14:paraId="751A2B73">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根据项目招标文件的要求制定详细合理的各阶段BIM实施方案（包括但不限于工作目标、工作内容和任务分解、设计BIM模型交付计划等），方案内容的完整性、清晰性和条理性把握准确，明确各阶段的工作目标。</w:t>
            </w:r>
          </w:p>
          <w:p w14:paraId="54653E45">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（二）评分依据</w:t>
            </w:r>
          </w:p>
          <w:p w14:paraId="76196597">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根据招标文件的需求和投标文件响应情况，按照完整性、合理性和准确程度进行分档评分：</w:t>
            </w:r>
          </w:p>
          <w:p w14:paraId="1E8C5186">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（1）优：内容完整，可操作性强，针对性强，得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0分；</w:t>
            </w:r>
          </w:p>
          <w:p w14:paraId="77D86DC9">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（2）良：内容较完整，可操作性较强，针对性较强，得 </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分；</w:t>
            </w:r>
          </w:p>
          <w:p w14:paraId="3F0F6898">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（3）中：内容完整性一般，可操作性一般，针对性一般，得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p w14:paraId="23F0D8DE">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（4）差：内容不完整、不可操作或无针对性，得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5F070BB9">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（5）无相关内容不得分。</w:t>
            </w:r>
          </w:p>
        </w:tc>
      </w:tr>
      <w:tr w14:paraId="76B33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61" w:type="dxa"/>
            <w:vMerge w:val="continue"/>
          </w:tcPr>
          <w:p w14:paraId="457E2BAA">
            <w:pPr>
              <w:keepNext w:val="0"/>
              <w:keepLines w:val="0"/>
              <w:pageBreakBefore w:val="0"/>
              <w:wordWrap/>
              <w:autoSpaceDE w:val="0"/>
              <w:autoSpaceDN w:val="0"/>
              <w:bidi w:val="0"/>
              <w:adjustRightInd/>
              <w:snapToGrid w:val="0"/>
              <w:spacing w:line="360" w:lineRule="exact"/>
              <w:textAlignment w:val="auto"/>
              <w:rPr>
                <w:rFonts w:hint="eastAsia" w:ascii="宋体" w:hAnsi="宋体" w:eastAsia="宋体" w:cs="宋体"/>
                <w:color w:val="auto"/>
                <w:sz w:val="21"/>
                <w:szCs w:val="21"/>
                <w:highlight w:val="none"/>
              </w:rPr>
            </w:pPr>
          </w:p>
        </w:tc>
        <w:tc>
          <w:tcPr>
            <w:tcW w:w="1069" w:type="dxa"/>
            <w:vMerge w:val="continue"/>
          </w:tcPr>
          <w:p w14:paraId="20B41A9B">
            <w:pPr>
              <w:keepNext w:val="0"/>
              <w:keepLines w:val="0"/>
              <w:pageBreakBefore w:val="0"/>
              <w:wordWrap/>
              <w:autoSpaceDE w:val="0"/>
              <w:autoSpaceDN w:val="0"/>
              <w:bidi w:val="0"/>
              <w:adjustRightInd/>
              <w:snapToGrid w:val="0"/>
              <w:spacing w:line="360" w:lineRule="exact"/>
              <w:textAlignment w:val="auto"/>
              <w:rPr>
                <w:rFonts w:hint="eastAsia" w:ascii="宋体" w:hAnsi="宋体" w:eastAsia="宋体" w:cs="宋体"/>
                <w:color w:val="auto"/>
                <w:sz w:val="21"/>
                <w:szCs w:val="21"/>
                <w:highlight w:val="none"/>
              </w:rPr>
            </w:pPr>
          </w:p>
        </w:tc>
        <w:tc>
          <w:tcPr>
            <w:tcW w:w="1835" w:type="dxa"/>
            <w:shd w:val="clear" w:color="auto" w:fill="auto"/>
            <w:vAlign w:val="center"/>
          </w:tcPr>
          <w:p w14:paraId="5797D74B">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进度、质量保障措施（10分）</w:t>
            </w:r>
          </w:p>
        </w:tc>
        <w:tc>
          <w:tcPr>
            <w:tcW w:w="5765" w:type="dxa"/>
            <w:shd w:val="clear" w:color="auto" w:fill="auto"/>
            <w:vAlign w:val="center"/>
          </w:tcPr>
          <w:p w14:paraId="37AD2103">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（一）评分内容：</w:t>
            </w:r>
          </w:p>
          <w:p w14:paraId="68601992">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（1）详细阐述各项工作的时间安排、工作进度与服务成果清单：</w:t>
            </w:r>
          </w:p>
          <w:p w14:paraId="0723254E">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（2）详细阐述项目进度管理措施；</w:t>
            </w:r>
          </w:p>
          <w:p w14:paraId="0AA2BDCA">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（3）详细阐述项目质量管理措施</w:t>
            </w:r>
          </w:p>
          <w:p w14:paraId="63963BF7">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（4）详细阐述项目资料和成果的安全性保障措施。</w:t>
            </w:r>
          </w:p>
          <w:p w14:paraId="05EF383B">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（二）评分依据</w:t>
            </w:r>
          </w:p>
          <w:p w14:paraId="59D795AD">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根据招标文件的需求和投标文件响应情况，按照完整性、合理性和准确程度进行分档评分：</w:t>
            </w:r>
          </w:p>
          <w:p w14:paraId="2CC3555D">
            <w:pPr>
              <w:pStyle w:val="62"/>
              <w:keepNext w:val="0"/>
              <w:keepLines w:val="0"/>
              <w:pageBreakBefore w:val="0"/>
              <w:numPr>
                <w:ilvl w:val="0"/>
                <w:numId w:val="0"/>
              </w:numPr>
              <w:kinsoku/>
              <w:wordWrap/>
              <w:overflowPunct/>
              <w:topLinePunct/>
              <w:autoSpaceDE w:val="0"/>
              <w:autoSpaceDN w:val="0"/>
              <w:bidi w:val="0"/>
              <w:adjustRightInd/>
              <w:snapToGrid w:val="0"/>
              <w:spacing w:line="360" w:lineRule="exact"/>
              <w:ind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优：内容完整，可操作性强，针对性强，得10分；</w:t>
            </w:r>
          </w:p>
          <w:p w14:paraId="37233AD5">
            <w:pPr>
              <w:pStyle w:val="62"/>
              <w:keepNext w:val="0"/>
              <w:keepLines w:val="0"/>
              <w:pageBreakBefore w:val="0"/>
              <w:numPr>
                <w:ilvl w:val="0"/>
                <w:numId w:val="0"/>
              </w:numPr>
              <w:kinsoku/>
              <w:wordWrap/>
              <w:overflowPunct/>
              <w:topLinePunct/>
              <w:autoSpaceDE w:val="0"/>
              <w:autoSpaceDN w:val="0"/>
              <w:bidi w:val="0"/>
              <w:adjustRightInd/>
              <w:snapToGrid w:val="0"/>
              <w:spacing w:line="360" w:lineRule="exact"/>
              <w:ind w:leftChars="50" w:right="105"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良：内容较完整，可操作性较强，针对性较强，得7分；</w:t>
            </w:r>
          </w:p>
          <w:p w14:paraId="16C3D35F">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（3）中：内容完整性一般，可操作性一般，针对性一般，得 4分；</w:t>
            </w:r>
          </w:p>
          <w:p w14:paraId="01A75C74">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（4）差：内容不完整、不可操作或无针对性，得1分。</w:t>
            </w:r>
          </w:p>
          <w:p w14:paraId="6BB864A9">
            <w:pPr>
              <w:pStyle w:val="62"/>
              <w:keepNext w:val="0"/>
              <w:keepLines w:val="0"/>
              <w:pageBreakBefore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rPr>
              <w:t>（5）无相关内容不得分。</w:t>
            </w:r>
          </w:p>
        </w:tc>
      </w:tr>
      <w:tr w14:paraId="534F3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61" w:type="dxa"/>
            <w:vAlign w:val="center"/>
          </w:tcPr>
          <w:p w14:paraId="11D68BF5">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2.2.4</w:t>
            </w:r>
          </w:p>
          <w:p w14:paraId="7E2A4D9F">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center"/>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(3)</w:t>
            </w:r>
          </w:p>
        </w:tc>
        <w:tc>
          <w:tcPr>
            <w:tcW w:w="1069" w:type="dxa"/>
            <w:vAlign w:val="center"/>
          </w:tcPr>
          <w:p w14:paraId="5836D63B">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投标报价评分标准</w:t>
            </w:r>
          </w:p>
          <w:p w14:paraId="2F8A5D52">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（10分）</w:t>
            </w:r>
          </w:p>
        </w:tc>
        <w:tc>
          <w:tcPr>
            <w:tcW w:w="1835" w:type="dxa"/>
            <w:vAlign w:val="center"/>
          </w:tcPr>
          <w:p w14:paraId="7CA30F69">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投标报价评审</w:t>
            </w:r>
          </w:p>
          <w:p w14:paraId="18AF485D">
            <w:pPr>
              <w:pStyle w:val="68"/>
              <w:keepNext w:val="0"/>
              <w:keepLines w:val="0"/>
              <w:pageBreakBefore w:val="0"/>
              <w:widowControl/>
              <w:kinsoku/>
              <w:wordWrap/>
              <w:overflowPunct w:val="0"/>
              <w:topLinePunct w:val="0"/>
              <w:autoSpaceDE w:val="0"/>
              <w:autoSpaceDN w:val="0"/>
              <w:bidi w:val="0"/>
              <w:adjustRightInd/>
              <w:snapToGrid w:val="0"/>
              <w:spacing w:line="360" w:lineRule="exact"/>
              <w:ind w:left="105" w:leftChars="50" w:right="105" w:rightChars="5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10 分）</w:t>
            </w:r>
          </w:p>
        </w:tc>
        <w:tc>
          <w:tcPr>
            <w:tcW w:w="5765" w:type="dxa"/>
            <w:vAlign w:val="center"/>
          </w:tcPr>
          <w:p w14:paraId="0D3300B0">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投标人的投标报价等于评标基准价的得10分，投标报价比评标基准价每高1%扣</w:t>
            </w:r>
            <w:r>
              <w:rPr>
                <w:rFonts w:hint="eastAsia" w:ascii="宋体" w:hAnsi="宋体" w:eastAsia="宋体" w:cs="宋体"/>
                <w:color w:val="auto"/>
                <w:sz w:val="21"/>
                <w:szCs w:val="21"/>
                <w:highlight w:val="none"/>
                <w:lang w:val="en-US" w:eastAsia="zh-CN"/>
              </w:rPr>
              <w:t>0.2</w:t>
            </w:r>
            <w:r>
              <w:rPr>
                <w:rFonts w:hint="eastAsia" w:ascii="宋体" w:hAnsi="宋体" w:eastAsia="宋体" w:cs="宋体"/>
                <w:color w:val="auto"/>
                <w:sz w:val="21"/>
                <w:szCs w:val="21"/>
                <w:highlight w:val="none"/>
                <w:lang w:val="zh-CN"/>
              </w:rPr>
              <w:t>分；每低1%扣</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lang w:val="zh-CN"/>
              </w:rPr>
              <w:t>分，扣至0分为止。</w:t>
            </w:r>
          </w:p>
          <w:p w14:paraId="1CBE4B7F">
            <w:pPr>
              <w:pStyle w:val="62"/>
              <w:keepNext w:val="0"/>
              <w:keepLines w:val="0"/>
              <w:pageBreakBefore w:val="0"/>
              <w:widowControl w:val="0"/>
              <w:kinsoku/>
              <w:wordWrap/>
              <w:overflowPunct/>
              <w:topLinePunct/>
              <w:autoSpaceDE w:val="0"/>
              <w:autoSpaceDN w:val="0"/>
              <w:bidi w:val="0"/>
              <w:adjustRightInd/>
              <w:snapToGrid w:val="0"/>
              <w:spacing w:line="360" w:lineRule="exact"/>
              <w:ind w:left="105" w:leftChars="50" w:right="105" w:rightChars="50" w:firstLine="0" w:firstLineChars="0"/>
              <w:jc w:val="both"/>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b/>
                <w:bCs/>
                <w:color w:val="auto"/>
                <w:sz w:val="21"/>
                <w:szCs w:val="21"/>
                <w:highlight w:val="none"/>
                <w:lang w:eastAsia="zh-CN"/>
              </w:rPr>
              <w:t>注：</w:t>
            </w:r>
            <w:r>
              <w:rPr>
                <w:rFonts w:hint="eastAsia" w:ascii="宋体" w:hAnsi="宋体" w:eastAsia="宋体" w:cs="宋体"/>
                <w:b/>
                <w:bCs/>
                <w:color w:val="auto"/>
                <w:sz w:val="21"/>
                <w:szCs w:val="21"/>
                <w:highlight w:val="none"/>
                <w:u w:val="none"/>
                <w:lang w:val="en-US"/>
              </w:rPr>
              <w:t>本招标项目执行</w:t>
            </w:r>
            <w:r>
              <w:rPr>
                <w:rFonts w:hint="eastAsia" w:ascii="宋体" w:hAnsi="宋体" w:eastAsia="宋体" w:cs="宋体"/>
                <w:b/>
                <w:bCs/>
                <w:color w:val="auto"/>
                <w:sz w:val="21"/>
                <w:szCs w:val="21"/>
                <w:highlight w:val="none"/>
                <w:u w:val="none"/>
                <w:lang w:val="en-US" w:eastAsia="zh-CN"/>
              </w:rPr>
              <w:t>投标报价</w:t>
            </w:r>
            <w:r>
              <w:rPr>
                <w:rFonts w:hint="eastAsia" w:ascii="宋体" w:hAnsi="宋体" w:eastAsia="宋体" w:cs="宋体"/>
                <w:b/>
                <w:bCs/>
                <w:color w:val="auto"/>
                <w:sz w:val="21"/>
                <w:szCs w:val="21"/>
                <w:highlight w:val="none"/>
                <w:u w:val="none"/>
                <w:lang w:val="en-US"/>
              </w:rPr>
              <w:t>评审优惠政策</w:t>
            </w:r>
            <w:r>
              <w:rPr>
                <w:rFonts w:hint="eastAsia" w:ascii="宋体" w:hAnsi="宋体" w:eastAsia="宋体" w:cs="宋体"/>
                <w:b/>
                <w:bCs/>
                <w:color w:val="auto"/>
                <w:sz w:val="21"/>
                <w:szCs w:val="21"/>
                <w:highlight w:val="none"/>
                <w:u w:val="none"/>
                <w:lang w:val="en-US" w:eastAsia="zh-CN"/>
              </w:rPr>
              <w:t>，详见第二章</w:t>
            </w:r>
            <w:r>
              <w:rPr>
                <w:rFonts w:hint="eastAsia" w:ascii="宋体" w:hAnsi="宋体" w:eastAsia="宋体" w:cs="宋体"/>
                <w:b/>
                <w:bCs/>
                <w:color w:val="auto"/>
                <w:spacing w:val="0"/>
                <w:sz w:val="21"/>
                <w:szCs w:val="21"/>
                <w:highlight w:val="none"/>
                <w:u w:val="none"/>
              </w:rPr>
              <w:t>投标人须知前附表</w:t>
            </w:r>
            <w:r>
              <w:rPr>
                <w:rFonts w:hint="eastAsia" w:ascii="宋体" w:hAnsi="宋体" w:eastAsia="宋体" w:cs="宋体"/>
                <w:b/>
                <w:bCs/>
                <w:color w:val="auto"/>
                <w:spacing w:val="0"/>
                <w:sz w:val="21"/>
                <w:szCs w:val="21"/>
                <w:highlight w:val="none"/>
                <w:u w:val="none"/>
                <w:lang w:eastAsia="zh-CN"/>
              </w:rPr>
              <w:t>。</w:t>
            </w:r>
          </w:p>
        </w:tc>
      </w:tr>
    </w:tbl>
    <w:p w14:paraId="7F230CDC">
      <w:pPr>
        <w:rPr>
          <w:rFonts w:hint="eastAsia" w:ascii="宋体" w:hAnsi="宋体" w:eastAsia="宋体" w:cs="宋体"/>
          <w:vanish/>
          <w:color w:val="auto"/>
          <w:highlight w:val="none"/>
        </w:rPr>
      </w:pPr>
    </w:p>
    <w:p w14:paraId="59D14D02">
      <w:pPr>
        <w:rPr>
          <w:rFonts w:hint="eastAsia" w:ascii="宋体" w:hAnsi="宋体" w:eastAsia="宋体" w:cs="宋体"/>
          <w:vanish/>
          <w:color w:val="auto"/>
          <w:highlight w:val="none"/>
        </w:rPr>
      </w:pPr>
    </w:p>
    <w:p w14:paraId="16E7E84A">
      <w:pPr>
        <w:pStyle w:val="62"/>
        <w:ind w:firstLine="0" w:firstLineChars="0"/>
        <w:rPr>
          <w:rFonts w:hint="eastAsia" w:ascii="宋体" w:hAnsi="宋体" w:eastAsia="宋体" w:cs="宋体"/>
          <w:color w:val="auto"/>
          <w:highlight w:val="none"/>
        </w:rPr>
        <w:sectPr>
          <w:footerReference r:id="rId12" w:type="default"/>
          <w:pgSz w:w="11905" w:h="16838"/>
          <w:pgMar w:top="1344" w:right="1247" w:bottom="1106" w:left="1837" w:header="0" w:footer="680" w:gutter="0"/>
          <w:pgNumType w:fmt="decimal"/>
          <w:cols w:space="0" w:num="1"/>
          <w:rtlGutter w:val="0"/>
          <w:docGrid w:type="linesAndChars" w:linePitch="312" w:charSpace="0"/>
        </w:sectPr>
      </w:pPr>
    </w:p>
    <w:p w14:paraId="2BD16561">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377" w:name="_Toc31416"/>
      <w:bookmarkStart w:id="378" w:name="_Toc14199"/>
      <w:bookmarkStart w:id="379" w:name="_Toc4571"/>
      <w:bookmarkStart w:id="380" w:name="_Toc11950"/>
      <w:bookmarkStart w:id="381" w:name="_Toc7569"/>
      <w:bookmarkStart w:id="382" w:name="_Toc469"/>
      <w:r>
        <w:rPr>
          <w:rFonts w:hint="eastAsia" w:ascii="宋体" w:hAnsi="宋体" w:eastAsia="宋体" w:cs="宋体"/>
          <w:kern w:val="2"/>
          <w:lang w:val="en-US" w:eastAsia="zh-CN"/>
        </w:rPr>
        <w:t>1．评标方法</w:t>
      </w:r>
      <w:bookmarkEnd w:id="377"/>
      <w:bookmarkEnd w:id="378"/>
      <w:bookmarkEnd w:id="379"/>
      <w:bookmarkEnd w:id="380"/>
      <w:bookmarkEnd w:id="381"/>
      <w:bookmarkEnd w:id="382"/>
    </w:p>
    <w:p w14:paraId="5945D08A">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spacing w:val="1"/>
          <w:highlight w:val="none"/>
        </w:rPr>
      </w:pPr>
      <w:r>
        <w:rPr>
          <w:rFonts w:hint="eastAsia" w:ascii="宋体" w:hAnsi="宋体" w:eastAsia="宋体" w:cs="宋体"/>
          <w:color w:val="auto"/>
          <w:highlight w:val="none"/>
        </w:rPr>
        <w:t>本次评标采用综合评估法。评标委员会对满足招标文件实质性要求的投标文件，按照本章第 2.2 款规定的评分标准进行打分，并按得分由高到低顺序推荐中标候选人，但投标报价低于其成本的除</w:t>
      </w:r>
      <w:r>
        <w:rPr>
          <w:rFonts w:hint="eastAsia" w:ascii="宋体" w:hAnsi="宋体" w:eastAsia="宋体" w:cs="宋体"/>
          <w:color w:val="auto"/>
          <w:spacing w:val="-2"/>
          <w:highlight w:val="none"/>
        </w:rPr>
        <w:t>外。综合评分相等时，以投标报价低的优先；</w:t>
      </w:r>
      <w:r>
        <w:rPr>
          <w:rFonts w:hint="eastAsia" w:ascii="宋体" w:hAnsi="宋体" w:eastAsia="宋体" w:cs="宋体"/>
          <w:color w:val="auto"/>
          <w:spacing w:val="1"/>
          <w:highlight w:val="none"/>
        </w:rPr>
        <w:t>投标报价也相等的，以</w:t>
      </w:r>
      <w:r>
        <w:rPr>
          <w:rFonts w:hint="eastAsia" w:ascii="宋体" w:hAnsi="宋体" w:eastAsia="宋体" w:cs="宋体"/>
          <w:color w:val="auto"/>
          <w:sz w:val="21"/>
          <w:szCs w:val="21"/>
          <w:highlight w:val="none"/>
          <w:u w:val="single"/>
          <w:lang w:eastAsia="zh-CN"/>
        </w:rPr>
        <w:t>服务</w:t>
      </w:r>
      <w:r>
        <w:rPr>
          <w:rFonts w:hint="eastAsia" w:ascii="宋体" w:hAnsi="宋体" w:eastAsia="宋体" w:cs="宋体"/>
          <w:color w:val="auto"/>
          <w:sz w:val="21"/>
          <w:szCs w:val="21"/>
          <w:highlight w:val="none"/>
          <w:u w:val="single"/>
        </w:rPr>
        <w:t>方案</w:t>
      </w:r>
      <w:r>
        <w:rPr>
          <w:rFonts w:hint="eastAsia" w:ascii="宋体" w:hAnsi="宋体" w:eastAsia="宋体" w:cs="宋体"/>
          <w:color w:val="auto"/>
          <w:spacing w:val="1"/>
          <w:highlight w:val="none"/>
        </w:rPr>
        <w:t>得分</w:t>
      </w:r>
      <w:r>
        <w:rPr>
          <w:rFonts w:hint="eastAsia" w:ascii="宋体" w:hAnsi="宋体" w:eastAsia="宋体" w:cs="宋体"/>
          <w:color w:val="auto"/>
          <w:highlight w:val="none"/>
        </w:rPr>
        <w:t>高的优先；如果</w:t>
      </w:r>
      <w:r>
        <w:rPr>
          <w:rFonts w:hint="eastAsia" w:ascii="宋体" w:hAnsi="宋体" w:eastAsia="宋体" w:cs="宋体"/>
          <w:color w:val="auto"/>
          <w:sz w:val="21"/>
          <w:szCs w:val="21"/>
          <w:highlight w:val="none"/>
          <w:u w:val="single"/>
          <w:lang w:eastAsia="zh-CN"/>
        </w:rPr>
        <w:t>服务</w:t>
      </w:r>
      <w:r>
        <w:rPr>
          <w:rFonts w:hint="eastAsia" w:ascii="宋体" w:hAnsi="宋体" w:eastAsia="宋体" w:cs="宋体"/>
          <w:color w:val="auto"/>
          <w:sz w:val="21"/>
          <w:szCs w:val="21"/>
          <w:highlight w:val="none"/>
          <w:u w:val="single"/>
        </w:rPr>
        <w:t>方案</w:t>
      </w:r>
      <w:r>
        <w:rPr>
          <w:rFonts w:hint="eastAsia" w:ascii="宋体" w:hAnsi="宋体" w:eastAsia="宋体" w:cs="宋体"/>
          <w:color w:val="auto"/>
          <w:highlight w:val="none"/>
        </w:rPr>
        <w:t>得分也相等，按照评标办法前附</w:t>
      </w:r>
      <w:r>
        <w:rPr>
          <w:rFonts w:hint="eastAsia" w:ascii="宋体" w:hAnsi="宋体" w:eastAsia="宋体" w:cs="宋体"/>
          <w:color w:val="auto"/>
          <w:spacing w:val="-4"/>
          <w:highlight w:val="none"/>
        </w:rPr>
        <w:t>表的规</w:t>
      </w:r>
      <w:r>
        <w:rPr>
          <w:rFonts w:hint="eastAsia" w:ascii="宋体" w:hAnsi="宋体" w:eastAsia="宋体" w:cs="宋体"/>
          <w:color w:val="auto"/>
          <w:spacing w:val="-3"/>
          <w:highlight w:val="none"/>
        </w:rPr>
        <w:t>定</w:t>
      </w:r>
      <w:r>
        <w:rPr>
          <w:rFonts w:hint="eastAsia" w:ascii="宋体" w:hAnsi="宋体" w:eastAsia="宋体" w:cs="宋体"/>
          <w:color w:val="auto"/>
          <w:spacing w:val="-2"/>
          <w:highlight w:val="none"/>
        </w:rPr>
        <w:t>确定中标候选人顺序。</w:t>
      </w:r>
    </w:p>
    <w:p w14:paraId="1A53B690">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383" w:name="_Toc20461"/>
      <w:bookmarkStart w:id="384" w:name="_Toc14937"/>
      <w:bookmarkStart w:id="385" w:name="_Toc32401"/>
      <w:bookmarkStart w:id="386" w:name="_Toc583"/>
      <w:bookmarkStart w:id="387" w:name="_Toc23823"/>
      <w:bookmarkStart w:id="388" w:name="_Toc21752"/>
      <w:r>
        <w:rPr>
          <w:rFonts w:hint="eastAsia" w:ascii="宋体" w:hAnsi="宋体" w:eastAsia="宋体" w:cs="宋体"/>
          <w:kern w:val="2"/>
          <w:lang w:val="en-US" w:eastAsia="zh-CN"/>
        </w:rPr>
        <w:t>2．评审标准</w:t>
      </w:r>
      <w:bookmarkEnd w:id="383"/>
      <w:bookmarkEnd w:id="384"/>
      <w:bookmarkEnd w:id="385"/>
      <w:bookmarkEnd w:id="386"/>
      <w:bookmarkEnd w:id="387"/>
      <w:bookmarkEnd w:id="388"/>
    </w:p>
    <w:p w14:paraId="2A4BEE6D">
      <w:pPr>
        <w:spacing w:before="68" w:line="352" w:lineRule="auto"/>
        <w:ind w:right="72"/>
        <w:rPr>
          <w:rFonts w:hint="eastAsia" w:ascii="宋体" w:hAnsi="宋体" w:eastAsia="宋体" w:cs="宋体"/>
          <w:b/>
          <w:bCs/>
          <w:color w:val="auto"/>
          <w:spacing w:val="-2"/>
          <w:sz w:val="24"/>
          <w:szCs w:val="24"/>
          <w:highlight w:val="none"/>
        </w:rPr>
      </w:pPr>
      <w:bookmarkStart w:id="389" w:name="_Toc29338"/>
      <w:bookmarkStart w:id="390" w:name="_Toc31870"/>
      <w:bookmarkStart w:id="391" w:name="_Toc19634"/>
      <w:bookmarkStart w:id="392" w:name="_Toc26285"/>
      <w:bookmarkStart w:id="393" w:name="_Toc28896"/>
      <w:r>
        <w:rPr>
          <w:rFonts w:hint="eastAsia" w:ascii="宋体" w:hAnsi="宋体" w:eastAsia="宋体" w:cs="宋体"/>
          <w:b/>
          <w:bCs/>
          <w:color w:val="auto"/>
          <w:spacing w:val="-2"/>
          <w:sz w:val="24"/>
          <w:szCs w:val="24"/>
          <w:highlight w:val="none"/>
        </w:rPr>
        <w:t>2.1 初步评审标准</w:t>
      </w:r>
      <w:bookmarkEnd w:id="389"/>
      <w:bookmarkEnd w:id="390"/>
      <w:bookmarkEnd w:id="391"/>
      <w:bookmarkEnd w:id="392"/>
      <w:bookmarkEnd w:id="393"/>
    </w:p>
    <w:p w14:paraId="3FABC1F1">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2.1.1 资格评审标准：见评标办法前附表。</w:t>
      </w:r>
    </w:p>
    <w:p w14:paraId="381FFFE2">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2.1.2 商务文件形式评审标准：见评标办法前附表。</w:t>
      </w:r>
    </w:p>
    <w:p w14:paraId="239A9C54">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2.1.3 商务文件响应性评审标准：见评标办法前附表。</w:t>
      </w:r>
    </w:p>
    <w:p w14:paraId="17C3E524">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spacing w:val="-2"/>
          <w:highlight w:val="none"/>
          <w:lang w:val="en-US" w:eastAsia="zh-CN"/>
        </w:rPr>
      </w:pPr>
      <w:r>
        <w:rPr>
          <w:rFonts w:hint="eastAsia" w:ascii="宋体" w:hAnsi="宋体" w:eastAsia="宋体" w:cs="宋体"/>
          <w:color w:val="auto"/>
          <w:highlight w:val="none"/>
          <w:lang w:val="en-US" w:eastAsia="zh-CN"/>
        </w:rPr>
        <w:t>2.1.4 服务方案响应性评审标准：见评标办法前附表。</w:t>
      </w:r>
    </w:p>
    <w:p w14:paraId="391A487D">
      <w:pPr>
        <w:spacing w:before="68" w:line="352" w:lineRule="auto"/>
        <w:ind w:right="72"/>
        <w:rPr>
          <w:rFonts w:hint="eastAsia" w:ascii="宋体" w:hAnsi="宋体" w:eastAsia="宋体" w:cs="宋体"/>
          <w:b/>
          <w:bCs/>
          <w:color w:val="auto"/>
          <w:spacing w:val="-2"/>
          <w:sz w:val="24"/>
          <w:szCs w:val="24"/>
          <w:highlight w:val="none"/>
        </w:rPr>
      </w:pPr>
      <w:bookmarkStart w:id="394" w:name="_Toc4858"/>
      <w:bookmarkStart w:id="395" w:name="_Toc7108"/>
      <w:bookmarkStart w:id="396" w:name="_Toc32223"/>
      <w:bookmarkStart w:id="397" w:name="_Toc7416"/>
      <w:bookmarkStart w:id="398" w:name="_Toc17564"/>
      <w:r>
        <w:rPr>
          <w:rFonts w:hint="eastAsia" w:ascii="宋体" w:hAnsi="宋体" w:eastAsia="宋体" w:cs="宋体"/>
          <w:b/>
          <w:bCs/>
          <w:color w:val="auto"/>
          <w:spacing w:val="-2"/>
          <w:sz w:val="24"/>
          <w:szCs w:val="24"/>
          <w:highlight w:val="none"/>
        </w:rPr>
        <w:t>2.2 分值构成与评分标准</w:t>
      </w:r>
      <w:bookmarkEnd w:id="394"/>
      <w:bookmarkEnd w:id="395"/>
      <w:bookmarkEnd w:id="396"/>
      <w:bookmarkEnd w:id="397"/>
      <w:bookmarkEnd w:id="398"/>
    </w:p>
    <w:p w14:paraId="6D2E7407">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2.2.1 分值构成</w:t>
      </w:r>
    </w:p>
    <w:p w14:paraId="32F39DA7">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(1)资信业绩部分：见评标办法前附表；</w:t>
      </w:r>
    </w:p>
    <w:p w14:paraId="70A7DFC7">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(2)服务方案部分：见评标办法前附表；</w:t>
      </w:r>
    </w:p>
    <w:p w14:paraId="3A693B12">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(3)投标报价：见评标办法前附表；</w:t>
      </w:r>
    </w:p>
    <w:p w14:paraId="5B3DCB30">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2.2.2 评标基准价计算</w:t>
      </w:r>
    </w:p>
    <w:p w14:paraId="3A2AC5AC">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评标基准价计算方法：见评标办法前附表。</w:t>
      </w:r>
    </w:p>
    <w:p w14:paraId="32692C59">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2.2.3 投标报价的偏差率计算</w:t>
      </w:r>
    </w:p>
    <w:p w14:paraId="75134787">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投标报价的偏差率计算公式：见评标办法前附表。</w:t>
      </w:r>
    </w:p>
    <w:p w14:paraId="7D0001CA">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2.2.4 评分标准</w:t>
      </w:r>
    </w:p>
    <w:p w14:paraId="7BA5F844">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(1)资信业绩评分标准：见评标办法前附表；</w:t>
      </w:r>
    </w:p>
    <w:p w14:paraId="7A42B2C3">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(2)服务方案评分标准：见评标办法前附表；</w:t>
      </w:r>
    </w:p>
    <w:p w14:paraId="3F8A2299">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(3)投标报价评分标准：见评标办法前附表；</w:t>
      </w:r>
    </w:p>
    <w:p w14:paraId="2F8D2DE5">
      <w:pPr>
        <w:spacing w:before="68" w:line="352" w:lineRule="auto"/>
        <w:ind w:right="72"/>
        <w:rPr>
          <w:rFonts w:hint="eastAsia" w:ascii="宋体" w:hAnsi="宋体" w:eastAsia="宋体" w:cs="宋体"/>
          <w:b/>
          <w:bCs/>
          <w:color w:val="auto"/>
          <w:spacing w:val="-2"/>
          <w:sz w:val="24"/>
          <w:szCs w:val="24"/>
          <w:highlight w:val="none"/>
        </w:rPr>
      </w:pPr>
      <w:bookmarkStart w:id="399" w:name="_Toc14114"/>
      <w:bookmarkStart w:id="400" w:name="_Toc24443"/>
      <w:bookmarkStart w:id="401" w:name="_Toc15057"/>
      <w:bookmarkStart w:id="402" w:name="_Toc6084"/>
      <w:bookmarkStart w:id="403" w:name="_Toc16620"/>
      <w:r>
        <w:rPr>
          <w:rFonts w:hint="eastAsia" w:ascii="宋体" w:hAnsi="宋体" w:eastAsia="宋体" w:cs="宋体"/>
          <w:b/>
          <w:bCs/>
          <w:color w:val="auto"/>
          <w:spacing w:val="-2"/>
          <w:sz w:val="24"/>
          <w:szCs w:val="24"/>
          <w:highlight w:val="none"/>
          <w:lang w:val="en-US" w:eastAsia="zh-CN"/>
        </w:rPr>
        <w:t>2.3</w:t>
      </w:r>
      <w:bookmarkStart w:id="404" w:name="_Toc87007453"/>
      <w:r>
        <w:rPr>
          <w:rFonts w:hint="eastAsia" w:ascii="宋体" w:hAnsi="宋体" w:eastAsia="宋体" w:cs="宋体"/>
          <w:b/>
          <w:bCs/>
          <w:color w:val="auto"/>
          <w:spacing w:val="-2"/>
          <w:sz w:val="24"/>
          <w:szCs w:val="24"/>
          <w:highlight w:val="none"/>
        </w:rPr>
        <w:t xml:space="preserve"> 揭晓技术文件评审结果</w:t>
      </w:r>
      <w:bookmarkEnd w:id="404"/>
    </w:p>
    <w:p w14:paraId="6D8712E2">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2.3</w:t>
      </w:r>
      <w:r>
        <w:rPr>
          <w:rFonts w:hint="eastAsia" w:ascii="宋体" w:hAnsi="宋体" w:eastAsia="宋体" w:cs="宋体"/>
          <w:color w:val="auto"/>
          <w:highlight w:val="none"/>
        </w:rPr>
        <w:t>.1 由评标委员会在中心系统揭晓，系统自动形成暗标编码表显示各投标单位对应的编码，并由评标委员会确认投标人技术文件的评审得分。</w:t>
      </w:r>
    </w:p>
    <w:p w14:paraId="6EA5346E">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405" w:name="_Toc26840"/>
      <w:r>
        <w:rPr>
          <w:rFonts w:hint="eastAsia" w:ascii="宋体" w:hAnsi="宋体" w:eastAsia="宋体" w:cs="宋体"/>
          <w:kern w:val="2"/>
          <w:lang w:val="en-US" w:eastAsia="zh-CN"/>
        </w:rPr>
        <w:t>3．评标程序</w:t>
      </w:r>
      <w:bookmarkEnd w:id="399"/>
      <w:bookmarkEnd w:id="400"/>
      <w:bookmarkEnd w:id="401"/>
      <w:bookmarkEnd w:id="402"/>
      <w:bookmarkEnd w:id="403"/>
      <w:bookmarkEnd w:id="405"/>
    </w:p>
    <w:p w14:paraId="02B50D5D">
      <w:pPr>
        <w:spacing w:before="68" w:line="352" w:lineRule="auto"/>
        <w:ind w:right="72"/>
        <w:rPr>
          <w:rFonts w:hint="eastAsia" w:ascii="宋体" w:hAnsi="宋体" w:eastAsia="宋体" w:cs="宋体"/>
          <w:b/>
          <w:bCs/>
          <w:color w:val="auto"/>
          <w:spacing w:val="-2"/>
          <w:sz w:val="24"/>
          <w:szCs w:val="24"/>
          <w:highlight w:val="none"/>
        </w:rPr>
      </w:pPr>
      <w:bookmarkStart w:id="406" w:name="_Toc27749"/>
      <w:bookmarkStart w:id="407" w:name="_Toc6976"/>
      <w:bookmarkStart w:id="408" w:name="_Toc15440"/>
      <w:bookmarkStart w:id="409" w:name="_Toc12442"/>
      <w:bookmarkStart w:id="410" w:name="_Toc18050"/>
      <w:r>
        <w:rPr>
          <w:rFonts w:hint="eastAsia" w:ascii="宋体" w:hAnsi="宋体" w:eastAsia="宋体" w:cs="宋体"/>
          <w:b/>
          <w:bCs/>
          <w:color w:val="auto"/>
          <w:spacing w:val="-2"/>
          <w:sz w:val="24"/>
          <w:szCs w:val="24"/>
          <w:highlight w:val="none"/>
        </w:rPr>
        <w:t>3.1 初步评审</w:t>
      </w:r>
      <w:bookmarkEnd w:id="406"/>
      <w:bookmarkEnd w:id="407"/>
      <w:bookmarkEnd w:id="408"/>
      <w:bookmarkEnd w:id="409"/>
      <w:bookmarkEnd w:id="410"/>
    </w:p>
    <w:p w14:paraId="6A62C240">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3.1.1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评标委员会可以要求投标人提交第二章“投标人须知”规定的有关证明和证件的原件， 以便核验。评标委员会依据本章第2.1 款规定的标准对投标文件进行初步评审。有一项不符合评审标准的，评标委员会应当否决其投标。</w:t>
      </w:r>
    </w:p>
    <w:p w14:paraId="4C851FDE">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3.1.2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投标人有以下情形之一的，评标委员会应当否决其投标：</w:t>
      </w:r>
    </w:p>
    <w:p w14:paraId="63E3F2EC">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(1)投标文件没有对招标文件的实质性要求和条件作出响应，或者对招标文件的偏差超出 招标文件规定的偏差范围或最高项数；</w:t>
      </w:r>
    </w:p>
    <w:p w14:paraId="6CFE95D0">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(2)有以他人名义投标、串通投标、弄虚作假、行贿等违法行为。</w:t>
      </w:r>
    </w:p>
    <w:p w14:paraId="5F840ACE">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)以向招标人或者评标委员会成员行贿的手段谋取中标。</w:t>
      </w:r>
    </w:p>
    <w:p w14:paraId="738207A0">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3.1.3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投标报价有算术错误及其他错误的，评标委员会按以下原则要求投标人对投标报价进行修正，并要求投标人书面澄清确认。投标人拒不澄清确认的，评标委员会应当否决其投标：</w:t>
      </w:r>
    </w:p>
    <w:p w14:paraId="723F7F23">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(1)投标文件中的大写金额与小写金额不一致的，以大写金额为准；</w:t>
      </w:r>
    </w:p>
    <w:p w14:paraId="0CE2E373">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)总价金额与单价金额不一致的，以单价金额为准，但单价金额小数点有明显错误的除外。</w:t>
      </w:r>
    </w:p>
    <w:p w14:paraId="578DCE88">
      <w:pPr>
        <w:spacing w:before="68" w:line="352" w:lineRule="auto"/>
        <w:ind w:right="72"/>
        <w:rPr>
          <w:rFonts w:hint="eastAsia" w:ascii="宋体" w:hAnsi="宋体" w:eastAsia="宋体" w:cs="宋体"/>
          <w:b/>
          <w:bCs/>
          <w:color w:val="auto"/>
          <w:spacing w:val="-2"/>
          <w:sz w:val="24"/>
          <w:szCs w:val="24"/>
          <w:highlight w:val="none"/>
        </w:rPr>
      </w:pPr>
      <w:bookmarkStart w:id="411" w:name="_Toc23010"/>
      <w:bookmarkStart w:id="412" w:name="_Toc28201"/>
      <w:bookmarkStart w:id="413" w:name="_Toc22441"/>
      <w:bookmarkStart w:id="414" w:name="_Toc6309"/>
      <w:bookmarkStart w:id="415" w:name="_Toc11953"/>
      <w:r>
        <w:rPr>
          <w:rFonts w:hint="eastAsia" w:ascii="宋体" w:hAnsi="宋体" w:eastAsia="宋体" w:cs="宋体"/>
          <w:b/>
          <w:bCs/>
          <w:color w:val="auto"/>
          <w:spacing w:val="-2"/>
          <w:sz w:val="24"/>
          <w:szCs w:val="24"/>
          <w:highlight w:val="none"/>
        </w:rPr>
        <w:t>3.2 详细评审</w:t>
      </w:r>
      <w:bookmarkEnd w:id="411"/>
      <w:bookmarkEnd w:id="412"/>
      <w:bookmarkEnd w:id="413"/>
      <w:bookmarkEnd w:id="414"/>
      <w:bookmarkEnd w:id="415"/>
    </w:p>
    <w:p w14:paraId="14FFCE62">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3.2.1 评标委员会按本章第 2.2 款规定的量化因素和分值进行打分，并计算出综合评估得分。 </w:t>
      </w:r>
    </w:p>
    <w:p w14:paraId="20B03C29">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spacing w:val="-8"/>
          <w:highlight w:val="none"/>
        </w:rPr>
      </w:pPr>
      <w:r>
        <w:rPr>
          <w:rFonts w:hint="eastAsia" w:ascii="宋体" w:hAnsi="宋体" w:eastAsia="宋体" w:cs="宋体"/>
          <w:color w:val="auto"/>
          <w:highlight w:val="none"/>
        </w:rPr>
        <w:t>(1)按本章第 2.2.4(1)目规定的评审因素和分值对资信业绩</w:t>
      </w:r>
      <w:r>
        <w:rPr>
          <w:rFonts w:hint="eastAsia" w:ascii="宋体" w:hAnsi="宋体" w:eastAsia="宋体" w:cs="宋体"/>
          <w:color w:val="auto"/>
          <w:spacing w:val="2"/>
          <w:highlight w:val="none"/>
        </w:rPr>
        <w:t>部分计算出得分</w:t>
      </w:r>
      <w:r>
        <w:rPr>
          <w:rFonts w:hint="eastAsia" w:ascii="宋体" w:hAnsi="宋体" w:eastAsia="宋体" w:cs="宋体"/>
          <w:color w:val="auto"/>
          <w:highlight w:val="none"/>
        </w:rPr>
        <w:t>A，</w:t>
      </w:r>
      <w:r>
        <w:rPr>
          <w:rFonts w:hint="eastAsia" w:ascii="宋体" w:hAnsi="宋体" w:eastAsia="宋体" w:cs="宋体"/>
          <w:color w:val="auto"/>
          <w:highlight w:val="none"/>
          <w:u w:val="single"/>
        </w:rPr>
        <w:t>资信业绩部分评审得分A为各评标专家打分的算术平均值</w:t>
      </w:r>
      <w:r>
        <w:rPr>
          <w:rFonts w:hint="eastAsia" w:ascii="宋体" w:hAnsi="宋体" w:eastAsia="宋体" w:cs="宋体"/>
          <w:color w:val="auto"/>
          <w:spacing w:val="2"/>
          <w:highlight w:val="none"/>
        </w:rPr>
        <w:t>；</w:t>
      </w:r>
    </w:p>
    <w:p w14:paraId="679B7655">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spacing w:val="1"/>
          <w:highlight w:val="none"/>
        </w:rPr>
      </w:pPr>
      <w:r>
        <w:rPr>
          <w:rFonts w:hint="eastAsia" w:ascii="宋体" w:hAnsi="宋体" w:eastAsia="宋体" w:cs="宋体"/>
          <w:color w:val="auto"/>
          <w:highlight w:val="none"/>
        </w:rPr>
        <w:t>(2)按本章第 2.2.4(2)目规定的评审因素和分值对</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方案部分计算出得分B，</w:t>
      </w:r>
      <w:r>
        <w:rPr>
          <w:rFonts w:hint="eastAsia" w:ascii="宋体" w:hAnsi="宋体" w:eastAsia="宋体" w:cs="宋体"/>
          <w:color w:val="auto"/>
          <w:spacing w:val="-12"/>
          <w:sz w:val="21"/>
          <w:szCs w:val="21"/>
          <w:highlight w:val="none"/>
          <w:u w:val="single"/>
          <w:lang w:eastAsia="zh-CN"/>
        </w:rPr>
        <w:t>服务</w:t>
      </w:r>
      <w:r>
        <w:rPr>
          <w:rFonts w:hint="eastAsia" w:ascii="宋体" w:hAnsi="宋体" w:eastAsia="宋体" w:cs="宋体"/>
          <w:color w:val="auto"/>
          <w:spacing w:val="-6"/>
          <w:sz w:val="21"/>
          <w:szCs w:val="21"/>
          <w:highlight w:val="none"/>
          <w:u w:val="single"/>
        </w:rPr>
        <w:t>方案</w:t>
      </w:r>
      <w:r>
        <w:rPr>
          <w:rFonts w:hint="eastAsia" w:ascii="宋体" w:hAnsi="宋体" w:eastAsia="宋体" w:cs="宋体"/>
          <w:color w:val="auto"/>
          <w:highlight w:val="none"/>
          <w:u w:val="single"/>
        </w:rPr>
        <w:t>部分评审得分B为从各评标专家打分中去掉一个最高分和去掉一个最低分后的剩余评标专家打分的算术平均值</w:t>
      </w:r>
      <w:r>
        <w:rPr>
          <w:rFonts w:hint="eastAsia" w:ascii="宋体" w:hAnsi="宋体" w:eastAsia="宋体" w:cs="宋体"/>
          <w:color w:val="auto"/>
          <w:spacing w:val="1"/>
          <w:highlight w:val="none"/>
        </w:rPr>
        <w:t>；</w:t>
      </w:r>
    </w:p>
    <w:p w14:paraId="53C46ADB">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)揭晓技术文件评审结果</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由评标委员会在中心系统揭晓，系统自动形成暗标编码表显示各投标单位对应的编码，并由评标委员会确认投标人技术文件的评审得分。</w:t>
      </w:r>
    </w:p>
    <w:p w14:paraId="49FFC1E2">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)按本章第 2.2.4(3)目规定的评审因素和分值对投标报价计算出得分C；           </w:t>
      </w:r>
    </w:p>
    <w:p w14:paraId="66B67335">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3.2.2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评分分值计算保留小数点后两位，小数点后第三位“四舍五入”。</w:t>
      </w:r>
    </w:p>
    <w:p w14:paraId="42BB39CD">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416" w:firstLineChars="200"/>
        <w:jc w:val="both"/>
        <w:textAlignment w:val="auto"/>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3.2.3</w:t>
      </w:r>
      <w:r>
        <w:rPr>
          <w:rFonts w:hint="eastAsia" w:ascii="宋体" w:hAnsi="宋体" w:eastAsia="宋体" w:cs="宋体"/>
          <w:color w:val="auto"/>
          <w:spacing w:val="-1"/>
          <w:highlight w:val="none"/>
          <w:lang w:val="en-US" w:eastAsia="zh-CN"/>
        </w:rPr>
        <w:t xml:space="preserve"> </w:t>
      </w:r>
      <w:r>
        <w:rPr>
          <w:rFonts w:hint="eastAsia" w:ascii="宋体" w:hAnsi="宋体" w:eastAsia="宋体" w:cs="宋体"/>
          <w:color w:val="auto"/>
          <w:spacing w:val="-1"/>
          <w:highlight w:val="none"/>
        </w:rPr>
        <w:t>投标</w:t>
      </w:r>
      <w:r>
        <w:rPr>
          <w:rFonts w:hint="eastAsia" w:ascii="宋体" w:hAnsi="宋体" w:eastAsia="宋体" w:cs="宋体"/>
          <w:color w:val="auto"/>
          <w:highlight w:val="none"/>
        </w:rPr>
        <w:t>人得分=</w:t>
      </w:r>
      <w:r>
        <w:rPr>
          <w:rFonts w:hint="eastAsia" w:ascii="宋体" w:hAnsi="宋体" w:eastAsia="宋体" w:cs="宋体"/>
          <w:color w:val="auto"/>
          <w:highlight w:val="none"/>
          <w:u w:val="single"/>
        </w:rPr>
        <w:t>A+B+C</w:t>
      </w:r>
      <w:r>
        <w:rPr>
          <w:rFonts w:hint="eastAsia" w:ascii="宋体" w:hAnsi="宋体" w:eastAsia="宋体" w:cs="宋体"/>
          <w:color w:val="auto"/>
          <w:highlight w:val="none"/>
        </w:rPr>
        <w:t>。</w:t>
      </w:r>
    </w:p>
    <w:p w14:paraId="18C4861F">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3.2.4</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63B82D3E">
      <w:pPr>
        <w:spacing w:before="68" w:line="352" w:lineRule="auto"/>
        <w:ind w:right="72"/>
        <w:rPr>
          <w:rFonts w:hint="eastAsia" w:ascii="宋体" w:hAnsi="宋体" w:eastAsia="宋体" w:cs="宋体"/>
          <w:b/>
          <w:bCs/>
          <w:color w:val="auto"/>
          <w:spacing w:val="-2"/>
          <w:sz w:val="24"/>
          <w:szCs w:val="24"/>
          <w:highlight w:val="none"/>
        </w:rPr>
      </w:pPr>
      <w:bookmarkStart w:id="416" w:name="_Toc28101"/>
      <w:bookmarkStart w:id="417" w:name="_Toc19706"/>
      <w:bookmarkStart w:id="418" w:name="_Toc31386"/>
      <w:bookmarkStart w:id="419" w:name="_Toc6194"/>
      <w:bookmarkStart w:id="420" w:name="_Toc4481"/>
      <w:r>
        <w:rPr>
          <w:rFonts w:hint="eastAsia" w:ascii="宋体" w:hAnsi="宋体" w:eastAsia="宋体" w:cs="宋体"/>
          <w:b/>
          <w:bCs/>
          <w:color w:val="auto"/>
          <w:spacing w:val="-2"/>
          <w:sz w:val="24"/>
          <w:szCs w:val="24"/>
          <w:highlight w:val="none"/>
        </w:rPr>
        <w:t>3.3 投标文件的澄清</w:t>
      </w:r>
      <w:bookmarkEnd w:id="416"/>
      <w:bookmarkEnd w:id="417"/>
      <w:bookmarkEnd w:id="418"/>
      <w:bookmarkEnd w:id="419"/>
      <w:bookmarkEnd w:id="420"/>
    </w:p>
    <w:p w14:paraId="074BA9F7">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3.3.1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在评标过程中，经评标委员会中两人以上（含两人）以书面形式提出动议，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2DD3392C">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3.3.2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澄清、说明或补正不得超出投标文件的范围且不得改变投标文件的实质性内容，并构 成投标文件的组成部分。</w:t>
      </w:r>
    </w:p>
    <w:p w14:paraId="7C0CC76F">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3.3.3 评标委员会对投标人提交的澄清、说明或补正有疑问的，可以要求投标人进一步澄清、说明或补正，直至满足评标委员会的要求。</w:t>
      </w:r>
    </w:p>
    <w:p w14:paraId="2069A1D9">
      <w:pPr>
        <w:spacing w:before="68" w:line="352" w:lineRule="auto"/>
        <w:ind w:right="72"/>
        <w:rPr>
          <w:rFonts w:hint="eastAsia" w:ascii="宋体" w:hAnsi="宋体" w:eastAsia="宋体" w:cs="宋体"/>
          <w:b/>
          <w:bCs/>
          <w:color w:val="auto"/>
          <w:spacing w:val="-2"/>
          <w:sz w:val="24"/>
          <w:szCs w:val="24"/>
          <w:highlight w:val="none"/>
        </w:rPr>
      </w:pPr>
      <w:bookmarkStart w:id="421" w:name="_Toc22248"/>
      <w:bookmarkStart w:id="422" w:name="_Toc15725"/>
      <w:bookmarkStart w:id="423" w:name="_Toc17553"/>
      <w:bookmarkStart w:id="424" w:name="_Toc12541"/>
      <w:bookmarkStart w:id="425" w:name="_Toc19969"/>
      <w:r>
        <w:rPr>
          <w:rFonts w:hint="eastAsia" w:ascii="宋体" w:hAnsi="宋体" w:eastAsia="宋体" w:cs="宋体"/>
          <w:b/>
          <w:bCs/>
          <w:color w:val="auto"/>
          <w:spacing w:val="-2"/>
          <w:sz w:val="24"/>
          <w:szCs w:val="24"/>
          <w:highlight w:val="none"/>
        </w:rPr>
        <w:t>3.4 评标结果</w:t>
      </w:r>
      <w:bookmarkEnd w:id="421"/>
      <w:bookmarkEnd w:id="422"/>
      <w:bookmarkEnd w:id="423"/>
      <w:bookmarkEnd w:id="424"/>
      <w:bookmarkEnd w:id="425"/>
    </w:p>
    <w:p w14:paraId="01B852D5">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3.4.1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除第二章“投标人须知”前附表授权直接确定中标人外，评标委员会按照得分由高到低 的</w:t>
      </w:r>
      <w:r>
        <w:rPr>
          <w:rFonts w:hint="eastAsia" w:ascii="宋体" w:hAnsi="宋体" w:eastAsia="宋体" w:cs="宋体"/>
          <w:color w:val="auto"/>
          <w:highlight w:val="none"/>
          <w:lang w:val="en-US" w:eastAsia="zh-CN"/>
        </w:rPr>
        <w:t>顺序</w:t>
      </w:r>
      <w:r>
        <w:rPr>
          <w:rFonts w:hint="eastAsia" w:ascii="宋体" w:hAnsi="宋体" w:eastAsia="宋体" w:cs="宋体"/>
          <w:color w:val="auto"/>
          <w:highlight w:val="none"/>
        </w:rPr>
        <w:t>推荐中标候选人，并标明排序。</w:t>
      </w:r>
    </w:p>
    <w:p w14:paraId="54B70630">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sectPr>
          <w:footerReference r:id="rId13" w:type="default"/>
          <w:pgSz w:w="11905" w:h="16838"/>
          <w:pgMar w:top="1344" w:right="1247" w:bottom="1106" w:left="1837" w:header="0" w:footer="680" w:gutter="0"/>
          <w:pgNumType w:fmt="decimal"/>
          <w:cols w:space="0" w:num="1"/>
          <w:rtlGutter w:val="0"/>
          <w:docGrid w:type="linesAndChars" w:linePitch="312" w:charSpace="0"/>
        </w:sectPr>
      </w:pPr>
      <w:r>
        <w:rPr>
          <w:rFonts w:hint="eastAsia" w:ascii="宋体" w:hAnsi="宋体" w:eastAsia="宋体" w:cs="宋体"/>
          <w:color w:val="auto"/>
          <w:highlight w:val="none"/>
        </w:rPr>
        <w:t>3.4.2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评标委员会完成评标后，应当向招标人提交书面评标报告和中标候选人名单。</w:t>
      </w:r>
    </w:p>
    <w:p w14:paraId="6067A648">
      <w:pPr>
        <w:pStyle w:val="34"/>
        <w:rPr>
          <w:rFonts w:hint="eastAsia" w:ascii="宋体" w:hAnsi="宋体" w:eastAsia="宋体" w:cs="宋体"/>
          <w:b/>
          <w:bCs w:val="0"/>
          <w:color w:val="auto"/>
          <w:spacing w:val="24"/>
          <w:szCs w:val="44"/>
          <w:highlight w:val="none"/>
          <w:lang w:val="en-US" w:eastAsia="zh-CN"/>
        </w:rPr>
      </w:pPr>
      <w:bookmarkStart w:id="426" w:name="_Toc29015"/>
      <w:bookmarkStart w:id="427" w:name="_Toc32495"/>
      <w:bookmarkStart w:id="428" w:name="_Toc96"/>
      <w:bookmarkStart w:id="429" w:name="_Toc24043"/>
      <w:bookmarkStart w:id="430" w:name="_Toc21819"/>
      <w:r>
        <w:rPr>
          <w:rFonts w:hint="eastAsia" w:ascii="宋体" w:hAnsi="宋体" w:eastAsia="宋体" w:cs="宋体"/>
          <w:b/>
          <w:bCs w:val="0"/>
          <w:color w:val="auto"/>
          <w:spacing w:val="24"/>
          <w:szCs w:val="44"/>
          <w:highlight w:val="none"/>
        </w:rPr>
        <w:t>第四章</w:t>
      </w:r>
      <w:r>
        <w:rPr>
          <w:rFonts w:hint="eastAsia" w:ascii="宋体" w:hAnsi="宋体" w:cs="宋体"/>
          <w:b/>
          <w:bCs w:val="0"/>
          <w:color w:val="auto"/>
          <w:spacing w:val="24"/>
          <w:szCs w:val="44"/>
          <w:highlight w:val="none"/>
          <w:lang w:val="en-US" w:eastAsia="zh-CN"/>
        </w:rPr>
        <w:t xml:space="preserve"> </w:t>
      </w:r>
      <w:r>
        <w:rPr>
          <w:rFonts w:hint="eastAsia" w:ascii="宋体" w:hAnsi="宋体" w:eastAsia="宋体" w:cs="宋体"/>
          <w:b/>
          <w:bCs w:val="0"/>
          <w:color w:val="auto"/>
          <w:spacing w:val="24"/>
          <w:szCs w:val="44"/>
          <w:highlight w:val="none"/>
        </w:rPr>
        <w:t>合同条款及格式</w:t>
      </w:r>
      <w:bookmarkEnd w:id="426"/>
      <w:bookmarkEnd w:id="427"/>
      <w:bookmarkEnd w:id="428"/>
      <w:bookmarkEnd w:id="429"/>
      <w:bookmarkEnd w:id="430"/>
    </w:p>
    <w:p w14:paraId="5F32FA4C">
      <w:pPr>
        <w:jc w:val="center"/>
        <w:rPr>
          <w:rFonts w:hint="eastAsia" w:ascii="宋体" w:hAnsi="宋体" w:eastAsia="宋体" w:cs="宋体"/>
          <w:color w:val="auto"/>
          <w:highlight w:val="none"/>
        </w:rPr>
      </w:pPr>
    </w:p>
    <w:p w14:paraId="58255B44">
      <w:pPr>
        <w:jc w:val="center"/>
        <w:rPr>
          <w:rFonts w:hint="eastAsia" w:ascii="宋体" w:hAnsi="宋体" w:eastAsia="宋体" w:cs="宋体"/>
          <w:color w:val="auto"/>
          <w:highlight w:val="none"/>
        </w:rPr>
      </w:pPr>
    </w:p>
    <w:p w14:paraId="44B8884E">
      <w:pPr>
        <w:jc w:val="center"/>
        <w:rPr>
          <w:rFonts w:hint="eastAsia" w:ascii="宋体" w:hAnsi="宋体" w:eastAsia="宋体" w:cs="宋体"/>
          <w:color w:val="auto"/>
          <w:highlight w:val="none"/>
        </w:rPr>
      </w:pPr>
    </w:p>
    <w:p w14:paraId="49107522">
      <w:pPr>
        <w:jc w:val="center"/>
        <w:rPr>
          <w:rFonts w:hint="eastAsia" w:ascii="宋体" w:hAnsi="宋体" w:eastAsia="宋体" w:cs="宋体"/>
          <w:color w:val="auto"/>
          <w:highlight w:val="none"/>
        </w:rPr>
      </w:pPr>
    </w:p>
    <w:p w14:paraId="244155B1">
      <w:pPr>
        <w:jc w:val="center"/>
        <w:rPr>
          <w:rFonts w:hint="eastAsia" w:ascii="宋体" w:hAnsi="宋体" w:eastAsia="宋体" w:cs="宋体"/>
          <w:color w:val="auto"/>
          <w:highlight w:val="none"/>
        </w:rPr>
      </w:pPr>
    </w:p>
    <w:p w14:paraId="671BC719">
      <w:pPr>
        <w:spacing w:line="298" w:lineRule="auto"/>
        <w:jc w:val="center"/>
        <w:rPr>
          <w:rFonts w:hint="eastAsia" w:ascii="宋体" w:hAnsi="宋体" w:eastAsia="宋体" w:cs="宋体"/>
          <w:color w:val="auto"/>
          <w:sz w:val="28"/>
          <w:szCs w:val="28"/>
          <w:highlight w:val="none"/>
        </w:rPr>
      </w:pPr>
    </w:p>
    <w:p w14:paraId="4A8DBD60">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tbl>
      <w:tblPr>
        <w:tblStyle w:val="28"/>
        <w:tblW w:w="6096" w:type="dxa"/>
        <w:tblInd w:w="2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3852"/>
      </w:tblGrid>
      <w:tr w14:paraId="6E63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44" w:type="dxa"/>
            <w:tcBorders>
              <w:top w:val="nil"/>
              <w:left w:val="nil"/>
              <w:bottom w:val="nil"/>
              <w:right w:val="nil"/>
            </w:tcBorders>
            <w:vAlign w:val="top"/>
          </w:tcPr>
          <w:p w14:paraId="65B1A134">
            <w:pPr>
              <w:widowControl w:val="0"/>
              <w:jc w:val="both"/>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合同编号：</w:t>
            </w:r>
          </w:p>
        </w:tc>
        <w:tc>
          <w:tcPr>
            <w:tcW w:w="3852" w:type="dxa"/>
            <w:tcBorders>
              <w:top w:val="single" w:color="auto" w:sz="4" w:space="0"/>
              <w:left w:val="nil"/>
              <w:bottom w:val="single" w:color="auto" w:sz="4" w:space="0"/>
              <w:right w:val="nil"/>
            </w:tcBorders>
            <w:vAlign w:val="top"/>
          </w:tcPr>
          <w:p w14:paraId="235634B1">
            <w:pPr>
              <w:widowControl w:val="0"/>
              <w:jc w:val="both"/>
              <w:rPr>
                <w:rFonts w:hint="eastAsia" w:ascii="宋体" w:hAnsi="宋体" w:eastAsia="宋体" w:cs="宋体"/>
                <w:color w:val="auto"/>
                <w:sz w:val="32"/>
                <w:szCs w:val="32"/>
                <w:highlight w:val="none"/>
              </w:rPr>
            </w:pPr>
          </w:p>
        </w:tc>
      </w:tr>
    </w:tbl>
    <w:p w14:paraId="1AD66D45">
      <w:pPr>
        <w:spacing w:before="3120" w:beforeLines="1000" w:after="3120" w:afterLines="1000"/>
        <w:jc w:val="center"/>
        <w:rPr>
          <w:rFonts w:hint="eastAsia" w:ascii="宋体" w:hAnsi="宋体" w:eastAsia="宋体" w:cs="宋体"/>
          <w:color w:val="auto"/>
          <w:sz w:val="52"/>
          <w:szCs w:val="52"/>
          <w:highlight w:val="none"/>
        </w:rPr>
      </w:pPr>
      <w:r>
        <w:rPr>
          <w:rFonts w:hint="eastAsia" w:ascii="宋体" w:hAnsi="宋体" w:eastAsia="宋体" w:cs="宋体"/>
          <w:b/>
          <w:color w:val="auto"/>
          <w:sz w:val="52"/>
          <w:szCs w:val="52"/>
          <w:highlight w:val="none"/>
        </w:rPr>
        <w:t>BIM技术应用</w:t>
      </w:r>
      <w:r>
        <w:rPr>
          <w:rFonts w:hint="eastAsia" w:ascii="宋体" w:hAnsi="宋体" w:eastAsia="宋体" w:cs="宋体"/>
          <w:b/>
          <w:color w:val="auto"/>
          <w:sz w:val="52"/>
          <w:szCs w:val="52"/>
          <w:highlight w:val="none"/>
          <w:lang w:eastAsia="zh-CN"/>
        </w:rPr>
        <w:t>服务</w:t>
      </w:r>
      <w:r>
        <w:rPr>
          <w:rFonts w:hint="eastAsia" w:ascii="宋体" w:hAnsi="宋体" w:eastAsia="宋体" w:cs="宋体"/>
          <w:b/>
          <w:color w:val="auto"/>
          <w:sz w:val="52"/>
          <w:szCs w:val="52"/>
          <w:highlight w:val="none"/>
        </w:rPr>
        <w:t>合同</w:t>
      </w:r>
    </w:p>
    <w:p w14:paraId="221DC86E">
      <w:pPr>
        <w:spacing w:line="480" w:lineRule="exact"/>
        <w:ind w:left="2696" w:leftChars="304" w:hanging="2058" w:hangingChars="735"/>
        <w:rPr>
          <w:rFonts w:hint="eastAsia" w:ascii="宋体" w:hAnsi="宋体" w:eastAsia="宋体" w:cs="宋体"/>
          <w:b/>
          <w:bCs/>
          <w:color w:val="auto"/>
          <w:sz w:val="28"/>
          <w:szCs w:val="28"/>
          <w:highlight w:val="none"/>
        </w:rPr>
      </w:pPr>
    </w:p>
    <w:p w14:paraId="3D20CF63">
      <w:pPr>
        <w:spacing w:line="480" w:lineRule="exact"/>
        <w:ind w:left="2696" w:leftChars="304" w:hanging="2058" w:hangingChars="735"/>
        <w:rPr>
          <w:rFonts w:hint="eastAsia" w:ascii="宋体" w:hAnsi="宋体" w:eastAsia="宋体" w:cs="宋体"/>
          <w:b/>
          <w:bCs/>
          <w:color w:val="auto"/>
          <w:sz w:val="28"/>
          <w:szCs w:val="28"/>
          <w:highlight w:val="none"/>
        </w:rPr>
      </w:pPr>
    </w:p>
    <w:p w14:paraId="4B280A9E">
      <w:pPr>
        <w:spacing w:line="480" w:lineRule="exact"/>
        <w:ind w:left="2696" w:leftChars="304" w:hanging="2058" w:hangingChars="735"/>
        <w:rPr>
          <w:rFonts w:hint="eastAsia" w:ascii="宋体" w:hAnsi="宋体" w:eastAsia="宋体" w:cs="宋体"/>
          <w:b/>
          <w:bCs/>
          <w:color w:val="auto"/>
          <w:sz w:val="28"/>
          <w:szCs w:val="28"/>
          <w:highlight w:val="none"/>
        </w:rPr>
      </w:pPr>
    </w:p>
    <w:p w14:paraId="0163ECAC">
      <w:pPr>
        <w:spacing w:line="480" w:lineRule="exact"/>
        <w:ind w:left="2696" w:leftChars="304" w:hanging="2058" w:hangingChars="735"/>
        <w:rPr>
          <w:rFonts w:hint="eastAsia" w:ascii="宋体" w:hAnsi="宋体" w:eastAsia="宋体" w:cs="宋体"/>
          <w:b/>
          <w:bCs/>
          <w:color w:val="auto"/>
          <w:sz w:val="28"/>
          <w:szCs w:val="28"/>
          <w:highlight w:val="none"/>
        </w:rPr>
      </w:pPr>
    </w:p>
    <w:p w14:paraId="7F1D9448">
      <w:pPr>
        <w:spacing w:line="480" w:lineRule="exact"/>
        <w:ind w:left="2696" w:leftChars="304" w:hanging="2058" w:hangingChars="735"/>
        <w:rPr>
          <w:rFonts w:hint="eastAsia" w:ascii="宋体" w:hAnsi="宋体" w:eastAsia="宋体" w:cs="宋体"/>
          <w:b/>
          <w:bCs/>
          <w:color w:val="auto"/>
          <w:sz w:val="28"/>
          <w:szCs w:val="28"/>
          <w:highlight w:val="none"/>
        </w:rPr>
      </w:pPr>
    </w:p>
    <w:p w14:paraId="501830FF">
      <w:pPr>
        <w:spacing w:line="480" w:lineRule="exact"/>
        <w:ind w:left="2696" w:leftChars="304" w:hanging="2058" w:hangingChars="73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项目名称：</w:t>
      </w:r>
      <w:r>
        <w:rPr>
          <w:rFonts w:hint="eastAsia" w:ascii="宋体" w:hAnsi="宋体" w:eastAsia="宋体" w:cs="宋体"/>
          <w:b/>
          <w:bCs/>
          <w:color w:val="auto"/>
          <w:sz w:val="28"/>
          <w:szCs w:val="28"/>
          <w:highlight w:val="none"/>
          <w:u w:val="single"/>
          <w:lang w:eastAsia="zh-CN"/>
        </w:rPr>
        <w:t>广州市增城区大封门水库扩容工程BIM技术应用服务</w:t>
      </w:r>
    </w:p>
    <w:p w14:paraId="3A40F6CF">
      <w:pPr>
        <w:spacing w:line="480" w:lineRule="exact"/>
        <w:ind w:left="2696" w:leftChars="304" w:hanging="2058" w:hangingChars="735"/>
        <w:rPr>
          <w:rFonts w:hint="eastAsia" w:ascii="宋体" w:hAnsi="宋体" w:eastAsia="宋体" w:cs="宋体"/>
          <w:b/>
          <w:bCs/>
          <w:color w:val="auto"/>
          <w:sz w:val="28"/>
          <w:szCs w:val="28"/>
          <w:highlight w:val="none"/>
          <w:u w:val="single"/>
          <w:lang w:val="en-US" w:eastAsia="zh-CN"/>
        </w:rPr>
      </w:pPr>
      <w:r>
        <w:rPr>
          <w:rFonts w:hint="eastAsia" w:ascii="宋体" w:hAnsi="宋体" w:eastAsia="宋体" w:cs="宋体"/>
          <w:b/>
          <w:bCs/>
          <w:color w:val="auto"/>
          <w:sz w:val="28"/>
          <w:szCs w:val="28"/>
          <w:highlight w:val="none"/>
        </w:rPr>
        <w:t>甲方：</w:t>
      </w:r>
      <w:r>
        <w:rPr>
          <w:rFonts w:hint="eastAsia" w:ascii="宋体" w:hAnsi="宋体" w:eastAsia="宋体" w:cs="宋体"/>
          <w:b/>
          <w:bCs/>
          <w:color w:val="auto"/>
          <w:sz w:val="28"/>
          <w:szCs w:val="28"/>
          <w:highlight w:val="none"/>
          <w:u w:val="single"/>
          <w:lang w:eastAsia="zh-CN"/>
        </w:rPr>
        <w:t>广州市增城区大封门水库管理所</w:t>
      </w:r>
    </w:p>
    <w:p w14:paraId="3BA09337">
      <w:pPr>
        <w:snapToGrid w:val="0"/>
        <w:spacing w:line="440" w:lineRule="exact"/>
        <w:ind w:left="2696" w:leftChars="304" w:hanging="2058" w:hangingChars="73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乙方：</w:t>
      </w:r>
      <w:r>
        <w:rPr>
          <w:rFonts w:hint="eastAsia" w:ascii="宋体" w:hAnsi="宋体" w:eastAsia="宋体" w:cs="宋体"/>
          <w:b/>
          <w:bCs/>
          <w:color w:val="auto"/>
          <w:sz w:val="28"/>
          <w:szCs w:val="28"/>
          <w:highlight w:val="none"/>
          <w:u w:val="single"/>
        </w:rPr>
        <w:t xml:space="preserve">                                 </w:t>
      </w:r>
    </w:p>
    <w:p w14:paraId="06065A14">
      <w:pPr>
        <w:spacing w:line="480" w:lineRule="exact"/>
        <w:ind w:left="2696" w:leftChars="304" w:hanging="2058" w:hangingChars="73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合同签订日期：</w:t>
      </w:r>
      <w:r>
        <w:rPr>
          <w:rFonts w:hint="eastAsia" w:ascii="宋体" w:hAnsi="宋体" w:eastAsia="宋体" w:cs="宋体"/>
          <w:b/>
          <w:bCs/>
          <w:color w:val="auto"/>
          <w:sz w:val="28"/>
          <w:szCs w:val="28"/>
          <w:highlight w:val="none"/>
          <w:u w:val="single"/>
          <w:lang w:val="en-US" w:eastAsia="zh-CN"/>
        </w:rPr>
        <w:t>2025</w:t>
      </w:r>
      <w:r>
        <w:rPr>
          <w:rFonts w:hint="eastAsia" w:ascii="宋体" w:hAnsi="宋体" w:eastAsia="宋体" w:cs="宋体"/>
          <w:b/>
          <w:bCs/>
          <w:color w:val="auto"/>
          <w:sz w:val="28"/>
          <w:szCs w:val="28"/>
          <w:highlight w:val="none"/>
          <w:u w:val="single"/>
        </w:rPr>
        <w:t xml:space="preserve">年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rPr>
        <w:t>月</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rPr>
        <w:t xml:space="preserve"> 日         </w:t>
      </w:r>
    </w:p>
    <w:p w14:paraId="3D812029">
      <w:pPr>
        <w:spacing w:line="480" w:lineRule="exact"/>
        <w:ind w:left="2696" w:leftChars="304" w:hanging="2058" w:hangingChars="73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签订地点：</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u w:val="single"/>
          <w:lang w:eastAsia="zh-CN"/>
        </w:rPr>
        <w:t xml:space="preserve">  广州市增城区</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lang w:eastAsia="zh-CN"/>
        </w:rPr>
        <w:t xml:space="preserve"> </w:t>
      </w:r>
      <w:r>
        <w:rPr>
          <w:rFonts w:hint="eastAsia" w:ascii="宋体" w:hAnsi="宋体" w:eastAsia="宋体" w:cs="宋体"/>
          <w:b/>
          <w:bCs/>
          <w:color w:val="auto"/>
          <w:sz w:val="28"/>
          <w:szCs w:val="28"/>
          <w:highlight w:val="none"/>
          <w:u w:val="single"/>
        </w:rPr>
        <w:t xml:space="preserve">       </w:t>
      </w:r>
    </w:p>
    <w:p w14:paraId="31592BEC">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p w14:paraId="70EC9422">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p w14:paraId="755F52E4">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p w14:paraId="3C431381">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p w14:paraId="00C16DB2">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p w14:paraId="5AF406F5">
      <w:pPr>
        <w:autoSpaceDE w:val="0"/>
        <w:autoSpaceDN w:val="0"/>
        <w:adjustRightInd w:val="0"/>
        <w:spacing w:line="360" w:lineRule="auto"/>
        <w:rPr>
          <w:rFonts w:hint="eastAsia" w:ascii="宋体" w:hAnsi="宋体" w:eastAsia="宋体" w:cs="宋体"/>
          <w:color w:val="auto"/>
          <w:sz w:val="21"/>
          <w:szCs w:val="21"/>
          <w:highlight w:val="none"/>
        </w:rPr>
      </w:pPr>
    </w:p>
    <w:p w14:paraId="56BB5FF7">
      <w:pPr>
        <w:pStyle w:val="89"/>
        <w:rPr>
          <w:rFonts w:hint="eastAsia" w:ascii="宋体" w:hAnsi="宋体" w:eastAsia="宋体" w:cs="宋体"/>
          <w:color w:val="auto"/>
          <w:highlight w:val="none"/>
        </w:rPr>
      </w:pPr>
      <w:r>
        <w:rPr>
          <w:rFonts w:hint="eastAsia" w:ascii="宋体" w:hAnsi="宋体" w:eastAsia="宋体" w:cs="宋体"/>
          <w:color w:val="auto"/>
          <w:highlight w:val="none"/>
        </w:rPr>
        <w:t>甲方：
</w:t>
      </w:r>
    </w:p>
    <w:p w14:paraId="41DF4FE7">
      <w:pPr>
        <w:pStyle w:val="89"/>
        <w:rPr>
          <w:rFonts w:hint="eastAsia" w:ascii="宋体" w:hAnsi="宋体" w:eastAsia="宋体" w:cs="宋体"/>
          <w:color w:val="auto"/>
          <w:highlight w:val="none"/>
        </w:rPr>
      </w:pPr>
      <w:r>
        <w:rPr>
          <w:rFonts w:hint="eastAsia" w:ascii="宋体" w:hAnsi="宋体" w:eastAsia="宋体" w:cs="宋体"/>
          <w:color w:val="auto"/>
          <w:highlight w:val="none"/>
        </w:rPr>
        <w:t>乙方：
</w:t>
      </w:r>
    </w:p>
    <w:p w14:paraId="508074DD">
      <w:pPr>
        <w:pStyle w:val="89"/>
        <w:ind w:firstLine="440" w:firstLineChars="200"/>
        <w:rPr>
          <w:rFonts w:hint="eastAsia" w:ascii="宋体" w:hAnsi="宋体" w:eastAsia="宋体" w:cs="宋体"/>
          <w:color w:val="auto"/>
          <w:highlight w:val="none"/>
        </w:rPr>
      </w:pPr>
    </w:p>
    <w:p w14:paraId="152EFB77">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年     月     日，经公开招标，乙方被评定为中标人，现甲方委托乙方承担广州市增城区大封门水库扩容工程 BIM 技术应用服务项目，遵循平等、自愿、公平和诚实信用的原则，经双方协商一致，订立本合同。
</w:t>
      </w:r>
    </w:p>
    <w:p w14:paraId="6BE43EFB">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431" w:name="_Toc8943"/>
      <w:r>
        <w:rPr>
          <w:rFonts w:hint="eastAsia" w:ascii="宋体" w:hAnsi="宋体" w:eastAsia="宋体" w:cs="宋体"/>
          <w:kern w:val="2"/>
          <w:lang w:val="en-US" w:eastAsia="zh-CN"/>
        </w:rPr>
        <w:t>一、项目概况及服务范围
</w:t>
      </w:r>
      <w:bookmarkEnd w:id="431"/>
    </w:p>
    <w:p w14:paraId="715600C1">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1、工程名称：广州市增城区大封门水库扩容工程 BIM 技术应用服务
</w:t>
      </w:r>
    </w:p>
    <w:p w14:paraId="40C2372B">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2、建设地点：广州市增城区派潭镇
</w:t>
      </w:r>
    </w:p>
    <w:p w14:paraId="43587CD3">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b/>
          <w:bCs/>
          <w:color w:val="auto"/>
          <w:highlight w:val="none"/>
        </w:rPr>
        <w:t>建设规模：（甲方需补充填写具体规模，如水库扩容后总库容、坝体高度、建筑面积等量化指标）</w:t>
      </w:r>
    </w:p>
    <w:p w14:paraId="3457AF55">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b/>
          <w:bCs/>
          <w:color w:val="auto"/>
          <w:highlight w:val="none"/>
        </w:rPr>
        <w:t>服务范围：（甲方需补充填写具体服务边界，包括但不限于各专业 BIM 模型覆盖范围、深化设计涉及的工程部位、施工模拟的具体场景等）</w:t>
      </w:r>
    </w:p>
    <w:p w14:paraId="1699BC9D">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5、服务期限：自签订合同之日起至完成全部服务内容完成日止。
</w:t>
      </w:r>
    </w:p>
    <w:p w14:paraId="1D33BB3C">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432" w:name="_Toc13659"/>
      <w:r>
        <w:rPr>
          <w:rFonts w:hint="eastAsia" w:ascii="宋体" w:hAnsi="宋体" w:eastAsia="宋体" w:cs="宋体"/>
          <w:kern w:val="2"/>
          <w:lang w:val="en-US" w:eastAsia="zh-CN"/>
        </w:rPr>
        <w:t>二、服务内容要求
</w:t>
      </w:r>
      <w:bookmarkEnd w:id="432"/>
    </w:p>
    <w:p w14:paraId="415EEDD3">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1、本 BIM 技术应用服务项目根据项目进度分阶段实施。
</w:t>
      </w:r>
    </w:p>
    <w:p w14:paraId="13252A91">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2、第一阶段 BIM 技术应用
</w:t>
      </w:r>
    </w:p>
    <w:p w14:paraId="1EAF47B4">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1）建立 BIM 模型，根据甲方提供的施工图，建立各专业 BIM 模型和总体模型。
</w:t>
      </w:r>
    </w:p>
    <w:p w14:paraId="3901809D">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2）输出工程量表，根据模型导出主要材料的工程量表。
</w:t>
      </w:r>
    </w:p>
    <w:p w14:paraId="1BF90525">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3）碰撞检查，导出碰撞检测报告，如有问题可供设计单位优化修改图纸，并根据修改图纸实时调整模型。
</w:t>
      </w:r>
    </w:p>
    <w:p w14:paraId="4E963CB1">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4）模型可视化应用，轻量化模型，渲染展示，并制作漫游视频。
</w:t>
      </w:r>
    </w:p>
    <w:p w14:paraId="0AD04062">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第一阶段应用成果交付从合同签订后 90 个工作日内交付（遇法定节假日顺延）。</w:t>
      </w:r>
    </w:p>
    <w:p w14:paraId="10601B46">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3、第二阶段 BIM 技术应用
</w:t>
      </w:r>
    </w:p>
    <w:p w14:paraId="3EA45287">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b/>
          <w:bCs/>
          <w:color w:val="auto"/>
          <w:highlight w:val="none"/>
        </w:rPr>
      </w:pPr>
      <w:r>
        <w:rPr>
          <w:rFonts w:hint="eastAsia" w:ascii="宋体" w:hAnsi="宋体" w:eastAsia="宋体" w:cs="宋体"/>
          <w:color w:val="auto"/>
          <w:highlight w:val="none"/>
        </w:rPr>
        <w:t>1）模型深化，完成现浇结构深化设计（包括二次结构、预留孔洞、节点、预埋件等）、装配式混凝土结构深化设计（如有）、钢结构深化设计（如有）、机电深化设计（如有），交付相关模型，对深化模型开展碰撞检查，生成碰撞报告。</w:t>
      </w:r>
      <w:r>
        <w:rPr>
          <w:rFonts w:hint="eastAsia" w:ascii="宋体" w:hAnsi="宋体" w:eastAsia="宋体" w:cs="宋体"/>
          <w:b/>
          <w:bCs/>
          <w:color w:val="auto"/>
          <w:highlight w:val="none"/>
        </w:rPr>
        <w:t>（需在甲方发出书面需求通知后30个工作日内完成）</w:t>
      </w:r>
    </w:p>
    <w:p w14:paraId="1509EC35">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2）施工模拟，完成施工现场场地、施工临时工程等模型，交付相关模型，开展施工复杂工艺的组织模拟和施工工艺模拟，交付相关视频；</w:t>
      </w:r>
      <w:r>
        <w:rPr>
          <w:rFonts w:hint="eastAsia" w:ascii="宋体" w:hAnsi="宋体" w:eastAsia="宋体" w:cs="宋体"/>
          <w:b/>
          <w:bCs/>
          <w:color w:val="auto"/>
          <w:highlight w:val="none"/>
        </w:rPr>
        <w:t>（需在甲方发出书面需求通知后30个工作日内完成）</w:t>
      </w:r>
    </w:p>
    <w:p w14:paraId="4984F266">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3）基于施工阶段的 BIM 模型，开展质量、安全、进度、成本管理可视化应用。</w:t>
      </w:r>
      <w:r>
        <w:rPr>
          <w:rFonts w:hint="eastAsia" w:ascii="宋体" w:hAnsi="宋体" w:eastAsia="宋体" w:cs="宋体"/>
          <w:b/>
          <w:bCs/>
          <w:color w:val="auto"/>
          <w:highlight w:val="none"/>
        </w:rPr>
        <w:t>（需在甲方发出书面需求通知后 60个工作日内完成）</w:t>
      </w:r>
    </w:p>
    <w:p w14:paraId="3BBC8C5E">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4）竣工模型，根据施工图及变更资料完成竣工模型。</w:t>
      </w:r>
      <w:r>
        <w:rPr>
          <w:rFonts w:hint="eastAsia" w:ascii="宋体" w:hAnsi="宋体" w:eastAsia="宋体" w:cs="宋体"/>
          <w:b/>
          <w:bCs/>
          <w:color w:val="auto"/>
          <w:highlight w:val="none"/>
        </w:rPr>
        <w:t>（需在工程施工完工验收后 60个工作日内完成）</w:t>
      </w:r>
      <w:r>
        <w:rPr>
          <w:rFonts w:hint="eastAsia" w:ascii="宋体" w:hAnsi="宋体" w:eastAsia="宋体" w:cs="宋体"/>
          <w:color w:val="auto"/>
          <w:highlight w:val="none"/>
        </w:rPr>
        <w:t>
</w:t>
      </w:r>
    </w:p>
    <w:p w14:paraId="2A9608B5">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4、第三阶段 BIM 技术应用
</w:t>
      </w:r>
    </w:p>
    <w:p w14:paraId="2C6D5EC8">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竣工模型修编，根据竣工图进一步修正完成竣工模型。配合本项目后续信息化项目（如有）或数字孪生项目（如有），提供相关的 BIM 技术成果。</w:t>
      </w:r>
      <w:r>
        <w:rPr>
          <w:rFonts w:hint="eastAsia" w:ascii="宋体" w:hAnsi="宋体" w:eastAsia="宋体" w:cs="宋体"/>
          <w:b/>
          <w:bCs/>
          <w:color w:val="auto"/>
          <w:highlight w:val="none"/>
        </w:rPr>
        <w:t>（需在工程施工竣工验收后 30个工作日内完成）</w:t>
      </w:r>
      <w:r>
        <w:rPr>
          <w:rFonts w:hint="eastAsia" w:ascii="宋体" w:hAnsi="宋体" w:eastAsia="宋体" w:cs="宋体"/>
          <w:color w:val="auto"/>
          <w:highlight w:val="none"/>
        </w:rPr>
        <w:t>
</w:t>
      </w:r>
    </w:p>
    <w:p w14:paraId="010665AF">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5、其他要求
</w:t>
      </w:r>
    </w:p>
    <w:p w14:paraId="1CEBAAA5">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
          <w:bCs/>
          <w:color w:val="auto"/>
          <w:highlight w:val="none"/>
        </w:rPr>
        <w:t>成果交付时间：第一阶段应用成果交付从合同签订后90日交付，第二阶段应用成果根据项目施工进度实时提供，第三阶段根据信息化项目（如有）或数字孪生项目（如有）进度实时提供。</w:t>
      </w:r>
    </w:p>
    <w:p w14:paraId="392A45F3">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2）BIM 成果标准：符合相关国家、行业及地方发布的相关规范、标准及规程等的规定。
</w:t>
      </w:r>
    </w:p>
    <w:p w14:paraId="4FC2E92F">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3）BIM 技术服务标准：乙方派出的 BIM 技术工程师应当满足甲方要求，并具备充分的专业技术能力。</w:t>
      </w:r>
      <w:r>
        <w:rPr>
          <w:rFonts w:hint="eastAsia" w:ascii="宋体" w:hAnsi="宋体" w:eastAsia="宋体" w:cs="宋体"/>
          <w:b/>
          <w:bCs/>
          <w:color w:val="auto"/>
          <w:highlight w:val="none"/>
        </w:rPr>
        <w:t>乙方需在合同签订后 5 个工作日内向甲方提交项目团队全部成员的资质证书（原件核验）及简历，甲方有权对人员资质进行复核，不符合要求的乙方需在 3 个工作日内更换。</w:t>
      </w:r>
    </w:p>
    <w:p w14:paraId="5830F0E8">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433" w:name="_Toc12065"/>
      <w:r>
        <w:rPr>
          <w:rFonts w:hint="eastAsia" w:ascii="宋体" w:hAnsi="宋体" w:eastAsia="宋体" w:cs="宋体"/>
          <w:kern w:val="2"/>
          <w:lang w:val="en-US" w:eastAsia="zh-CN"/>
        </w:rPr>
        <w:t>三、BIM 技术应用服务合同价
</w:t>
      </w:r>
      <w:bookmarkEnd w:id="433"/>
    </w:p>
    <w:p w14:paraId="3E660883">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本 BIM 技术应用服务项目的含税服务费暂定价为人民币</w:t>
      </w:r>
      <w:r>
        <w:rPr>
          <w:rFonts w:hint="eastAsia" w:ascii="宋体" w:hAnsi="宋体" w:eastAsia="宋体" w:cs="宋体"/>
          <w:color w:val="auto"/>
          <w:highlight w:val="none"/>
          <w:u w:val="single"/>
        </w:rPr>
        <w:t xml:space="preserve"> </w:t>
      </w:r>
      <w:r>
        <w:rPr>
          <w:rFonts w:hint="eastAsia" w:ascii="宋体" w:hAnsi="宋体" w:eastAsia="宋体" w:cs="宋体"/>
          <w:b/>
          <w:bCs/>
          <w:color w:val="auto"/>
          <w:highlight w:val="none"/>
          <w:u w:val="single"/>
        </w:rPr>
        <w:t>[具体金额]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b/>
          <w:bCs/>
          <w:color w:val="auto"/>
          <w:highlight w:val="none"/>
          <w:u w:val="single"/>
        </w:rPr>
        <w:t>[具体金额]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元)，此费用包含乙方完成本合同全部工作所需的全部费用（包括但不限于：BIM 建模费、BIM 设计费、人工费、工本费用、设备费、驻场人员的费用、修改费、参加技术交底、方案汇报、图纸会审、会议会务费、知识产权费、BIM 各阶段成果验收评审专家团队费用、税费等）。</w:t>
      </w:r>
      <w:r>
        <w:rPr>
          <w:rFonts w:hint="eastAsia" w:ascii="宋体" w:hAnsi="宋体" w:eastAsia="宋体" w:cs="宋体"/>
          <w:b/>
          <w:bCs/>
          <w:color w:val="auto"/>
          <w:highlight w:val="none"/>
        </w:rPr>
        <w:t>最终结算价以甲方委托的第三方造价咨询机构出具的结算评审报告及甲方审核确认结果为准，甲方对结算价有最终审定权。</w:t>
      </w:r>
    </w:p>
    <w:p w14:paraId="4E5EF100">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434" w:name="_Toc28250"/>
      <w:r>
        <w:rPr>
          <w:rFonts w:hint="eastAsia" w:ascii="宋体" w:hAnsi="宋体" w:eastAsia="宋体" w:cs="宋体"/>
          <w:kern w:val="2"/>
          <w:lang w:val="en-US" w:eastAsia="zh-CN"/>
        </w:rPr>
        <w:t>四、支付方式
</w:t>
      </w:r>
      <w:bookmarkEnd w:id="434"/>
    </w:p>
    <w:p w14:paraId="3B6CDC87">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1、合同签订之日起 15 个工作日内甲方向乙方支付至合同价的 20%。
</w:t>
      </w:r>
    </w:p>
    <w:p w14:paraId="5CC163E6">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2、完成第一阶段 BIM 技术应用，阶段成果通过专家评审并经甲方审核确认后，甲方向乙方支付至合同价的 50%；
</w:t>
      </w:r>
    </w:p>
    <w:p w14:paraId="7D516890">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3、完成第二阶段 BIM 技术应用，阶段成果通过专家评审并经甲方审核确认后，甲方向乙方支付至合同价的 90%；
</w:t>
      </w:r>
    </w:p>
    <w:p w14:paraId="4B1954F2">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4、配合完成第三阶段 BIM 技术应用经甲方审核确认后，并经过财政或第三方结算评审后，根据结算价支付剩余费用。
</w:t>
      </w:r>
    </w:p>
    <w:p w14:paraId="6617894B">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b/>
          <w:bCs/>
          <w:color w:val="auto"/>
          <w:highlight w:val="none"/>
        </w:rPr>
        <w:t>付款时乙方需提交以下请款资料：（1）正式发票；（2）阶段成果验收单（甲方签字盖章）；（3）专家评审意见（如有）；（4）付款申请函（列明付款节点、金额及计算依据）。甲方在收到完整请款资料后 10 个工作日内完成审核，审核通过后按约定支付。因乙方资料不全导致付款延迟的，责任由乙方承担。因甲方使用的是财政资金，考虑到财政审批需要一定时间，甲方在本合同约定的付款时间内向财务部门提出办理财政支付申请即视为甲方已经按期付款。</w:t>
      </w:r>
      <w:r>
        <w:rPr>
          <w:rFonts w:hint="eastAsia" w:ascii="宋体" w:hAnsi="宋体" w:eastAsia="宋体" w:cs="宋体"/>
          <w:color w:val="auto"/>
          <w:highlight w:val="none"/>
        </w:rPr>
        <w:t>如因财政资金的下达、拨付问题导致付款延迟的，不视为甲方违约，合同相对方不能据此追究甲方的违约责任。
</w:t>
      </w:r>
    </w:p>
    <w:p w14:paraId="1A831F7A">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435" w:name="_Toc11262"/>
      <w:r>
        <w:rPr>
          <w:rFonts w:hint="eastAsia" w:ascii="宋体" w:hAnsi="宋体" w:eastAsia="宋体" w:cs="宋体"/>
          <w:kern w:val="2"/>
          <w:lang w:val="en-US" w:eastAsia="zh-CN"/>
        </w:rPr>
        <w:t>五、甲方的责任
</w:t>
      </w:r>
      <w:bookmarkEnd w:id="435"/>
    </w:p>
    <w:p w14:paraId="394CB653">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1、甲方在规定的时间内向乙方提交基础资料及文件，并对其完整性、正确性及时性负责。甲方不得要求乙方违反国家有关标准进行设计。
</w:t>
      </w:r>
    </w:p>
    <w:p w14:paraId="739C1391">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甲方变更委托设计项目、规模、条件或因提交的资料错误，或所提交资料作较大修改，以致造成乙方设计返工时，双方除另行协商签订补充协议、重新明确有关条款外，甲方应按乙方所耗工作量向乙方支付返工费。</w:t>
      </w:r>
      <w:r>
        <w:rPr>
          <w:rFonts w:hint="eastAsia" w:ascii="宋体" w:hAnsi="宋体" w:eastAsia="宋体" w:cs="宋体"/>
          <w:b/>
          <w:bCs/>
          <w:color w:val="auto"/>
          <w:highlight w:val="none"/>
        </w:rPr>
        <w:t xml:space="preserve">乙方应在返工事实发生后 5 个工作日内向甲方提交工作量清单及费用明细，甲方在收到后 </w:t>
      </w:r>
      <w:r>
        <w:rPr>
          <w:rFonts w:hint="eastAsia" w:ascii="宋体" w:hAnsi="宋体" w:eastAsia="宋体" w:cs="宋体"/>
          <w:b/>
          <w:bCs/>
          <w:color w:val="auto"/>
          <w:highlight w:val="none"/>
          <w:lang w:val="en-US" w:eastAsia="zh-CN"/>
        </w:rPr>
        <w:t>20</w:t>
      </w:r>
      <w:r>
        <w:rPr>
          <w:rFonts w:hint="eastAsia" w:ascii="宋体" w:hAnsi="宋体" w:eastAsia="宋体" w:cs="宋体"/>
          <w:b/>
          <w:bCs/>
          <w:color w:val="auto"/>
          <w:highlight w:val="none"/>
        </w:rPr>
        <w:t xml:space="preserve"> 个工作日内审核确认，逾期未审核视为认可。</w:t>
      </w:r>
    </w:p>
    <w:p w14:paraId="361E067F">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3、在合同履行期间，甲方要求终止或解除合同，已开始设计工作的，甲方应根据乙方已进行的实际工作量，不足一半时，按该阶段设计费的一半支付；超过一半时，按该阶段设计费的全部支付。
</w:t>
      </w:r>
    </w:p>
    <w:p w14:paraId="08B77144">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4、甲方要求乙方比合同规定时间提前交付设计文件时，须征得乙方同意，不得严重背离合理设计周期。
</w:t>
      </w:r>
    </w:p>
    <w:p w14:paraId="3035D8C2">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436" w:name="_Toc15961"/>
      <w:r>
        <w:rPr>
          <w:rFonts w:hint="eastAsia" w:ascii="宋体" w:hAnsi="宋体" w:eastAsia="宋体" w:cs="宋体"/>
          <w:kern w:val="2"/>
          <w:lang w:val="en-US" w:eastAsia="zh-CN"/>
        </w:rPr>
        <w:t>六、乙方责任
</w:t>
      </w:r>
      <w:bookmarkEnd w:id="436"/>
    </w:p>
    <w:p w14:paraId="50CE73AE">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1、项目负责人姓名：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，身份证号：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w:t>
      </w:r>
    </w:p>
    <w:p w14:paraId="01D5DEB5">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2、BIM 应用期间的成果验收、评审会议及专家费用等由乙方承担。
</w:t>
      </w:r>
    </w:p>
    <w:p w14:paraId="0327F45E">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3、乙方按本合同约定安排专业技术人员负责本项目，并接受甲方有关项目 BIM 应用的协调工作。
</w:t>
      </w:r>
    </w:p>
    <w:p w14:paraId="05F93596">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4、除死亡、涉案被羁押、完全丧失行为能力等不可抗力因素外，乙方不得擅自变更项目负责人或各专业负责人；因离职、调岗等非特殊原因需变更的，乙方需书面通知甲方，经甲方书面同意后方可变更；</w:t>
      </w:r>
      <w:r>
        <w:rPr>
          <w:rFonts w:hint="eastAsia" w:ascii="宋体" w:hAnsi="宋体" w:eastAsia="宋体" w:cs="宋体"/>
          <w:b/>
          <w:bCs/>
          <w:color w:val="auto"/>
          <w:highlight w:val="none"/>
        </w:rPr>
        <w:t>乙方擅自变更项目负责人或各专业负责人的，需支付合同价 10% 违约金（项目负责人）或支付合同价 5% 违约金（各专业负责人），且新任人员资质、经验不得低于原投标承诺标准，甲方有权对新任人员进行面试考核，不达标则乙方需重新更换并承担额外费用。</w:t>
      </w:r>
      <w:r>
        <w:rPr>
          <w:rFonts w:hint="eastAsia" w:ascii="宋体" w:hAnsi="宋体" w:eastAsia="宋体" w:cs="宋体"/>
          <w:color w:val="auto"/>
          <w:highlight w:val="none"/>
        </w:rPr>
        <w:t>甲方认为项目负责人及各专业负责人存在履职能力不足、职业道德问题或合同违约行为等情况，可要求乙方变更相应人员，乙方应在收到甲方书面通知后 5 个工作日内完成更换并提交新任人员资料，逾期按擅自变更处理。乙方变更项目团队内其他成员（非项目负责人及各专业负责人）时，需要进行备案。项目团队人员变更时，新任人员资格不得低于原投标承诺条件。</w:t>
      </w:r>
    </w:p>
    <w:p w14:paraId="0C14C876">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5、由于乙方原因未按规定时间及要求提交质量合格的 BIM 成果，每超过一日，应减收</w:t>
      </w:r>
      <w:r>
        <w:rPr>
          <w:rFonts w:hint="eastAsia" w:ascii="宋体" w:hAnsi="宋体" w:eastAsia="宋体" w:cs="宋体"/>
          <w:b/>
          <w:bCs/>
          <w:color w:val="auto"/>
          <w:highlight w:val="none"/>
        </w:rPr>
        <w:t>该阶段服务费用总额</w:t>
      </w:r>
      <w:r>
        <w:rPr>
          <w:rFonts w:hint="eastAsia" w:ascii="宋体" w:hAnsi="宋体" w:eastAsia="宋体" w:cs="宋体"/>
          <w:color w:val="auto"/>
          <w:highlight w:val="none"/>
        </w:rPr>
        <w:t>的千分之三。逾期超过 30 日的，甲方有权单方解除合同，乙方应退还已收款项并支付合同价 20% 的违约金。
</w:t>
      </w:r>
    </w:p>
    <w:p w14:paraId="0F05D566">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bidi="ar-SA"/>
        </w:rPr>
        <w:t>6、乙方提交的设计成果因质量问题如三次仍未得到甲方及相关部门的认可，乙方应向甲方</w:t>
      </w:r>
      <w:r>
        <w:rPr>
          <w:rFonts w:hint="eastAsia" w:ascii="宋体" w:hAnsi="宋体" w:eastAsia="宋体" w:cs="宋体"/>
          <w:color w:val="auto"/>
          <w:highlight w:val="none"/>
        </w:rPr>
        <w:t>支付合同价 10% 的违约金，甲方有权单方解除本合同，并有权不支付该部分对应服务费用。
</w:t>
      </w:r>
    </w:p>
    <w:p w14:paraId="551CBB74">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7、乙方对设计文件出现的遗漏或错误负责修改或补充，由于乙方设计错误造成工程质量事故的，乙方除在甲方要求限期内采取补救措施外，应免收损失部分的设计费，并按合同价 30% 向甲方支付违约金，</w:t>
      </w:r>
      <w:r>
        <w:rPr>
          <w:rFonts w:hint="eastAsia" w:ascii="宋体" w:hAnsi="宋体" w:eastAsia="宋体" w:cs="宋体"/>
          <w:b/>
          <w:bCs/>
          <w:color w:val="auto"/>
          <w:highlight w:val="none"/>
        </w:rPr>
        <w:t>同时需赔偿甲方因此产生的实际损失（包括但不限于工程返工费、设备损失费、第三方索赔费等），赔偿金额以甲方委托的第三方评估机构出具的报告为准。</w:t>
      </w:r>
      <w:r>
        <w:rPr>
          <w:rFonts w:hint="eastAsia" w:ascii="宋体" w:hAnsi="宋体" w:eastAsia="宋体" w:cs="宋体"/>
          <w:color w:val="auto"/>
          <w:highlight w:val="none"/>
        </w:rPr>
        <w:t xml:space="preserve"> 甲方同时有权单方解除本合同，要求乙方承担由此造成甲方的其他损失。
</w:t>
      </w:r>
    </w:p>
    <w:p w14:paraId="38F269DA">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437" w:name="_Toc11746"/>
      <w:r>
        <w:rPr>
          <w:rFonts w:hint="eastAsia" w:ascii="宋体" w:hAnsi="宋体" w:eastAsia="宋体" w:cs="宋体"/>
          <w:kern w:val="2"/>
          <w:lang w:val="en-US" w:eastAsia="zh-CN"/>
        </w:rPr>
        <w:t>七、知识产权
</w:t>
      </w:r>
      <w:bookmarkEnd w:id="437"/>
    </w:p>
    <w:p w14:paraId="3C631BF1">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除合同另有规定外，甲方提供给乙方的设计图纸、技术资料、电子文件，甲方为实施工程自行编制或委托编制的技术文件以及反映甲方要求的或其他类似性质的文件的著作权属于甲方，乙方可以为实现合同目的而复制、使用此类文件，但不能用于与合同无关的其他事项。</w:t>
      </w:r>
      <w:r>
        <w:rPr>
          <w:rFonts w:hint="eastAsia" w:ascii="宋体" w:hAnsi="宋体" w:eastAsia="宋体" w:cs="宋体"/>
          <w:b/>
          <w:bCs/>
          <w:color w:val="auto"/>
          <w:highlight w:val="none"/>
        </w:rPr>
        <w:t>未经甲方书面同意，乙方擅自复制、使用或提供给第三方的，需向甲方支付合同价 20% 的违约金，并赔偿甲方因此造成的全部损失。</w:t>
      </w:r>
    </w:p>
    <w:p w14:paraId="57E21865">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2、除合同另有约定外，乙方为合同目的所建立的建筑信息模型、各类成果、报告及电子文件，乙方可因实施工程的运行、调试、维修、改造等目的而复制、使用此类文件，但不能用于与合同无关的其他事项。
</w:t>
      </w:r>
    </w:p>
    <w:p w14:paraId="3DD1698A">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甲乙双方合作过程中，根据合作任务分工，在各方的工作范围内独立完成的科技成果及其形成的知识产权归各方独自所有；对共有的科技成果实施许可、转让专利技术、非专利技术而获得的经济收益由双方共享。收益共享方式应在行为实施前另行约定。
</w:t>
      </w:r>
    </w:p>
    <w:p w14:paraId="06C45E44">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合同当事人保证在履行合同过程中不侵犯对方及第三方的知识产权。乙方在进行咨询时，使用有关软件、硬件、其他电子文件及报告，因侵犯他人的专利权或其他知识产权所引起的责任，由乙方承担；因甲方提供的电子文件、模型、图纸、设计成果等导致侵权的，由甲方承担责任。</w:t>
      </w:r>
      <w:r>
        <w:rPr>
          <w:rFonts w:hint="eastAsia" w:ascii="宋体" w:hAnsi="宋体" w:eastAsia="宋体" w:cs="宋体"/>
          <w:b/>
          <w:bCs/>
          <w:color w:val="auto"/>
          <w:highlight w:val="none"/>
        </w:rPr>
        <w:t>乙方因知识产权侵权导致甲方被第三方索赔的，乙方需全额赔偿甲方的损失（包括赔偿金、律师费、诉讼费等）。</w:t>
      </w:r>
    </w:p>
    <w:p w14:paraId="7848DCB2">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5、除合同另有约定外，乙方在本合同签订前和签订时已确定采用的专利、专有技术、技术秘密的使用费已包含在签约合同价中，甲方不再另行支付费用。</w:t>
      </w:r>
    </w:p>
    <w:p w14:paraId="1F8F7914">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438" w:name="_Toc4650"/>
      <w:r>
        <w:rPr>
          <w:rFonts w:hint="eastAsia" w:ascii="宋体" w:hAnsi="宋体" w:eastAsia="宋体" w:cs="宋体"/>
          <w:kern w:val="2"/>
          <w:lang w:val="en-US" w:eastAsia="zh-CN"/>
        </w:rPr>
        <w:t>八、保密条款
</w:t>
      </w:r>
      <w:bookmarkEnd w:id="438"/>
    </w:p>
    <w:p w14:paraId="77D59A4B">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
          <w:bCs/>
          <w:color w:val="auto"/>
          <w:highlight w:val="none"/>
        </w:rPr>
        <w:t>在本合同服务期内及合同终止后 3 年内</w:t>
      </w:r>
      <w:r>
        <w:rPr>
          <w:rFonts w:hint="eastAsia" w:ascii="宋体" w:hAnsi="宋体" w:eastAsia="宋体" w:cs="宋体"/>
          <w:color w:val="auto"/>
          <w:highlight w:val="none"/>
        </w:rPr>
        <w:t>，未征得有关方同意，不得泄露与本项目、本合同业务活动有关的保密资料（包括但不限于技术信息和经营信息）。
</w:t>
      </w:r>
    </w:p>
    <w:p w14:paraId="0AF71EBE">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2、未经甲方同意，乙方不得将甲方提供的仅限于内部使用的文件（含工程建设有关资料、模型文件等）用于与本项目无关的其它项目上或提供给第三方使用，</w:t>
      </w:r>
      <w:r>
        <w:rPr>
          <w:rFonts w:hint="eastAsia" w:ascii="宋体" w:hAnsi="宋体" w:eastAsia="宋体" w:cs="宋体"/>
          <w:b/>
          <w:bCs/>
          <w:color w:val="auto"/>
          <w:highlight w:val="none"/>
        </w:rPr>
        <w:t>保密期自合同终止后起算 3 年</w:t>
      </w:r>
      <w:r>
        <w:rPr>
          <w:rFonts w:hint="eastAsia" w:ascii="宋体" w:hAnsi="宋体" w:eastAsia="宋体" w:cs="宋体"/>
          <w:color w:val="auto"/>
          <w:highlight w:val="none"/>
        </w:rPr>
        <w:t>。
</w:t>
      </w:r>
    </w:p>
    <w:p w14:paraId="3A4667FC">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3、若因乙方原因造成检测数据、试验数据泄密，视为乙方违约，</w:t>
      </w:r>
      <w:r>
        <w:rPr>
          <w:rFonts w:hint="eastAsia" w:ascii="宋体" w:hAnsi="宋体" w:eastAsia="宋体" w:cs="宋体"/>
          <w:b/>
          <w:bCs/>
          <w:color w:val="auto"/>
          <w:highlight w:val="none"/>
        </w:rPr>
        <w:t>乙方需按实际损失向甲方赔偿（包括直接损失和间接损失），并支付合同价 15% 的违约金，同时承担消除不良社会影响的全部费用。</w:t>
      </w:r>
    </w:p>
    <w:p w14:paraId="4CFF2BD9">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rPr>
          <w:rFonts w:hint="eastAsia" w:ascii="宋体" w:hAnsi="宋体" w:eastAsia="宋体" w:cs="宋体"/>
          <w:kern w:val="2"/>
          <w:lang w:val="en-US" w:eastAsia="zh-CN"/>
        </w:rPr>
      </w:pPr>
      <w:bookmarkStart w:id="439" w:name="_Toc18337"/>
      <w:r>
        <w:rPr>
          <w:rFonts w:hint="eastAsia" w:ascii="宋体" w:hAnsi="宋体" w:eastAsia="宋体" w:cs="宋体"/>
          <w:kern w:val="2"/>
          <w:lang w:val="en-US" w:eastAsia="zh-CN"/>
        </w:rPr>
        <w:t>九、其它
</w:t>
      </w:r>
      <w:bookmarkEnd w:id="439"/>
    </w:p>
    <w:p w14:paraId="4DF711F0">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1、本合同发生争议时，甲乙双方应及时协调解决，协调不成的，任一方应提交广州市增城区人民法院诉讼解决。</w:t>
      </w:r>
      <w:r>
        <w:rPr>
          <w:rFonts w:hint="eastAsia" w:ascii="宋体" w:hAnsi="宋体" w:eastAsia="宋体" w:cs="宋体"/>
          <w:b/>
          <w:bCs/>
          <w:color w:val="auto"/>
          <w:highlight w:val="none"/>
        </w:rPr>
        <w:t>诉讼产生的律师费、诉讼费、保全费、鉴定费等由败诉方承担。</w:t>
      </w:r>
    </w:p>
    <w:p w14:paraId="2A97B90B">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2、本合同订立时间：2025年</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日</w:t>
      </w:r>
      <w:r>
        <w:rPr>
          <w:rFonts w:hint="eastAsia" w:ascii="宋体" w:hAnsi="宋体" w:eastAsia="宋体" w:cs="宋体"/>
          <w:color w:val="auto"/>
          <w:highlight w:val="none"/>
          <w:lang w:eastAsia="zh-CN"/>
        </w:rPr>
        <w:t>。</w:t>
      </w:r>
    </w:p>
    <w:p w14:paraId="513BCA29">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b/>
          <w:bCs/>
          <w:color w:val="auto"/>
          <w:highlight w:val="none"/>
        </w:rPr>
        <w:t>本合同自甲方、乙方双方签字盖章且乙方提交合同价 10% 的履约保证金（履约保证金在项目全部成果验收合格后 30 个工作日内无息退还）后生效</w:t>
      </w:r>
      <w:r>
        <w:rPr>
          <w:rFonts w:hint="eastAsia" w:ascii="宋体" w:hAnsi="宋体" w:eastAsia="宋体" w:cs="宋体"/>
          <w:color w:val="auto"/>
          <w:highlight w:val="none"/>
        </w:rPr>
        <w:t>，双方履行完合同约定的义务后，本合同即行终止。
</w:t>
      </w:r>
    </w:p>
    <w:p w14:paraId="11433482">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4、本合同一式六份，甲乙双方各执三份，每份具有同等效力。
</w:t>
      </w:r>
    </w:p>
    <w:p w14:paraId="52371F77">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5、本合同未尽事宜，双方可签订补充协议，有关协议及双方认可的来往电报、传真、会议纪要等资料，均为本合同组成部分，与本合同具有同等法律效力。</w:t>
      </w:r>
      <w:r>
        <w:rPr>
          <w:rFonts w:hint="eastAsia" w:ascii="宋体" w:hAnsi="宋体" w:eastAsia="宋体" w:cs="宋体"/>
          <w:b/>
          <w:bCs/>
          <w:color w:val="auto"/>
          <w:highlight w:val="none"/>
        </w:rPr>
        <w:t>补充协议需经甲方书面确认并加盖公章后生效，补充协议内容不得减轻乙方责任或损害甲方核心权益。</w:t>
      </w:r>
    </w:p>
    <w:p w14:paraId="151A951A">
      <w:pPr>
        <w:bidi w:val="0"/>
        <w:rPr>
          <w:rFonts w:hint="eastAsia"/>
        </w:rPr>
      </w:pPr>
    </w:p>
    <w:p w14:paraId="7EF5BC58">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210" w:firstLineChars="1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w:t>
      </w:r>
    </w:p>
    <w:p w14:paraId="7DC74B7F">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0" w:firstLineChars="0"/>
        <w:jc w:val="both"/>
        <w:textAlignment w:val="auto"/>
        <w:rPr>
          <w:rFonts w:hint="eastAsia" w:ascii="宋体" w:hAnsi="宋体" w:eastAsia="宋体" w:cs="宋体"/>
          <w:color w:val="auto"/>
          <w:sz w:val="21"/>
          <w:szCs w:val="21"/>
          <w:highlight w:val="none"/>
        </w:rPr>
      </w:pPr>
    </w:p>
    <w:p w14:paraId="078807E9">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0" w:firstLineChars="0"/>
        <w:jc w:val="both"/>
        <w:textAlignment w:val="auto"/>
        <w:rPr>
          <w:rFonts w:hint="eastAsia" w:ascii="宋体" w:hAnsi="宋体" w:eastAsia="宋体" w:cs="宋体"/>
          <w:color w:val="auto"/>
          <w:sz w:val="21"/>
          <w:szCs w:val="21"/>
          <w:highlight w:val="none"/>
        </w:rPr>
      </w:pPr>
    </w:p>
    <w:p w14:paraId="5D56AE99">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0" w:firstLineChars="0"/>
        <w:jc w:val="both"/>
        <w:textAlignment w:val="auto"/>
        <w:rPr>
          <w:rFonts w:hint="eastAsia" w:ascii="宋体" w:hAnsi="宋体" w:eastAsia="宋体" w:cs="宋体"/>
          <w:color w:val="auto"/>
          <w:sz w:val="21"/>
          <w:szCs w:val="21"/>
          <w:highlight w:val="none"/>
        </w:rPr>
      </w:pPr>
    </w:p>
    <w:p w14:paraId="4854B706">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0" w:firstLineChars="0"/>
        <w:jc w:val="both"/>
        <w:textAlignment w:val="auto"/>
        <w:rPr>
          <w:rFonts w:hint="eastAsia" w:ascii="宋体" w:hAnsi="宋体" w:eastAsia="宋体" w:cs="宋体"/>
          <w:color w:val="auto"/>
          <w:sz w:val="21"/>
          <w:szCs w:val="21"/>
          <w:highlight w:val="none"/>
        </w:rPr>
      </w:pPr>
    </w:p>
    <w:p w14:paraId="41537FED">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0" w:firstLineChars="0"/>
        <w:jc w:val="both"/>
        <w:textAlignment w:val="auto"/>
        <w:rPr>
          <w:rFonts w:hint="eastAsia" w:ascii="宋体" w:hAnsi="宋体" w:eastAsia="宋体" w:cs="宋体"/>
          <w:color w:val="auto"/>
          <w:sz w:val="21"/>
          <w:szCs w:val="21"/>
          <w:highlight w:val="none"/>
        </w:rPr>
      </w:pPr>
    </w:p>
    <w:p w14:paraId="3D875890">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0" w:firstLineChars="0"/>
        <w:jc w:val="both"/>
        <w:textAlignment w:val="auto"/>
        <w:rPr>
          <w:rFonts w:hint="eastAsia" w:ascii="宋体" w:hAnsi="宋体" w:eastAsia="宋体" w:cs="宋体"/>
          <w:color w:val="auto"/>
          <w:sz w:val="21"/>
          <w:szCs w:val="21"/>
          <w:highlight w:val="none"/>
        </w:rPr>
      </w:pPr>
    </w:p>
    <w:p w14:paraId="72AE8188">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0" w:firstLineChars="0"/>
        <w:jc w:val="both"/>
        <w:textAlignment w:val="auto"/>
        <w:rPr>
          <w:rFonts w:hint="eastAsia" w:ascii="宋体" w:hAnsi="宋体" w:eastAsia="宋体" w:cs="宋体"/>
          <w:color w:val="auto"/>
          <w:sz w:val="21"/>
          <w:szCs w:val="21"/>
          <w:highlight w:val="none"/>
        </w:rPr>
      </w:pPr>
    </w:p>
    <w:p w14:paraId="4742A2DE">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0" w:firstLineChars="0"/>
        <w:jc w:val="both"/>
        <w:textAlignment w:val="auto"/>
        <w:rPr>
          <w:rFonts w:hint="eastAsia" w:ascii="宋体" w:hAnsi="宋体" w:eastAsia="宋体" w:cs="宋体"/>
          <w:color w:val="auto"/>
          <w:sz w:val="21"/>
          <w:szCs w:val="21"/>
          <w:highlight w:val="none"/>
        </w:rPr>
        <w:sectPr>
          <w:headerReference r:id="rId14" w:type="default"/>
          <w:footerReference r:id="rId15" w:type="default"/>
          <w:pgSz w:w="11905" w:h="16838"/>
          <w:pgMar w:top="1344" w:right="1247" w:bottom="1106" w:left="1837" w:header="0" w:footer="680" w:gutter="0"/>
          <w:pgNumType w:fmt="decimal"/>
          <w:cols w:space="0" w:num="1"/>
          <w:rtlGutter w:val="0"/>
          <w:docGrid w:type="linesAndChars" w:linePitch="312" w:charSpace="0"/>
        </w:sectPr>
      </w:pPr>
    </w:p>
    <w:p w14:paraId="527AF72D">
      <w:pPr>
        <w:pStyle w:val="2"/>
        <w:rPr>
          <w:rFonts w:hint="eastAsia"/>
        </w:rPr>
      </w:pPr>
    </w:p>
    <w:tbl>
      <w:tblPr>
        <w:tblStyle w:val="28"/>
        <w:tblW w:w="93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5"/>
        <w:gridCol w:w="283"/>
        <w:gridCol w:w="4535"/>
      </w:tblGrid>
      <w:tr w14:paraId="08C17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jc w:val="center"/>
        </w:trPr>
        <w:tc>
          <w:tcPr>
            <w:tcW w:w="4535" w:type="dxa"/>
            <w:vAlign w:val="top"/>
          </w:tcPr>
          <w:p w14:paraId="1774C65F">
            <w:pPr>
              <w:widowControl w:val="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甲方：（盖章）</w:t>
            </w:r>
          </w:p>
          <w:p w14:paraId="637286B3">
            <w:pPr>
              <w:widowControl w:val="0"/>
              <w:jc w:val="both"/>
              <w:rPr>
                <w:rFonts w:hint="eastAsia" w:ascii="宋体" w:hAnsi="宋体" w:eastAsia="宋体" w:cs="宋体"/>
                <w:b/>
                <w:bCs/>
                <w:color w:val="auto"/>
                <w:sz w:val="21"/>
                <w:szCs w:val="21"/>
                <w:highlight w:val="none"/>
              </w:rPr>
            </w:pPr>
          </w:p>
        </w:tc>
        <w:tc>
          <w:tcPr>
            <w:tcW w:w="283" w:type="dxa"/>
            <w:vAlign w:val="top"/>
          </w:tcPr>
          <w:p w14:paraId="40136019">
            <w:pPr>
              <w:widowControl w:val="0"/>
              <w:jc w:val="both"/>
              <w:rPr>
                <w:rFonts w:hint="eastAsia" w:ascii="宋体" w:hAnsi="宋体" w:eastAsia="宋体" w:cs="宋体"/>
                <w:b/>
                <w:bCs/>
                <w:color w:val="auto"/>
                <w:sz w:val="21"/>
                <w:szCs w:val="21"/>
                <w:highlight w:val="none"/>
              </w:rPr>
            </w:pPr>
          </w:p>
        </w:tc>
        <w:tc>
          <w:tcPr>
            <w:tcW w:w="4535" w:type="dxa"/>
            <w:vAlign w:val="top"/>
          </w:tcPr>
          <w:p w14:paraId="4A648EDB">
            <w:pPr>
              <w:widowControl w:val="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乙方：（盖章）</w:t>
            </w:r>
          </w:p>
          <w:p w14:paraId="35156495">
            <w:pPr>
              <w:widowControl w:val="0"/>
              <w:jc w:val="both"/>
              <w:rPr>
                <w:rFonts w:hint="eastAsia" w:ascii="宋体" w:hAnsi="宋体" w:eastAsia="宋体" w:cs="宋体"/>
                <w:color w:val="auto"/>
                <w:sz w:val="21"/>
                <w:szCs w:val="21"/>
                <w:highlight w:val="none"/>
              </w:rPr>
            </w:pPr>
          </w:p>
        </w:tc>
      </w:tr>
      <w:tr w14:paraId="383EB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jc w:val="center"/>
        </w:trPr>
        <w:tc>
          <w:tcPr>
            <w:tcW w:w="4535" w:type="dxa"/>
            <w:vAlign w:val="top"/>
          </w:tcPr>
          <w:p w14:paraId="417BC6A9">
            <w:pPr>
              <w:widowControl w:val="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法定代表人：（签字或签章）</w:t>
            </w:r>
          </w:p>
        </w:tc>
        <w:tc>
          <w:tcPr>
            <w:tcW w:w="283" w:type="dxa"/>
            <w:vAlign w:val="top"/>
          </w:tcPr>
          <w:p w14:paraId="099DC4DA">
            <w:pPr>
              <w:widowControl w:val="0"/>
              <w:jc w:val="both"/>
              <w:rPr>
                <w:rFonts w:hint="eastAsia" w:ascii="宋体" w:hAnsi="宋体" w:eastAsia="宋体" w:cs="宋体"/>
                <w:b/>
                <w:bCs/>
                <w:color w:val="auto"/>
                <w:sz w:val="21"/>
                <w:szCs w:val="21"/>
                <w:highlight w:val="none"/>
              </w:rPr>
            </w:pPr>
          </w:p>
        </w:tc>
        <w:tc>
          <w:tcPr>
            <w:tcW w:w="4535" w:type="dxa"/>
            <w:vAlign w:val="top"/>
          </w:tcPr>
          <w:p w14:paraId="24D37E79">
            <w:pPr>
              <w:widowControl w:val="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法定代表人：（签字或签章）</w:t>
            </w:r>
          </w:p>
        </w:tc>
      </w:tr>
      <w:tr w14:paraId="18260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4535" w:type="dxa"/>
            <w:vAlign w:val="top"/>
          </w:tcPr>
          <w:p w14:paraId="57FE4D96">
            <w:pPr>
              <w:widowControl w:val="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或委托代理人：（签字或签章）</w:t>
            </w:r>
          </w:p>
        </w:tc>
        <w:tc>
          <w:tcPr>
            <w:tcW w:w="283" w:type="dxa"/>
            <w:vAlign w:val="top"/>
          </w:tcPr>
          <w:p w14:paraId="1B48F25F">
            <w:pPr>
              <w:widowControl w:val="0"/>
              <w:jc w:val="both"/>
              <w:rPr>
                <w:rFonts w:hint="eastAsia" w:ascii="宋体" w:hAnsi="宋体" w:eastAsia="宋体" w:cs="宋体"/>
                <w:b/>
                <w:bCs/>
                <w:color w:val="auto"/>
                <w:sz w:val="21"/>
                <w:szCs w:val="21"/>
                <w:highlight w:val="none"/>
              </w:rPr>
            </w:pPr>
          </w:p>
        </w:tc>
        <w:tc>
          <w:tcPr>
            <w:tcW w:w="4535" w:type="dxa"/>
            <w:vAlign w:val="top"/>
          </w:tcPr>
          <w:p w14:paraId="0122122F">
            <w:pPr>
              <w:widowControl w:val="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或委托代理人：（签字或签章）</w:t>
            </w:r>
          </w:p>
        </w:tc>
      </w:tr>
      <w:tr w14:paraId="5678C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535" w:type="dxa"/>
            <w:vAlign w:val="top"/>
          </w:tcPr>
          <w:p w14:paraId="5B61C97B">
            <w:pPr>
              <w:widowControl w:val="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地址：</w:t>
            </w:r>
          </w:p>
        </w:tc>
        <w:tc>
          <w:tcPr>
            <w:tcW w:w="283" w:type="dxa"/>
            <w:vAlign w:val="top"/>
          </w:tcPr>
          <w:p w14:paraId="16B6BAC9">
            <w:pPr>
              <w:widowControl w:val="0"/>
              <w:jc w:val="both"/>
              <w:rPr>
                <w:rFonts w:hint="eastAsia" w:ascii="宋体" w:hAnsi="宋体" w:eastAsia="宋体" w:cs="宋体"/>
                <w:b/>
                <w:bCs/>
                <w:color w:val="auto"/>
                <w:sz w:val="21"/>
                <w:szCs w:val="21"/>
                <w:highlight w:val="none"/>
              </w:rPr>
            </w:pPr>
          </w:p>
        </w:tc>
        <w:tc>
          <w:tcPr>
            <w:tcW w:w="4535" w:type="dxa"/>
            <w:vAlign w:val="top"/>
          </w:tcPr>
          <w:p w14:paraId="0208DB40">
            <w:pPr>
              <w:widowControl w:val="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地址：</w:t>
            </w:r>
          </w:p>
        </w:tc>
      </w:tr>
      <w:tr w14:paraId="1AD91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535" w:type="dxa"/>
            <w:vAlign w:val="top"/>
          </w:tcPr>
          <w:p w14:paraId="77BD970B">
            <w:pPr>
              <w:widowControl w:val="0"/>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开户银行：</w:t>
            </w:r>
            <w:r>
              <w:rPr>
                <w:rFonts w:hint="eastAsia" w:ascii="宋体" w:hAnsi="宋体" w:eastAsia="宋体" w:cs="宋体"/>
                <w:b/>
                <w:bCs/>
                <w:color w:val="auto"/>
                <w:sz w:val="21"/>
                <w:szCs w:val="21"/>
                <w:highlight w:val="none"/>
                <w:lang w:val="en-US" w:eastAsia="zh-CN"/>
              </w:rPr>
              <w:t xml:space="preserve"> </w:t>
            </w:r>
          </w:p>
        </w:tc>
        <w:tc>
          <w:tcPr>
            <w:tcW w:w="283" w:type="dxa"/>
            <w:vAlign w:val="top"/>
          </w:tcPr>
          <w:p w14:paraId="7B4FD74A">
            <w:pPr>
              <w:widowControl w:val="0"/>
              <w:jc w:val="both"/>
              <w:rPr>
                <w:rFonts w:hint="eastAsia" w:ascii="宋体" w:hAnsi="宋体" w:eastAsia="宋体" w:cs="宋体"/>
                <w:b/>
                <w:bCs/>
                <w:color w:val="auto"/>
                <w:sz w:val="21"/>
                <w:szCs w:val="21"/>
                <w:highlight w:val="none"/>
              </w:rPr>
            </w:pPr>
          </w:p>
        </w:tc>
        <w:tc>
          <w:tcPr>
            <w:tcW w:w="4535" w:type="dxa"/>
            <w:vAlign w:val="top"/>
          </w:tcPr>
          <w:p w14:paraId="4F6EACCC">
            <w:pPr>
              <w:widowControl w:val="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开户银行：</w:t>
            </w:r>
          </w:p>
        </w:tc>
      </w:tr>
      <w:tr w14:paraId="531F9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535" w:type="dxa"/>
            <w:vAlign w:val="top"/>
          </w:tcPr>
          <w:p w14:paraId="7FF28026">
            <w:pPr>
              <w:widowControl w:val="0"/>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账号：</w:t>
            </w:r>
            <w:r>
              <w:rPr>
                <w:rFonts w:hint="eastAsia" w:ascii="宋体" w:hAnsi="宋体" w:eastAsia="宋体" w:cs="宋体"/>
                <w:b/>
                <w:bCs/>
                <w:color w:val="auto"/>
                <w:sz w:val="21"/>
                <w:szCs w:val="21"/>
                <w:highlight w:val="none"/>
                <w:lang w:val="en-US" w:eastAsia="zh-CN"/>
              </w:rPr>
              <w:t xml:space="preserve"> </w:t>
            </w:r>
          </w:p>
        </w:tc>
        <w:tc>
          <w:tcPr>
            <w:tcW w:w="283" w:type="dxa"/>
            <w:vAlign w:val="top"/>
          </w:tcPr>
          <w:p w14:paraId="2B986688">
            <w:pPr>
              <w:widowControl w:val="0"/>
              <w:jc w:val="both"/>
              <w:rPr>
                <w:rFonts w:hint="eastAsia" w:ascii="宋体" w:hAnsi="宋体" w:eastAsia="宋体" w:cs="宋体"/>
                <w:b/>
                <w:bCs/>
                <w:color w:val="auto"/>
                <w:sz w:val="21"/>
                <w:szCs w:val="21"/>
                <w:highlight w:val="none"/>
              </w:rPr>
            </w:pPr>
          </w:p>
        </w:tc>
        <w:tc>
          <w:tcPr>
            <w:tcW w:w="4535" w:type="dxa"/>
            <w:vAlign w:val="top"/>
          </w:tcPr>
          <w:p w14:paraId="5495D72F">
            <w:pPr>
              <w:widowControl w:val="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账号：</w:t>
            </w:r>
          </w:p>
        </w:tc>
      </w:tr>
      <w:tr w14:paraId="0CE0E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535" w:type="dxa"/>
            <w:vAlign w:val="top"/>
          </w:tcPr>
          <w:p w14:paraId="4C511309">
            <w:pPr>
              <w:widowControl w:val="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统一社会信用代码：</w:t>
            </w:r>
          </w:p>
        </w:tc>
        <w:tc>
          <w:tcPr>
            <w:tcW w:w="283" w:type="dxa"/>
            <w:vAlign w:val="top"/>
          </w:tcPr>
          <w:p w14:paraId="18B77575">
            <w:pPr>
              <w:widowControl w:val="0"/>
              <w:jc w:val="both"/>
              <w:rPr>
                <w:rFonts w:hint="eastAsia" w:ascii="宋体" w:hAnsi="宋体" w:eastAsia="宋体" w:cs="宋体"/>
                <w:b/>
                <w:bCs/>
                <w:color w:val="auto"/>
                <w:sz w:val="21"/>
                <w:szCs w:val="21"/>
                <w:highlight w:val="none"/>
              </w:rPr>
            </w:pPr>
          </w:p>
        </w:tc>
        <w:tc>
          <w:tcPr>
            <w:tcW w:w="4535" w:type="dxa"/>
            <w:vAlign w:val="top"/>
          </w:tcPr>
          <w:p w14:paraId="430D51A9">
            <w:pPr>
              <w:widowControl w:val="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统一社会信用代码：</w:t>
            </w:r>
          </w:p>
        </w:tc>
      </w:tr>
      <w:tr w14:paraId="60EDA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535" w:type="dxa"/>
            <w:vAlign w:val="top"/>
          </w:tcPr>
          <w:p w14:paraId="40E2DCD9">
            <w:pPr>
              <w:widowControl w:val="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电话：</w:t>
            </w:r>
          </w:p>
        </w:tc>
        <w:tc>
          <w:tcPr>
            <w:tcW w:w="283" w:type="dxa"/>
            <w:vAlign w:val="top"/>
          </w:tcPr>
          <w:p w14:paraId="6566F7B9">
            <w:pPr>
              <w:widowControl w:val="0"/>
              <w:jc w:val="both"/>
              <w:rPr>
                <w:rFonts w:hint="eastAsia" w:ascii="宋体" w:hAnsi="宋体" w:eastAsia="宋体" w:cs="宋体"/>
                <w:b/>
                <w:bCs/>
                <w:color w:val="auto"/>
                <w:sz w:val="21"/>
                <w:szCs w:val="21"/>
                <w:highlight w:val="none"/>
              </w:rPr>
            </w:pPr>
          </w:p>
        </w:tc>
        <w:tc>
          <w:tcPr>
            <w:tcW w:w="4535" w:type="dxa"/>
            <w:vAlign w:val="top"/>
          </w:tcPr>
          <w:p w14:paraId="6796121E">
            <w:pPr>
              <w:widowControl w:val="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电话：</w:t>
            </w:r>
          </w:p>
        </w:tc>
      </w:tr>
    </w:tbl>
    <w:p w14:paraId="59DE2B41">
      <w:pPr>
        <w:rPr>
          <w:rFonts w:hint="eastAsia" w:ascii="宋体" w:hAnsi="宋体" w:eastAsia="宋体" w:cs="宋体"/>
          <w:color w:val="auto"/>
          <w:szCs w:val="28"/>
          <w:highlight w:val="none"/>
          <w:lang w:eastAsia="zh-CN"/>
        </w:rPr>
      </w:pPr>
    </w:p>
    <w:p w14:paraId="71A4CB06">
      <w:pPr>
        <w:spacing w:line="299" w:lineRule="auto"/>
        <w:rPr>
          <w:rFonts w:hint="eastAsia" w:ascii="宋体" w:hAnsi="宋体" w:eastAsia="宋体" w:cs="宋体"/>
          <w:color w:val="auto"/>
          <w:highlight w:val="none"/>
        </w:rPr>
        <w:sectPr>
          <w:pgSz w:w="11905" w:h="16838"/>
          <w:pgMar w:top="1344" w:right="1247" w:bottom="1106" w:left="1837" w:header="0" w:footer="680" w:gutter="0"/>
          <w:pgNumType w:fmt="decimal"/>
          <w:cols w:space="0" w:num="1"/>
          <w:rtlGutter w:val="0"/>
          <w:docGrid w:type="linesAndChars" w:linePitch="312" w:charSpace="0"/>
        </w:sectPr>
      </w:pPr>
    </w:p>
    <w:p w14:paraId="210869E2">
      <w:pPr>
        <w:pStyle w:val="85"/>
        <w:adjustRightInd w:val="0"/>
        <w:snapToGrid w:val="0"/>
        <w:rPr>
          <w:rFonts w:hint="eastAsia" w:ascii="宋体" w:hAnsi="宋体" w:eastAsia="宋体" w:cs="宋体"/>
          <w:color w:val="auto"/>
          <w:sz w:val="28"/>
          <w:szCs w:val="28"/>
          <w:highlight w:val="none"/>
        </w:rPr>
      </w:pPr>
      <w:r>
        <w:rPr>
          <w:rFonts w:hint="eastAsia" w:ascii="宋体" w:hAnsi="宋体" w:eastAsia="宋体" w:cs="宋体"/>
          <w:b/>
          <w:bCs/>
          <w:color w:val="auto"/>
          <w:sz w:val="21"/>
          <w:szCs w:val="21"/>
          <w:highlight w:val="none"/>
        </w:rPr>
        <w:t xml:space="preserve">附件1：            </w:t>
      </w:r>
      <w:r>
        <w:rPr>
          <w:rFonts w:hint="eastAsia" w:ascii="宋体" w:hAnsi="宋体" w:eastAsia="宋体" w:cs="宋体"/>
          <w:color w:val="auto"/>
          <w:sz w:val="21"/>
          <w:szCs w:val="21"/>
          <w:highlight w:val="none"/>
        </w:rPr>
        <w:t xml:space="preserve">  </w:t>
      </w:r>
    </w:p>
    <w:p w14:paraId="3E1868CC">
      <w:pPr>
        <w:pStyle w:val="85"/>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工程建设项目廉政责任书</w:t>
      </w:r>
    </w:p>
    <w:p w14:paraId="33F12294">
      <w:pPr>
        <w:pStyle w:val="86"/>
        <w:adjustRightInd w:val="0"/>
        <w:snapToGrid w:val="0"/>
        <w:spacing w:line="400" w:lineRule="exact"/>
        <w:ind w:firstLine="0"/>
        <w:rPr>
          <w:rFonts w:hint="eastAsia" w:ascii="宋体" w:hAnsi="宋体" w:eastAsia="宋体" w:cs="宋体"/>
          <w:snapToGrid w:val="0"/>
          <w:color w:val="auto"/>
          <w:kern w:val="0"/>
          <w:sz w:val="21"/>
          <w:szCs w:val="21"/>
          <w:highlight w:val="none"/>
        </w:rPr>
      </w:pPr>
    </w:p>
    <w:p w14:paraId="517E966A">
      <w:pPr>
        <w:keepNext w:val="0"/>
        <w:keepLines w:val="0"/>
        <w:pageBreakBefore w:val="0"/>
        <w:widowControl/>
        <w:kinsoku/>
        <w:wordWrap/>
        <w:overflowPunct/>
        <w:topLinePunct w:val="0"/>
        <w:autoSpaceDE w:val="0"/>
        <w:autoSpaceDN w:val="0"/>
        <w:bidi w:val="0"/>
        <w:adjustRightInd/>
        <w:snapToGrid w:val="0"/>
        <w:spacing w:before="68" w:line="353" w:lineRule="auto"/>
        <w:ind w:right="74"/>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工程项目名称：</w:t>
      </w:r>
      <w:r>
        <w:rPr>
          <w:rFonts w:hint="eastAsia" w:ascii="宋体" w:hAnsi="宋体" w:eastAsia="宋体" w:cs="宋体"/>
          <w:color w:val="auto"/>
          <w:sz w:val="21"/>
          <w:szCs w:val="21"/>
          <w:highlight w:val="none"/>
          <w:u w:val="single"/>
          <w:lang w:val="en-US" w:eastAsia="zh-CN"/>
        </w:rPr>
        <w:t xml:space="preserve">                </w:t>
      </w:r>
    </w:p>
    <w:p w14:paraId="16C62ECD">
      <w:pPr>
        <w:keepNext w:val="0"/>
        <w:keepLines w:val="0"/>
        <w:pageBreakBefore w:val="0"/>
        <w:widowControl/>
        <w:kinsoku w:val="0"/>
        <w:wordWrap/>
        <w:overflowPunct/>
        <w:topLinePunct w:val="0"/>
        <w:autoSpaceDE w:val="0"/>
        <w:autoSpaceDN w:val="0"/>
        <w:bidi w:val="0"/>
        <w:adjustRightInd/>
        <w:snapToGrid w:val="0"/>
        <w:spacing w:before="68" w:line="353" w:lineRule="auto"/>
        <w:ind w:right="74"/>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工程项目地址：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25E1FB1B">
      <w:pPr>
        <w:keepNext w:val="0"/>
        <w:keepLines w:val="0"/>
        <w:pageBreakBefore w:val="0"/>
        <w:widowControl/>
        <w:kinsoku w:val="0"/>
        <w:wordWrap/>
        <w:overflowPunct/>
        <w:topLinePunct w:val="0"/>
        <w:autoSpaceDE w:val="0"/>
        <w:autoSpaceDN w:val="0"/>
        <w:bidi w:val="0"/>
        <w:adjustRightInd/>
        <w:snapToGrid w:val="0"/>
        <w:spacing w:before="68" w:line="353" w:lineRule="auto"/>
        <w:ind w:right="74"/>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FE14B49">
      <w:pPr>
        <w:keepNext w:val="0"/>
        <w:keepLines w:val="0"/>
        <w:pageBreakBefore w:val="0"/>
        <w:widowControl/>
        <w:kinsoku w:val="0"/>
        <w:wordWrap/>
        <w:overflowPunct/>
        <w:topLinePunct w:val="0"/>
        <w:autoSpaceDE w:val="0"/>
        <w:autoSpaceDN w:val="0"/>
        <w:bidi w:val="0"/>
        <w:adjustRightInd/>
        <w:snapToGrid w:val="0"/>
        <w:spacing w:before="68" w:line="353" w:lineRule="auto"/>
        <w:ind w:right="74"/>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FB0AEDC">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snapToGrid w:val="0"/>
          <w:color w:val="auto"/>
          <w:kern w:val="0"/>
          <w:sz w:val="21"/>
          <w:szCs w:val="21"/>
          <w:highlight w:val="none"/>
          <w:lang w:bidi="ar"/>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275D0189">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b/>
          <w:color w:val="auto"/>
          <w:kern w:val="0"/>
          <w:sz w:val="21"/>
          <w:szCs w:val="21"/>
          <w:highlight w:val="none"/>
        </w:rPr>
      </w:pPr>
      <w:r>
        <w:rPr>
          <w:rFonts w:hint="eastAsia" w:ascii="宋体" w:hAnsi="宋体" w:eastAsia="宋体" w:cs="宋体"/>
          <w:b/>
          <w:snapToGrid w:val="0"/>
          <w:color w:val="auto"/>
          <w:kern w:val="0"/>
          <w:sz w:val="21"/>
          <w:szCs w:val="21"/>
          <w:highlight w:val="none"/>
          <w:lang w:bidi="ar"/>
        </w:rPr>
        <w:t>第一条</w:t>
      </w:r>
      <w:r>
        <w:rPr>
          <w:rFonts w:hint="eastAsia" w:ascii="宋体" w:hAnsi="宋体" w:eastAsia="宋体" w:cs="宋体"/>
          <w:b/>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bidi="ar"/>
        </w:rPr>
        <w:t>甲、乙双方的责任</w:t>
      </w:r>
    </w:p>
    <w:p w14:paraId="740E3EDE">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（一）应严格遵守国家关于市场准入、项目招标投标、工程建设和市场活动等有关法律、法规、相关政策，以及廉政建设的各项规定。</w:t>
      </w:r>
    </w:p>
    <w:p w14:paraId="3E14277B">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（二）严格执行建设工程项目承发包合同文件，自觉按合同办事。</w:t>
      </w:r>
    </w:p>
    <w:p w14:paraId="5D20F3EF">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（三）业务活动必须坚持</w:t>
      </w:r>
      <w:r>
        <w:rPr>
          <w:rFonts w:hint="eastAsia" w:ascii="宋体" w:hAnsi="宋体" w:eastAsia="宋体" w:cs="宋体"/>
          <w:snapToGrid w:val="0"/>
          <w:color w:val="auto"/>
          <w:kern w:val="0"/>
          <w:sz w:val="21"/>
          <w:szCs w:val="21"/>
          <w:highlight w:val="none"/>
          <w:lang w:bidi="ar"/>
        </w:rPr>
        <w:t>公开、公平、公正、诚信、透明的原则（除法律法规另有规定者外）</w:t>
      </w:r>
      <w:r>
        <w:rPr>
          <w:rFonts w:hint="eastAsia" w:ascii="宋体" w:hAnsi="宋体" w:eastAsia="宋体" w:cs="宋体"/>
          <w:color w:val="auto"/>
          <w:highlight w:val="none"/>
        </w:rPr>
        <w:t>，不得为获取不正当的利益，损害国家、集体和对方利益，不得违反工程建设过程管理的规章制度。</w:t>
      </w:r>
    </w:p>
    <w:p w14:paraId="5D3440D2">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highlight w:val="none"/>
        </w:rPr>
        <w:t>（四）发现对方在业务活动中有违规、违纪、违法行为的，应及时提醒对方，情节严重的，应向其上级主管部门或纪检监察、司法等有关机关举报。</w:t>
      </w:r>
    </w:p>
    <w:p w14:paraId="53B47314">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b/>
          <w:snapToGrid w:val="0"/>
          <w:color w:val="auto"/>
          <w:kern w:val="0"/>
          <w:sz w:val="21"/>
          <w:szCs w:val="21"/>
          <w:highlight w:val="none"/>
          <w:lang w:bidi="ar"/>
        </w:rPr>
        <w:t>第二条</w:t>
      </w:r>
      <w:r>
        <w:rPr>
          <w:rFonts w:hint="eastAsia" w:ascii="宋体" w:hAnsi="宋体" w:eastAsia="宋体" w:cs="宋体"/>
          <w:b/>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bidi="ar"/>
        </w:rPr>
        <w:t>甲方的责任</w:t>
      </w:r>
    </w:p>
    <w:p w14:paraId="539734EB">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甲方的领导和从事本建设工程项目的工作人员，在工程建设的事前、事中、事后应遵守以下规定：</w:t>
      </w:r>
    </w:p>
    <w:p w14:paraId="5BCB0275">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（一）不准向乙方和相关单位索要或接受回扣、礼金、有价证券、贵重物品和好处费、感谢费等。</w:t>
      </w:r>
    </w:p>
    <w:p w14:paraId="4B5C1D88">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（二）不准在乙方和相关单位报销任何应由甲方或个人支付的费用。</w:t>
      </w:r>
    </w:p>
    <w:p w14:paraId="70433895">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（三）不准要求、暗示或接受乙方和相关单位为个人装修住房、婚丧嫁娶、配偶子女的工作安排以及出国（境）、旅游等提供方便。</w:t>
      </w:r>
    </w:p>
    <w:p w14:paraId="20C96507">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（四）不准参加有可能影响公正执行公务的乙方及相关单位的宴请、健身、娱乐等活动。</w:t>
      </w:r>
    </w:p>
    <w:p w14:paraId="086C634D">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highlight w:val="none"/>
        </w:rPr>
        <w:t>（五）不准向乙方介绍或为配偶、子女、亲属参与同甲方项目工程合同有关的设备、材料、工程分包、劳务等经济活动。不得以</w:t>
      </w:r>
      <w:r>
        <w:rPr>
          <w:rFonts w:hint="eastAsia" w:ascii="宋体" w:hAnsi="宋体" w:eastAsia="宋体" w:cs="宋体"/>
          <w:snapToGrid w:val="0"/>
          <w:color w:val="auto"/>
          <w:kern w:val="0"/>
          <w:sz w:val="21"/>
          <w:szCs w:val="21"/>
          <w:highlight w:val="none"/>
          <w:lang w:bidi="ar"/>
        </w:rPr>
        <w:t>任何理由向乙方和相关单位推荐分包单位。</w:t>
      </w:r>
    </w:p>
    <w:p w14:paraId="134257C8">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b/>
          <w:snapToGrid w:val="0"/>
          <w:color w:val="auto"/>
          <w:kern w:val="0"/>
          <w:sz w:val="21"/>
          <w:szCs w:val="21"/>
          <w:highlight w:val="none"/>
          <w:lang w:bidi="ar"/>
        </w:rPr>
        <w:t>第三条</w:t>
      </w:r>
      <w:r>
        <w:rPr>
          <w:rFonts w:hint="eastAsia" w:ascii="宋体" w:hAnsi="宋体" w:eastAsia="宋体" w:cs="宋体"/>
          <w:b/>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bidi="ar"/>
        </w:rPr>
        <w:t>乙方的责任</w:t>
      </w:r>
    </w:p>
    <w:p w14:paraId="58955DDB">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应与甲方保持正常的业务交往，按照有关法律法规和程序开展业务工作，严格执行工程建设过程管理的有关方针、政策，尤其是强制性标准和规范，并遵守以下规定：</w:t>
      </w:r>
    </w:p>
    <w:p w14:paraId="0C94B97C">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（一）不准以任何理由向甲方、相关单位及其工作人员索要、接受或赠送礼金、有价证券、贵重物品及回扣、好处费、感谢费等。</w:t>
      </w:r>
    </w:p>
    <w:p w14:paraId="26066FEF">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（二）不准以任何理由为甲方和相关单位报销应由对方或个人支付的费用。</w:t>
      </w:r>
    </w:p>
    <w:p w14:paraId="07C4029D">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（三）不准接受或暗示为甲方、相关单位或个人装修住房、婚丧嫁娶、配偶子女的工作安排以及出国（境）、旅游等提供方便。</w:t>
      </w:r>
    </w:p>
    <w:p w14:paraId="30811242">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（四）不准以任何理由为甲方、相关单位或个人组织有可能影响公正执行公务的宴请、健身、娱乐等活动。</w:t>
      </w:r>
    </w:p>
    <w:p w14:paraId="74BDA203">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b/>
          <w:snapToGrid w:val="0"/>
          <w:color w:val="auto"/>
          <w:kern w:val="0"/>
          <w:sz w:val="21"/>
          <w:szCs w:val="21"/>
          <w:highlight w:val="none"/>
          <w:lang w:bidi="ar"/>
        </w:rPr>
        <w:t xml:space="preserve"> 第四条</w:t>
      </w:r>
      <w:r>
        <w:rPr>
          <w:rFonts w:hint="eastAsia" w:ascii="宋体" w:hAnsi="宋体" w:eastAsia="宋体" w:cs="宋体"/>
          <w:b/>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bidi="ar"/>
        </w:rPr>
        <w:t>违约责任</w:t>
      </w:r>
    </w:p>
    <w:p w14:paraId="1420F240">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snapToGrid w:val="0"/>
          <w:color w:val="auto"/>
          <w:kern w:val="0"/>
          <w:sz w:val="21"/>
          <w:szCs w:val="21"/>
          <w:highlight w:val="none"/>
          <w:lang w:bidi="ar"/>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14:paraId="4B6D448A">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snapToGrid w:val="0"/>
          <w:color w:val="auto"/>
          <w:kern w:val="0"/>
          <w:sz w:val="21"/>
          <w:szCs w:val="21"/>
          <w:highlight w:val="none"/>
          <w:lang w:bidi="ar"/>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14:paraId="34C28B96">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b/>
          <w:color w:val="auto"/>
          <w:kern w:val="0"/>
          <w:sz w:val="21"/>
          <w:szCs w:val="21"/>
          <w:highlight w:val="none"/>
        </w:rPr>
      </w:pPr>
      <w:r>
        <w:rPr>
          <w:rFonts w:hint="eastAsia" w:ascii="宋体" w:hAnsi="宋体" w:eastAsia="宋体" w:cs="宋体"/>
          <w:b/>
          <w:snapToGrid w:val="0"/>
          <w:color w:val="auto"/>
          <w:kern w:val="0"/>
          <w:sz w:val="21"/>
          <w:szCs w:val="21"/>
          <w:highlight w:val="none"/>
          <w:lang w:bidi="ar"/>
        </w:rPr>
        <w:t>第五条</w:t>
      </w:r>
      <w:r>
        <w:rPr>
          <w:rFonts w:hint="eastAsia" w:ascii="宋体" w:hAnsi="宋体" w:eastAsia="宋体" w:cs="宋体"/>
          <w:b/>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bidi="ar"/>
        </w:rPr>
        <w:t>本廉政责任书作为合同的附件，与合同具有同等法律效力。经双方签署后立即生效。</w:t>
      </w:r>
    </w:p>
    <w:p w14:paraId="0872AEA5">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b/>
          <w:color w:val="auto"/>
          <w:kern w:val="0"/>
          <w:sz w:val="21"/>
          <w:szCs w:val="21"/>
          <w:highlight w:val="none"/>
        </w:rPr>
      </w:pPr>
      <w:r>
        <w:rPr>
          <w:rFonts w:hint="eastAsia" w:ascii="宋体" w:hAnsi="宋体" w:eastAsia="宋体" w:cs="宋体"/>
          <w:b/>
          <w:snapToGrid w:val="0"/>
          <w:color w:val="auto"/>
          <w:kern w:val="0"/>
          <w:sz w:val="21"/>
          <w:szCs w:val="21"/>
          <w:highlight w:val="none"/>
          <w:lang w:bidi="ar"/>
        </w:rPr>
        <w:t>第六条</w:t>
      </w:r>
      <w:r>
        <w:rPr>
          <w:rFonts w:hint="eastAsia" w:ascii="宋体" w:hAnsi="宋体" w:eastAsia="宋体" w:cs="宋体"/>
          <w:b/>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bidi="ar"/>
        </w:rPr>
        <w:t>本廉政责任书的有效期与合同的有效期相同。</w:t>
      </w:r>
    </w:p>
    <w:p w14:paraId="55ECA2C3">
      <w:pPr>
        <w:adjustRightInd w:val="0"/>
        <w:snapToGrid w:val="0"/>
        <w:spacing w:line="440" w:lineRule="exact"/>
        <w:rPr>
          <w:rFonts w:hint="eastAsia" w:ascii="宋体" w:hAnsi="宋体" w:eastAsia="宋体" w:cs="宋体"/>
          <w:color w:val="auto"/>
          <w:kern w:val="0"/>
          <w:sz w:val="21"/>
          <w:szCs w:val="21"/>
          <w:highlight w:val="none"/>
        </w:rPr>
      </w:pPr>
    </w:p>
    <w:p w14:paraId="3E052B62">
      <w:pPr>
        <w:adjustRightInd w:val="0"/>
        <w:snapToGrid w:val="0"/>
        <w:spacing w:line="380" w:lineRule="exact"/>
        <w:ind w:right="11"/>
        <w:rPr>
          <w:rFonts w:hint="eastAsia" w:ascii="宋体" w:hAnsi="宋体" w:eastAsia="宋体" w:cs="宋体"/>
          <w:snapToGrid w:val="0"/>
          <w:color w:val="auto"/>
          <w:kern w:val="0"/>
          <w:sz w:val="21"/>
          <w:szCs w:val="21"/>
          <w:highlight w:val="none"/>
        </w:rPr>
      </w:pPr>
    </w:p>
    <w:p w14:paraId="0C13CBD9">
      <w:pPr>
        <w:pStyle w:val="85"/>
        <w:adjustRightInd w:val="0"/>
        <w:snapToGrid w:val="0"/>
        <w:spacing w:line="360" w:lineRule="auto"/>
        <w:ind w:left="1920" w:right="11" w:hanging="1680" w:hangingChars="8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                                 乙方： </w:t>
      </w:r>
    </w:p>
    <w:p w14:paraId="5E7C5A26">
      <w:pPr>
        <w:pStyle w:val="85"/>
        <w:adjustRightInd w:val="0"/>
        <w:snapToGrid w:val="0"/>
        <w:spacing w:line="360" w:lineRule="auto"/>
        <w:ind w:left="1812" w:leftChars="513" w:right="11" w:hanging="735" w:hangingChars="3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1FFF938">
      <w:pPr>
        <w:pStyle w:val="85"/>
        <w:adjustRightInd w:val="0"/>
        <w:snapToGrid w:val="0"/>
        <w:spacing w:line="360" w:lineRule="auto"/>
        <w:ind w:right="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54C2C358">
      <w:pPr>
        <w:pStyle w:val="85"/>
        <w:tabs>
          <w:tab w:val="left" w:pos="5460"/>
        </w:tabs>
        <w:adjustRightInd w:val="0"/>
        <w:snapToGrid w:val="0"/>
        <w:spacing w:line="360" w:lineRule="auto"/>
        <w:ind w:left="-2" w:leftChars="-1" w:right="11"/>
        <w:rPr>
          <w:rFonts w:hint="eastAsia" w:ascii="宋体" w:hAnsi="宋体" w:eastAsia="宋体" w:cs="宋体"/>
          <w:color w:val="auto"/>
          <w:sz w:val="21"/>
          <w:szCs w:val="21"/>
          <w:highlight w:val="none"/>
        </w:rPr>
      </w:pPr>
    </w:p>
    <w:p w14:paraId="3A01CB3C">
      <w:pPr>
        <w:pStyle w:val="85"/>
        <w:tabs>
          <w:tab w:val="left" w:pos="5460"/>
        </w:tabs>
        <w:adjustRightInd w:val="0"/>
        <w:snapToGrid w:val="0"/>
        <w:spacing w:line="360" w:lineRule="auto"/>
        <w:ind w:left="-2" w:leftChars="-1" w:right="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                           委托代理人：</w:t>
      </w:r>
    </w:p>
    <w:p w14:paraId="376676AE">
      <w:pPr>
        <w:pStyle w:val="85"/>
        <w:tabs>
          <w:tab w:val="left" w:pos="5460"/>
        </w:tabs>
        <w:adjustRightInd w:val="0"/>
        <w:snapToGrid w:val="0"/>
        <w:spacing w:line="400" w:lineRule="exact"/>
        <w:ind w:left="-2" w:leftChars="-1" w:right="11"/>
        <w:rPr>
          <w:rFonts w:hint="eastAsia" w:ascii="宋体" w:hAnsi="宋体" w:eastAsia="宋体" w:cs="宋体"/>
          <w:color w:val="auto"/>
          <w:sz w:val="21"/>
          <w:szCs w:val="21"/>
          <w:highlight w:val="none"/>
        </w:rPr>
      </w:pPr>
    </w:p>
    <w:p w14:paraId="1DBD1FCD">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color w:val="auto"/>
          <w:sz w:val="21"/>
          <w:szCs w:val="21"/>
          <w:highlight w:val="none"/>
        </w:rPr>
        <w:t>签约日期：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4"/>
          <w:highlight w:val="none"/>
        </w:rPr>
        <w:t xml:space="preserve">   </w:t>
      </w:r>
    </w:p>
    <w:p w14:paraId="3DB9DAB9">
      <w:pPr>
        <w:pStyle w:val="83"/>
        <w:rPr>
          <w:rFonts w:hint="eastAsia" w:ascii="宋体" w:hAnsi="宋体" w:eastAsia="宋体" w:cs="宋体"/>
          <w:color w:val="auto"/>
          <w:sz w:val="21"/>
          <w:szCs w:val="21"/>
          <w:highlight w:val="none"/>
        </w:rPr>
      </w:pPr>
    </w:p>
    <w:p w14:paraId="6FF9AA96">
      <w:pPr>
        <w:pStyle w:val="83"/>
        <w:rPr>
          <w:rFonts w:hint="eastAsia" w:ascii="宋体" w:hAnsi="宋体" w:eastAsia="宋体" w:cs="宋体"/>
          <w:color w:val="auto"/>
          <w:sz w:val="28"/>
          <w:szCs w:val="28"/>
          <w:highlight w:val="none"/>
        </w:rPr>
      </w:pPr>
    </w:p>
    <w:p w14:paraId="19295C3B">
      <w:pPr>
        <w:rPr>
          <w:rFonts w:hint="eastAsia" w:ascii="宋体" w:hAnsi="宋体" w:eastAsia="宋体" w:cs="宋体"/>
          <w:color w:val="auto"/>
          <w:highlight w:val="none"/>
        </w:rPr>
      </w:pPr>
      <w:r>
        <w:rPr>
          <w:rFonts w:hint="eastAsia" w:ascii="宋体" w:hAnsi="宋体" w:eastAsia="宋体" w:cs="宋体"/>
          <w:color w:val="auto"/>
          <w:spacing w:val="5"/>
          <w:sz w:val="52"/>
          <w:szCs w:val="52"/>
          <w:highlight w:val="none"/>
        </w:rPr>
        <w:br w:type="page"/>
      </w:r>
    </w:p>
    <w:p w14:paraId="55F6321D">
      <w:pPr>
        <w:rPr>
          <w:rFonts w:hint="eastAsia" w:ascii="宋体" w:hAnsi="宋体" w:eastAsia="宋体" w:cs="宋体"/>
          <w:color w:val="auto"/>
          <w:highlight w:val="none"/>
        </w:rPr>
      </w:pPr>
    </w:p>
    <w:p w14:paraId="3EA6300F">
      <w:pPr>
        <w:pStyle w:val="33"/>
        <w:spacing w:before="5280"/>
        <w:rPr>
          <w:rFonts w:hint="eastAsia" w:ascii="宋体" w:hAnsi="宋体" w:eastAsia="宋体" w:cs="宋体"/>
          <w:color w:val="auto"/>
          <w:spacing w:val="7"/>
          <w:sz w:val="52"/>
          <w:szCs w:val="52"/>
          <w:highlight w:val="none"/>
        </w:rPr>
      </w:pPr>
      <w:bookmarkStart w:id="440" w:name="_Toc12908"/>
      <w:bookmarkStart w:id="441" w:name="_Toc7934"/>
      <w:r>
        <w:rPr>
          <w:rFonts w:hint="eastAsia" w:ascii="宋体" w:hAnsi="宋体" w:eastAsia="宋体" w:cs="宋体"/>
          <w:color w:val="auto"/>
          <w:spacing w:val="7"/>
          <w:sz w:val="52"/>
          <w:szCs w:val="52"/>
          <w:highlight w:val="none"/>
        </w:rPr>
        <w:t>第二卷</w:t>
      </w:r>
      <w:bookmarkEnd w:id="440"/>
      <w:bookmarkEnd w:id="441"/>
    </w:p>
    <w:p w14:paraId="3C9C1B79">
      <w:pPr>
        <w:pStyle w:val="33"/>
        <w:spacing w:before="5280"/>
        <w:rPr>
          <w:rFonts w:hint="eastAsia" w:ascii="宋体" w:hAnsi="宋体" w:eastAsia="宋体" w:cs="宋体"/>
          <w:color w:val="auto"/>
          <w:spacing w:val="5"/>
          <w:sz w:val="52"/>
          <w:szCs w:val="52"/>
          <w:highlight w:val="none"/>
        </w:rPr>
        <w:sectPr>
          <w:headerReference r:id="rId16" w:type="default"/>
          <w:footerReference r:id="rId17" w:type="default"/>
          <w:pgSz w:w="11905" w:h="16838"/>
          <w:pgMar w:top="1344" w:right="1247" w:bottom="1106" w:left="1837" w:header="0" w:footer="680" w:gutter="0"/>
          <w:pgNumType w:fmt="decimal"/>
          <w:cols w:space="0" w:num="1"/>
          <w:rtlGutter w:val="0"/>
          <w:docGrid w:type="linesAndChars" w:linePitch="312" w:charSpace="0"/>
        </w:sectPr>
      </w:pPr>
    </w:p>
    <w:p w14:paraId="0E2B06D8">
      <w:pPr>
        <w:spacing w:line="279" w:lineRule="auto"/>
        <w:rPr>
          <w:rFonts w:hint="eastAsia" w:ascii="宋体" w:hAnsi="宋体" w:eastAsia="宋体" w:cs="宋体"/>
          <w:color w:val="auto"/>
          <w:highlight w:val="none"/>
        </w:rPr>
      </w:pPr>
    </w:p>
    <w:p w14:paraId="08A2CA10">
      <w:pPr>
        <w:spacing w:line="280" w:lineRule="auto"/>
        <w:rPr>
          <w:rFonts w:hint="eastAsia" w:ascii="宋体" w:hAnsi="宋体" w:eastAsia="宋体" w:cs="宋体"/>
          <w:color w:val="auto"/>
          <w:highlight w:val="none"/>
        </w:rPr>
      </w:pPr>
    </w:p>
    <w:p w14:paraId="521CBC57">
      <w:pPr>
        <w:spacing w:line="280" w:lineRule="auto"/>
        <w:rPr>
          <w:rFonts w:hint="eastAsia" w:ascii="宋体" w:hAnsi="宋体" w:eastAsia="宋体" w:cs="宋体"/>
          <w:color w:val="auto"/>
          <w:highlight w:val="none"/>
        </w:rPr>
      </w:pPr>
    </w:p>
    <w:p w14:paraId="4FAB7FEE">
      <w:pPr>
        <w:pStyle w:val="34"/>
        <w:rPr>
          <w:rFonts w:hint="eastAsia" w:ascii="宋体" w:hAnsi="宋体" w:eastAsia="宋体" w:cs="宋体"/>
          <w:b/>
          <w:bCs w:val="0"/>
          <w:color w:val="auto"/>
          <w:spacing w:val="24"/>
          <w:szCs w:val="44"/>
          <w:highlight w:val="none"/>
        </w:rPr>
      </w:pPr>
      <w:bookmarkStart w:id="442" w:name="_Toc2562"/>
      <w:bookmarkStart w:id="443" w:name="_Toc22402"/>
      <w:bookmarkStart w:id="444" w:name="_Toc10009"/>
      <w:bookmarkStart w:id="445" w:name="_Toc10554"/>
      <w:bookmarkStart w:id="446" w:name="_Toc7483"/>
      <w:r>
        <w:rPr>
          <w:rFonts w:hint="eastAsia" w:ascii="宋体" w:hAnsi="宋体" w:eastAsia="宋体" w:cs="宋体"/>
          <w:b/>
          <w:bCs w:val="0"/>
          <w:color w:val="auto"/>
          <w:spacing w:val="24"/>
          <w:szCs w:val="44"/>
          <w:highlight w:val="none"/>
        </w:rPr>
        <w:t>第五章</w:t>
      </w:r>
      <w:r>
        <w:rPr>
          <w:rFonts w:hint="eastAsia" w:ascii="宋体" w:hAnsi="宋体" w:cs="宋体"/>
          <w:b/>
          <w:bCs w:val="0"/>
          <w:color w:val="auto"/>
          <w:spacing w:val="24"/>
          <w:szCs w:val="44"/>
          <w:highlight w:val="none"/>
          <w:lang w:val="en-US" w:eastAsia="zh-CN"/>
        </w:rPr>
        <w:t xml:space="preserve"> </w:t>
      </w:r>
      <w:r>
        <w:rPr>
          <w:rFonts w:hint="eastAsia" w:ascii="宋体" w:hAnsi="宋体" w:eastAsia="宋体" w:cs="宋体"/>
          <w:b/>
          <w:bCs w:val="0"/>
          <w:color w:val="auto"/>
          <w:spacing w:val="24"/>
          <w:szCs w:val="44"/>
          <w:highlight w:val="none"/>
        </w:rPr>
        <w:t>发包人要求</w:t>
      </w:r>
      <w:bookmarkEnd w:id="442"/>
      <w:bookmarkEnd w:id="443"/>
      <w:bookmarkEnd w:id="444"/>
      <w:bookmarkEnd w:id="445"/>
      <w:bookmarkEnd w:id="446"/>
    </w:p>
    <w:p w14:paraId="1B6A0886">
      <w:pPr>
        <w:pStyle w:val="34"/>
        <w:rPr>
          <w:rFonts w:hint="eastAsia" w:ascii="宋体" w:hAnsi="宋体" w:eastAsia="宋体" w:cs="宋体"/>
          <w:color w:val="auto"/>
          <w:highlight w:val="none"/>
        </w:rPr>
        <w:sectPr>
          <w:footerReference r:id="rId18" w:type="default"/>
          <w:pgSz w:w="11905" w:h="16838"/>
          <w:pgMar w:top="1344" w:right="1247" w:bottom="1106" w:left="1837" w:header="0" w:footer="680" w:gutter="0"/>
          <w:pgNumType w:fmt="decimal"/>
          <w:cols w:space="0" w:num="1"/>
          <w:rtlGutter w:val="0"/>
          <w:docGrid w:type="linesAndChars" w:linePitch="312" w:charSpace="0"/>
        </w:sectPr>
      </w:pPr>
    </w:p>
    <w:p w14:paraId="0A01AEF6">
      <w:pPr>
        <w:spacing w:before="100" w:line="227" w:lineRule="auto"/>
        <w:ind w:left="3526"/>
        <w:rPr>
          <w:rFonts w:hint="eastAsia" w:ascii="宋体" w:hAnsi="宋体" w:eastAsia="宋体" w:cs="宋体"/>
          <w:b/>
          <w:bCs/>
          <w:color w:val="auto"/>
          <w:spacing w:val="10"/>
          <w:sz w:val="31"/>
          <w:szCs w:val="31"/>
          <w:highlight w:val="none"/>
        </w:rPr>
      </w:pPr>
      <w:r>
        <w:rPr>
          <w:rFonts w:hint="eastAsia" w:ascii="宋体" w:hAnsi="宋体" w:eastAsia="宋体" w:cs="宋体"/>
          <w:b/>
          <w:bCs/>
          <w:color w:val="auto"/>
          <w:spacing w:val="10"/>
          <w:sz w:val="31"/>
          <w:szCs w:val="31"/>
          <w:highlight w:val="none"/>
        </w:rPr>
        <w:t>发</w:t>
      </w:r>
      <w:r>
        <w:rPr>
          <w:rFonts w:hint="eastAsia" w:ascii="宋体" w:hAnsi="宋体" w:eastAsia="宋体" w:cs="宋体"/>
          <w:b/>
          <w:bCs/>
          <w:color w:val="auto"/>
          <w:spacing w:val="7"/>
          <w:sz w:val="31"/>
          <w:szCs w:val="31"/>
          <w:highlight w:val="none"/>
        </w:rPr>
        <w:t>包人要求</w:t>
      </w:r>
    </w:p>
    <w:p w14:paraId="65BED951">
      <w:pPr>
        <w:spacing w:before="68" w:line="352" w:lineRule="auto"/>
        <w:ind w:right="72"/>
        <w:rPr>
          <w:rFonts w:hint="eastAsia" w:ascii="宋体" w:hAnsi="宋体" w:eastAsia="宋体" w:cs="宋体"/>
          <w:b/>
          <w:bCs/>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1．工程背景</w:t>
      </w:r>
    </w:p>
    <w:p w14:paraId="3C99ED5A">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大封门水库位于增城区派潭镇派潭河上游，坝址以上集雨面积为25.8km2。现状总库容664万m³，是一宗以发电为主兼有防洪效益的小（1）型水库。</w:t>
      </w:r>
    </w:p>
    <w:p w14:paraId="58FD27D0">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本工程位于派潭镇，派潭镇位于增城区北部、地处珠江三角洲地区北端，总面积289.5 km²。派潭镇南距增城区中心28km，距东莞60km；西北与从化区接壤，东北面与惠州市龙门县毗邻；距广州市70km。</w:t>
      </w:r>
    </w:p>
    <w:p w14:paraId="5AEDD4C0">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大封门水库扩容后总库容为2240万m³，为中型水库，是以供水、防洪和灌溉为任务的综合性水利枢纽工程。</w:t>
      </w:r>
    </w:p>
    <w:p w14:paraId="472E46F4">
      <w:pPr>
        <w:spacing w:before="68" w:line="352" w:lineRule="auto"/>
        <w:ind w:right="72"/>
        <w:rPr>
          <w:rFonts w:hint="eastAsia" w:ascii="宋体" w:hAnsi="宋体" w:eastAsia="宋体" w:cs="宋体"/>
          <w:b/>
          <w:bCs/>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2．服务目标及达到效果</w:t>
      </w:r>
    </w:p>
    <w:p w14:paraId="37EC6649">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广州市增城区大封门水库扩容工程任务为供水、防洪、灌溉，工程建成后可有效拦截上游洪水，保证城镇供水及兼顾派潭河干流沿岸灌溉，对增城北部派潭、小楼、正果等三镇的发展以及派潭河流域社会经济可持续发展具有十分重要意义，工程建设十分必要。本工程是促进增城区全面协调可持续发展的迫切需求，保障区域供水安全、提高区域备用供水能力的战略要求，补齐北部山区防洪短板，保障下游防洪安全的重要措施，提高区域农田灌溉保障程度的重要举措。</w:t>
      </w:r>
    </w:p>
    <w:p w14:paraId="6EC15A96">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1、本BIM技术应用服务项目根据项目进度分阶段实施。</w:t>
      </w:r>
    </w:p>
    <w:p w14:paraId="25E19D16">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2、第一阶段BIM技术应用</w:t>
      </w:r>
    </w:p>
    <w:p w14:paraId="0043D8AE">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1）建立BIM模型，根据甲方提供的施工图，建立各专业BIM模型和总体模型。</w:t>
      </w:r>
    </w:p>
    <w:p w14:paraId="509EF73F">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2）输出工程量表，根据模型导出主要材料的工程量表。</w:t>
      </w:r>
    </w:p>
    <w:p w14:paraId="78B4D90D">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3）碰撞检查，导出碰撞检测报告，如有问题可供设计单位优化修改图纸，并根据修改图纸实时调整模型。</w:t>
      </w:r>
    </w:p>
    <w:p w14:paraId="037AAB17">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4）模型可视化应用，轻量化模型，渲染展示，并制作漫游视频。</w:t>
      </w:r>
    </w:p>
    <w:p w14:paraId="330997A5">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3、第二阶段BIM技术应用</w:t>
      </w:r>
    </w:p>
    <w:p w14:paraId="6701F27D">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模型深化，完成现浇结构深化设计（包括二次结构、预留孔洞、节点、预埋件等）、装配式混凝土结构深化设计（如有）、钢结构深化设计（如有）、机电深化设计（如有），交付相关模型，对深化模型开展碰撞检查，生成碰撞报告。</w:t>
      </w:r>
    </w:p>
    <w:p w14:paraId="10CBAE84">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2）施工模拟，完成施工现场场地、施工临时工程等模型，交付相关模型，开展施工复杂工艺的组织模拟和施工工艺模拟，交付相关视频；</w:t>
      </w:r>
    </w:p>
    <w:p w14:paraId="79251107">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3）基于施工阶段的BIM模型，开展质量、安全、进度、成本管理可视化应用。</w:t>
      </w:r>
    </w:p>
    <w:p w14:paraId="134FF83C">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4）竣工模型，根据最终的竣工图完成竣工模型。</w:t>
      </w:r>
    </w:p>
    <w:p w14:paraId="6DAF96F0">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4、第三阶段BIM技术应用</w:t>
      </w:r>
    </w:p>
    <w:p w14:paraId="1F3A62B5">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4"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spacing w:val="1"/>
          <w:highlight w:val="none"/>
        </w:rPr>
        <w:t>竣工模型修编，根据竣工图进一步修正完成竣工模型。配合本项目后续信息化项目（如有）或数字孪生项目（如有），提供相关的 BIM 技术成果</w:t>
      </w:r>
      <w:r>
        <w:rPr>
          <w:rFonts w:hint="eastAsia" w:ascii="宋体" w:hAnsi="宋体" w:eastAsia="宋体" w:cs="宋体"/>
          <w:color w:val="auto"/>
          <w:highlight w:val="none"/>
        </w:rPr>
        <w:t>。</w:t>
      </w:r>
    </w:p>
    <w:p w14:paraId="278567C3">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5、其他要求</w:t>
      </w:r>
    </w:p>
    <w:p w14:paraId="5180FDD3">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1）成果交付时间：第一阶段应用成果交付从合同签订后90日交付，第二阶段应用成果根据项目施工进度实时提供，第三阶段根据信息化项目（如有）或数字孪生项目（如有）进度实时提供。</w:t>
      </w:r>
    </w:p>
    <w:p w14:paraId="5DE5D0DF">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2）BIM成果标准：符合相关国家、行业及地方发布的相关规范、标准及规程等的规定。</w:t>
      </w:r>
    </w:p>
    <w:p w14:paraId="3468873E">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3）BIM技术服务标准：乙方派出的BIM技术工程师应当满足甲方要求，并具备充分的专业技术能力。</w:t>
      </w:r>
    </w:p>
    <w:p w14:paraId="335037F1">
      <w:pPr>
        <w:spacing w:before="68" w:line="352" w:lineRule="auto"/>
        <w:ind w:right="72"/>
        <w:rPr>
          <w:rFonts w:hint="eastAsia" w:ascii="宋体" w:hAnsi="宋体" w:eastAsia="宋体" w:cs="宋体"/>
          <w:b/>
          <w:bCs/>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3．工程内容</w:t>
      </w:r>
    </w:p>
    <w:p w14:paraId="6D909C58">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本工程主要建筑物包括大坝及引水枢纽、进场道路、管理区等。大坝采用原址重建，坝型采用碾压混凝土重力坝。</w:t>
      </w:r>
    </w:p>
    <w:p w14:paraId="68F75DAF">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碾压混凝土重力坝由非溢流坝段和溢流坝段组成。大坝最大坝高86.5m，坝顶宽7.5m，建基面高程218.0m，坝顶高程为304.5m，大坝坝顶总长535.0m（含防渗墙段长71.5m），两侧非溢流坝段，共长436.0m，左侧非溢流坝段长326.0m，右侧非溢流坝段长110.0m，右侧防渗墙段长71.5m。中间段为溢流坝段，基本沿主河床布置，长27.5m，溢流坝堰顶高程为296.0m。</w:t>
      </w:r>
    </w:p>
    <w:p w14:paraId="02C11685">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引水（供水）系统采用坝内埋管、明管铺设至水厂输水接驳点，坝前设取水进水塔，进水口底板高程245.0m，坝身段压力钢管管径2m，长度44.6m，放水管穿坝后接直径1.6m的放空管，并分出两支直径0.8m的引（供）水压力钢管以及一支直径0.8m的生态（灌溉）放水岔管。放空管前段设置检修闸阀，末端设置消能锥形阀；两支引（供）水压力钢管前端分别设置控制闸阀，并排敷设至水厂接驳点，单支平面桩号长度629m，每支钢管中间设置3个减压阀，末端设置多喷孔套筒阀。生态（灌溉）放水岔管长20.6m，直接放水至坝下的主河道。扩容后部分道路进行改道处理。总体布置紧凑合理、施工方便，永久生活管理区布置在大坝右岸坝肩的山体上，上坝道路从原公路接引。</w:t>
      </w:r>
    </w:p>
    <w:p w14:paraId="785490B5">
      <w:pPr>
        <w:spacing w:before="68" w:line="352" w:lineRule="auto"/>
        <w:ind w:right="72"/>
        <w:rPr>
          <w:rFonts w:hint="eastAsia" w:ascii="宋体" w:hAnsi="宋体" w:eastAsia="宋体" w:cs="宋体"/>
          <w:b/>
          <w:bCs/>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4．批复概算</w:t>
      </w:r>
    </w:p>
    <w:p w14:paraId="4142EBA5">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b w:val="0"/>
          <w:bCs w:val="0"/>
          <w:i w:val="0"/>
          <w:iCs w:val="0"/>
          <w:color w:val="auto"/>
          <w:spacing w:val="0"/>
          <w:w w:val="100"/>
          <w:sz w:val="21"/>
          <w:szCs w:val="21"/>
          <w:highlight w:val="none"/>
          <w:vertAlign w:val="baseline"/>
        </w:rPr>
      </w:pPr>
      <w:r>
        <w:rPr>
          <w:rFonts w:hint="eastAsia" w:ascii="宋体" w:hAnsi="宋体" w:eastAsia="宋体" w:cs="宋体"/>
          <w:color w:val="auto"/>
          <w:highlight w:val="none"/>
        </w:rPr>
        <w:t>工程项目</w:t>
      </w:r>
      <w:r>
        <w:rPr>
          <w:rFonts w:hint="eastAsia" w:ascii="宋体" w:hAnsi="宋体" w:eastAsia="宋体" w:cs="宋体"/>
          <w:color w:val="auto"/>
          <w:highlight w:val="none"/>
          <w:lang w:eastAsia="zh-CN"/>
        </w:rPr>
        <w:t>概算</w:t>
      </w:r>
      <w:r>
        <w:rPr>
          <w:rFonts w:hint="eastAsia" w:ascii="宋体" w:hAnsi="宋体" w:eastAsia="宋体" w:cs="宋体"/>
          <w:color w:val="auto"/>
          <w:highlight w:val="none"/>
        </w:rPr>
        <w:t>总投资161744.04万元，其中</w:t>
      </w:r>
      <w:r>
        <w:rPr>
          <w:rFonts w:hint="eastAsia" w:ascii="宋体" w:hAnsi="宋体" w:eastAsia="宋体" w:cs="宋体"/>
          <w:color w:val="auto"/>
          <w:highlight w:val="none"/>
          <w:lang w:eastAsia="zh-CN"/>
        </w:rPr>
        <w:t>工程部分静态投资</w:t>
      </w:r>
      <w:r>
        <w:rPr>
          <w:rFonts w:hint="eastAsia" w:ascii="宋体" w:hAnsi="宋体" w:eastAsia="宋体" w:cs="宋体"/>
          <w:color w:val="auto"/>
          <w:highlight w:val="none"/>
          <w:lang w:val="en-US" w:eastAsia="zh-CN"/>
        </w:rPr>
        <w:t>133853.85万元，</w:t>
      </w:r>
      <w:r>
        <w:rPr>
          <w:rFonts w:hint="eastAsia" w:ascii="宋体" w:hAnsi="宋体" w:eastAsia="宋体" w:cs="宋体"/>
          <w:color w:val="auto"/>
          <w:highlight w:val="none"/>
        </w:rPr>
        <w:t>建设征地移民补偿静态投资25049.17万元；水土保持工程静态投资1152.12万元；环境保护工程静态投资1394.34万元；专项工程静态投资294.56万元(含白蚁防治费94.56万元, 10kV电源接入工程200万元）。</w:t>
      </w:r>
    </w:p>
    <w:p w14:paraId="3E0422C8">
      <w:pPr>
        <w:spacing w:before="68" w:line="352" w:lineRule="auto"/>
        <w:ind w:right="72"/>
        <w:rPr>
          <w:rFonts w:hint="eastAsia" w:ascii="宋体" w:hAnsi="宋体" w:eastAsia="宋体" w:cs="宋体"/>
          <w:b/>
          <w:bCs/>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lang w:val="en-US" w:eastAsia="zh-CN"/>
        </w:rPr>
        <w:t>5．工作依据</w:t>
      </w:r>
    </w:p>
    <w:p w14:paraId="11696A76">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（一）国家相关法律、法规、强制性条文、国家及各行业设计规范、规程、 行业条例、广东省及广州市的相关地方规定和标准。 </w:t>
      </w:r>
    </w:p>
    <w:p w14:paraId="22F966F5">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（二）相关政府主管部门对本项目的批复文件、给定的技术条件和意见要求。 </w:t>
      </w:r>
    </w:p>
    <w:p w14:paraId="1AD9124C">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（三）BIM 实施标准应满足如下标准文件规定：（如有更新则按最新的为准）</w:t>
      </w:r>
    </w:p>
    <w:p w14:paraId="5026B4C1">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《建筑信息模型应用统一标准》GB/T51212-2016 </w:t>
      </w:r>
    </w:p>
    <w:p w14:paraId="6ED2580B">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《建筑信息模型设计交付标准》GB/T51301-2018 </w:t>
      </w:r>
    </w:p>
    <w:p w14:paraId="14A8962C">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《建筑信息模型施工应用标准》GB/T51235-2017 </w:t>
      </w:r>
    </w:p>
    <w:p w14:paraId="3B0A5C2B">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《建筑信息模型分类和编码标准》GB/T 51269-2017</w:t>
      </w:r>
    </w:p>
    <w:p w14:paraId="091C6CC5">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《广东省建筑信息模型应用统一标准》DBJ/T 15-142-2018</w:t>
      </w:r>
    </w:p>
    <w:p w14:paraId="625C9788">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以及国家、广东省及广州市颁布的最新相关 BIM 标准。</w:t>
      </w:r>
    </w:p>
    <w:p w14:paraId="558296F2">
      <w:pPr>
        <w:spacing w:before="68" w:line="352" w:lineRule="auto"/>
        <w:ind w:right="72"/>
        <w:rPr>
          <w:rFonts w:hint="eastAsia" w:ascii="宋体" w:hAnsi="宋体" w:eastAsia="宋体" w:cs="宋体"/>
          <w:color w:val="auto"/>
          <w:sz w:val="21"/>
          <w:szCs w:val="21"/>
          <w:highlight w:val="none"/>
        </w:rPr>
        <w:sectPr>
          <w:footerReference r:id="rId19" w:type="default"/>
          <w:pgSz w:w="11905" w:h="16838"/>
          <w:pgMar w:top="1344" w:right="1247" w:bottom="1106" w:left="1837" w:header="0" w:footer="680" w:gutter="0"/>
          <w:pgNumType w:fmt="decimal"/>
          <w:cols w:space="0" w:num="1"/>
          <w:rtlGutter w:val="0"/>
          <w:docGrid w:type="linesAndChars" w:linePitch="312" w:charSpace="0"/>
        </w:sectPr>
      </w:pPr>
      <w:r>
        <w:rPr>
          <w:rFonts w:hint="eastAsia" w:ascii="宋体" w:hAnsi="宋体" w:eastAsia="宋体" w:cs="宋体"/>
          <w:b/>
          <w:bCs/>
          <w:color w:val="auto"/>
          <w:spacing w:val="-2"/>
          <w:sz w:val="24"/>
          <w:szCs w:val="24"/>
          <w:highlight w:val="none"/>
          <w:lang w:val="en-US" w:eastAsia="zh-CN"/>
        </w:rPr>
        <w:t>6．其他要求详见合同</w:t>
      </w:r>
    </w:p>
    <w:p w14:paraId="45456664">
      <w:pPr>
        <w:pStyle w:val="33"/>
        <w:spacing w:before="5280"/>
        <w:rPr>
          <w:rFonts w:hint="eastAsia" w:ascii="宋体" w:hAnsi="宋体" w:eastAsia="宋体" w:cs="宋体"/>
          <w:color w:val="auto"/>
          <w:spacing w:val="7"/>
          <w:sz w:val="52"/>
          <w:szCs w:val="52"/>
          <w:highlight w:val="none"/>
        </w:rPr>
      </w:pPr>
      <w:bookmarkStart w:id="447" w:name="_Toc20631"/>
      <w:bookmarkStart w:id="448" w:name="_Toc24696"/>
      <w:r>
        <w:rPr>
          <w:rFonts w:hint="eastAsia" w:ascii="宋体" w:hAnsi="宋体" w:eastAsia="宋体" w:cs="宋体"/>
          <w:color w:val="auto"/>
          <w:spacing w:val="7"/>
          <w:sz w:val="52"/>
          <w:szCs w:val="52"/>
          <w:highlight w:val="none"/>
        </w:rPr>
        <w:t>第三卷</w:t>
      </w:r>
      <w:bookmarkEnd w:id="447"/>
      <w:bookmarkEnd w:id="448"/>
    </w:p>
    <w:p w14:paraId="72E26228">
      <w:pPr>
        <w:pStyle w:val="33"/>
        <w:spacing w:before="5280"/>
        <w:rPr>
          <w:rFonts w:hint="eastAsia" w:ascii="宋体" w:hAnsi="宋体" w:eastAsia="宋体" w:cs="宋体"/>
          <w:color w:val="auto"/>
          <w:spacing w:val="5"/>
          <w:sz w:val="52"/>
          <w:szCs w:val="52"/>
          <w:highlight w:val="none"/>
        </w:rPr>
        <w:sectPr>
          <w:pgSz w:w="11905" w:h="16838"/>
          <w:pgMar w:top="1344" w:right="1247" w:bottom="1106" w:left="1837" w:header="0" w:footer="680" w:gutter="0"/>
          <w:pgNumType w:fmt="decimal"/>
          <w:cols w:space="0" w:num="1"/>
          <w:rtlGutter w:val="0"/>
          <w:docGrid w:type="linesAndChars" w:linePitch="312" w:charSpace="0"/>
        </w:sectPr>
      </w:pPr>
    </w:p>
    <w:p w14:paraId="23B28C39">
      <w:pPr>
        <w:spacing w:line="250" w:lineRule="auto"/>
        <w:rPr>
          <w:rFonts w:hint="eastAsia" w:ascii="宋体" w:hAnsi="宋体" w:eastAsia="宋体" w:cs="宋体"/>
          <w:color w:val="auto"/>
          <w:highlight w:val="none"/>
        </w:rPr>
      </w:pPr>
    </w:p>
    <w:p w14:paraId="7FB4A1FD">
      <w:pPr>
        <w:spacing w:line="251" w:lineRule="auto"/>
        <w:rPr>
          <w:rFonts w:hint="eastAsia" w:ascii="宋体" w:hAnsi="宋体" w:eastAsia="宋体" w:cs="宋体"/>
          <w:color w:val="auto"/>
          <w:highlight w:val="none"/>
        </w:rPr>
      </w:pPr>
    </w:p>
    <w:p w14:paraId="0E475849">
      <w:pPr>
        <w:spacing w:line="251" w:lineRule="auto"/>
        <w:rPr>
          <w:rFonts w:hint="eastAsia" w:ascii="宋体" w:hAnsi="宋体" w:eastAsia="宋体" w:cs="宋体"/>
          <w:color w:val="auto"/>
          <w:highlight w:val="none"/>
        </w:rPr>
      </w:pPr>
    </w:p>
    <w:p w14:paraId="28D00AF9">
      <w:pPr>
        <w:pStyle w:val="34"/>
        <w:jc w:val="center"/>
        <w:rPr>
          <w:rFonts w:hint="eastAsia" w:ascii="宋体" w:hAnsi="宋体" w:eastAsia="宋体" w:cs="宋体"/>
          <w:b/>
          <w:bCs w:val="0"/>
          <w:color w:val="auto"/>
          <w:spacing w:val="24"/>
          <w:szCs w:val="44"/>
          <w:highlight w:val="none"/>
        </w:rPr>
      </w:pPr>
      <w:bookmarkStart w:id="449" w:name="_Toc10838"/>
      <w:bookmarkStart w:id="450" w:name="_Toc27544"/>
      <w:bookmarkStart w:id="451" w:name="_Toc25628"/>
      <w:bookmarkStart w:id="452" w:name="_Toc18917"/>
      <w:bookmarkStart w:id="453" w:name="_Toc31817"/>
      <w:r>
        <w:rPr>
          <w:rFonts w:hint="eastAsia" w:ascii="宋体" w:hAnsi="宋体" w:eastAsia="宋体" w:cs="宋体"/>
          <w:b/>
          <w:bCs w:val="0"/>
          <w:color w:val="auto"/>
          <w:spacing w:val="24"/>
          <w:szCs w:val="44"/>
          <w:highlight w:val="none"/>
        </w:rPr>
        <w:t>第六章</w:t>
      </w:r>
      <w:r>
        <w:rPr>
          <w:rFonts w:hint="eastAsia" w:ascii="宋体" w:hAnsi="宋体" w:cs="宋体"/>
          <w:b/>
          <w:bCs w:val="0"/>
          <w:color w:val="auto"/>
          <w:spacing w:val="24"/>
          <w:szCs w:val="44"/>
          <w:highlight w:val="none"/>
          <w:lang w:val="en-US" w:eastAsia="zh-CN"/>
        </w:rPr>
        <w:t xml:space="preserve"> </w:t>
      </w:r>
      <w:r>
        <w:rPr>
          <w:rFonts w:hint="eastAsia" w:ascii="宋体" w:hAnsi="宋体" w:eastAsia="宋体" w:cs="宋体"/>
          <w:b/>
          <w:bCs w:val="0"/>
          <w:color w:val="auto"/>
          <w:spacing w:val="24"/>
          <w:szCs w:val="44"/>
          <w:highlight w:val="none"/>
        </w:rPr>
        <w:t>投标文件格式</w:t>
      </w:r>
      <w:bookmarkEnd w:id="449"/>
      <w:bookmarkEnd w:id="450"/>
      <w:bookmarkEnd w:id="451"/>
      <w:bookmarkEnd w:id="452"/>
      <w:bookmarkEnd w:id="453"/>
    </w:p>
    <w:p w14:paraId="1A81640E">
      <w:pPr>
        <w:rPr>
          <w:rFonts w:hint="eastAsia" w:ascii="宋体" w:hAnsi="宋体" w:eastAsia="宋体" w:cs="宋体"/>
          <w:color w:val="auto"/>
          <w:highlight w:val="none"/>
        </w:rPr>
        <w:sectPr>
          <w:footerReference r:id="rId20" w:type="default"/>
          <w:pgSz w:w="11905" w:h="16838"/>
          <w:pgMar w:top="1344" w:right="1247" w:bottom="1106" w:left="1837" w:header="0" w:footer="680" w:gutter="0"/>
          <w:pgNumType w:fmt="decimal"/>
          <w:cols w:space="0" w:num="1"/>
          <w:rtlGutter w:val="0"/>
          <w:docGrid w:type="linesAndChars" w:linePitch="312" w:charSpace="0"/>
        </w:sectPr>
      </w:pPr>
    </w:p>
    <w:p w14:paraId="28C0994E">
      <w:pPr>
        <w:spacing w:line="279" w:lineRule="auto"/>
        <w:rPr>
          <w:rFonts w:hint="eastAsia" w:ascii="宋体" w:hAnsi="宋体" w:eastAsia="宋体" w:cs="宋体"/>
          <w:color w:val="auto"/>
          <w:highlight w:val="none"/>
        </w:rPr>
      </w:pPr>
    </w:p>
    <w:p w14:paraId="09FDF798">
      <w:pPr>
        <w:spacing w:line="279" w:lineRule="auto"/>
        <w:rPr>
          <w:rFonts w:hint="eastAsia" w:ascii="宋体" w:hAnsi="宋体" w:eastAsia="宋体" w:cs="宋体"/>
          <w:color w:val="auto"/>
          <w:highlight w:val="none"/>
        </w:rPr>
      </w:pPr>
    </w:p>
    <w:p w14:paraId="2378A5CD">
      <w:pPr>
        <w:spacing w:line="279" w:lineRule="auto"/>
        <w:rPr>
          <w:rFonts w:hint="eastAsia" w:ascii="宋体" w:hAnsi="宋体" w:eastAsia="宋体" w:cs="宋体"/>
          <w:color w:val="auto"/>
          <w:highlight w:val="none"/>
        </w:rPr>
      </w:pPr>
    </w:p>
    <w:p w14:paraId="7B035F34">
      <w:pPr>
        <w:spacing w:line="279" w:lineRule="auto"/>
        <w:rPr>
          <w:rFonts w:hint="eastAsia" w:ascii="宋体" w:hAnsi="宋体" w:eastAsia="宋体" w:cs="宋体"/>
          <w:color w:val="auto"/>
          <w:highlight w:val="none"/>
        </w:rPr>
      </w:pPr>
    </w:p>
    <w:p w14:paraId="2CE32FD4">
      <w:pPr>
        <w:spacing w:line="280" w:lineRule="auto"/>
        <w:rPr>
          <w:rFonts w:hint="eastAsia" w:ascii="宋体" w:hAnsi="宋体" w:eastAsia="宋体" w:cs="宋体"/>
          <w:color w:val="auto"/>
          <w:highlight w:val="none"/>
        </w:rPr>
      </w:pPr>
    </w:p>
    <w:p w14:paraId="58B90372">
      <w:pPr>
        <w:spacing w:line="280" w:lineRule="auto"/>
        <w:rPr>
          <w:rFonts w:hint="eastAsia" w:ascii="宋体" w:hAnsi="宋体" w:eastAsia="宋体" w:cs="宋体"/>
          <w:color w:val="auto"/>
          <w:highlight w:val="none"/>
        </w:rPr>
      </w:pPr>
    </w:p>
    <w:p w14:paraId="17B612BF">
      <w:pPr>
        <w:tabs>
          <w:tab w:val="left" w:pos="3332"/>
        </w:tabs>
        <w:spacing w:before="88" w:line="229" w:lineRule="auto"/>
        <w:ind w:left="148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u w:val="single"/>
        </w:rPr>
        <w:tab/>
      </w:r>
      <w:r>
        <w:rPr>
          <w:rFonts w:hint="eastAsia" w:ascii="宋体" w:hAnsi="宋体" w:eastAsia="宋体" w:cs="宋体"/>
          <w:color w:val="auto"/>
          <w:spacing w:val="16"/>
          <w:sz w:val="32"/>
          <w:szCs w:val="32"/>
          <w:highlight w:val="none"/>
          <w:u w:val="single"/>
        </w:rPr>
        <w:t>(</w:t>
      </w:r>
      <w:r>
        <w:rPr>
          <w:rFonts w:hint="eastAsia" w:ascii="宋体" w:hAnsi="宋体" w:eastAsia="宋体" w:cs="宋体"/>
          <w:color w:val="auto"/>
          <w:spacing w:val="15"/>
          <w:sz w:val="32"/>
          <w:szCs w:val="32"/>
          <w:highlight w:val="none"/>
          <w:u w:val="single"/>
        </w:rPr>
        <w:t xml:space="preserve">项目名称)   </w:t>
      </w:r>
    </w:p>
    <w:p w14:paraId="7FCC8F8F">
      <w:pPr>
        <w:pStyle w:val="2"/>
        <w:rPr>
          <w:rFonts w:hint="eastAsia" w:ascii="宋体" w:hAnsi="宋体" w:eastAsia="宋体" w:cs="宋体"/>
          <w:color w:val="auto"/>
          <w:highlight w:val="none"/>
        </w:rPr>
      </w:pPr>
    </w:p>
    <w:p w14:paraId="75F58E34">
      <w:pPr>
        <w:spacing w:line="368" w:lineRule="auto"/>
        <w:rPr>
          <w:rFonts w:hint="eastAsia" w:ascii="宋体" w:hAnsi="宋体" w:eastAsia="宋体" w:cs="宋体"/>
          <w:color w:val="auto"/>
          <w:highlight w:val="none"/>
        </w:rPr>
      </w:pPr>
    </w:p>
    <w:p w14:paraId="56C62EEA">
      <w:pPr>
        <w:pStyle w:val="2"/>
        <w:rPr>
          <w:rFonts w:hint="eastAsia" w:ascii="宋体" w:hAnsi="宋体" w:eastAsia="宋体" w:cs="宋体"/>
          <w:color w:val="auto"/>
          <w:highlight w:val="none"/>
        </w:rPr>
      </w:pPr>
    </w:p>
    <w:p w14:paraId="0F3296C5">
      <w:pPr>
        <w:pStyle w:val="2"/>
        <w:rPr>
          <w:rFonts w:hint="eastAsia" w:ascii="宋体" w:hAnsi="宋体" w:eastAsia="宋体" w:cs="宋体"/>
          <w:color w:val="auto"/>
          <w:highlight w:val="none"/>
        </w:rPr>
      </w:pPr>
    </w:p>
    <w:p w14:paraId="6570972B">
      <w:pPr>
        <w:spacing w:before="140" w:line="226" w:lineRule="auto"/>
        <w:ind w:left="0" w:leftChars="0" w:firstLine="0" w:firstLineChars="0"/>
        <w:jc w:val="center"/>
        <w:rPr>
          <w:rFonts w:hint="eastAsia" w:ascii="宋体" w:hAnsi="宋体" w:eastAsia="宋体" w:cs="宋体"/>
          <w:color w:val="auto"/>
          <w:spacing w:val="8"/>
          <w:sz w:val="84"/>
          <w:szCs w:val="84"/>
          <w:highlight w:val="none"/>
        </w:rPr>
      </w:pPr>
      <w:r>
        <w:rPr>
          <w:rFonts w:hint="eastAsia" w:ascii="宋体" w:hAnsi="宋体" w:eastAsia="宋体" w:cs="宋体"/>
          <w:color w:val="auto"/>
          <w:spacing w:val="8"/>
          <w:sz w:val="84"/>
          <w:szCs w:val="84"/>
          <w:highlight w:val="none"/>
        </w:rPr>
        <w:t>投</w:t>
      </w:r>
      <w:r>
        <w:rPr>
          <w:rFonts w:hint="eastAsia" w:ascii="宋体" w:hAnsi="宋体" w:eastAsia="宋体" w:cs="宋体"/>
          <w:color w:val="auto"/>
          <w:spacing w:val="6"/>
          <w:sz w:val="84"/>
          <w:szCs w:val="84"/>
          <w:highlight w:val="none"/>
        </w:rPr>
        <w:t>标文件</w:t>
      </w:r>
    </w:p>
    <w:p w14:paraId="26820F81">
      <w:pPr>
        <w:spacing w:line="246" w:lineRule="auto"/>
        <w:rPr>
          <w:rFonts w:hint="eastAsia" w:ascii="宋体" w:hAnsi="宋体" w:eastAsia="宋体" w:cs="宋体"/>
          <w:color w:val="auto"/>
          <w:highlight w:val="none"/>
        </w:rPr>
      </w:pPr>
    </w:p>
    <w:p w14:paraId="2C1247BD">
      <w:pPr>
        <w:spacing w:line="246" w:lineRule="auto"/>
        <w:rPr>
          <w:rFonts w:hint="eastAsia" w:ascii="宋体" w:hAnsi="宋体" w:eastAsia="宋体" w:cs="宋体"/>
          <w:color w:val="auto"/>
          <w:highlight w:val="none"/>
        </w:rPr>
      </w:pPr>
    </w:p>
    <w:p w14:paraId="2EADA848">
      <w:pPr>
        <w:spacing w:line="246" w:lineRule="auto"/>
        <w:rPr>
          <w:rFonts w:hint="eastAsia" w:ascii="宋体" w:hAnsi="宋体" w:eastAsia="宋体" w:cs="宋体"/>
          <w:color w:val="auto"/>
          <w:highlight w:val="none"/>
        </w:rPr>
      </w:pPr>
    </w:p>
    <w:p w14:paraId="0D8814AC">
      <w:pPr>
        <w:spacing w:line="246" w:lineRule="auto"/>
        <w:jc w:val="center"/>
        <w:rPr>
          <w:rFonts w:hint="eastAsia" w:ascii="宋体" w:hAnsi="宋体" w:eastAsia="宋体" w:cs="宋体"/>
          <w:color w:val="auto"/>
          <w:sz w:val="44"/>
          <w:szCs w:val="44"/>
          <w:highlight w:val="none"/>
        </w:rPr>
      </w:pPr>
      <w:r>
        <w:rPr>
          <w:rFonts w:hint="eastAsia" w:ascii="宋体" w:hAnsi="宋体" w:eastAsia="宋体" w:cs="宋体"/>
          <w:b/>
          <w:color w:val="auto"/>
          <w:sz w:val="32"/>
          <w:szCs w:val="32"/>
          <w:highlight w:val="none"/>
        </w:rPr>
        <w:t>商务文件（含资格审查文件）</w:t>
      </w:r>
    </w:p>
    <w:p w14:paraId="7450C2E5">
      <w:pPr>
        <w:spacing w:line="246" w:lineRule="auto"/>
        <w:rPr>
          <w:rFonts w:hint="eastAsia" w:ascii="宋体" w:hAnsi="宋体" w:eastAsia="宋体" w:cs="宋体"/>
          <w:color w:val="auto"/>
          <w:highlight w:val="none"/>
        </w:rPr>
      </w:pPr>
    </w:p>
    <w:p w14:paraId="4D51EB1A">
      <w:pPr>
        <w:spacing w:line="246" w:lineRule="auto"/>
        <w:rPr>
          <w:rFonts w:hint="eastAsia" w:ascii="宋体" w:hAnsi="宋体" w:eastAsia="宋体" w:cs="宋体"/>
          <w:color w:val="auto"/>
          <w:highlight w:val="none"/>
        </w:rPr>
      </w:pPr>
    </w:p>
    <w:p w14:paraId="22E6D109">
      <w:pPr>
        <w:spacing w:line="246" w:lineRule="auto"/>
        <w:rPr>
          <w:rFonts w:hint="eastAsia" w:ascii="宋体" w:hAnsi="宋体" w:eastAsia="宋体" w:cs="宋体"/>
          <w:color w:val="auto"/>
          <w:highlight w:val="none"/>
        </w:rPr>
      </w:pPr>
    </w:p>
    <w:p w14:paraId="2144351E">
      <w:pPr>
        <w:spacing w:line="247" w:lineRule="auto"/>
        <w:rPr>
          <w:rFonts w:hint="eastAsia" w:ascii="宋体" w:hAnsi="宋体" w:eastAsia="宋体" w:cs="宋体"/>
          <w:color w:val="auto"/>
          <w:highlight w:val="none"/>
        </w:rPr>
      </w:pPr>
    </w:p>
    <w:p w14:paraId="4A005117">
      <w:pPr>
        <w:spacing w:line="247" w:lineRule="auto"/>
        <w:rPr>
          <w:rFonts w:hint="eastAsia" w:ascii="宋体" w:hAnsi="宋体" w:eastAsia="宋体" w:cs="宋体"/>
          <w:color w:val="auto"/>
          <w:highlight w:val="none"/>
        </w:rPr>
      </w:pPr>
    </w:p>
    <w:p w14:paraId="30FE238E">
      <w:pPr>
        <w:spacing w:line="247" w:lineRule="auto"/>
        <w:rPr>
          <w:rFonts w:hint="eastAsia" w:ascii="宋体" w:hAnsi="宋体" w:eastAsia="宋体" w:cs="宋体"/>
          <w:color w:val="auto"/>
          <w:highlight w:val="none"/>
        </w:rPr>
      </w:pPr>
    </w:p>
    <w:p w14:paraId="3CA5AF3D">
      <w:pPr>
        <w:spacing w:line="247" w:lineRule="auto"/>
        <w:rPr>
          <w:rFonts w:hint="eastAsia" w:ascii="宋体" w:hAnsi="宋体" w:eastAsia="宋体" w:cs="宋体"/>
          <w:color w:val="auto"/>
          <w:highlight w:val="none"/>
        </w:rPr>
      </w:pPr>
    </w:p>
    <w:p w14:paraId="71818625">
      <w:pPr>
        <w:spacing w:line="247" w:lineRule="auto"/>
        <w:rPr>
          <w:rFonts w:hint="eastAsia" w:ascii="宋体" w:hAnsi="宋体" w:eastAsia="宋体" w:cs="宋体"/>
          <w:color w:val="auto"/>
          <w:highlight w:val="none"/>
        </w:rPr>
      </w:pPr>
    </w:p>
    <w:p w14:paraId="0836849E">
      <w:pPr>
        <w:spacing w:line="247" w:lineRule="auto"/>
        <w:rPr>
          <w:rFonts w:hint="eastAsia" w:ascii="宋体" w:hAnsi="宋体" w:eastAsia="宋体" w:cs="宋体"/>
          <w:color w:val="auto"/>
          <w:highlight w:val="none"/>
        </w:rPr>
      </w:pPr>
    </w:p>
    <w:p w14:paraId="5F150DB0">
      <w:pPr>
        <w:spacing w:line="247" w:lineRule="auto"/>
        <w:rPr>
          <w:rFonts w:hint="eastAsia" w:ascii="宋体" w:hAnsi="宋体" w:eastAsia="宋体" w:cs="宋体"/>
          <w:color w:val="auto"/>
          <w:highlight w:val="none"/>
        </w:rPr>
      </w:pPr>
    </w:p>
    <w:p w14:paraId="549A75F5">
      <w:pPr>
        <w:spacing w:line="247" w:lineRule="auto"/>
        <w:rPr>
          <w:rFonts w:hint="eastAsia" w:ascii="宋体" w:hAnsi="宋体" w:eastAsia="宋体" w:cs="宋体"/>
          <w:color w:val="auto"/>
          <w:highlight w:val="none"/>
        </w:rPr>
      </w:pPr>
    </w:p>
    <w:p w14:paraId="57E49FDE">
      <w:pPr>
        <w:spacing w:line="247" w:lineRule="auto"/>
        <w:rPr>
          <w:rFonts w:hint="eastAsia" w:ascii="宋体" w:hAnsi="宋体" w:eastAsia="宋体" w:cs="宋体"/>
          <w:color w:val="auto"/>
          <w:highlight w:val="none"/>
        </w:rPr>
      </w:pPr>
    </w:p>
    <w:p w14:paraId="339ABB0E">
      <w:pPr>
        <w:spacing w:line="247" w:lineRule="auto"/>
        <w:rPr>
          <w:rFonts w:hint="eastAsia" w:ascii="宋体" w:hAnsi="宋体" w:eastAsia="宋体" w:cs="宋体"/>
          <w:color w:val="auto"/>
          <w:highlight w:val="none"/>
        </w:rPr>
      </w:pPr>
    </w:p>
    <w:p w14:paraId="25333E23">
      <w:pPr>
        <w:spacing w:line="247" w:lineRule="auto"/>
        <w:rPr>
          <w:rFonts w:hint="eastAsia" w:ascii="宋体" w:hAnsi="宋体" w:eastAsia="宋体" w:cs="宋体"/>
          <w:color w:val="auto"/>
          <w:highlight w:val="none"/>
        </w:rPr>
      </w:pPr>
    </w:p>
    <w:p w14:paraId="2828CEC8">
      <w:pPr>
        <w:spacing w:line="247" w:lineRule="auto"/>
        <w:rPr>
          <w:rFonts w:hint="eastAsia" w:ascii="宋体" w:hAnsi="宋体" w:eastAsia="宋体" w:cs="宋体"/>
          <w:color w:val="auto"/>
          <w:highlight w:val="none"/>
        </w:rPr>
      </w:pPr>
    </w:p>
    <w:p w14:paraId="0E83C81A">
      <w:pPr>
        <w:spacing w:line="247" w:lineRule="auto"/>
        <w:rPr>
          <w:rFonts w:hint="eastAsia" w:ascii="宋体" w:hAnsi="宋体" w:eastAsia="宋体" w:cs="宋体"/>
          <w:color w:val="auto"/>
          <w:highlight w:val="none"/>
        </w:rPr>
      </w:pPr>
    </w:p>
    <w:p w14:paraId="1E680391">
      <w:pPr>
        <w:spacing w:line="247" w:lineRule="auto"/>
        <w:rPr>
          <w:rFonts w:hint="eastAsia" w:ascii="宋体" w:hAnsi="宋体" w:eastAsia="宋体" w:cs="宋体"/>
          <w:color w:val="auto"/>
          <w:highlight w:val="none"/>
        </w:rPr>
      </w:pPr>
    </w:p>
    <w:p w14:paraId="5C2A5764">
      <w:pPr>
        <w:spacing w:line="247" w:lineRule="auto"/>
        <w:rPr>
          <w:rFonts w:hint="eastAsia" w:ascii="宋体" w:hAnsi="宋体" w:eastAsia="宋体" w:cs="宋体"/>
          <w:color w:val="auto"/>
          <w:highlight w:val="none"/>
        </w:rPr>
      </w:pPr>
    </w:p>
    <w:p w14:paraId="213A650D">
      <w:pPr>
        <w:spacing w:line="247" w:lineRule="auto"/>
        <w:rPr>
          <w:rFonts w:hint="eastAsia" w:ascii="宋体" w:hAnsi="宋体" w:eastAsia="宋体" w:cs="宋体"/>
          <w:color w:val="auto"/>
          <w:highlight w:val="none"/>
        </w:rPr>
      </w:pPr>
    </w:p>
    <w:p w14:paraId="447FEF56">
      <w:pPr>
        <w:spacing w:line="247" w:lineRule="auto"/>
        <w:rPr>
          <w:rFonts w:hint="eastAsia" w:ascii="宋体" w:hAnsi="宋体" w:eastAsia="宋体" w:cs="宋体"/>
          <w:color w:val="auto"/>
          <w:highlight w:val="none"/>
        </w:rPr>
      </w:pPr>
    </w:p>
    <w:p w14:paraId="45A52F8D">
      <w:pPr>
        <w:spacing w:before="88" w:line="380" w:lineRule="auto"/>
        <w:ind w:left="1096" w:right="97" w:hanging="4"/>
        <w:rPr>
          <w:rFonts w:hint="eastAsia" w:ascii="宋体" w:hAnsi="宋体" w:eastAsia="宋体" w:cs="宋体"/>
          <w:color w:val="auto"/>
          <w:spacing w:val="-2"/>
          <w:sz w:val="28"/>
          <w:szCs w:val="28"/>
          <w:highlight w:val="none"/>
        </w:rPr>
      </w:pPr>
      <w:r>
        <w:rPr>
          <w:rFonts w:hint="eastAsia" w:ascii="宋体" w:hAnsi="宋体" w:eastAsia="宋体" w:cs="宋体"/>
          <w:color w:val="auto"/>
          <w:spacing w:val="-2"/>
          <w:sz w:val="28"/>
          <w:szCs w:val="28"/>
          <w:highlight w:val="none"/>
        </w:rPr>
        <w:t>投</w:t>
      </w:r>
      <w:r>
        <w:rPr>
          <w:rFonts w:hint="eastAsia" w:ascii="宋体" w:hAnsi="宋体" w:eastAsia="宋体" w:cs="宋体"/>
          <w:color w:val="auto"/>
          <w:spacing w:val="-1"/>
          <w:sz w:val="28"/>
          <w:szCs w:val="28"/>
          <w:highlight w:val="none"/>
        </w:rPr>
        <w:t>标人：</w:t>
      </w:r>
      <w:r>
        <w:rPr>
          <w:rFonts w:hint="eastAsia" w:ascii="宋体" w:hAnsi="宋体" w:eastAsia="宋体" w:cs="宋体"/>
          <w:color w:val="auto"/>
          <w:spacing w:val="-1"/>
          <w:sz w:val="28"/>
          <w:szCs w:val="28"/>
          <w:highlight w:val="none"/>
          <w:u w:val="single"/>
        </w:rPr>
        <w:t xml:space="preserve">                               </w:t>
      </w:r>
      <w:r>
        <w:rPr>
          <w:rFonts w:hint="eastAsia" w:ascii="宋体" w:hAnsi="宋体" w:eastAsia="宋体" w:cs="宋体"/>
          <w:color w:val="auto"/>
          <w:spacing w:val="-1"/>
          <w:sz w:val="28"/>
          <w:szCs w:val="28"/>
          <w:highlight w:val="none"/>
        </w:rPr>
        <w:t>(盖单位章)</w:t>
      </w:r>
      <w:r>
        <w:rPr>
          <w:rFonts w:hint="eastAsia" w:ascii="宋体" w:hAnsi="宋体" w:eastAsia="宋体" w:cs="宋体"/>
          <w:color w:val="auto"/>
          <w:sz w:val="28"/>
          <w:szCs w:val="28"/>
          <w:highlight w:val="none"/>
        </w:rPr>
        <w:t xml:space="preserve"> </w:t>
      </w:r>
    </w:p>
    <w:p w14:paraId="275911EF">
      <w:pPr>
        <w:spacing w:before="88" w:line="380" w:lineRule="auto"/>
        <w:ind w:left="1096" w:right="97" w:hanging="4"/>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法定</w:t>
      </w:r>
      <w:r>
        <w:rPr>
          <w:rFonts w:hint="eastAsia" w:ascii="宋体" w:hAnsi="宋体" w:eastAsia="宋体" w:cs="宋体"/>
          <w:color w:val="auto"/>
          <w:spacing w:val="-3"/>
          <w:sz w:val="28"/>
          <w:szCs w:val="28"/>
          <w:highlight w:val="none"/>
        </w:rPr>
        <w:t>代表人或其委托代理人：</w:t>
      </w:r>
      <w:r>
        <w:rPr>
          <w:rFonts w:hint="eastAsia" w:ascii="宋体" w:hAnsi="宋体" w:eastAsia="宋体" w:cs="宋体"/>
          <w:color w:val="auto"/>
          <w:spacing w:val="-3"/>
          <w:sz w:val="28"/>
          <w:szCs w:val="28"/>
          <w:highlight w:val="none"/>
          <w:u w:val="single"/>
        </w:rPr>
        <w:t xml:space="preserve">           </w:t>
      </w:r>
      <w:r>
        <w:rPr>
          <w:rFonts w:hint="eastAsia" w:ascii="宋体" w:hAnsi="宋体" w:eastAsia="宋体" w:cs="宋体"/>
          <w:color w:val="auto"/>
          <w:spacing w:val="-3"/>
          <w:sz w:val="28"/>
          <w:szCs w:val="28"/>
          <w:highlight w:val="none"/>
        </w:rPr>
        <w:t>(签字或盖章)</w:t>
      </w:r>
    </w:p>
    <w:p w14:paraId="5B7D8656">
      <w:pPr>
        <w:spacing w:line="249" w:lineRule="auto"/>
        <w:rPr>
          <w:rFonts w:hint="eastAsia" w:ascii="宋体" w:hAnsi="宋体" w:eastAsia="宋体" w:cs="宋体"/>
          <w:color w:val="auto"/>
          <w:sz w:val="28"/>
          <w:szCs w:val="28"/>
          <w:highlight w:val="none"/>
        </w:rPr>
      </w:pPr>
    </w:p>
    <w:p w14:paraId="633964EB">
      <w:pPr>
        <w:tabs>
          <w:tab w:val="left" w:pos="3507"/>
        </w:tabs>
        <w:spacing w:before="87" w:line="230" w:lineRule="auto"/>
        <w:ind w:left="2761"/>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ab/>
      </w:r>
      <w:r>
        <w:rPr>
          <w:rFonts w:hint="eastAsia" w:ascii="宋体" w:hAnsi="宋体" w:eastAsia="宋体" w:cs="宋体"/>
          <w:color w:val="auto"/>
          <w:spacing w:val="6"/>
          <w:sz w:val="28"/>
          <w:szCs w:val="28"/>
          <w:highlight w:val="none"/>
        </w:rPr>
        <w:t>年</w:t>
      </w:r>
      <w:r>
        <w:rPr>
          <w:rFonts w:hint="eastAsia" w:ascii="宋体" w:hAnsi="宋体" w:eastAsia="宋体" w:cs="宋体"/>
          <w:color w:val="auto"/>
          <w:spacing w:val="6"/>
          <w:sz w:val="28"/>
          <w:szCs w:val="28"/>
          <w:highlight w:val="none"/>
          <w:u w:val="single"/>
        </w:rPr>
        <w:t xml:space="preserve"> </w:t>
      </w:r>
      <w:r>
        <w:rPr>
          <w:rFonts w:hint="eastAsia" w:ascii="宋体" w:hAnsi="宋体" w:eastAsia="宋体" w:cs="宋体"/>
          <w:color w:val="auto"/>
          <w:spacing w:val="3"/>
          <w:sz w:val="28"/>
          <w:szCs w:val="28"/>
          <w:highlight w:val="none"/>
          <w:u w:val="single"/>
        </w:rPr>
        <w:t xml:space="preserve">    </w:t>
      </w:r>
      <w:r>
        <w:rPr>
          <w:rFonts w:hint="eastAsia" w:ascii="宋体" w:hAnsi="宋体" w:eastAsia="宋体" w:cs="宋体"/>
          <w:color w:val="auto"/>
          <w:spacing w:val="3"/>
          <w:sz w:val="28"/>
          <w:szCs w:val="28"/>
          <w:highlight w:val="none"/>
        </w:rPr>
        <w:t>月</w:t>
      </w:r>
      <w:r>
        <w:rPr>
          <w:rFonts w:hint="eastAsia" w:ascii="宋体" w:hAnsi="宋体" w:eastAsia="宋体" w:cs="宋体"/>
          <w:color w:val="auto"/>
          <w:spacing w:val="3"/>
          <w:sz w:val="28"/>
          <w:szCs w:val="28"/>
          <w:highlight w:val="none"/>
          <w:u w:val="single"/>
        </w:rPr>
        <w:t xml:space="preserve">     </w:t>
      </w:r>
      <w:r>
        <w:rPr>
          <w:rFonts w:hint="eastAsia" w:ascii="宋体" w:hAnsi="宋体" w:eastAsia="宋体" w:cs="宋体"/>
          <w:color w:val="auto"/>
          <w:spacing w:val="3"/>
          <w:sz w:val="28"/>
          <w:szCs w:val="28"/>
          <w:highlight w:val="none"/>
        </w:rPr>
        <w:t xml:space="preserve"> 日</w:t>
      </w:r>
    </w:p>
    <w:p w14:paraId="6DDBEAB9">
      <w:pPr>
        <w:rPr>
          <w:rFonts w:hint="eastAsia" w:ascii="宋体" w:hAnsi="宋体" w:eastAsia="宋体" w:cs="宋体"/>
          <w:color w:val="auto"/>
          <w:highlight w:val="none"/>
        </w:rPr>
        <w:sectPr>
          <w:footerReference r:id="rId21" w:type="default"/>
          <w:pgSz w:w="11905" w:h="16838"/>
          <w:pgMar w:top="1344" w:right="1247" w:bottom="1106" w:left="1837" w:header="0" w:footer="680" w:gutter="0"/>
          <w:pgNumType w:fmt="decimal"/>
          <w:cols w:space="0" w:num="1"/>
          <w:rtlGutter w:val="0"/>
          <w:docGrid w:type="linesAndChars" w:linePitch="312" w:charSpace="0"/>
        </w:sectPr>
      </w:pPr>
    </w:p>
    <w:p w14:paraId="0795B7B3">
      <w:pPr>
        <w:spacing w:before="101" w:line="228" w:lineRule="auto"/>
        <w:ind w:left="4043"/>
        <w:rPr>
          <w:rFonts w:hint="eastAsia" w:ascii="宋体" w:hAnsi="宋体" w:eastAsia="宋体" w:cs="宋体"/>
          <w:color w:val="auto"/>
          <w:spacing w:val="-9"/>
          <w:sz w:val="31"/>
          <w:szCs w:val="31"/>
          <w:highlight w:val="none"/>
        </w:rPr>
      </w:pPr>
      <w:r>
        <w:rPr>
          <w:rFonts w:hint="eastAsia" w:ascii="宋体" w:hAnsi="宋体" w:eastAsia="宋体" w:cs="宋体"/>
          <w:color w:val="auto"/>
          <w:spacing w:val="-9"/>
          <w:sz w:val="31"/>
          <w:szCs w:val="31"/>
          <w:highlight w:val="none"/>
        </w:rPr>
        <w:t>目</w:t>
      </w:r>
      <w:r>
        <w:rPr>
          <w:rFonts w:hint="eastAsia" w:ascii="宋体" w:hAnsi="宋体" w:eastAsia="宋体" w:cs="宋体"/>
          <w:color w:val="auto"/>
          <w:spacing w:val="-9"/>
          <w:sz w:val="31"/>
          <w:szCs w:val="31"/>
          <w:highlight w:val="none"/>
          <w:lang w:val="en-US" w:eastAsia="zh-CN"/>
        </w:rPr>
        <w:t xml:space="preserve">  </w:t>
      </w:r>
      <w:r>
        <w:rPr>
          <w:rFonts w:hint="eastAsia" w:ascii="宋体" w:hAnsi="宋体" w:eastAsia="宋体" w:cs="宋体"/>
          <w:color w:val="auto"/>
          <w:spacing w:val="-7"/>
          <w:sz w:val="31"/>
          <w:szCs w:val="31"/>
          <w:highlight w:val="none"/>
        </w:rPr>
        <w:t>录</w:t>
      </w:r>
    </w:p>
    <w:p w14:paraId="495DD6A4">
      <w:pPr>
        <w:spacing w:line="251" w:lineRule="auto"/>
        <w:rPr>
          <w:rFonts w:hint="eastAsia" w:ascii="宋体" w:hAnsi="宋体" w:eastAsia="宋体" w:cs="宋体"/>
          <w:color w:val="auto"/>
          <w:highlight w:val="none"/>
        </w:rPr>
      </w:pPr>
    </w:p>
    <w:p w14:paraId="4FB0E03F">
      <w:pPr>
        <w:keepNext w:val="0"/>
        <w:keepLines w:val="0"/>
        <w:pageBreakBefore w:val="0"/>
        <w:widowControl/>
        <w:kinsoku w:val="0"/>
        <w:wordWrap/>
        <w:overflowPunct/>
        <w:topLinePunct w:val="0"/>
        <w:autoSpaceDE w:val="0"/>
        <w:autoSpaceDN w:val="0"/>
        <w:bidi w:val="0"/>
        <w:adjustRightInd/>
        <w:snapToGrid w:val="0"/>
        <w:spacing w:before="68" w:line="353" w:lineRule="auto"/>
        <w:ind w:right="74"/>
        <w:jc w:val="both"/>
        <w:textAlignment w:val="auto"/>
        <w:rPr>
          <w:rFonts w:hint="eastAsia" w:ascii="宋体" w:hAnsi="宋体" w:eastAsia="宋体" w:cs="宋体"/>
          <w:color w:val="auto"/>
          <w:spacing w:val="-1"/>
          <w:highlight w:val="none"/>
        </w:rPr>
      </w:pPr>
      <w:r>
        <w:rPr>
          <w:rFonts w:hint="eastAsia" w:ascii="宋体" w:hAnsi="宋体" w:eastAsia="宋体" w:cs="宋体"/>
          <w:color w:val="auto"/>
          <w:sz w:val="21"/>
          <w:szCs w:val="21"/>
          <w:highlight w:val="none"/>
          <w:u w:val="none"/>
        </w:rPr>
        <w:t>一</w:t>
      </w:r>
      <w:r>
        <w:rPr>
          <w:rFonts w:hint="eastAsia" w:ascii="宋体" w:hAnsi="宋体" w:eastAsia="宋体" w:cs="宋体"/>
          <w:color w:val="auto"/>
          <w:spacing w:val="-1"/>
          <w:highlight w:val="none"/>
        </w:rPr>
        <w:t>、投标函及投标函附录</w:t>
      </w:r>
    </w:p>
    <w:p w14:paraId="38A497AF">
      <w:pPr>
        <w:keepNext w:val="0"/>
        <w:keepLines w:val="0"/>
        <w:pageBreakBefore w:val="0"/>
        <w:widowControl/>
        <w:kinsoku w:val="0"/>
        <w:wordWrap/>
        <w:overflowPunct/>
        <w:topLinePunct w:val="0"/>
        <w:autoSpaceDE w:val="0"/>
        <w:autoSpaceDN w:val="0"/>
        <w:bidi w:val="0"/>
        <w:adjustRightInd/>
        <w:snapToGrid w:val="0"/>
        <w:spacing w:before="68" w:line="353" w:lineRule="auto"/>
        <w:ind w:right="74"/>
        <w:jc w:val="both"/>
        <w:textAlignment w:val="auto"/>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二</w:t>
      </w:r>
      <w:r>
        <w:rPr>
          <w:rFonts w:hint="eastAsia" w:ascii="宋体" w:hAnsi="宋体" w:eastAsia="宋体" w:cs="宋体"/>
          <w:color w:val="auto"/>
          <w:spacing w:val="4"/>
          <w:highlight w:val="none"/>
        </w:rPr>
        <w:t>、</w:t>
      </w:r>
      <w:r>
        <w:rPr>
          <w:rFonts w:hint="eastAsia" w:ascii="宋体" w:hAnsi="宋体" w:eastAsia="宋体" w:cs="宋体"/>
          <w:color w:val="auto"/>
          <w:spacing w:val="14"/>
          <w:highlight w:val="none"/>
        </w:rPr>
        <w:t>法定代表人身份证明或附有法定代表人身份证明的授权委托书</w:t>
      </w:r>
    </w:p>
    <w:p w14:paraId="268D851A">
      <w:pPr>
        <w:keepNext w:val="0"/>
        <w:keepLines w:val="0"/>
        <w:pageBreakBefore w:val="0"/>
        <w:widowControl/>
        <w:kinsoku w:val="0"/>
        <w:wordWrap/>
        <w:overflowPunct/>
        <w:topLinePunct w:val="0"/>
        <w:autoSpaceDE w:val="0"/>
        <w:autoSpaceDN w:val="0"/>
        <w:bidi w:val="0"/>
        <w:adjustRightInd/>
        <w:snapToGrid w:val="0"/>
        <w:spacing w:before="68" w:line="353" w:lineRule="auto"/>
        <w:ind w:right="74"/>
        <w:jc w:val="both"/>
        <w:textAlignment w:val="auto"/>
        <w:rPr>
          <w:rFonts w:hint="eastAsia" w:ascii="宋体" w:hAnsi="宋体" w:eastAsia="宋体" w:cs="宋体"/>
          <w:color w:val="auto"/>
          <w:spacing w:val="-2"/>
          <w:highlight w:val="none"/>
        </w:rPr>
      </w:pPr>
      <w:r>
        <w:rPr>
          <w:rFonts w:hint="eastAsia" w:ascii="宋体" w:hAnsi="宋体" w:eastAsia="宋体" w:cs="宋体"/>
          <w:color w:val="auto"/>
          <w:spacing w:val="-2"/>
          <w:highlight w:val="none"/>
          <w:lang w:eastAsia="zh-CN"/>
        </w:rPr>
        <w:t>三</w:t>
      </w:r>
      <w:r>
        <w:rPr>
          <w:rFonts w:hint="eastAsia" w:ascii="宋体" w:hAnsi="宋体" w:eastAsia="宋体" w:cs="宋体"/>
          <w:color w:val="auto"/>
          <w:spacing w:val="-2"/>
          <w:highlight w:val="none"/>
        </w:rPr>
        <w:t>、</w:t>
      </w:r>
      <w:r>
        <w:rPr>
          <w:rFonts w:hint="eastAsia" w:ascii="宋体" w:hAnsi="宋体" w:eastAsia="宋体" w:cs="宋体"/>
          <w:color w:val="auto"/>
          <w:spacing w:val="-2"/>
          <w:highlight w:val="none"/>
          <w:lang w:eastAsia="zh-CN"/>
        </w:rPr>
        <w:t>投标</w:t>
      </w:r>
      <w:r>
        <w:rPr>
          <w:rFonts w:hint="eastAsia" w:ascii="宋体" w:hAnsi="宋体" w:eastAsia="宋体" w:cs="宋体"/>
          <w:color w:val="auto"/>
          <w:spacing w:val="-1"/>
          <w:highlight w:val="none"/>
        </w:rPr>
        <w:t>报价表</w:t>
      </w:r>
    </w:p>
    <w:p w14:paraId="3AE8EB94">
      <w:pPr>
        <w:keepNext w:val="0"/>
        <w:keepLines w:val="0"/>
        <w:pageBreakBefore w:val="0"/>
        <w:widowControl/>
        <w:kinsoku w:val="0"/>
        <w:wordWrap/>
        <w:overflowPunct/>
        <w:topLinePunct w:val="0"/>
        <w:autoSpaceDE w:val="0"/>
        <w:autoSpaceDN w:val="0"/>
        <w:bidi w:val="0"/>
        <w:adjustRightInd/>
        <w:snapToGrid w:val="0"/>
        <w:spacing w:before="68" w:line="353" w:lineRule="auto"/>
        <w:ind w:right="74"/>
        <w:jc w:val="both"/>
        <w:textAlignment w:val="auto"/>
        <w:rPr>
          <w:rFonts w:hint="eastAsia" w:ascii="宋体" w:hAnsi="宋体" w:eastAsia="宋体" w:cs="宋体"/>
          <w:color w:val="auto"/>
          <w:spacing w:val="-2"/>
          <w:highlight w:val="none"/>
        </w:rPr>
      </w:pPr>
      <w:r>
        <w:rPr>
          <w:rFonts w:hint="eastAsia" w:ascii="宋体" w:hAnsi="宋体" w:eastAsia="宋体" w:cs="宋体"/>
          <w:color w:val="auto"/>
          <w:spacing w:val="-2"/>
          <w:highlight w:val="none"/>
          <w:lang w:eastAsia="zh-CN"/>
        </w:rPr>
        <w:t>四</w:t>
      </w:r>
      <w:r>
        <w:rPr>
          <w:rFonts w:hint="eastAsia" w:ascii="宋体" w:hAnsi="宋体" w:eastAsia="宋体" w:cs="宋体"/>
          <w:color w:val="auto"/>
          <w:spacing w:val="-1"/>
          <w:highlight w:val="none"/>
        </w:rPr>
        <w:t>、资格审查资料</w:t>
      </w:r>
    </w:p>
    <w:p w14:paraId="5D9AFBA4">
      <w:pPr>
        <w:keepNext w:val="0"/>
        <w:keepLines w:val="0"/>
        <w:pageBreakBefore w:val="0"/>
        <w:widowControl/>
        <w:kinsoku w:val="0"/>
        <w:wordWrap/>
        <w:overflowPunct/>
        <w:topLinePunct w:val="0"/>
        <w:autoSpaceDE w:val="0"/>
        <w:autoSpaceDN w:val="0"/>
        <w:bidi w:val="0"/>
        <w:adjustRightInd/>
        <w:snapToGrid w:val="0"/>
        <w:spacing w:before="68" w:line="353" w:lineRule="auto"/>
        <w:ind w:right="74"/>
        <w:jc w:val="both"/>
        <w:textAlignment w:val="auto"/>
        <w:rPr>
          <w:rFonts w:hint="eastAsia" w:ascii="宋体" w:hAnsi="宋体" w:eastAsia="宋体" w:cs="宋体"/>
          <w:color w:val="auto"/>
          <w:spacing w:val="-2"/>
          <w:highlight w:val="none"/>
        </w:rPr>
      </w:pPr>
      <w:r>
        <w:rPr>
          <w:rFonts w:hint="eastAsia" w:ascii="宋体" w:hAnsi="宋体" w:eastAsia="宋体" w:cs="宋体"/>
          <w:color w:val="auto"/>
          <w:spacing w:val="-2"/>
          <w:highlight w:val="none"/>
          <w:lang w:eastAsia="zh-CN"/>
        </w:rPr>
        <w:t>五</w:t>
      </w:r>
      <w:r>
        <w:rPr>
          <w:rFonts w:hint="eastAsia" w:ascii="宋体" w:hAnsi="宋体" w:eastAsia="宋体" w:cs="宋体"/>
          <w:color w:val="auto"/>
          <w:spacing w:val="-1"/>
          <w:highlight w:val="none"/>
        </w:rPr>
        <w:t>、</w:t>
      </w:r>
      <w:r>
        <w:rPr>
          <w:rFonts w:hint="eastAsia" w:ascii="宋体" w:hAnsi="宋体" w:eastAsia="宋体" w:cs="宋体"/>
          <w:color w:val="auto"/>
          <w:spacing w:val="-2"/>
          <w:highlight w:val="none"/>
        </w:rPr>
        <w:t>其他</w:t>
      </w:r>
      <w:r>
        <w:rPr>
          <w:rFonts w:hint="eastAsia" w:ascii="宋体" w:hAnsi="宋体" w:eastAsia="宋体" w:cs="宋体"/>
          <w:color w:val="auto"/>
          <w:spacing w:val="-1"/>
          <w:highlight w:val="none"/>
        </w:rPr>
        <w:t>资料</w:t>
      </w:r>
    </w:p>
    <w:p w14:paraId="7793F4DE">
      <w:pPr>
        <w:spacing w:line="360" w:lineRule="auto"/>
        <w:ind w:firstLine="420" w:firstLineChars="200"/>
        <w:rPr>
          <w:rFonts w:hint="eastAsia" w:ascii="宋体" w:hAnsi="宋体" w:eastAsia="宋体" w:cs="宋体"/>
          <w:color w:val="auto"/>
          <w:spacing w:val="8"/>
          <w:highlight w:val="none"/>
        </w:rPr>
      </w:pPr>
      <w:r>
        <w:rPr>
          <w:rFonts w:hint="eastAsia" w:ascii="宋体" w:hAnsi="宋体" w:eastAsia="宋体" w:cs="宋体"/>
          <w:b/>
          <w:color w:val="auto"/>
          <w:highlight w:val="none"/>
        </w:rPr>
        <w:t xml:space="preserve"> </w:t>
      </w:r>
    </w:p>
    <w:p w14:paraId="5AD7C53B">
      <w:pPr>
        <w:rPr>
          <w:rFonts w:hint="eastAsia" w:ascii="宋体" w:hAnsi="宋体" w:eastAsia="宋体" w:cs="宋体"/>
          <w:color w:val="auto"/>
          <w:highlight w:val="none"/>
        </w:rPr>
        <w:sectPr>
          <w:footerReference r:id="rId22" w:type="default"/>
          <w:pgSz w:w="11905" w:h="16838"/>
          <w:pgMar w:top="1344" w:right="1247" w:bottom="1106" w:left="1837" w:header="0" w:footer="680" w:gutter="0"/>
          <w:pgNumType w:fmt="decimal"/>
          <w:cols w:space="0" w:num="1"/>
          <w:rtlGutter w:val="0"/>
          <w:docGrid w:type="linesAndChars" w:linePitch="312" w:charSpace="0"/>
        </w:sectPr>
      </w:pPr>
    </w:p>
    <w:p w14:paraId="22B3B2B8">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kern w:val="2"/>
          <w:lang w:val="en-US" w:eastAsia="zh-CN"/>
        </w:rPr>
      </w:pPr>
      <w:bookmarkStart w:id="454" w:name="_Toc28826"/>
      <w:bookmarkStart w:id="455" w:name="_Toc5146"/>
      <w:bookmarkStart w:id="456" w:name="_Toc9600"/>
      <w:bookmarkStart w:id="457" w:name="_Toc7049"/>
      <w:bookmarkStart w:id="458" w:name="_Toc19895"/>
      <w:bookmarkStart w:id="459" w:name="_Toc5060"/>
      <w:r>
        <w:rPr>
          <w:rFonts w:hint="eastAsia" w:ascii="宋体" w:hAnsi="宋体" w:eastAsia="宋体" w:cs="宋体"/>
          <w:kern w:val="2"/>
          <w:lang w:val="en-US" w:eastAsia="zh-CN"/>
        </w:rPr>
        <w:t>一、投标函及投标函附录</w:t>
      </w:r>
      <w:bookmarkEnd w:id="454"/>
      <w:bookmarkEnd w:id="455"/>
      <w:bookmarkEnd w:id="456"/>
      <w:bookmarkEnd w:id="457"/>
      <w:bookmarkEnd w:id="458"/>
      <w:bookmarkEnd w:id="459"/>
    </w:p>
    <w:p w14:paraId="04F10705">
      <w:pPr>
        <w:spacing w:before="68" w:line="352" w:lineRule="auto"/>
        <w:ind w:right="72"/>
        <w:rPr>
          <w:rFonts w:hint="eastAsia" w:ascii="宋体" w:hAnsi="宋体" w:eastAsia="宋体" w:cs="宋体"/>
          <w:b/>
          <w:bCs/>
          <w:color w:val="auto"/>
          <w:spacing w:val="-2"/>
          <w:sz w:val="24"/>
          <w:szCs w:val="24"/>
          <w:highlight w:val="none"/>
        </w:rPr>
      </w:pPr>
      <w:bookmarkStart w:id="460" w:name="_Toc20818"/>
      <w:bookmarkStart w:id="461" w:name="_Toc12396"/>
      <w:bookmarkStart w:id="462" w:name="_Toc8025"/>
      <w:bookmarkStart w:id="463" w:name="_Toc31094"/>
      <w:bookmarkStart w:id="464" w:name="_Toc13536"/>
      <w:r>
        <w:rPr>
          <w:rFonts w:hint="eastAsia" w:ascii="宋体" w:hAnsi="宋体" w:eastAsia="宋体" w:cs="宋体"/>
          <w:b/>
          <w:bCs/>
          <w:color w:val="auto"/>
          <w:spacing w:val="-2"/>
          <w:sz w:val="24"/>
          <w:szCs w:val="24"/>
          <w:highlight w:val="none"/>
        </w:rPr>
        <w:t>(一)投标函</w:t>
      </w:r>
      <w:bookmarkEnd w:id="460"/>
      <w:bookmarkEnd w:id="461"/>
      <w:bookmarkEnd w:id="462"/>
      <w:bookmarkEnd w:id="463"/>
      <w:bookmarkEnd w:id="464"/>
    </w:p>
    <w:p w14:paraId="3D6F75B5">
      <w:pPr>
        <w:keepNext w:val="0"/>
        <w:keepLines w:val="0"/>
        <w:pageBreakBefore w:val="0"/>
        <w:widowControl/>
        <w:tabs>
          <w:tab w:val="left" w:pos="2048"/>
        </w:tabs>
        <w:wordWrap/>
        <w:overflowPunct/>
        <w:topLinePunct w:val="0"/>
        <w:autoSpaceDE w:val="0"/>
        <w:autoSpaceDN w:val="0"/>
        <w:bidi w:val="0"/>
        <w:adjustRightInd/>
        <w:spacing w:line="348" w:lineRule="auto"/>
        <w:ind w:left="39"/>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u w:val="single"/>
        </w:rPr>
        <w:tab/>
      </w:r>
      <w:r>
        <w:rPr>
          <w:rFonts w:hint="eastAsia" w:ascii="宋体" w:hAnsi="宋体" w:eastAsia="宋体" w:cs="宋体"/>
          <w:color w:val="auto"/>
          <w:spacing w:val="-6"/>
          <w:highlight w:val="none"/>
        </w:rPr>
        <w:t>(</w:t>
      </w:r>
      <w:r>
        <w:rPr>
          <w:rFonts w:hint="eastAsia" w:ascii="宋体" w:hAnsi="宋体" w:eastAsia="宋体" w:cs="宋体"/>
          <w:color w:val="auto"/>
          <w:spacing w:val="-4"/>
          <w:highlight w:val="none"/>
        </w:rPr>
        <w:t>招</w:t>
      </w:r>
      <w:r>
        <w:rPr>
          <w:rFonts w:hint="eastAsia" w:ascii="宋体" w:hAnsi="宋体" w:eastAsia="宋体" w:cs="宋体"/>
          <w:color w:val="auto"/>
          <w:spacing w:val="-3"/>
          <w:highlight w:val="none"/>
        </w:rPr>
        <w:t>标人名称)：</w:t>
      </w:r>
    </w:p>
    <w:p w14:paraId="0C4A9DBA">
      <w:pPr>
        <w:keepNext w:val="0"/>
        <w:keepLines w:val="0"/>
        <w:pageBreakBefore w:val="0"/>
        <w:widowControl/>
        <w:kinsoku/>
        <w:wordWrap/>
        <w:overflowPunct/>
        <w:topLinePunct w:val="0"/>
        <w:autoSpaceDE w:val="0"/>
        <w:autoSpaceDN w:val="0"/>
        <w:bidi w:val="0"/>
        <w:adjustRightInd/>
        <w:snapToGrid/>
        <w:spacing w:line="348" w:lineRule="auto"/>
        <w:ind w:right="74" w:firstLine="404" w:firstLineChars="200"/>
        <w:jc w:val="both"/>
        <w:textAlignment w:val="auto"/>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1．我方已仔细研究了</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2"/>
          <w:highlight w:val="none"/>
          <w:u w:val="single"/>
        </w:rPr>
        <w:t xml:space="preserve"> (项目名称)   </w:t>
      </w:r>
      <w:r>
        <w:rPr>
          <w:rFonts w:hint="eastAsia" w:ascii="宋体" w:hAnsi="宋体" w:eastAsia="宋体" w:cs="宋体"/>
          <w:color w:val="auto"/>
          <w:spacing w:val="-2"/>
          <w:highlight w:val="none"/>
        </w:rPr>
        <w:t>招标项目的招标文件、合同条件、招标人要求、资料表、附件、补充文件和技术规范等文件，</w:t>
      </w:r>
      <w:r>
        <w:rPr>
          <w:rFonts w:hint="eastAsia" w:ascii="宋体" w:hAnsi="宋体" w:eastAsia="宋体" w:cs="宋体"/>
          <w:color w:val="auto"/>
          <w:spacing w:val="-1"/>
          <w:highlight w:val="none"/>
        </w:rPr>
        <w:t>愿意以人民币(大写)</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spacing w:val="-1"/>
          <w:highlight w:val="none"/>
        </w:rPr>
        <w:t>(¥</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的投标总报价</w:t>
      </w:r>
      <w:r>
        <w:rPr>
          <w:rFonts w:hint="eastAsia" w:ascii="宋体" w:hAnsi="宋体" w:eastAsia="宋体" w:cs="宋体"/>
          <w:color w:val="auto"/>
          <w:spacing w:val="-5"/>
          <w:highlight w:val="none"/>
        </w:rPr>
        <w:t>按合同约定完成</w:t>
      </w:r>
      <w:r>
        <w:rPr>
          <w:rFonts w:hint="eastAsia" w:ascii="宋体" w:hAnsi="宋体" w:eastAsia="宋体" w:cs="宋体"/>
          <w:strike w:val="0"/>
          <w:dstrike w:val="0"/>
          <w:color w:val="auto"/>
          <w:spacing w:val="-5"/>
          <w:highlight w:val="none"/>
          <w:u w:val="single"/>
          <w:lang w:val="en-US" w:eastAsia="zh-CN"/>
        </w:rPr>
        <w:t>BIM技术应用服务</w:t>
      </w:r>
      <w:r>
        <w:rPr>
          <w:rFonts w:hint="eastAsia" w:ascii="宋体" w:hAnsi="宋体" w:eastAsia="宋体" w:cs="宋体"/>
          <w:color w:val="auto"/>
          <w:spacing w:val="-5"/>
          <w:highlight w:val="none"/>
        </w:rPr>
        <w:t>工作。我方</w:t>
      </w:r>
      <w:r>
        <w:rPr>
          <w:rFonts w:hint="eastAsia" w:ascii="宋体" w:hAnsi="宋体" w:eastAsia="宋体" w:cs="宋体"/>
          <w:color w:val="auto"/>
          <w:highlight w:val="none"/>
        </w:rPr>
        <w:t>项目负责人是</w:t>
      </w:r>
      <w:r>
        <w:rPr>
          <w:rFonts w:hint="eastAsia" w:ascii="宋体" w:hAnsi="宋体" w:eastAsia="宋体" w:cs="宋体"/>
          <w:color w:val="auto"/>
          <w:spacing w:val="-5"/>
          <w:highlight w:val="none"/>
          <w:u w:val="single"/>
        </w:rPr>
        <w:t xml:space="preserve">        </w:t>
      </w:r>
      <w:r>
        <w:rPr>
          <w:rFonts w:hint="eastAsia" w:ascii="宋体" w:hAnsi="宋体" w:eastAsia="宋体" w:cs="宋体"/>
          <w:color w:val="auto"/>
          <w:spacing w:val="-5"/>
          <w:highlight w:val="none"/>
        </w:rPr>
        <w:t>。</w:t>
      </w:r>
    </w:p>
    <w:p w14:paraId="1DF70FB3">
      <w:pPr>
        <w:keepNext w:val="0"/>
        <w:keepLines w:val="0"/>
        <w:pageBreakBefore w:val="0"/>
        <w:widowControl/>
        <w:kinsoku/>
        <w:wordWrap/>
        <w:overflowPunct/>
        <w:topLinePunct w:val="0"/>
        <w:autoSpaceDE w:val="0"/>
        <w:autoSpaceDN w:val="0"/>
        <w:bidi w:val="0"/>
        <w:adjustRightInd/>
        <w:snapToGrid/>
        <w:spacing w:line="348"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2．我方的投标文件包括下列内容：</w:t>
      </w:r>
    </w:p>
    <w:p w14:paraId="75EB6EE2">
      <w:pPr>
        <w:keepNext w:val="0"/>
        <w:keepLines w:val="0"/>
        <w:pageBreakBefore w:val="0"/>
        <w:widowControl/>
        <w:kinsoku/>
        <w:wordWrap/>
        <w:overflowPunct/>
        <w:topLinePunct w:val="0"/>
        <w:autoSpaceDE w:val="0"/>
        <w:autoSpaceDN w:val="0"/>
        <w:bidi w:val="0"/>
        <w:adjustRightInd/>
        <w:snapToGrid/>
        <w:spacing w:line="348"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(1)投标函及投标函附录；</w:t>
      </w:r>
    </w:p>
    <w:p w14:paraId="458B481E">
      <w:pPr>
        <w:keepNext w:val="0"/>
        <w:keepLines w:val="0"/>
        <w:pageBreakBefore w:val="0"/>
        <w:widowControl/>
        <w:kinsoku/>
        <w:wordWrap/>
        <w:overflowPunct/>
        <w:topLinePunct w:val="0"/>
        <w:autoSpaceDE w:val="0"/>
        <w:autoSpaceDN w:val="0"/>
        <w:bidi w:val="0"/>
        <w:adjustRightInd/>
        <w:snapToGrid/>
        <w:spacing w:line="348"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(2)法定代表人身份证明或附有法定代表人身份证明的授权委托书；</w:t>
      </w:r>
    </w:p>
    <w:p w14:paraId="5C49C891">
      <w:pPr>
        <w:keepNext w:val="0"/>
        <w:keepLines w:val="0"/>
        <w:pageBreakBefore w:val="0"/>
        <w:widowControl/>
        <w:kinsoku/>
        <w:wordWrap/>
        <w:overflowPunct/>
        <w:topLinePunct w:val="0"/>
        <w:autoSpaceDE w:val="0"/>
        <w:autoSpaceDN w:val="0"/>
        <w:bidi w:val="0"/>
        <w:adjustRightInd/>
        <w:snapToGrid/>
        <w:spacing w:line="348"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投标</w:t>
      </w:r>
      <w:r>
        <w:rPr>
          <w:rFonts w:hint="eastAsia" w:ascii="宋体" w:hAnsi="宋体" w:eastAsia="宋体" w:cs="宋体"/>
          <w:color w:val="auto"/>
          <w:highlight w:val="none"/>
        </w:rPr>
        <w:t>报价表；</w:t>
      </w:r>
    </w:p>
    <w:p w14:paraId="01426D7A">
      <w:pPr>
        <w:keepNext w:val="0"/>
        <w:keepLines w:val="0"/>
        <w:pageBreakBefore w:val="0"/>
        <w:widowControl/>
        <w:kinsoku/>
        <w:wordWrap/>
        <w:overflowPunct/>
        <w:topLinePunct w:val="0"/>
        <w:autoSpaceDE w:val="0"/>
        <w:autoSpaceDN w:val="0"/>
        <w:bidi w:val="0"/>
        <w:adjustRightInd/>
        <w:snapToGrid/>
        <w:spacing w:line="348"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)资格审查资料；</w:t>
      </w:r>
    </w:p>
    <w:p w14:paraId="7E99CFD4">
      <w:pPr>
        <w:keepNext w:val="0"/>
        <w:keepLines w:val="0"/>
        <w:pageBreakBefore w:val="0"/>
        <w:widowControl/>
        <w:kinsoku/>
        <w:wordWrap/>
        <w:overflowPunct/>
        <w:topLinePunct w:val="0"/>
        <w:autoSpaceDE w:val="0"/>
        <w:autoSpaceDN w:val="0"/>
        <w:bidi w:val="0"/>
        <w:adjustRightInd/>
        <w:snapToGrid/>
        <w:spacing w:line="348"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方案；</w:t>
      </w:r>
    </w:p>
    <w:p w14:paraId="4183462E">
      <w:pPr>
        <w:keepNext w:val="0"/>
        <w:keepLines w:val="0"/>
        <w:pageBreakBefore w:val="0"/>
        <w:widowControl/>
        <w:kinsoku/>
        <w:wordWrap/>
        <w:overflowPunct/>
        <w:topLinePunct w:val="0"/>
        <w:autoSpaceDE w:val="0"/>
        <w:autoSpaceDN w:val="0"/>
        <w:bidi w:val="0"/>
        <w:adjustRightInd/>
        <w:snapToGrid/>
        <w:spacing w:line="348"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投标文件的上述组成部分如存在内容不一致的，以投标函为准。</w:t>
      </w:r>
    </w:p>
    <w:p w14:paraId="18DD63C4">
      <w:pPr>
        <w:keepNext w:val="0"/>
        <w:keepLines w:val="0"/>
        <w:pageBreakBefore w:val="0"/>
        <w:widowControl/>
        <w:kinsoku/>
        <w:wordWrap/>
        <w:overflowPunct/>
        <w:topLinePunct w:val="0"/>
        <w:autoSpaceDE w:val="0"/>
        <w:autoSpaceDN w:val="0"/>
        <w:bidi w:val="0"/>
        <w:adjustRightInd/>
        <w:snapToGrid/>
        <w:spacing w:line="348"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3．我方承诺在招标文件规定的投标有效期内不撤销投标文件。</w:t>
      </w:r>
    </w:p>
    <w:p w14:paraId="118C6557">
      <w:pPr>
        <w:keepNext w:val="0"/>
        <w:keepLines w:val="0"/>
        <w:pageBreakBefore w:val="0"/>
        <w:widowControl/>
        <w:kinsoku/>
        <w:wordWrap/>
        <w:overflowPunct/>
        <w:topLinePunct w:val="0"/>
        <w:autoSpaceDE w:val="0"/>
        <w:autoSpaceDN w:val="0"/>
        <w:bidi w:val="0"/>
        <w:adjustRightInd/>
        <w:snapToGrid/>
        <w:spacing w:line="348"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4．如我方中标，我方承诺：</w:t>
      </w:r>
    </w:p>
    <w:p w14:paraId="050D9B41">
      <w:pPr>
        <w:keepNext w:val="0"/>
        <w:keepLines w:val="0"/>
        <w:pageBreakBefore w:val="0"/>
        <w:widowControl/>
        <w:kinsoku/>
        <w:wordWrap/>
        <w:overflowPunct/>
        <w:topLinePunct w:val="0"/>
        <w:autoSpaceDE w:val="0"/>
        <w:autoSpaceDN w:val="0"/>
        <w:bidi w:val="0"/>
        <w:adjustRightInd/>
        <w:snapToGrid/>
        <w:spacing w:line="348"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(1)在收到中标通知书后，在中标通知书规定的期限内与你方签订合同；</w:t>
      </w:r>
    </w:p>
    <w:p w14:paraId="15594E9C">
      <w:pPr>
        <w:keepNext w:val="0"/>
        <w:keepLines w:val="0"/>
        <w:pageBreakBefore w:val="0"/>
        <w:widowControl/>
        <w:kinsoku/>
        <w:wordWrap/>
        <w:overflowPunct/>
        <w:topLinePunct w:val="0"/>
        <w:autoSpaceDE w:val="0"/>
        <w:autoSpaceDN w:val="0"/>
        <w:bidi w:val="0"/>
        <w:adjustRightInd/>
        <w:snapToGrid/>
        <w:spacing w:line="348"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(2)在签订合同时不向你方提出附加条件；</w:t>
      </w:r>
    </w:p>
    <w:p w14:paraId="5AE35A9D">
      <w:pPr>
        <w:keepNext w:val="0"/>
        <w:keepLines w:val="0"/>
        <w:pageBreakBefore w:val="0"/>
        <w:widowControl/>
        <w:kinsoku/>
        <w:wordWrap/>
        <w:overflowPunct/>
        <w:topLinePunct w:val="0"/>
        <w:autoSpaceDE w:val="0"/>
        <w:autoSpaceDN w:val="0"/>
        <w:bidi w:val="0"/>
        <w:adjustRightInd/>
        <w:snapToGrid/>
        <w:spacing w:line="348"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(3)按照招标文件要求提交履约保证金；</w:t>
      </w:r>
    </w:p>
    <w:p w14:paraId="6A806764">
      <w:pPr>
        <w:keepNext w:val="0"/>
        <w:keepLines w:val="0"/>
        <w:pageBreakBefore w:val="0"/>
        <w:widowControl/>
        <w:kinsoku/>
        <w:wordWrap/>
        <w:overflowPunct/>
        <w:topLinePunct w:val="0"/>
        <w:autoSpaceDE w:val="0"/>
        <w:autoSpaceDN w:val="0"/>
        <w:bidi w:val="0"/>
        <w:adjustRightInd/>
        <w:snapToGrid/>
        <w:spacing w:line="348"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(4)在合同约定的期限内完成合同规定的全部义务。</w:t>
      </w:r>
    </w:p>
    <w:p w14:paraId="5CBBFBEF">
      <w:pPr>
        <w:keepNext w:val="0"/>
        <w:keepLines w:val="0"/>
        <w:pageBreakBefore w:val="0"/>
        <w:widowControl/>
        <w:kinsoku/>
        <w:wordWrap/>
        <w:overflowPunct/>
        <w:topLinePunct w:val="0"/>
        <w:autoSpaceDE w:val="0"/>
        <w:autoSpaceDN w:val="0"/>
        <w:bidi w:val="0"/>
        <w:adjustRightInd/>
        <w:snapToGrid/>
        <w:spacing w:line="348"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5．我方在此声明， 所递交的投标文件及有关资料内容完整、真实和准确， 且不存在第二章“投标人须知”第 1.4.3 项规定的任何一种情形。</w:t>
      </w:r>
    </w:p>
    <w:p w14:paraId="6D5B9948">
      <w:pPr>
        <w:keepNext w:val="0"/>
        <w:keepLines w:val="0"/>
        <w:pageBreakBefore w:val="0"/>
        <w:widowControl/>
        <w:kinsoku/>
        <w:wordWrap/>
        <w:overflowPunct/>
        <w:topLinePunct w:val="0"/>
        <w:autoSpaceDE w:val="0"/>
        <w:autoSpaceDN w:val="0"/>
        <w:bidi w:val="0"/>
        <w:adjustRightInd/>
        <w:snapToGrid/>
        <w:spacing w:line="348" w:lineRule="auto"/>
        <w:ind w:right="74" w:firstLine="420" w:firstLineChars="200"/>
        <w:jc w:val="both"/>
        <w:textAlignment w:val="auto"/>
        <w:rPr>
          <w:rFonts w:hint="eastAsia" w:ascii="宋体" w:hAnsi="宋体" w:eastAsia="宋体" w:cs="宋体"/>
          <w:color w:val="auto"/>
          <w:spacing w:val="-8"/>
          <w:highlight w:val="none"/>
        </w:rPr>
      </w:pPr>
      <w:r>
        <w:rPr>
          <w:rFonts w:hint="eastAsia" w:ascii="宋体" w:hAnsi="宋体" w:eastAsia="宋体" w:cs="宋体"/>
          <w:color w:val="auto"/>
          <w:highlight w:val="none"/>
        </w:rPr>
        <w:t>6．</w:t>
      </w:r>
      <w:r>
        <w:rPr>
          <w:rFonts w:hint="eastAsia" w:ascii="宋体" w:hAnsi="宋体" w:eastAsia="宋体" w:cs="宋体"/>
          <w:color w:val="auto"/>
          <w:spacing w:val="-4"/>
          <w:highlight w:val="none"/>
          <w:u w:val="single"/>
        </w:rPr>
        <w:t xml:space="preserve">               /                </w:t>
      </w:r>
      <w:r>
        <w:rPr>
          <w:rFonts w:hint="eastAsia" w:ascii="宋体" w:hAnsi="宋体" w:eastAsia="宋体" w:cs="宋体"/>
          <w:color w:val="auto"/>
          <w:spacing w:val="-4"/>
          <w:highlight w:val="none"/>
        </w:rPr>
        <w:t>(其他补充说明)。</w:t>
      </w:r>
    </w:p>
    <w:p w14:paraId="7AFB9F0D">
      <w:pPr>
        <w:keepNext w:val="0"/>
        <w:keepLines w:val="0"/>
        <w:pageBreakBefore w:val="0"/>
        <w:widowControl/>
        <w:kinsoku w:val="0"/>
        <w:wordWrap/>
        <w:overflowPunct/>
        <w:topLinePunct w:val="0"/>
        <w:autoSpaceDE w:val="0"/>
        <w:autoSpaceDN w:val="0"/>
        <w:bidi w:val="0"/>
        <w:adjustRightInd/>
        <w:snapToGrid w:val="0"/>
        <w:spacing w:line="348" w:lineRule="auto"/>
        <w:ind w:left="2493" w:right="253" w:firstLine="1"/>
        <w:textAlignment w:val="auto"/>
        <w:rPr>
          <w:rFonts w:hint="eastAsia" w:ascii="宋体" w:hAnsi="宋体" w:eastAsia="宋体" w:cs="宋体"/>
          <w:color w:val="auto"/>
          <w:highlight w:val="none"/>
        </w:rPr>
      </w:pPr>
      <w:r>
        <w:rPr>
          <w:rFonts w:hint="eastAsia" w:ascii="宋体" w:hAnsi="宋体" w:eastAsia="宋体" w:cs="宋体"/>
          <w:color w:val="auto"/>
          <w:spacing w:val="-4"/>
          <w:highlight w:val="none"/>
        </w:rPr>
        <w:t>投 标 人：</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rPr>
        <w:t>(盖单位章)</w:t>
      </w:r>
      <w:r>
        <w:rPr>
          <w:rFonts w:hint="eastAsia" w:ascii="宋体" w:hAnsi="宋体" w:eastAsia="宋体" w:cs="宋体"/>
          <w:color w:val="auto"/>
          <w:highlight w:val="none"/>
        </w:rPr>
        <w:t xml:space="preserve"> </w:t>
      </w:r>
    </w:p>
    <w:p w14:paraId="3EEC0133">
      <w:pPr>
        <w:keepNext w:val="0"/>
        <w:keepLines w:val="0"/>
        <w:pageBreakBefore w:val="0"/>
        <w:widowControl/>
        <w:kinsoku w:val="0"/>
        <w:wordWrap/>
        <w:overflowPunct/>
        <w:topLinePunct w:val="0"/>
        <w:autoSpaceDE w:val="0"/>
        <w:autoSpaceDN w:val="0"/>
        <w:bidi w:val="0"/>
        <w:adjustRightInd/>
        <w:snapToGrid w:val="0"/>
        <w:spacing w:line="348" w:lineRule="auto"/>
        <w:ind w:left="2493" w:right="253" w:firstLine="1"/>
        <w:textAlignment w:val="auto"/>
        <w:rPr>
          <w:rFonts w:hint="eastAsia" w:ascii="宋体" w:hAnsi="宋体" w:eastAsia="宋体" w:cs="宋体"/>
          <w:color w:val="auto"/>
          <w:spacing w:val="-4"/>
          <w:highlight w:val="none"/>
        </w:rPr>
      </w:pPr>
      <w:r>
        <w:rPr>
          <w:rFonts w:hint="eastAsia" w:ascii="宋体" w:hAnsi="宋体" w:eastAsia="宋体" w:cs="宋体"/>
          <w:color w:val="auto"/>
          <w:spacing w:val="-8"/>
          <w:highlight w:val="none"/>
        </w:rPr>
        <w:t>法定</w:t>
      </w:r>
      <w:r>
        <w:rPr>
          <w:rFonts w:hint="eastAsia" w:ascii="宋体" w:hAnsi="宋体" w:eastAsia="宋体" w:cs="宋体"/>
          <w:color w:val="auto"/>
          <w:spacing w:val="-4"/>
          <w:highlight w:val="none"/>
        </w:rPr>
        <w:t>代表人：</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(签字或盖章)</w:t>
      </w:r>
    </w:p>
    <w:p w14:paraId="1E48695A">
      <w:pPr>
        <w:keepNext w:val="0"/>
        <w:keepLines w:val="0"/>
        <w:pageBreakBefore w:val="0"/>
        <w:widowControl/>
        <w:kinsoku w:val="0"/>
        <w:wordWrap/>
        <w:overflowPunct/>
        <w:topLinePunct w:val="0"/>
        <w:autoSpaceDE w:val="0"/>
        <w:autoSpaceDN w:val="0"/>
        <w:bidi w:val="0"/>
        <w:adjustRightInd/>
        <w:snapToGrid w:val="0"/>
        <w:spacing w:line="348" w:lineRule="auto"/>
        <w:ind w:left="2493" w:right="253" w:firstLine="1"/>
        <w:textAlignment w:val="auto"/>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委托代理人：</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(签字)</w:t>
      </w:r>
    </w:p>
    <w:p w14:paraId="62F3F7B2">
      <w:pPr>
        <w:keepNext w:val="0"/>
        <w:keepLines w:val="0"/>
        <w:pageBreakBefore w:val="0"/>
        <w:widowControl/>
        <w:kinsoku w:val="0"/>
        <w:wordWrap/>
        <w:overflowPunct/>
        <w:topLinePunct w:val="0"/>
        <w:autoSpaceDE w:val="0"/>
        <w:autoSpaceDN w:val="0"/>
        <w:bidi w:val="0"/>
        <w:adjustRightInd/>
        <w:snapToGrid w:val="0"/>
        <w:spacing w:line="348" w:lineRule="auto"/>
        <w:ind w:left="2493" w:right="253" w:firstLine="1"/>
        <w:textAlignment w:val="auto"/>
        <w:rPr>
          <w:rFonts w:hint="eastAsia" w:ascii="宋体" w:hAnsi="宋体" w:eastAsia="宋体" w:cs="宋体"/>
          <w:b w:val="0"/>
          <w:color w:val="auto"/>
          <w:spacing w:val="-4"/>
          <w:highlight w:val="none"/>
        </w:rPr>
      </w:pPr>
      <w:r>
        <w:rPr>
          <w:rFonts w:hint="eastAsia" w:ascii="宋体" w:hAnsi="宋体" w:eastAsia="宋体" w:cs="宋体"/>
          <w:b w:val="0"/>
          <w:color w:val="auto"/>
          <w:spacing w:val="-4"/>
          <w:highlight w:val="none"/>
        </w:rPr>
        <w:t>项目负责人：</w:t>
      </w:r>
      <w:r>
        <w:rPr>
          <w:rFonts w:hint="eastAsia" w:ascii="宋体" w:hAnsi="宋体" w:eastAsia="宋体" w:cs="宋体"/>
          <w:color w:val="auto"/>
          <w:spacing w:val="-4"/>
          <w:highlight w:val="none"/>
          <w:u w:val="single"/>
        </w:rPr>
        <w:t xml:space="preserve">                </w:t>
      </w:r>
      <w:r>
        <w:rPr>
          <w:rFonts w:hint="eastAsia" w:ascii="宋体" w:hAnsi="宋体" w:eastAsia="宋体" w:cs="宋体"/>
          <w:b w:val="0"/>
          <w:bCs/>
          <w:color w:val="auto"/>
          <w:spacing w:val="-4"/>
          <w:highlight w:val="none"/>
        </w:rPr>
        <w:t>(签字)</w:t>
      </w:r>
    </w:p>
    <w:p w14:paraId="05CFA4B5">
      <w:pPr>
        <w:keepNext w:val="0"/>
        <w:keepLines w:val="0"/>
        <w:pageBreakBefore w:val="0"/>
        <w:widowControl/>
        <w:kinsoku w:val="0"/>
        <w:wordWrap/>
        <w:overflowPunct/>
        <w:topLinePunct w:val="0"/>
        <w:autoSpaceDE w:val="0"/>
        <w:autoSpaceDN w:val="0"/>
        <w:bidi w:val="0"/>
        <w:adjustRightInd/>
        <w:snapToGrid w:val="0"/>
        <w:spacing w:line="348" w:lineRule="auto"/>
        <w:ind w:left="2490" w:right="239" w:firstLine="1"/>
        <w:textAlignment w:val="auto"/>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 xml:space="preserve">地  </w:t>
      </w:r>
      <w:r>
        <w:rPr>
          <w:rFonts w:hint="eastAsia" w:ascii="宋体" w:hAnsi="宋体" w:eastAsia="宋体" w:cs="宋体"/>
          <w:color w:val="auto"/>
          <w:spacing w:val="-2"/>
          <w:highlight w:val="none"/>
        </w:rPr>
        <w:t xml:space="preserve">  址：</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spacing w:val="-4"/>
          <w:highlight w:val="none"/>
        </w:rPr>
        <w:t xml:space="preserve">网 </w:t>
      </w:r>
      <w:r>
        <w:rPr>
          <w:rFonts w:hint="eastAsia" w:ascii="宋体" w:hAnsi="宋体" w:eastAsia="宋体" w:cs="宋体"/>
          <w:color w:val="auto"/>
          <w:spacing w:val="-2"/>
          <w:highlight w:val="none"/>
        </w:rPr>
        <w:t xml:space="preserve">   址：</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spacing w:val="-4"/>
          <w:highlight w:val="none"/>
        </w:rPr>
        <w:t xml:space="preserve">电 </w:t>
      </w:r>
      <w:r>
        <w:rPr>
          <w:rFonts w:hint="eastAsia" w:ascii="宋体" w:hAnsi="宋体" w:eastAsia="宋体" w:cs="宋体"/>
          <w:color w:val="auto"/>
          <w:spacing w:val="-2"/>
          <w:highlight w:val="none"/>
        </w:rPr>
        <w:t xml:space="preserve">   话：</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spacing w:val="-4"/>
          <w:highlight w:val="none"/>
        </w:rPr>
        <w:t xml:space="preserve">传 </w:t>
      </w:r>
      <w:r>
        <w:rPr>
          <w:rFonts w:hint="eastAsia" w:ascii="宋体" w:hAnsi="宋体" w:eastAsia="宋体" w:cs="宋体"/>
          <w:color w:val="auto"/>
          <w:spacing w:val="-2"/>
          <w:highlight w:val="none"/>
        </w:rPr>
        <w:t xml:space="preserve">   真：</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spacing w:val="-28"/>
          <w:highlight w:val="none"/>
        </w:rPr>
        <w:t>邮</w:t>
      </w:r>
      <w:r>
        <w:rPr>
          <w:rFonts w:hint="eastAsia" w:ascii="宋体" w:hAnsi="宋体" w:eastAsia="宋体" w:cs="宋体"/>
          <w:color w:val="auto"/>
          <w:spacing w:val="-25"/>
          <w:highlight w:val="none"/>
        </w:rPr>
        <w:t>政编码：</w:t>
      </w:r>
      <w:r>
        <w:rPr>
          <w:rFonts w:hint="eastAsia" w:ascii="宋体" w:hAnsi="宋体" w:eastAsia="宋体" w:cs="宋体"/>
          <w:color w:val="auto"/>
          <w:highlight w:val="none"/>
          <w:u w:val="single"/>
        </w:rPr>
        <w:t xml:space="preserve">                                               </w:t>
      </w:r>
    </w:p>
    <w:p w14:paraId="3F4F17AF">
      <w:pPr>
        <w:keepNext w:val="0"/>
        <w:keepLines w:val="0"/>
        <w:pageBreakBefore w:val="0"/>
        <w:widowControl/>
        <w:tabs>
          <w:tab w:val="left" w:pos="6722"/>
        </w:tabs>
        <w:kinsoku w:val="0"/>
        <w:wordWrap/>
        <w:overflowPunct/>
        <w:topLinePunct w:val="0"/>
        <w:autoSpaceDE w:val="0"/>
        <w:autoSpaceDN w:val="0"/>
        <w:bidi w:val="0"/>
        <w:adjustRightInd/>
        <w:snapToGrid w:val="0"/>
        <w:spacing w:line="348" w:lineRule="auto"/>
        <w:ind w:left="6084"/>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u w:val="single"/>
        </w:rPr>
        <w:tab/>
      </w:r>
      <w:r>
        <w:rPr>
          <w:rFonts w:hint="eastAsia" w:ascii="宋体" w:hAnsi="宋体" w:eastAsia="宋体" w:cs="宋体"/>
          <w:color w:val="auto"/>
          <w:spacing w:val="-1"/>
          <w:highlight w:val="none"/>
        </w:rPr>
        <w:t>年</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spacing w:val="-1"/>
          <w:highlight w:val="none"/>
        </w:rPr>
        <w:t>月</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6F14CA7E">
      <w:pPr>
        <w:keepNext w:val="0"/>
        <w:keepLines w:val="0"/>
        <w:pageBreakBefore w:val="0"/>
        <w:widowControl/>
        <w:wordWrap/>
        <w:overflowPunct/>
        <w:topLinePunct w:val="0"/>
        <w:autoSpaceDE w:val="0"/>
        <w:autoSpaceDN w:val="0"/>
        <w:bidi w:val="0"/>
        <w:adjustRightInd/>
        <w:spacing w:line="348" w:lineRule="auto"/>
        <w:textAlignment w:val="auto"/>
        <w:rPr>
          <w:rFonts w:hint="eastAsia" w:ascii="宋体" w:hAnsi="宋体" w:eastAsia="宋体" w:cs="宋体"/>
          <w:color w:val="auto"/>
          <w:highlight w:val="none"/>
        </w:rPr>
        <w:sectPr>
          <w:footerReference r:id="rId23" w:type="default"/>
          <w:pgSz w:w="11905" w:h="16838"/>
          <w:pgMar w:top="1344" w:right="1247" w:bottom="1106" w:left="1837" w:header="0" w:footer="680" w:gutter="0"/>
          <w:pgNumType w:fmt="decimal"/>
          <w:cols w:space="0" w:num="1"/>
          <w:rtlGutter w:val="0"/>
          <w:docGrid w:type="linesAndChars" w:linePitch="312" w:charSpace="0"/>
        </w:sectPr>
      </w:pPr>
    </w:p>
    <w:p w14:paraId="6E1E833D">
      <w:pPr>
        <w:spacing w:line="247" w:lineRule="auto"/>
        <w:rPr>
          <w:rFonts w:hint="eastAsia" w:ascii="宋体" w:hAnsi="宋体" w:eastAsia="宋体" w:cs="宋体"/>
          <w:color w:val="auto"/>
          <w:highlight w:val="none"/>
        </w:rPr>
      </w:pPr>
    </w:p>
    <w:p w14:paraId="116E3C67">
      <w:pPr>
        <w:spacing w:before="68" w:line="352" w:lineRule="auto"/>
        <w:ind w:right="72"/>
        <w:rPr>
          <w:rFonts w:hint="eastAsia" w:ascii="宋体" w:hAnsi="宋体" w:eastAsia="宋体" w:cs="宋体"/>
          <w:b/>
          <w:bCs/>
          <w:color w:val="auto"/>
          <w:spacing w:val="-2"/>
          <w:sz w:val="24"/>
          <w:szCs w:val="24"/>
          <w:highlight w:val="none"/>
        </w:rPr>
      </w:pPr>
      <w:bookmarkStart w:id="465" w:name="_Toc8334"/>
      <w:bookmarkStart w:id="466" w:name="_Toc30357"/>
      <w:bookmarkStart w:id="467" w:name="_Toc20683"/>
      <w:bookmarkStart w:id="468" w:name="_Toc164"/>
      <w:bookmarkStart w:id="469" w:name="_Toc23934"/>
      <w:r>
        <w:rPr>
          <w:rFonts w:hint="eastAsia" w:ascii="宋体" w:hAnsi="宋体" w:eastAsia="宋体" w:cs="宋体"/>
          <w:b/>
          <w:bCs/>
          <w:color w:val="auto"/>
          <w:spacing w:val="-2"/>
          <w:sz w:val="24"/>
          <w:szCs w:val="24"/>
          <w:highlight w:val="none"/>
        </w:rPr>
        <w:t>(二)投标函附录</w:t>
      </w:r>
      <w:bookmarkEnd w:id="465"/>
      <w:bookmarkEnd w:id="466"/>
      <w:bookmarkEnd w:id="467"/>
      <w:bookmarkEnd w:id="468"/>
      <w:bookmarkEnd w:id="469"/>
    </w:p>
    <w:p w14:paraId="241480B0">
      <w:pPr>
        <w:spacing w:line="269" w:lineRule="auto"/>
        <w:rPr>
          <w:rFonts w:hint="eastAsia" w:ascii="宋体" w:hAnsi="宋体" w:eastAsia="宋体" w:cs="宋体"/>
          <w:color w:val="auto"/>
          <w:highlight w:val="none"/>
        </w:rPr>
      </w:pPr>
    </w:p>
    <w:tbl>
      <w:tblPr>
        <w:tblStyle w:val="27"/>
        <w:tblW w:w="89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3"/>
        <w:gridCol w:w="6245"/>
      </w:tblGrid>
      <w:tr w14:paraId="0568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753" w:type="dxa"/>
            <w:vAlign w:val="center"/>
          </w:tcPr>
          <w:p w14:paraId="1B7A5A02">
            <w:pPr>
              <w:pStyle w:val="2"/>
              <w:widowControl w:val="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项目名称</w:t>
            </w:r>
          </w:p>
        </w:tc>
        <w:tc>
          <w:tcPr>
            <w:tcW w:w="6245" w:type="dxa"/>
            <w:vAlign w:val="center"/>
          </w:tcPr>
          <w:p w14:paraId="2B2BB9B2">
            <w:pPr>
              <w:pStyle w:val="2"/>
              <w:widowControl w:val="0"/>
              <w:ind w:firstLine="480"/>
              <w:rPr>
                <w:rFonts w:hint="eastAsia" w:ascii="宋体" w:hAnsi="宋体" w:eastAsia="宋体" w:cs="宋体"/>
                <w:b w:val="0"/>
                <w:bCs/>
                <w:color w:val="auto"/>
                <w:highlight w:val="none"/>
              </w:rPr>
            </w:pPr>
          </w:p>
        </w:tc>
      </w:tr>
      <w:tr w14:paraId="4840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753" w:type="dxa"/>
            <w:vAlign w:val="center"/>
          </w:tcPr>
          <w:p w14:paraId="03977889">
            <w:pPr>
              <w:pStyle w:val="2"/>
              <w:widowControl w:val="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投标下浮率</w:t>
            </w:r>
          </w:p>
          <w:p w14:paraId="4BB8DAB6">
            <w:pPr>
              <w:pStyle w:val="2"/>
              <w:widowControl w:val="0"/>
              <w:rPr>
                <w:rFonts w:hint="eastAsia" w:ascii="宋体" w:hAnsi="宋体" w:eastAsia="宋体" w:cs="宋体"/>
                <w:b w:val="0"/>
                <w:bCs/>
                <w:color w:val="auto"/>
                <w:highlight w:val="none"/>
              </w:rPr>
            </w:pPr>
            <w:r>
              <w:rPr>
                <w:rFonts w:hint="eastAsia" w:ascii="宋体" w:hAnsi="宋体" w:eastAsia="宋体" w:cs="宋体"/>
                <w:b w:val="0"/>
                <w:bCs/>
                <w:color w:val="auto"/>
                <w:highlight w:val="none"/>
                <w:lang w:val="zh-CN"/>
              </w:rPr>
              <w:t>（保留2位小数）</w:t>
            </w:r>
          </w:p>
        </w:tc>
        <w:tc>
          <w:tcPr>
            <w:tcW w:w="6245" w:type="dxa"/>
            <w:vAlign w:val="center"/>
          </w:tcPr>
          <w:p w14:paraId="635D166A">
            <w:pPr>
              <w:pStyle w:val="2"/>
              <w:widowControl w:val="0"/>
              <w:ind w:firstLine="480"/>
              <w:jc w:val="left"/>
              <w:rPr>
                <w:rFonts w:hint="eastAsia" w:ascii="宋体" w:hAnsi="宋体" w:eastAsia="宋体" w:cs="宋体"/>
                <w:b w:val="0"/>
                <w:bCs/>
                <w:color w:val="auto"/>
                <w:highlight w:val="none"/>
              </w:rPr>
            </w:pPr>
            <w:r>
              <w:rPr>
                <w:rFonts w:hint="eastAsia" w:ascii="宋体" w:hAnsi="宋体" w:eastAsia="宋体" w:cs="宋体"/>
                <w:b w:val="0"/>
                <w:bCs/>
                <w:color w:val="auto"/>
                <w:highlight w:val="none"/>
                <w:u w:val="single"/>
              </w:rPr>
              <w:t xml:space="preserve">       </w:t>
            </w:r>
            <w:r>
              <w:rPr>
                <w:rFonts w:hint="eastAsia" w:ascii="宋体" w:hAnsi="宋体" w:eastAsia="宋体" w:cs="宋体"/>
                <w:b w:val="0"/>
                <w:bCs/>
                <w:color w:val="auto"/>
                <w:highlight w:val="none"/>
              </w:rPr>
              <w:t xml:space="preserve"> %</w:t>
            </w:r>
          </w:p>
        </w:tc>
      </w:tr>
      <w:tr w14:paraId="2C5B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753" w:type="dxa"/>
            <w:vAlign w:val="center"/>
          </w:tcPr>
          <w:p w14:paraId="2229FBCD">
            <w:pPr>
              <w:pStyle w:val="2"/>
              <w:widowControl w:val="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投标总报价</w:t>
            </w:r>
          </w:p>
          <w:p w14:paraId="6D6F0BE1">
            <w:pPr>
              <w:pStyle w:val="2"/>
              <w:widowControl w:val="0"/>
              <w:rPr>
                <w:rFonts w:hint="eastAsia" w:ascii="宋体" w:hAnsi="宋体" w:eastAsia="宋体" w:cs="宋体"/>
                <w:b w:val="0"/>
                <w:bCs/>
                <w:color w:val="auto"/>
                <w:highlight w:val="none"/>
              </w:rPr>
            </w:pPr>
            <w:r>
              <w:rPr>
                <w:rFonts w:hint="eastAsia" w:ascii="宋体" w:hAnsi="宋体" w:eastAsia="宋体" w:cs="宋体"/>
                <w:b w:val="0"/>
                <w:bCs/>
                <w:color w:val="auto"/>
                <w:highlight w:val="none"/>
                <w:lang w:val="zh-CN"/>
              </w:rPr>
              <w:t>（保留2位小数）</w:t>
            </w:r>
          </w:p>
        </w:tc>
        <w:tc>
          <w:tcPr>
            <w:tcW w:w="6245" w:type="dxa"/>
            <w:vAlign w:val="center"/>
          </w:tcPr>
          <w:p w14:paraId="19A45241">
            <w:pPr>
              <w:adjustRightInd w:val="0"/>
              <w:snapToGrid w:val="0"/>
              <w:rPr>
                <w:rFonts w:hint="eastAsia" w:ascii="宋体" w:hAnsi="宋体" w:eastAsia="宋体" w:cs="宋体"/>
                <w:b w:val="0"/>
                <w:bCs/>
                <w:color w:val="auto"/>
                <w:sz w:val="24"/>
                <w:highlight w:val="none"/>
                <w:lang w:val="zh-CN"/>
              </w:rPr>
            </w:pPr>
          </w:p>
          <w:p w14:paraId="22A33044">
            <w:pPr>
              <w:adjustRightInd w:val="0"/>
              <w:snapToGrid w:val="0"/>
              <w:rPr>
                <w:rFonts w:hint="eastAsia" w:ascii="宋体" w:hAnsi="宋体" w:eastAsia="宋体" w:cs="宋体"/>
                <w:b w:val="0"/>
                <w:bCs/>
                <w:color w:val="auto"/>
                <w:sz w:val="21"/>
                <w:szCs w:val="21"/>
                <w:highlight w:val="none"/>
                <w:u w:val="single"/>
                <w:lang w:val="zh-CN"/>
              </w:rPr>
            </w:pPr>
            <w:r>
              <w:rPr>
                <w:rFonts w:hint="eastAsia" w:ascii="宋体" w:hAnsi="宋体" w:eastAsia="宋体" w:cs="宋体"/>
                <w:b w:val="0"/>
                <w:bCs/>
                <w:color w:val="auto"/>
                <w:sz w:val="21"/>
                <w:szCs w:val="21"/>
                <w:highlight w:val="none"/>
                <w:lang w:val="zh-CN"/>
              </w:rPr>
              <w:t>大写：</w:t>
            </w:r>
            <w:r>
              <w:rPr>
                <w:rFonts w:hint="eastAsia" w:ascii="宋体" w:hAnsi="宋体" w:eastAsia="宋体" w:cs="宋体"/>
                <w:b w:val="0"/>
                <w:bCs/>
                <w:color w:val="auto"/>
                <w:sz w:val="21"/>
                <w:szCs w:val="21"/>
                <w:highlight w:val="none"/>
                <w:u w:val="single"/>
                <w:lang w:val="zh-CN"/>
              </w:rPr>
              <w:t xml:space="preserve">                 </w:t>
            </w:r>
          </w:p>
          <w:p w14:paraId="70D762C6">
            <w:pPr>
              <w:adjustRightInd w:val="0"/>
              <w:snapToGrid w:val="0"/>
              <w:rPr>
                <w:rFonts w:hint="eastAsia" w:ascii="宋体" w:hAnsi="宋体" w:eastAsia="宋体" w:cs="宋体"/>
                <w:b w:val="0"/>
                <w:bCs/>
                <w:color w:val="auto"/>
                <w:sz w:val="21"/>
                <w:szCs w:val="21"/>
                <w:highlight w:val="none"/>
                <w:lang w:val="zh-CN"/>
              </w:rPr>
            </w:pPr>
          </w:p>
          <w:p w14:paraId="12CF5145">
            <w:pPr>
              <w:adjustRightInd w:val="0"/>
              <w:snapToGrid w:val="0"/>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小写：</w:t>
            </w:r>
            <w:r>
              <w:rPr>
                <w:rFonts w:hint="eastAsia" w:ascii="宋体" w:hAnsi="宋体" w:eastAsia="宋体" w:cs="宋体"/>
                <w:b w:val="0"/>
                <w:bCs/>
                <w:color w:val="auto"/>
                <w:sz w:val="21"/>
                <w:szCs w:val="21"/>
                <w:highlight w:val="none"/>
                <w:u w:val="single"/>
                <w:lang w:val="zh-CN"/>
              </w:rPr>
              <w:t xml:space="preserve">            </w:t>
            </w:r>
            <w:r>
              <w:rPr>
                <w:rFonts w:hint="eastAsia" w:ascii="宋体" w:hAnsi="宋体" w:eastAsia="宋体" w:cs="宋体"/>
                <w:b w:val="0"/>
                <w:bCs/>
                <w:color w:val="auto"/>
                <w:sz w:val="21"/>
                <w:szCs w:val="21"/>
                <w:highlight w:val="none"/>
                <w:lang w:val="zh-CN"/>
              </w:rPr>
              <w:t>元</w:t>
            </w:r>
          </w:p>
          <w:p w14:paraId="6ADE68CA">
            <w:pPr>
              <w:pStyle w:val="2"/>
              <w:widowControl w:val="0"/>
              <w:ind w:firstLine="480"/>
              <w:jc w:val="left"/>
              <w:rPr>
                <w:rFonts w:hint="eastAsia" w:ascii="宋体" w:hAnsi="宋体" w:eastAsia="宋体" w:cs="宋体"/>
                <w:b w:val="0"/>
                <w:bCs/>
                <w:color w:val="auto"/>
                <w:highlight w:val="none"/>
              </w:rPr>
            </w:pPr>
          </w:p>
        </w:tc>
      </w:tr>
      <w:tr w14:paraId="694B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753" w:type="dxa"/>
            <w:vAlign w:val="center"/>
          </w:tcPr>
          <w:p w14:paraId="3FBF8FF3">
            <w:pPr>
              <w:pStyle w:val="2"/>
              <w:widowControl w:val="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服务期限</w:t>
            </w:r>
          </w:p>
        </w:tc>
        <w:tc>
          <w:tcPr>
            <w:tcW w:w="6245" w:type="dxa"/>
            <w:vAlign w:val="center"/>
          </w:tcPr>
          <w:p w14:paraId="593E632A">
            <w:pPr>
              <w:pStyle w:val="2"/>
              <w:widowControl w:val="0"/>
              <w:ind w:firstLine="480"/>
              <w:rPr>
                <w:rFonts w:hint="eastAsia" w:ascii="宋体" w:hAnsi="宋体" w:eastAsia="宋体" w:cs="宋体"/>
                <w:b w:val="0"/>
                <w:bCs/>
                <w:color w:val="auto"/>
                <w:highlight w:val="none"/>
              </w:rPr>
            </w:pPr>
          </w:p>
        </w:tc>
      </w:tr>
      <w:tr w14:paraId="0424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2753" w:type="dxa"/>
            <w:vAlign w:val="center"/>
          </w:tcPr>
          <w:p w14:paraId="2A01B7F9">
            <w:pPr>
              <w:pStyle w:val="2"/>
              <w:widowControl w:val="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项目负责人</w:t>
            </w:r>
          </w:p>
        </w:tc>
        <w:tc>
          <w:tcPr>
            <w:tcW w:w="6245" w:type="dxa"/>
            <w:vAlign w:val="center"/>
          </w:tcPr>
          <w:p w14:paraId="5AEA7A19">
            <w:pPr>
              <w:pStyle w:val="2"/>
              <w:widowControl w:val="0"/>
              <w:spacing w:line="360" w:lineRule="auto"/>
              <w:ind w:firstLine="420"/>
              <w:jc w:val="left"/>
              <w:rPr>
                <w:rFonts w:hint="eastAsia" w:ascii="宋体" w:hAnsi="宋体" w:eastAsia="宋体" w:cs="宋体"/>
                <w:b w:val="0"/>
                <w:bCs/>
                <w:color w:val="auto"/>
                <w:highlight w:val="none"/>
              </w:rPr>
            </w:pPr>
            <w:r>
              <w:rPr>
                <w:rFonts w:hint="eastAsia" w:ascii="宋体" w:hAnsi="宋体" w:eastAsia="宋体" w:cs="宋体"/>
                <w:b w:val="0"/>
                <w:bCs/>
                <w:color w:val="auto"/>
                <w:highlight w:val="none"/>
              </w:rPr>
              <w:t>姓名：</w:t>
            </w:r>
          </w:p>
          <w:p w14:paraId="4C3B5A68">
            <w:pPr>
              <w:pStyle w:val="2"/>
              <w:widowControl w:val="0"/>
              <w:spacing w:line="360" w:lineRule="auto"/>
              <w:ind w:firstLine="420"/>
              <w:jc w:val="left"/>
              <w:rPr>
                <w:rFonts w:hint="eastAsia" w:ascii="宋体" w:hAnsi="宋体" w:eastAsia="宋体" w:cs="宋体"/>
                <w:b w:val="0"/>
                <w:bCs/>
                <w:color w:val="auto"/>
                <w:highlight w:val="none"/>
              </w:rPr>
            </w:pPr>
            <w:r>
              <w:rPr>
                <w:rFonts w:hint="eastAsia" w:ascii="宋体" w:hAnsi="宋体" w:eastAsia="宋体" w:cs="宋体"/>
                <w:b w:val="0"/>
                <w:bCs/>
                <w:color w:val="auto"/>
                <w:highlight w:val="none"/>
              </w:rPr>
              <w:t>证书编号：</w:t>
            </w:r>
          </w:p>
        </w:tc>
      </w:tr>
    </w:tbl>
    <w:p w14:paraId="3D3C7379">
      <w:pPr>
        <w:spacing w:line="269" w:lineRule="auto"/>
        <w:rPr>
          <w:rFonts w:hint="eastAsia" w:ascii="宋体" w:hAnsi="宋体" w:eastAsia="宋体" w:cs="宋体"/>
          <w:color w:val="auto"/>
          <w:highlight w:val="none"/>
        </w:rPr>
      </w:pPr>
    </w:p>
    <w:p w14:paraId="4040F919">
      <w:pPr>
        <w:pStyle w:val="2"/>
        <w:rPr>
          <w:rFonts w:hint="eastAsia" w:ascii="宋体" w:hAnsi="宋体" w:eastAsia="宋体" w:cs="宋体"/>
          <w:color w:val="auto"/>
          <w:highlight w:val="none"/>
        </w:rPr>
      </w:pPr>
    </w:p>
    <w:p w14:paraId="25C33C52">
      <w:pPr>
        <w:pStyle w:val="2"/>
        <w:jc w:val="left"/>
        <w:rPr>
          <w:rFonts w:hint="eastAsia" w:ascii="宋体" w:hAnsi="宋体" w:eastAsia="宋体" w:cs="宋体"/>
          <w:color w:val="auto"/>
          <w:highlight w:val="none"/>
        </w:rPr>
      </w:pPr>
    </w:p>
    <w:p w14:paraId="53155425">
      <w:pPr>
        <w:spacing w:before="68" w:line="387" w:lineRule="auto"/>
        <w:ind w:left="2599" w:right="324" w:firstLine="1"/>
        <w:rPr>
          <w:rFonts w:hint="eastAsia" w:ascii="宋体" w:hAnsi="宋体" w:eastAsia="宋体" w:cs="宋体"/>
          <w:color w:val="auto"/>
          <w:spacing w:val="-4"/>
          <w:highlight w:val="none"/>
        </w:rPr>
      </w:pPr>
    </w:p>
    <w:p w14:paraId="6E13F7FD">
      <w:pPr>
        <w:spacing w:before="68" w:line="387" w:lineRule="auto"/>
        <w:ind w:left="2599" w:right="324" w:firstLine="1"/>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投 标 人：</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rPr>
        <w:t>(盖单位章)</w:t>
      </w:r>
      <w:r>
        <w:rPr>
          <w:rFonts w:hint="eastAsia" w:ascii="宋体" w:hAnsi="宋体" w:eastAsia="宋体" w:cs="宋体"/>
          <w:color w:val="auto"/>
          <w:highlight w:val="none"/>
        </w:rPr>
        <w:t xml:space="preserve"> </w:t>
      </w:r>
      <w:r>
        <w:rPr>
          <w:rFonts w:hint="eastAsia" w:ascii="宋体" w:hAnsi="宋体" w:eastAsia="宋体" w:cs="宋体"/>
          <w:color w:val="auto"/>
          <w:spacing w:val="-8"/>
          <w:highlight w:val="none"/>
        </w:rPr>
        <w:t>法定</w:t>
      </w:r>
      <w:r>
        <w:rPr>
          <w:rFonts w:hint="eastAsia" w:ascii="宋体" w:hAnsi="宋体" w:eastAsia="宋体" w:cs="宋体"/>
          <w:color w:val="auto"/>
          <w:spacing w:val="-4"/>
          <w:highlight w:val="none"/>
        </w:rPr>
        <w:t>代表人或其委托代理人：</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(签字或盖章)</w:t>
      </w:r>
    </w:p>
    <w:p w14:paraId="691E6956">
      <w:pPr>
        <w:tabs>
          <w:tab w:val="left" w:pos="6829"/>
        </w:tabs>
        <w:spacing w:line="220" w:lineRule="auto"/>
        <w:ind w:left="619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ab/>
      </w:r>
      <w:r>
        <w:rPr>
          <w:rFonts w:hint="eastAsia" w:ascii="宋体" w:hAnsi="宋体" w:eastAsia="宋体" w:cs="宋体"/>
          <w:color w:val="auto"/>
          <w:spacing w:val="4"/>
          <w:highlight w:val="none"/>
        </w:rPr>
        <w:t>年</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rPr>
        <w:t>月</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rPr>
        <w:t>日</w:t>
      </w:r>
    </w:p>
    <w:p w14:paraId="19E86458">
      <w:pPr>
        <w:rPr>
          <w:rFonts w:hint="eastAsia" w:ascii="宋体" w:hAnsi="宋体" w:eastAsia="宋体" w:cs="宋体"/>
          <w:color w:val="auto"/>
          <w:highlight w:val="none"/>
        </w:rPr>
        <w:sectPr>
          <w:footerReference r:id="rId24" w:type="default"/>
          <w:pgSz w:w="11905" w:h="16838"/>
          <w:pgMar w:top="1344" w:right="1247" w:bottom="1106" w:left="1837" w:header="0" w:footer="680" w:gutter="0"/>
          <w:pgNumType w:fmt="decimal"/>
          <w:cols w:space="0" w:num="1"/>
          <w:rtlGutter w:val="0"/>
          <w:docGrid w:type="linesAndChars" w:linePitch="312" w:charSpace="0"/>
        </w:sectPr>
      </w:pPr>
    </w:p>
    <w:p w14:paraId="058C9A1F">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kern w:val="2"/>
          <w:lang w:val="en-US" w:eastAsia="zh-CN"/>
        </w:rPr>
      </w:pPr>
      <w:bookmarkStart w:id="470" w:name="_Toc18738"/>
      <w:bookmarkStart w:id="471" w:name="_Toc30933"/>
      <w:bookmarkStart w:id="472" w:name="_Toc20211"/>
      <w:bookmarkStart w:id="473" w:name="_Toc7326"/>
      <w:bookmarkStart w:id="474" w:name="_Toc16241"/>
      <w:bookmarkStart w:id="475" w:name="_Toc13029"/>
      <w:r>
        <w:rPr>
          <w:rFonts w:hint="eastAsia" w:ascii="宋体" w:hAnsi="宋体" w:eastAsia="宋体" w:cs="宋体"/>
          <w:kern w:val="2"/>
          <w:lang w:val="en-US" w:eastAsia="zh-CN"/>
        </w:rPr>
        <w:t>二、法定代表人身份证明</w:t>
      </w:r>
      <w:bookmarkEnd w:id="470"/>
      <w:bookmarkEnd w:id="471"/>
      <w:bookmarkEnd w:id="472"/>
      <w:bookmarkEnd w:id="473"/>
      <w:bookmarkEnd w:id="474"/>
      <w:r>
        <w:rPr>
          <w:rFonts w:hint="eastAsia" w:ascii="宋体" w:hAnsi="宋体" w:eastAsia="宋体" w:cs="宋体"/>
          <w:kern w:val="2"/>
          <w:lang w:val="en-US" w:eastAsia="zh-CN"/>
        </w:rPr>
        <w:t>及授权委托书</w:t>
      </w:r>
      <w:bookmarkEnd w:id="475"/>
    </w:p>
    <w:p w14:paraId="00C75EBC">
      <w:pPr>
        <w:bidi w:val="0"/>
        <w:rPr>
          <w:rFonts w:hint="eastAsia"/>
        </w:rPr>
      </w:pPr>
    </w:p>
    <w:p w14:paraId="2C3D82E2">
      <w:pPr>
        <w:spacing w:before="68" w:line="352" w:lineRule="auto"/>
        <w:ind w:right="72"/>
        <w:jc w:val="center"/>
        <w:rPr>
          <w:rFonts w:hint="eastAsia" w:ascii="宋体" w:hAnsi="宋体" w:eastAsia="宋体" w:cs="宋体"/>
          <w:b/>
          <w:bCs/>
          <w:color w:val="auto"/>
          <w:spacing w:val="-2"/>
          <w:sz w:val="28"/>
          <w:szCs w:val="28"/>
          <w:highlight w:val="none"/>
        </w:rPr>
      </w:pPr>
      <w:r>
        <w:rPr>
          <w:rFonts w:hint="eastAsia" w:ascii="宋体" w:hAnsi="宋体" w:eastAsia="宋体" w:cs="宋体"/>
          <w:b/>
          <w:bCs/>
          <w:color w:val="auto"/>
          <w:spacing w:val="-2"/>
          <w:sz w:val="28"/>
          <w:szCs w:val="28"/>
          <w:highlight w:val="none"/>
        </w:rPr>
        <w:t>法定代表人身份证明</w:t>
      </w:r>
    </w:p>
    <w:p w14:paraId="4664C03C">
      <w:pPr>
        <w:spacing w:line="253" w:lineRule="auto"/>
        <w:rPr>
          <w:rFonts w:hint="eastAsia" w:ascii="宋体" w:hAnsi="宋体" w:eastAsia="宋体" w:cs="宋体"/>
          <w:color w:val="auto"/>
          <w:highlight w:val="none"/>
        </w:rPr>
      </w:pPr>
    </w:p>
    <w:p w14:paraId="6FB449A6">
      <w:pPr>
        <w:keepNext w:val="0"/>
        <w:keepLines w:val="0"/>
        <w:pageBreakBefore w:val="0"/>
        <w:widowControl/>
        <w:kinsoku/>
        <w:wordWrap/>
        <w:overflowPunct/>
        <w:topLinePunct w:val="0"/>
        <w:autoSpaceDE w:val="0"/>
        <w:autoSpaceDN w:val="0"/>
        <w:bidi w:val="0"/>
        <w:adjustRightInd/>
        <w:snapToGrid w:val="0"/>
        <w:spacing w:before="68" w:line="353" w:lineRule="auto"/>
        <w:ind w:right="74"/>
        <w:jc w:val="both"/>
        <w:textAlignment w:val="auto"/>
        <w:rPr>
          <w:rFonts w:hint="eastAsia" w:ascii="宋体" w:hAnsi="宋体" w:eastAsia="宋体" w:cs="宋体"/>
          <w:color w:val="auto"/>
          <w:spacing w:val="-30"/>
          <w:highlight w:val="none"/>
        </w:rPr>
      </w:pPr>
      <w:r>
        <w:rPr>
          <w:rFonts w:hint="eastAsia" w:ascii="宋体" w:hAnsi="宋体" w:eastAsia="宋体" w:cs="宋体"/>
          <w:color w:val="auto"/>
          <w:spacing w:val="-30"/>
          <w:highlight w:val="none"/>
        </w:rPr>
        <w:t>投</w:t>
      </w:r>
      <w:r>
        <w:rPr>
          <w:rFonts w:hint="eastAsia" w:ascii="宋体" w:hAnsi="宋体" w:eastAsia="宋体" w:cs="宋体"/>
          <w:color w:val="auto"/>
          <w:spacing w:val="-27"/>
          <w:highlight w:val="none"/>
        </w:rPr>
        <w:t>标人名称：</w:t>
      </w:r>
      <w:r>
        <w:rPr>
          <w:rFonts w:hint="eastAsia" w:ascii="宋体" w:hAnsi="宋体" w:eastAsia="宋体" w:cs="宋体"/>
          <w:color w:val="auto"/>
          <w:highlight w:val="none"/>
          <w:u w:val="single"/>
        </w:rPr>
        <w:t xml:space="preserve">                         </w:t>
      </w:r>
    </w:p>
    <w:p w14:paraId="3C09E227">
      <w:pPr>
        <w:keepNext w:val="0"/>
        <w:keepLines w:val="0"/>
        <w:pageBreakBefore w:val="0"/>
        <w:widowControl/>
        <w:kinsoku/>
        <w:wordWrap/>
        <w:overflowPunct/>
        <w:topLinePunct w:val="0"/>
        <w:autoSpaceDE w:val="0"/>
        <w:autoSpaceDN w:val="0"/>
        <w:bidi w:val="0"/>
        <w:adjustRightInd/>
        <w:snapToGrid w:val="0"/>
        <w:spacing w:before="68" w:line="353" w:lineRule="auto"/>
        <w:ind w:right="74"/>
        <w:jc w:val="both"/>
        <w:textAlignment w:val="auto"/>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姓名：</w:t>
      </w:r>
      <w:r>
        <w:rPr>
          <w:rFonts w:hint="eastAsia" w:ascii="宋体" w:hAnsi="宋体" w:eastAsia="宋体" w:cs="宋体"/>
          <w:color w:val="auto"/>
          <w:spacing w:val="-9"/>
          <w:highlight w:val="none"/>
          <w:u w:val="single"/>
        </w:rPr>
        <w:t xml:space="preserve">          </w:t>
      </w:r>
      <w:r>
        <w:rPr>
          <w:rFonts w:hint="eastAsia" w:ascii="宋体" w:hAnsi="宋体" w:eastAsia="宋体" w:cs="宋体"/>
          <w:color w:val="auto"/>
          <w:spacing w:val="-9"/>
          <w:highlight w:val="none"/>
        </w:rPr>
        <w:t>性别：</w:t>
      </w:r>
      <w:r>
        <w:rPr>
          <w:rFonts w:hint="eastAsia" w:ascii="宋体" w:hAnsi="宋体" w:eastAsia="宋体" w:cs="宋体"/>
          <w:color w:val="auto"/>
          <w:spacing w:val="-9"/>
          <w:highlight w:val="none"/>
          <w:u w:val="single"/>
        </w:rPr>
        <w:t xml:space="preserve">         </w:t>
      </w:r>
      <w:r>
        <w:rPr>
          <w:rFonts w:hint="eastAsia" w:ascii="宋体" w:hAnsi="宋体" w:eastAsia="宋体" w:cs="宋体"/>
          <w:color w:val="auto"/>
          <w:spacing w:val="-9"/>
          <w:highlight w:val="none"/>
        </w:rPr>
        <w:t>年龄：</w:t>
      </w:r>
      <w:r>
        <w:rPr>
          <w:rFonts w:hint="eastAsia" w:ascii="宋体" w:hAnsi="宋体" w:eastAsia="宋体" w:cs="宋体"/>
          <w:color w:val="auto"/>
          <w:spacing w:val="-9"/>
          <w:highlight w:val="none"/>
          <w:u w:val="single"/>
        </w:rPr>
        <w:t xml:space="preserve">         </w:t>
      </w:r>
      <w:r>
        <w:rPr>
          <w:rFonts w:hint="eastAsia" w:ascii="宋体" w:hAnsi="宋体" w:eastAsia="宋体" w:cs="宋体"/>
          <w:color w:val="auto"/>
          <w:spacing w:val="-9"/>
          <w:highlight w:val="none"/>
        </w:rPr>
        <w:t>职务：</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身份证号码：</w:t>
      </w:r>
      <w:r>
        <w:rPr>
          <w:rFonts w:hint="eastAsia" w:ascii="宋体" w:hAnsi="宋体" w:eastAsia="宋体" w:cs="宋体"/>
          <w:color w:val="auto"/>
          <w:highlight w:val="none"/>
          <w:u w:val="single"/>
        </w:rPr>
        <w:t xml:space="preserve">       </w:t>
      </w:r>
    </w:p>
    <w:p w14:paraId="5EB9FD10">
      <w:pPr>
        <w:keepNext w:val="0"/>
        <w:keepLines w:val="0"/>
        <w:pageBreakBefore w:val="0"/>
        <w:widowControl/>
        <w:kinsoku/>
        <w:wordWrap/>
        <w:overflowPunct/>
        <w:topLinePunct w:val="0"/>
        <w:autoSpaceDE w:val="0"/>
        <w:autoSpaceDN w:val="0"/>
        <w:bidi w:val="0"/>
        <w:adjustRightInd/>
        <w:snapToGrid w:val="0"/>
        <w:spacing w:before="68" w:line="353" w:lineRule="auto"/>
        <w:ind w:right="74"/>
        <w:jc w:val="both"/>
        <w:textAlignment w:val="auto"/>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系</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spacing w:val="1"/>
          <w:highlight w:val="none"/>
        </w:rPr>
        <w:t>(投标人名称)的法定代表人。</w:t>
      </w:r>
    </w:p>
    <w:p w14:paraId="093EC2FE">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392" w:firstLineChars="200"/>
        <w:jc w:val="both"/>
        <w:textAlignment w:val="auto"/>
        <w:rPr>
          <w:rFonts w:hint="eastAsia" w:ascii="宋体" w:hAnsi="宋体" w:eastAsia="宋体" w:cs="宋体"/>
          <w:color w:val="auto"/>
          <w:spacing w:val="-7"/>
          <w:highlight w:val="none"/>
        </w:rPr>
      </w:pPr>
      <w:r>
        <w:rPr>
          <w:rFonts w:hint="eastAsia" w:ascii="宋体" w:hAnsi="宋体" w:eastAsia="宋体" w:cs="宋体"/>
          <w:color w:val="auto"/>
          <w:spacing w:val="-7"/>
          <w:highlight w:val="none"/>
        </w:rPr>
        <w:t>特</w:t>
      </w:r>
      <w:r>
        <w:rPr>
          <w:rFonts w:hint="eastAsia" w:ascii="宋体" w:hAnsi="宋体" w:eastAsia="宋体" w:cs="宋体"/>
          <w:color w:val="auto"/>
          <w:spacing w:val="-6"/>
          <w:highlight w:val="none"/>
        </w:rPr>
        <w:t>此证明。</w:t>
      </w:r>
    </w:p>
    <w:p w14:paraId="0B79F7A8">
      <w:pPr>
        <w:spacing w:line="278" w:lineRule="auto"/>
        <w:rPr>
          <w:rFonts w:hint="eastAsia" w:ascii="宋体" w:hAnsi="宋体" w:eastAsia="宋体" w:cs="宋体"/>
          <w:color w:val="auto"/>
          <w:highlight w:val="none"/>
        </w:rPr>
      </w:pPr>
    </w:p>
    <w:p w14:paraId="1C5BFEFE">
      <w:pPr>
        <w:spacing w:line="279" w:lineRule="auto"/>
        <w:rPr>
          <w:rFonts w:hint="eastAsia" w:ascii="宋体" w:hAnsi="宋体" w:eastAsia="宋体" w:cs="宋体"/>
          <w:color w:val="auto"/>
          <w:highlight w:val="none"/>
        </w:rPr>
      </w:pPr>
    </w:p>
    <w:p w14:paraId="715CBF38">
      <w:pPr>
        <w:keepNext w:val="0"/>
        <w:keepLines w:val="0"/>
        <w:pageBreakBefore w:val="0"/>
        <w:widowControl/>
        <w:kinsoku/>
        <w:wordWrap/>
        <w:overflowPunct/>
        <w:topLinePunct w:val="0"/>
        <w:autoSpaceDE w:val="0"/>
        <w:autoSpaceDN w:val="0"/>
        <w:bidi w:val="0"/>
        <w:adjustRightInd/>
        <w:snapToGrid w:val="0"/>
        <w:spacing w:before="68" w:line="353" w:lineRule="auto"/>
        <w:ind w:right="74"/>
        <w:jc w:val="both"/>
        <w:textAlignment w:val="auto"/>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附：法</w:t>
      </w:r>
      <w:r>
        <w:rPr>
          <w:rFonts w:hint="eastAsia" w:ascii="宋体" w:hAnsi="宋体" w:eastAsia="宋体" w:cs="宋体"/>
          <w:color w:val="auto"/>
          <w:spacing w:val="-3"/>
          <w:highlight w:val="none"/>
        </w:rPr>
        <w:t>定代表人身份证正反面扫描件。</w:t>
      </w:r>
    </w:p>
    <w:p w14:paraId="63E0827A">
      <w:pPr>
        <w:spacing w:line="279" w:lineRule="auto"/>
        <w:rPr>
          <w:rFonts w:hint="eastAsia" w:ascii="宋体" w:hAnsi="宋体" w:eastAsia="宋体" w:cs="宋体"/>
          <w:color w:val="auto"/>
          <w:highlight w:val="none"/>
        </w:rPr>
      </w:pPr>
    </w:p>
    <w:p w14:paraId="28CC9CF8">
      <w:pPr>
        <w:spacing w:line="280" w:lineRule="auto"/>
        <w:rPr>
          <w:rFonts w:hint="eastAsia" w:ascii="宋体" w:hAnsi="宋体" w:eastAsia="宋体" w:cs="宋体"/>
          <w:color w:val="auto"/>
          <w:highlight w:val="none"/>
        </w:rPr>
      </w:pPr>
    </w:p>
    <w:p w14:paraId="6527589D">
      <w:pPr>
        <w:spacing w:line="248" w:lineRule="auto"/>
        <w:rPr>
          <w:rFonts w:hint="eastAsia" w:ascii="宋体" w:hAnsi="宋体" w:eastAsia="宋体" w:cs="宋体"/>
          <w:color w:val="auto"/>
          <w:highlight w:val="none"/>
        </w:rPr>
      </w:pPr>
    </w:p>
    <w:p w14:paraId="058E7E5F">
      <w:pPr>
        <w:spacing w:line="249" w:lineRule="auto"/>
        <w:rPr>
          <w:rFonts w:hint="eastAsia" w:ascii="宋体" w:hAnsi="宋体" w:eastAsia="宋体" w:cs="宋体"/>
          <w:color w:val="auto"/>
          <w:highlight w:val="none"/>
        </w:rPr>
      </w:pPr>
    </w:p>
    <w:p w14:paraId="0CDFF9F8">
      <w:pPr>
        <w:spacing w:line="249" w:lineRule="auto"/>
        <w:rPr>
          <w:rFonts w:hint="eastAsia" w:ascii="宋体" w:hAnsi="宋体" w:eastAsia="宋体" w:cs="宋体"/>
          <w:color w:val="auto"/>
          <w:highlight w:val="none"/>
        </w:rPr>
      </w:pPr>
    </w:p>
    <w:p w14:paraId="6ED84B82">
      <w:pPr>
        <w:spacing w:line="249" w:lineRule="auto"/>
        <w:rPr>
          <w:rFonts w:hint="eastAsia" w:ascii="宋体" w:hAnsi="宋体" w:eastAsia="宋体" w:cs="宋体"/>
          <w:color w:val="auto"/>
          <w:highlight w:val="none"/>
        </w:rPr>
      </w:pPr>
    </w:p>
    <w:p w14:paraId="62702597">
      <w:pPr>
        <w:spacing w:before="68" w:line="220" w:lineRule="auto"/>
        <w:ind w:left="4112"/>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投标人：</w:t>
      </w:r>
      <w:r>
        <w:rPr>
          <w:rFonts w:hint="eastAsia" w:ascii="宋体" w:hAnsi="宋体" w:eastAsia="宋体" w:cs="宋体"/>
          <w:color w:val="auto"/>
          <w:spacing w:val="-5"/>
          <w:highlight w:val="none"/>
          <w:u w:val="single"/>
        </w:rPr>
        <w:t xml:space="preserve">                </w:t>
      </w:r>
      <w:r>
        <w:rPr>
          <w:rFonts w:hint="eastAsia" w:ascii="宋体" w:hAnsi="宋体" w:eastAsia="宋体" w:cs="宋体"/>
          <w:color w:val="auto"/>
          <w:spacing w:val="-5"/>
          <w:highlight w:val="none"/>
        </w:rPr>
        <w:t>(盖单位章</w:t>
      </w:r>
      <w:r>
        <w:rPr>
          <w:rFonts w:hint="eastAsia" w:ascii="宋体" w:hAnsi="宋体" w:eastAsia="宋体" w:cs="宋体"/>
          <w:color w:val="auto"/>
          <w:spacing w:val="-2"/>
          <w:highlight w:val="none"/>
        </w:rPr>
        <w:t>)</w:t>
      </w:r>
    </w:p>
    <w:p w14:paraId="0B168800">
      <w:pPr>
        <w:spacing w:line="279" w:lineRule="auto"/>
        <w:rPr>
          <w:rFonts w:hint="eastAsia" w:ascii="宋体" w:hAnsi="宋体" w:eastAsia="宋体" w:cs="宋体"/>
          <w:color w:val="auto"/>
          <w:highlight w:val="none"/>
        </w:rPr>
      </w:pPr>
    </w:p>
    <w:p w14:paraId="2398CBC1">
      <w:pPr>
        <w:spacing w:line="279" w:lineRule="auto"/>
        <w:rPr>
          <w:rFonts w:hint="eastAsia" w:ascii="宋体" w:hAnsi="宋体" w:eastAsia="宋体" w:cs="宋体"/>
          <w:color w:val="auto"/>
          <w:highlight w:val="none"/>
        </w:rPr>
      </w:pPr>
    </w:p>
    <w:p w14:paraId="588035EB">
      <w:pPr>
        <w:tabs>
          <w:tab w:val="left" w:pos="5250"/>
        </w:tabs>
        <w:spacing w:before="69" w:line="220" w:lineRule="auto"/>
        <w:ind w:left="4611"/>
        <w:rPr>
          <w:rFonts w:hint="eastAsia" w:ascii="宋体" w:hAnsi="宋体" w:eastAsia="宋体" w:cs="宋体"/>
          <w:color w:val="auto"/>
          <w:highlight w:val="none"/>
          <w:u w:val="single"/>
        </w:rPr>
      </w:pPr>
      <w:r>
        <w:rPr>
          <w:rFonts w:hint="eastAsia" w:ascii="宋体" w:hAnsi="宋体" w:eastAsia="宋体" w:cs="宋体"/>
          <w:color w:val="auto"/>
          <w:highlight w:val="none"/>
          <w:u w:val="single"/>
        </w:rPr>
        <w:tab/>
      </w:r>
      <w:r>
        <w:rPr>
          <w:rFonts w:hint="eastAsia" w:ascii="宋体" w:hAnsi="宋体" w:eastAsia="宋体" w:cs="宋体"/>
          <w:color w:val="auto"/>
          <w:spacing w:val="4"/>
          <w:highlight w:val="none"/>
        </w:rPr>
        <w:t>年</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rPr>
        <w:t>月</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rPr>
        <w:t>日</w:t>
      </w:r>
    </w:p>
    <w:p w14:paraId="1A2A22F3">
      <w:pPr>
        <w:rPr>
          <w:rFonts w:hint="eastAsia" w:ascii="宋体" w:hAnsi="宋体" w:eastAsia="宋体" w:cs="宋体"/>
          <w:color w:val="auto"/>
          <w:highlight w:val="none"/>
        </w:rPr>
        <w:sectPr>
          <w:footerReference r:id="rId25" w:type="default"/>
          <w:pgSz w:w="11905" w:h="16838"/>
          <w:pgMar w:top="1344" w:right="1247" w:bottom="1106" w:left="1837" w:header="0" w:footer="680" w:gutter="0"/>
          <w:pgNumType w:fmt="decimal"/>
          <w:cols w:space="0" w:num="1"/>
          <w:rtlGutter w:val="0"/>
          <w:docGrid w:type="linesAndChars" w:linePitch="312" w:charSpace="0"/>
        </w:sectPr>
      </w:pPr>
    </w:p>
    <w:p w14:paraId="5552D5AD">
      <w:pPr>
        <w:spacing w:before="68" w:line="352" w:lineRule="auto"/>
        <w:ind w:right="72"/>
        <w:jc w:val="center"/>
        <w:rPr>
          <w:rFonts w:hint="eastAsia" w:ascii="宋体" w:hAnsi="宋体" w:eastAsia="宋体" w:cs="宋体"/>
          <w:b/>
          <w:bCs/>
          <w:color w:val="auto"/>
          <w:spacing w:val="-2"/>
          <w:sz w:val="28"/>
          <w:szCs w:val="28"/>
          <w:highlight w:val="none"/>
        </w:rPr>
      </w:pPr>
      <w:r>
        <w:rPr>
          <w:rFonts w:hint="eastAsia" w:ascii="宋体" w:hAnsi="宋体" w:eastAsia="宋体" w:cs="宋体"/>
          <w:b/>
          <w:bCs/>
          <w:color w:val="auto"/>
          <w:spacing w:val="-2"/>
          <w:sz w:val="28"/>
          <w:szCs w:val="28"/>
          <w:highlight w:val="none"/>
        </w:rPr>
        <w:t>授权委托书</w:t>
      </w:r>
    </w:p>
    <w:p w14:paraId="33F008E8">
      <w:pPr>
        <w:spacing w:line="269" w:lineRule="auto"/>
        <w:rPr>
          <w:rFonts w:hint="eastAsia" w:ascii="宋体" w:hAnsi="宋体" w:eastAsia="宋体" w:cs="宋体"/>
          <w:color w:val="auto"/>
          <w:highlight w:val="none"/>
        </w:rPr>
      </w:pPr>
    </w:p>
    <w:p w14:paraId="3BCE3E66">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36" w:firstLineChars="200"/>
        <w:jc w:val="both"/>
        <w:textAlignment w:val="auto"/>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本人</w:t>
      </w:r>
      <w:r>
        <w:rPr>
          <w:rFonts w:hint="eastAsia" w:ascii="宋体" w:hAnsi="宋体" w:eastAsia="宋体" w:cs="宋体"/>
          <w:color w:val="auto"/>
          <w:spacing w:val="3"/>
          <w:highlight w:val="none"/>
          <w:u w:val="single"/>
        </w:rPr>
        <w:t xml:space="preserve"> </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rPr>
        <w:t>(姓名) 系</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rPr>
        <w:t>(投标人名称)的法定代表人，现</w:t>
      </w:r>
      <w:r>
        <w:rPr>
          <w:rFonts w:hint="eastAsia" w:ascii="宋体" w:hAnsi="宋体" w:eastAsia="宋体" w:cs="宋体"/>
          <w:color w:val="auto"/>
          <w:highlight w:val="none"/>
        </w:rPr>
        <w:t xml:space="preserve"> </w:t>
      </w:r>
      <w:r>
        <w:rPr>
          <w:rFonts w:hint="eastAsia" w:ascii="宋体" w:hAnsi="宋体" w:eastAsia="宋体" w:cs="宋体"/>
          <w:color w:val="auto"/>
          <w:spacing w:val="4"/>
          <w:highlight w:val="none"/>
        </w:rPr>
        <w:t>委托</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3"/>
          <w:highlight w:val="none"/>
          <w:u w:val="single"/>
        </w:rPr>
        <w:t xml:space="preserve"> </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rPr>
        <w:t>(姓名)为我方代理人。代理人根据授权，以我方名义签署、澄清确认、递</w:t>
      </w:r>
      <w:r>
        <w:rPr>
          <w:rFonts w:hint="eastAsia" w:ascii="宋体" w:hAnsi="宋体" w:eastAsia="宋体" w:cs="宋体"/>
          <w:color w:val="auto"/>
          <w:highlight w:val="none"/>
        </w:rPr>
        <w:t xml:space="preserve"> </w:t>
      </w:r>
      <w:r>
        <w:rPr>
          <w:rFonts w:hint="eastAsia" w:ascii="宋体" w:hAnsi="宋体" w:eastAsia="宋体" w:cs="宋体"/>
          <w:color w:val="auto"/>
          <w:spacing w:val="-1"/>
          <w:highlight w:val="none"/>
        </w:rPr>
        <w:t>交、撤回、修改</w:t>
      </w:r>
      <w:r>
        <w:rPr>
          <w:rFonts w:hint="eastAsia" w:ascii="宋体" w:hAnsi="宋体" w:eastAsia="宋体" w:cs="宋体"/>
          <w:color w:val="auto"/>
          <w:spacing w:val="1"/>
          <w:highlight w:val="none"/>
          <w:u w:val="single"/>
          <w:lang w:eastAsia="zh-CN"/>
        </w:rPr>
        <w:t>广州市增城区大封门水库扩容工程BIM技术应用服务</w:t>
      </w:r>
      <w:r>
        <w:rPr>
          <w:rFonts w:hint="eastAsia" w:ascii="宋体" w:hAnsi="宋体" w:eastAsia="宋体" w:cs="宋体"/>
          <w:color w:val="auto"/>
          <w:spacing w:val="-1"/>
          <w:highlight w:val="none"/>
        </w:rPr>
        <w:t>项目投标文件、签订合同和处理有关事宜，其法律后果由我</w:t>
      </w:r>
      <w:r>
        <w:rPr>
          <w:rFonts w:hint="eastAsia" w:ascii="宋体" w:hAnsi="宋体" w:eastAsia="宋体" w:cs="宋体"/>
          <w:color w:val="auto"/>
          <w:highlight w:val="none"/>
        </w:rPr>
        <w:t xml:space="preserve">方承担。 </w:t>
      </w:r>
      <w:r>
        <w:rPr>
          <w:rFonts w:hint="eastAsia" w:ascii="宋体" w:hAnsi="宋体" w:eastAsia="宋体" w:cs="宋体"/>
          <w:color w:val="auto"/>
          <w:spacing w:val="-6"/>
          <w:highlight w:val="none"/>
        </w:rPr>
        <w:t>委托期限：</w:t>
      </w:r>
      <w:r>
        <w:rPr>
          <w:rFonts w:hint="eastAsia" w:ascii="宋体" w:hAnsi="宋体" w:eastAsia="宋体" w:cs="宋体"/>
          <w:color w:val="auto"/>
          <w:spacing w:val="-6"/>
          <w:highlight w:val="none"/>
          <w:u w:val="single"/>
        </w:rPr>
        <w:t xml:space="preserve">  </w:t>
      </w:r>
      <w:r>
        <w:rPr>
          <w:rFonts w:hint="eastAsia" w:ascii="宋体" w:hAnsi="宋体" w:eastAsia="宋体" w:cs="宋体"/>
          <w:color w:val="auto"/>
          <w:spacing w:val="-5"/>
          <w:highlight w:val="none"/>
          <w:u w:val="single"/>
        </w:rPr>
        <w:t xml:space="preserve"> </w:t>
      </w:r>
      <w:r>
        <w:rPr>
          <w:rFonts w:hint="eastAsia" w:ascii="宋体" w:hAnsi="宋体" w:eastAsia="宋体" w:cs="宋体"/>
          <w:color w:val="auto"/>
          <w:spacing w:val="-3"/>
          <w:highlight w:val="none"/>
          <w:u w:val="single"/>
        </w:rPr>
        <w:t xml:space="preserve">                     </w:t>
      </w:r>
      <w:r>
        <w:rPr>
          <w:rFonts w:hint="eastAsia" w:ascii="宋体" w:hAnsi="宋体" w:eastAsia="宋体" w:cs="宋体"/>
          <w:color w:val="auto"/>
          <w:spacing w:val="-3"/>
          <w:highlight w:val="none"/>
        </w:rPr>
        <w:t>。</w:t>
      </w:r>
    </w:p>
    <w:p w14:paraId="52C08BF5">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396" w:firstLineChars="200"/>
        <w:jc w:val="both"/>
        <w:textAlignment w:val="auto"/>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代理</w:t>
      </w:r>
      <w:r>
        <w:rPr>
          <w:rFonts w:hint="eastAsia" w:ascii="宋体" w:hAnsi="宋体" w:eastAsia="宋体" w:cs="宋体"/>
          <w:color w:val="auto"/>
          <w:spacing w:val="-3"/>
          <w:highlight w:val="none"/>
        </w:rPr>
        <w:t>人无转委托权。</w:t>
      </w:r>
      <w:r>
        <w:rPr>
          <w:rFonts w:hint="eastAsia" w:ascii="宋体" w:hAnsi="宋体" w:eastAsia="宋体" w:cs="宋体"/>
          <w:color w:val="auto"/>
          <w:highlight w:val="none"/>
        </w:rPr>
        <w:t>代理人为投标人正式职工，必须具有</w:t>
      </w:r>
      <w:r>
        <w:rPr>
          <w:rFonts w:hint="eastAsia" w:ascii="宋体" w:hAnsi="宋体" w:eastAsia="宋体" w:cs="宋体"/>
          <w:color w:val="auto"/>
          <w:highlight w:val="none"/>
          <w:lang w:eastAsia="zh-CN"/>
        </w:rPr>
        <w:t>投标人为其缴纳在本投标单位的近一个月（2025年</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月）有效的社保证明材料</w:t>
      </w:r>
      <w:r>
        <w:rPr>
          <w:rFonts w:hint="eastAsia" w:ascii="宋体" w:hAnsi="宋体" w:eastAsia="宋体" w:cs="宋体"/>
          <w:color w:val="auto"/>
          <w:highlight w:val="none"/>
        </w:rPr>
        <w:t>。</w:t>
      </w:r>
    </w:p>
    <w:p w14:paraId="065874D6">
      <w:pPr>
        <w:spacing w:line="280" w:lineRule="auto"/>
        <w:rPr>
          <w:rFonts w:hint="eastAsia" w:ascii="宋体" w:hAnsi="宋体" w:eastAsia="宋体" w:cs="宋体"/>
          <w:color w:val="auto"/>
          <w:highlight w:val="none"/>
        </w:rPr>
      </w:pPr>
    </w:p>
    <w:p w14:paraId="029124B5">
      <w:pPr>
        <w:spacing w:line="281" w:lineRule="auto"/>
        <w:rPr>
          <w:rFonts w:hint="eastAsia" w:ascii="宋体" w:hAnsi="宋体" w:eastAsia="宋体" w:cs="宋体"/>
          <w:color w:val="auto"/>
          <w:highlight w:val="none"/>
        </w:rPr>
      </w:pPr>
    </w:p>
    <w:p w14:paraId="2D580F04">
      <w:pPr>
        <w:spacing w:line="280" w:lineRule="auto"/>
        <w:rPr>
          <w:rFonts w:hint="eastAsia" w:ascii="宋体" w:hAnsi="宋体" w:eastAsia="宋体" w:cs="宋体"/>
          <w:color w:val="auto"/>
          <w:highlight w:val="none"/>
        </w:rPr>
      </w:pPr>
    </w:p>
    <w:p w14:paraId="1B8F22D9">
      <w:pPr>
        <w:spacing w:before="69" w:line="220" w:lineRule="auto"/>
        <w:ind w:right="251"/>
        <w:jc w:val="right"/>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投  标  人：</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rPr>
        <w:t>(盖单位</w:t>
      </w:r>
      <w:r>
        <w:rPr>
          <w:rFonts w:hint="eastAsia" w:ascii="宋体" w:hAnsi="宋体" w:eastAsia="宋体" w:cs="宋体"/>
          <w:color w:val="auto"/>
          <w:spacing w:val="-1"/>
          <w:highlight w:val="none"/>
        </w:rPr>
        <w:t>章</w:t>
      </w:r>
      <w:r>
        <w:rPr>
          <w:rFonts w:hint="eastAsia" w:ascii="宋体" w:hAnsi="宋体" w:eastAsia="宋体" w:cs="宋体"/>
          <w:color w:val="auto"/>
          <w:highlight w:val="none"/>
        </w:rPr>
        <w:t>)</w:t>
      </w:r>
    </w:p>
    <w:p w14:paraId="654C1574">
      <w:pPr>
        <w:spacing w:line="278" w:lineRule="auto"/>
        <w:rPr>
          <w:rFonts w:hint="eastAsia" w:ascii="宋体" w:hAnsi="宋体" w:eastAsia="宋体" w:cs="宋体"/>
          <w:color w:val="auto"/>
          <w:highlight w:val="none"/>
        </w:rPr>
      </w:pPr>
    </w:p>
    <w:p w14:paraId="378ACE39">
      <w:pPr>
        <w:spacing w:line="279" w:lineRule="auto"/>
        <w:rPr>
          <w:rFonts w:hint="eastAsia" w:ascii="宋体" w:hAnsi="宋体" w:eastAsia="宋体" w:cs="宋体"/>
          <w:color w:val="auto"/>
          <w:highlight w:val="none"/>
        </w:rPr>
      </w:pPr>
    </w:p>
    <w:p w14:paraId="7A2EF39A">
      <w:pPr>
        <w:spacing w:before="70" w:line="219" w:lineRule="auto"/>
        <w:ind w:left="2692"/>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法定代表人：</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spacing w:val="-2"/>
          <w:highlight w:val="none"/>
        </w:rPr>
        <w:t>(签字或盖章)</w:t>
      </w:r>
    </w:p>
    <w:p w14:paraId="0AE37101">
      <w:pPr>
        <w:spacing w:line="280" w:lineRule="auto"/>
        <w:rPr>
          <w:rFonts w:hint="eastAsia" w:ascii="宋体" w:hAnsi="宋体" w:eastAsia="宋体" w:cs="宋体"/>
          <w:color w:val="auto"/>
          <w:highlight w:val="none"/>
        </w:rPr>
      </w:pPr>
    </w:p>
    <w:p w14:paraId="01AC3807">
      <w:pPr>
        <w:spacing w:line="280" w:lineRule="auto"/>
        <w:rPr>
          <w:rFonts w:hint="eastAsia" w:ascii="宋体" w:hAnsi="宋体" w:eastAsia="宋体" w:cs="宋体"/>
          <w:color w:val="auto"/>
          <w:highlight w:val="none"/>
        </w:rPr>
      </w:pPr>
    </w:p>
    <w:p w14:paraId="5C4FCF69">
      <w:pPr>
        <w:spacing w:before="68" w:line="220" w:lineRule="auto"/>
        <w:ind w:left="2698"/>
        <w:rPr>
          <w:rFonts w:hint="eastAsia" w:ascii="宋体" w:hAnsi="宋体" w:eastAsia="宋体" w:cs="宋体"/>
          <w:color w:val="auto"/>
          <w:spacing w:val="-28"/>
          <w:highlight w:val="none"/>
        </w:rPr>
      </w:pPr>
      <w:r>
        <w:rPr>
          <w:rFonts w:hint="eastAsia" w:ascii="宋体" w:hAnsi="宋体" w:eastAsia="宋体" w:cs="宋体"/>
          <w:color w:val="auto"/>
          <w:spacing w:val="-28"/>
          <w:highlight w:val="none"/>
        </w:rPr>
        <w:t>身份证号码：</w:t>
      </w:r>
      <w:r>
        <w:rPr>
          <w:rFonts w:hint="eastAsia" w:ascii="宋体" w:hAnsi="宋体" w:eastAsia="宋体" w:cs="宋体"/>
          <w:color w:val="auto"/>
          <w:highlight w:val="none"/>
          <w:u w:val="single"/>
        </w:rPr>
        <w:t xml:space="preserve">                                           </w:t>
      </w:r>
    </w:p>
    <w:p w14:paraId="26767FA6">
      <w:pPr>
        <w:spacing w:line="278" w:lineRule="auto"/>
        <w:rPr>
          <w:rFonts w:hint="eastAsia" w:ascii="宋体" w:hAnsi="宋体" w:eastAsia="宋体" w:cs="宋体"/>
          <w:color w:val="auto"/>
          <w:highlight w:val="none"/>
        </w:rPr>
      </w:pPr>
    </w:p>
    <w:p w14:paraId="2BC7B4F6">
      <w:pPr>
        <w:spacing w:line="278" w:lineRule="auto"/>
        <w:rPr>
          <w:rFonts w:hint="eastAsia" w:ascii="宋体" w:hAnsi="宋体" w:eastAsia="宋体" w:cs="宋体"/>
          <w:color w:val="auto"/>
          <w:highlight w:val="none"/>
        </w:rPr>
      </w:pPr>
    </w:p>
    <w:p w14:paraId="60AA984C">
      <w:pPr>
        <w:spacing w:before="70" w:line="217" w:lineRule="auto"/>
        <w:ind w:right="249"/>
        <w:jc w:val="right"/>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委托代理人：</w:t>
      </w:r>
      <w:r>
        <w:rPr>
          <w:rFonts w:hint="eastAsia" w:ascii="宋体" w:hAnsi="宋体" w:eastAsia="宋体" w:cs="宋体"/>
          <w:color w:val="auto"/>
          <w:spacing w:val="-2"/>
          <w:highlight w:val="none"/>
          <w:u w:val="single"/>
        </w:rPr>
        <w:t xml:space="preserve">                                    </w:t>
      </w:r>
      <w:r>
        <w:rPr>
          <w:rFonts w:hint="eastAsia" w:ascii="宋体" w:hAnsi="宋体" w:eastAsia="宋体" w:cs="宋体"/>
          <w:color w:val="auto"/>
          <w:highlight w:val="none"/>
        </w:rPr>
        <w:t>(签字)</w:t>
      </w:r>
    </w:p>
    <w:p w14:paraId="5901367C">
      <w:pPr>
        <w:spacing w:line="280" w:lineRule="auto"/>
        <w:rPr>
          <w:rFonts w:hint="eastAsia" w:ascii="宋体" w:hAnsi="宋体" w:eastAsia="宋体" w:cs="宋体"/>
          <w:color w:val="auto"/>
          <w:highlight w:val="none"/>
        </w:rPr>
      </w:pPr>
    </w:p>
    <w:p w14:paraId="6130CD84">
      <w:pPr>
        <w:spacing w:line="281" w:lineRule="auto"/>
        <w:rPr>
          <w:rFonts w:hint="eastAsia" w:ascii="宋体" w:hAnsi="宋体" w:eastAsia="宋体" w:cs="宋体"/>
          <w:color w:val="auto"/>
          <w:highlight w:val="none"/>
        </w:rPr>
      </w:pPr>
    </w:p>
    <w:p w14:paraId="191CFF62">
      <w:pPr>
        <w:spacing w:before="69" w:line="220" w:lineRule="auto"/>
        <w:ind w:left="2698"/>
        <w:rPr>
          <w:rFonts w:hint="eastAsia" w:ascii="宋体" w:hAnsi="宋体" w:eastAsia="宋体" w:cs="宋体"/>
          <w:color w:val="auto"/>
          <w:spacing w:val="-28"/>
          <w:highlight w:val="none"/>
        </w:rPr>
      </w:pPr>
      <w:r>
        <w:rPr>
          <w:rFonts w:hint="eastAsia" w:ascii="宋体" w:hAnsi="宋体" w:eastAsia="宋体" w:cs="宋体"/>
          <w:color w:val="auto"/>
          <w:spacing w:val="-28"/>
          <w:highlight w:val="none"/>
        </w:rPr>
        <w:t>身份证号码：</w:t>
      </w:r>
      <w:r>
        <w:rPr>
          <w:rFonts w:hint="eastAsia" w:ascii="宋体" w:hAnsi="宋体" w:eastAsia="宋体" w:cs="宋体"/>
          <w:color w:val="auto"/>
          <w:highlight w:val="none"/>
          <w:u w:val="single"/>
        </w:rPr>
        <w:t xml:space="preserve">                                           </w:t>
      </w:r>
    </w:p>
    <w:p w14:paraId="20520EF2">
      <w:pPr>
        <w:spacing w:line="248" w:lineRule="auto"/>
        <w:rPr>
          <w:rFonts w:hint="eastAsia" w:ascii="宋体" w:hAnsi="宋体" w:eastAsia="宋体" w:cs="宋体"/>
          <w:color w:val="auto"/>
          <w:highlight w:val="none"/>
        </w:rPr>
      </w:pPr>
    </w:p>
    <w:p w14:paraId="0B743D0A">
      <w:pPr>
        <w:spacing w:line="249" w:lineRule="auto"/>
        <w:rPr>
          <w:rFonts w:hint="eastAsia" w:ascii="宋体" w:hAnsi="宋体" w:eastAsia="宋体" w:cs="宋体"/>
          <w:color w:val="auto"/>
          <w:highlight w:val="none"/>
        </w:rPr>
      </w:pPr>
    </w:p>
    <w:p w14:paraId="0D6CA089">
      <w:pPr>
        <w:spacing w:line="249" w:lineRule="auto"/>
        <w:rPr>
          <w:rFonts w:hint="eastAsia" w:ascii="宋体" w:hAnsi="宋体" w:eastAsia="宋体" w:cs="宋体"/>
          <w:color w:val="auto"/>
          <w:highlight w:val="none"/>
        </w:rPr>
      </w:pPr>
    </w:p>
    <w:p w14:paraId="39261CFF">
      <w:pPr>
        <w:spacing w:line="249" w:lineRule="auto"/>
        <w:rPr>
          <w:rFonts w:hint="eastAsia" w:ascii="宋体" w:hAnsi="宋体" w:eastAsia="宋体" w:cs="宋体"/>
          <w:color w:val="auto"/>
          <w:highlight w:val="none"/>
        </w:rPr>
      </w:pPr>
    </w:p>
    <w:p w14:paraId="04E66D93">
      <w:pPr>
        <w:tabs>
          <w:tab w:val="left" w:pos="6540"/>
        </w:tabs>
        <w:spacing w:before="68" w:line="220" w:lineRule="auto"/>
        <w:ind w:left="5797"/>
        <w:rPr>
          <w:rFonts w:hint="eastAsia" w:ascii="宋体" w:hAnsi="宋体" w:eastAsia="宋体" w:cs="宋体"/>
          <w:color w:val="auto"/>
          <w:highlight w:val="none"/>
          <w:u w:val="single"/>
        </w:rPr>
      </w:pPr>
      <w:r>
        <w:rPr>
          <w:rFonts w:hint="eastAsia" w:ascii="宋体" w:hAnsi="宋体" w:eastAsia="宋体" w:cs="宋体"/>
          <w:color w:val="auto"/>
          <w:highlight w:val="none"/>
          <w:u w:val="single"/>
        </w:rPr>
        <w:tab/>
      </w:r>
      <w:r>
        <w:rPr>
          <w:rFonts w:hint="eastAsia" w:ascii="宋体" w:hAnsi="宋体" w:eastAsia="宋体" w:cs="宋体"/>
          <w:color w:val="auto"/>
          <w:spacing w:val="-1"/>
          <w:highlight w:val="none"/>
        </w:rPr>
        <w:t>年</w:t>
      </w:r>
      <w:r>
        <w:rPr>
          <w:rFonts w:hint="eastAsia" w:ascii="宋体" w:hAnsi="宋体" w:eastAsia="宋体" w:cs="宋体"/>
          <w:color w:val="auto"/>
          <w:spacing w:val="-1"/>
          <w:highlight w:val="none"/>
          <w:u w:val="single"/>
        </w:rPr>
        <w:t xml:space="preserve">       </w:t>
      </w:r>
      <w:r>
        <w:rPr>
          <w:rFonts w:hint="eastAsia" w:ascii="宋体" w:hAnsi="宋体" w:eastAsia="宋体" w:cs="宋体"/>
          <w:color w:val="auto"/>
          <w:spacing w:val="-1"/>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456AD184">
      <w:pPr>
        <w:rPr>
          <w:rFonts w:hint="eastAsia" w:ascii="宋体" w:hAnsi="宋体" w:eastAsia="宋体" w:cs="宋体"/>
          <w:color w:val="auto"/>
          <w:highlight w:val="none"/>
        </w:rPr>
      </w:pPr>
    </w:p>
    <w:p w14:paraId="5DF388CB">
      <w:pPr>
        <w:spacing w:before="68" w:line="217" w:lineRule="auto"/>
        <w:ind w:left="17"/>
        <w:rPr>
          <w:rFonts w:hint="eastAsia" w:ascii="宋体" w:hAnsi="宋体" w:eastAsia="宋体" w:cs="宋体"/>
          <w:color w:val="auto"/>
          <w:spacing w:val="-1"/>
          <w:highlight w:val="none"/>
        </w:rPr>
      </w:pPr>
    </w:p>
    <w:p w14:paraId="38A76878">
      <w:pPr>
        <w:spacing w:before="68" w:line="217" w:lineRule="auto"/>
        <w:ind w:left="17"/>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附：</w:t>
      </w:r>
      <w:r>
        <w:rPr>
          <w:rFonts w:hint="eastAsia" w:ascii="宋体" w:hAnsi="宋体" w:eastAsia="宋体" w:cs="宋体"/>
          <w:color w:val="auto"/>
          <w:highlight w:val="none"/>
        </w:rPr>
        <w:t>委托代理人身份证正反面和社保证明扫描件。</w:t>
      </w:r>
    </w:p>
    <w:p w14:paraId="2B4DA2FC">
      <w:pPr>
        <w:rPr>
          <w:rFonts w:hint="eastAsia" w:ascii="宋体" w:hAnsi="宋体" w:eastAsia="宋体" w:cs="宋体"/>
          <w:color w:val="auto"/>
          <w:highlight w:val="none"/>
        </w:rPr>
        <w:sectPr>
          <w:footerReference r:id="rId26" w:type="default"/>
          <w:pgSz w:w="11905" w:h="16838"/>
          <w:pgMar w:top="1344" w:right="1247" w:bottom="1106" w:left="1837" w:header="0" w:footer="680" w:gutter="0"/>
          <w:pgNumType w:fmt="decimal"/>
          <w:cols w:space="0" w:num="1"/>
          <w:rtlGutter w:val="0"/>
          <w:docGrid w:type="linesAndChars" w:linePitch="312" w:charSpace="0"/>
        </w:sectPr>
      </w:pPr>
    </w:p>
    <w:p w14:paraId="68A07F77">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auto"/>
        <w:rPr>
          <w:rFonts w:hint="eastAsia" w:ascii="宋体" w:hAnsi="宋体" w:eastAsia="宋体" w:cs="宋体"/>
          <w:b/>
          <w:bCs/>
          <w:strike/>
          <w:dstrike w:val="0"/>
          <w:sz w:val="28"/>
          <w:szCs w:val="28"/>
          <w:lang w:val="en-US" w:eastAsia="zh-CN"/>
        </w:rPr>
      </w:pPr>
      <w:bookmarkStart w:id="476" w:name="_Toc29507"/>
      <w:bookmarkStart w:id="477" w:name="_Toc23163"/>
      <w:bookmarkStart w:id="478" w:name="_Toc23897"/>
      <w:bookmarkStart w:id="479" w:name="_Toc27563"/>
      <w:bookmarkStart w:id="480" w:name="_Toc11767"/>
      <w:r>
        <w:rPr>
          <w:rFonts w:hint="eastAsia" w:ascii="宋体" w:hAnsi="宋体" w:eastAsia="宋体" w:cs="宋体"/>
          <w:b/>
          <w:bCs/>
          <w:strike/>
          <w:dstrike w:val="0"/>
          <w:sz w:val="28"/>
          <w:szCs w:val="28"/>
          <w:lang w:val="en-US" w:eastAsia="zh-CN"/>
        </w:rPr>
        <w:t>三、联合体协议书</w:t>
      </w:r>
      <w:bookmarkEnd w:id="476"/>
      <w:bookmarkEnd w:id="477"/>
      <w:bookmarkEnd w:id="478"/>
      <w:bookmarkEnd w:id="479"/>
      <w:bookmarkEnd w:id="480"/>
      <w:r>
        <w:rPr>
          <w:rFonts w:hint="eastAsia" w:ascii="宋体" w:hAnsi="宋体" w:eastAsia="宋体" w:cs="宋体"/>
          <w:b/>
          <w:bCs/>
          <w:strike/>
          <w:dstrike w:val="0"/>
          <w:sz w:val="28"/>
          <w:szCs w:val="28"/>
          <w:lang w:val="en-US" w:eastAsia="zh-CN"/>
        </w:rPr>
        <w:t>（如有）</w:t>
      </w:r>
    </w:p>
    <w:p w14:paraId="3DABC621">
      <w:pPr>
        <w:keepNext w:val="0"/>
        <w:keepLines w:val="0"/>
        <w:pageBreakBefore w:val="0"/>
        <w:widowControl/>
        <w:wordWrap/>
        <w:overflowPunct/>
        <w:topLinePunct w:val="0"/>
        <w:autoSpaceDE w:val="0"/>
        <w:autoSpaceDN w:val="0"/>
        <w:bidi w:val="0"/>
        <w:adjustRightInd/>
        <w:spacing w:line="360" w:lineRule="auto"/>
        <w:ind w:left="0" w:right="0"/>
        <w:textAlignment w:val="auto"/>
        <w:rPr>
          <w:rFonts w:hint="eastAsia" w:ascii="宋体" w:hAnsi="宋体" w:eastAsia="宋体" w:cs="宋体"/>
          <w:strike/>
          <w:dstrike w:val="0"/>
          <w:color w:val="auto"/>
          <w:highlight w:val="none"/>
        </w:rPr>
      </w:pPr>
    </w:p>
    <w:p w14:paraId="2A4F4287">
      <w:pPr>
        <w:keepNext w:val="0"/>
        <w:keepLines w:val="0"/>
        <w:pageBreakBefore w:val="0"/>
        <w:widowControl/>
        <w:kinsoku/>
        <w:wordWrap/>
        <w:overflowPunct/>
        <w:topLinePunct w:val="0"/>
        <w:autoSpaceDE w:val="0"/>
        <w:autoSpaceDN w:val="0"/>
        <w:bidi w:val="0"/>
        <w:adjustRightInd/>
        <w:snapToGrid w:val="0"/>
        <w:spacing w:line="360" w:lineRule="auto"/>
        <w:ind w:left="0" w:right="0" w:firstLine="420" w:firstLineChars="200"/>
        <w:jc w:val="both"/>
        <w:textAlignment w:val="auto"/>
        <w:rPr>
          <w:rFonts w:hint="eastAsia" w:ascii="宋体" w:hAnsi="宋体" w:eastAsia="宋体" w:cs="宋体"/>
          <w:strike w:val="0"/>
          <w:dstrike w:val="0"/>
          <w:color w:val="auto"/>
          <w:highlight w:val="none"/>
          <w:u w:val="single"/>
        </w:rPr>
      </w:pPr>
      <w:r>
        <w:rPr>
          <w:rFonts w:hint="eastAsia" w:ascii="宋体" w:hAnsi="宋体" w:eastAsia="宋体" w:cs="宋体"/>
          <w:strike/>
          <w:dstrike w:val="0"/>
          <w:color w:val="auto"/>
          <w:highlight w:val="none"/>
          <w:u w:val="single"/>
        </w:rPr>
        <w:tab/>
      </w:r>
      <w:r>
        <w:rPr>
          <w:rFonts w:hint="eastAsia" w:ascii="宋体" w:hAnsi="宋体" w:eastAsia="宋体" w:cs="宋体"/>
          <w:strike/>
          <w:dstrike w:val="0"/>
          <w:color w:val="auto"/>
          <w:spacing w:val="-1"/>
          <w:highlight w:val="none"/>
        </w:rPr>
        <w:t>(所有成员</w:t>
      </w:r>
      <w:r>
        <w:rPr>
          <w:rFonts w:hint="eastAsia" w:ascii="宋体" w:hAnsi="宋体" w:eastAsia="宋体" w:cs="宋体"/>
          <w:strike/>
          <w:dstrike w:val="0"/>
          <w:color w:val="auto"/>
          <w:highlight w:val="none"/>
        </w:rPr>
        <w:t>单位名称) 自愿组成</w:t>
      </w:r>
      <w:r>
        <w:rPr>
          <w:rFonts w:hint="eastAsia" w:ascii="宋体" w:hAnsi="宋体" w:eastAsia="宋体" w:cs="宋体"/>
          <w:strike/>
          <w:dstrike w:val="0"/>
          <w:color w:val="auto"/>
          <w:highlight w:val="none"/>
          <w:u w:val="single"/>
        </w:rPr>
        <w:t xml:space="preserve">     </w:t>
      </w:r>
      <w:r>
        <w:rPr>
          <w:rFonts w:hint="eastAsia" w:ascii="宋体" w:hAnsi="宋体" w:eastAsia="宋体" w:cs="宋体"/>
          <w:strike/>
          <w:dstrike w:val="0"/>
          <w:color w:val="auto"/>
          <w:highlight w:val="none"/>
        </w:rPr>
        <w:t>(联合体名称) 联合体，共同</w:t>
      </w:r>
      <w:r>
        <w:rPr>
          <w:rFonts w:hint="eastAsia" w:ascii="宋体" w:hAnsi="宋体" w:eastAsia="宋体" w:cs="宋体"/>
          <w:strike/>
          <w:dstrike w:val="0"/>
          <w:color w:val="auto"/>
          <w:spacing w:val="6"/>
          <w:highlight w:val="none"/>
        </w:rPr>
        <w:t>参加</w:t>
      </w:r>
      <w:r>
        <w:rPr>
          <w:rFonts w:hint="eastAsia" w:ascii="宋体" w:hAnsi="宋体" w:eastAsia="宋体" w:cs="宋体"/>
          <w:strike w:val="0"/>
          <w:dstrike w:val="0"/>
          <w:color w:val="auto"/>
          <w:spacing w:val="6"/>
          <w:highlight w:val="none"/>
          <w:u w:val="single"/>
        </w:rPr>
        <w:t xml:space="preserve">    </w:t>
      </w:r>
      <w:r>
        <w:rPr>
          <w:rFonts w:hint="eastAsia" w:ascii="宋体" w:hAnsi="宋体" w:eastAsia="宋体" w:cs="宋体"/>
          <w:strike w:val="0"/>
          <w:dstrike w:val="0"/>
          <w:color w:val="auto"/>
          <w:spacing w:val="4"/>
          <w:highlight w:val="none"/>
          <w:u w:val="single"/>
        </w:rPr>
        <w:t xml:space="preserve"> </w:t>
      </w:r>
      <w:r>
        <w:rPr>
          <w:rFonts w:hint="eastAsia" w:ascii="宋体" w:hAnsi="宋体" w:eastAsia="宋体" w:cs="宋体"/>
          <w:strike w:val="0"/>
          <w:dstrike w:val="0"/>
          <w:color w:val="auto"/>
          <w:spacing w:val="3"/>
          <w:highlight w:val="none"/>
          <w:u w:val="single"/>
        </w:rPr>
        <w:t xml:space="preserve">           </w:t>
      </w:r>
      <w:r>
        <w:rPr>
          <w:rFonts w:hint="eastAsia" w:ascii="宋体" w:hAnsi="宋体" w:eastAsia="宋体" w:cs="宋体"/>
          <w:strike w:val="0"/>
          <w:dstrike w:val="0"/>
          <w:color w:val="auto"/>
          <w:spacing w:val="3"/>
          <w:highlight w:val="none"/>
        </w:rPr>
        <w:t xml:space="preserve"> </w:t>
      </w:r>
      <w:r>
        <w:rPr>
          <w:rFonts w:hint="eastAsia" w:ascii="宋体" w:hAnsi="宋体" w:eastAsia="宋体" w:cs="宋体"/>
          <w:strike/>
          <w:dstrike w:val="0"/>
          <w:color w:val="auto"/>
          <w:spacing w:val="3"/>
          <w:highlight w:val="none"/>
        </w:rPr>
        <w:t>(项目名称)招标项目投标。现就联合体投标事宜订立如下协议。</w:t>
      </w:r>
    </w:p>
    <w:p w14:paraId="6599F8FC">
      <w:pPr>
        <w:keepNext w:val="0"/>
        <w:keepLines w:val="0"/>
        <w:pageBreakBefore w:val="0"/>
        <w:widowControl/>
        <w:kinsoku/>
        <w:wordWrap/>
        <w:overflowPunct/>
        <w:topLinePunct w:val="0"/>
        <w:autoSpaceDE w:val="0"/>
        <w:autoSpaceDN w:val="0"/>
        <w:bidi w:val="0"/>
        <w:adjustRightInd/>
        <w:snapToGrid w:val="0"/>
        <w:spacing w:line="360" w:lineRule="auto"/>
        <w:ind w:left="0" w:right="0" w:firstLine="436" w:firstLineChars="200"/>
        <w:jc w:val="both"/>
        <w:textAlignment w:val="auto"/>
        <w:rPr>
          <w:rFonts w:hint="eastAsia" w:ascii="宋体" w:hAnsi="宋体" w:eastAsia="宋体" w:cs="宋体"/>
          <w:strike/>
          <w:dstrike w:val="0"/>
          <w:color w:val="auto"/>
          <w:spacing w:val="4"/>
          <w:highlight w:val="none"/>
        </w:rPr>
      </w:pPr>
      <w:r>
        <w:rPr>
          <w:rFonts w:hint="eastAsia" w:ascii="宋体" w:hAnsi="宋体" w:eastAsia="宋体" w:cs="宋体"/>
          <w:strike/>
          <w:dstrike w:val="0"/>
          <w:color w:val="auto"/>
          <w:spacing w:val="4"/>
          <w:highlight w:val="none"/>
        </w:rPr>
        <w:t>1.</w:t>
      </w:r>
      <w:r>
        <w:rPr>
          <w:rFonts w:hint="eastAsia" w:ascii="宋体" w:hAnsi="宋体" w:eastAsia="宋体" w:cs="宋体"/>
          <w:strike/>
          <w:dstrike w:val="0"/>
          <w:color w:val="auto"/>
          <w:spacing w:val="4"/>
          <w:highlight w:val="none"/>
          <w:u w:val="single"/>
        </w:rPr>
        <w:t xml:space="preserve">   </w:t>
      </w:r>
      <w:r>
        <w:rPr>
          <w:rFonts w:hint="eastAsia" w:ascii="宋体" w:hAnsi="宋体" w:eastAsia="宋体" w:cs="宋体"/>
          <w:strike/>
          <w:dstrike w:val="0"/>
          <w:color w:val="auto"/>
          <w:spacing w:val="2"/>
          <w:highlight w:val="none"/>
          <w:u w:val="single"/>
        </w:rPr>
        <w:t xml:space="preserve">                                     </w:t>
      </w:r>
      <w:r>
        <w:rPr>
          <w:rFonts w:hint="eastAsia" w:ascii="宋体" w:hAnsi="宋体" w:eastAsia="宋体" w:cs="宋体"/>
          <w:strike/>
          <w:dstrike w:val="0"/>
          <w:color w:val="auto"/>
          <w:spacing w:val="2"/>
          <w:highlight w:val="none"/>
        </w:rPr>
        <w:t>(某成员单位名称)为</w:t>
      </w:r>
      <w:r>
        <w:rPr>
          <w:rFonts w:hint="eastAsia" w:ascii="宋体" w:hAnsi="宋体" w:eastAsia="宋体" w:cs="宋体"/>
          <w:strike/>
          <w:dstrike w:val="0"/>
          <w:color w:val="auto"/>
          <w:spacing w:val="2"/>
          <w:highlight w:val="none"/>
          <w:u w:val="single"/>
        </w:rPr>
        <w:t xml:space="preserve">         </w:t>
      </w:r>
      <w:r>
        <w:rPr>
          <w:rFonts w:hint="eastAsia" w:ascii="宋体" w:hAnsi="宋体" w:eastAsia="宋体" w:cs="宋体"/>
          <w:strike/>
          <w:dstrike w:val="0"/>
          <w:color w:val="auto"/>
          <w:spacing w:val="2"/>
          <w:highlight w:val="none"/>
        </w:rPr>
        <w:t>(联合体名称)主办方。</w:t>
      </w:r>
    </w:p>
    <w:p w14:paraId="1ADC9DBD">
      <w:pPr>
        <w:keepNext w:val="0"/>
        <w:keepLines w:val="0"/>
        <w:pageBreakBefore w:val="0"/>
        <w:widowControl/>
        <w:kinsoku/>
        <w:wordWrap/>
        <w:overflowPunct/>
        <w:topLinePunct w:val="0"/>
        <w:autoSpaceDE w:val="0"/>
        <w:autoSpaceDN w:val="0"/>
        <w:bidi w:val="0"/>
        <w:adjustRightInd/>
        <w:snapToGrid w:val="0"/>
        <w:spacing w:line="360" w:lineRule="auto"/>
        <w:ind w:left="0" w:right="0" w:firstLine="380" w:firstLineChars="200"/>
        <w:jc w:val="both"/>
        <w:textAlignment w:val="auto"/>
        <w:rPr>
          <w:rFonts w:hint="eastAsia" w:ascii="宋体" w:hAnsi="宋体" w:eastAsia="宋体" w:cs="宋体"/>
          <w:strike/>
          <w:dstrike w:val="0"/>
          <w:color w:val="auto"/>
          <w:spacing w:val="-10"/>
          <w:highlight w:val="none"/>
        </w:rPr>
      </w:pPr>
      <w:r>
        <w:rPr>
          <w:rFonts w:hint="eastAsia" w:ascii="宋体" w:hAnsi="宋体" w:eastAsia="宋体" w:cs="宋体"/>
          <w:strike/>
          <w:dstrike w:val="0"/>
          <w:color w:val="auto"/>
          <w:spacing w:val="-10"/>
          <w:highlight w:val="none"/>
        </w:rPr>
        <w:t>2</w:t>
      </w:r>
      <w:r>
        <w:rPr>
          <w:rFonts w:hint="eastAsia" w:ascii="宋体" w:hAnsi="宋体" w:eastAsia="宋体" w:cs="宋体"/>
          <w:strike/>
          <w:dstrike w:val="0"/>
          <w:color w:val="auto"/>
          <w:spacing w:val="-6"/>
          <w:highlight w:val="none"/>
        </w:rPr>
        <w:t>.联合体各成员授权主办方代表联合体参加投标活动，签署文件，提交和接收相关的资料、</w:t>
      </w:r>
      <w:r>
        <w:rPr>
          <w:rFonts w:hint="eastAsia" w:ascii="宋体" w:hAnsi="宋体" w:eastAsia="宋体" w:cs="宋体"/>
          <w:strike/>
          <w:dstrike w:val="0"/>
          <w:color w:val="auto"/>
          <w:highlight w:val="none"/>
        </w:rPr>
        <w:t xml:space="preserve"> </w:t>
      </w:r>
      <w:r>
        <w:rPr>
          <w:rFonts w:hint="eastAsia" w:ascii="宋体" w:hAnsi="宋体" w:eastAsia="宋体" w:cs="宋体"/>
          <w:strike/>
          <w:dstrike w:val="0"/>
          <w:color w:val="auto"/>
          <w:spacing w:val="-8"/>
          <w:highlight w:val="none"/>
        </w:rPr>
        <w:t>信息及指示</w:t>
      </w:r>
      <w:r>
        <w:rPr>
          <w:rFonts w:hint="eastAsia" w:ascii="宋体" w:hAnsi="宋体" w:eastAsia="宋体" w:cs="宋体"/>
          <w:strike/>
          <w:dstrike w:val="0"/>
          <w:color w:val="auto"/>
          <w:spacing w:val="-7"/>
          <w:highlight w:val="none"/>
        </w:rPr>
        <w:t>，</w:t>
      </w:r>
      <w:r>
        <w:rPr>
          <w:rFonts w:hint="eastAsia" w:ascii="宋体" w:hAnsi="宋体" w:eastAsia="宋体" w:cs="宋体"/>
          <w:strike/>
          <w:dstrike w:val="0"/>
          <w:color w:val="auto"/>
          <w:spacing w:val="-4"/>
          <w:highlight w:val="none"/>
        </w:rPr>
        <w:t>进行合同谈判活动，负责合同实施阶段的组织和协调工作，以及处理与本招标项</w:t>
      </w:r>
      <w:r>
        <w:rPr>
          <w:rFonts w:hint="eastAsia" w:ascii="宋体" w:hAnsi="宋体" w:eastAsia="宋体" w:cs="宋体"/>
          <w:strike/>
          <w:dstrike w:val="0"/>
          <w:color w:val="auto"/>
          <w:highlight w:val="none"/>
        </w:rPr>
        <w:t xml:space="preserve"> </w:t>
      </w:r>
      <w:r>
        <w:rPr>
          <w:rFonts w:hint="eastAsia" w:ascii="宋体" w:hAnsi="宋体" w:eastAsia="宋体" w:cs="宋体"/>
          <w:strike/>
          <w:dstrike w:val="0"/>
          <w:color w:val="auto"/>
          <w:spacing w:val="-6"/>
          <w:highlight w:val="none"/>
        </w:rPr>
        <w:t>目有</w:t>
      </w:r>
      <w:r>
        <w:rPr>
          <w:rFonts w:hint="eastAsia" w:ascii="宋体" w:hAnsi="宋体" w:eastAsia="宋体" w:cs="宋体"/>
          <w:strike/>
          <w:dstrike w:val="0"/>
          <w:color w:val="auto"/>
          <w:spacing w:val="-4"/>
          <w:highlight w:val="none"/>
        </w:rPr>
        <w:t>关</w:t>
      </w:r>
      <w:r>
        <w:rPr>
          <w:rFonts w:hint="eastAsia" w:ascii="宋体" w:hAnsi="宋体" w:eastAsia="宋体" w:cs="宋体"/>
          <w:strike/>
          <w:dstrike w:val="0"/>
          <w:color w:val="auto"/>
          <w:spacing w:val="-3"/>
          <w:highlight w:val="none"/>
        </w:rPr>
        <w:t>的一切事宜。</w:t>
      </w:r>
    </w:p>
    <w:p w14:paraId="04008551">
      <w:pPr>
        <w:keepNext w:val="0"/>
        <w:keepLines w:val="0"/>
        <w:pageBreakBefore w:val="0"/>
        <w:widowControl/>
        <w:kinsoku/>
        <w:wordWrap/>
        <w:overflowPunct/>
        <w:topLinePunct w:val="0"/>
        <w:autoSpaceDE w:val="0"/>
        <w:autoSpaceDN w:val="0"/>
        <w:bidi w:val="0"/>
        <w:adjustRightInd/>
        <w:snapToGrid w:val="0"/>
        <w:spacing w:line="360" w:lineRule="auto"/>
        <w:ind w:left="0" w:right="0" w:firstLine="420" w:firstLineChars="200"/>
        <w:jc w:val="both"/>
        <w:textAlignment w:val="auto"/>
        <w:rPr>
          <w:rFonts w:hint="eastAsia" w:ascii="宋体" w:hAnsi="宋体" w:eastAsia="宋体" w:cs="宋体"/>
          <w:strike/>
          <w:dstrike w:val="0"/>
          <w:color w:val="auto"/>
          <w:highlight w:val="none"/>
        </w:rPr>
      </w:pPr>
      <w:r>
        <w:rPr>
          <w:rFonts w:hint="eastAsia" w:ascii="宋体" w:hAnsi="宋体" w:eastAsia="宋体" w:cs="宋体"/>
          <w:strike/>
          <w:dstrike w:val="0"/>
          <w:color w:val="auto"/>
          <w:highlight w:val="none"/>
        </w:rPr>
        <w:t>3.联合体主办方在本项目中签署的一切文件和处理的一切事宜，联合体各成员均予以承 认。联合体各成员将严格按照招标文件、投标文件和合同的要求全面履行义务，并向招标人承担连带责任。</w:t>
      </w:r>
    </w:p>
    <w:p w14:paraId="5420A31B">
      <w:pPr>
        <w:keepNext w:val="0"/>
        <w:keepLines w:val="0"/>
        <w:pageBreakBefore w:val="0"/>
        <w:widowControl/>
        <w:kinsoku/>
        <w:wordWrap/>
        <w:overflowPunct/>
        <w:topLinePunct w:val="0"/>
        <w:autoSpaceDE w:val="0"/>
        <w:autoSpaceDN w:val="0"/>
        <w:bidi w:val="0"/>
        <w:adjustRightInd/>
        <w:snapToGrid w:val="0"/>
        <w:spacing w:line="360" w:lineRule="auto"/>
        <w:ind w:left="0" w:right="0" w:firstLine="452" w:firstLineChars="200"/>
        <w:jc w:val="both"/>
        <w:textAlignment w:val="auto"/>
        <w:rPr>
          <w:rFonts w:hint="eastAsia" w:ascii="宋体" w:hAnsi="宋体" w:eastAsia="宋体" w:cs="宋体"/>
          <w:strike/>
          <w:dstrike w:val="0"/>
          <w:color w:val="auto"/>
          <w:spacing w:val="8"/>
          <w:highlight w:val="none"/>
        </w:rPr>
      </w:pPr>
      <w:r>
        <w:rPr>
          <w:rFonts w:hint="eastAsia" w:ascii="宋体" w:hAnsi="宋体" w:eastAsia="宋体" w:cs="宋体"/>
          <w:strike/>
          <w:dstrike w:val="0"/>
          <w:color w:val="auto"/>
          <w:spacing w:val="8"/>
          <w:highlight w:val="none"/>
        </w:rPr>
        <w:t>4.</w:t>
      </w:r>
      <w:r>
        <w:rPr>
          <w:rFonts w:hint="eastAsia" w:ascii="宋体" w:hAnsi="宋体" w:eastAsia="宋体" w:cs="宋体"/>
          <w:strike/>
          <w:dstrike w:val="0"/>
          <w:color w:val="auto"/>
          <w:spacing w:val="-4"/>
          <w:highlight w:val="none"/>
        </w:rPr>
        <w:t>联合体各成员单位内部的</w:t>
      </w:r>
      <w:r>
        <w:rPr>
          <w:rFonts w:hint="eastAsia" w:ascii="宋体" w:hAnsi="宋体" w:eastAsia="宋体" w:cs="宋体"/>
          <w:strike/>
          <w:dstrike w:val="0"/>
          <w:color w:val="auto"/>
          <w:spacing w:val="-3"/>
          <w:highlight w:val="none"/>
        </w:rPr>
        <w:t>职</w:t>
      </w:r>
      <w:r>
        <w:rPr>
          <w:rFonts w:hint="eastAsia" w:ascii="宋体" w:hAnsi="宋体" w:eastAsia="宋体" w:cs="宋体"/>
          <w:strike/>
          <w:dstrike w:val="0"/>
          <w:color w:val="auto"/>
          <w:spacing w:val="-2"/>
          <w:highlight w:val="none"/>
        </w:rPr>
        <w:t>责分工如下：</w:t>
      </w:r>
      <w:r>
        <w:rPr>
          <w:rFonts w:hint="eastAsia" w:ascii="宋体" w:hAnsi="宋体" w:eastAsia="宋体" w:cs="宋体"/>
          <w:strike/>
          <w:dstrike w:val="0"/>
          <w:color w:val="auto"/>
          <w:spacing w:val="-2"/>
          <w:highlight w:val="none"/>
          <w:u w:val="single"/>
        </w:rPr>
        <w:t xml:space="preserve">                </w:t>
      </w:r>
      <w:r>
        <w:rPr>
          <w:rFonts w:hint="eastAsia" w:ascii="宋体" w:hAnsi="宋体" w:eastAsia="宋体" w:cs="宋体"/>
          <w:strike/>
          <w:dstrike w:val="0"/>
          <w:color w:val="auto"/>
          <w:spacing w:val="8"/>
          <w:highlight w:val="none"/>
        </w:rPr>
        <w:t>。</w:t>
      </w:r>
    </w:p>
    <w:p w14:paraId="445E3AB1">
      <w:pPr>
        <w:keepNext w:val="0"/>
        <w:keepLines w:val="0"/>
        <w:pageBreakBefore w:val="0"/>
        <w:widowControl/>
        <w:kinsoku/>
        <w:wordWrap/>
        <w:overflowPunct/>
        <w:topLinePunct w:val="0"/>
        <w:autoSpaceDE w:val="0"/>
        <w:autoSpaceDN w:val="0"/>
        <w:bidi w:val="0"/>
        <w:adjustRightInd/>
        <w:snapToGrid w:val="0"/>
        <w:spacing w:line="360" w:lineRule="auto"/>
        <w:ind w:left="0" w:right="0" w:firstLine="396" w:firstLineChars="200"/>
        <w:jc w:val="both"/>
        <w:textAlignment w:val="auto"/>
        <w:rPr>
          <w:rFonts w:hint="eastAsia" w:ascii="宋体" w:hAnsi="宋体" w:eastAsia="宋体" w:cs="宋体"/>
          <w:strike/>
          <w:dstrike w:val="0"/>
          <w:color w:val="auto"/>
          <w:spacing w:val="-6"/>
          <w:highlight w:val="none"/>
        </w:rPr>
      </w:pPr>
      <w:r>
        <w:rPr>
          <w:rFonts w:hint="eastAsia" w:ascii="宋体" w:hAnsi="宋体" w:eastAsia="宋体" w:cs="宋体"/>
          <w:strike/>
          <w:dstrike w:val="0"/>
          <w:color w:val="auto"/>
          <w:spacing w:val="-6"/>
          <w:highlight w:val="none"/>
        </w:rPr>
        <w:t>5.</w:t>
      </w:r>
      <w:r>
        <w:rPr>
          <w:rFonts w:hint="eastAsia" w:ascii="宋体" w:hAnsi="宋体" w:eastAsia="宋体" w:cs="宋体"/>
          <w:strike/>
          <w:dstrike w:val="0"/>
          <w:color w:val="auto"/>
          <w:spacing w:val="-3"/>
          <w:highlight w:val="none"/>
        </w:rPr>
        <w:t>本协议书自所有成员单位法定代表人或其委托代理人签字或盖单位章之日起生效， 合同</w:t>
      </w:r>
      <w:r>
        <w:rPr>
          <w:rFonts w:hint="eastAsia" w:ascii="宋体" w:hAnsi="宋体" w:eastAsia="宋体" w:cs="宋体"/>
          <w:strike/>
          <w:dstrike w:val="0"/>
          <w:color w:val="auto"/>
          <w:spacing w:val="-6"/>
          <w:highlight w:val="none"/>
        </w:rPr>
        <w:t>履行</w:t>
      </w:r>
      <w:r>
        <w:rPr>
          <w:rFonts w:hint="eastAsia" w:ascii="宋体" w:hAnsi="宋体" w:eastAsia="宋体" w:cs="宋体"/>
          <w:strike/>
          <w:dstrike w:val="0"/>
          <w:color w:val="auto"/>
          <w:spacing w:val="-5"/>
          <w:highlight w:val="none"/>
        </w:rPr>
        <w:t>完</w:t>
      </w:r>
      <w:r>
        <w:rPr>
          <w:rFonts w:hint="eastAsia" w:ascii="宋体" w:hAnsi="宋体" w:eastAsia="宋体" w:cs="宋体"/>
          <w:strike/>
          <w:dstrike w:val="0"/>
          <w:color w:val="auto"/>
          <w:spacing w:val="-3"/>
          <w:highlight w:val="none"/>
        </w:rPr>
        <w:t>毕后自动失效。</w:t>
      </w:r>
    </w:p>
    <w:p w14:paraId="2F944E1D">
      <w:pPr>
        <w:keepNext w:val="0"/>
        <w:keepLines w:val="0"/>
        <w:pageBreakBefore w:val="0"/>
        <w:widowControl/>
        <w:kinsoku/>
        <w:wordWrap/>
        <w:overflowPunct/>
        <w:topLinePunct w:val="0"/>
        <w:autoSpaceDE w:val="0"/>
        <w:autoSpaceDN w:val="0"/>
        <w:bidi w:val="0"/>
        <w:adjustRightInd/>
        <w:snapToGrid w:val="0"/>
        <w:spacing w:line="360" w:lineRule="auto"/>
        <w:ind w:left="0" w:right="0" w:firstLine="396" w:firstLineChars="200"/>
        <w:jc w:val="both"/>
        <w:textAlignment w:val="auto"/>
        <w:rPr>
          <w:rFonts w:hint="eastAsia" w:ascii="宋体" w:hAnsi="宋体" w:eastAsia="宋体" w:cs="宋体"/>
          <w:strike/>
          <w:dstrike w:val="0"/>
          <w:color w:val="auto"/>
          <w:spacing w:val="-6"/>
          <w:highlight w:val="none"/>
        </w:rPr>
      </w:pPr>
      <w:bookmarkStart w:id="481" w:name="_Toc29005"/>
      <w:bookmarkStart w:id="482" w:name="_Toc16142"/>
      <w:bookmarkStart w:id="483" w:name="_Toc14217"/>
      <w:bookmarkStart w:id="484" w:name="_Toc10851"/>
      <w:bookmarkStart w:id="485" w:name="_Toc9934"/>
      <w:bookmarkStart w:id="486" w:name="_Toc21878"/>
      <w:r>
        <w:rPr>
          <w:rFonts w:hint="eastAsia" w:ascii="宋体" w:hAnsi="宋体" w:eastAsia="宋体" w:cs="宋体"/>
          <w:strike/>
          <w:dstrike w:val="0"/>
          <w:color w:val="auto"/>
          <w:spacing w:val="-6"/>
          <w:highlight w:val="none"/>
        </w:rPr>
        <w:t>6.本协议书一式</w:t>
      </w:r>
      <w:r>
        <w:rPr>
          <w:rFonts w:hint="eastAsia" w:ascii="宋体" w:hAnsi="宋体" w:eastAsia="宋体" w:cs="宋体"/>
          <w:strike/>
          <w:dstrike w:val="0"/>
          <w:color w:val="auto"/>
          <w:spacing w:val="-6"/>
          <w:highlight w:val="none"/>
          <w:u w:val="single"/>
        </w:rPr>
        <w:t xml:space="preserve">  叁 </w:t>
      </w:r>
      <w:r>
        <w:rPr>
          <w:rFonts w:hint="eastAsia" w:ascii="宋体" w:hAnsi="宋体" w:eastAsia="宋体" w:cs="宋体"/>
          <w:strike/>
          <w:dstrike w:val="0"/>
          <w:color w:val="auto"/>
          <w:spacing w:val="-6"/>
          <w:highlight w:val="none"/>
        </w:rPr>
        <w:t>份，联合体成员及招标人各执一份。</w:t>
      </w:r>
      <w:bookmarkEnd w:id="481"/>
      <w:bookmarkEnd w:id="482"/>
      <w:bookmarkEnd w:id="483"/>
      <w:bookmarkEnd w:id="484"/>
      <w:bookmarkEnd w:id="485"/>
      <w:bookmarkEnd w:id="486"/>
    </w:p>
    <w:p w14:paraId="28FE8D45">
      <w:pPr>
        <w:keepNext w:val="0"/>
        <w:keepLines w:val="0"/>
        <w:pageBreakBefore w:val="0"/>
        <w:widowControl/>
        <w:wordWrap/>
        <w:overflowPunct/>
        <w:topLinePunct w:val="0"/>
        <w:autoSpaceDE w:val="0"/>
        <w:autoSpaceDN w:val="0"/>
        <w:bidi w:val="0"/>
        <w:adjustRightInd/>
        <w:spacing w:line="360" w:lineRule="auto"/>
        <w:ind w:left="0" w:right="0"/>
        <w:textAlignment w:val="auto"/>
        <w:rPr>
          <w:rFonts w:hint="eastAsia" w:ascii="宋体" w:hAnsi="宋体" w:eastAsia="宋体" w:cs="宋体"/>
          <w:strike/>
          <w:dstrike w:val="0"/>
          <w:color w:val="auto"/>
          <w:highlight w:val="none"/>
        </w:rPr>
      </w:pPr>
    </w:p>
    <w:p w14:paraId="31380AFA">
      <w:pPr>
        <w:keepNext w:val="0"/>
        <w:keepLines w:val="0"/>
        <w:pageBreakBefore w:val="0"/>
        <w:widowControl/>
        <w:wordWrap/>
        <w:overflowPunct/>
        <w:topLinePunct w:val="0"/>
        <w:autoSpaceDE w:val="0"/>
        <w:autoSpaceDN w:val="0"/>
        <w:bidi w:val="0"/>
        <w:adjustRightInd/>
        <w:spacing w:line="360" w:lineRule="auto"/>
        <w:ind w:left="0" w:right="0"/>
        <w:jc w:val="right"/>
        <w:textAlignment w:val="auto"/>
        <w:rPr>
          <w:rFonts w:hint="eastAsia" w:ascii="宋体" w:hAnsi="宋体" w:eastAsia="宋体" w:cs="宋体"/>
          <w:strike/>
          <w:dstrike w:val="0"/>
          <w:color w:val="auto"/>
          <w:highlight w:val="none"/>
        </w:rPr>
      </w:pPr>
      <w:r>
        <w:rPr>
          <w:rFonts w:hint="eastAsia" w:ascii="宋体" w:hAnsi="宋体" w:eastAsia="宋体" w:cs="宋体"/>
          <w:strike/>
          <w:dstrike w:val="0"/>
          <w:color w:val="auto"/>
          <w:spacing w:val="-4"/>
          <w:highlight w:val="none"/>
        </w:rPr>
        <w:t>联合体主办方名称：</w:t>
      </w:r>
      <w:r>
        <w:rPr>
          <w:rFonts w:hint="eastAsia" w:ascii="宋体" w:hAnsi="宋体" w:eastAsia="宋体" w:cs="宋体"/>
          <w:strike/>
          <w:dstrike w:val="0"/>
          <w:color w:val="auto"/>
          <w:spacing w:val="-4"/>
          <w:highlight w:val="none"/>
          <w:u w:val="single"/>
        </w:rPr>
        <w:t xml:space="preserve">        </w:t>
      </w:r>
      <w:r>
        <w:rPr>
          <w:rFonts w:hint="eastAsia" w:ascii="宋体" w:hAnsi="宋体" w:eastAsia="宋体" w:cs="宋体"/>
          <w:strike/>
          <w:dstrike w:val="0"/>
          <w:color w:val="auto"/>
          <w:spacing w:val="-2"/>
          <w:highlight w:val="none"/>
          <w:u w:val="single"/>
        </w:rPr>
        <w:t xml:space="preserve">                     </w:t>
      </w:r>
      <w:r>
        <w:rPr>
          <w:rFonts w:hint="eastAsia" w:ascii="宋体" w:hAnsi="宋体" w:eastAsia="宋体" w:cs="宋体"/>
          <w:strike/>
          <w:dstrike w:val="0"/>
          <w:color w:val="auto"/>
          <w:spacing w:val="-2"/>
          <w:highlight w:val="none"/>
        </w:rPr>
        <w:t>(盖单位章)</w:t>
      </w:r>
      <w:r>
        <w:rPr>
          <w:rFonts w:hint="eastAsia" w:ascii="宋体" w:hAnsi="宋体" w:eastAsia="宋体" w:cs="宋体"/>
          <w:strike/>
          <w:dstrike w:val="0"/>
          <w:color w:val="auto"/>
          <w:highlight w:val="none"/>
        </w:rPr>
        <w:t xml:space="preserve"> </w:t>
      </w:r>
    </w:p>
    <w:p w14:paraId="70C52CCB">
      <w:pPr>
        <w:keepNext w:val="0"/>
        <w:keepLines w:val="0"/>
        <w:pageBreakBefore w:val="0"/>
        <w:widowControl/>
        <w:wordWrap/>
        <w:overflowPunct/>
        <w:topLinePunct w:val="0"/>
        <w:autoSpaceDE w:val="0"/>
        <w:autoSpaceDN w:val="0"/>
        <w:bidi w:val="0"/>
        <w:adjustRightInd/>
        <w:spacing w:line="360" w:lineRule="auto"/>
        <w:ind w:left="0" w:right="0"/>
        <w:jc w:val="right"/>
        <w:textAlignment w:val="auto"/>
        <w:rPr>
          <w:rFonts w:hint="eastAsia" w:ascii="宋体" w:hAnsi="宋体" w:eastAsia="宋体" w:cs="宋体"/>
          <w:strike/>
          <w:dstrike w:val="0"/>
          <w:color w:val="auto"/>
          <w:spacing w:val="-4"/>
          <w:highlight w:val="none"/>
        </w:rPr>
      </w:pPr>
      <w:r>
        <w:rPr>
          <w:rFonts w:hint="eastAsia" w:ascii="宋体" w:hAnsi="宋体" w:eastAsia="宋体" w:cs="宋体"/>
          <w:strike/>
          <w:dstrike w:val="0"/>
          <w:color w:val="auto"/>
          <w:spacing w:val="-4"/>
          <w:highlight w:val="none"/>
        </w:rPr>
        <w:t>法定代表人：</w:t>
      </w:r>
      <w:r>
        <w:rPr>
          <w:rFonts w:hint="eastAsia" w:ascii="宋体" w:hAnsi="宋体" w:eastAsia="宋体" w:cs="宋体"/>
          <w:strike/>
          <w:dstrike w:val="0"/>
          <w:color w:val="auto"/>
          <w:spacing w:val="-4"/>
          <w:highlight w:val="none"/>
          <w:u w:val="single"/>
        </w:rPr>
        <w:t xml:space="preserve">                 </w:t>
      </w:r>
      <w:r>
        <w:rPr>
          <w:rFonts w:hint="eastAsia" w:ascii="宋体" w:hAnsi="宋体" w:eastAsia="宋体" w:cs="宋体"/>
          <w:strike/>
          <w:dstrike w:val="0"/>
          <w:color w:val="auto"/>
          <w:spacing w:val="-4"/>
          <w:highlight w:val="none"/>
        </w:rPr>
        <w:t>(签字或盖章</w:t>
      </w:r>
      <w:r>
        <w:rPr>
          <w:rFonts w:hint="eastAsia" w:ascii="宋体" w:hAnsi="宋体" w:eastAsia="宋体" w:cs="宋体"/>
          <w:strike/>
          <w:dstrike w:val="0"/>
          <w:color w:val="auto"/>
          <w:spacing w:val="-1"/>
          <w:highlight w:val="none"/>
        </w:rPr>
        <w:t>)</w:t>
      </w:r>
    </w:p>
    <w:p w14:paraId="76FFB8FA">
      <w:pPr>
        <w:keepNext w:val="0"/>
        <w:keepLines w:val="0"/>
        <w:pageBreakBefore w:val="0"/>
        <w:widowControl/>
        <w:wordWrap/>
        <w:overflowPunct/>
        <w:topLinePunct w:val="0"/>
        <w:autoSpaceDE w:val="0"/>
        <w:autoSpaceDN w:val="0"/>
        <w:bidi w:val="0"/>
        <w:adjustRightInd/>
        <w:spacing w:line="360" w:lineRule="auto"/>
        <w:ind w:left="0" w:right="0"/>
        <w:jc w:val="right"/>
        <w:textAlignment w:val="auto"/>
        <w:rPr>
          <w:rFonts w:hint="eastAsia" w:ascii="宋体" w:hAnsi="宋体" w:eastAsia="宋体" w:cs="宋体"/>
          <w:strike/>
          <w:dstrike w:val="0"/>
          <w:color w:val="auto"/>
          <w:highlight w:val="none"/>
        </w:rPr>
      </w:pPr>
    </w:p>
    <w:p w14:paraId="769D9793">
      <w:pPr>
        <w:keepNext w:val="0"/>
        <w:keepLines w:val="0"/>
        <w:pageBreakBefore w:val="0"/>
        <w:widowControl/>
        <w:wordWrap/>
        <w:overflowPunct/>
        <w:topLinePunct w:val="0"/>
        <w:autoSpaceDE w:val="0"/>
        <w:autoSpaceDN w:val="0"/>
        <w:bidi w:val="0"/>
        <w:adjustRightInd/>
        <w:spacing w:line="360" w:lineRule="auto"/>
        <w:ind w:left="0" w:right="0"/>
        <w:jc w:val="right"/>
        <w:textAlignment w:val="auto"/>
        <w:rPr>
          <w:rFonts w:hint="eastAsia" w:ascii="宋体" w:hAnsi="宋体" w:eastAsia="宋体" w:cs="宋体"/>
          <w:strike/>
          <w:dstrike w:val="0"/>
          <w:color w:val="auto"/>
          <w:highlight w:val="none"/>
        </w:rPr>
      </w:pPr>
      <w:r>
        <w:rPr>
          <w:rFonts w:hint="eastAsia" w:ascii="宋体" w:hAnsi="宋体" w:eastAsia="宋体" w:cs="宋体"/>
          <w:strike/>
          <w:dstrike w:val="0"/>
          <w:color w:val="auto"/>
          <w:spacing w:val="-4"/>
          <w:highlight w:val="none"/>
        </w:rPr>
        <w:t>联合体成员名称：</w:t>
      </w:r>
      <w:r>
        <w:rPr>
          <w:rFonts w:hint="eastAsia" w:ascii="宋体" w:hAnsi="宋体" w:eastAsia="宋体" w:cs="宋体"/>
          <w:strike/>
          <w:dstrike w:val="0"/>
          <w:color w:val="auto"/>
          <w:spacing w:val="-4"/>
          <w:highlight w:val="none"/>
          <w:u w:val="single"/>
        </w:rPr>
        <w:t xml:space="preserve">        </w:t>
      </w:r>
      <w:r>
        <w:rPr>
          <w:rFonts w:hint="eastAsia" w:ascii="宋体" w:hAnsi="宋体" w:eastAsia="宋体" w:cs="宋体"/>
          <w:strike/>
          <w:dstrike w:val="0"/>
          <w:color w:val="auto"/>
          <w:spacing w:val="-2"/>
          <w:highlight w:val="none"/>
          <w:u w:val="single"/>
        </w:rPr>
        <w:t xml:space="preserve">                       </w:t>
      </w:r>
      <w:r>
        <w:rPr>
          <w:rFonts w:hint="eastAsia" w:ascii="宋体" w:hAnsi="宋体" w:eastAsia="宋体" w:cs="宋体"/>
          <w:strike/>
          <w:dstrike w:val="0"/>
          <w:color w:val="auto"/>
          <w:spacing w:val="-2"/>
          <w:highlight w:val="none"/>
        </w:rPr>
        <w:t>(盖单位章)</w:t>
      </w:r>
      <w:r>
        <w:rPr>
          <w:rFonts w:hint="eastAsia" w:ascii="宋体" w:hAnsi="宋体" w:eastAsia="宋体" w:cs="宋体"/>
          <w:strike/>
          <w:dstrike w:val="0"/>
          <w:color w:val="auto"/>
          <w:highlight w:val="none"/>
        </w:rPr>
        <w:t xml:space="preserve"> </w:t>
      </w:r>
    </w:p>
    <w:p w14:paraId="4AAAF534">
      <w:pPr>
        <w:keepNext w:val="0"/>
        <w:keepLines w:val="0"/>
        <w:pageBreakBefore w:val="0"/>
        <w:widowControl/>
        <w:wordWrap/>
        <w:overflowPunct/>
        <w:topLinePunct w:val="0"/>
        <w:autoSpaceDE w:val="0"/>
        <w:autoSpaceDN w:val="0"/>
        <w:bidi w:val="0"/>
        <w:adjustRightInd/>
        <w:spacing w:line="360" w:lineRule="auto"/>
        <w:ind w:left="0" w:right="0"/>
        <w:jc w:val="right"/>
        <w:textAlignment w:val="auto"/>
        <w:rPr>
          <w:rFonts w:hint="eastAsia" w:ascii="宋体" w:hAnsi="宋体" w:eastAsia="宋体" w:cs="宋体"/>
          <w:strike/>
          <w:dstrike w:val="0"/>
          <w:color w:val="auto"/>
          <w:spacing w:val="-4"/>
          <w:highlight w:val="none"/>
        </w:rPr>
      </w:pPr>
      <w:r>
        <w:rPr>
          <w:rFonts w:hint="eastAsia" w:ascii="宋体" w:hAnsi="宋体" w:eastAsia="宋体" w:cs="宋体"/>
          <w:strike/>
          <w:dstrike w:val="0"/>
          <w:color w:val="auto"/>
          <w:spacing w:val="-8"/>
          <w:highlight w:val="none"/>
        </w:rPr>
        <w:t>法定</w:t>
      </w:r>
      <w:r>
        <w:rPr>
          <w:rFonts w:hint="eastAsia" w:ascii="宋体" w:hAnsi="宋体" w:eastAsia="宋体" w:cs="宋体"/>
          <w:strike/>
          <w:dstrike w:val="0"/>
          <w:color w:val="auto"/>
          <w:spacing w:val="-7"/>
          <w:highlight w:val="none"/>
        </w:rPr>
        <w:t>代</w:t>
      </w:r>
      <w:r>
        <w:rPr>
          <w:rFonts w:hint="eastAsia" w:ascii="宋体" w:hAnsi="宋体" w:eastAsia="宋体" w:cs="宋体"/>
          <w:strike/>
          <w:dstrike w:val="0"/>
          <w:color w:val="auto"/>
          <w:spacing w:val="-4"/>
          <w:highlight w:val="none"/>
        </w:rPr>
        <w:t>表人：</w:t>
      </w:r>
      <w:r>
        <w:rPr>
          <w:rFonts w:hint="eastAsia" w:ascii="宋体" w:hAnsi="宋体" w:eastAsia="宋体" w:cs="宋体"/>
          <w:strike/>
          <w:dstrike w:val="0"/>
          <w:color w:val="auto"/>
          <w:spacing w:val="-4"/>
          <w:highlight w:val="none"/>
          <w:u w:val="single"/>
        </w:rPr>
        <w:t xml:space="preserve">           </w:t>
      </w:r>
      <w:r>
        <w:rPr>
          <w:rFonts w:hint="eastAsia" w:ascii="宋体" w:hAnsi="宋体" w:eastAsia="宋体" w:cs="宋体"/>
          <w:strike/>
          <w:dstrike w:val="0"/>
          <w:color w:val="auto"/>
          <w:spacing w:val="-4"/>
          <w:highlight w:val="none"/>
        </w:rPr>
        <w:t>(签字或盖章)</w:t>
      </w:r>
    </w:p>
    <w:p w14:paraId="2512224F">
      <w:pPr>
        <w:keepNext w:val="0"/>
        <w:keepLines w:val="0"/>
        <w:pageBreakBefore w:val="0"/>
        <w:widowControl/>
        <w:wordWrap/>
        <w:overflowPunct/>
        <w:topLinePunct w:val="0"/>
        <w:autoSpaceDE w:val="0"/>
        <w:autoSpaceDN w:val="0"/>
        <w:bidi w:val="0"/>
        <w:adjustRightInd/>
        <w:spacing w:line="360" w:lineRule="auto"/>
        <w:ind w:left="0" w:right="0"/>
        <w:textAlignment w:val="auto"/>
        <w:rPr>
          <w:rFonts w:hint="eastAsia" w:ascii="宋体" w:hAnsi="宋体" w:eastAsia="宋体" w:cs="宋体"/>
          <w:strike/>
          <w:dstrike w:val="0"/>
          <w:color w:val="auto"/>
          <w:highlight w:val="none"/>
        </w:rPr>
      </w:pPr>
    </w:p>
    <w:p w14:paraId="240CB737">
      <w:pPr>
        <w:keepNext w:val="0"/>
        <w:keepLines w:val="0"/>
        <w:pageBreakBefore w:val="0"/>
        <w:widowControl/>
        <w:wordWrap/>
        <w:overflowPunct/>
        <w:topLinePunct w:val="0"/>
        <w:autoSpaceDE w:val="0"/>
        <w:autoSpaceDN w:val="0"/>
        <w:bidi w:val="0"/>
        <w:adjustRightInd/>
        <w:spacing w:line="360" w:lineRule="auto"/>
        <w:ind w:left="0" w:right="0"/>
        <w:textAlignment w:val="auto"/>
        <w:rPr>
          <w:rFonts w:hint="eastAsia" w:ascii="宋体" w:hAnsi="宋体" w:eastAsia="宋体" w:cs="宋体"/>
          <w:strike/>
          <w:dstrike w:val="0"/>
          <w:color w:val="auto"/>
          <w:highlight w:val="none"/>
        </w:rPr>
      </w:pPr>
    </w:p>
    <w:p w14:paraId="39A7C6C1">
      <w:pPr>
        <w:keepNext w:val="0"/>
        <w:keepLines w:val="0"/>
        <w:pageBreakBefore w:val="0"/>
        <w:widowControl/>
        <w:tabs>
          <w:tab w:val="left" w:pos="4407"/>
        </w:tabs>
        <w:wordWrap/>
        <w:overflowPunct/>
        <w:topLinePunct w:val="0"/>
        <w:autoSpaceDE w:val="0"/>
        <w:autoSpaceDN w:val="0"/>
        <w:bidi w:val="0"/>
        <w:adjustRightInd/>
        <w:spacing w:line="360" w:lineRule="auto"/>
        <w:ind w:left="0" w:right="0" w:firstLine="3570" w:firstLineChars="1700"/>
        <w:textAlignment w:val="auto"/>
        <w:rPr>
          <w:rFonts w:hint="eastAsia" w:ascii="宋体" w:hAnsi="宋体" w:eastAsia="宋体" w:cs="宋体"/>
          <w:strike/>
          <w:dstrike w:val="0"/>
          <w:color w:val="auto"/>
          <w:highlight w:val="none"/>
          <w:u w:val="single"/>
        </w:rPr>
      </w:pPr>
      <w:r>
        <w:rPr>
          <w:rFonts w:hint="eastAsia" w:ascii="宋体" w:hAnsi="宋体" w:eastAsia="宋体" w:cs="宋体"/>
          <w:strike/>
          <w:dstrike w:val="0"/>
          <w:color w:val="auto"/>
          <w:highlight w:val="none"/>
          <w:u w:val="single"/>
        </w:rPr>
        <w:tab/>
      </w:r>
      <w:r>
        <w:rPr>
          <w:rFonts w:hint="eastAsia" w:ascii="宋体" w:hAnsi="宋体" w:eastAsia="宋体" w:cs="宋体"/>
          <w:strike/>
          <w:dstrike w:val="0"/>
          <w:color w:val="auto"/>
          <w:spacing w:val="3"/>
          <w:highlight w:val="none"/>
        </w:rPr>
        <w:t>年</w:t>
      </w:r>
      <w:r>
        <w:rPr>
          <w:rFonts w:hint="eastAsia" w:ascii="宋体" w:hAnsi="宋体" w:eastAsia="宋体" w:cs="宋体"/>
          <w:strike/>
          <w:dstrike w:val="0"/>
          <w:color w:val="auto"/>
          <w:spacing w:val="2"/>
          <w:highlight w:val="none"/>
          <w:u w:val="single"/>
        </w:rPr>
        <w:t xml:space="preserve">       </w:t>
      </w:r>
      <w:r>
        <w:rPr>
          <w:rFonts w:hint="eastAsia" w:ascii="宋体" w:hAnsi="宋体" w:eastAsia="宋体" w:cs="宋体"/>
          <w:strike/>
          <w:dstrike w:val="0"/>
          <w:color w:val="auto"/>
          <w:spacing w:val="2"/>
          <w:highlight w:val="none"/>
        </w:rPr>
        <w:t>月</w:t>
      </w:r>
      <w:r>
        <w:rPr>
          <w:rFonts w:hint="eastAsia" w:ascii="宋体" w:hAnsi="宋体" w:eastAsia="宋体" w:cs="宋体"/>
          <w:strike/>
          <w:dstrike w:val="0"/>
          <w:color w:val="auto"/>
          <w:spacing w:val="2"/>
          <w:highlight w:val="none"/>
          <w:u w:val="single"/>
        </w:rPr>
        <w:t xml:space="preserve">       </w:t>
      </w:r>
      <w:r>
        <w:rPr>
          <w:rFonts w:hint="eastAsia" w:ascii="宋体" w:hAnsi="宋体" w:eastAsia="宋体" w:cs="宋体"/>
          <w:strike/>
          <w:dstrike w:val="0"/>
          <w:color w:val="auto"/>
          <w:spacing w:val="2"/>
          <w:highlight w:val="none"/>
        </w:rPr>
        <w:t>日</w:t>
      </w:r>
    </w:p>
    <w:p w14:paraId="3A96ECF2">
      <w:pPr>
        <w:keepNext w:val="0"/>
        <w:keepLines w:val="0"/>
        <w:pageBreakBefore w:val="0"/>
        <w:widowControl/>
        <w:wordWrap/>
        <w:overflowPunct/>
        <w:topLinePunct w:val="0"/>
        <w:autoSpaceDE w:val="0"/>
        <w:autoSpaceDN w:val="0"/>
        <w:bidi w:val="0"/>
        <w:adjustRightInd/>
        <w:spacing w:line="360" w:lineRule="auto"/>
        <w:ind w:left="0" w:right="0"/>
        <w:textAlignment w:val="auto"/>
        <w:rPr>
          <w:rFonts w:hint="eastAsia" w:ascii="宋体" w:hAnsi="宋体" w:eastAsia="宋体" w:cs="宋体"/>
          <w:color w:val="auto"/>
          <w:highlight w:val="none"/>
        </w:rPr>
        <w:sectPr>
          <w:footerReference r:id="rId27" w:type="default"/>
          <w:pgSz w:w="11905" w:h="16838"/>
          <w:pgMar w:top="1344" w:right="1247" w:bottom="1106" w:left="1837" w:header="0" w:footer="680" w:gutter="0"/>
          <w:pgNumType w:fmt="decimal"/>
          <w:cols w:space="0" w:num="1"/>
          <w:rtlGutter w:val="0"/>
          <w:docGrid w:type="linesAndChars" w:linePitch="312" w:charSpace="0"/>
        </w:sectPr>
      </w:pPr>
    </w:p>
    <w:p w14:paraId="65383A80">
      <w:pPr>
        <w:spacing w:line="245" w:lineRule="auto"/>
        <w:rPr>
          <w:rFonts w:hint="eastAsia" w:ascii="宋体" w:hAnsi="宋体" w:eastAsia="宋体" w:cs="宋体"/>
          <w:color w:val="auto"/>
          <w:highlight w:val="none"/>
        </w:rPr>
      </w:pPr>
    </w:p>
    <w:p w14:paraId="231226AF">
      <w:pPr>
        <w:keepNext w:val="0"/>
        <w:keepLines w:val="0"/>
        <w:pageBreakBefore w:val="0"/>
        <w:widowControl/>
        <w:kinsoku w:val="0"/>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strike/>
          <w:dstrike w:val="0"/>
          <w:sz w:val="28"/>
          <w:szCs w:val="28"/>
          <w:lang w:val="en-US" w:eastAsia="zh-CN"/>
        </w:rPr>
      </w:pPr>
      <w:bookmarkStart w:id="487" w:name="_Toc28678"/>
      <w:bookmarkStart w:id="488" w:name="_Toc8141"/>
      <w:bookmarkStart w:id="489" w:name="_Toc14508"/>
      <w:bookmarkStart w:id="490" w:name="_Toc24451"/>
      <w:bookmarkStart w:id="491" w:name="_Toc18191"/>
      <w:r>
        <w:rPr>
          <w:rFonts w:hint="eastAsia" w:ascii="宋体" w:hAnsi="宋体" w:eastAsia="宋体" w:cs="宋体"/>
          <w:b/>
          <w:bCs/>
          <w:strike/>
          <w:dstrike w:val="0"/>
          <w:sz w:val="28"/>
          <w:szCs w:val="28"/>
          <w:lang w:val="en-US" w:eastAsia="zh-CN"/>
        </w:rPr>
        <w:t>四、投标保证金</w:t>
      </w:r>
      <w:bookmarkEnd w:id="487"/>
      <w:bookmarkEnd w:id="488"/>
      <w:bookmarkEnd w:id="489"/>
      <w:bookmarkEnd w:id="490"/>
      <w:bookmarkEnd w:id="491"/>
    </w:p>
    <w:p w14:paraId="2955F3A2">
      <w:pPr>
        <w:spacing w:line="319" w:lineRule="auto"/>
        <w:rPr>
          <w:rFonts w:hint="eastAsia" w:ascii="宋体" w:hAnsi="宋体" w:eastAsia="宋体" w:cs="宋体"/>
          <w:color w:val="auto"/>
          <w:highlight w:val="none"/>
        </w:rPr>
      </w:pPr>
    </w:p>
    <w:p w14:paraId="2C08E367">
      <w:pPr>
        <w:spacing w:line="320" w:lineRule="auto"/>
        <w:rPr>
          <w:rFonts w:hint="eastAsia" w:ascii="宋体" w:hAnsi="宋体" w:eastAsia="宋体" w:cs="宋体"/>
          <w:color w:val="auto"/>
          <w:highlight w:val="none"/>
        </w:rPr>
      </w:pPr>
    </w:p>
    <w:p w14:paraId="27868B15">
      <w:pPr>
        <w:spacing w:line="360" w:lineRule="auto"/>
        <w:ind w:left="415" w:leftChars="198" w:firstLine="3"/>
        <w:rPr>
          <w:rFonts w:hint="eastAsia" w:ascii="宋体" w:hAnsi="宋体" w:eastAsia="宋体" w:cs="宋体"/>
          <w:color w:val="auto"/>
          <w:highlight w:val="none"/>
          <w:u w:val="single"/>
          <w:lang w:bidi="ar"/>
        </w:rPr>
      </w:pPr>
    </w:p>
    <w:p w14:paraId="151476D5">
      <w:pPr>
        <w:spacing w:line="360" w:lineRule="auto"/>
        <w:rPr>
          <w:rFonts w:hint="eastAsia" w:ascii="宋体" w:hAnsi="宋体" w:eastAsia="宋体" w:cs="宋体"/>
          <w:color w:val="auto"/>
          <w:highlight w:val="none"/>
          <w:u w:val="single"/>
          <w:lang w:bidi="ar"/>
        </w:rPr>
        <w:sectPr>
          <w:footerReference r:id="rId28" w:type="default"/>
          <w:pgSz w:w="11905" w:h="16838"/>
          <w:pgMar w:top="1344" w:right="1247" w:bottom="1106" w:left="1837" w:header="0" w:footer="680" w:gutter="0"/>
          <w:pgNumType w:fmt="decimal"/>
          <w:cols w:space="0" w:num="1"/>
          <w:rtlGutter w:val="0"/>
          <w:docGrid w:type="linesAndChars" w:linePitch="312" w:charSpace="0"/>
        </w:sectPr>
      </w:pPr>
    </w:p>
    <w:p w14:paraId="414966FF">
      <w:pPr>
        <w:spacing w:line="245" w:lineRule="auto"/>
        <w:rPr>
          <w:rFonts w:hint="eastAsia" w:ascii="宋体" w:hAnsi="宋体" w:eastAsia="宋体" w:cs="宋体"/>
          <w:color w:val="auto"/>
          <w:highlight w:val="none"/>
        </w:rPr>
      </w:pPr>
    </w:p>
    <w:p w14:paraId="2434FA05">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kern w:val="2"/>
          <w:lang w:val="en-US" w:eastAsia="zh-CN"/>
        </w:rPr>
      </w:pPr>
      <w:bookmarkStart w:id="492" w:name="_Toc13037"/>
      <w:bookmarkStart w:id="493" w:name="_Toc18526"/>
      <w:bookmarkStart w:id="494" w:name="_Toc10176"/>
      <w:bookmarkStart w:id="495" w:name="_Toc7200"/>
      <w:bookmarkStart w:id="496" w:name="_Toc26070"/>
      <w:bookmarkStart w:id="497" w:name="_Toc30528"/>
      <w:r>
        <w:rPr>
          <w:rFonts w:hint="eastAsia" w:ascii="宋体" w:hAnsi="宋体" w:eastAsia="宋体" w:cs="宋体"/>
          <w:kern w:val="2"/>
          <w:lang w:val="en-US" w:eastAsia="zh-CN"/>
        </w:rPr>
        <w:t>三、投标报价表</w:t>
      </w:r>
      <w:bookmarkEnd w:id="492"/>
      <w:bookmarkEnd w:id="493"/>
      <w:bookmarkEnd w:id="494"/>
      <w:bookmarkEnd w:id="495"/>
      <w:bookmarkEnd w:id="496"/>
      <w:bookmarkEnd w:id="497"/>
    </w:p>
    <w:p w14:paraId="18992C28">
      <w:pPr>
        <w:bidi w:val="0"/>
        <w:rPr>
          <w:rFonts w:hint="eastAsia" w:ascii="宋体" w:hAnsi="宋体" w:eastAsia="宋体" w:cs="宋体"/>
          <w:color w:val="auto"/>
          <w:highlight w:val="none"/>
        </w:rPr>
      </w:pPr>
    </w:p>
    <w:p w14:paraId="12182DBE">
      <w:pPr>
        <w:spacing w:before="68" w:line="352" w:lineRule="auto"/>
        <w:ind w:right="72"/>
        <w:jc w:val="center"/>
        <w:rPr>
          <w:rFonts w:hint="eastAsia" w:ascii="宋体" w:hAnsi="宋体" w:eastAsia="宋体" w:cs="宋体"/>
          <w:b/>
          <w:bCs/>
          <w:color w:val="auto"/>
          <w:spacing w:val="-2"/>
          <w:sz w:val="28"/>
          <w:szCs w:val="28"/>
          <w:highlight w:val="none"/>
        </w:rPr>
      </w:pPr>
      <w:r>
        <w:rPr>
          <w:rFonts w:hint="eastAsia" w:ascii="宋体" w:hAnsi="宋体" w:eastAsia="宋体" w:cs="宋体"/>
          <w:b/>
          <w:bCs/>
          <w:color w:val="auto"/>
          <w:spacing w:val="-2"/>
          <w:sz w:val="28"/>
          <w:szCs w:val="28"/>
          <w:highlight w:val="none"/>
          <w:lang w:eastAsia="zh-CN"/>
        </w:rPr>
        <w:t>投标</w:t>
      </w:r>
      <w:r>
        <w:rPr>
          <w:rFonts w:hint="eastAsia" w:ascii="宋体" w:hAnsi="宋体" w:eastAsia="宋体" w:cs="宋体"/>
          <w:b/>
          <w:bCs/>
          <w:color w:val="auto"/>
          <w:spacing w:val="-2"/>
          <w:sz w:val="28"/>
          <w:szCs w:val="28"/>
          <w:highlight w:val="none"/>
        </w:rPr>
        <w:t>报价表</w:t>
      </w:r>
    </w:p>
    <w:p w14:paraId="1FF54091">
      <w:pPr>
        <w:keepNext w:val="0"/>
        <w:keepLines w:val="0"/>
        <w:pageBreakBefore w:val="0"/>
        <w:widowControl/>
        <w:kinsoku w:val="0"/>
        <w:wordWrap/>
        <w:overflowPunct/>
        <w:topLinePunct w:val="0"/>
        <w:autoSpaceDE w:val="0"/>
        <w:autoSpaceDN w:val="0"/>
        <w:bidi w:val="0"/>
        <w:adjustRightInd/>
        <w:snapToGrid w:val="0"/>
        <w:spacing w:before="68" w:line="353" w:lineRule="auto"/>
        <w:ind w:right="74"/>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 xml:space="preserve">                       </w:t>
      </w:r>
    </w:p>
    <w:tbl>
      <w:tblPr>
        <w:tblStyle w:val="28"/>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236"/>
        <w:gridCol w:w="1773"/>
        <w:gridCol w:w="1295"/>
        <w:gridCol w:w="1746"/>
        <w:gridCol w:w="975"/>
      </w:tblGrid>
      <w:tr w14:paraId="00E6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59" w:type="dxa"/>
            <w:vAlign w:val="center"/>
          </w:tcPr>
          <w:p w14:paraId="35722178">
            <w:pPr>
              <w:keepNext w:val="0"/>
              <w:keepLines w:val="0"/>
              <w:pageBreakBefore w:val="0"/>
              <w:widowControl/>
              <w:kinsoku w:val="0"/>
              <w:wordWrap/>
              <w:overflowPunct/>
              <w:topLinePunct w:val="0"/>
              <w:autoSpaceDE w:val="0"/>
              <w:autoSpaceDN w:val="0"/>
              <w:bidi w:val="0"/>
              <w:adjustRightInd/>
              <w:snapToGrid w:val="0"/>
              <w:spacing w:before="68" w:line="353" w:lineRule="auto"/>
              <w:ind w:right="74"/>
              <w:jc w:val="center"/>
              <w:textAlignment w:val="auto"/>
              <w:rPr>
                <w:rFonts w:hint="eastAsia" w:ascii="宋体" w:hAnsi="宋体" w:eastAsia="宋体" w:cs="宋体"/>
                <w:color w:val="auto"/>
                <w:highlight w:val="none"/>
                <w:vertAlign w:val="baseline"/>
              </w:rPr>
            </w:pPr>
            <w:r>
              <w:rPr>
                <w:rFonts w:hint="eastAsia" w:ascii="宋体" w:hAnsi="宋体" w:eastAsia="宋体" w:cs="宋体"/>
                <w:color w:val="auto"/>
                <w:highlight w:val="none"/>
              </w:rPr>
              <w:t>序号</w:t>
            </w:r>
          </w:p>
        </w:tc>
        <w:tc>
          <w:tcPr>
            <w:tcW w:w="2236" w:type="dxa"/>
            <w:vAlign w:val="center"/>
          </w:tcPr>
          <w:p w14:paraId="03F873F7">
            <w:pPr>
              <w:widowControl w:val="0"/>
              <w:jc w:val="center"/>
              <w:rPr>
                <w:rFonts w:hint="eastAsia" w:ascii="宋体" w:hAnsi="宋体" w:eastAsia="宋体" w:cs="宋体"/>
                <w:color w:val="auto"/>
                <w:highlight w:val="none"/>
                <w:vertAlign w:val="baseline"/>
              </w:rPr>
            </w:pPr>
            <w:r>
              <w:rPr>
                <w:rFonts w:hint="eastAsia" w:ascii="宋体" w:hAnsi="宋体" w:eastAsia="宋体" w:cs="宋体"/>
                <w:color w:val="auto"/>
                <w:highlight w:val="none"/>
              </w:rPr>
              <w:t>项目费用名称</w:t>
            </w:r>
          </w:p>
        </w:tc>
        <w:tc>
          <w:tcPr>
            <w:tcW w:w="1773" w:type="dxa"/>
            <w:vAlign w:val="center"/>
          </w:tcPr>
          <w:p w14:paraId="145F202E">
            <w:pPr>
              <w:widowControl w:val="0"/>
              <w:jc w:val="center"/>
              <w:rPr>
                <w:rFonts w:hint="eastAsia" w:ascii="宋体" w:hAnsi="宋体" w:eastAsia="宋体" w:cs="宋体"/>
                <w:color w:val="auto"/>
                <w:highlight w:val="none"/>
                <w:vertAlign w:val="baseline"/>
              </w:rPr>
            </w:pPr>
            <w:r>
              <w:rPr>
                <w:rFonts w:hint="eastAsia" w:ascii="宋体" w:hAnsi="宋体" w:eastAsia="宋体" w:cs="宋体"/>
                <w:color w:val="auto"/>
                <w:highlight w:val="none"/>
                <w:lang w:eastAsia="zh-CN"/>
              </w:rPr>
              <w:t>投标限价</w:t>
            </w:r>
            <w:r>
              <w:rPr>
                <w:rFonts w:hint="eastAsia" w:ascii="宋体" w:hAnsi="宋体" w:eastAsia="宋体" w:cs="宋体"/>
                <w:color w:val="auto"/>
                <w:highlight w:val="none"/>
              </w:rPr>
              <w:t>（元）</w:t>
            </w:r>
          </w:p>
        </w:tc>
        <w:tc>
          <w:tcPr>
            <w:tcW w:w="1295" w:type="dxa"/>
            <w:vAlign w:val="center"/>
          </w:tcPr>
          <w:p w14:paraId="5F8B21DF">
            <w:pPr>
              <w:widowControl w:val="0"/>
              <w:jc w:val="center"/>
              <w:rPr>
                <w:rFonts w:hint="eastAsia" w:ascii="宋体" w:hAnsi="宋体" w:eastAsia="宋体" w:cs="宋体"/>
                <w:color w:val="auto"/>
                <w:highlight w:val="none"/>
                <w:vertAlign w:val="baseline"/>
              </w:rPr>
            </w:pPr>
            <w:r>
              <w:rPr>
                <w:rFonts w:hint="eastAsia" w:ascii="宋体" w:hAnsi="宋体" w:eastAsia="宋体" w:cs="宋体"/>
                <w:color w:val="auto"/>
                <w:highlight w:val="none"/>
              </w:rPr>
              <w:t>投标下浮率</w:t>
            </w:r>
          </w:p>
        </w:tc>
        <w:tc>
          <w:tcPr>
            <w:tcW w:w="1746" w:type="dxa"/>
            <w:vAlign w:val="center"/>
          </w:tcPr>
          <w:p w14:paraId="0763859D">
            <w:pPr>
              <w:widowControl w:val="0"/>
              <w:jc w:val="center"/>
              <w:rPr>
                <w:rFonts w:hint="eastAsia" w:ascii="宋体" w:hAnsi="宋体" w:eastAsia="宋体" w:cs="宋体"/>
                <w:color w:val="auto"/>
                <w:highlight w:val="none"/>
              </w:rPr>
            </w:pPr>
            <w:r>
              <w:rPr>
                <w:rFonts w:hint="eastAsia" w:ascii="宋体" w:hAnsi="宋体" w:eastAsia="宋体" w:cs="宋体"/>
                <w:color w:val="auto"/>
                <w:highlight w:val="none"/>
              </w:rPr>
              <w:t>投标报价（元）</w:t>
            </w:r>
          </w:p>
          <w:p w14:paraId="52FD70C7">
            <w:pPr>
              <w:widowControl w:val="0"/>
              <w:jc w:val="center"/>
              <w:rPr>
                <w:rFonts w:hint="eastAsia" w:ascii="宋体" w:hAnsi="宋体" w:eastAsia="宋体" w:cs="宋体"/>
                <w:color w:val="auto"/>
                <w:highlight w:val="none"/>
                <w:vertAlign w:val="baseline"/>
              </w:rPr>
            </w:pPr>
            <w:r>
              <w:rPr>
                <w:rFonts w:hint="eastAsia" w:ascii="宋体" w:hAnsi="宋体" w:eastAsia="宋体" w:cs="宋体"/>
                <w:color w:val="auto"/>
                <w:highlight w:val="none"/>
              </w:rPr>
              <w:t>（下浮后费用）</w:t>
            </w:r>
          </w:p>
        </w:tc>
        <w:tc>
          <w:tcPr>
            <w:tcW w:w="975" w:type="dxa"/>
            <w:vAlign w:val="center"/>
          </w:tcPr>
          <w:p w14:paraId="3E3D8C0F">
            <w:pPr>
              <w:widowControl w:val="0"/>
              <w:jc w:val="center"/>
              <w:rPr>
                <w:rFonts w:hint="eastAsia" w:ascii="宋体" w:hAnsi="宋体" w:eastAsia="宋体" w:cs="宋体"/>
                <w:color w:val="auto"/>
                <w:highlight w:val="none"/>
                <w:vertAlign w:val="baseline"/>
              </w:rPr>
            </w:pPr>
            <w:r>
              <w:rPr>
                <w:rFonts w:hint="eastAsia" w:ascii="宋体" w:hAnsi="宋体" w:eastAsia="宋体" w:cs="宋体"/>
                <w:color w:val="auto"/>
                <w:highlight w:val="none"/>
              </w:rPr>
              <w:t>备注</w:t>
            </w:r>
          </w:p>
        </w:tc>
      </w:tr>
      <w:tr w14:paraId="490E5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759" w:type="dxa"/>
            <w:shd w:val="clear" w:color="auto" w:fill="auto"/>
            <w:vAlign w:val="center"/>
          </w:tcPr>
          <w:p w14:paraId="633B09FE">
            <w:pPr>
              <w:widowControl w:val="0"/>
              <w:jc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highlight w:val="none"/>
              </w:rPr>
              <w:t>1</w:t>
            </w:r>
          </w:p>
        </w:tc>
        <w:tc>
          <w:tcPr>
            <w:tcW w:w="2236" w:type="dxa"/>
            <w:shd w:val="clear" w:color="auto" w:fill="auto"/>
            <w:vAlign w:val="center"/>
          </w:tcPr>
          <w:p w14:paraId="4FD9191B">
            <w:pPr>
              <w:widowControl w:val="0"/>
              <w:jc w:val="center"/>
              <w:rPr>
                <w:rFonts w:hint="eastAsia" w:ascii="宋体" w:hAnsi="宋体" w:eastAsia="宋体" w:cs="宋体"/>
                <w:color w:val="auto"/>
                <w:sz w:val="21"/>
                <w:szCs w:val="21"/>
                <w:highlight w:val="none"/>
                <w:lang w:val="en-US" w:eastAsia="zh-CN" w:bidi="ar-SA"/>
              </w:rPr>
            </w:pPr>
          </w:p>
        </w:tc>
        <w:tc>
          <w:tcPr>
            <w:tcW w:w="1773" w:type="dxa"/>
            <w:shd w:val="clear" w:color="auto" w:fill="auto"/>
            <w:vAlign w:val="center"/>
          </w:tcPr>
          <w:p w14:paraId="55C5DE3F">
            <w:pPr>
              <w:widowControl w:val="0"/>
              <w:jc w:val="center"/>
              <w:rPr>
                <w:rFonts w:hint="eastAsia" w:ascii="宋体" w:hAnsi="宋体" w:eastAsia="宋体" w:cs="宋体"/>
                <w:bCs/>
                <w:color w:val="auto"/>
                <w:sz w:val="21"/>
                <w:szCs w:val="21"/>
                <w:highlight w:val="none"/>
                <w:u w:val="none"/>
                <w:lang w:val="en-US" w:eastAsia="zh-CN" w:bidi="ar-SA"/>
              </w:rPr>
            </w:pPr>
            <w:r>
              <w:rPr>
                <w:rFonts w:hint="eastAsia" w:ascii="宋体" w:hAnsi="宋体" w:eastAsia="宋体" w:cs="宋体"/>
                <w:color w:val="auto"/>
                <w:highlight w:val="none"/>
                <w:u w:val="none"/>
                <w:lang w:val="en-US" w:eastAsia="zh-CN"/>
              </w:rPr>
              <w:t>4218315.33</w:t>
            </w:r>
          </w:p>
        </w:tc>
        <w:tc>
          <w:tcPr>
            <w:tcW w:w="1295" w:type="dxa"/>
            <w:vAlign w:val="center"/>
          </w:tcPr>
          <w:p w14:paraId="1DED6EC1">
            <w:pPr>
              <w:keepNext w:val="0"/>
              <w:keepLines w:val="0"/>
              <w:pageBreakBefore w:val="0"/>
              <w:widowControl/>
              <w:kinsoku w:val="0"/>
              <w:wordWrap/>
              <w:overflowPunct/>
              <w:topLinePunct w:val="0"/>
              <w:autoSpaceDE w:val="0"/>
              <w:autoSpaceDN w:val="0"/>
              <w:bidi w:val="0"/>
              <w:adjustRightInd/>
              <w:snapToGrid w:val="0"/>
              <w:spacing w:before="68" w:line="353" w:lineRule="auto"/>
              <w:ind w:right="74"/>
              <w:jc w:val="center"/>
              <w:textAlignment w:val="auto"/>
              <w:rPr>
                <w:rFonts w:hint="eastAsia" w:ascii="宋体" w:hAnsi="宋体" w:eastAsia="宋体" w:cs="宋体"/>
                <w:color w:val="auto"/>
                <w:highlight w:val="none"/>
                <w:vertAlign w:val="baseline"/>
              </w:rPr>
            </w:pPr>
          </w:p>
        </w:tc>
        <w:tc>
          <w:tcPr>
            <w:tcW w:w="1746" w:type="dxa"/>
            <w:vAlign w:val="center"/>
          </w:tcPr>
          <w:p w14:paraId="5A6D291B">
            <w:pPr>
              <w:keepNext w:val="0"/>
              <w:keepLines w:val="0"/>
              <w:pageBreakBefore w:val="0"/>
              <w:widowControl/>
              <w:kinsoku w:val="0"/>
              <w:wordWrap/>
              <w:overflowPunct/>
              <w:topLinePunct w:val="0"/>
              <w:autoSpaceDE w:val="0"/>
              <w:autoSpaceDN w:val="0"/>
              <w:bidi w:val="0"/>
              <w:adjustRightInd/>
              <w:snapToGrid w:val="0"/>
              <w:spacing w:before="68" w:line="353" w:lineRule="auto"/>
              <w:ind w:right="74"/>
              <w:jc w:val="center"/>
              <w:textAlignment w:val="auto"/>
              <w:rPr>
                <w:rFonts w:hint="eastAsia" w:ascii="宋体" w:hAnsi="宋体" w:eastAsia="宋体" w:cs="宋体"/>
                <w:color w:val="auto"/>
                <w:highlight w:val="none"/>
                <w:vertAlign w:val="baseline"/>
              </w:rPr>
            </w:pPr>
          </w:p>
        </w:tc>
        <w:tc>
          <w:tcPr>
            <w:tcW w:w="975" w:type="dxa"/>
            <w:vAlign w:val="center"/>
          </w:tcPr>
          <w:p w14:paraId="096C3198">
            <w:pPr>
              <w:keepNext w:val="0"/>
              <w:keepLines w:val="0"/>
              <w:pageBreakBefore w:val="0"/>
              <w:widowControl/>
              <w:kinsoku w:val="0"/>
              <w:wordWrap/>
              <w:overflowPunct/>
              <w:topLinePunct w:val="0"/>
              <w:autoSpaceDE w:val="0"/>
              <w:autoSpaceDN w:val="0"/>
              <w:bidi w:val="0"/>
              <w:adjustRightInd/>
              <w:snapToGrid w:val="0"/>
              <w:spacing w:before="68" w:line="353" w:lineRule="auto"/>
              <w:ind w:right="74"/>
              <w:jc w:val="center"/>
              <w:textAlignment w:val="auto"/>
              <w:rPr>
                <w:rFonts w:hint="eastAsia" w:ascii="宋体" w:hAnsi="宋体" w:eastAsia="宋体" w:cs="宋体"/>
                <w:color w:val="auto"/>
                <w:highlight w:val="none"/>
                <w:vertAlign w:val="baseline"/>
              </w:rPr>
            </w:pPr>
          </w:p>
        </w:tc>
      </w:tr>
      <w:tr w14:paraId="24A1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5" w:hRule="atLeast"/>
        </w:trPr>
        <w:tc>
          <w:tcPr>
            <w:tcW w:w="6063" w:type="dxa"/>
            <w:gridSpan w:val="4"/>
            <w:vAlign w:val="center"/>
          </w:tcPr>
          <w:p w14:paraId="4B040E55">
            <w:pPr>
              <w:keepNext w:val="0"/>
              <w:keepLines w:val="0"/>
              <w:pageBreakBefore w:val="0"/>
              <w:widowControl/>
              <w:kinsoku w:val="0"/>
              <w:wordWrap/>
              <w:overflowPunct/>
              <w:topLinePunct w:val="0"/>
              <w:autoSpaceDE w:val="0"/>
              <w:autoSpaceDN w:val="0"/>
              <w:bidi w:val="0"/>
              <w:adjustRightInd/>
              <w:snapToGrid w:val="0"/>
              <w:spacing w:before="68" w:line="353" w:lineRule="auto"/>
              <w:ind w:right="74"/>
              <w:jc w:val="center"/>
              <w:textAlignment w:val="auto"/>
              <w:rPr>
                <w:rFonts w:hint="eastAsia" w:ascii="宋体" w:hAnsi="宋体" w:eastAsia="宋体" w:cs="宋体"/>
                <w:color w:val="auto"/>
                <w:highlight w:val="none"/>
                <w:vertAlign w:val="baseline"/>
              </w:rPr>
            </w:pPr>
            <w:r>
              <w:rPr>
                <w:rFonts w:hint="eastAsia" w:ascii="宋体" w:hAnsi="宋体" w:eastAsia="宋体" w:cs="宋体"/>
                <w:color w:val="auto"/>
                <w:highlight w:val="none"/>
              </w:rPr>
              <w:t>合计（元）</w:t>
            </w:r>
          </w:p>
        </w:tc>
        <w:tc>
          <w:tcPr>
            <w:tcW w:w="1746" w:type="dxa"/>
            <w:vAlign w:val="center"/>
          </w:tcPr>
          <w:p w14:paraId="00668679">
            <w:pPr>
              <w:keepNext w:val="0"/>
              <w:keepLines w:val="0"/>
              <w:pageBreakBefore w:val="0"/>
              <w:widowControl/>
              <w:kinsoku w:val="0"/>
              <w:wordWrap/>
              <w:overflowPunct/>
              <w:topLinePunct w:val="0"/>
              <w:autoSpaceDE w:val="0"/>
              <w:autoSpaceDN w:val="0"/>
              <w:bidi w:val="0"/>
              <w:adjustRightInd/>
              <w:snapToGrid w:val="0"/>
              <w:spacing w:before="68" w:line="353" w:lineRule="auto"/>
              <w:ind w:right="74"/>
              <w:jc w:val="center"/>
              <w:textAlignment w:val="auto"/>
              <w:rPr>
                <w:rFonts w:hint="eastAsia" w:ascii="宋体" w:hAnsi="宋体" w:eastAsia="宋体" w:cs="宋体"/>
                <w:color w:val="auto"/>
                <w:highlight w:val="none"/>
                <w:vertAlign w:val="baseline"/>
              </w:rPr>
            </w:pPr>
          </w:p>
        </w:tc>
        <w:tc>
          <w:tcPr>
            <w:tcW w:w="975" w:type="dxa"/>
            <w:vAlign w:val="center"/>
          </w:tcPr>
          <w:p w14:paraId="606A0D56">
            <w:pPr>
              <w:keepNext w:val="0"/>
              <w:keepLines w:val="0"/>
              <w:pageBreakBefore w:val="0"/>
              <w:widowControl/>
              <w:kinsoku w:val="0"/>
              <w:wordWrap/>
              <w:overflowPunct/>
              <w:topLinePunct w:val="0"/>
              <w:autoSpaceDE w:val="0"/>
              <w:autoSpaceDN w:val="0"/>
              <w:bidi w:val="0"/>
              <w:adjustRightInd/>
              <w:snapToGrid w:val="0"/>
              <w:spacing w:before="68" w:line="353" w:lineRule="auto"/>
              <w:ind w:right="74"/>
              <w:jc w:val="center"/>
              <w:textAlignment w:val="auto"/>
              <w:rPr>
                <w:rFonts w:hint="eastAsia" w:ascii="宋体" w:hAnsi="宋体" w:eastAsia="宋体" w:cs="宋体"/>
                <w:color w:val="auto"/>
                <w:highlight w:val="none"/>
                <w:vertAlign w:val="baseline"/>
              </w:rPr>
            </w:pPr>
          </w:p>
        </w:tc>
      </w:tr>
    </w:tbl>
    <w:p w14:paraId="669F1BA7">
      <w:pPr>
        <w:keepNext w:val="0"/>
        <w:keepLines w:val="0"/>
        <w:pageBreakBefore w:val="0"/>
        <w:widowControl/>
        <w:kinsoku w:val="0"/>
        <w:wordWrap/>
        <w:overflowPunct/>
        <w:topLinePunct w:val="0"/>
        <w:autoSpaceDE w:val="0"/>
        <w:autoSpaceDN w:val="0"/>
        <w:bidi w:val="0"/>
        <w:adjustRightInd/>
        <w:snapToGrid w:val="0"/>
        <w:spacing w:before="68" w:line="353" w:lineRule="auto"/>
        <w:ind w:right="74"/>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注：1、投标报价填报保留到小数点后</w:t>
      </w:r>
      <w:r>
        <w:rPr>
          <w:rFonts w:hint="eastAsia" w:ascii="宋体" w:hAnsi="宋体" w:eastAsia="宋体" w:cs="宋体"/>
          <w:color w:val="auto"/>
          <w:highlight w:val="none"/>
          <w:u w:val="single"/>
        </w:rPr>
        <w:t>两</w:t>
      </w:r>
      <w:r>
        <w:rPr>
          <w:rFonts w:hint="eastAsia" w:ascii="宋体" w:hAnsi="宋体" w:eastAsia="宋体" w:cs="宋体"/>
          <w:color w:val="auto"/>
          <w:highlight w:val="none"/>
        </w:rPr>
        <w:t>位。</w:t>
      </w:r>
    </w:p>
    <w:p w14:paraId="563E2A8C">
      <w:pPr>
        <w:keepNext w:val="0"/>
        <w:keepLines w:val="0"/>
        <w:pageBreakBefore w:val="0"/>
        <w:widowControl/>
        <w:kinsoku w:val="0"/>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zh-CN"/>
        </w:rPr>
        <w:t>投标下浮率以百分比为单位，保留到小数点后</w:t>
      </w:r>
      <w:r>
        <w:rPr>
          <w:rFonts w:hint="eastAsia" w:ascii="宋体" w:hAnsi="宋体" w:eastAsia="宋体" w:cs="宋体"/>
          <w:color w:val="auto"/>
          <w:highlight w:val="none"/>
          <w:u w:val="single"/>
        </w:rPr>
        <w:t>两</w:t>
      </w:r>
      <w:r>
        <w:rPr>
          <w:rFonts w:hint="eastAsia" w:ascii="宋体" w:hAnsi="宋体" w:eastAsia="宋体" w:cs="宋体"/>
          <w:color w:val="auto"/>
          <w:highlight w:val="none"/>
          <w:lang w:val="zh-CN"/>
        </w:rPr>
        <w:t>位。</w:t>
      </w:r>
      <w:r>
        <w:rPr>
          <w:rFonts w:hint="eastAsia" w:ascii="宋体" w:hAnsi="宋体" w:eastAsia="宋体" w:cs="宋体"/>
          <w:color w:val="auto"/>
          <w:highlight w:val="none"/>
        </w:rPr>
        <w:t>投标报价与投标下浮率不符时，以投标下浮率为准修正总价。</w:t>
      </w:r>
    </w:p>
    <w:p w14:paraId="300189ED">
      <w:pPr>
        <w:spacing w:line="500" w:lineRule="exact"/>
        <w:ind w:firstLine="3960"/>
        <w:rPr>
          <w:rFonts w:hint="eastAsia" w:ascii="宋体" w:hAnsi="宋体" w:eastAsia="宋体" w:cs="宋体"/>
          <w:color w:val="auto"/>
          <w:highlight w:val="none"/>
        </w:rPr>
      </w:pPr>
    </w:p>
    <w:p w14:paraId="755FFB67">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color w:val="auto"/>
          <w:spacing w:val="11"/>
          <w:sz w:val="31"/>
          <w:szCs w:val="31"/>
          <w:highlight w:val="none"/>
        </w:rPr>
      </w:pPr>
      <w:bookmarkStart w:id="498" w:name="_Toc32085"/>
      <w:bookmarkStart w:id="499" w:name="_Toc11187"/>
      <w:bookmarkStart w:id="500" w:name="_Toc55"/>
      <w:bookmarkStart w:id="501" w:name="_Toc24354"/>
      <w:bookmarkStart w:id="502" w:name="_Toc22077"/>
      <w:r>
        <w:rPr>
          <w:rFonts w:hint="eastAsia" w:ascii="宋体" w:hAnsi="宋体" w:eastAsia="宋体" w:cs="宋体"/>
          <w:color w:val="auto"/>
          <w:spacing w:val="11"/>
          <w:sz w:val="31"/>
          <w:szCs w:val="31"/>
          <w:highlight w:val="none"/>
        </w:rPr>
        <w:br w:type="page"/>
      </w:r>
      <w:bookmarkStart w:id="503" w:name="_Toc3109"/>
      <w:r>
        <w:rPr>
          <w:rFonts w:hint="eastAsia" w:ascii="宋体" w:hAnsi="宋体" w:eastAsia="宋体" w:cs="宋体"/>
          <w:kern w:val="2"/>
          <w:lang w:val="en-US" w:eastAsia="zh-CN"/>
        </w:rPr>
        <w:t>四、资格审查资料</w:t>
      </w:r>
      <w:bookmarkEnd w:id="498"/>
      <w:bookmarkEnd w:id="499"/>
      <w:bookmarkEnd w:id="500"/>
      <w:bookmarkEnd w:id="501"/>
      <w:bookmarkEnd w:id="502"/>
      <w:bookmarkEnd w:id="503"/>
    </w:p>
    <w:p w14:paraId="64CC8EAA">
      <w:pPr>
        <w:spacing w:line="255" w:lineRule="auto"/>
        <w:rPr>
          <w:rFonts w:hint="eastAsia" w:ascii="宋体" w:hAnsi="宋体" w:eastAsia="宋体" w:cs="宋体"/>
          <w:color w:val="auto"/>
          <w:highlight w:val="none"/>
        </w:rPr>
      </w:pPr>
    </w:p>
    <w:p w14:paraId="618C6F12">
      <w:pPr>
        <w:spacing w:before="68" w:line="352" w:lineRule="auto"/>
        <w:ind w:right="72"/>
        <w:jc w:val="both"/>
        <w:rPr>
          <w:rFonts w:hint="eastAsia" w:ascii="宋体" w:hAnsi="宋体" w:eastAsia="宋体" w:cs="宋体"/>
          <w:b/>
          <w:bCs/>
          <w:color w:val="auto"/>
          <w:spacing w:val="-2"/>
          <w:sz w:val="24"/>
          <w:szCs w:val="24"/>
          <w:highlight w:val="none"/>
        </w:rPr>
      </w:pPr>
      <w:bookmarkStart w:id="504" w:name="_Toc11798"/>
      <w:bookmarkStart w:id="505" w:name="_Toc4472"/>
      <w:bookmarkStart w:id="506" w:name="_Toc27883"/>
      <w:bookmarkStart w:id="507" w:name="_Toc11958"/>
      <w:bookmarkStart w:id="508" w:name="_Toc12157"/>
      <w:r>
        <w:rPr>
          <w:rFonts w:hint="eastAsia" w:ascii="宋体" w:hAnsi="宋体" w:eastAsia="宋体" w:cs="宋体"/>
          <w:b/>
          <w:bCs/>
          <w:color w:val="auto"/>
          <w:spacing w:val="-2"/>
          <w:sz w:val="24"/>
          <w:szCs w:val="24"/>
          <w:highlight w:val="none"/>
        </w:rPr>
        <w:t>(一)基本情况表</w:t>
      </w:r>
      <w:bookmarkEnd w:id="504"/>
      <w:bookmarkEnd w:id="505"/>
      <w:bookmarkEnd w:id="506"/>
      <w:bookmarkEnd w:id="507"/>
      <w:bookmarkEnd w:id="508"/>
    </w:p>
    <w:p w14:paraId="54F30310">
      <w:pPr>
        <w:spacing w:line="49" w:lineRule="auto"/>
        <w:rPr>
          <w:rFonts w:hint="eastAsia" w:ascii="宋体" w:hAnsi="宋体" w:eastAsia="宋体" w:cs="宋体"/>
          <w:color w:val="auto"/>
          <w:sz w:val="2"/>
          <w:highlight w:val="none"/>
        </w:rPr>
      </w:pPr>
    </w:p>
    <w:tbl>
      <w:tblPr>
        <w:tblStyle w:val="27"/>
        <w:tblW w:w="88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0"/>
        <w:gridCol w:w="897"/>
        <w:gridCol w:w="1025"/>
        <w:gridCol w:w="1287"/>
        <w:gridCol w:w="414"/>
        <w:gridCol w:w="872"/>
        <w:gridCol w:w="827"/>
        <w:gridCol w:w="284"/>
        <w:gridCol w:w="1234"/>
      </w:tblGrid>
      <w:tr w14:paraId="69081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2050" w:type="dxa"/>
          </w:tcPr>
          <w:p w14:paraId="18876A5F">
            <w:pPr>
              <w:spacing w:before="174" w:line="221" w:lineRule="auto"/>
              <w:ind w:left="507"/>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投标人名</w:t>
            </w:r>
            <w:r>
              <w:rPr>
                <w:rFonts w:hint="eastAsia" w:ascii="宋体" w:hAnsi="宋体" w:eastAsia="宋体" w:cs="宋体"/>
                <w:color w:val="auto"/>
                <w:spacing w:val="-1"/>
                <w:highlight w:val="none"/>
              </w:rPr>
              <w:t>称</w:t>
            </w:r>
          </w:p>
        </w:tc>
        <w:tc>
          <w:tcPr>
            <w:tcW w:w="6840" w:type="dxa"/>
            <w:gridSpan w:val="8"/>
          </w:tcPr>
          <w:p w14:paraId="6E5A64AD">
            <w:pPr>
              <w:rPr>
                <w:rFonts w:hint="eastAsia" w:ascii="宋体" w:hAnsi="宋体" w:eastAsia="宋体" w:cs="宋体"/>
                <w:color w:val="auto"/>
                <w:highlight w:val="none"/>
              </w:rPr>
            </w:pPr>
          </w:p>
        </w:tc>
      </w:tr>
      <w:tr w14:paraId="657D2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2050" w:type="dxa"/>
          </w:tcPr>
          <w:p w14:paraId="49D438B9">
            <w:pPr>
              <w:spacing w:before="170" w:line="222" w:lineRule="auto"/>
              <w:ind w:left="610"/>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注册地</w:t>
            </w:r>
            <w:r>
              <w:rPr>
                <w:rFonts w:hint="eastAsia" w:ascii="宋体" w:hAnsi="宋体" w:eastAsia="宋体" w:cs="宋体"/>
                <w:color w:val="auto"/>
                <w:spacing w:val="-1"/>
                <w:highlight w:val="none"/>
              </w:rPr>
              <w:t>址</w:t>
            </w:r>
          </w:p>
        </w:tc>
        <w:tc>
          <w:tcPr>
            <w:tcW w:w="3209" w:type="dxa"/>
            <w:gridSpan w:val="3"/>
          </w:tcPr>
          <w:p w14:paraId="45D73C85">
            <w:pPr>
              <w:rPr>
                <w:rFonts w:hint="eastAsia" w:ascii="宋体" w:hAnsi="宋体" w:eastAsia="宋体" w:cs="宋体"/>
                <w:color w:val="auto"/>
                <w:highlight w:val="none"/>
              </w:rPr>
            </w:pPr>
          </w:p>
        </w:tc>
        <w:tc>
          <w:tcPr>
            <w:tcW w:w="1286" w:type="dxa"/>
            <w:gridSpan w:val="2"/>
          </w:tcPr>
          <w:p w14:paraId="52BC107B">
            <w:pPr>
              <w:spacing w:before="170" w:line="220" w:lineRule="auto"/>
              <w:ind w:left="243"/>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邮</w:t>
            </w:r>
            <w:r>
              <w:rPr>
                <w:rFonts w:hint="eastAsia" w:ascii="宋体" w:hAnsi="宋体" w:eastAsia="宋体" w:cs="宋体"/>
                <w:color w:val="auto"/>
                <w:spacing w:val="-4"/>
                <w:highlight w:val="none"/>
              </w:rPr>
              <w:t>政编码</w:t>
            </w:r>
          </w:p>
        </w:tc>
        <w:tc>
          <w:tcPr>
            <w:tcW w:w="2345" w:type="dxa"/>
            <w:gridSpan w:val="3"/>
          </w:tcPr>
          <w:p w14:paraId="64A3B60C">
            <w:pPr>
              <w:rPr>
                <w:rFonts w:hint="eastAsia" w:ascii="宋体" w:hAnsi="宋体" w:eastAsia="宋体" w:cs="宋体"/>
                <w:color w:val="auto"/>
                <w:highlight w:val="none"/>
              </w:rPr>
            </w:pPr>
          </w:p>
        </w:tc>
      </w:tr>
      <w:tr w14:paraId="58517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050" w:type="dxa"/>
            <w:vMerge w:val="restart"/>
          </w:tcPr>
          <w:p w14:paraId="3EBFA863">
            <w:pPr>
              <w:spacing w:line="325" w:lineRule="auto"/>
              <w:rPr>
                <w:rFonts w:hint="eastAsia" w:ascii="宋体" w:hAnsi="宋体" w:eastAsia="宋体" w:cs="宋体"/>
                <w:color w:val="auto"/>
                <w:highlight w:val="none"/>
              </w:rPr>
            </w:pPr>
          </w:p>
          <w:p w14:paraId="013B03F6">
            <w:pPr>
              <w:spacing w:before="68" w:line="220" w:lineRule="auto"/>
              <w:ind w:left="611"/>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联系方</w:t>
            </w:r>
            <w:r>
              <w:rPr>
                <w:rFonts w:hint="eastAsia" w:ascii="宋体" w:hAnsi="宋体" w:eastAsia="宋体" w:cs="宋体"/>
                <w:color w:val="auto"/>
                <w:spacing w:val="-1"/>
                <w:highlight w:val="none"/>
              </w:rPr>
              <w:t>式</w:t>
            </w:r>
          </w:p>
        </w:tc>
        <w:tc>
          <w:tcPr>
            <w:tcW w:w="897" w:type="dxa"/>
          </w:tcPr>
          <w:p w14:paraId="484E617F">
            <w:pPr>
              <w:spacing w:before="172" w:line="222" w:lineRule="auto"/>
              <w:ind w:left="138"/>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联</w:t>
            </w:r>
            <w:r>
              <w:rPr>
                <w:rFonts w:hint="eastAsia" w:ascii="宋体" w:hAnsi="宋体" w:eastAsia="宋体" w:cs="宋体"/>
                <w:color w:val="auto"/>
                <w:spacing w:val="-2"/>
                <w:highlight w:val="none"/>
              </w:rPr>
              <w:t>系人</w:t>
            </w:r>
          </w:p>
        </w:tc>
        <w:tc>
          <w:tcPr>
            <w:tcW w:w="2312" w:type="dxa"/>
            <w:gridSpan w:val="2"/>
          </w:tcPr>
          <w:p w14:paraId="43E20EA1">
            <w:pPr>
              <w:rPr>
                <w:rFonts w:hint="eastAsia" w:ascii="宋体" w:hAnsi="宋体" w:eastAsia="宋体" w:cs="宋体"/>
                <w:color w:val="auto"/>
                <w:highlight w:val="none"/>
              </w:rPr>
            </w:pPr>
          </w:p>
        </w:tc>
        <w:tc>
          <w:tcPr>
            <w:tcW w:w="1286" w:type="dxa"/>
            <w:gridSpan w:val="2"/>
          </w:tcPr>
          <w:p w14:paraId="3B518548">
            <w:pPr>
              <w:spacing w:before="172" w:line="222" w:lineRule="auto"/>
              <w:ind w:left="411"/>
              <w:rPr>
                <w:rFonts w:hint="eastAsia" w:ascii="宋体" w:hAnsi="宋体" w:eastAsia="宋体" w:cs="宋体"/>
                <w:color w:val="auto"/>
                <w:spacing w:val="-10"/>
                <w:highlight w:val="none"/>
              </w:rPr>
            </w:pPr>
            <w:r>
              <w:rPr>
                <w:rFonts w:hint="eastAsia" w:ascii="宋体" w:hAnsi="宋体" w:eastAsia="宋体" w:cs="宋体"/>
                <w:color w:val="auto"/>
                <w:spacing w:val="-10"/>
                <w:highlight w:val="none"/>
              </w:rPr>
              <w:t>电</w:t>
            </w:r>
            <w:r>
              <w:rPr>
                <w:rFonts w:hint="eastAsia" w:ascii="宋体" w:hAnsi="宋体" w:eastAsia="宋体" w:cs="宋体"/>
                <w:color w:val="auto"/>
                <w:spacing w:val="-8"/>
                <w:highlight w:val="none"/>
              </w:rPr>
              <w:t xml:space="preserve"> 话</w:t>
            </w:r>
          </w:p>
        </w:tc>
        <w:tc>
          <w:tcPr>
            <w:tcW w:w="2345" w:type="dxa"/>
            <w:gridSpan w:val="3"/>
          </w:tcPr>
          <w:p w14:paraId="6FDD7101">
            <w:pPr>
              <w:rPr>
                <w:rFonts w:hint="eastAsia" w:ascii="宋体" w:hAnsi="宋体" w:eastAsia="宋体" w:cs="宋体"/>
                <w:color w:val="auto"/>
                <w:highlight w:val="none"/>
              </w:rPr>
            </w:pPr>
          </w:p>
        </w:tc>
      </w:tr>
      <w:tr w14:paraId="5782D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050" w:type="dxa"/>
            <w:vMerge w:val="continue"/>
          </w:tcPr>
          <w:p w14:paraId="065A385A">
            <w:pPr>
              <w:rPr>
                <w:rFonts w:hint="eastAsia" w:ascii="宋体" w:hAnsi="宋体" w:eastAsia="宋体" w:cs="宋体"/>
                <w:color w:val="auto"/>
                <w:highlight w:val="none"/>
              </w:rPr>
            </w:pPr>
          </w:p>
        </w:tc>
        <w:tc>
          <w:tcPr>
            <w:tcW w:w="897" w:type="dxa"/>
          </w:tcPr>
          <w:p w14:paraId="7FD207A4">
            <w:pPr>
              <w:spacing w:before="171" w:line="217" w:lineRule="auto"/>
              <w:ind w:left="135"/>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传  真</w:t>
            </w:r>
          </w:p>
        </w:tc>
        <w:tc>
          <w:tcPr>
            <w:tcW w:w="2312" w:type="dxa"/>
            <w:gridSpan w:val="2"/>
          </w:tcPr>
          <w:p w14:paraId="7DCB6B86">
            <w:pPr>
              <w:rPr>
                <w:rFonts w:hint="eastAsia" w:ascii="宋体" w:hAnsi="宋体" w:eastAsia="宋体" w:cs="宋体"/>
                <w:color w:val="auto"/>
                <w:highlight w:val="none"/>
              </w:rPr>
            </w:pPr>
          </w:p>
        </w:tc>
        <w:tc>
          <w:tcPr>
            <w:tcW w:w="1286" w:type="dxa"/>
            <w:gridSpan w:val="2"/>
          </w:tcPr>
          <w:p w14:paraId="05E04583">
            <w:pPr>
              <w:spacing w:before="171" w:line="225" w:lineRule="auto"/>
              <w:ind w:left="402"/>
              <w:rPr>
                <w:rFonts w:hint="eastAsia" w:ascii="宋体" w:hAnsi="宋体" w:eastAsia="宋体" w:cs="宋体"/>
                <w:color w:val="auto"/>
                <w:spacing w:val="-7"/>
                <w:highlight w:val="none"/>
              </w:rPr>
            </w:pPr>
            <w:r>
              <w:rPr>
                <w:rFonts w:hint="eastAsia" w:ascii="宋体" w:hAnsi="宋体" w:eastAsia="宋体" w:cs="宋体"/>
                <w:color w:val="auto"/>
                <w:spacing w:val="-7"/>
                <w:highlight w:val="none"/>
              </w:rPr>
              <w:t>网</w:t>
            </w:r>
            <w:r>
              <w:rPr>
                <w:rFonts w:hint="eastAsia" w:ascii="宋体" w:hAnsi="宋体" w:eastAsia="宋体" w:cs="宋体"/>
                <w:color w:val="auto"/>
                <w:spacing w:val="-5"/>
                <w:highlight w:val="none"/>
              </w:rPr>
              <w:t xml:space="preserve"> 址</w:t>
            </w:r>
          </w:p>
        </w:tc>
        <w:tc>
          <w:tcPr>
            <w:tcW w:w="2345" w:type="dxa"/>
            <w:gridSpan w:val="3"/>
          </w:tcPr>
          <w:p w14:paraId="090742B7">
            <w:pPr>
              <w:rPr>
                <w:rFonts w:hint="eastAsia" w:ascii="宋体" w:hAnsi="宋体" w:eastAsia="宋体" w:cs="宋体"/>
                <w:color w:val="auto"/>
                <w:highlight w:val="none"/>
              </w:rPr>
            </w:pPr>
          </w:p>
        </w:tc>
      </w:tr>
      <w:tr w14:paraId="50B54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050" w:type="dxa"/>
          </w:tcPr>
          <w:p w14:paraId="275C1A66">
            <w:pPr>
              <w:spacing w:before="171" w:line="219" w:lineRule="auto"/>
              <w:ind w:left="505"/>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法定代</w:t>
            </w:r>
            <w:r>
              <w:rPr>
                <w:rFonts w:hint="eastAsia" w:ascii="宋体" w:hAnsi="宋体" w:eastAsia="宋体" w:cs="宋体"/>
                <w:color w:val="auto"/>
                <w:spacing w:val="-1"/>
                <w:highlight w:val="none"/>
              </w:rPr>
              <w:t>表人</w:t>
            </w:r>
          </w:p>
        </w:tc>
        <w:tc>
          <w:tcPr>
            <w:tcW w:w="897" w:type="dxa"/>
          </w:tcPr>
          <w:p w14:paraId="62F8163C">
            <w:pPr>
              <w:spacing w:before="171" w:line="220" w:lineRule="auto"/>
              <w:ind w:left="242"/>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姓</w:t>
            </w:r>
            <w:r>
              <w:rPr>
                <w:rFonts w:hint="eastAsia" w:ascii="宋体" w:hAnsi="宋体" w:eastAsia="宋体" w:cs="宋体"/>
                <w:color w:val="auto"/>
                <w:spacing w:val="-2"/>
                <w:highlight w:val="none"/>
              </w:rPr>
              <w:t>名</w:t>
            </w:r>
          </w:p>
        </w:tc>
        <w:tc>
          <w:tcPr>
            <w:tcW w:w="1025" w:type="dxa"/>
          </w:tcPr>
          <w:p w14:paraId="70D99F62">
            <w:pPr>
              <w:rPr>
                <w:rFonts w:hint="eastAsia" w:ascii="宋体" w:hAnsi="宋体" w:eastAsia="宋体" w:cs="宋体"/>
                <w:color w:val="auto"/>
                <w:highlight w:val="none"/>
              </w:rPr>
            </w:pPr>
          </w:p>
        </w:tc>
        <w:tc>
          <w:tcPr>
            <w:tcW w:w="1287" w:type="dxa"/>
          </w:tcPr>
          <w:p w14:paraId="2C5BDCB5">
            <w:pPr>
              <w:spacing w:before="171" w:line="220" w:lineRule="auto"/>
              <w:ind w:left="229"/>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技术职</w:t>
            </w:r>
            <w:r>
              <w:rPr>
                <w:rFonts w:hint="eastAsia" w:ascii="宋体" w:hAnsi="宋体" w:eastAsia="宋体" w:cs="宋体"/>
                <w:color w:val="auto"/>
                <w:spacing w:val="-1"/>
                <w:highlight w:val="none"/>
              </w:rPr>
              <w:t>称</w:t>
            </w:r>
          </w:p>
        </w:tc>
        <w:tc>
          <w:tcPr>
            <w:tcW w:w="1286" w:type="dxa"/>
            <w:gridSpan w:val="2"/>
          </w:tcPr>
          <w:p w14:paraId="0A2C3EDF">
            <w:pPr>
              <w:rPr>
                <w:rFonts w:hint="eastAsia" w:ascii="宋体" w:hAnsi="宋体" w:eastAsia="宋体" w:cs="宋体"/>
                <w:color w:val="auto"/>
                <w:highlight w:val="none"/>
              </w:rPr>
            </w:pPr>
          </w:p>
        </w:tc>
        <w:tc>
          <w:tcPr>
            <w:tcW w:w="1111" w:type="dxa"/>
            <w:gridSpan w:val="2"/>
          </w:tcPr>
          <w:p w14:paraId="7850E9ED">
            <w:pPr>
              <w:spacing w:before="172" w:line="222" w:lineRule="auto"/>
              <w:ind w:left="376"/>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电</w:t>
            </w:r>
            <w:r>
              <w:rPr>
                <w:rFonts w:hint="eastAsia" w:ascii="宋体" w:hAnsi="宋体" w:eastAsia="宋体" w:cs="宋体"/>
                <w:color w:val="auto"/>
                <w:spacing w:val="-8"/>
                <w:highlight w:val="none"/>
              </w:rPr>
              <w:t>话</w:t>
            </w:r>
          </w:p>
        </w:tc>
        <w:tc>
          <w:tcPr>
            <w:tcW w:w="1234" w:type="dxa"/>
          </w:tcPr>
          <w:p w14:paraId="3D4DBF30">
            <w:pPr>
              <w:rPr>
                <w:rFonts w:hint="eastAsia" w:ascii="宋体" w:hAnsi="宋体" w:eastAsia="宋体" w:cs="宋体"/>
                <w:color w:val="auto"/>
                <w:highlight w:val="none"/>
              </w:rPr>
            </w:pPr>
          </w:p>
        </w:tc>
      </w:tr>
      <w:tr w14:paraId="41212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050" w:type="dxa"/>
          </w:tcPr>
          <w:p w14:paraId="45312A58">
            <w:pPr>
              <w:spacing w:before="172" w:line="217" w:lineRule="auto"/>
              <w:ind w:left="505"/>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技术负</w:t>
            </w:r>
            <w:r>
              <w:rPr>
                <w:rFonts w:hint="eastAsia" w:ascii="宋体" w:hAnsi="宋体" w:eastAsia="宋体" w:cs="宋体"/>
                <w:color w:val="auto"/>
                <w:spacing w:val="-1"/>
                <w:highlight w:val="none"/>
              </w:rPr>
              <w:t>责人</w:t>
            </w:r>
          </w:p>
        </w:tc>
        <w:tc>
          <w:tcPr>
            <w:tcW w:w="897" w:type="dxa"/>
          </w:tcPr>
          <w:p w14:paraId="3626B6A5">
            <w:pPr>
              <w:spacing w:before="171" w:line="220" w:lineRule="auto"/>
              <w:ind w:left="242"/>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姓</w:t>
            </w:r>
            <w:r>
              <w:rPr>
                <w:rFonts w:hint="eastAsia" w:ascii="宋体" w:hAnsi="宋体" w:eastAsia="宋体" w:cs="宋体"/>
                <w:color w:val="auto"/>
                <w:spacing w:val="-2"/>
                <w:highlight w:val="none"/>
              </w:rPr>
              <w:t>名</w:t>
            </w:r>
          </w:p>
        </w:tc>
        <w:tc>
          <w:tcPr>
            <w:tcW w:w="1025" w:type="dxa"/>
          </w:tcPr>
          <w:p w14:paraId="36A8A28E">
            <w:pPr>
              <w:rPr>
                <w:rFonts w:hint="eastAsia" w:ascii="宋体" w:hAnsi="宋体" w:eastAsia="宋体" w:cs="宋体"/>
                <w:color w:val="auto"/>
                <w:highlight w:val="none"/>
              </w:rPr>
            </w:pPr>
          </w:p>
        </w:tc>
        <w:tc>
          <w:tcPr>
            <w:tcW w:w="1287" w:type="dxa"/>
          </w:tcPr>
          <w:p w14:paraId="58905968">
            <w:pPr>
              <w:spacing w:before="171" w:line="220" w:lineRule="auto"/>
              <w:ind w:left="229"/>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技术职</w:t>
            </w:r>
            <w:r>
              <w:rPr>
                <w:rFonts w:hint="eastAsia" w:ascii="宋体" w:hAnsi="宋体" w:eastAsia="宋体" w:cs="宋体"/>
                <w:color w:val="auto"/>
                <w:spacing w:val="-1"/>
                <w:highlight w:val="none"/>
              </w:rPr>
              <w:t>称</w:t>
            </w:r>
          </w:p>
        </w:tc>
        <w:tc>
          <w:tcPr>
            <w:tcW w:w="1286" w:type="dxa"/>
            <w:gridSpan w:val="2"/>
          </w:tcPr>
          <w:p w14:paraId="675CB5FA">
            <w:pPr>
              <w:rPr>
                <w:rFonts w:hint="eastAsia" w:ascii="宋体" w:hAnsi="宋体" w:eastAsia="宋体" w:cs="宋体"/>
                <w:color w:val="auto"/>
                <w:highlight w:val="none"/>
              </w:rPr>
            </w:pPr>
          </w:p>
        </w:tc>
        <w:tc>
          <w:tcPr>
            <w:tcW w:w="1111" w:type="dxa"/>
            <w:gridSpan w:val="2"/>
          </w:tcPr>
          <w:p w14:paraId="75567B4B">
            <w:pPr>
              <w:spacing w:before="172" w:line="222" w:lineRule="auto"/>
              <w:ind w:left="376"/>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电</w:t>
            </w:r>
            <w:r>
              <w:rPr>
                <w:rFonts w:hint="eastAsia" w:ascii="宋体" w:hAnsi="宋体" w:eastAsia="宋体" w:cs="宋体"/>
                <w:color w:val="auto"/>
                <w:spacing w:val="-8"/>
                <w:highlight w:val="none"/>
              </w:rPr>
              <w:t>话</w:t>
            </w:r>
          </w:p>
        </w:tc>
        <w:tc>
          <w:tcPr>
            <w:tcW w:w="1234" w:type="dxa"/>
          </w:tcPr>
          <w:p w14:paraId="5B5A7405">
            <w:pPr>
              <w:rPr>
                <w:rFonts w:hint="eastAsia" w:ascii="宋体" w:hAnsi="宋体" w:eastAsia="宋体" w:cs="宋体"/>
                <w:color w:val="auto"/>
                <w:highlight w:val="none"/>
              </w:rPr>
            </w:pPr>
          </w:p>
        </w:tc>
      </w:tr>
      <w:tr w14:paraId="77BFA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050" w:type="dxa"/>
          </w:tcPr>
          <w:p w14:paraId="33B3D46C">
            <w:pPr>
              <w:spacing w:before="172" w:line="219" w:lineRule="auto"/>
              <w:ind w:left="193"/>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企</w:t>
            </w:r>
            <w:r>
              <w:rPr>
                <w:rFonts w:hint="eastAsia" w:ascii="宋体" w:hAnsi="宋体" w:eastAsia="宋体" w:cs="宋体"/>
                <w:color w:val="auto"/>
                <w:spacing w:val="-1"/>
                <w:highlight w:val="none"/>
              </w:rPr>
              <w:t>业资质证书</w:t>
            </w:r>
          </w:p>
        </w:tc>
        <w:tc>
          <w:tcPr>
            <w:tcW w:w="1922" w:type="dxa"/>
            <w:gridSpan w:val="2"/>
          </w:tcPr>
          <w:p w14:paraId="43F821D9">
            <w:pPr>
              <w:spacing w:before="172" w:line="221" w:lineRule="auto"/>
              <w:ind w:left="1063"/>
              <w:rPr>
                <w:rFonts w:hint="eastAsia" w:ascii="宋体" w:hAnsi="宋体" w:eastAsia="宋体" w:cs="宋体"/>
                <w:color w:val="auto"/>
                <w:spacing w:val="-12"/>
                <w:highlight w:val="none"/>
              </w:rPr>
            </w:pPr>
            <w:r>
              <w:rPr>
                <w:rFonts w:hint="eastAsia" w:ascii="宋体" w:hAnsi="宋体" w:eastAsia="宋体" w:cs="宋体"/>
                <w:color w:val="auto"/>
                <w:spacing w:val="-12"/>
                <w:highlight w:val="none"/>
              </w:rPr>
              <w:t>类型：</w:t>
            </w:r>
          </w:p>
        </w:tc>
        <w:tc>
          <w:tcPr>
            <w:tcW w:w="4918" w:type="dxa"/>
            <w:gridSpan w:val="6"/>
          </w:tcPr>
          <w:p w14:paraId="4EEAB1F4">
            <w:pPr>
              <w:spacing w:before="172" w:line="220" w:lineRule="auto"/>
              <w:ind w:left="1874"/>
              <w:rPr>
                <w:rFonts w:hint="eastAsia" w:ascii="宋体" w:hAnsi="宋体" w:eastAsia="宋体" w:cs="宋体"/>
                <w:color w:val="auto"/>
                <w:spacing w:val="-10"/>
                <w:highlight w:val="none"/>
              </w:rPr>
            </w:pPr>
            <w:r>
              <w:rPr>
                <w:rFonts w:hint="eastAsia" w:ascii="宋体" w:hAnsi="宋体" w:eastAsia="宋体" w:cs="宋体"/>
                <w:color w:val="auto"/>
                <w:spacing w:val="-10"/>
                <w:highlight w:val="none"/>
              </w:rPr>
              <w:t>等</w:t>
            </w:r>
            <w:r>
              <w:rPr>
                <w:rFonts w:hint="eastAsia" w:ascii="宋体" w:hAnsi="宋体" w:eastAsia="宋体" w:cs="宋体"/>
                <w:color w:val="auto"/>
                <w:spacing w:val="-8"/>
                <w:highlight w:val="none"/>
              </w:rPr>
              <w:t>级：       证书号：</w:t>
            </w:r>
          </w:p>
        </w:tc>
      </w:tr>
      <w:tr w14:paraId="764EB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050" w:type="dxa"/>
          </w:tcPr>
          <w:p w14:paraId="4626398E">
            <w:pPr>
              <w:spacing w:before="171" w:line="219" w:lineRule="auto"/>
              <w:ind w:left="193"/>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企业</w:t>
            </w:r>
            <w:r>
              <w:rPr>
                <w:rFonts w:hint="eastAsia" w:ascii="宋体" w:hAnsi="宋体" w:eastAsia="宋体" w:cs="宋体"/>
                <w:color w:val="auto"/>
                <w:spacing w:val="-1"/>
                <w:highlight w:val="none"/>
              </w:rPr>
              <w:t>资质证书</w:t>
            </w:r>
          </w:p>
        </w:tc>
        <w:tc>
          <w:tcPr>
            <w:tcW w:w="1922" w:type="dxa"/>
            <w:gridSpan w:val="2"/>
          </w:tcPr>
          <w:p w14:paraId="146D9C95">
            <w:pPr>
              <w:spacing w:before="171" w:line="220" w:lineRule="auto"/>
              <w:ind w:left="1060"/>
              <w:rPr>
                <w:rFonts w:hint="eastAsia" w:ascii="宋体" w:hAnsi="宋体" w:eastAsia="宋体" w:cs="宋体"/>
                <w:color w:val="auto"/>
                <w:spacing w:val="-14"/>
                <w:highlight w:val="none"/>
              </w:rPr>
            </w:pPr>
            <w:r>
              <w:rPr>
                <w:rFonts w:hint="eastAsia" w:ascii="宋体" w:hAnsi="宋体" w:eastAsia="宋体" w:cs="宋体"/>
                <w:color w:val="auto"/>
                <w:spacing w:val="-14"/>
                <w:highlight w:val="none"/>
              </w:rPr>
              <w:t>类</w:t>
            </w:r>
            <w:r>
              <w:rPr>
                <w:rFonts w:hint="eastAsia" w:ascii="宋体" w:hAnsi="宋体" w:eastAsia="宋体" w:cs="宋体"/>
                <w:color w:val="auto"/>
                <w:spacing w:val="-12"/>
                <w:highlight w:val="none"/>
              </w:rPr>
              <w:t>型：</w:t>
            </w:r>
          </w:p>
        </w:tc>
        <w:tc>
          <w:tcPr>
            <w:tcW w:w="4918" w:type="dxa"/>
            <w:gridSpan w:val="6"/>
          </w:tcPr>
          <w:p w14:paraId="2862332B">
            <w:pPr>
              <w:spacing w:before="171" w:line="220" w:lineRule="auto"/>
              <w:ind w:left="1872"/>
              <w:rPr>
                <w:rFonts w:hint="eastAsia" w:ascii="宋体" w:hAnsi="宋体" w:eastAsia="宋体" w:cs="宋体"/>
                <w:color w:val="auto"/>
                <w:spacing w:val="-20"/>
                <w:highlight w:val="none"/>
              </w:rPr>
            </w:pPr>
            <w:r>
              <w:rPr>
                <w:rFonts w:hint="eastAsia" w:ascii="宋体" w:hAnsi="宋体" w:eastAsia="宋体" w:cs="宋体"/>
                <w:color w:val="auto"/>
                <w:spacing w:val="-20"/>
                <w:highlight w:val="none"/>
              </w:rPr>
              <w:t>等</w:t>
            </w:r>
            <w:r>
              <w:rPr>
                <w:rFonts w:hint="eastAsia" w:ascii="宋体" w:hAnsi="宋体" w:eastAsia="宋体" w:cs="宋体"/>
                <w:color w:val="auto"/>
                <w:spacing w:val="-10"/>
                <w:highlight w:val="none"/>
              </w:rPr>
              <w:t>级：       证书号：</w:t>
            </w:r>
          </w:p>
        </w:tc>
      </w:tr>
      <w:tr w14:paraId="07AC2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2050" w:type="dxa"/>
          </w:tcPr>
          <w:p w14:paraId="4267A6C0">
            <w:pPr>
              <w:spacing w:before="171" w:line="220" w:lineRule="auto"/>
              <w:ind w:left="191"/>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质量管理体系证书</w:t>
            </w:r>
          </w:p>
          <w:p w14:paraId="604F9381">
            <w:pPr>
              <w:spacing w:before="189" w:line="221" w:lineRule="auto"/>
              <w:ind w:left="563"/>
              <w:rPr>
                <w:rFonts w:hint="eastAsia" w:ascii="宋体" w:hAnsi="宋体" w:eastAsia="宋体" w:cs="宋体"/>
                <w:color w:val="auto"/>
                <w:spacing w:val="20"/>
                <w:highlight w:val="none"/>
              </w:rPr>
            </w:pPr>
            <w:r>
              <w:rPr>
                <w:rFonts w:hint="eastAsia" w:ascii="宋体" w:hAnsi="宋体" w:eastAsia="宋体" w:cs="宋体"/>
                <w:color w:val="auto"/>
                <w:spacing w:val="20"/>
                <w:highlight w:val="none"/>
              </w:rPr>
              <w:t>(</w:t>
            </w:r>
            <w:r>
              <w:rPr>
                <w:rFonts w:hint="eastAsia" w:ascii="宋体" w:hAnsi="宋体" w:eastAsia="宋体" w:cs="宋体"/>
                <w:color w:val="auto"/>
                <w:spacing w:val="19"/>
                <w:highlight w:val="none"/>
              </w:rPr>
              <w:t>如有)</w:t>
            </w:r>
          </w:p>
        </w:tc>
        <w:tc>
          <w:tcPr>
            <w:tcW w:w="1922" w:type="dxa"/>
            <w:gridSpan w:val="2"/>
          </w:tcPr>
          <w:p w14:paraId="7E4E6F9D">
            <w:pPr>
              <w:spacing w:line="321" w:lineRule="auto"/>
              <w:rPr>
                <w:rFonts w:hint="eastAsia" w:ascii="宋体" w:hAnsi="宋体" w:eastAsia="宋体" w:cs="宋体"/>
                <w:color w:val="auto"/>
                <w:highlight w:val="none"/>
              </w:rPr>
            </w:pPr>
          </w:p>
          <w:p w14:paraId="3814C464">
            <w:pPr>
              <w:spacing w:before="68" w:line="220" w:lineRule="auto"/>
              <w:ind w:left="1060"/>
              <w:rPr>
                <w:rFonts w:hint="eastAsia" w:ascii="宋体" w:hAnsi="宋体" w:eastAsia="宋体" w:cs="宋体"/>
                <w:color w:val="auto"/>
                <w:spacing w:val="-14"/>
                <w:highlight w:val="none"/>
              </w:rPr>
            </w:pPr>
            <w:r>
              <w:rPr>
                <w:rFonts w:hint="eastAsia" w:ascii="宋体" w:hAnsi="宋体" w:eastAsia="宋体" w:cs="宋体"/>
                <w:color w:val="auto"/>
                <w:spacing w:val="-14"/>
                <w:highlight w:val="none"/>
              </w:rPr>
              <w:t>类</w:t>
            </w:r>
            <w:r>
              <w:rPr>
                <w:rFonts w:hint="eastAsia" w:ascii="宋体" w:hAnsi="宋体" w:eastAsia="宋体" w:cs="宋体"/>
                <w:color w:val="auto"/>
                <w:spacing w:val="-12"/>
                <w:highlight w:val="none"/>
              </w:rPr>
              <w:t>型：</w:t>
            </w:r>
          </w:p>
        </w:tc>
        <w:tc>
          <w:tcPr>
            <w:tcW w:w="4918" w:type="dxa"/>
            <w:gridSpan w:val="6"/>
          </w:tcPr>
          <w:p w14:paraId="73BBCAF4">
            <w:pPr>
              <w:spacing w:line="320" w:lineRule="auto"/>
              <w:rPr>
                <w:rFonts w:hint="eastAsia" w:ascii="宋体" w:hAnsi="宋体" w:eastAsia="宋体" w:cs="宋体"/>
                <w:color w:val="auto"/>
                <w:highlight w:val="none"/>
              </w:rPr>
            </w:pPr>
          </w:p>
          <w:p w14:paraId="35A5A3CE">
            <w:pPr>
              <w:spacing w:before="68" w:line="220" w:lineRule="auto"/>
              <w:ind w:left="1872"/>
              <w:rPr>
                <w:rFonts w:hint="eastAsia" w:ascii="宋体" w:hAnsi="宋体" w:eastAsia="宋体" w:cs="宋体"/>
                <w:color w:val="auto"/>
                <w:spacing w:val="-20"/>
                <w:highlight w:val="none"/>
              </w:rPr>
            </w:pPr>
            <w:r>
              <w:rPr>
                <w:rFonts w:hint="eastAsia" w:ascii="宋体" w:hAnsi="宋体" w:eastAsia="宋体" w:cs="宋体"/>
                <w:color w:val="auto"/>
                <w:spacing w:val="-20"/>
                <w:highlight w:val="none"/>
              </w:rPr>
              <w:t>等</w:t>
            </w:r>
            <w:r>
              <w:rPr>
                <w:rFonts w:hint="eastAsia" w:ascii="宋体" w:hAnsi="宋体" w:eastAsia="宋体" w:cs="宋体"/>
                <w:color w:val="auto"/>
                <w:spacing w:val="-10"/>
                <w:highlight w:val="none"/>
              </w:rPr>
              <w:t>级：       证书号：</w:t>
            </w:r>
          </w:p>
        </w:tc>
      </w:tr>
      <w:tr w14:paraId="4AFEF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050" w:type="dxa"/>
          </w:tcPr>
          <w:p w14:paraId="028ABA0C">
            <w:pPr>
              <w:spacing w:before="171" w:line="220" w:lineRule="auto"/>
              <w:ind w:left="511"/>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营</w:t>
            </w:r>
            <w:r>
              <w:rPr>
                <w:rFonts w:hint="eastAsia" w:ascii="宋体" w:hAnsi="宋体" w:eastAsia="宋体" w:cs="宋体"/>
                <w:color w:val="auto"/>
                <w:spacing w:val="-2"/>
                <w:highlight w:val="none"/>
              </w:rPr>
              <w:t>业执照号</w:t>
            </w:r>
          </w:p>
        </w:tc>
        <w:tc>
          <w:tcPr>
            <w:tcW w:w="3209" w:type="dxa"/>
            <w:gridSpan w:val="3"/>
          </w:tcPr>
          <w:p w14:paraId="2909EB50">
            <w:pPr>
              <w:rPr>
                <w:rFonts w:hint="eastAsia" w:ascii="宋体" w:hAnsi="宋体" w:eastAsia="宋体" w:cs="宋体"/>
                <w:color w:val="auto"/>
                <w:highlight w:val="none"/>
              </w:rPr>
            </w:pPr>
          </w:p>
        </w:tc>
        <w:tc>
          <w:tcPr>
            <w:tcW w:w="3631" w:type="dxa"/>
            <w:gridSpan w:val="5"/>
          </w:tcPr>
          <w:p w14:paraId="3EFF058B">
            <w:pPr>
              <w:spacing w:before="171" w:line="220" w:lineRule="auto"/>
              <w:ind w:left="1197"/>
              <w:rPr>
                <w:rFonts w:hint="eastAsia" w:ascii="宋体" w:hAnsi="宋体" w:eastAsia="宋体" w:cs="宋体"/>
                <w:color w:val="auto"/>
                <w:spacing w:val="-9"/>
                <w:highlight w:val="none"/>
              </w:rPr>
            </w:pPr>
            <w:r>
              <w:rPr>
                <w:rFonts w:hint="eastAsia" w:ascii="宋体" w:hAnsi="宋体" w:eastAsia="宋体" w:cs="宋体"/>
                <w:color w:val="auto"/>
                <w:spacing w:val="-9"/>
                <w:highlight w:val="none"/>
              </w:rPr>
              <w:t>员工总人数：</w:t>
            </w:r>
          </w:p>
        </w:tc>
      </w:tr>
      <w:tr w14:paraId="29AC6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050" w:type="dxa"/>
          </w:tcPr>
          <w:p w14:paraId="60993AE1">
            <w:pPr>
              <w:spacing w:before="170" w:line="219" w:lineRule="auto"/>
              <w:ind w:left="610"/>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注册资</w:t>
            </w:r>
            <w:r>
              <w:rPr>
                <w:rFonts w:hint="eastAsia" w:ascii="宋体" w:hAnsi="宋体" w:eastAsia="宋体" w:cs="宋体"/>
                <w:color w:val="auto"/>
                <w:spacing w:val="-1"/>
                <w:highlight w:val="none"/>
              </w:rPr>
              <w:t>本</w:t>
            </w:r>
          </w:p>
        </w:tc>
        <w:tc>
          <w:tcPr>
            <w:tcW w:w="3209" w:type="dxa"/>
            <w:gridSpan w:val="3"/>
          </w:tcPr>
          <w:p w14:paraId="11A3A45E">
            <w:pPr>
              <w:rPr>
                <w:rFonts w:hint="eastAsia" w:ascii="宋体" w:hAnsi="宋体" w:eastAsia="宋体" w:cs="宋体"/>
                <w:color w:val="auto"/>
                <w:highlight w:val="none"/>
              </w:rPr>
            </w:pPr>
          </w:p>
        </w:tc>
        <w:tc>
          <w:tcPr>
            <w:tcW w:w="414" w:type="dxa"/>
            <w:vMerge w:val="restart"/>
            <w:textDirection w:val="tbRlV"/>
          </w:tcPr>
          <w:p w14:paraId="2DF97BC7">
            <w:pPr>
              <w:spacing w:before="94" w:line="205" w:lineRule="auto"/>
              <w:ind w:left="625"/>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其</w:t>
            </w:r>
            <w:r>
              <w:rPr>
                <w:rFonts w:hint="eastAsia" w:ascii="宋体" w:hAnsi="宋体" w:eastAsia="宋体" w:cs="宋体"/>
                <w:color w:val="auto"/>
                <w:spacing w:val="5"/>
                <w:highlight w:val="none"/>
              </w:rPr>
              <w:t xml:space="preserve">  中</w:t>
            </w:r>
          </w:p>
        </w:tc>
        <w:tc>
          <w:tcPr>
            <w:tcW w:w="1699" w:type="dxa"/>
            <w:gridSpan w:val="2"/>
          </w:tcPr>
          <w:p w14:paraId="42752527">
            <w:pPr>
              <w:spacing w:before="171" w:line="220" w:lineRule="auto"/>
              <w:ind w:left="231"/>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高级职称人员</w:t>
            </w:r>
          </w:p>
        </w:tc>
        <w:tc>
          <w:tcPr>
            <w:tcW w:w="1518" w:type="dxa"/>
            <w:gridSpan w:val="2"/>
          </w:tcPr>
          <w:p w14:paraId="184A09F5">
            <w:pPr>
              <w:rPr>
                <w:rFonts w:hint="eastAsia" w:ascii="宋体" w:hAnsi="宋体" w:eastAsia="宋体" w:cs="宋体"/>
                <w:color w:val="auto"/>
                <w:highlight w:val="none"/>
              </w:rPr>
            </w:pPr>
          </w:p>
        </w:tc>
      </w:tr>
      <w:tr w14:paraId="03336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050" w:type="dxa"/>
          </w:tcPr>
          <w:p w14:paraId="223D9BD3">
            <w:pPr>
              <w:spacing w:before="170" w:line="221" w:lineRule="auto"/>
              <w:ind w:left="612"/>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成立日期</w:t>
            </w:r>
          </w:p>
        </w:tc>
        <w:tc>
          <w:tcPr>
            <w:tcW w:w="3209" w:type="dxa"/>
            <w:gridSpan w:val="3"/>
          </w:tcPr>
          <w:p w14:paraId="5EC4C585">
            <w:pPr>
              <w:rPr>
                <w:rFonts w:hint="eastAsia" w:ascii="宋体" w:hAnsi="宋体" w:eastAsia="宋体" w:cs="宋体"/>
                <w:color w:val="auto"/>
                <w:highlight w:val="none"/>
              </w:rPr>
            </w:pPr>
          </w:p>
        </w:tc>
        <w:tc>
          <w:tcPr>
            <w:tcW w:w="414" w:type="dxa"/>
            <w:vMerge w:val="continue"/>
            <w:textDirection w:val="tbRlV"/>
          </w:tcPr>
          <w:p w14:paraId="3B41A9A8">
            <w:pPr>
              <w:rPr>
                <w:rFonts w:hint="eastAsia" w:ascii="宋体" w:hAnsi="宋体" w:eastAsia="宋体" w:cs="宋体"/>
                <w:color w:val="auto"/>
                <w:highlight w:val="none"/>
              </w:rPr>
            </w:pPr>
          </w:p>
        </w:tc>
        <w:tc>
          <w:tcPr>
            <w:tcW w:w="1699" w:type="dxa"/>
            <w:gridSpan w:val="2"/>
          </w:tcPr>
          <w:p w14:paraId="7DA1C4DB">
            <w:pPr>
              <w:spacing w:before="170" w:line="221" w:lineRule="auto"/>
              <w:ind w:left="245"/>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中级职称人员</w:t>
            </w:r>
          </w:p>
        </w:tc>
        <w:tc>
          <w:tcPr>
            <w:tcW w:w="1518" w:type="dxa"/>
            <w:gridSpan w:val="2"/>
          </w:tcPr>
          <w:p w14:paraId="5F9A0CF1">
            <w:pPr>
              <w:rPr>
                <w:rFonts w:hint="eastAsia" w:ascii="宋体" w:hAnsi="宋体" w:eastAsia="宋体" w:cs="宋体"/>
                <w:color w:val="auto"/>
                <w:highlight w:val="none"/>
              </w:rPr>
            </w:pPr>
          </w:p>
        </w:tc>
      </w:tr>
      <w:tr w14:paraId="669B1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050" w:type="dxa"/>
          </w:tcPr>
          <w:p w14:paraId="0C592E99">
            <w:pPr>
              <w:spacing w:before="170" w:line="220" w:lineRule="auto"/>
              <w:ind w:left="190"/>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基本账户开户银行</w:t>
            </w:r>
          </w:p>
        </w:tc>
        <w:tc>
          <w:tcPr>
            <w:tcW w:w="3209" w:type="dxa"/>
            <w:gridSpan w:val="3"/>
          </w:tcPr>
          <w:p w14:paraId="2BA3D07E">
            <w:pPr>
              <w:rPr>
                <w:rFonts w:hint="eastAsia" w:ascii="宋体" w:hAnsi="宋体" w:eastAsia="宋体" w:cs="宋体"/>
                <w:color w:val="auto"/>
                <w:highlight w:val="none"/>
              </w:rPr>
            </w:pPr>
          </w:p>
        </w:tc>
        <w:tc>
          <w:tcPr>
            <w:tcW w:w="414" w:type="dxa"/>
            <w:vMerge w:val="continue"/>
            <w:textDirection w:val="tbRlV"/>
          </w:tcPr>
          <w:p w14:paraId="62CDAD09">
            <w:pPr>
              <w:rPr>
                <w:rFonts w:hint="eastAsia" w:ascii="宋体" w:hAnsi="宋体" w:eastAsia="宋体" w:cs="宋体"/>
                <w:color w:val="auto"/>
                <w:highlight w:val="none"/>
              </w:rPr>
            </w:pPr>
          </w:p>
        </w:tc>
        <w:tc>
          <w:tcPr>
            <w:tcW w:w="1699" w:type="dxa"/>
            <w:gridSpan w:val="2"/>
          </w:tcPr>
          <w:p w14:paraId="3607D410">
            <w:pPr>
              <w:spacing w:before="171" w:line="220" w:lineRule="auto"/>
              <w:ind w:left="226"/>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技术</w:t>
            </w:r>
            <w:r>
              <w:rPr>
                <w:rFonts w:hint="eastAsia" w:ascii="宋体" w:hAnsi="宋体" w:eastAsia="宋体" w:cs="宋体"/>
                <w:color w:val="auto"/>
                <w:spacing w:val="-1"/>
                <w:highlight w:val="none"/>
              </w:rPr>
              <w:t>人员数量</w:t>
            </w:r>
          </w:p>
        </w:tc>
        <w:tc>
          <w:tcPr>
            <w:tcW w:w="1518" w:type="dxa"/>
            <w:gridSpan w:val="2"/>
          </w:tcPr>
          <w:p w14:paraId="0D84C2FD">
            <w:pPr>
              <w:rPr>
                <w:rFonts w:hint="eastAsia" w:ascii="宋体" w:hAnsi="宋体" w:eastAsia="宋体" w:cs="宋体"/>
                <w:color w:val="auto"/>
                <w:highlight w:val="none"/>
              </w:rPr>
            </w:pPr>
          </w:p>
        </w:tc>
      </w:tr>
      <w:tr w14:paraId="11C9C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2050" w:type="dxa"/>
          </w:tcPr>
          <w:p w14:paraId="71DE033D">
            <w:pPr>
              <w:spacing w:before="170" w:line="220" w:lineRule="auto"/>
              <w:ind w:left="190"/>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基本账户银行账号</w:t>
            </w:r>
          </w:p>
        </w:tc>
        <w:tc>
          <w:tcPr>
            <w:tcW w:w="3209" w:type="dxa"/>
            <w:gridSpan w:val="3"/>
          </w:tcPr>
          <w:p w14:paraId="72B602E7">
            <w:pPr>
              <w:rPr>
                <w:rFonts w:hint="eastAsia" w:ascii="宋体" w:hAnsi="宋体" w:eastAsia="宋体" w:cs="宋体"/>
                <w:color w:val="auto"/>
                <w:highlight w:val="none"/>
              </w:rPr>
            </w:pPr>
          </w:p>
        </w:tc>
        <w:tc>
          <w:tcPr>
            <w:tcW w:w="414" w:type="dxa"/>
            <w:vMerge w:val="continue"/>
            <w:textDirection w:val="tbRlV"/>
          </w:tcPr>
          <w:p w14:paraId="71A5855B">
            <w:pPr>
              <w:rPr>
                <w:rFonts w:hint="eastAsia" w:ascii="宋体" w:hAnsi="宋体" w:eastAsia="宋体" w:cs="宋体"/>
                <w:color w:val="auto"/>
                <w:highlight w:val="none"/>
              </w:rPr>
            </w:pPr>
          </w:p>
        </w:tc>
        <w:tc>
          <w:tcPr>
            <w:tcW w:w="1699" w:type="dxa"/>
            <w:gridSpan w:val="2"/>
          </w:tcPr>
          <w:p w14:paraId="24C77012">
            <w:pPr>
              <w:spacing w:before="171" w:line="220" w:lineRule="auto"/>
              <w:ind w:left="228"/>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各类注</w:t>
            </w:r>
            <w:r>
              <w:rPr>
                <w:rFonts w:hint="eastAsia" w:ascii="宋体" w:hAnsi="宋体" w:eastAsia="宋体" w:cs="宋体"/>
                <w:color w:val="auto"/>
                <w:spacing w:val="-1"/>
                <w:highlight w:val="none"/>
              </w:rPr>
              <w:t>册人员</w:t>
            </w:r>
          </w:p>
        </w:tc>
        <w:tc>
          <w:tcPr>
            <w:tcW w:w="1518" w:type="dxa"/>
            <w:gridSpan w:val="2"/>
          </w:tcPr>
          <w:p w14:paraId="672B255F">
            <w:pPr>
              <w:rPr>
                <w:rFonts w:hint="eastAsia" w:ascii="宋体" w:hAnsi="宋体" w:eastAsia="宋体" w:cs="宋体"/>
                <w:color w:val="auto"/>
                <w:highlight w:val="none"/>
              </w:rPr>
            </w:pPr>
          </w:p>
        </w:tc>
      </w:tr>
      <w:tr w14:paraId="279C1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jc w:val="center"/>
        </w:trPr>
        <w:tc>
          <w:tcPr>
            <w:tcW w:w="2050" w:type="dxa"/>
            <w:vAlign w:val="center"/>
          </w:tcPr>
          <w:p w14:paraId="06D9CAE6">
            <w:pPr>
              <w:spacing w:before="170" w:line="221" w:lineRule="auto"/>
              <w:jc w:val="center"/>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经营范围</w:t>
            </w:r>
          </w:p>
        </w:tc>
        <w:tc>
          <w:tcPr>
            <w:tcW w:w="6840" w:type="dxa"/>
            <w:gridSpan w:val="8"/>
          </w:tcPr>
          <w:p w14:paraId="462CBD9E">
            <w:pPr>
              <w:rPr>
                <w:rFonts w:hint="eastAsia" w:ascii="宋体" w:hAnsi="宋体" w:eastAsia="宋体" w:cs="宋体"/>
                <w:color w:val="auto"/>
                <w:highlight w:val="none"/>
              </w:rPr>
            </w:pPr>
          </w:p>
        </w:tc>
      </w:tr>
      <w:tr w14:paraId="39AA3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2" w:hRule="atLeast"/>
          <w:jc w:val="center"/>
        </w:trPr>
        <w:tc>
          <w:tcPr>
            <w:tcW w:w="2050" w:type="dxa"/>
            <w:vAlign w:val="center"/>
          </w:tcPr>
          <w:p w14:paraId="2AAB375D">
            <w:pPr>
              <w:spacing w:before="170" w:line="221" w:lineRule="auto"/>
              <w:jc w:val="center"/>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投标人关联企业情</w:t>
            </w:r>
          </w:p>
          <w:p w14:paraId="40040719">
            <w:pPr>
              <w:spacing w:before="170" w:line="221" w:lineRule="auto"/>
              <w:jc w:val="center"/>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况(包括但不限于与</w:t>
            </w:r>
          </w:p>
          <w:p w14:paraId="4AFDB8A9">
            <w:pPr>
              <w:spacing w:before="170" w:line="221" w:lineRule="auto"/>
              <w:jc w:val="center"/>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投标人法定代表人</w:t>
            </w:r>
          </w:p>
          <w:p w14:paraId="14A924E7">
            <w:pPr>
              <w:spacing w:before="170" w:line="221" w:lineRule="auto"/>
              <w:jc w:val="center"/>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为同一人或者存在</w:t>
            </w:r>
          </w:p>
          <w:p w14:paraId="1EDA17A3">
            <w:pPr>
              <w:spacing w:before="170" w:line="221" w:lineRule="auto"/>
              <w:jc w:val="center"/>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控股、管理关系的不</w:t>
            </w:r>
          </w:p>
          <w:p w14:paraId="684C8C57">
            <w:pPr>
              <w:spacing w:before="170" w:line="221" w:lineRule="auto"/>
              <w:jc w:val="center"/>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同单位)</w:t>
            </w:r>
          </w:p>
        </w:tc>
        <w:tc>
          <w:tcPr>
            <w:tcW w:w="6840" w:type="dxa"/>
            <w:gridSpan w:val="8"/>
          </w:tcPr>
          <w:p w14:paraId="69A92090">
            <w:pPr>
              <w:rPr>
                <w:rFonts w:hint="eastAsia" w:ascii="宋体" w:hAnsi="宋体" w:eastAsia="宋体" w:cs="宋体"/>
                <w:color w:val="auto"/>
                <w:highlight w:val="none"/>
              </w:rPr>
            </w:pPr>
          </w:p>
        </w:tc>
      </w:tr>
      <w:tr w14:paraId="03365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2050" w:type="dxa"/>
          </w:tcPr>
          <w:p w14:paraId="79F9408D">
            <w:pPr>
              <w:spacing w:before="174" w:line="222" w:lineRule="auto"/>
              <w:ind w:left="822"/>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备</w:t>
            </w:r>
            <w:r>
              <w:rPr>
                <w:rFonts w:hint="eastAsia" w:ascii="宋体" w:hAnsi="宋体" w:eastAsia="宋体" w:cs="宋体"/>
                <w:color w:val="auto"/>
                <w:spacing w:val="-2"/>
                <w:highlight w:val="none"/>
              </w:rPr>
              <w:t>注</w:t>
            </w:r>
          </w:p>
        </w:tc>
        <w:tc>
          <w:tcPr>
            <w:tcW w:w="6840" w:type="dxa"/>
            <w:gridSpan w:val="8"/>
          </w:tcPr>
          <w:p w14:paraId="39FB9263">
            <w:pPr>
              <w:rPr>
                <w:rFonts w:hint="eastAsia" w:ascii="宋体" w:hAnsi="宋体" w:eastAsia="宋体" w:cs="宋体"/>
                <w:color w:val="auto"/>
                <w:highlight w:val="none"/>
              </w:rPr>
            </w:pPr>
          </w:p>
        </w:tc>
      </w:tr>
    </w:tbl>
    <w:p w14:paraId="46623F85">
      <w:pPr>
        <w:spacing w:before="134" w:line="228" w:lineRule="auto"/>
        <w:ind w:left="135"/>
        <w:rPr>
          <w:rFonts w:hint="eastAsia" w:ascii="宋体" w:hAnsi="宋体" w:eastAsia="宋体" w:cs="宋体"/>
          <w:color w:val="auto"/>
          <w:highlight w:val="none"/>
        </w:rPr>
      </w:pPr>
      <w:r>
        <w:rPr>
          <w:rFonts w:hint="eastAsia" w:ascii="宋体" w:hAnsi="宋体" w:eastAsia="宋体" w:cs="宋体"/>
          <w:color w:val="auto"/>
          <w:highlight w:val="none"/>
        </w:rPr>
        <w:t>注：投标人应根据投标人须知第3.5.1项的要求在本表后附相关证明材料。</w:t>
      </w:r>
    </w:p>
    <w:p w14:paraId="1C743705">
      <w:pPr>
        <w:spacing w:before="134" w:line="228" w:lineRule="auto"/>
        <w:ind w:left="135"/>
        <w:rPr>
          <w:rFonts w:hint="eastAsia" w:ascii="宋体" w:hAnsi="宋体" w:eastAsia="宋体" w:cs="宋体"/>
          <w:color w:val="auto"/>
          <w:spacing w:val="34"/>
          <w:sz w:val="27"/>
          <w:szCs w:val="27"/>
          <w:highlight w:val="none"/>
        </w:rPr>
      </w:pPr>
      <w:r>
        <w:rPr>
          <w:rFonts w:hint="eastAsia" w:ascii="宋体" w:hAnsi="宋体" w:eastAsia="宋体" w:cs="宋体"/>
          <w:color w:val="auto"/>
          <w:spacing w:val="34"/>
          <w:sz w:val="27"/>
          <w:szCs w:val="27"/>
          <w:highlight w:val="none"/>
        </w:rPr>
        <w:br w:type="page"/>
      </w:r>
    </w:p>
    <w:p w14:paraId="2903FE78">
      <w:pPr>
        <w:spacing w:before="68" w:line="352" w:lineRule="auto"/>
        <w:ind w:right="72"/>
        <w:jc w:val="both"/>
        <w:rPr>
          <w:rFonts w:hint="eastAsia" w:ascii="宋体" w:hAnsi="宋体" w:eastAsia="宋体" w:cs="宋体"/>
          <w:b/>
          <w:bCs/>
          <w:color w:val="auto"/>
          <w:spacing w:val="-2"/>
          <w:sz w:val="24"/>
          <w:szCs w:val="24"/>
          <w:highlight w:val="none"/>
        </w:rPr>
      </w:pPr>
      <w:bookmarkStart w:id="509" w:name="_Toc31959"/>
      <w:bookmarkStart w:id="510" w:name="_Toc22530"/>
      <w:bookmarkStart w:id="511" w:name="_Toc25484"/>
      <w:bookmarkStart w:id="512" w:name="_Toc22738"/>
      <w:bookmarkStart w:id="513" w:name="_Toc17885"/>
      <w:r>
        <w:rPr>
          <w:rFonts w:hint="eastAsia" w:ascii="宋体" w:hAnsi="宋体" w:eastAsia="宋体" w:cs="宋体"/>
          <w:b/>
          <w:bCs/>
          <w:color w:val="auto"/>
          <w:spacing w:val="-2"/>
          <w:sz w:val="24"/>
          <w:szCs w:val="24"/>
          <w:highlight w:val="none"/>
        </w:rPr>
        <w:t>(二)投标人声明</w:t>
      </w:r>
      <w:bookmarkEnd w:id="509"/>
      <w:bookmarkEnd w:id="510"/>
      <w:bookmarkEnd w:id="511"/>
      <w:bookmarkEnd w:id="512"/>
      <w:bookmarkEnd w:id="513"/>
    </w:p>
    <w:p w14:paraId="62D22C67">
      <w:pPr>
        <w:bidi w:val="0"/>
        <w:rPr>
          <w:rFonts w:hint="eastAsia"/>
        </w:rPr>
      </w:pPr>
    </w:p>
    <w:p w14:paraId="07D7780D">
      <w:pPr>
        <w:spacing w:before="68" w:line="352" w:lineRule="auto"/>
        <w:ind w:right="72"/>
        <w:jc w:val="center"/>
        <w:rPr>
          <w:rFonts w:hint="eastAsia" w:ascii="宋体" w:hAnsi="宋体" w:eastAsia="宋体" w:cs="宋体"/>
          <w:b/>
          <w:bCs/>
          <w:color w:val="auto"/>
          <w:spacing w:val="-2"/>
          <w:sz w:val="28"/>
          <w:szCs w:val="28"/>
          <w:highlight w:val="none"/>
        </w:rPr>
      </w:pPr>
      <w:r>
        <w:rPr>
          <w:rFonts w:hint="eastAsia" w:ascii="宋体" w:hAnsi="宋体" w:eastAsia="宋体" w:cs="宋体"/>
          <w:b/>
          <w:bCs/>
          <w:color w:val="auto"/>
          <w:spacing w:val="-2"/>
          <w:sz w:val="28"/>
          <w:szCs w:val="28"/>
          <w:highlight w:val="none"/>
        </w:rPr>
        <w:t>投标人声明（参考格式）</w:t>
      </w:r>
    </w:p>
    <w:p w14:paraId="18DEF97A">
      <w:pPr>
        <w:bidi w:val="0"/>
        <w:rPr>
          <w:rFonts w:hint="eastAsia"/>
        </w:rPr>
      </w:pPr>
    </w:p>
    <w:p w14:paraId="261ED5AA">
      <w:pPr>
        <w:keepNext w:val="0"/>
        <w:keepLines w:val="0"/>
        <w:pageBreakBefore w:val="0"/>
        <w:widowControl/>
        <w:kinsoku w:val="0"/>
        <w:wordWrap/>
        <w:overflowPunct/>
        <w:topLinePunct w:val="0"/>
        <w:autoSpaceDE w:val="0"/>
        <w:autoSpaceDN w:val="0"/>
        <w:bidi w:val="0"/>
        <w:adjustRightInd/>
        <w:snapToGrid w:val="0"/>
        <w:spacing w:before="68" w:line="353" w:lineRule="auto"/>
        <w:ind w:right="74"/>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广州市水务局、本招标项目招标人及招标监管机构：</w:t>
      </w:r>
    </w:p>
    <w:p w14:paraId="0204AF26">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本公司就参加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投标工作，作出郑重声明：我方与招标人过去3年内无合同履约纠纷，不存在第二章“投标人须知”第1.4.3项规定的任何一种情形。 </w:t>
      </w:r>
    </w:p>
    <w:p w14:paraId="080329DD">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本公司积极响应广州市关于投身“百千万工程”的号召，主动参与政府投资类建设工程施工项目的建筑业结对帮扶等活动（市属国有企业投资项目参照执行）。</w:t>
      </w:r>
    </w:p>
    <w:p w14:paraId="1CC26ECE">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14:paraId="032234C3">
      <w:pPr>
        <w:pStyle w:val="65"/>
        <w:spacing w:line="400" w:lineRule="exact"/>
        <w:ind w:firstLine="420" w:firstLineChars="200"/>
        <w:rPr>
          <w:rFonts w:hint="eastAsia" w:ascii="宋体" w:hAnsi="宋体" w:eastAsia="宋体" w:cs="宋体"/>
          <w:color w:val="auto"/>
          <w:sz w:val="21"/>
          <w:szCs w:val="21"/>
          <w:highlight w:val="none"/>
        </w:rPr>
      </w:pPr>
    </w:p>
    <w:p w14:paraId="783B8057">
      <w:pPr>
        <w:pStyle w:val="65"/>
        <w:spacing w:line="400" w:lineRule="exact"/>
        <w:rPr>
          <w:rFonts w:hint="eastAsia" w:ascii="宋体" w:hAnsi="宋体" w:eastAsia="宋体" w:cs="宋体"/>
          <w:color w:val="auto"/>
          <w:sz w:val="21"/>
          <w:szCs w:val="21"/>
          <w:highlight w:val="none"/>
        </w:rPr>
      </w:pPr>
    </w:p>
    <w:p w14:paraId="7B49B600">
      <w:pPr>
        <w:pStyle w:val="66"/>
        <w:spacing w:line="400" w:lineRule="exact"/>
        <w:ind w:left="0" w:right="1449" w:firstLine="3570" w:firstLineChars="17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投标人：(盖章)</w:t>
      </w:r>
    </w:p>
    <w:p w14:paraId="092C0328">
      <w:pPr>
        <w:pStyle w:val="65"/>
        <w:spacing w:line="400" w:lineRule="exact"/>
        <w:ind w:right="1449" w:firstLine="4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法定代表人：（签字或盖章）                  </w:t>
      </w:r>
    </w:p>
    <w:p w14:paraId="55BBF60A">
      <w:pPr>
        <w:pStyle w:val="65"/>
        <w:spacing w:line="400" w:lineRule="exact"/>
        <w:ind w:right="2079" w:firstLine="1890" w:firstLineChars="9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4647FA63">
      <w:pPr>
        <w:rPr>
          <w:rFonts w:hint="eastAsia" w:ascii="宋体" w:hAnsi="宋体" w:eastAsia="宋体" w:cs="宋体"/>
          <w:color w:val="auto"/>
          <w:highlight w:val="none"/>
        </w:rPr>
      </w:pPr>
    </w:p>
    <w:p w14:paraId="722DD214">
      <w:pPr>
        <w:rPr>
          <w:rFonts w:hint="eastAsia" w:ascii="宋体" w:hAnsi="宋体" w:eastAsia="宋体" w:cs="宋体"/>
          <w:color w:val="auto"/>
          <w:highlight w:val="none"/>
        </w:rPr>
        <w:sectPr>
          <w:footerReference r:id="rId29" w:type="default"/>
          <w:pgSz w:w="11905" w:h="16838"/>
          <w:pgMar w:top="1344" w:right="1247" w:bottom="1106" w:left="1837" w:header="0" w:footer="680" w:gutter="0"/>
          <w:pgNumType w:fmt="decimal"/>
          <w:cols w:space="0" w:num="1"/>
          <w:rtlGutter w:val="0"/>
          <w:docGrid w:type="linesAndChars" w:linePitch="312" w:charSpace="0"/>
        </w:sectPr>
      </w:pPr>
    </w:p>
    <w:p w14:paraId="14B58541">
      <w:pPr>
        <w:spacing w:before="68" w:line="352" w:lineRule="auto"/>
        <w:ind w:right="72"/>
        <w:jc w:val="both"/>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(三)投标人廉洁承诺书</w:t>
      </w:r>
    </w:p>
    <w:p w14:paraId="0BC81E04">
      <w:pPr>
        <w:bidi w:val="0"/>
        <w:rPr>
          <w:rFonts w:hint="eastAsia"/>
        </w:rPr>
      </w:pPr>
    </w:p>
    <w:p w14:paraId="3F3BDDCF">
      <w:pPr>
        <w:spacing w:before="68" w:line="352" w:lineRule="auto"/>
        <w:ind w:right="72"/>
        <w:jc w:val="center"/>
        <w:rPr>
          <w:rFonts w:hint="eastAsia" w:ascii="宋体" w:hAnsi="宋体" w:eastAsia="宋体" w:cs="宋体"/>
          <w:b/>
          <w:bCs/>
          <w:color w:val="auto"/>
          <w:spacing w:val="-2"/>
          <w:sz w:val="28"/>
          <w:szCs w:val="28"/>
          <w:highlight w:val="none"/>
        </w:rPr>
      </w:pPr>
      <w:r>
        <w:rPr>
          <w:rFonts w:hint="eastAsia" w:ascii="宋体" w:hAnsi="宋体" w:eastAsia="宋体" w:cs="宋体"/>
          <w:b/>
          <w:bCs/>
          <w:color w:val="auto"/>
          <w:spacing w:val="-2"/>
          <w:sz w:val="28"/>
          <w:szCs w:val="28"/>
          <w:highlight w:val="none"/>
        </w:rPr>
        <w:t>投标人廉洁承诺书</w:t>
      </w:r>
    </w:p>
    <w:p w14:paraId="4683FB6B">
      <w:pPr>
        <w:bidi w:val="0"/>
        <w:rPr>
          <w:rFonts w:hint="eastAsia"/>
          <w:lang w:val="en-US" w:eastAsia="zh-CN"/>
        </w:rPr>
      </w:pPr>
    </w:p>
    <w:p w14:paraId="67884D60">
      <w:pPr>
        <w:keepNext w:val="0"/>
        <w:keepLines w:val="0"/>
        <w:pageBreakBefore w:val="0"/>
        <w:widowControl/>
        <w:kinsoku w:val="0"/>
        <w:wordWrap/>
        <w:overflowPunct/>
        <w:topLinePunct w:val="0"/>
        <w:autoSpaceDE w:val="0"/>
        <w:autoSpaceDN w:val="0"/>
        <w:bidi w:val="0"/>
        <w:adjustRightInd/>
        <w:snapToGrid w:val="0"/>
        <w:spacing w:before="68" w:line="353" w:lineRule="auto"/>
        <w:ind w:right="74"/>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广州市水务局、本招标项目招标人及招标监管机构：</w:t>
      </w:r>
    </w:p>
    <w:p w14:paraId="4ECFEAC0">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本公司参加了</w:t>
      </w:r>
      <w:r>
        <w:rPr>
          <w:rFonts w:hint="eastAsia" w:ascii="宋体" w:hAnsi="宋体" w:eastAsia="宋体" w:cs="宋体"/>
          <w:color w:val="auto"/>
          <w:szCs w:val="21"/>
          <w:highlight w:val="none"/>
          <w:u w:val="single"/>
        </w:rPr>
        <w:t xml:space="preserve">   （项目名称/标段名称）    </w:t>
      </w:r>
      <w:r>
        <w:rPr>
          <w:rFonts w:hint="eastAsia" w:ascii="宋体" w:hAnsi="宋体" w:eastAsia="宋体" w:cs="宋体"/>
          <w:color w:val="auto"/>
          <w:szCs w:val="21"/>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5701D3BB">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36" w:firstLineChars="200"/>
        <w:jc w:val="both"/>
        <w:textAlignment w:val="auto"/>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一、自觉遵守国家有关法律法规及廉洁规定。</w:t>
      </w:r>
    </w:p>
    <w:p w14:paraId="61C5FCFC">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36" w:firstLineChars="200"/>
        <w:jc w:val="both"/>
        <w:textAlignment w:val="auto"/>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二、不与招标单位工作人员串通投标，损害国家利益、企业利益以及他人的合法利益；</w:t>
      </w:r>
    </w:p>
    <w:p w14:paraId="7217A0AC">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36" w:firstLineChars="200"/>
        <w:jc w:val="both"/>
        <w:textAlignment w:val="auto"/>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三、不与其他单位围标、串标，不出让投标资格，不向招标人或评标委员会成员行贿。</w:t>
      </w:r>
    </w:p>
    <w:p w14:paraId="34012E79">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36" w:firstLineChars="200"/>
        <w:jc w:val="both"/>
        <w:textAlignment w:val="auto"/>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 xml:space="preserve">四、不以任何名义向参与招标、评标工作的有关人员提供高消费宴请及娱乐活动和赠送回扣、红包、礼金、购物卡、有价证券、贵重物品和好处费、感谢费等； </w:t>
      </w:r>
    </w:p>
    <w:p w14:paraId="41B589D4">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36" w:firstLineChars="200"/>
        <w:jc w:val="both"/>
        <w:textAlignment w:val="auto"/>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五、不以任何名义为参与招标、评标工作的有关人员装修住房、婚丧嫁取、配偶子女的工作安排以及境内外旅游等提供方便；</w:t>
      </w:r>
    </w:p>
    <w:p w14:paraId="1A91E9F8">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36" w:firstLineChars="200"/>
        <w:jc w:val="both"/>
        <w:textAlignment w:val="auto"/>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六、不以谋取非正当利益为目的，擅自与参与招标、评标工作的有关人员就业务问题进行私下商谈或者达成利益默契。</w:t>
      </w:r>
    </w:p>
    <w:p w14:paraId="122C1EE3">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36" w:firstLineChars="200"/>
        <w:jc w:val="both"/>
        <w:textAlignment w:val="auto"/>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本公司违反上述承诺，或本承诺陈述与事实不符，经查实，本公司愿意接受公开通报，承担由此带来的法律后果。</w:t>
      </w:r>
    </w:p>
    <w:p w14:paraId="43711095">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36" w:firstLineChars="200"/>
        <w:jc w:val="both"/>
        <w:textAlignment w:val="auto"/>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特此承诺。</w:t>
      </w:r>
    </w:p>
    <w:p w14:paraId="0CAC4CA9">
      <w:pPr>
        <w:pStyle w:val="47"/>
        <w:spacing w:line="360" w:lineRule="auto"/>
        <w:ind w:right="420" w:firstLine="420" w:firstLineChars="200"/>
        <w:rPr>
          <w:rFonts w:hint="eastAsia" w:ascii="宋体" w:hAnsi="宋体" w:eastAsia="宋体" w:cs="宋体"/>
          <w:color w:val="auto"/>
          <w:szCs w:val="21"/>
          <w:highlight w:val="none"/>
        </w:rPr>
      </w:pPr>
    </w:p>
    <w:p w14:paraId="56CF8EF1">
      <w:pPr>
        <w:pStyle w:val="47"/>
        <w:spacing w:line="360" w:lineRule="auto"/>
        <w:ind w:right="420" w:firstLine="3150" w:firstLineChars="1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承诺企业（盖单位章）：      </w:t>
      </w:r>
    </w:p>
    <w:p w14:paraId="21E958E7">
      <w:pPr>
        <w:pStyle w:val="47"/>
        <w:spacing w:line="360" w:lineRule="auto"/>
        <w:ind w:right="420" w:firstLine="3780" w:firstLineChars="18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法定代表人签字：           </w:t>
      </w:r>
    </w:p>
    <w:p w14:paraId="3D2807C7">
      <w:pPr>
        <w:pStyle w:val="47"/>
        <w:spacing w:line="360" w:lineRule="auto"/>
        <w:ind w:right="420" w:firstLine="4830" w:firstLineChars="2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bookmarkStart w:id="514" w:name="bookmark193"/>
      <w:bookmarkEnd w:id="514"/>
    </w:p>
    <w:p w14:paraId="038A7E29">
      <w:pPr>
        <w:pStyle w:val="47"/>
        <w:spacing w:line="360" w:lineRule="auto"/>
        <w:ind w:right="420" w:firstLine="420" w:firstLineChars="200"/>
        <w:rPr>
          <w:rFonts w:hint="eastAsia" w:ascii="宋体" w:hAnsi="宋体" w:eastAsia="宋体" w:cs="宋体"/>
          <w:color w:val="auto"/>
          <w:szCs w:val="21"/>
          <w:highlight w:val="none"/>
        </w:rPr>
        <w:sectPr>
          <w:footerReference r:id="rId30" w:type="default"/>
          <w:pgSz w:w="11905" w:h="16838"/>
          <w:pgMar w:top="1344" w:right="1247" w:bottom="1106" w:left="1837" w:header="0" w:footer="680" w:gutter="0"/>
          <w:pgNumType w:fmt="decimal"/>
          <w:cols w:space="0" w:num="1"/>
          <w:rtlGutter w:val="0"/>
          <w:docGrid w:type="linesAndChars" w:linePitch="312" w:charSpace="0"/>
        </w:sectPr>
      </w:pPr>
    </w:p>
    <w:p w14:paraId="54CCF58C">
      <w:pPr>
        <w:spacing w:before="68" w:line="352" w:lineRule="auto"/>
        <w:ind w:right="72"/>
        <w:jc w:val="both"/>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(四)近年完成的类似项目情况表</w:t>
      </w:r>
    </w:p>
    <w:p w14:paraId="37AB7DD5">
      <w:pPr>
        <w:spacing w:line="26" w:lineRule="exact"/>
        <w:rPr>
          <w:rFonts w:hint="eastAsia" w:ascii="宋体" w:hAnsi="宋体" w:eastAsia="宋体" w:cs="宋体"/>
          <w:color w:val="auto"/>
          <w:highlight w:val="none"/>
        </w:rPr>
      </w:pPr>
    </w:p>
    <w:tbl>
      <w:tblPr>
        <w:tblStyle w:val="27"/>
        <w:tblW w:w="8525"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1"/>
        <w:gridCol w:w="6254"/>
      </w:tblGrid>
      <w:tr w14:paraId="5969E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271" w:type="dxa"/>
          </w:tcPr>
          <w:p w14:paraId="2B220485">
            <w:pPr>
              <w:spacing w:before="290" w:line="220" w:lineRule="auto"/>
              <w:ind w:left="724"/>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项</w:t>
            </w:r>
            <w:r>
              <w:rPr>
                <w:rFonts w:hint="eastAsia" w:ascii="宋体" w:hAnsi="宋体" w:eastAsia="宋体" w:cs="宋体"/>
                <w:color w:val="auto"/>
                <w:spacing w:val="-2"/>
                <w:highlight w:val="none"/>
              </w:rPr>
              <w:t>目名称</w:t>
            </w:r>
          </w:p>
        </w:tc>
        <w:tc>
          <w:tcPr>
            <w:tcW w:w="6254" w:type="dxa"/>
          </w:tcPr>
          <w:p w14:paraId="73D8B0D8">
            <w:pPr>
              <w:rPr>
                <w:rFonts w:hint="eastAsia" w:ascii="宋体" w:hAnsi="宋体" w:eastAsia="宋体" w:cs="宋体"/>
                <w:color w:val="auto"/>
                <w:highlight w:val="none"/>
              </w:rPr>
            </w:pPr>
          </w:p>
        </w:tc>
      </w:tr>
      <w:tr w14:paraId="47CF7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271" w:type="dxa"/>
          </w:tcPr>
          <w:p w14:paraId="17BAB641">
            <w:pPr>
              <w:spacing w:before="285" w:line="220" w:lineRule="auto"/>
              <w:ind w:left="619"/>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项目所在地</w:t>
            </w:r>
          </w:p>
        </w:tc>
        <w:tc>
          <w:tcPr>
            <w:tcW w:w="6254" w:type="dxa"/>
          </w:tcPr>
          <w:p w14:paraId="596915E4">
            <w:pPr>
              <w:rPr>
                <w:rFonts w:hint="eastAsia" w:ascii="宋体" w:hAnsi="宋体" w:eastAsia="宋体" w:cs="宋体"/>
                <w:color w:val="auto"/>
                <w:highlight w:val="none"/>
              </w:rPr>
            </w:pPr>
          </w:p>
        </w:tc>
      </w:tr>
      <w:tr w14:paraId="1A1B8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271" w:type="dxa"/>
          </w:tcPr>
          <w:p w14:paraId="161BFD9C">
            <w:pPr>
              <w:spacing w:before="285" w:line="221" w:lineRule="auto"/>
              <w:ind w:left="619"/>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发包人名称</w:t>
            </w:r>
          </w:p>
        </w:tc>
        <w:tc>
          <w:tcPr>
            <w:tcW w:w="6254" w:type="dxa"/>
          </w:tcPr>
          <w:p w14:paraId="5C89AE6B">
            <w:pPr>
              <w:rPr>
                <w:rFonts w:hint="eastAsia" w:ascii="宋体" w:hAnsi="宋体" w:eastAsia="宋体" w:cs="宋体"/>
                <w:color w:val="auto"/>
                <w:highlight w:val="none"/>
              </w:rPr>
            </w:pPr>
          </w:p>
        </w:tc>
      </w:tr>
      <w:tr w14:paraId="454B4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1" w:type="dxa"/>
          </w:tcPr>
          <w:p w14:paraId="3B8D4FEA">
            <w:pPr>
              <w:spacing w:before="285" w:line="221" w:lineRule="auto"/>
              <w:ind w:left="619"/>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发包人地址</w:t>
            </w:r>
          </w:p>
        </w:tc>
        <w:tc>
          <w:tcPr>
            <w:tcW w:w="6254" w:type="dxa"/>
          </w:tcPr>
          <w:p w14:paraId="7A7B7714">
            <w:pPr>
              <w:rPr>
                <w:rFonts w:hint="eastAsia" w:ascii="宋体" w:hAnsi="宋体" w:eastAsia="宋体" w:cs="宋体"/>
                <w:color w:val="auto"/>
                <w:highlight w:val="none"/>
              </w:rPr>
            </w:pPr>
          </w:p>
        </w:tc>
      </w:tr>
      <w:tr w14:paraId="0052D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271" w:type="dxa"/>
          </w:tcPr>
          <w:p w14:paraId="2BB49965">
            <w:pPr>
              <w:spacing w:before="285" w:line="221" w:lineRule="auto"/>
              <w:ind w:left="619"/>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发包人电话</w:t>
            </w:r>
          </w:p>
        </w:tc>
        <w:tc>
          <w:tcPr>
            <w:tcW w:w="6254" w:type="dxa"/>
          </w:tcPr>
          <w:p w14:paraId="7B810C4F">
            <w:pPr>
              <w:rPr>
                <w:rFonts w:hint="eastAsia" w:ascii="宋体" w:hAnsi="宋体" w:eastAsia="宋体" w:cs="宋体"/>
                <w:color w:val="auto"/>
                <w:highlight w:val="none"/>
              </w:rPr>
            </w:pPr>
          </w:p>
        </w:tc>
      </w:tr>
      <w:tr w14:paraId="68C4D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271" w:type="dxa"/>
          </w:tcPr>
          <w:p w14:paraId="2F59DACC">
            <w:pPr>
              <w:spacing w:before="286" w:line="219" w:lineRule="auto"/>
              <w:ind w:left="721"/>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合同价</w:t>
            </w:r>
            <w:r>
              <w:rPr>
                <w:rFonts w:hint="eastAsia" w:ascii="宋体" w:hAnsi="宋体" w:eastAsia="宋体" w:cs="宋体"/>
                <w:color w:val="auto"/>
                <w:spacing w:val="-1"/>
                <w:highlight w:val="none"/>
              </w:rPr>
              <w:t>格</w:t>
            </w:r>
          </w:p>
        </w:tc>
        <w:tc>
          <w:tcPr>
            <w:tcW w:w="6254" w:type="dxa"/>
          </w:tcPr>
          <w:p w14:paraId="5840EA7C">
            <w:pPr>
              <w:rPr>
                <w:rFonts w:hint="eastAsia" w:ascii="宋体" w:hAnsi="宋体" w:eastAsia="宋体" w:cs="宋体"/>
                <w:color w:val="auto"/>
                <w:highlight w:val="none"/>
              </w:rPr>
            </w:pPr>
          </w:p>
        </w:tc>
      </w:tr>
      <w:tr w14:paraId="5491C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271" w:type="dxa"/>
          </w:tcPr>
          <w:p w14:paraId="37450C6D">
            <w:pPr>
              <w:spacing w:before="287" w:line="220" w:lineRule="auto"/>
              <w:ind w:left="514" w:firstLine="206" w:firstLineChars="100"/>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服务</w:t>
            </w:r>
            <w:r>
              <w:rPr>
                <w:rFonts w:hint="eastAsia" w:ascii="宋体" w:hAnsi="宋体" w:eastAsia="宋体" w:cs="宋体"/>
                <w:color w:val="auto"/>
                <w:spacing w:val="-1"/>
                <w:highlight w:val="none"/>
              </w:rPr>
              <w:t>期限</w:t>
            </w:r>
          </w:p>
        </w:tc>
        <w:tc>
          <w:tcPr>
            <w:tcW w:w="6254" w:type="dxa"/>
          </w:tcPr>
          <w:p w14:paraId="5E8D01BD">
            <w:pPr>
              <w:rPr>
                <w:rFonts w:hint="eastAsia" w:ascii="宋体" w:hAnsi="宋体" w:eastAsia="宋体" w:cs="宋体"/>
                <w:color w:val="auto"/>
                <w:highlight w:val="none"/>
              </w:rPr>
            </w:pPr>
          </w:p>
        </w:tc>
      </w:tr>
      <w:tr w14:paraId="6706A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271" w:type="dxa"/>
          </w:tcPr>
          <w:p w14:paraId="45C64895">
            <w:pPr>
              <w:spacing w:before="287" w:line="220" w:lineRule="auto"/>
              <w:ind w:left="724"/>
              <w:rPr>
                <w:rFonts w:hint="eastAsia" w:ascii="宋体" w:hAnsi="宋体" w:eastAsia="宋体" w:cs="宋体"/>
                <w:color w:val="auto"/>
                <w:spacing w:val="-2"/>
                <w:highlight w:val="none"/>
              </w:rPr>
            </w:pPr>
            <w:r>
              <w:rPr>
                <w:rFonts w:hint="eastAsia" w:ascii="宋体" w:hAnsi="宋体" w:eastAsia="宋体" w:cs="宋体"/>
                <w:color w:val="auto"/>
                <w:spacing w:val="-2"/>
                <w:highlight w:val="none"/>
                <w:lang w:eastAsia="zh-CN"/>
              </w:rPr>
              <w:t>项目</w:t>
            </w:r>
            <w:r>
              <w:rPr>
                <w:rFonts w:hint="eastAsia" w:ascii="宋体" w:hAnsi="宋体" w:eastAsia="宋体" w:cs="宋体"/>
                <w:color w:val="auto"/>
                <w:spacing w:val="-2"/>
                <w:highlight w:val="none"/>
              </w:rPr>
              <w:t>内容</w:t>
            </w:r>
          </w:p>
        </w:tc>
        <w:tc>
          <w:tcPr>
            <w:tcW w:w="6254" w:type="dxa"/>
          </w:tcPr>
          <w:p w14:paraId="239A59FB">
            <w:pPr>
              <w:rPr>
                <w:rFonts w:hint="eastAsia" w:ascii="宋体" w:hAnsi="宋体" w:eastAsia="宋体" w:cs="宋体"/>
                <w:color w:val="auto"/>
                <w:highlight w:val="none"/>
              </w:rPr>
            </w:pPr>
          </w:p>
        </w:tc>
      </w:tr>
      <w:tr w14:paraId="313E4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271" w:type="dxa"/>
          </w:tcPr>
          <w:p w14:paraId="104AC948">
            <w:pPr>
              <w:spacing w:before="287" w:line="217" w:lineRule="auto"/>
              <w:ind w:left="619"/>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项目负责人</w:t>
            </w:r>
          </w:p>
        </w:tc>
        <w:tc>
          <w:tcPr>
            <w:tcW w:w="6254" w:type="dxa"/>
          </w:tcPr>
          <w:p w14:paraId="0831201D">
            <w:pPr>
              <w:rPr>
                <w:rFonts w:hint="eastAsia" w:ascii="宋体" w:hAnsi="宋体" w:eastAsia="宋体" w:cs="宋体"/>
                <w:color w:val="auto"/>
                <w:highlight w:val="none"/>
              </w:rPr>
            </w:pPr>
          </w:p>
        </w:tc>
      </w:tr>
      <w:tr w14:paraId="4C6AF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3" w:hRule="atLeast"/>
        </w:trPr>
        <w:tc>
          <w:tcPr>
            <w:tcW w:w="2271" w:type="dxa"/>
          </w:tcPr>
          <w:p w14:paraId="70B41561">
            <w:pPr>
              <w:spacing w:line="283" w:lineRule="auto"/>
              <w:rPr>
                <w:rFonts w:hint="eastAsia" w:ascii="宋体" w:hAnsi="宋体" w:eastAsia="宋体" w:cs="宋体"/>
                <w:color w:val="auto"/>
                <w:highlight w:val="none"/>
              </w:rPr>
            </w:pPr>
          </w:p>
          <w:p w14:paraId="77243D18">
            <w:pPr>
              <w:spacing w:line="283" w:lineRule="auto"/>
              <w:rPr>
                <w:rFonts w:hint="eastAsia" w:ascii="宋体" w:hAnsi="宋体" w:eastAsia="宋体" w:cs="宋体"/>
                <w:color w:val="auto"/>
                <w:highlight w:val="none"/>
              </w:rPr>
            </w:pPr>
          </w:p>
          <w:p w14:paraId="304DD84D">
            <w:pPr>
              <w:spacing w:line="283" w:lineRule="auto"/>
              <w:rPr>
                <w:rFonts w:hint="eastAsia" w:ascii="宋体" w:hAnsi="宋体" w:eastAsia="宋体" w:cs="宋体"/>
                <w:color w:val="auto"/>
                <w:highlight w:val="none"/>
              </w:rPr>
            </w:pPr>
          </w:p>
          <w:p w14:paraId="4D75CF8F">
            <w:pPr>
              <w:spacing w:line="283" w:lineRule="auto"/>
              <w:rPr>
                <w:rFonts w:hint="eastAsia" w:ascii="宋体" w:hAnsi="宋体" w:eastAsia="宋体" w:cs="宋体"/>
                <w:color w:val="auto"/>
                <w:highlight w:val="none"/>
              </w:rPr>
            </w:pPr>
          </w:p>
          <w:p w14:paraId="52F29937">
            <w:pPr>
              <w:spacing w:line="283" w:lineRule="auto"/>
              <w:rPr>
                <w:rFonts w:hint="eastAsia" w:ascii="宋体" w:hAnsi="宋体" w:eastAsia="宋体" w:cs="宋体"/>
                <w:color w:val="auto"/>
                <w:highlight w:val="none"/>
              </w:rPr>
            </w:pPr>
          </w:p>
          <w:p w14:paraId="0E3EC445">
            <w:pPr>
              <w:spacing w:before="69" w:line="220" w:lineRule="auto"/>
              <w:ind w:left="724"/>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项</w:t>
            </w:r>
            <w:r>
              <w:rPr>
                <w:rFonts w:hint="eastAsia" w:ascii="宋体" w:hAnsi="宋体" w:eastAsia="宋体" w:cs="宋体"/>
                <w:color w:val="auto"/>
                <w:spacing w:val="-2"/>
                <w:highlight w:val="none"/>
              </w:rPr>
              <w:t>目描述</w:t>
            </w:r>
          </w:p>
        </w:tc>
        <w:tc>
          <w:tcPr>
            <w:tcW w:w="6254" w:type="dxa"/>
          </w:tcPr>
          <w:p w14:paraId="01D68C9E">
            <w:pPr>
              <w:rPr>
                <w:rFonts w:hint="eastAsia" w:ascii="宋体" w:hAnsi="宋体" w:eastAsia="宋体" w:cs="宋体"/>
                <w:color w:val="auto"/>
                <w:highlight w:val="none"/>
              </w:rPr>
            </w:pPr>
          </w:p>
        </w:tc>
      </w:tr>
      <w:tr w14:paraId="0CF99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2271" w:type="dxa"/>
          </w:tcPr>
          <w:p w14:paraId="56AD609D">
            <w:pPr>
              <w:spacing w:before="289" w:line="222" w:lineRule="auto"/>
              <w:ind w:left="933"/>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备</w:t>
            </w:r>
            <w:r>
              <w:rPr>
                <w:rFonts w:hint="eastAsia" w:ascii="宋体" w:hAnsi="宋体" w:eastAsia="宋体" w:cs="宋体"/>
                <w:color w:val="auto"/>
                <w:spacing w:val="-2"/>
                <w:highlight w:val="none"/>
              </w:rPr>
              <w:t>注</w:t>
            </w:r>
          </w:p>
        </w:tc>
        <w:tc>
          <w:tcPr>
            <w:tcW w:w="6254" w:type="dxa"/>
          </w:tcPr>
          <w:p w14:paraId="5B528A63">
            <w:pPr>
              <w:rPr>
                <w:rFonts w:hint="eastAsia" w:ascii="宋体" w:hAnsi="宋体" w:eastAsia="宋体" w:cs="宋体"/>
                <w:color w:val="auto"/>
                <w:highlight w:val="none"/>
              </w:rPr>
            </w:pPr>
          </w:p>
        </w:tc>
      </w:tr>
    </w:tbl>
    <w:p w14:paraId="3DAF8208">
      <w:pPr>
        <w:rPr>
          <w:rFonts w:hint="eastAsia" w:ascii="宋体" w:hAnsi="宋体" w:eastAsia="宋体" w:cs="宋体"/>
          <w:color w:val="auto"/>
          <w:highlight w:val="none"/>
        </w:rPr>
        <w:sectPr>
          <w:pgSz w:w="11905" w:h="16838"/>
          <w:pgMar w:top="1344" w:right="1247" w:bottom="1106" w:left="1837" w:header="0" w:footer="680" w:gutter="0"/>
          <w:pgNumType w:fmt="decimal"/>
          <w:cols w:space="0" w:num="1"/>
          <w:rtlGutter w:val="0"/>
          <w:docGrid w:type="linesAndChars" w:linePitch="312" w:charSpace="0"/>
        </w:sectPr>
      </w:pPr>
    </w:p>
    <w:p w14:paraId="1BF24BE7">
      <w:pPr>
        <w:spacing w:before="68" w:line="352" w:lineRule="auto"/>
        <w:ind w:right="72"/>
        <w:jc w:val="both"/>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(五)拟委任的主要人员汇总表</w:t>
      </w:r>
    </w:p>
    <w:p w14:paraId="484DE0E4">
      <w:pPr>
        <w:spacing w:line="26" w:lineRule="exact"/>
        <w:rPr>
          <w:rFonts w:hint="eastAsia" w:ascii="宋体" w:hAnsi="宋体" w:eastAsia="宋体" w:cs="宋体"/>
          <w:color w:val="auto"/>
          <w:highlight w:val="none"/>
        </w:rPr>
      </w:pPr>
    </w:p>
    <w:tbl>
      <w:tblPr>
        <w:tblStyle w:val="27"/>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1212"/>
        <w:gridCol w:w="911"/>
        <w:gridCol w:w="924"/>
        <w:gridCol w:w="819"/>
        <w:gridCol w:w="997"/>
        <w:gridCol w:w="1087"/>
        <w:gridCol w:w="1089"/>
        <w:gridCol w:w="1073"/>
      </w:tblGrid>
      <w:tr w14:paraId="53A91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69" w:type="dxa"/>
            <w:vMerge w:val="restart"/>
            <w:vAlign w:val="center"/>
          </w:tcPr>
          <w:p w14:paraId="4520B14D">
            <w:pPr>
              <w:spacing w:before="68" w:line="222" w:lineRule="auto"/>
              <w:jc w:val="center"/>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序号</w:t>
            </w:r>
          </w:p>
        </w:tc>
        <w:tc>
          <w:tcPr>
            <w:tcW w:w="1212" w:type="dxa"/>
            <w:vMerge w:val="restart"/>
            <w:vAlign w:val="center"/>
          </w:tcPr>
          <w:p w14:paraId="18F08299">
            <w:pPr>
              <w:spacing w:before="68" w:line="220" w:lineRule="auto"/>
              <w:jc w:val="center"/>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本项目</w:t>
            </w:r>
            <w:r>
              <w:rPr>
                <w:rFonts w:hint="eastAsia" w:ascii="宋体" w:hAnsi="宋体" w:eastAsia="宋体" w:cs="宋体"/>
                <w:color w:val="auto"/>
                <w:spacing w:val="-1"/>
                <w:highlight w:val="none"/>
              </w:rPr>
              <w:t>任职</w:t>
            </w:r>
          </w:p>
        </w:tc>
        <w:tc>
          <w:tcPr>
            <w:tcW w:w="911" w:type="dxa"/>
            <w:vMerge w:val="restart"/>
            <w:vAlign w:val="center"/>
          </w:tcPr>
          <w:p w14:paraId="4B2A13CE">
            <w:pPr>
              <w:spacing w:before="68" w:line="220" w:lineRule="auto"/>
              <w:jc w:val="center"/>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姓</w:t>
            </w:r>
            <w:r>
              <w:rPr>
                <w:rFonts w:hint="eastAsia" w:ascii="宋体" w:hAnsi="宋体" w:eastAsia="宋体" w:cs="宋体"/>
                <w:color w:val="auto"/>
                <w:spacing w:val="-2"/>
                <w:highlight w:val="none"/>
              </w:rPr>
              <w:t>名</w:t>
            </w:r>
          </w:p>
        </w:tc>
        <w:tc>
          <w:tcPr>
            <w:tcW w:w="924" w:type="dxa"/>
            <w:vMerge w:val="restart"/>
            <w:vAlign w:val="center"/>
          </w:tcPr>
          <w:p w14:paraId="038424DB">
            <w:pPr>
              <w:spacing w:before="194" w:line="211" w:lineRule="auto"/>
              <w:jc w:val="center"/>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职  称</w:t>
            </w:r>
          </w:p>
        </w:tc>
        <w:tc>
          <w:tcPr>
            <w:tcW w:w="819" w:type="dxa"/>
            <w:vMerge w:val="restart"/>
            <w:vAlign w:val="center"/>
          </w:tcPr>
          <w:p w14:paraId="39918C8A">
            <w:pPr>
              <w:spacing w:before="135" w:line="207" w:lineRule="auto"/>
              <w:jc w:val="center"/>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专 业</w:t>
            </w:r>
          </w:p>
        </w:tc>
        <w:tc>
          <w:tcPr>
            <w:tcW w:w="3173" w:type="dxa"/>
            <w:gridSpan w:val="3"/>
            <w:vAlign w:val="center"/>
          </w:tcPr>
          <w:p w14:paraId="14F336E9">
            <w:pPr>
              <w:spacing w:before="175" w:line="219" w:lineRule="auto"/>
              <w:jc w:val="center"/>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执业或职业资格证</w:t>
            </w:r>
            <w:r>
              <w:rPr>
                <w:rFonts w:hint="eastAsia" w:ascii="宋体" w:hAnsi="宋体" w:eastAsia="宋体" w:cs="宋体"/>
                <w:color w:val="auto"/>
                <w:highlight w:val="none"/>
              </w:rPr>
              <w:t>明</w:t>
            </w:r>
          </w:p>
        </w:tc>
        <w:tc>
          <w:tcPr>
            <w:tcW w:w="1073" w:type="dxa"/>
            <w:vMerge w:val="restart"/>
            <w:vAlign w:val="center"/>
          </w:tcPr>
          <w:p w14:paraId="489E0128">
            <w:pPr>
              <w:spacing w:before="175" w:line="222" w:lineRule="auto"/>
              <w:jc w:val="center"/>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备</w:t>
            </w:r>
            <w:r>
              <w:rPr>
                <w:rFonts w:hint="eastAsia" w:ascii="宋体" w:hAnsi="宋体" w:eastAsia="宋体" w:cs="宋体"/>
                <w:color w:val="auto"/>
                <w:spacing w:val="-2"/>
                <w:highlight w:val="none"/>
              </w:rPr>
              <w:t>注</w:t>
            </w:r>
          </w:p>
        </w:tc>
      </w:tr>
      <w:tr w14:paraId="2956C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69" w:type="dxa"/>
            <w:vMerge w:val="continue"/>
            <w:vAlign w:val="center"/>
          </w:tcPr>
          <w:p w14:paraId="5D5514E3">
            <w:pPr>
              <w:jc w:val="center"/>
              <w:rPr>
                <w:rFonts w:hint="eastAsia" w:ascii="宋体" w:hAnsi="宋体" w:eastAsia="宋体" w:cs="宋体"/>
                <w:color w:val="auto"/>
                <w:highlight w:val="none"/>
              </w:rPr>
            </w:pPr>
          </w:p>
        </w:tc>
        <w:tc>
          <w:tcPr>
            <w:tcW w:w="1212" w:type="dxa"/>
            <w:vMerge w:val="continue"/>
            <w:vAlign w:val="center"/>
          </w:tcPr>
          <w:p w14:paraId="60C6CE5A">
            <w:pPr>
              <w:jc w:val="center"/>
              <w:rPr>
                <w:rFonts w:hint="eastAsia" w:ascii="宋体" w:hAnsi="宋体" w:eastAsia="宋体" w:cs="宋体"/>
                <w:color w:val="auto"/>
                <w:highlight w:val="none"/>
              </w:rPr>
            </w:pPr>
          </w:p>
        </w:tc>
        <w:tc>
          <w:tcPr>
            <w:tcW w:w="911" w:type="dxa"/>
            <w:vMerge w:val="continue"/>
            <w:vAlign w:val="center"/>
          </w:tcPr>
          <w:p w14:paraId="3A345BED">
            <w:pPr>
              <w:jc w:val="center"/>
              <w:rPr>
                <w:rFonts w:hint="eastAsia" w:ascii="宋体" w:hAnsi="宋体" w:eastAsia="宋体" w:cs="宋体"/>
                <w:color w:val="auto"/>
                <w:highlight w:val="none"/>
              </w:rPr>
            </w:pPr>
          </w:p>
        </w:tc>
        <w:tc>
          <w:tcPr>
            <w:tcW w:w="924" w:type="dxa"/>
            <w:vMerge w:val="continue"/>
            <w:textDirection w:val="tbRlV"/>
            <w:vAlign w:val="center"/>
          </w:tcPr>
          <w:p w14:paraId="303BB081">
            <w:pPr>
              <w:jc w:val="center"/>
              <w:rPr>
                <w:rFonts w:hint="eastAsia" w:ascii="宋体" w:hAnsi="宋体" w:eastAsia="宋体" w:cs="宋体"/>
                <w:color w:val="auto"/>
                <w:highlight w:val="none"/>
              </w:rPr>
            </w:pPr>
          </w:p>
        </w:tc>
        <w:tc>
          <w:tcPr>
            <w:tcW w:w="819" w:type="dxa"/>
            <w:vMerge w:val="continue"/>
            <w:textDirection w:val="tbRlV"/>
            <w:vAlign w:val="center"/>
          </w:tcPr>
          <w:p w14:paraId="2D279D9E">
            <w:pPr>
              <w:jc w:val="center"/>
              <w:rPr>
                <w:rFonts w:hint="eastAsia" w:ascii="宋体" w:hAnsi="宋体" w:eastAsia="宋体" w:cs="宋体"/>
                <w:color w:val="auto"/>
                <w:highlight w:val="none"/>
              </w:rPr>
            </w:pPr>
          </w:p>
        </w:tc>
        <w:tc>
          <w:tcPr>
            <w:tcW w:w="997" w:type="dxa"/>
            <w:vAlign w:val="center"/>
          </w:tcPr>
          <w:p w14:paraId="4B07553F">
            <w:pPr>
              <w:spacing w:before="171" w:line="220" w:lineRule="auto"/>
              <w:jc w:val="center"/>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证书名</w:t>
            </w:r>
            <w:r>
              <w:rPr>
                <w:rFonts w:hint="eastAsia" w:ascii="宋体" w:hAnsi="宋体" w:eastAsia="宋体" w:cs="宋体"/>
                <w:color w:val="auto"/>
                <w:spacing w:val="-1"/>
                <w:highlight w:val="none"/>
              </w:rPr>
              <w:t>称</w:t>
            </w:r>
          </w:p>
        </w:tc>
        <w:tc>
          <w:tcPr>
            <w:tcW w:w="1087" w:type="dxa"/>
            <w:vAlign w:val="center"/>
          </w:tcPr>
          <w:p w14:paraId="519E2BDA">
            <w:pPr>
              <w:spacing w:before="171" w:line="221" w:lineRule="auto"/>
              <w:jc w:val="center"/>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级别</w:t>
            </w:r>
          </w:p>
        </w:tc>
        <w:tc>
          <w:tcPr>
            <w:tcW w:w="1089" w:type="dxa"/>
            <w:vAlign w:val="center"/>
          </w:tcPr>
          <w:p w14:paraId="5964C475">
            <w:pPr>
              <w:spacing w:before="171" w:line="222" w:lineRule="auto"/>
              <w:jc w:val="center"/>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证</w:t>
            </w:r>
            <w:r>
              <w:rPr>
                <w:rFonts w:hint="eastAsia" w:ascii="宋体" w:hAnsi="宋体" w:eastAsia="宋体" w:cs="宋体"/>
                <w:color w:val="auto"/>
                <w:spacing w:val="-2"/>
                <w:highlight w:val="none"/>
              </w:rPr>
              <w:t>号</w:t>
            </w:r>
          </w:p>
        </w:tc>
        <w:tc>
          <w:tcPr>
            <w:tcW w:w="1073" w:type="dxa"/>
            <w:vMerge w:val="continue"/>
            <w:vAlign w:val="center"/>
          </w:tcPr>
          <w:p w14:paraId="47A11A75">
            <w:pPr>
              <w:jc w:val="center"/>
              <w:rPr>
                <w:rFonts w:hint="eastAsia" w:ascii="宋体" w:hAnsi="宋体" w:eastAsia="宋体" w:cs="宋体"/>
                <w:color w:val="auto"/>
                <w:highlight w:val="none"/>
              </w:rPr>
            </w:pPr>
          </w:p>
        </w:tc>
      </w:tr>
      <w:tr w14:paraId="0C16F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69" w:type="dxa"/>
          </w:tcPr>
          <w:p w14:paraId="7A611A33">
            <w:pPr>
              <w:rPr>
                <w:rFonts w:hint="eastAsia" w:ascii="宋体" w:hAnsi="宋体" w:eastAsia="宋体" w:cs="宋体"/>
                <w:color w:val="auto"/>
                <w:highlight w:val="none"/>
              </w:rPr>
            </w:pPr>
          </w:p>
        </w:tc>
        <w:tc>
          <w:tcPr>
            <w:tcW w:w="1212" w:type="dxa"/>
          </w:tcPr>
          <w:p w14:paraId="2EF735B2">
            <w:pPr>
              <w:rPr>
                <w:rFonts w:hint="eastAsia" w:ascii="宋体" w:hAnsi="宋体" w:eastAsia="宋体" w:cs="宋体"/>
                <w:color w:val="auto"/>
                <w:highlight w:val="none"/>
              </w:rPr>
            </w:pPr>
          </w:p>
        </w:tc>
        <w:tc>
          <w:tcPr>
            <w:tcW w:w="911" w:type="dxa"/>
          </w:tcPr>
          <w:p w14:paraId="04202F80">
            <w:pPr>
              <w:rPr>
                <w:rFonts w:hint="eastAsia" w:ascii="宋体" w:hAnsi="宋体" w:eastAsia="宋体" w:cs="宋体"/>
                <w:color w:val="auto"/>
                <w:highlight w:val="none"/>
              </w:rPr>
            </w:pPr>
          </w:p>
        </w:tc>
        <w:tc>
          <w:tcPr>
            <w:tcW w:w="924" w:type="dxa"/>
          </w:tcPr>
          <w:p w14:paraId="1898459A">
            <w:pPr>
              <w:rPr>
                <w:rFonts w:hint="eastAsia" w:ascii="宋体" w:hAnsi="宋体" w:eastAsia="宋体" w:cs="宋体"/>
                <w:color w:val="auto"/>
                <w:highlight w:val="none"/>
              </w:rPr>
            </w:pPr>
          </w:p>
        </w:tc>
        <w:tc>
          <w:tcPr>
            <w:tcW w:w="819" w:type="dxa"/>
          </w:tcPr>
          <w:p w14:paraId="0357391E">
            <w:pPr>
              <w:rPr>
                <w:rFonts w:hint="eastAsia" w:ascii="宋体" w:hAnsi="宋体" w:eastAsia="宋体" w:cs="宋体"/>
                <w:color w:val="auto"/>
                <w:highlight w:val="none"/>
              </w:rPr>
            </w:pPr>
          </w:p>
        </w:tc>
        <w:tc>
          <w:tcPr>
            <w:tcW w:w="997" w:type="dxa"/>
          </w:tcPr>
          <w:p w14:paraId="51715E3E">
            <w:pPr>
              <w:jc w:val="center"/>
              <w:rPr>
                <w:rFonts w:hint="eastAsia" w:ascii="宋体" w:hAnsi="宋体" w:eastAsia="宋体" w:cs="宋体"/>
                <w:color w:val="auto"/>
                <w:highlight w:val="none"/>
              </w:rPr>
            </w:pPr>
          </w:p>
        </w:tc>
        <w:tc>
          <w:tcPr>
            <w:tcW w:w="1087" w:type="dxa"/>
          </w:tcPr>
          <w:p w14:paraId="4121343A">
            <w:pPr>
              <w:jc w:val="center"/>
              <w:rPr>
                <w:rFonts w:hint="eastAsia" w:ascii="宋体" w:hAnsi="宋体" w:eastAsia="宋体" w:cs="宋体"/>
                <w:color w:val="auto"/>
                <w:highlight w:val="none"/>
              </w:rPr>
            </w:pPr>
          </w:p>
        </w:tc>
        <w:tc>
          <w:tcPr>
            <w:tcW w:w="1089" w:type="dxa"/>
          </w:tcPr>
          <w:p w14:paraId="43EEF8B5">
            <w:pPr>
              <w:jc w:val="center"/>
              <w:rPr>
                <w:rFonts w:hint="eastAsia" w:ascii="宋体" w:hAnsi="宋体" w:eastAsia="宋体" w:cs="宋体"/>
                <w:color w:val="auto"/>
                <w:highlight w:val="none"/>
              </w:rPr>
            </w:pPr>
          </w:p>
        </w:tc>
        <w:tc>
          <w:tcPr>
            <w:tcW w:w="1073" w:type="dxa"/>
          </w:tcPr>
          <w:p w14:paraId="299F2E92">
            <w:pPr>
              <w:rPr>
                <w:rFonts w:hint="eastAsia" w:ascii="宋体" w:hAnsi="宋体" w:eastAsia="宋体" w:cs="宋体"/>
                <w:color w:val="auto"/>
                <w:highlight w:val="none"/>
              </w:rPr>
            </w:pPr>
          </w:p>
        </w:tc>
      </w:tr>
      <w:tr w14:paraId="1B7E4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69" w:type="dxa"/>
          </w:tcPr>
          <w:p w14:paraId="244325CD">
            <w:pPr>
              <w:rPr>
                <w:rFonts w:hint="eastAsia" w:ascii="宋体" w:hAnsi="宋体" w:eastAsia="宋体" w:cs="宋体"/>
                <w:color w:val="auto"/>
                <w:highlight w:val="none"/>
              </w:rPr>
            </w:pPr>
          </w:p>
        </w:tc>
        <w:tc>
          <w:tcPr>
            <w:tcW w:w="1212" w:type="dxa"/>
          </w:tcPr>
          <w:p w14:paraId="224FDAF9">
            <w:pPr>
              <w:rPr>
                <w:rFonts w:hint="eastAsia" w:ascii="宋体" w:hAnsi="宋体" w:eastAsia="宋体" w:cs="宋体"/>
                <w:color w:val="auto"/>
                <w:highlight w:val="none"/>
              </w:rPr>
            </w:pPr>
          </w:p>
        </w:tc>
        <w:tc>
          <w:tcPr>
            <w:tcW w:w="911" w:type="dxa"/>
          </w:tcPr>
          <w:p w14:paraId="7A9D7C56">
            <w:pPr>
              <w:rPr>
                <w:rFonts w:hint="eastAsia" w:ascii="宋体" w:hAnsi="宋体" w:eastAsia="宋体" w:cs="宋体"/>
                <w:color w:val="auto"/>
                <w:highlight w:val="none"/>
              </w:rPr>
            </w:pPr>
          </w:p>
        </w:tc>
        <w:tc>
          <w:tcPr>
            <w:tcW w:w="924" w:type="dxa"/>
          </w:tcPr>
          <w:p w14:paraId="23D0AE65">
            <w:pPr>
              <w:rPr>
                <w:rFonts w:hint="eastAsia" w:ascii="宋体" w:hAnsi="宋体" w:eastAsia="宋体" w:cs="宋体"/>
                <w:color w:val="auto"/>
                <w:highlight w:val="none"/>
              </w:rPr>
            </w:pPr>
          </w:p>
        </w:tc>
        <w:tc>
          <w:tcPr>
            <w:tcW w:w="819" w:type="dxa"/>
          </w:tcPr>
          <w:p w14:paraId="08C8C416">
            <w:pPr>
              <w:rPr>
                <w:rFonts w:hint="eastAsia" w:ascii="宋体" w:hAnsi="宋体" w:eastAsia="宋体" w:cs="宋体"/>
                <w:color w:val="auto"/>
                <w:highlight w:val="none"/>
              </w:rPr>
            </w:pPr>
          </w:p>
        </w:tc>
        <w:tc>
          <w:tcPr>
            <w:tcW w:w="997" w:type="dxa"/>
          </w:tcPr>
          <w:p w14:paraId="3DD8F4B4">
            <w:pPr>
              <w:jc w:val="center"/>
              <w:rPr>
                <w:rFonts w:hint="eastAsia" w:ascii="宋体" w:hAnsi="宋体" w:eastAsia="宋体" w:cs="宋体"/>
                <w:color w:val="auto"/>
                <w:highlight w:val="none"/>
              </w:rPr>
            </w:pPr>
          </w:p>
        </w:tc>
        <w:tc>
          <w:tcPr>
            <w:tcW w:w="1087" w:type="dxa"/>
          </w:tcPr>
          <w:p w14:paraId="790082C2">
            <w:pPr>
              <w:jc w:val="center"/>
              <w:rPr>
                <w:rFonts w:hint="eastAsia" w:ascii="宋体" w:hAnsi="宋体" w:eastAsia="宋体" w:cs="宋体"/>
                <w:color w:val="auto"/>
                <w:highlight w:val="none"/>
              </w:rPr>
            </w:pPr>
          </w:p>
        </w:tc>
        <w:tc>
          <w:tcPr>
            <w:tcW w:w="1089" w:type="dxa"/>
          </w:tcPr>
          <w:p w14:paraId="4AEE635F">
            <w:pPr>
              <w:jc w:val="center"/>
              <w:rPr>
                <w:rFonts w:hint="eastAsia" w:ascii="宋体" w:hAnsi="宋体" w:eastAsia="宋体" w:cs="宋体"/>
                <w:color w:val="auto"/>
                <w:highlight w:val="none"/>
              </w:rPr>
            </w:pPr>
          </w:p>
        </w:tc>
        <w:tc>
          <w:tcPr>
            <w:tcW w:w="1073" w:type="dxa"/>
          </w:tcPr>
          <w:p w14:paraId="0776A773">
            <w:pPr>
              <w:rPr>
                <w:rFonts w:hint="eastAsia" w:ascii="宋体" w:hAnsi="宋体" w:eastAsia="宋体" w:cs="宋体"/>
                <w:color w:val="auto"/>
                <w:highlight w:val="none"/>
              </w:rPr>
            </w:pPr>
          </w:p>
        </w:tc>
      </w:tr>
      <w:tr w14:paraId="42977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69" w:type="dxa"/>
          </w:tcPr>
          <w:p w14:paraId="5DB899FB">
            <w:pPr>
              <w:rPr>
                <w:rFonts w:hint="eastAsia" w:ascii="宋体" w:hAnsi="宋体" w:eastAsia="宋体" w:cs="宋体"/>
                <w:color w:val="auto"/>
                <w:highlight w:val="none"/>
              </w:rPr>
            </w:pPr>
          </w:p>
        </w:tc>
        <w:tc>
          <w:tcPr>
            <w:tcW w:w="1212" w:type="dxa"/>
          </w:tcPr>
          <w:p w14:paraId="11055559">
            <w:pPr>
              <w:rPr>
                <w:rFonts w:hint="eastAsia" w:ascii="宋体" w:hAnsi="宋体" w:eastAsia="宋体" w:cs="宋体"/>
                <w:color w:val="auto"/>
                <w:highlight w:val="none"/>
              </w:rPr>
            </w:pPr>
          </w:p>
        </w:tc>
        <w:tc>
          <w:tcPr>
            <w:tcW w:w="911" w:type="dxa"/>
          </w:tcPr>
          <w:p w14:paraId="5096EC73">
            <w:pPr>
              <w:rPr>
                <w:rFonts w:hint="eastAsia" w:ascii="宋体" w:hAnsi="宋体" w:eastAsia="宋体" w:cs="宋体"/>
                <w:color w:val="auto"/>
                <w:highlight w:val="none"/>
              </w:rPr>
            </w:pPr>
          </w:p>
        </w:tc>
        <w:tc>
          <w:tcPr>
            <w:tcW w:w="924" w:type="dxa"/>
          </w:tcPr>
          <w:p w14:paraId="6711D5C1">
            <w:pPr>
              <w:rPr>
                <w:rFonts w:hint="eastAsia" w:ascii="宋体" w:hAnsi="宋体" w:eastAsia="宋体" w:cs="宋体"/>
                <w:color w:val="auto"/>
                <w:highlight w:val="none"/>
              </w:rPr>
            </w:pPr>
          </w:p>
        </w:tc>
        <w:tc>
          <w:tcPr>
            <w:tcW w:w="819" w:type="dxa"/>
          </w:tcPr>
          <w:p w14:paraId="4790D5C6">
            <w:pPr>
              <w:rPr>
                <w:rFonts w:hint="eastAsia" w:ascii="宋体" w:hAnsi="宋体" w:eastAsia="宋体" w:cs="宋体"/>
                <w:color w:val="auto"/>
                <w:highlight w:val="none"/>
              </w:rPr>
            </w:pPr>
          </w:p>
        </w:tc>
        <w:tc>
          <w:tcPr>
            <w:tcW w:w="997" w:type="dxa"/>
          </w:tcPr>
          <w:p w14:paraId="253AE1E5">
            <w:pPr>
              <w:jc w:val="center"/>
              <w:rPr>
                <w:rFonts w:hint="eastAsia" w:ascii="宋体" w:hAnsi="宋体" w:eastAsia="宋体" w:cs="宋体"/>
                <w:color w:val="auto"/>
                <w:highlight w:val="none"/>
              </w:rPr>
            </w:pPr>
          </w:p>
        </w:tc>
        <w:tc>
          <w:tcPr>
            <w:tcW w:w="1087" w:type="dxa"/>
          </w:tcPr>
          <w:p w14:paraId="20ED7080">
            <w:pPr>
              <w:jc w:val="center"/>
              <w:rPr>
                <w:rFonts w:hint="eastAsia" w:ascii="宋体" w:hAnsi="宋体" w:eastAsia="宋体" w:cs="宋体"/>
                <w:color w:val="auto"/>
                <w:highlight w:val="none"/>
              </w:rPr>
            </w:pPr>
          </w:p>
        </w:tc>
        <w:tc>
          <w:tcPr>
            <w:tcW w:w="1089" w:type="dxa"/>
          </w:tcPr>
          <w:p w14:paraId="7E78D850">
            <w:pPr>
              <w:jc w:val="center"/>
              <w:rPr>
                <w:rFonts w:hint="eastAsia" w:ascii="宋体" w:hAnsi="宋体" w:eastAsia="宋体" w:cs="宋体"/>
                <w:color w:val="auto"/>
                <w:highlight w:val="none"/>
              </w:rPr>
            </w:pPr>
          </w:p>
        </w:tc>
        <w:tc>
          <w:tcPr>
            <w:tcW w:w="1073" w:type="dxa"/>
          </w:tcPr>
          <w:p w14:paraId="117387EE">
            <w:pPr>
              <w:rPr>
                <w:rFonts w:hint="eastAsia" w:ascii="宋体" w:hAnsi="宋体" w:eastAsia="宋体" w:cs="宋体"/>
                <w:color w:val="auto"/>
                <w:highlight w:val="none"/>
              </w:rPr>
            </w:pPr>
          </w:p>
        </w:tc>
      </w:tr>
      <w:tr w14:paraId="1B2B2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75141964">
            <w:pPr>
              <w:rPr>
                <w:rFonts w:hint="eastAsia" w:ascii="宋体" w:hAnsi="宋体" w:eastAsia="宋体" w:cs="宋体"/>
                <w:color w:val="auto"/>
                <w:highlight w:val="none"/>
              </w:rPr>
            </w:pPr>
          </w:p>
        </w:tc>
        <w:tc>
          <w:tcPr>
            <w:tcW w:w="1212" w:type="dxa"/>
          </w:tcPr>
          <w:p w14:paraId="4E1E5C4E">
            <w:pPr>
              <w:rPr>
                <w:rFonts w:hint="eastAsia" w:ascii="宋体" w:hAnsi="宋体" w:eastAsia="宋体" w:cs="宋体"/>
                <w:color w:val="auto"/>
                <w:highlight w:val="none"/>
              </w:rPr>
            </w:pPr>
          </w:p>
        </w:tc>
        <w:tc>
          <w:tcPr>
            <w:tcW w:w="911" w:type="dxa"/>
          </w:tcPr>
          <w:p w14:paraId="3B3D2F9B">
            <w:pPr>
              <w:rPr>
                <w:rFonts w:hint="eastAsia" w:ascii="宋体" w:hAnsi="宋体" w:eastAsia="宋体" w:cs="宋体"/>
                <w:color w:val="auto"/>
                <w:highlight w:val="none"/>
              </w:rPr>
            </w:pPr>
          </w:p>
        </w:tc>
        <w:tc>
          <w:tcPr>
            <w:tcW w:w="924" w:type="dxa"/>
          </w:tcPr>
          <w:p w14:paraId="417B0B71">
            <w:pPr>
              <w:rPr>
                <w:rFonts w:hint="eastAsia" w:ascii="宋体" w:hAnsi="宋体" w:eastAsia="宋体" w:cs="宋体"/>
                <w:color w:val="auto"/>
                <w:highlight w:val="none"/>
              </w:rPr>
            </w:pPr>
          </w:p>
        </w:tc>
        <w:tc>
          <w:tcPr>
            <w:tcW w:w="819" w:type="dxa"/>
          </w:tcPr>
          <w:p w14:paraId="3C11A815">
            <w:pPr>
              <w:rPr>
                <w:rFonts w:hint="eastAsia" w:ascii="宋体" w:hAnsi="宋体" w:eastAsia="宋体" w:cs="宋体"/>
                <w:color w:val="auto"/>
                <w:highlight w:val="none"/>
              </w:rPr>
            </w:pPr>
          </w:p>
        </w:tc>
        <w:tc>
          <w:tcPr>
            <w:tcW w:w="997" w:type="dxa"/>
          </w:tcPr>
          <w:p w14:paraId="4ADC4A1E">
            <w:pPr>
              <w:jc w:val="center"/>
              <w:rPr>
                <w:rFonts w:hint="eastAsia" w:ascii="宋体" w:hAnsi="宋体" w:eastAsia="宋体" w:cs="宋体"/>
                <w:color w:val="auto"/>
                <w:highlight w:val="none"/>
              </w:rPr>
            </w:pPr>
          </w:p>
        </w:tc>
        <w:tc>
          <w:tcPr>
            <w:tcW w:w="1087" w:type="dxa"/>
          </w:tcPr>
          <w:p w14:paraId="37165EEE">
            <w:pPr>
              <w:jc w:val="center"/>
              <w:rPr>
                <w:rFonts w:hint="eastAsia" w:ascii="宋体" w:hAnsi="宋体" w:eastAsia="宋体" w:cs="宋体"/>
                <w:color w:val="auto"/>
                <w:highlight w:val="none"/>
              </w:rPr>
            </w:pPr>
          </w:p>
        </w:tc>
        <w:tc>
          <w:tcPr>
            <w:tcW w:w="1089" w:type="dxa"/>
          </w:tcPr>
          <w:p w14:paraId="54157BDF">
            <w:pPr>
              <w:jc w:val="center"/>
              <w:rPr>
                <w:rFonts w:hint="eastAsia" w:ascii="宋体" w:hAnsi="宋体" w:eastAsia="宋体" w:cs="宋体"/>
                <w:color w:val="auto"/>
                <w:highlight w:val="none"/>
              </w:rPr>
            </w:pPr>
          </w:p>
        </w:tc>
        <w:tc>
          <w:tcPr>
            <w:tcW w:w="1073" w:type="dxa"/>
          </w:tcPr>
          <w:p w14:paraId="5FB396CD">
            <w:pPr>
              <w:rPr>
                <w:rFonts w:hint="eastAsia" w:ascii="宋体" w:hAnsi="宋体" w:eastAsia="宋体" w:cs="宋体"/>
                <w:color w:val="auto"/>
                <w:highlight w:val="none"/>
              </w:rPr>
            </w:pPr>
          </w:p>
        </w:tc>
      </w:tr>
      <w:tr w14:paraId="3CBF9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431260D3">
            <w:pPr>
              <w:rPr>
                <w:rFonts w:hint="eastAsia" w:ascii="宋体" w:hAnsi="宋体" w:eastAsia="宋体" w:cs="宋体"/>
                <w:color w:val="auto"/>
                <w:highlight w:val="none"/>
              </w:rPr>
            </w:pPr>
          </w:p>
        </w:tc>
        <w:tc>
          <w:tcPr>
            <w:tcW w:w="1212" w:type="dxa"/>
          </w:tcPr>
          <w:p w14:paraId="36EBC396">
            <w:pPr>
              <w:rPr>
                <w:rFonts w:hint="eastAsia" w:ascii="宋体" w:hAnsi="宋体" w:eastAsia="宋体" w:cs="宋体"/>
                <w:color w:val="auto"/>
                <w:highlight w:val="none"/>
              </w:rPr>
            </w:pPr>
          </w:p>
        </w:tc>
        <w:tc>
          <w:tcPr>
            <w:tcW w:w="911" w:type="dxa"/>
          </w:tcPr>
          <w:p w14:paraId="21658694">
            <w:pPr>
              <w:rPr>
                <w:rFonts w:hint="eastAsia" w:ascii="宋体" w:hAnsi="宋体" w:eastAsia="宋体" w:cs="宋体"/>
                <w:color w:val="auto"/>
                <w:highlight w:val="none"/>
              </w:rPr>
            </w:pPr>
          </w:p>
        </w:tc>
        <w:tc>
          <w:tcPr>
            <w:tcW w:w="924" w:type="dxa"/>
          </w:tcPr>
          <w:p w14:paraId="7C70FB09">
            <w:pPr>
              <w:rPr>
                <w:rFonts w:hint="eastAsia" w:ascii="宋体" w:hAnsi="宋体" w:eastAsia="宋体" w:cs="宋体"/>
                <w:color w:val="auto"/>
                <w:highlight w:val="none"/>
              </w:rPr>
            </w:pPr>
          </w:p>
        </w:tc>
        <w:tc>
          <w:tcPr>
            <w:tcW w:w="819" w:type="dxa"/>
          </w:tcPr>
          <w:p w14:paraId="547E2DDA">
            <w:pPr>
              <w:rPr>
                <w:rFonts w:hint="eastAsia" w:ascii="宋体" w:hAnsi="宋体" w:eastAsia="宋体" w:cs="宋体"/>
                <w:color w:val="auto"/>
                <w:highlight w:val="none"/>
              </w:rPr>
            </w:pPr>
          </w:p>
        </w:tc>
        <w:tc>
          <w:tcPr>
            <w:tcW w:w="997" w:type="dxa"/>
          </w:tcPr>
          <w:p w14:paraId="2EC2D504">
            <w:pPr>
              <w:jc w:val="center"/>
              <w:rPr>
                <w:rFonts w:hint="eastAsia" w:ascii="宋体" w:hAnsi="宋体" w:eastAsia="宋体" w:cs="宋体"/>
                <w:color w:val="auto"/>
                <w:highlight w:val="none"/>
              </w:rPr>
            </w:pPr>
          </w:p>
        </w:tc>
        <w:tc>
          <w:tcPr>
            <w:tcW w:w="1087" w:type="dxa"/>
          </w:tcPr>
          <w:p w14:paraId="6C26FEAE">
            <w:pPr>
              <w:jc w:val="center"/>
              <w:rPr>
                <w:rFonts w:hint="eastAsia" w:ascii="宋体" w:hAnsi="宋体" w:eastAsia="宋体" w:cs="宋体"/>
                <w:color w:val="auto"/>
                <w:highlight w:val="none"/>
              </w:rPr>
            </w:pPr>
          </w:p>
        </w:tc>
        <w:tc>
          <w:tcPr>
            <w:tcW w:w="1089" w:type="dxa"/>
          </w:tcPr>
          <w:p w14:paraId="2617503B">
            <w:pPr>
              <w:jc w:val="center"/>
              <w:rPr>
                <w:rFonts w:hint="eastAsia" w:ascii="宋体" w:hAnsi="宋体" w:eastAsia="宋体" w:cs="宋体"/>
                <w:color w:val="auto"/>
                <w:highlight w:val="none"/>
              </w:rPr>
            </w:pPr>
          </w:p>
        </w:tc>
        <w:tc>
          <w:tcPr>
            <w:tcW w:w="1073" w:type="dxa"/>
          </w:tcPr>
          <w:p w14:paraId="76064F46">
            <w:pPr>
              <w:rPr>
                <w:rFonts w:hint="eastAsia" w:ascii="宋体" w:hAnsi="宋体" w:eastAsia="宋体" w:cs="宋体"/>
                <w:color w:val="auto"/>
                <w:highlight w:val="none"/>
              </w:rPr>
            </w:pPr>
          </w:p>
        </w:tc>
      </w:tr>
      <w:tr w14:paraId="13CEF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655A3619">
            <w:pPr>
              <w:rPr>
                <w:rFonts w:hint="eastAsia" w:ascii="宋体" w:hAnsi="宋体" w:eastAsia="宋体" w:cs="宋体"/>
                <w:color w:val="auto"/>
                <w:highlight w:val="none"/>
              </w:rPr>
            </w:pPr>
          </w:p>
        </w:tc>
        <w:tc>
          <w:tcPr>
            <w:tcW w:w="1212" w:type="dxa"/>
          </w:tcPr>
          <w:p w14:paraId="7802E39A">
            <w:pPr>
              <w:rPr>
                <w:rFonts w:hint="eastAsia" w:ascii="宋体" w:hAnsi="宋体" w:eastAsia="宋体" w:cs="宋体"/>
                <w:color w:val="auto"/>
                <w:highlight w:val="none"/>
              </w:rPr>
            </w:pPr>
          </w:p>
        </w:tc>
        <w:tc>
          <w:tcPr>
            <w:tcW w:w="911" w:type="dxa"/>
          </w:tcPr>
          <w:p w14:paraId="12DA7408">
            <w:pPr>
              <w:rPr>
                <w:rFonts w:hint="eastAsia" w:ascii="宋体" w:hAnsi="宋体" w:eastAsia="宋体" w:cs="宋体"/>
                <w:color w:val="auto"/>
                <w:highlight w:val="none"/>
              </w:rPr>
            </w:pPr>
          </w:p>
        </w:tc>
        <w:tc>
          <w:tcPr>
            <w:tcW w:w="924" w:type="dxa"/>
          </w:tcPr>
          <w:p w14:paraId="6DC2CED1">
            <w:pPr>
              <w:rPr>
                <w:rFonts w:hint="eastAsia" w:ascii="宋体" w:hAnsi="宋体" w:eastAsia="宋体" w:cs="宋体"/>
                <w:color w:val="auto"/>
                <w:highlight w:val="none"/>
              </w:rPr>
            </w:pPr>
          </w:p>
        </w:tc>
        <w:tc>
          <w:tcPr>
            <w:tcW w:w="819" w:type="dxa"/>
          </w:tcPr>
          <w:p w14:paraId="03EB4453">
            <w:pPr>
              <w:rPr>
                <w:rFonts w:hint="eastAsia" w:ascii="宋体" w:hAnsi="宋体" w:eastAsia="宋体" w:cs="宋体"/>
                <w:color w:val="auto"/>
                <w:highlight w:val="none"/>
              </w:rPr>
            </w:pPr>
          </w:p>
        </w:tc>
        <w:tc>
          <w:tcPr>
            <w:tcW w:w="997" w:type="dxa"/>
          </w:tcPr>
          <w:p w14:paraId="7983C482">
            <w:pPr>
              <w:jc w:val="center"/>
              <w:rPr>
                <w:rFonts w:hint="eastAsia" w:ascii="宋体" w:hAnsi="宋体" w:eastAsia="宋体" w:cs="宋体"/>
                <w:color w:val="auto"/>
                <w:highlight w:val="none"/>
              </w:rPr>
            </w:pPr>
          </w:p>
        </w:tc>
        <w:tc>
          <w:tcPr>
            <w:tcW w:w="1087" w:type="dxa"/>
          </w:tcPr>
          <w:p w14:paraId="22BB25A8">
            <w:pPr>
              <w:jc w:val="center"/>
              <w:rPr>
                <w:rFonts w:hint="eastAsia" w:ascii="宋体" w:hAnsi="宋体" w:eastAsia="宋体" w:cs="宋体"/>
                <w:color w:val="auto"/>
                <w:highlight w:val="none"/>
              </w:rPr>
            </w:pPr>
          </w:p>
        </w:tc>
        <w:tc>
          <w:tcPr>
            <w:tcW w:w="1089" w:type="dxa"/>
          </w:tcPr>
          <w:p w14:paraId="0F285D3E">
            <w:pPr>
              <w:jc w:val="center"/>
              <w:rPr>
                <w:rFonts w:hint="eastAsia" w:ascii="宋体" w:hAnsi="宋体" w:eastAsia="宋体" w:cs="宋体"/>
                <w:color w:val="auto"/>
                <w:highlight w:val="none"/>
              </w:rPr>
            </w:pPr>
          </w:p>
        </w:tc>
        <w:tc>
          <w:tcPr>
            <w:tcW w:w="1073" w:type="dxa"/>
          </w:tcPr>
          <w:p w14:paraId="2FE28E38">
            <w:pPr>
              <w:rPr>
                <w:rFonts w:hint="eastAsia" w:ascii="宋体" w:hAnsi="宋体" w:eastAsia="宋体" w:cs="宋体"/>
                <w:color w:val="auto"/>
                <w:highlight w:val="none"/>
              </w:rPr>
            </w:pPr>
          </w:p>
        </w:tc>
      </w:tr>
      <w:tr w14:paraId="53F14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00A24AF0">
            <w:pPr>
              <w:rPr>
                <w:rFonts w:hint="eastAsia" w:ascii="宋体" w:hAnsi="宋体" w:eastAsia="宋体" w:cs="宋体"/>
                <w:color w:val="auto"/>
                <w:highlight w:val="none"/>
              </w:rPr>
            </w:pPr>
          </w:p>
        </w:tc>
        <w:tc>
          <w:tcPr>
            <w:tcW w:w="1212" w:type="dxa"/>
          </w:tcPr>
          <w:p w14:paraId="795DF7D8">
            <w:pPr>
              <w:rPr>
                <w:rFonts w:hint="eastAsia" w:ascii="宋体" w:hAnsi="宋体" w:eastAsia="宋体" w:cs="宋体"/>
                <w:color w:val="auto"/>
                <w:highlight w:val="none"/>
              </w:rPr>
            </w:pPr>
          </w:p>
        </w:tc>
        <w:tc>
          <w:tcPr>
            <w:tcW w:w="911" w:type="dxa"/>
          </w:tcPr>
          <w:p w14:paraId="5F34C08C">
            <w:pPr>
              <w:rPr>
                <w:rFonts w:hint="eastAsia" w:ascii="宋体" w:hAnsi="宋体" w:eastAsia="宋体" w:cs="宋体"/>
                <w:color w:val="auto"/>
                <w:highlight w:val="none"/>
              </w:rPr>
            </w:pPr>
          </w:p>
        </w:tc>
        <w:tc>
          <w:tcPr>
            <w:tcW w:w="924" w:type="dxa"/>
          </w:tcPr>
          <w:p w14:paraId="02A9D572">
            <w:pPr>
              <w:rPr>
                <w:rFonts w:hint="eastAsia" w:ascii="宋体" w:hAnsi="宋体" w:eastAsia="宋体" w:cs="宋体"/>
                <w:color w:val="auto"/>
                <w:highlight w:val="none"/>
              </w:rPr>
            </w:pPr>
          </w:p>
        </w:tc>
        <w:tc>
          <w:tcPr>
            <w:tcW w:w="819" w:type="dxa"/>
          </w:tcPr>
          <w:p w14:paraId="0879C37F">
            <w:pPr>
              <w:rPr>
                <w:rFonts w:hint="eastAsia" w:ascii="宋体" w:hAnsi="宋体" w:eastAsia="宋体" w:cs="宋体"/>
                <w:color w:val="auto"/>
                <w:highlight w:val="none"/>
              </w:rPr>
            </w:pPr>
          </w:p>
        </w:tc>
        <w:tc>
          <w:tcPr>
            <w:tcW w:w="997" w:type="dxa"/>
          </w:tcPr>
          <w:p w14:paraId="1C048165">
            <w:pPr>
              <w:jc w:val="center"/>
              <w:rPr>
                <w:rFonts w:hint="eastAsia" w:ascii="宋体" w:hAnsi="宋体" w:eastAsia="宋体" w:cs="宋体"/>
                <w:color w:val="auto"/>
                <w:highlight w:val="none"/>
              </w:rPr>
            </w:pPr>
          </w:p>
        </w:tc>
        <w:tc>
          <w:tcPr>
            <w:tcW w:w="1087" w:type="dxa"/>
          </w:tcPr>
          <w:p w14:paraId="5D2FFDB0">
            <w:pPr>
              <w:jc w:val="center"/>
              <w:rPr>
                <w:rFonts w:hint="eastAsia" w:ascii="宋体" w:hAnsi="宋体" w:eastAsia="宋体" w:cs="宋体"/>
                <w:color w:val="auto"/>
                <w:highlight w:val="none"/>
              </w:rPr>
            </w:pPr>
          </w:p>
        </w:tc>
        <w:tc>
          <w:tcPr>
            <w:tcW w:w="1089" w:type="dxa"/>
          </w:tcPr>
          <w:p w14:paraId="16BAE826">
            <w:pPr>
              <w:jc w:val="center"/>
              <w:rPr>
                <w:rFonts w:hint="eastAsia" w:ascii="宋体" w:hAnsi="宋体" w:eastAsia="宋体" w:cs="宋体"/>
                <w:color w:val="auto"/>
                <w:highlight w:val="none"/>
              </w:rPr>
            </w:pPr>
          </w:p>
        </w:tc>
        <w:tc>
          <w:tcPr>
            <w:tcW w:w="1073" w:type="dxa"/>
          </w:tcPr>
          <w:p w14:paraId="3A412A61">
            <w:pPr>
              <w:rPr>
                <w:rFonts w:hint="eastAsia" w:ascii="宋体" w:hAnsi="宋体" w:eastAsia="宋体" w:cs="宋体"/>
                <w:color w:val="auto"/>
                <w:highlight w:val="none"/>
              </w:rPr>
            </w:pPr>
          </w:p>
        </w:tc>
      </w:tr>
      <w:tr w14:paraId="7BAB0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26AB9B62">
            <w:pPr>
              <w:rPr>
                <w:rFonts w:hint="eastAsia" w:ascii="宋体" w:hAnsi="宋体" w:eastAsia="宋体" w:cs="宋体"/>
                <w:color w:val="auto"/>
                <w:highlight w:val="none"/>
              </w:rPr>
            </w:pPr>
          </w:p>
        </w:tc>
        <w:tc>
          <w:tcPr>
            <w:tcW w:w="1212" w:type="dxa"/>
          </w:tcPr>
          <w:p w14:paraId="745EE81E">
            <w:pPr>
              <w:rPr>
                <w:rFonts w:hint="eastAsia" w:ascii="宋体" w:hAnsi="宋体" w:eastAsia="宋体" w:cs="宋体"/>
                <w:color w:val="auto"/>
                <w:highlight w:val="none"/>
              </w:rPr>
            </w:pPr>
          </w:p>
        </w:tc>
        <w:tc>
          <w:tcPr>
            <w:tcW w:w="911" w:type="dxa"/>
          </w:tcPr>
          <w:p w14:paraId="63B0E221">
            <w:pPr>
              <w:rPr>
                <w:rFonts w:hint="eastAsia" w:ascii="宋体" w:hAnsi="宋体" w:eastAsia="宋体" w:cs="宋体"/>
                <w:color w:val="auto"/>
                <w:highlight w:val="none"/>
              </w:rPr>
            </w:pPr>
          </w:p>
        </w:tc>
        <w:tc>
          <w:tcPr>
            <w:tcW w:w="924" w:type="dxa"/>
          </w:tcPr>
          <w:p w14:paraId="1195F7E2">
            <w:pPr>
              <w:rPr>
                <w:rFonts w:hint="eastAsia" w:ascii="宋体" w:hAnsi="宋体" w:eastAsia="宋体" w:cs="宋体"/>
                <w:color w:val="auto"/>
                <w:highlight w:val="none"/>
              </w:rPr>
            </w:pPr>
          </w:p>
        </w:tc>
        <w:tc>
          <w:tcPr>
            <w:tcW w:w="819" w:type="dxa"/>
          </w:tcPr>
          <w:p w14:paraId="0F6550C4">
            <w:pPr>
              <w:rPr>
                <w:rFonts w:hint="eastAsia" w:ascii="宋体" w:hAnsi="宋体" w:eastAsia="宋体" w:cs="宋体"/>
                <w:color w:val="auto"/>
                <w:highlight w:val="none"/>
              </w:rPr>
            </w:pPr>
          </w:p>
        </w:tc>
        <w:tc>
          <w:tcPr>
            <w:tcW w:w="997" w:type="dxa"/>
          </w:tcPr>
          <w:p w14:paraId="6DBDAE3B">
            <w:pPr>
              <w:jc w:val="center"/>
              <w:rPr>
                <w:rFonts w:hint="eastAsia" w:ascii="宋体" w:hAnsi="宋体" w:eastAsia="宋体" w:cs="宋体"/>
                <w:color w:val="auto"/>
                <w:highlight w:val="none"/>
              </w:rPr>
            </w:pPr>
          </w:p>
        </w:tc>
        <w:tc>
          <w:tcPr>
            <w:tcW w:w="1087" w:type="dxa"/>
          </w:tcPr>
          <w:p w14:paraId="245381F8">
            <w:pPr>
              <w:jc w:val="center"/>
              <w:rPr>
                <w:rFonts w:hint="eastAsia" w:ascii="宋体" w:hAnsi="宋体" w:eastAsia="宋体" w:cs="宋体"/>
                <w:color w:val="auto"/>
                <w:highlight w:val="none"/>
              </w:rPr>
            </w:pPr>
          </w:p>
        </w:tc>
        <w:tc>
          <w:tcPr>
            <w:tcW w:w="1089" w:type="dxa"/>
          </w:tcPr>
          <w:p w14:paraId="26CB0146">
            <w:pPr>
              <w:jc w:val="center"/>
              <w:rPr>
                <w:rFonts w:hint="eastAsia" w:ascii="宋体" w:hAnsi="宋体" w:eastAsia="宋体" w:cs="宋体"/>
                <w:color w:val="auto"/>
                <w:highlight w:val="none"/>
              </w:rPr>
            </w:pPr>
          </w:p>
        </w:tc>
        <w:tc>
          <w:tcPr>
            <w:tcW w:w="1073" w:type="dxa"/>
          </w:tcPr>
          <w:p w14:paraId="1D9CCFD0">
            <w:pPr>
              <w:rPr>
                <w:rFonts w:hint="eastAsia" w:ascii="宋体" w:hAnsi="宋体" w:eastAsia="宋体" w:cs="宋体"/>
                <w:color w:val="auto"/>
                <w:highlight w:val="none"/>
              </w:rPr>
            </w:pPr>
          </w:p>
        </w:tc>
      </w:tr>
      <w:tr w14:paraId="6BF3A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27C49603">
            <w:pPr>
              <w:rPr>
                <w:rFonts w:hint="eastAsia" w:ascii="宋体" w:hAnsi="宋体" w:eastAsia="宋体" w:cs="宋体"/>
                <w:color w:val="auto"/>
                <w:highlight w:val="none"/>
              </w:rPr>
            </w:pPr>
          </w:p>
        </w:tc>
        <w:tc>
          <w:tcPr>
            <w:tcW w:w="1212" w:type="dxa"/>
          </w:tcPr>
          <w:p w14:paraId="44709D77">
            <w:pPr>
              <w:rPr>
                <w:rFonts w:hint="eastAsia" w:ascii="宋体" w:hAnsi="宋体" w:eastAsia="宋体" w:cs="宋体"/>
                <w:color w:val="auto"/>
                <w:highlight w:val="none"/>
              </w:rPr>
            </w:pPr>
          </w:p>
        </w:tc>
        <w:tc>
          <w:tcPr>
            <w:tcW w:w="911" w:type="dxa"/>
          </w:tcPr>
          <w:p w14:paraId="7EAD17D2">
            <w:pPr>
              <w:rPr>
                <w:rFonts w:hint="eastAsia" w:ascii="宋体" w:hAnsi="宋体" w:eastAsia="宋体" w:cs="宋体"/>
                <w:color w:val="auto"/>
                <w:highlight w:val="none"/>
              </w:rPr>
            </w:pPr>
          </w:p>
        </w:tc>
        <w:tc>
          <w:tcPr>
            <w:tcW w:w="924" w:type="dxa"/>
          </w:tcPr>
          <w:p w14:paraId="5A263CE8">
            <w:pPr>
              <w:rPr>
                <w:rFonts w:hint="eastAsia" w:ascii="宋体" w:hAnsi="宋体" w:eastAsia="宋体" w:cs="宋体"/>
                <w:color w:val="auto"/>
                <w:highlight w:val="none"/>
              </w:rPr>
            </w:pPr>
          </w:p>
        </w:tc>
        <w:tc>
          <w:tcPr>
            <w:tcW w:w="819" w:type="dxa"/>
          </w:tcPr>
          <w:p w14:paraId="155D42D3">
            <w:pPr>
              <w:rPr>
                <w:rFonts w:hint="eastAsia" w:ascii="宋体" w:hAnsi="宋体" w:eastAsia="宋体" w:cs="宋体"/>
                <w:color w:val="auto"/>
                <w:highlight w:val="none"/>
              </w:rPr>
            </w:pPr>
          </w:p>
        </w:tc>
        <w:tc>
          <w:tcPr>
            <w:tcW w:w="997" w:type="dxa"/>
          </w:tcPr>
          <w:p w14:paraId="0335DB2B">
            <w:pPr>
              <w:jc w:val="center"/>
              <w:rPr>
                <w:rFonts w:hint="eastAsia" w:ascii="宋体" w:hAnsi="宋体" w:eastAsia="宋体" w:cs="宋体"/>
                <w:color w:val="auto"/>
                <w:highlight w:val="none"/>
              </w:rPr>
            </w:pPr>
          </w:p>
        </w:tc>
        <w:tc>
          <w:tcPr>
            <w:tcW w:w="1087" w:type="dxa"/>
          </w:tcPr>
          <w:p w14:paraId="62E25FFB">
            <w:pPr>
              <w:jc w:val="center"/>
              <w:rPr>
                <w:rFonts w:hint="eastAsia" w:ascii="宋体" w:hAnsi="宋体" w:eastAsia="宋体" w:cs="宋体"/>
                <w:color w:val="auto"/>
                <w:highlight w:val="none"/>
              </w:rPr>
            </w:pPr>
          </w:p>
        </w:tc>
        <w:tc>
          <w:tcPr>
            <w:tcW w:w="1089" w:type="dxa"/>
          </w:tcPr>
          <w:p w14:paraId="1B41635A">
            <w:pPr>
              <w:jc w:val="center"/>
              <w:rPr>
                <w:rFonts w:hint="eastAsia" w:ascii="宋体" w:hAnsi="宋体" w:eastAsia="宋体" w:cs="宋体"/>
                <w:color w:val="auto"/>
                <w:highlight w:val="none"/>
              </w:rPr>
            </w:pPr>
          </w:p>
        </w:tc>
        <w:tc>
          <w:tcPr>
            <w:tcW w:w="1073" w:type="dxa"/>
          </w:tcPr>
          <w:p w14:paraId="38B18530">
            <w:pPr>
              <w:rPr>
                <w:rFonts w:hint="eastAsia" w:ascii="宋体" w:hAnsi="宋体" w:eastAsia="宋体" w:cs="宋体"/>
                <w:color w:val="auto"/>
                <w:highlight w:val="none"/>
              </w:rPr>
            </w:pPr>
          </w:p>
        </w:tc>
      </w:tr>
      <w:tr w14:paraId="7E987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40098FB1">
            <w:pPr>
              <w:rPr>
                <w:rFonts w:hint="eastAsia" w:ascii="宋体" w:hAnsi="宋体" w:eastAsia="宋体" w:cs="宋体"/>
                <w:color w:val="auto"/>
                <w:highlight w:val="none"/>
              </w:rPr>
            </w:pPr>
          </w:p>
        </w:tc>
        <w:tc>
          <w:tcPr>
            <w:tcW w:w="1212" w:type="dxa"/>
          </w:tcPr>
          <w:p w14:paraId="7E3BFD82">
            <w:pPr>
              <w:rPr>
                <w:rFonts w:hint="eastAsia" w:ascii="宋体" w:hAnsi="宋体" w:eastAsia="宋体" w:cs="宋体"/>
                <w:color w:val="auto"/>
                <w:highlight w:val="none"/>
              </w:rPr>
            </w:pPr>
          </w:p>
        </w:tc>
        <w:tc>
          <w:tcPr>
            <w:tcW w:w="911" w:type="dxa"/>
          </w:tcPr>
          <w:p w14:paraId="6EE70C5A">
            <w:pPr>
              <w:rPr>
                <w:rFonts w:hint="eastAsia" w:ascii="宋体" w:hAnsi="宋体" w:eastAsia="宋体" w:cs="宋体"/>
                <w:color w:val="auto"/>
                <w:highlight w:val="none"/>
              </w:rPr>
            </w:pPr>
          </w:p>
        </w:tc>
        <w:tc>
          <w:tcPr>
            <w:tcW w:w="924" w:type="dxa"/>
          </w:tcPr>
          <w:p w14:paraId="3FB11E96">
            <w:pPr>
              <w:rPr>
                <w:rFonts w:hint="eastAsia" w:ascii="宋体" w:hAnsi="宋体" w:eastAsia="宋体" w:cs="宋体"/>
                <w:color w:val="auto"/>
                <w:highlight w:val="none"/>
              </w:rPr>
            </w:pPr>
          </w:p>
        </w:tc>
        <w:tc>
          <w:tcPr>
            <w:tcW w:w="819" w:type="dxa"/>
          </w:tcPr>
          <w:p w14:paraId="4C4262CE">
            <w:pPr>
              <w:rPr>
                <w:rFonts w:hint="eastAsia" w:ascii="宋体" w:hAnsi="宋体" w:eastAsia="宋体" w:cs="宋体"/>
                <w:color w:val="auto"/>
                <w:highlight w:val="none"/>
              </w:rPr>
            </w:pPr>
          </w:p>
        </w:tc>
        <w:tc>
          <w:tcPr>
            <w:tcW w:w="997" w:type="dxa"/>
          </w:tcPr>
          <w:p w14:paraId="5192A3E0">
            <w:pPr>
              <w:jc w:val="center"/>
              <w:rPr>
                <w:rFonts w:hint="eastAsia" w:ascii="宋体" w:hAnsi="宋体" w:eastAsia="宋体" w:cs="宋体"/>
                <w:color w:val="auto"/>
                <w:highlight w:val="none"/>
              </w:rPr>
            </w:pPr>
          </w:p>
        </w:tc>
        <w:tc>
          <w:tcPr>
            <w:tcW w:w="1087" w:type="dxa"/>
          </w:tcPr>
          <w:p w14:paraId="6D299F7B">
            <w:pPr>
              <w:jc w:val="center"/>
              <w:rPr>
                <w:rFonts w:hint="eastAsia" w:ascii="宋体" w:hAnsi="宋体" w:eastAsia="宋体" w:cs="宋体"/>
                <w:color w:val="auto"/>
                <w:highlight w:val="none"/>
              </w:rPr>
            </w:pPr>
          </w:p>
        </w:tc>
        <w:tc>
          <w:tcPr>
            <w:tcW w:w="1089" w:type="dxa"/>
          </w:tcPr>
          <w:p w14:paraId="20BAC8BC">
            <w:pPr>
              <w:jc w:val="center"/>
              <w:rPr>
                <w:rFonts w:hint="eastAsia" w:ascii="宋体" w:hAnsi="宋体" w:eastAsia="宋体" w:cs="宋体"/>
                <w:color w:val="auto"/>
                <w:highlight w:val="none"/>
              </w:rPr>
            </w:pPr>
          </w:p>
        </w:tc>
        <w:tc>
          <w:tcPr>
            <w:tcW w:w="1073" w:type="dxa"/>
          </w:tcPr>
          <w:p w14:paraId="3B22DCE8">
            <w:pPr>
              <w:rPr>
                <w:rFonts w:hint="eastAsia" w:ascii="宋体" w:hAnsi="宋体" w:eastAsia="宋体" w:cs="宋体"/>
                <w:color w:val="auto"/>
                <w:highlight w:val="none"/>
              </w:rPr>
            </w:pPr>
          </w:p>
        </w:tc>
      </w:tr>
      <w:tr w14:paraId="6441B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40EAFF5D">
            <w:pPr>
              <w:rPr>
                <w:rFonts w:hint="eastAsia" w:ascii="宋体" w:hAnsi="宋体" w:eastAsia="宋体" w:cs="宋体"/>
                <w:color w:val="auto"/>
                <w:highlight w:val="none"/>
              </w:rPr>
            </w:pPr>
          </w:p>
        </w:tc>
        <w:tc>
          <w:tcPr>
            <w:tcW w:w="1212" w:type="dxa"/>
          </w:tcPr>
          <w:p w14:paraId="26CAFD35">
            <w:pPr>
              <w:rPr>
                <w:rFonts w:hint="eastAsia" w:ascii="宋体" w:hAnsi="宋体" w:eastAsia="宋体" w:cs="宋体"/>
                <w:color w:val="auto"/>
                <w:highlight w:val="none"/>
              </w:rPr>
            </w:pPr>
          </w:p>
        </w:tc>
        <w:tc>
          <w:tcPr>
            <w:tcW w:w="911" w:type="dxa"/>
          </w:tcPr>
          <w:p w14:paraId="4FFF3F9F">
            <w:pPr>
              <w:rPr>
                <w:rFonts w:hint="eastAsia" w:ascii="宋体" w:hAnsi="宋体" w:eastAsia="宋体" w:cs="宋体"/>
                <w:color w:val="auto"/>
                <w:highlight w:val="none"/>
              </w:rPr>
            </w:pPr>
          </w:p>
        </w:tc>
        <w:tc>
          <w:tcPr>
            <w:tcW w:w="924" w:type="dxa"/>
          </w:tcPr>
          <w:p w14:paraId="56B6A441">
            <w:pPr>
              <w:rPr>
                <w:rFonts w:hint="eastAsia" w:ascii="宋体" w:hAnsi="宋体" w:eastAsia="宋体" w:cs="宋体"/>
                <w:color w:val="auto"/>
                <w:highlight w:val="none"/>
              </w:rPr>
            </w:pPr>
          </w:p>
        </w:tc>
        <w:tc>
          <w:tcPr>
            <w:tcW w:w="819" w:type="dxa"/>
          </w:tcPr>
          <w:p w14:paraId="5971D144">
            <w:pPr>
              <w:rPr>
                <w:rFonts w:hint="eastAsia" w:ascii="宋体" w:hAnsi="宋体" w:eastAsia="宋体" w:cs="宋体"/>
                <w:color w:val="auto"/>
                <w:highlight w:val="none"/>
              </w:rPr>
            </w:pPr>
          </w:p>
        </w:tc>
        <w:tc>
          <w:tcPr>
            <w:tcW w:w="997" w:type="dxa"/>
          </w:tcPr>
          <w:p w14:paraId="716EFE46">
            <w:pPr>
              <w:jc w:val="center"/>
              <w:rPr>
                <w:rFonts w:hint="eastAsia" w:ascii="宋体" w:hAnsi="宋体" w:eastAsia="宋体" w:cs="宋体"/>
                <w:color w:val="auto"/>
                <w:highlight w:val="none"/>
              </w:rPr>
            </w:pPr>
          </w:p>
        </w:tc>
        <w:tc>
          <w:tcPr>
            <w:tcW w:w="1087" w:type="dxa"/>
          </w:tcPr>
          <w:p w14:paraId="4EAA0F68">
            <w:pPr>
              <w:jc w:val="center"/>
              <w:rPr>
                <w:rFonts w:hint="eastAsia" w:ascii="宋体" w:hAnsi="宋体" w:eastAsia="宋体" w:cs="宋体"/>
                <w:color w:val="auto"/>
                <w:highlight w:val="none"/>
              </w:rPr>
            </w:pPr>
          </w:p>
        </w:tc>
        <w:tc>
          <w:tcPr>
            <w:tcW w:w="1089" w:type="dxa"/>
          </w:tcPr>
          <w:p w14:paraId="2B5D108D">
            <w:pPr>
              <w:jc w:val="center"/>
              <w:rPr>
                <w:rFonts w:hint="eastAsia" w:ascii="宋体" w:hAnsi="宋体" w:eastAsia="宋体" w:cs="宋体"/>
                <w:color w:val="auto"/>
                <w:highlight w:val="none"/>
              </w:rPr>
            </w:pPr>
          </w:p>
        </w:tc>
        <w:tc>
          <w:tcPr>
            <w:tcW w:w="1073" w:type="dxa"/>
          </w:tcPr>
          <w:p w14:paraId="60F78777">
            <w:pPr>
              <w:rPr>
                <w:rFonts w:hint="eastAsia" w:ascii="宋体" w:hAnsi="宋体" w:eastAsia="宋体" w:cs="宋体"/>
                <w:color w:val="auto"/>
                <w:highlight w:val="none"/>
              </w:rPr>
            </w:pPr>
          </w:p>
        </w:tc>
      </w:tr>
      <w:tr w14:paraId="46EC4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57A39914">
            <w:pPr>
              <w:rPr>
                <w:rFonts w:hint="eastAsia" w:ascii="宋体" w:hAnsi="宋体" w:eastAsia="宋体" w:cs="宋体"/>
                <w:color w:val="auto"/>
                <w:highlight w:val="none"/>
              </w:rPr>
            </w:pPr>
          </w:p>
        </w:tc>
        <w:tc>
          <w:tcPr>
            <w:tcW w:w="1212" w:type="dxa"/>
          </w:tcPr>
          <w:p w14:paraId="6557F580">
            <w:pPr>
              <w:rPr>
                <w:rFonts w:hint="eastAsia" w:ascii="宋体" w:hAnsi="宋体" w:eastAsia="宋体" w:cs="宋体"/>
                <w:color w:val="auto"/>
                <w:highlight w:val="none"/>
              </w:rPr>
            </w:pPr>
          </w:p>
        </w:tc>
        <w:tc>
          <w:tcPr>
            <w:tcW w:w="911" w:type="dxa"/>
          </w:tcPr>
          <w:p w14:paraId="1C5A6513">
            <w:pPr>
              <w:rPr>
                <w:rFonts w:hint="eastAsia" w:ascii="宋体" w:hAnsi="宋体" w:eastAsia="宋体" w:cs="宋体"/>
                <w:color w:val="auto"/>
                <w:highlight w:val="none"/>
              </w:rPr>
            </w:pPr>
          </w:p>
        </w:tc>
        <w:tc>
          <w:tcPr>
            <w:tcW w:w="924" w:type="dxa"/>
          </w:tcPr>
          <w:p w14:paraId="23C607F3">
            <w:pPr>
              <w:rPr>
                <w:rFonts w:hint="eastAsia" w:ascii="宋体" w:hAnsi="宋体" w:eastAsia="宋体" w:cs="宋体"/>
                <w:color w:val="auto"/>
                <w:highlight w:val="none"/>
              </w:rPr>
            </w:pPr>
          </w:p>
        </w:tc>
        <w:tc>
          <w:tcPr>
            <w:tcW w:w="819" w:type="dxa"/>
          </w:tcPr>
          <w:p w14:paraId="595F1142">
            <w:pPr>
              <w:rPr>
                <w:rFonts w:hint="eastAsia" w:ascii="宋体" w:hAnsi="宋体" w:eastAsia="宋体" w:cs="宋体"/>
                <w:color w:val="auto"/>
                <w:highlight w:val="none"/>
              </w:rPr>
            </w:pPr>
          </w:p>
        </w:tc>
        <w:tc>
          <w:tcPr>
            <w:tcW w:w="997" w:type="dxa"/>
          </w:tcPr>
          <w:p w14:paraId="62202A47">
            <w:pPr>
              <w:jc w:val="center"/>
              <w:rPr>
                <w:rFonts w:hint="eastAsia" w:ascii="宋体" w:hAnsi="宋体" w:eastAsia="宋体" w:cs="宋体"/>
                <w:color w:val="auto"/>
                <w:highlight w:val="none"/>
              </w:rPr>
            </w:pPr>
          </w:p>
        </w:tc>
        <w:tc>
          <w:tcPr>
            <w:tcW w:w="1087" w:type="dxa"/>
          </w:tcPr>
          <w:p w14:paraId="7A27B6D4">
            <w:pPr>
              <w:jc w:val="center"/>
              <w:rPr>
                <w:rFonts w:hint="eastAsia" w:ascii="宋体" w:hAnsi="宋体" w:eastAsia="宋体" w:cs="宋体"/>
                <w:color w:val="auto"/>
                <w:highlight w:val="none"/>
              </w:rPr>
            </w:pPr>
          </w:p>
        </w:tc>
        <w:tc>
          <w:tcPr>
            <w:tcW w:w="1089" w:type="dxa"/>
          </w:tcPr>
          <w:p w14:paraId="0417DF0B">
            <w:pPr>
              <w:jc w:val="center"/>
              <w:rPr>
                <w:rFonts w:hint="eastAsia" w:ascii="宋体" w:hAnsi="宋体" w:eastAsia="宋体" w:cs="宋体"/>
                <w:color w:val="auto"/>
                <w:highlight w:val="none"/>
              </w:rPr>
            </w:pPr>
          </w:p>
        </w:tc>
        <w:tc>
          <w:tcPr>
            <w:tcW w:w="1073" w:type="dxa"/>
          </w:tcPr>
          <w:p w14:paraId="1B9B9666">
            <w:pPr>
              <w:rPr>
                <w:rFonts w:hint="eastAsia" w:ascii="宋体" w:hAnsi="宋体" w:eastAsia="宋体" w:cs="宋体"/>
                <w:color w:val="auto"/>
                <w:highlight w:val="none"/>
              </w:rPr>
            </w:pPr>
          </w:p>
        </w:tc>
      </w:tr>
      <w:tr w14:paraId="13161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31B41312">
            <w:pPr>
              <w:rPr>
                <w:rFonts w:hint="eastAsia" w:ascii="宋体" w:hAnsi="宋体" w:eastAsia="宋体" w:cs="宋体"/>
                <w:color w:val="auto"/>
                <w:highlight w:val="none"/>
              </w:rPr>
            </w:pPr>
          </w:p>
        </w:tc>
        <w:tc>
          <w:tcPr>
            <w:tcW w:w="1212" w:type="dxa"/>
          </w:tcPr>
          <w:p w14:paraId="664FC228">
            <w:pPr>
              <w:rPr>
                <w:rFonts w:hint="eastAsia" w:ascii="宋体" w:hAnsi="宋体" w:eastAsia="宋体" w:cs="宋体"/>
                <w:color w:val="auto"/>
                <w:highlight w:val="none"/>
              </w:rPr>
            </w:pPr>
          </w:p>
        </w:tc>
        <w:tc>
          <w:tcPr>
            <w:tcW w:w="911" w:type="dxa"/>
          </w:tcPr>
          <w:p w14:paraId="192A129D">
            <w:pPr>
              <w:rPr>
                <w:rFonts w:hint="eastAsia" w:ascii="宋体" w:hAnsi="宋体" w:eastAsia="宋体" w:cs="宋体"/>
                <w:color w:val="auto"/>
                <w:highlight w:val="none"/>
              </w:rPr>
            </w:pPr>
          </w:p>
        </w:tc>
        <w:tc>
          <w:tcPr>
            <w:tcW w:w="924" w:type="dxa"/>
          </w:tcPr>
          <w:p w14:paraId="4F19E743">
            <w:pPr>
              <w:rPr>
                <w:rFonts w:hint="eastAsia" w:ascii="宋体" w:hAnsi="宋体" w:eastAsia="宋体" w:cs="宋体"/>
                <w:color w:val="auto"/>
                <w:highlight w:val="none"/>
              </w:rPr>
            </w:pPr>
          </w:p>
        </w:tc>
        <w:tc>
          <w:tcPr>
            <w:tcW w:w="819" w:type="dxa"/>
          </w:tcPr>
          <w:p w14:paraId="16BA3EB6">
            <w:pPr>
              <w:rPr>
                <w:rFonts w:hint="eastAsia" w:ascii="宋体" w:hAnsi="宋体" w:eastAsia="宋体" w:cs="宋体"/>
                <w:color w:val="auto"/>
                <w:highlight w:val="none"/>
              </w:rPr>
            </w:pPr>
          </w:p>
        </w:tc>
        <w:tc>
          <w:tcPr>
            <w:tcW w:w="997" w:type="dxa"/>
          </w:tcPr>
          <w:p w14:paraId="47D4684F">
            <w:pPr>
              <w:jc w:val="center"/>
              <w:rPr>
                <w:rFonts w:hint="eastAsia" w:ascii="宋体" w:hAnsi="宋体" w:eastAsia="宋体" w:cs="宋体"/>
                <w:color w:val="auto"/>
                <w:highlight w:val="none"/>
              </w:rPr>
            </w:pPr>
          </w:p>
        </w:tc>
        <w:tc>
          <w:tcPr>
            <w:tcW w:w="1087" w:type="dxa"/>
          </w:tcPr>
          <w:p w14:paraId="62F88254">
            <w:pPr>
              <w:jc w:val="center"/>
              <w:rPr>
                <w:rFonts w:hint="eastAsia" w:ascii="宋体" w:hAnsi="宋体" w:eastAsia="宋体" w:cs="宋体"/>
                <w:color w:val="auto"/>
                <w:highlight w:val="none"/>
              </w:rPr>
            </w:pPr>
          </w:p>
        </w:tc>
        <w:tc>
          <w:tcPr>
            <w:tcW w:w="1089" w:type="dxa"/>
          </w:tcPr>
          <w:p w14:paraId="3D31B2EE">
            <w:pPr>
              <w:jc w:val="center"/>
              <w:rPr>
                <w:rFonts w:hint="eastAsia" w:ascii="宋体" w:hAnsi="宋体" w:eastAsia="宋体" w:cs="宋体"/>
                <w:color w:val="auto"/>
                <w:highlight w:val="none"/>
              </w:rPr>
            </w:pPr>
          </w:p>
        </w:tc>
        <w:tc>
          <w:tcPr>
            <w:tcW w:w="1073" w:type="dxa"/>
          </w:tcPr>
          <w:p w14:paraId="7906C2DA">
            <w:pPr>
              <w:rPr>
                <w:rFonts w:hint="eastAsia" w:ascii="宋体" w:hAnsi="宋体" w:eastAsia="宋体" w:cs="宋体"/>
                <w:color w:val="auto"/>
                <w:highlight w:val="none"/>
              </w:rPr>
            </w:pPr>
          </w:p>
        </w:tc>
      </w:tr>
      <w:tr w14:paraId="2A856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01DAE125">
            <w:pPr>
              <w:rPr>
                <w:rFonts w:hint="eastAsia" w:ascii="宋体" w:hAnsi="宋体" w:eastAsia="宋体" w:cs="宋体"/>
                <w:color w:val="auto"/>
                <w:highlight w:val="none"/>
              </w:rPr>
            </w:pPr>
          </w:p>
        </w:tc>
        <w:tc>
          <w:tcPr>
            <w:tcW w:w="1212" w:type="dxa"/>
          </w:tcPr>
          <w:p w14:paraId="4DB1F190">
            <w:pPr>
              <w:rPr>
                <w:rFonts w:hint="eastAsia" w:ascii="宋体" w:hAnsi="宋体" w:eastAsia="宋体" w:cs="宋体"/>
                <w:color w:val="auto"/>
                <w:highlight w:val="none"/>
              </w:rPr>
            </w:pPr>
          </w:p>
        </w:tc>
        <w:tc>
          <w:tcPr>
            <w:tcW w:w="911" w:type="dxa"/>
          </w:tcPr>
          <w:p w14:paraId="1FBBA289">
            <w:pPr>
              <w:rPr>
                <w:rFonts w:hint="eastAsia" w:ascii="宋体" w:hAnsi="宋体" w:eastAsia="宋体" w:cs="宋体"/>
                <w:color w:val="auto"/>
                <w:highlight w:val="none"/>
              </w:rPr>
            </w:pPr>
          </w:p>
        </w:tc>
        <w:tc>
          <w:tcPr>
            <w:tcW w:w="924" w:type="dxa"/>
          </w:tcPr>
          <w:p w14:paraId="7E347A2A">
            <w:pPr>
              <w:rPr>
                <w:rFonts w:hint="eastAsia" w:ascii="宋体" w:hAnsi="宋体" w:eastAsia="宋体" w:cs="宋体"/>
                <w:color w:val="auto"/>
                <w:highlight w:val="none"/>
              </w:rPr>
            </w:pPr>
          </w:p>
        </w:tc>
        <w:tc>
          <w:tcPr>
            <w:tcW w:w="819" w:type="dxa"/>
          </w:tcPr>
          <w:p w14:paraId="6245C2A9">
            <w:pPr>
              <w:rPr>
                <w:rFonts w:hint="eastAsia" w:ascii="宋体" w:hAnsi="宋体" w:eastAsia="宋体" w:cs="宋体"/>
                <w:color w:val="auto"/>
                <w:highlight w:val="none"/>
              </w:rPr>
            </w:pPr>
          </w:p>
        </w:tc>
        <w:tc>
          <w:tcPr>
            <w:tcW w:w="997" w:type="dxa"/>
          </w:tcPr>
          <w:p w14:paraId="6B0E1DCC">
            <w:pPr>
              <w:jc w:val="center"/>
              <w:rPr>
                <w:rFonts w:hint="eastAsia" w:ascii="宋体" w:hAnsi="宋体" w:eastAsia="宋体" w:cs="宋体"/>
                <w:color w:val="auto"/>
                <w:highlight w:val="none"/>
              </w:rPr>
            </w:pPr>
          </w:p>
        </w:tc>
        <w:tc>
          <w:tcPr>
            <w:tcW w:w="1087" w:type="dxa"/>
          </w:tcPr>
          <w:p w14:paraId="4A5098AC">
            <w:pPr>
              <w:jc w:val="center"/>
              <w:rPr>
                <w:rFonts w:hint="eastAsia" w:ascii="宋体" w:hAnsi="宋体" w:eastAsia="宋体" w:cs="宋体"/>
                <w:color w:val="auto"/>
                <w:highlight w:val="none"/>
              </w:rPr>
            </w:pPr>
          </w:p>
        </w:tc>
        <w:tc>
          <w:tcPr>
            <w:tcW w:w="1089" w:type="dxa"/>
          </w:tcPr>
          <w:p w14:paraId="10F51E4E">
            <w:pPr>
              <w:jc w:val="center"/>
              <w:rPr>
                <w:rFonts w:hint="eastAsia" w:ascii="宋体" w:hAnsi="宋体" w:eastAsia="宋体" w:cs="宋体"/>
                <w:color w:val="auto"/>
                <w:highlight w:val="none"/>
              </w:rPr>
            </w:pPr>
          </w:p>
        </w:tc>
        <w:tc>
          <w:tcPr>
            <w:tcW w:w="1073" w:type="dxa"/>
          </w:tcPr>
          <w:p w14:paraId="159036DF">
            <w:pPr>
              <w:rPr>
                <w:rFonts w:hint="eastAsia" w:ascii="宋体" w:hAnsi="宋体" w:eastAsia="宋体" w:cs="宋体"/>
                <w:color w:val="auto"/>
                <w:highlight w:val="none"/>
              </w:rPr>
            </w:pPr>
          </w:p>
        </w:tc>
      </w:tr>
      <w:tr w14:paraId="11E8F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73D92D38">
            <w:pPr>
              <w:rPr>
                <w:rFonts w:hint="eastAsia" w:ascii="宋体" w:hAnsi="宋体" w:eastAsia="宋体" w:cs="宋体"/>
                <w:color w:val="auto"/>
                <w:highlight w:val="none"/>
              </w:rPr>
            </w:pPr>
          </w:p>
        </w:tc>
        <w:tc>
          <w:tcPr>
            <w:tcW w:w="1212" w:type="dxa"/>
          </w:tcPr>
          <w:p w14:paraId="37400E64">
            <w:pPr>
              <w:rPr>
                <w:rFonts w:hint="eastAsia" w:ascii="宋体" w:hAnsi="宋体" w:eastAsia="宋体" w:cs="宋体"/>
                <w:color w:val="auto"/>
                <w:highlight w:val="none"/>
              </w:rPr>
            </w:pPr>
          </w:p>
        </w:tc>
        <w:tc>
          <w:tcPr>
            <w:tcW w:w="911" w:type="dxa"/>
          </w:tcPr>
          <w:p w14:paraId="6D950E79">
            <w:pPr>
              <w:rPr>
                <w:rFonts w:hint="eastAsia" w:ascii="宋体" w:hAnsi="宋体" w:eastAsia="宋体" w:cs="宋体"/>
                <w:color w:val="auto"/>
                <w:highlight w:val="none"/>
              </w:rPr>
            </w:pPr>
          </w:p>
        </w:tc>
        <w:tc>
          <w:tcPr>
            <w:tcW w:w="924" w:type="dxa"/>
          </w:tcPr>
          <w:p w14:paraId="489B946E">
            <w:pPr>
              <w:rPr>
                <w:rFonts w:hint="eastAsia" w:ascii="宋体" w:hAnsi="宋体" w:eastAsia="宋体" w:cs="宋体"/>
                <w:color w:val="auto"/>
                <w:highlight w:val="none"/>
              </w:rPr>
            </w:pPr>
          </w:p>
        </w:tc>
        <w:tc>
          <w:tcPr>
            <w:tcW w:w="819" w:type="dxa"/>
          </w:tcPr>
          <w:p w14:paraId="5E63B469">
            <w:pPr>
              <w:rPr>
                <w:rFonts w:hint="eastAsia" w:ascii="宋体" w:hAnsi="宋体" w:eastAsia="宋体" w:cs="宋体"/>
                <w:color w:val="auto"/>
                <w:highlight w:val="none"/>
              </w:rPr>
            </w:pPr>
          </w:p>
        </w:tc>
        <w:tc>
          <w:tcPr>
            <w:tcW w:w="997" w:type="dxa"/>
          </w:tcPr>
          <w:p w14:paraId="213FCD35">
            <w:pPr>
              <w:jc w:val="center"/>
              <w:rPr>
                <w:rFonts w:hint="eastAsia" w:ascii="宋体" w:hAnsi="宋体" w:eastAsia="宋体" w:cs="宋体"/>
                <w:color w:val="auto"/>
                <w:highlight w:val="none"/>
              </w:rPr>
            </w:pPr>
          </w:p>
        </w:tc>
        <w:tc>
          <w:tcPr>
            <w:tcW w:w="1087" w:type="dxa"/>
          </w:tcPr>
          <w:p w14:paraId="159F6315">
            <w:pPr>
              <w:jc w:val="center"/>
              <w:rPr>
                <w:rFonts w:hint="eastAsia" w:ascii="宋体" w:hAnsi="宋体" w:eastAsia="宋体" w:cs="宋体"/>
                <w:color w:val="auto"/>
                <w:highlight w:val="none"/>
              </w:rPr>
            </w:pPr>
          </w:p>
        </w:tc>
        <w:tc>
          <w:tcPr>
            <w:tcW w:w="1089" w:type="dxa"/>
          </w:tcPr>
          <w:p w14:paraId="556A627D">
            <w:pPr>
              <w:jc w:val="center"/>
              <w:rPr>
                <w:rFonts w:hint="eastAsia" w:ascii="宋体" w:hAnsi="宋体" w:eastAsia="宋体" w:cs="宋体"/>
                <w:color w:val="auto"/>
                <w:highlight w:val="none"/>
              </w:rPr>
            </w:pPr>
          </w:p>
        </w:tc>
        <w:tc>
          <w:tcPr>
            <w:tcW w:w="1073" w:type="dxa"/>
          </w:tcPr>
          <w:p w14:paraId="5E968CE7">
            <w:pPr>
              <w:rPr>
                <w:rFonts w:hint="eastAsia" w:ascii="宋体" w:hAnsi="宋体" w:eastAsia="宋体" w:cs="宋体"/>
                <w:color w:val="auto"/>
                <w:highlight w:val="none"/>
              </w:rPr>
            </w:pPr>
          </w:p>
        </w:tc>
      </w:tr>
      <w:tr w14:paraId="7C0AD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24404345">
            <w:pPr>
              <w:rPr>
                <w:rFonts w:hint="eastAsia" w:ascii="宋体" w:hAnsi="宋体" w:eastAsia="宋体" w:cs="宋体"/>
                <w:color w:val="auto"/>
                <w:highlight w:val="none"/>
              </w:rPr>
            </w:pPr>
          </w:p>
        </w:tc>
        <w:tc>
          <w:tcPr>
            <w:tcW w:w="1212" w:type="dxa"/>
          </w:tcPr>
          <w:p w14:paraId="4120E753">
            <w:pPr>
              <w:rPr>
                <w:rFonts w:hint="eastAsia" w:ascii="宋体" w:hAnsi="宋体" w:eastAsia="宋体" w:cs="宋体"/>
                <w:color w:val="auto"/>
                <w:highlight w:val="none"/>
              </w:rPr>
            </w:pPr>
          </w:p>
        </w:tc>
        <w:tc>
          <w:tcPr>
            <w:tcW w:w="911" w:type="dxa"/>
          </w:tcPr>
          <w:p w14:paraId="3E6F763D">
            <w:pPr>
              <w:rPr>
                <w:rFonts w:hint="eastAsia" w:ascii="宋体" w:hAnsi="宋体" w:eastAsia="宋体" w:cs="宋体"/>
                <w:color w:val="auto"/>
                <w:highlight w:val="none"/>
              </w:rPr>
            </w:pPr>
          </w:p>
        </w:tc>
        <w:tc>
          <w:tcPr>
            <w:tcW w:w="924" w:type="dxa"/>
          </w:tcPr>
          <w:p w14:paraId="05DFD87F">
            <w:pPr>
              <w:rPr>
                <w:rFonts w:hint="eastAsia" w:ascii="宋体" w:hAnsi="宋体" w:eastAsia="宋体" w:cs="宋体"/>
                <w:color w:val="auto"/>
                <w:highlight w:val="none"/>
              </w:rPr>
            </w:pPr>
          </w:p>
        </w:tc>
        <w:tc>
          <w:tcPr>
            <w:tcW w:w="819" w:type="dxa"/>
          </w:tcPr>
          <w:p w14:paraId="3D38B345">
            <w:pPr>
              <w:rPr>
                <w:rFonts w:hint="eastAsia" w:ascii="宋体" w:hAnsi="宋体" w:eastAsia="宋体" w:cs="宋体"/>
                <w:color w:val="auto"/>
                <w:highlight w:val="none"/>
              </w:rPr>
            </w:pPr>
          </w:p>
        </w:tc>
        <w:tc>
          <w:tcPr>
            <w:tcW w:w="997" w:type="dxa"/>
          </w:tcPr>
          <w:p w14:paraId="387D88A4">
            <w:pPr>
              <w:jc w:val="center"/>
              <w:rPr>
                <w:rFonts w:hint="eastAsia" w:ascii="宋体" w:hAnsi="宋体" w:eastAsia="宋体" w:cs="宋体"/>
                <w:color w:val="auto"/>
                <w:highlight w:val="none"/>
              </w:rPr>
            </w:pPr>
          </w:p>
        </w:tc>
        <w:tc>
          <w:tcPr>
            <w:tcW w:w="1087" w:type="dxa"/>
          </w:tcPr>
          <w:p w14:paraId="6A455BA2">
            <w:pPr>
              <w:jc w:val="center"/>
              <w:rPr>
                <w:rFonts w:hint="eastAsia" w:ascii="宋体" w:hAnsi="宋体" w:eastAsia="宋体" w:cs="宋体"/>
                <w:color w:val="auto"/>
                <w:highlight w:val="none"/>
              </w:rPr>
            </w:pPr>
          </w:p>
        </w:tc>
        <w:tc>
          <w:tcPr>
            <w:tcW w:w="1089" w:type="dxa"/>
          </w:tcPr>
          <w:p w14:paraId="4307389E">
            <w:pPr>
              <w:jc w:val="center"/>
              <w:rPr>
                <w:rFonts w:hint="eastAsia" w:ascii="宋体" w:hAnsi="宋体" w:eastAsia="宋体" w:cs="宋体"/>
                <w:color w:val="auto"/>
                <w:highlight w:val="none"/>
              </w:rPr>
            </w:pPr>
          </w:p>
        </w:tc>
        <w:tc>
          <w:tcPr>
            <w:tcW w:w="1073" w:type="dxa"/>
          </w:tcPr>
          <w:p w14:paraId="64D0E559">
            <w:pPr>
              <w:rPr>
                <w:rFonts w:hint="eastAsia" w:ascii="宋体" w:hAnsi="宋体" w:eastAsia="宋体" w:cs="宋体"/>
                <w:color w:val="auto"/>
                <w:highlight w:val="none"/>
              </w:rPr>
            </w:pPr>
          </w:p>
        </w:tc>
      </w:tr>
      <w:tr w14:paraId="724D5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0CC9E42B">
            <w:pPr>
              <w:rPr>
                <w:rFonts w:hint="eastAsia" w:ascii="宋体" w:hAnsi="宋体" w:eastAsia="宋体" w:cs="宋体"/>
                <w:color w:val="auto"/>
                <w:highlight w:val="none"/>
              </w:rPr>
            </w:pPr>
          </w:p>
        </w:tc>
        <w:tc>
          <w:tcPr>
            <w:tcW w:w="1212" w:type="dxa"/>
          </w:tcPr>
          <w:p w14:paraId="36CE7EAA">
            <w:pPr>
              <w:rPr>
                <w:rFonts w:hint="eastAsia" w:ascii="宋体" w:hAnsi="宋体" w:eastAsia="宋体" w:cs="宋体"/>
                <w:color w:val="auto"/>
                <w:highlight w:val="none"/>
              </w:rPr>
            </w:pPr>
          </w:p>
        </w:tc>
        <w:tc>
          <w:tcPr>
            <w:tcW w:w="911" w:type="dxa"/>
          </w:tcPr>
          <w:p w14:paraId="2E293567">
            <w:pPr>
              <w:rPr>
                <w:rFonts w:hint="eastAsia" w:ascii="宋体" w:hAnsi="宋体" w:eastAsia="宋体" w:cs="宋体"/>
                <w:color w:val="auto"/>
                <w:highlight w:val="none"/>
              </w:rPr>
            </w:pPr>
          </w:p>
        </w:tc>
        <w:tc>
          <w:tcPr>
            <w:tcW w:w="924" w:type="dxa"/>
          </w:tcPr>
          <w:p w14:paraId="64BA79F0">
            <w:pPr>
              <w:rPr>
                <w:rFonts w:hint="eastAsia" w:ascii="宋体" w:hAnsi="宋体" w:eastAsia="宋体" w:cs="宋体"/>
                <w:color w:val="auto"/>
                <w:highlight w:val="none"/>
              </w:rPr>
            </w:pPr>
          </w:p>
        </w:tc>
        <w:tc>
          <w:tcPr>
            <w:tcW w:w="819" w:type="dxa"/>
          </w:tcPr>
          <w:p w14:paraId="589F8733">
            <w:pPr>
              <w:rPr>
                <w:rFonts w:hint="eastAsia" w:ascii="宋体" w:hAnsi="宋体" w:eastAsia="宋体" w:cs="宋体"/>
                <w:color w:val="auto"/>
                <w:highlight w:val="none"/>
              </w:rPr>
            </w:pPr>
          </w:p>
        </w:tc>
        <w:tc>
          <w:tcPr>
            <w:tcW w:w="997" w:type="dxa"/>
          </w:tcPr>
          <w:p w14:paraId="5AD38639">
            <w:pPr>
              <w:jc w:val="center"/>
              <w:rPr>
                <w:rFonts w:hint="eastAsia" w:ascii="宋体" w:hAnsi="宋体" w:eastAsia="宋体" w:cs="宋体"/>
                <w:color w:val="auto"/>
                <w:highlight w:val="none"/>
              </w:rPr>
            </w:pPr>
          </w:p>
        </w:tc>
        <w:tc>
          <w:tcPr>
            <w:tcW w:w="1087" w:type="dxa"/>
          </w:tcPr>
          <w:p w14:paraId="09C66920">
            <w:pPr>
              <w:jc w:val="center"/>
              <w:rPr>
                <w:rFonts w:hint="eastAsia" w:ascii="宋体" w:hAnsi="宋体" w:eastAsia="宋体" w:cs="宋体"/>
                <w:color w:val="auto"/>
                <w:highlight w:val="none"/>
              </w:rPr>
            </w:pPr>
          </w:p>
        </w:tc>
        <w:tc>
          <w:tcPr>
            <w:tcW w:w="1089" w:type="dxa"/>
          </w:tcPr>
          <w:p w14:paraId="638C871E">
            <w:pPr>
              <w:jc w:val="center"/>
              <w:rPr>
                <w:rFonts w:hint="eastAsia" w:ascii="宋体" w:hAnsi="宋体" w:eastAsia="宋体" w:cs="宋体"/>
                <w:color w:val="auto"/>
                <w:highlight w:val="none"/>
              </w:rPr>
            </w:pPr>
          </w:p>
        </w:tc>
        <w:tc>
          <w:tcPr>
            <w:tcW w:w="1073" w:type="dxa"/>
          </w:tcPr>
          <w:p w14:paraId="488932B0">
            <w:pPr>
              <w:rPr>
                <w:rFonts w:hint="eastAsia" w:ascii="宋体" w:hAnsi="宋体" w:eastAsia="宋体" w:cs="宋体"/>
                <w:color w:val="auto"/>
                <w:highlight w:val="none"/>
              </w:rPr>
            </w:pPr>
          </w:p>
        </w:tc>
      </w:tr>
      <w:tr w14:paraId="14443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51E7C90A">
            <w:pPr>
              <w:rPr>
                <w:rFonts w:hint="eastAsia" w:ascii="宋体" w:hAnsi="宋体" w:eastAsia="宋体" w:cs="宋体"/>
                <w:color w:val="auto"/>
                <w:highlight w:val="none"/>
              </w:rPr>
            </w:pPr>
          </w:p>
        </w:tc>
        <w:tc>
          <w:tcPr>
            <w:tcW w:w="1212" w:type="dxa"/>
          </w:tcPr>
          <w:p w14:paraId="1B3CD91B">
            <w:pPr>
              <w:rPr>
                <w:rFonts w:hint="eastAsia" w:ascii="宋体" w:hAnsi="宋体" w:eastAsia="宋体" w:cs="宋体"/>
                <w:color w:val="auto"/>
                <w:highlight w:val="none"/>
              </w:rPr>
            </w:pPr>
          </w:p>
        </w:tc>
        <w:tc>
          <w:tcPr>
            <w:tcW w:w="911" w:type="dxa"/>
          </w:tcPr>
          <w:p w14:paraId="4F50230D">
            <w:pPr>
              <w:rPr>
                <w:rFonts w:hint="eastAsia" w:ascii="宋体" w:hAnsi="宋体" w:eastAsia="宋体" w:cs="宋体"/>
                <w:color w:val="auto"/>
                <w:highlight w:val="none"/>
              </w:rPr>
            </w:pPr>
          </w:p>
        </w:tc>
        <w:tc>
          <w:tcPr>
            <w:tcW w:w="924" w:type="dxa"/>
          </w:tcPr>
          <w:p w14:paraId="38F32321">
            <w:pPr>
              <w:rPr>
                <w:rFonts w:hint="eastAsia" w:ascii="宋体" w:hAnsi="宋体" w:eastAsia="宋体" w:cs="宋体"/>
                <w:color w:val="auto"/>
                <w:highlight w:val="none"/>
              </w:rPr>
            </w:pPr>
          </w:p>
        </w:tc>
        <w:tc>
          <w:tcPr>
            <w:tcW w:w="819" w:type="dxa"/>
          </w:tcPr>
          <w:p w14:paraId="45074459">
            <w:pPr>
              <w:rPr>
                <w:rFonts w:hint="eastAsia" w:ascii="宋体" w:hAnsi="宋体" w:eastAsia="宋体" w:cs="宋体"/>
                <w:color w:val="auto"/>
                <w:highlight w:val="none"/>
              </w:rPr>
            </w:pPr>
          </w:p>
        </w:tc>
        <w:tc>
          <w:tcPr>
            <w:tcW w:w="997" w:type="dxa"/>
          </w:tcPr>
          <w:p w14:paraId="35A29B4D">
            <w:pPr>
              <w:jc w:val="center"/>
              <w:rPr>
                <w:rFonts w:hint="eastAsia" w:ascii="宋体" w:hAnsi="宋体" w:eastAsia="宋体" w:cs="宋体"/>
                <w:color w:val="auto"/>
                <w:highlight w:val="none"/>
              </w:rPr>
            </w:pPr>
          </w:p>
        </w:tc>
        <w:tc>
          <w:tcPr>
            <w:tcW w:w="1087" w:type="dxa"/>
          </w:tcPr>
          <w:p w14:paraId="676C7102">
            <w:pPr>
              <w:jc w:val="center"/>
              <w:rPr>
                <w:rFonts w:hint="eastAsia" w:ascii="宋体" w:hAnsi="宋体" w:eastAsia="宋体" w:cs="宋体"/>
                <w:color w:val="auto"/>
                <w:highlight w:val="none"/>
              </w:rPr>
            </w:pPr>
          </w:p>
        </w:tc>
        <w:tc>
          <w:tcPr>
            <w:tcW w:w="1089" w:type="dxa"/>
          </w:tcPr>
          <w:p w14:paraId="424619B1">
            <w:pPr>
              <w:jc w:val="center"/>
              <w:rPr>
                <w:rFonts w:hint="eastAsia" w:ascii="宋体" w:hAnsi="宋体" w:eastAsia="宋体" w:cs="宋体"/>
                <w:color w:val="auto"/>
                <w:highlight w:val="none"/>
              </w:rPr>
            </w:pPr>
          </w:p>
        </w:tc>
        <w:tc>
          <w:tcPr>
            <w:tcW w:w="1073" w:type="dxa"/>
          </w:tcPr>
          <w:p w14:paraId="3D0D037F">
            <w:pPr>
              <w:rPr>
                <w:rFonts w:hint="eastAsia" w:ascii="宋体" w:hAnsi="宋体" w:eastAsia="宋体" w:cs="宋体"/>
                <w:color w:val="auto"/>
                <w:highlight w:val="none"/>
              </w:rPr>
            </w:pPr>
          </w:p>
        </w:tc>
      </w:tr>
      <w:tr w14:paraId="3299B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0CCE033E">
            <w:pPr>
              <w:rPr>
                <w:rFonts w:hint="eastAsia" w:ascii="宋体" w:hAnsi="宋体" w:eastAsia="宋体" w:cs="宋体"/>
                <w:color w:val="auto"/>
                <w:highlight w:val="none"/>
              </w:rPr>
            </w:pPr>
          </w:p>
        </w:tc>
        <w:tc>
          <w:tcPr>
            <w:tcW w:w="1212" w:type="dxa"/>
          </w:tcPr>
          <w:p w14:paraId="3E7A8606">
            <w:pPr>
              <w:rPr>
                <w:rFonts w:hint="eastAsia" w:ascii="宋体" w:hAnsi="宋体" w:eastAsia="宋体" w:cs="宋体"/>
                <w:color w:val="auto"/>
                <w:highlight w:val="none"/>
              </w:rPr>
            </w:pPr>
          </w:p>
        </w:tc>
        <w:tc>
          <w:tcPr>
            <w:tcW w:w="911" w:type="dxa"/>
          </w:tcPr>
          <w:p w14:paraId="06C22C73">
            <w:pPr>
              <w:rPr>
                <w:rFonts w:hint="eastAsia" w:ascii="宋体" w:hAnsi="宋体" w:eastAsia="宋体" w:cs="宋体"/>
                <w:color w:val="auto"/>
                <w:highlight w:val="none"/>
              </w:rPr>
            </w:pPr>
          </w:p>
        </w:tc>
        <w:tc>
          <w:tcPr>
            <w:tcW w:w="924" w:type="dxa"/>
          </w:tcPr>
          <w:p w14:paraId="412EF348">
            <w:pPr>
              <w:rPr>
                <w:rFonts w:hint="eastAsia" w:ascii="宋体" w:hAnsi="宋体" w:eastAsia="宋体" w:cs="宋体"/>
                <w:color w:val="auto"/>
                <w:highlight w:val="none"/>
              </w:rPr>
            </w:pPr>
          </w:p>
        </w:tc>
        <w:tc>
          <w:tcPr>
            <w:tcW w:w="819" w:type="dxa"/>
          </w:tcPr>
          <w:p w14:paraId="2FBE4127">
            <w:pPr>
              <w:rPr>
                <w:rFonts w:hint="eastAsia" w:ascii="宋体" w:hAnsi="宋体" w:eastAsia="宋体" w:cs="宋体"/>
                <w:color w:val="auto"/>
                <w:highlight w:val="none"/>
              </w:rPr>
            </w:pPr>
          </w:p>
        </w:tc>
        <w:tc>
          <w:tcPr>
            <w:tcW w:w="997" w:type="dxa"/>
          </w:tcPr>
          <w:p w14:paraId="253D73D7">
            <w:pPr>
              <w:jc w:val="center"/>
              <w:rPr>
                <w:rFonts w:hint="eastAsia" w:ascii="宋体" w:hAnsi="宋体" w:eastAsia="宋体" w:cs="宋体"/>
                <w:color w:val="auto"/>
                <w:highlight w:val="none"/>
              </w:rPr>
            </w:pPr>
          </w:p>
        </w:tc>
        <w:tc>
          <w:tcPr>
            <w:tcW w:w="1087" w:type="dxa"/>
          </w:tcPr>
          <w:p w14:paraId="69303AA1">
            <w:pPr>
              <w:jc w:val="center"/>
              <w:rPr>
                <w:rFonts w:hint="eastAsia" w:ascii="宋体" w:hAnsi="宋体" w:eastAsia="宋体" w:cs="宋体"/>
                <w:color w:val="auto"/>
                <w:highlight w:val="none"/>
              </w:rPr>
            </w:pPr>
          </w:p>
        </w:tc>
        <w:tc>
          <w:tcPr>
            <w:tcW w:w="1089" w:type="dxa"/>
          </w:tcPr>
          <w:p w14:paraId="7EB3195C">
            <w:pPr>
              <w:jc w:val="center"/>
              <w:rPr>
                <w:rFonts w:hint="eastAsia" w:ascii="宋体" w:hAnsi="宋体" w:eastAsia="宋体" w:cs="宋体"/>
                <w:color w:val="auto"/>
                <w:highlight w:val="none"/>
              </w:rPr>
            </w:pPr>
          </w:p>
        </w:tc>
        <w:tc>
          <w:tcPr>
            <w:tcW w:w="1073" w:type="dxa"/>
          </w:tcPr>
          <w:p w14:paraId="31C083B5">
            <w:pPr>
              <w:rPr>
                <w:rFonts w:hint="eastAsia" w:ascii="宋体" w:hAnsi="宋体" w:eastAsia="宋体" w:cs="宋体"/>
                <w:color w:val="auto"/>
                <w:highlight w:val="none"/>
              </w:rPr>
            </w:pPr>
          </w:p>
        </w:tc>
      </w:tr>
      <w:tr w14:paraId="54B93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69" w:type="dxa"/>
          </w:tcPr>
          <w:p w14:paraId="458D2F1C">
            <w:pPr>
              <w:rPr>
                <w:rFonts w:hint="eastAsia" w:ascii="宋体" w:hAnsi="宋体" w:eastAsia="宋体" w:cs="宋体"/>
                <w:color w:val="auto"/>
                <w:highlight w:val="none"/>
              </w:rPr>
            </w:pPr>
          </w:p>
        </w:tc>
        <w:tc>
          <w:tcPr>
            <w:tcW w:w="1212" w:type="dxa"/>
          </w:tcPr>
          <w:p w14:paraId="1DD14563">
            <w:pPr>
              <w:rPr>
                <w:rFonts w:hint="eastAsia" w:ascii="宋体" w:hAnsi="宋体" w:eastAsia="宋体" w:cs="宋体"/>
                <w:color w:val="auto"/>
                <w:highlight w:val="none"/>
              </w:rPr>
            </w:pPr>
          </w:p>
        </w:tc>
        <w:tc>
          <w:tcPr>
            <w:tcW w:w="911" w:type="dxa"/>
          </w:tcPr>
          <w:p w14:paraId="50BFEC52">
            <w:pPr>
              <w:rPr>
                <w:rFonts w:hint="eastAsia" w:ascii="宋体" w:hAnsi="宋体" w:eastAsia="宋体" w:cs="宋体"/>
                <w:color w:val="auto"/>
                <w:highlight w:val="none"/>
              </w:rPr>
            </w:pPr>
          </w:p>
        </w:tc>
        <w:tc>
          <w:tcPr>
            <w:tcW w:w="924" w:type="dxa"/>
          </w:tcPr>
          <w:p w14:paraId="39528140">
            <w:pPr>
              <w:rPr>
                <w:rFonts w:hint="eastAsia" w:ascii="宋体" w:hAnsi="宋体" w:eastAsia="宋体" w:cs="宋体"/>
                <w:color w:val="auto"/>
                <w:highlight w:val="none"/>
              </w:rPr>
            </w:pPr>
          </w:p>
        </w:tc>
        <w:tc>
          <w:tcPr>
            <w:tcW w:w="819" w:type="dxa"/>
          </w:tcPr>
          <w:p w14:paraId="0AEB82B8">
            <w:pPr>
              <w:rPr>
                <w:rFonts w:hint="eastAsia" w:ascii="宋体" w:hAnsi="宋体" w:eastAsia="宋体" w:cs="宋体"/>
                <w:color w:val="auto"/>
                <w:highlight w:val="none"/>
              </w:rPr>
            </w:pPr>
          </w:p>
        </w:tc>
        <w:tc>
          <w:tcPr>
            <w:tcW w:w="997" w:type="dxa"/>
          </w:tcPr>
          <w:p w14:paraId="4962F0B8">
            <w:pPr>
              <w:jc w:val="center"/>
              <w:rPr>
                <w:rFonts w:hint="eastAsia" w:ascii="宋体" w:hAnsi="宋体" w:eastAsia="宋体" w:cs="宋体"/>
                <w:color w:val="auto"/>
                <w:highlight w:val="none"/>
              </w:rPr>
            </w:pPr>
          </w:p>
        </w:tc>
        <w:tc>
          <w:tcPr>
            <w:tcW w:w="1087" w:type="dxa"/>
          </w:tcPr>
          <w:p w14:paraId="224BDB99">
            <w:pPr>
              <w:jc w:val="center"/>
              <w:rPr>
                <w:rFonts w:hint="eastAsia" w:ascii="宋体" w:hAnsi="宋体" w:eastAsia="宋体" w:cs="宋体"/>
                <w:color w:val="auto"/>
                <w:highlight w:val="none"/>
              </w:rPr>
            </w:pPr>
          </w:p>
        </w:tc>
        <w:tc>
          <w:tcPr>
            <w:tcW w:w="1089" w:type="dxa"/>
          </w:tcPr>
          <w:p w14:paraId="74EE3D32">
            <w:pPr>
              <w:jc w:val="center"/>
              <w:rPr>
                <w:rFonts w:hint="eastAsia" w:ascii="宋体" w:hAnsi="宋体" w:eastAsia="宋体" w:cs="宋体"/>
                <w:color w:val="auto"/>
                <w:highlight w:val="none"/>
              </w:rPr>
            </w:pPr>
          </w:p>
        </w:tc>
        <w:tc>
          <w:tcPr>
            <w:tcW w:w="1073" w:type="dxa"/>
          </w:tcPr>
          <w:p w14:paraId="0B9D6754">
            <w:pPr>
              <w:rPr>
                <w:rFonts w:hint="eastAsia" w:ascii="宋体" w:hAnsi="宋体" w:eastAsia="宋体" w:cs="宋体"/>
                <w:color w:val="auto"/>
                <w:highlight w:val="none"/>
              </w:rPr>
            </w:pPr>
          </w:p>
        </w:tc>
      </w:tr>
      <w:tr w14:paraId="5145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69" w:type="dxa"/>
          </w:tcPr>
          <w:p w14:paraId="20E55A56">
            <w:pPr>
              <w:rPr>
                <w:rFonts w:hint="eastAsia" w:ascii="宋体" w:hAnsi="宋体" w:eastAsia="宋体" w:cs="宋体"/>
                <w:color w:val="auto"/>
                <w:highlight w:val="none"/>
              </w:rPr>
            </w:pPr>
          </w:p>
        </w:tc>
        <w:tc>
          <w:tcPr>
            <w:tcW w:w="1212" w:type="dxa"/>
          </w:tcPr>
          <w:p w14:paraId="3EEA1FA2">
            <w:pPr>
              <w:rPr>
                <w:rFonts w:hint="eastAsia" w:ascii="宋体" w:hAnsi="宋体" w:eastAsia="宋体" w:cs="宋体"/>
                <w:color w:val="auto"/>
                <w:highlight w:val="none"/>
              </w:rPr>
            </w:pPr>
          </w:p>
        </w:tc>
        <w:tc>
          <w:tcPr>
            <w:tcW w:w="911" w:type="dxa"/>
          </w:tcPr>
          <w:p w14:paraId="5DB89FE1">
            <w:pPr>
              <w:rPr>
                <w:rFonts w:hint="eastAsia" w:ascii="宋体" w:hAnsi="宋体" w:eastAsia="宋体" w:cs="宋体"/>
                <w:color w:val="auto"/>
                <w:highlight w:val="none"/>
              </w:rPr>
            </w:pPr>
          </w:p>
        </w:tc>
        <w:tc>
          <w:tcPr>
            <w:tcW w:w="924" w:type="dxa"/>
          </w:tcPr>
          <w:p w14:paraId="1D8902DB">
            <w:pPr>
              <w:rPr>
                <w:rFonts w:hint="eastAsia" w:ascii="宋体" w:hAnsi="宋体" w:eastAsia="宋体" w:cs="宋体"/>
                <w:color w:val="auto"/>
                <w:highlight w:val="none"/>
              </w:rPr>
            </w:pPr>
          </w:p>
        </w:tc>
        <w:tc>
          <w:tcPr>
            <w:tcW w:w="819" w:type="dxa"/>
          </w:tcPr>
          <w:p w14:paraId="2D39BE0B">
            <w:pPr>
              <w:rPr>
                <w:rFonts w:hint="eastAsia" w:ascii="宋体" w:hAnsi="宋体" w:eastAsia="宋体" w:cs="宋体"/>
                <w:color w:val="auto"/>
                <w:highlight w:val="none"/>
              </w:rPr>
            </w:pPr>
          </w:p>
        </w:tc>
        <w:tc>
          <w:tcPr>
            <w:tcW w:w="997" w:type="dxa"/>
          </w:tcPr>
          <w:p w14:paraId="19C6A70F">
            <w:pPr>
              <w:jc w:val="center"/>
              <w:rPr>
                <w:rFonts w:hint="eastAsia" w:ascii="宋体" w:hAnsi="宋体" w:eastAsia="宋体" w:cs="宋体"/>
                <w:color w:val="auto"/>
                <w:highlight w:val="none"/>
              </w:rPr>
            </w:pPr>
          </w:p>
        </w:tc>
        <w:tc>
          <w:tcPr>
            <w:tcW w:w="1087" w:type="dxa"/>
          </w:tcPr>
          <w:p w14:paraId="0D37E743">
            <w:pPr>
              <w:jc w:val="center"/>
              <w:rPr>
                <w:rFonts w:hint="eastAsia" w:ascii="宋体" w:hAnsi="宋体" w:eastAsia="宋体" w:cs="宋体"/>
                <w:color w:val="auto"/>
                <w:highlight w:val="none"/>
              </w:rPr>
            </w:pPr>
          </w:p>
        </w:tc>
        <w:tc>
          <w:tcPr>
            <w:tcW w:w="1089" w:type="dxa"/>
          </w:tcPr>
          <w:p w14:paraId="1A44CA8A">
            <w:pPr>
              <w:jc w:val="center"/>
              <w:rPr>
                <w:rFonts w:hint="eastAsia" w:ascii="宋体" w:hAnsi="宋体" w:eastAsia="宋体" w:cs="宋体"/>
                <w:color w:val="auto"/>
                <w:highlight w:val="none"/>
              </w:rPr>
            </w:pPr>
          </w:p>
        </w:tc>
        <w:tc>
          <w:tcPr>
            <w:tcW w:w="1073" w:type="dxa"/>
          </w:tcPr>
          <w:p w14:paraId="42382434">
            <w:pPr>
              <w:rPr>
                <w:rFonts w:hint="eastAsia" w:ascii="宋体" w:hAnsi="宋体" w:eastAsia="宋体" w:cs="宋体"/>
                <w:color w:val="auto"/>
                <w:highlight w:val="none"/>
              </w:rPr>
            </w:pPr>
          </w:p>
        </w:tc>
      </w:tr>
    </w:tbl>
    <w:p w14:paraId="6CF0CA38">
      <w:pPr>
        <w:rPr>
          <w:rFonts w:hint="eastAsia" w:ascii="宋体" w:hAnsi="宋体" w:eastAsia="宋体" w:cs="宋体"/>
          <w:color w:val="auto"/>
          <w:highlight w:val="none"/>
        </w:rPr>
      </w:pPr>
    </w:p>
    <w:p w14:paraId="163D946A">
      <w:pPr>
        <w:rPr>
          <w:rFonts w:hint="eastAsia" w:ascii="宋体" w:hAnsi="宋体" w:eastAsia="宋体" w:cs="宋体"/>
          <w:color w:val="auto"/>
          <w:highlight w:val="none"/>
        </w:rPr>
        <w:sectPr>
          <w:footerReference r:id="rId31" w:type="default"/>
          <w:pgSz w:w="11905" w:h="16838"/>
          <w:pgMar w:top="1344" w:right="1247" w:bottom="1106" w:left="1837" w:header="0" w:footer="680" w:gutter="0"/>
          <w:pgNumType w:fmt="decimal"/>
          <w:cols w:space="0" w:num="1"/>
          <w:rtlGutter w:val="0"/>
          <w:docGrid w:type="linesAndChars" w:linePitch="312" w:charSpace="0"/>
        </w:sectPr>
      </w:pPr>
    </w:p>
    <w:p w14:paraId="7AFB2600">
      <w:pPr>
        <w:spacing w:before="68" w:line="352" w:lineRule="auto"/>
        <w:ind w:right="72"/>
        <w:jc w:val="both"/>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(六)主要人员简历表</w:t>
      </w:r>
    </w:p>
    <w:tbl>
      <w:tblPr>
        <w:tblStyle w:val="27"/>
        <w:tblW w:w="8525"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1"/>
        <w:gridCol w:w="356"/>
        <w:gridCol w:w="691"/>
        <w:gridCol w:w="957"/>
        <w:gridCol w:w="1065"/>
        <w:gridCol w:w="705"/>
        <w:gridCol w:w="1260"/>
        <w:gridCol w:w="400"/>
        <w:gridCol w:w="1900"/>
      </w:tblGrid>
      <w:tr w14:paraId="3A1AE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1191" w:type="dxa"/>
          </w:tcPr>
          <w:p w14:paraId="7B3F9AC3">
            <w:pPr>
              <w:spacing w:line="325" w:lineRule="auto"/>
              <w:rPr>
                <w:rFonts w:hint="eastAsia" w:ascii="宋体" w:hAnsi="宋体" w:eastAsia="宋体" w:cs="宋体"/>
                <w:color w:val="auto"/>
                <w:highlight w:val="none"/>
              </w:rPr>
            </w:pPr>
          </w:p>
          <w:p w14:paraId="711259E7">
            <w:pPr>
              <w:spacing w:before="68" w:line="220" w:lineRule="auto"/>
              <w:ind w:left="285"/>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 xml:space="preserve">姓 </w:t>
            </w:r>
            <w:r>
              <w:rPr>
                <w:rFonts w:hint="eastAsia" w:ascii="宋体" w:hAnsi="宋体" w:eastAsia="宋体" w:cs="宋体"/>
                <w:color w:val="auto"/>
                <w:highlight w:val="none"/>
              </w:rPr>
              <w:t xml:space="preserve"> 名</w:t>
            </w:r>
          </w:p>
        </w:tc>
        <w:tc>
          <w:tcPr>
            <w:tcW w:w="1047" w:type="dxa"/>
            <w:gridSpan w:val="2"/>
          </w:tcPr>
          <w:p w14:paraId="47A0DC67">
            <w:pPr>
              <w:rPr>
                <w:rFonts w:hint="eastAsia" w:ascii="宋体" w:hAnsi="宋体" w:eastAsia="宋体" w:cs="宋体"/>
                <w:color w:val="auto"/>
                <w:highlight w:val="none"/>
              </w:rPr>
            </w:pPr>
          </w:p>
        </w:tc>
        <w:tc>
          <w:tcPr>
            <w:tcW w:w="957" w:type="dxa"/>
          </w:tcPr>
          <w:p w14:paraId="30788D62">
            <w:pPr>
              <w:spacing w:line="324" w:lineRule="auto"/>
              <w:rPr>
                <w:rFonts w:hint="eastAsia" w:ascii="宋体" w:hAnsi="宋体" w:eastAsia="宋体" w:cs="宋体"/>
                <w:color w:val="auto"/>
                <w:highlight w:val="none"/>
              </w:rPr>
            </w:pPr>
          </w:p>
          <w:p w14:paraId="63680ABF">
            <w:pPr>
              <w:spacing w:before="68" w:line="220" w:lineRule="auto"/>
              <w:ind w:left="274"/>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年</w:t>
            </w:r>
            <w:r>
              <w:rPr>
                <w:rFonts w:hint="eastAsia" w:ascii="宋体" w:hAnsi="宋体" w:eastAsia="宋体" w:cs="宋体"/>
                <w:color w:val="auto"/>
                <w:spacing w:val="-4"/>
                <w:highlight w:val="none"/>
              </w:rPr>
              <w:t>龄</w:t>
            </w:r>
          </w:p>
        </w:tc>
        <w:tc>
          <w:tcPr>
            <w:tcW w:w="1065" w:type="dxa"/>
          </w:tcPr>
          <w:p w14:paraId="6795C431">
            <w:pPr>
              <w:rPr>
                <w:rFonts w:hint="eastAsia" w:ascii="宋体" w:hAnsi="宋体" w:eastAsia="宋体" w:cs="宋体"/>
                <w:color w:val="auto"/>
                <w:highlight w:val="none"/>
              </w:rPr>
            </w:pPr>
          </w:p>
        </w:tc>
        <w:tc>
          <w:tcPr>
            <w:tcW w:w="2365" w:type="dxa"/>
            <w:gridSpan w:val="3"/>
          </w:tcPr>
          <w:p w14:paraId="4806C8AC">
            <w:pPr>
              <w:spacing w:before="175" w:line="440" w:lineRule="exact"/>
              <w:ind w:left="138"/>
              <w:rPr>
                <w:rFonts w:hint="eastAsia" w:ascii="宋体" w:hAnsi="宋体" w:eastAsia="宋体" w:cs="宋体"/>
                <w:color w:val="auto"/>
                <w:spacing w:val="15"/>
                <w:position w:val="17"/>
                <w:highlight w:val="none"/>
              </w:rPr>
            </w:pPr>
            <w:r>
              <w:rPr>
                <w:rFonts w:hint="eastAsia" w:ascii="宋体" w:hAnsi="宋体" w:eastAsia="宋体" w:cs="宋体"/>
                <w:color w:val="auto"/>
                <w:spacing w:val="15"/>
                <w:position w:val="17"/>
                <w:highlight w:val="none"/>
              </w:rPr>
              <w:t>执</w:t>
            </w:r>
            <w:r>
              <w:rPr>
                <w:rFonts w:hint="eastAsia" w:ascii="宋体" w:hAnsi="宋体" w:eastAsia="宋体" w:cs="宋体"/>
                <w:color w:val="auto"/>
                <w:spacing w:val="9"/>
                <w:position w:val="17"/>
                <w:highlight w:val="none"/>
              </w:rPr>
              <w:t>业资格证书(或上岗</w:t>
            </w:r>
          </w:p>
          <w:p w14:paraId="23B877CF">
            <w:pPr>
              <w:spacing w:line="219" w:lineRule="auto"/>
              <w:ind w:left="664"/>
              <w:rPr>
                <w:rFonts w:hint="eastAsia" w:ascii="宋体" w:hAnsi="宋体" w:eastAsia="宋体" w:cs="宋体"/>
                <w:color w:val="auto"/>
                <w:spacing w:val="20"/>
                <w:highlight w:val="none"/>
              </w:rPr>
            </w:pPr>
            <w:r>
              <w:rPr>
                <w:rFonts w:hint="eastAsia" w:ascii="宋体" w:hAnsi="宋体" w:eastAsia="宋体" w:cs="宋体"/>
                <w:color w:val="auto"/>
                <w:spacing w:val="20"/>
                <w:highlight w:val="none"/>
              </w:rPr>
              <w:t>证</w:t>
            </w:r>
            <w:r>
              <w:rPr>
                <w:rFonts w:hint="eastAsia" w:ascii="宋体" w:hAnsi="宋体" w:eastAsia="宋体" w:cs="宋体"/>
                <w:color w:val="auto"/>
                <w:spacing w:val="19"/>
                <w:highlight w:val="none"/>
              </w:rPr>
              <w:t>书)名称</w:t>
            </w:r>
          </w:p>
        </w:tc>
        <w:tc>
          <w:tcPr>
            <w:tcW w:w="1900" w:type="dxa"/>
          </w:tcPr>
          <w:p w14:paraId="05734BD9">
            <w:pPr>
              <w:rPr>
                <w:rFonts w:hint="eastAsia" w:ascii="宋体" w:hAnsi="宋体" w:eastAsia="宋体" w:cs="宋体"/>
                <w:color w:val="auto"/>
                <w:highlight w:val="none"/>
              </w:rPr>
            </w:pPr>
          </w:p>
        </w:tc>
      </w:tr>
      <w:tr w14:paraId="32D4B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191" w:type="dxa"/>
          </w:tcPr>
          <w:p w14:paraId="6F0E49BF">
            <w:pPr>
              <w:spacing w:before="295" w:line="222" w:lineRule="auto"/>
              <w:ind w:left="286"/>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 xml:space="preserve">职 </w:t>
            </w:r>
            <w:r>
              <w:rPr>
                <w:rFonts w:hint="eastAsia" w:ascii="宋体" w:hAnsi="宋体" w:eastAsia="宋体" w:cs="宋体"/>
                <w:color w:val="auto"/>
                <w:highlight w:val="none"/>
              </w:rPr>
              <w:t xml:space="preserve"> 称</w:t>
            </w:r>
          </w:p>
        </w:tc>
        <w:tc>
          <w:tcPr>
            <w:tcW w:w="1047" w:type="dxa"/>
            <w:gridSpan w:val="2"/>
          </w:tcPr>
          <w:p w14:paraId="664966D6">
            <w:pPr>
              <w:rPr>
                <w:rFonts w:hint="eastAsia" w:ascii="宋体" w:hAnsi="宋体" w:eastAsia="宋体" w:cs="宋体"/>
                <w:color w:val="auto"/>
                <w:highlight w:val="none"/>
              </w:rPr>
            </w:pPr>
          </w:p>
        </w:tc>
        <w:tc>
          <w:tcPr>
            <w:tcW w:w="957" w:type="dxa"/>
          </w:tcPr>
          <w:p w14:paraId="6F2D9F07">
            <w:pPr>
              <w:spacing w:before="294" w:line="222" w:lineRule="auto"/>
              <w:ind w:left="277"/>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学</w:t>
            </w:r>
            <w:r>
              <w:rPr>
                <w:rFonts w:hint="eastAsia" w:ascii="宋体" w:hAnsi="宋体" w:eastAsia="宋体" w:cs="宋体"/>
                <w:color w:val="auto"/>
                <w:spacing w:val="-3"/>
                <w:highlight w:val="none"/>
              </w:rPr>
              <w:t>历</w:t>
            </w:r>
          </w:p>
        </w:tc>
        <w:tc>
          <w:tcPr>
            <w:tcW w:w="1065" w:type="dxa"/>
          </w:tcPr>
          <w:p w14:paraId="5F5EE7B0">
            <w:pPr>
              <w:rPr>
                <w:rFonts w:hint="eastAsia" w:ascii="宋体" w:hAnsi="宋体" w:eastAsia="宋体" w:cs="宋体"/>
                <w:color w:val="auto"/>
                <w:highlight w:val="none"/>
              </w:rPr>
            </w:pPr>
          </w:p>
        </w:tc>
        <w:tc>
          <w:tcPr>
            <w:tcW w:w="2365" w:type="dxa"/>
            <w:gridSpan w:val="3"/>
          </w:tcPr>
          <w:p w14:paraId="2DE6E441">
            <w:pPr>
              <w:spacing w:before="294" w:line="220" w:lineRule="auto"/>
              <w:ind w:left="454"/>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拟</w:t>
            </w:r>
            <w:r>
              <w:rPr>
                <w:rFonts w:hint="eastAsia" w:ascii="宋体" w:hAnsi="宋体" w:eastAsia="宋体" w:cs="宋体"/>
                <w:color w:val="auto"/>
                <w:spacing w:val="-1"/>
                <w:highlight w:val="none"/>
              </w:rPr>
              <w:t>在本项目任职</w:t>
            </w:r>
          </w:p>
        </w:tc>
        <w:tc>
          <w:tcPr>
            <w:tcW w:w="1900" w:type="dxa"/>
          </w:tcPr>
          <w:p w14:paraId="28E2ED7B">
            <w:pPr>
              <w:rPr>
                <w:rFonts w:hint="eastAsia" w:ascii="宋体" w:hAnsi="宋体" w:eastAsia="宋体" w:cs="宋体"/>
                <w:color w:val="auto"/>
                <w:highlight w:val="none"/>
              </w:rPr>
            </w:pPr>
          </w:p>
        </w:tc>
      </w:tr>
      <w:tr w14:paraId="78140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191" w:type="dxa"/>
          </w:tcPr>
          <w:p w14:paraId="5AD4C0E9">
            <w:pPr>
              <w:spacing w:before="295" w:line="220" w:lineRule="auto"/>
              <w:ind w:left="182"/>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工</w:t>
            </w:r>
            <w:r>
              <w:rPr>
                <w:rFonts w:hint="eastAsia" w:ascii="宋体" w:hAnsi="宋体" w:eastAsia="宋体" w:cs="宋体"/>
                <w:color w:val="auto"/>
                <w:spacing w:val="-2"/>
                <w:highlight w:val="none"/>
              </w:rPr>
              <w:t>作年限</w:t>
            </w:r>
          </w:p>
        </w:tc>
        <w:tc>
          <w:tcPr>
            <w:tcW w:w="3069" w:type="dxa"/>
            <w:gridSpan w:val="4"/>
          </w:tcPr>
          <w:p w14:paraId="0E733C9A">
            <w:pPr>
              <w:rPr>
                <w:rFonts w:hint="eastAsia" w:ascii="宋体" w:hAnsi="宋体" w:eastAsia="宋体" w:cs="宋体"/>
                <w:color w:val="auto"/>
                <w:highlight w:val="none"/>
              </w:rPr>
            </w:pPr>
          </w:p>
        </w:tc>
        <w:tc>
          <w:tcPr>
            <w:tcW w:w="2365" w:type="dxa"/>
            <w:gridSpan w:val="3"/>
          </w:tcPr>
          <w:p w14:paraId="10C85AE2">
            <w:pPr>
              <w:spacing w:before="295" w:line="220" w:lineRule="auto"/>
              <w:ind w:left="351"/>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从事</w:t>
            </w:r>
            <w:r>
              <w:rPr>
                <w:rFonts w:hint="eastAsia" w:ascii="宋体" w:hAnsi="宋体" w:eastAsia="宋体" w:cs="宋体"/>
                <w:color w:val="auto"/>
                <w:spacing w:val="-1"/>
                <w:highlight w:val="none"/>
                <w:lang w:eastAsia="zh-CN"/>
              </w:rPr>
              <w:t>相关</w:t>
            </w:r>
            <w:r>
              <w:rPr>
                <w:rFonts w:hint="eastAsia" w:ascii="宋体" w:hAnsi="宋体" w:eastAsia="宋体" w:cs="宋体"/>
                <w:color w:val="auto"/>
                <w:spacing w:val="-1"/>
                <w:highlight w:val="none"/>
              </w:rPr>
              <w:t>工作年限</w:t>
            </w:r>
          </w:p>
        </w:tc>
        <w:tc>
          <w:tcPr>
            <w:tcW w:w="1900" w:type="dxa"/>
          </w:tcPr>
          <w:p w14:paraId="2A672186">
            <w:pPr>
              <w:rPr>
                <w:rFonts w:hint="eastAsia" w:ascii="宋体" w:hAnsi="宋体" w:eastAsia="宋体" w:cs="宋体"/>
                <w:color w:val="auto"/>
                <w:highlight w:val="none"/>
              </w:rPr>
            </w:pPr>
          </w:p>
        </w:tc>
      </w:tr>
      <w:tr w14:paraId="05390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8525" w:type="dxa"/>
            <w:gridSpan w:val="9"/>
          </w:tcPr>
          <w:p w14:paraId="58809445">
            <w:pPr>
              <w:spacing w:before="293" w:line="221" w:lineRule="auto"/>
              <w:ind w:left="116"/>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主要工</w:t>
            </w:r>
            <w:r>
              <w:rPr>
                <w:rFonts w:hint="eastAsia" w:ascii="宋体" w:hAnsi="宋体" w:eastAsia="宋体" w:cs="宋体"/>
                <w:color w:val="auto"/>
                <w:spacing w:val="-1"/>
                <w:highlight w:val="none"/>
              </w:rPr>
              <w:t>作经历</w:t>
            </w:r>
          </w:p>
        </w:tc>
      </w:tr>
      <w:tr w14:paraId="0957A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547" w:type="dxa"/>
            <w:gridSpan w:val="2"/>
          </w:tcPr>
          <w:p w14:paraId="2A4A3466">
            <w:pPr>
              <w:spacing w:before="304" w:line="222" w:lineRule="auto"/>
              <w:ind w:left="473"/>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 xml:space="preserve">时 </w:t>
            </w:r>
            <w:r>
              <w:rPr>
                <w:rFonts w:hint="eastAsia" w:ascii="宋体" w:hAnsi="宋体" w:eastAsia="宋体" w:cs="宋体"/>
                <w:color w:val="auto"/>
                <w:spacing w:val="1"/>
                <w:highlight w:val="none"/>
              </w:rPr>
              <w:t xml:space="preserve"> 间</w:t>
            </w:r>
          </w:p>
        </w:tc>
        <w:tc>
          <w:tcPr>
            <w:tcW w:w="3418" w:type="dxa"/>
            <w:gridSpan w:val="4"/>
          </w:tcPr>
          <w:p w14:paraId="1B3F0135">
            <w:pPr>
              <w:spacing w:before="304" w:line="220" w:lineRule="auto"/>
              <w:ind w:left="875"/>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参</w:t>
            </w:r>
            <w:r>
              <w:rPr>
                <w:rFonts w:hint="eastAsia" w:ascii="宋体" w:hAnsi="宋体" w:eastAsia="宋体" w:cs="宋体"/>
                <w:color w:val="auto"/>
                <w:spacing w:val="-1"/>
                <w:highlight w:val="none"/>
              </w:rPr>
              <w:t>加过的类似项目</w:t>
            </w:r>
          </w:p>
        </w:tc>
        <w:tc>
          <w:tcPr>
            <w:tcW w:w="1260" w:type="dxa"/>
          </w:tcPr>
          <w:p w14:paraId="5165BA7A">
            <w:pPr>
              <w:spacing w:before="304" w:line="220" w:lineRule="auto"/>
              <w:ind w:left="217"/>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担任职</w:t>
            </w:r>
            <w:r>
              <w:rPr>
                <w:rFonts w:hint="eastAsia" w:ascii="宋体" w:hAnsi="宋体" w:eastAsia="宋体" w:cs="宋体"/>
                <w:color w:val="auto"/>
                <w:spacing w:val="-1"/>
                <w:highlight w:val="none"/>
              </w:rPr>
              <w:t>务</w:t>
            </w:r>
          </w:p>
        </w:tc>
        <w:tc>
          <w:tcPr>
            <w:tcW w:w="2300" w:type="dxa"/>
            <w:gridSpan w:val="2"/>
          </w:tcPr>
          <w:p w14:paraId="6DCA02F8">
            <w:pPr>
              <w:spacing w:before="304" w:line="221" w:lineRule="auto"/>
              <w:ind w:left="317"/>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发包人</w:t>
            </w:r>
            <w:r>
              <w:rPr>
                <w:rFonts w:hint="eastAsia" w:ascii="宋体" w:hAnsi="宋体" w:eastAsia="宋体" w:cs="宋体"/>
                <w:color w:val="auto"/>
                <w:spacing w:val="-1"/>
                <w:highlight w:val="none"/>
              </w:rPr>
              <w:t>及联系电话</w:t>
            </w:r>
          </w:p>
        </w:tc>
      </w:tr>
      <w:tr w14:paraId="19607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547" w:type="dxa"/>
            <w:gridSpan w:val="2"/>
          </w:tcPr>
          <w:p w14:paraId="74FA573A">
            <w:pPr>
              <w:rPr>
                <w:rFonts w:hint="eastAsia" w:ascii="宋体" w:hAnsi="宋体" w:eastAsia="宋体" w:cs="宋体"/>
                <w:color w:val="auto"/>
                <w:highlight w:val="none"/>
              </w:rPr>
            </w:pPr>
          </w:p>
        </w:tc>
        <w:tc>
          <w:tcPr>
            <w:tcW w:w="3418" w:type="dxa"/>
            <w:gridSpan w:val="4"/>
          </w:tcPr>
          <w:p w14:paraId="40701364">
            <w:pPr>
              <w:rPr>
                <w:rFonts w:hint="eastAsia" w:ascii="宋体" w:hAnsi="宋体" w:eastAsia="宋体" w:cs="宋体"/>
                <w:color w:val="auto"/>
                <w:highlight w:val="none"/>
              </w:rPr>
            </w:pPr>
          </w:p>
        </w:tc>
        <w:tc>
          <w:tcPr>
            <w:tcW w:w="1260" w:type="dxa"/>
          </w:tcPr>
          <w:p w14:paraId="3C3FF38E">
            <w:pPr>
              <w:rPr>
                <w:rFonts w:hint="eastAsia" w:ascii="宋体" w:hAnsi="宋体" w:eastAsia="宋体" w:cs="宋体"/>
                <w:color w:val="auto"/>
                <w:highlight w:val="none"/>
              </w:rPr>
            </w:pPr>
          </w:p>
        </w:tc>
        <w:tc>
          <w:tcPr>
            <w:tcW w:w="2300" w:type="dxa"/>
            <w:gridSpan w:val="2"/>
          </w:tcPr>
          <w:p w14:paraId="0297935F">
            <w:pPr>
              <w:rPr>
                <w:rFonts w:hint="eastAsia" w:ascii="宋体" w:hAnsi="宋体" w:eastAsia="宋体" w:cs="宋体"/>
                <w:color w:val="auto"/>
                <w:highlight w:val="none"/>
              </w:rPr>
            </w:pPr>
          </w:p>
        </w:tc>
      </w:tr>
      <w:tr w14:paraId="67667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7" w:type="dxa"/>
            <w:gridSpan w:val="2"/>
          </w:tcPr>
          <w:p w14:paraId="536794FE">
            <w:pPr>
              <w:rPr>
                <w:rFonts w:hint="eastAsia" w:ascii="宋体" w:hAnsi="宋体" w:eastAsia="宋体" w:cs="宋体"/>
                <w:color w:val="auto"/>
                <w:highlight w:val="none"/>
              </w:rPr>
            </w:pPr>
          </w:p>
        </w:tc>
        <w:tc>
          <w:tcPr>
            <w:tcW w:w="3418" w:type="dxa"/>
            <w:gridSpan w:val="4"/>
          </w:tcPr>
          <w:p w14:paraId="5E30DFA3">
            <w:pPr>
              <w:rPr>
                <w:rFonts w:hint="eastAsia" w:ascii="宋体" w:hAnsi="宋体" w:eastAsia="宋体" w:cs="宋体"/>
                <w:color w:val="auto"/>
                <w:highlight w:val="none"/>
              </w:rPr>
            </w:pPr>
          </w:p>
        </w:tc>
        <w:tc>
          <w:tcPr>
            <w:tcW w:w="1260" w:type="dxa"/>
          </w:tcPr>
          <w:p w14:paraId="082BC763">
            <w:pPr>
              <w:rPr>
                <w:rFonts w:hint="eastAsia" w:ascii="宋体" w:hAnsi="宋体" w:eastAsia="宋体" w:cs="宋体"/>
                <w:color w:val="auto"/>
                <w:highlight w:val="none"/>
              </w:rPr>
            </w:pPr>
          </w:p>
        </w:tc>
        <w:tc>
          <w:tcPr>
            <w:tcW w:w="2300" w:type="dxa"/>
            <w:gridSpan w:val="2"/>
          </w:tcPr>
          <w:p w14:paraId="61836AFD">
            <w:pPr>
              <w:rPr>
                <w:rFonts w:hint="eastAsia" w:ascii="宋体" w:hAnsi="宋体" w:eastAsia="宋体" w:cs="宋体"/>
                <w:color w:val="auto"/>
                <w:highlight w:val="none"/>
              </w:rPr>
            </w:pPr>
          </w:p>
        </w:tc>
      </w:tr>
      <w:tr w14:paraId="07A50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7" w:type="dxa"/>
            <w:gridSpan w:val="2"/>
          </w:tcPr>
          <w:p w14:paraId="03B1A773">
            <w:pPr>
              <w:rPr>
                <w:rFonts w:hint="eastAsia" w:ascii="宋体" w:hAnsi="宋体" w:eastAsia="宋体" w:cs="宋体"/>
                <w:color w:val="auto"/>
                <w:highlight w:val="none"/>
              </w:rPr>
            </w:pPr>
          </w:p>
        </w:tc>
        <w:tc>
          <w:tcPr>
            <w:tcW w:w="3418" w:type="dxa"/>
            <w:gridSpan w:val="4"/>
          </w:tcPr>
          <w:p w14:paraId="27026C3F">
            <w:pPr>
              <w:rPr>
                <w:rFonts w:hint="eastAsia" w:ascii="宋体" w:hAnsi="宋体" w:eastAsia="宋体" w:cs="宋体"/>
                <w:color w:val="auto"/>
                <w:highlight w:val="none"/>
              </w:rPr>
            </w:pPr>
          </w:p>
        </w:tc>
        <w:tc>
          <w:tcPr>
            <w:tcW w:w="1260" w:type="dxa"/>
          </w:tcPr>
          <w:p w14:paraId="4587DCFA">
            <w:pPr>
              <w:rPr>
                <w:rFonts w:hint="eastAsia" w:ascii="宋体" w:hAnsi="宋体" w:eastAsia="宋体" w:cs="宋体"/>
                <w:color w:val="auto"/>
                <w:highlight w:val="none"/>
              </w:rPr>
            </w:pPr>
          </w:p>
        </w:tc>
        <w:tc>
          <w:tcPr>
            <w:tcW w:w="2300" w:type="dxa"/>
            <w:gridSpan w:val="2"/>
          </w:tcPr>
          <w:p w14:paraId="28F3B96C">
            <w:pPr>
              <w:rPr>
                <w:rFonts w:hint="eastAsia" w:ascii="宋体" w:hAnsi="宋体" w:eastAsia="宋体" w:cs="宋体"/>
                <w:color w:val="auto"/>
                <w:highlight w:val="none"/>
              </w:rPr>
            </w:pPr>
          </w:p>
        </w:tc>
      </w:tr>
      <w:tr w14:paraId="1BBC7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7" w:type="dxa"/>
            <w:gridSpan w:val="2"/>
          </w:tcPr>
          <w:p w14:paraId="55E2CAA8">
            <w:pPr>
              <w:rPr>
                <w:rFonts w:hint="eastAsia" w:ascii="宋体" w:hAnsi="宋体" w:eastAsia="宋体" w:cs="宋体"/>
                <w:color w:val="auto"/>
                <w:highlight w:val="none"/>
              </w:rPr>
            </w:pPr>
          </w:p>
        </w:tc>
        <w:tc>
          <w:tcPr>
            <w:tcW w:w="3418" w:type="dxa"/>
            <w:gridSpan w:val="4"/>
          </w:tcPr>
          <w:p w14:paraId="6872B75F">
            <w:pPr>
              <w:rPr>
                <w:rFonts w:hint="eastAsia" w:ascii="宋体" w:hAnsi="宋体" w:eastAsia="宋体" w:cs="宋体"/>
                <w:color w:val="auto"/>
                <w:highlight w:val="none"/>
              </w:rPr>
            </w:pPr>
          </w:p>
        </w:tc>
        <w:tc>
          <w:tcPr>
            <w:tcW w:w="1260" w:type="dxa"/>
          </w:tcPr>
          <w:p w14:paraId="673FE2E0">
            <w:pPr>
              <w:rPr>
                <w:rFonts w:hint="eastAsia" w:ascii="宋体" w:hAnsi="宋体" w:eastAsia="宋体" w:cs="宋体"/>
                <w:color w:val="auto"/>
                <w:highlight w:val="none"/>
              </w:rPr>
            </w:pPr>
          </w:p>
        </w:tc>
        <w:tc>
          <w:tcPr>
            <w:tcW w:w="2300" w:type="dxa"/>
            <w:gridSpan w:val="2"/>
          </w:tcPr>
          <w:p w14:paraId="2B03F402">
            <w:pPr>
              <w:rPr>
                <w:rFonts w:hint="eastAsia" w:ascii="宋体" w:hAnsi="宋体" w:eastAsia="宋体" w:cs="宋体"/>
                <w:color w:val="auto"/>
                <w:highlight w:val="none"/>
              </w:rPr>
            </w:pPr>
          </w:p>
        </w:tc>
      </w:tr>
      <w:tr w14:paraId="049B7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7" w:type="dxa"/>
            <w:gridSpan w:val="2"/>
          </w:tcPr>
          <w:p w14:paraId="0E248500">
            <w:pPr>
              <w:rPr>
                <w:rFonts w:hint="eastAsia" w:ascii="宋体" w:hAnsi="宋体" w:eastAsia="宋体" w:cs="宋体"/>
                <w:color w:val="auto"/>
                <w:highlight w:val="none"/>
              </w:rPr>
            </w:pPr>
          </w:p>
        </w:tc>
        <w:tc>
          <w:tcPr>
            <w:tcW w:w="3418" w:type="dxa"/>
            <w:gridSpan w:val="4"/>
          </w:tcPr>
          <w:p w14:paraId="2F114BEC">
            <w:pPr>
              <w:rPr>
                <w:rFonts w:hint="eastAsia" w:ascii="宋体" w:hAnsi="宋体" w:eastAsia="宋体" w:cs="宋体"/>
                <w:color w:val="auto"/>
                <w:highlight w:val="none"/>
              </w:rPr>
            </w:pPr>
          </w:p>
        </w:tc>
        <w:tc>
          <w:tcPr>
            <w:tcW w:w="1260" w:type="dxa"/>
          </w:tcPr>
          <w:p w14:paraId="18B42CFB">
            <w:pPr>
              <w:rPr>
                <w:rFonts w:hint="eastAsia" w:ascii="宋体" w:hAnsi="宋体" w:eastAsia="宋体" w:cs="宋体"/>
                <w:color w:val="auto"/>
                <w:highlight w:val="none"/>
              </w:rPr>
            </w:pPr>
          </w:p>
        </w:tc>
        <w:tc>
          <w:tcPr>
            <w:tcW w:w="2300" w:type="dxa"/>
            <w:gridSpan w:val="2"/>
          </w:tcPr>
          <w:p w14:paraId="1B7BC4E6">
            <w:pPr>
              <w:rPr>
                <w:rFonts w:hint="eastAsia" w:ascii="宋体" w:hAnsi="宋体" w:eastAsia="宋体" w:cs="宋体"/>
                <w:color w:val="auto"/>
                <w:highlight w:val="none"/>
              </w:rPr>
            </w:pPr>
          </w:p>
        </w:tc>
      </w:tr>
      <w:tr w14:paraId="0F1B3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7" w:type="dxa"/>
            <w:gridSpan w:val="2"/>
          </w:tcPr>
          <w:p w14:paraId="1584E14A">
            <w:pPr>
              <w:rPr>
                <w:rFonts w:hint="eastAsia" w:ascii="宋体" w:hAnsi="宋体" w:eastAsia="宋体" w:cs="宋体"/>
                <w:color w:val="auto"/>
                <w:highlight w:val="none"/>
              </w:rPr>
            </w:pPr>
          </w:p>
        </w:tc>
        <w:tc>
          <w:tcPr>
            <w:tcW w:w="3418" w:type="dxa"/>
            <w:gridSpan w:val="4"/>
          </w:tcPr>
          <w:p w14:paraId="265E20BD">
            <w:pPr>
              <w:rPr>
                <w:rFonts w:hint="eastAsia" w:ascii="宋体" w:hAnsi="宋体" w:eastAsia="宋体" w:cs="宋体"/>
                <w:color w:val="auto"/>
                <w:highlight w:val="none"/>
              </w:rPr>
            </w:pPr>
          </w:p>
        </w:tc>
        <w:tc>
          <w:tcPr>
            <w:tcW w:w="1260" w:type="dxa"/>
          </w:tcPr>
          <w:p w14:paraId="0FA25377">
            <w:pPr>
              <w:rPr>
                <w:rFonts w:hint="eastAsia" w:ascii="宋体" w:hAnsi="宋体" w:eastAsia="宋体" w:cs="宋体"/>
                <w:color w:val="auto"/>
                <w:highlight w:val="none"/>
              </w:rPr>
            </w:pPr>
          </w:p>
        </w:tc>
        <w:tc>
          <w:tcPr>
            <w:tcW w:w="2300" w:type="dxa"/>
            <w:gridSpan w:val="2"/>
          </w:tcPr>
          <w:p w14:paraId="2AE93E3A">
            <w:pPr>
              <w:rPr>
                <w:rFonts w:hint="eastAsia" w:ascii="宋体" w:hAnsi="宋体" w:eastAsia="宋体" w:cs="宋体"/>
                <w:color w:val="auto"/>
                <w:highlight w:val="none"/>
              </w:rPr>
            </w:pPr>
          </w:p>
        </w:tc>
      </w:tr>
      <w:tr w14:paraId="65A8C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547" w:type="dxa"/>
            <w:gridSpan w:val="2"/>
          </w:tcPr>
          <w:p w14:paraId="069BFAC9">
            <w:pPr>
              <w:rPr>
                <w:rFonts w:hint="eastAsia" w:ascii="宋体" w:hAnsi="宋体" w:eastAsia="宋体" w:cs="宋体"/>
                <w:color w:val="auto"/>
                <w:highlight w:val="none"/>
              </w:rPr>
            </w:pPr>
          </w:p>
        </w:tc>
        <w:tc>
          <w:tcPr>
            <w:tcW w:w="3418" w:type="dxa"/>
            <w:gridSpan w:val="4"/>
          </w:tcPr>
          <w:p w14:paraId="43675236">
            <w:pPr>
              <w:rPr>
                <w:rFonts w:hint="eastAsia" w:ascii="宋体" w:hAnsi="宋体" w:eastAsia="宋体" w:cs="宋体"/>
                <w:color w:val="auto"/>
                <w:highlight w:val="none"/>
              </w:rPr>
            </w:pPr>
          </w:p>
        </w:tc>
        <w:tc>
          <w:tcPr>
            <w:tcW w:w="1260" w:type="dxa"/>
          </w:tcPr>
          <w:p w14:paraId="401DA284">
            <w:pPr>
              <w:rPr>
                <w:rFonts w:hint="eastAsia" w:ascii="宋体" w:hAnsi="宋体" w:eastAsia="宋体" w:cs="宋体"/>
                <w:color w:val="auto"/>
                <w:highlight w:val="none"/>
              </w:rPr>
            </w:pPr>
          </w:p>
        </w:tc>
        <w:tc>
          <w:tcPr>
            <w:tcW w:w="2300" w:type="dxa"/>
            <w:gridSpan w:val="2"/>
          </w:tcPr>
          <w:p w14:paraId="35EC99FF">
            <w:pPr>
              <w:rPr>
                <w:rFonts w:hint="eastAsia" w:ascii="宋体" w:hAnsi="宋体" w:eastAsia="宋体" w:cs="宋体"/>
                <w:color w:val="auto"/>
                <w:highlight w:val="none"/>
              </w:rPr>
            </w:pPr>
          </w:p>
        </w:tc>
      </w:tr>
    </w:tbl>
    <w:p w14:paraId="6B1632E1">
      <w:pPr>
        <w:spacing w:line="245" w:lineRule="auto"/>
        <w:rPr>
          <w:rFonts w:hint="eastAsia" w:ascii="宋体" w:hAnsi="宋体" w:eastAsia="宋体" w:cs="宋体"/>
          <w:color w:val="auto"/>
          <w:highlight w:val="none"/>
        </w:rPr>
      </w:pPr>
    </w:p>
    <w:p w14:paraId="28720F6E">
      <w:pPr>
        <w:pStyle w:val="2"/>
        <w:rPr>
          <w:rFonts w:hint="eastAsia" w:ascii="宋体" w:hAnsi="宋体" w:eastAsia="宋体" w:cs="宋体"/>
          <w:color w:val="auto"/>
          <w:highlight w:val="none"/>
        </w:rPr>
      </w:pPr>
    </w:p>
    <w:p w14:paraId="63833EE7">
      <w:pPr>
        <w:pStyle w:val="2"/>
        <w:rPr>
          <w:rFonts w:hint="eastAsia" w:ascii="宋体" w:hAnsi="宋体" w:eastAsia="宋体" w:cs="宋体"/>
          <w:color w:val="auto"/>
          <w:highlight w:val="none"/>
        </w:rPr>
      </w:pPr>
    </w:p>
    <w:p w14:paraId="1440E254">
      <w:pPr>
        <w:pStyle w:val="2"/>
        <w:rPr>
          <w:rFonts w:hint="eastAsia" w:ascii="宋体" w:hAnsi="宋体" w:eastAsia="宋体" w:cs="宋体"/>
          <w:color w:val="auto"/>
          <w:highlight w:val="none"/>
        </w:rPr>
      </w:pPr>
    </w:p>
    <w:p w14:paraId="6CEF1F75">
      <w:pPr>
        <w:pStyle w:val="2"/>
        <w:rPr>
          <w:rFonts w:hint="eastAsia" w:ascii="宋体" w:hAnsi="宋体" w:eastAsia="宋体" w:cs="宋体"/>
          <w:color w:val="auto"/>
          <w:highlight w:val="none"/>
        </w:rPr>
      </w:pPr>
    </w:p>
    <w:p w14:paraId="0199CA8C">
      <w:pPr>
        <w:spacing w:line="245" w:lineRule="auto"/>
        <w:rPr>
          <w:rFonts w:hint="eastAsia" w:ascii="宋体" w:hAnsi="宋体" w:eastAsia="宋体" w:cs="宋体"/>
          <w:color w:val="auto"/>
          <w:highlight w:val="none"/>
        </w:rPr>
      </w:pPr>
    </w:p>
    <w:p w14:paraId="45E3232F">
      <w:pPr>
        <w:spacing w:line="245" w:lineRule="auto"/>
        <w:rPr>
          <w:rFonts w:hint="eastAsia" w:ascii="宋体" w:hAnsi="宋体" w:eastAsia="宋体" w:cs="宋体"/>
          <w:color w:val="auto"/>
          <w:highlight w:val="none"/>
        </w:rPr>
        <w:sectPr>
          <w:footerReference r:id="rId32" w:type="default"/>
          <w:pgSz w:w="11905" w:h="16838"/>
          <w:pgMar w:top="1344" w:right="1247" w:bottom="1106" w:left="1837" w:header="0" w:footer="680" w:gutter="0"/>
          <w:pgNumType w:fmt="decimal"/>
          <w:cols w:space="0" w:num="1"/>
          <w:rtlGutter w:val="0"/>
          <w:docGrid w:type="linesAndChars" w:linePitch="312" w:charSpace="0"/>
        </w:sectPr>
      </w:pPr>
    </w:p>
    <w:p w14:paraId="13304BD9">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kern w:val="2"/>
          <w:lang w:val="en-US" w:eastAsia="zh-CN"/>
        </w:rPr>
      </w:pPr>
      <w:bookmarkStart w:id="515" w:name="_Toc7490"/>
      <w:r>
        <w:rPr>
          <w:rFonts w:hint="eastAsia" w:ascii="宋体" w:hAnsi="宋体" w:eastAsia="宋体" w:cs="宋体"/>
          <w:kern w:val="2"/>
          <w:lang w:val="en-US" w:eastAsia="zh-CN"/>
        </w:rPr>
        <w:t>五、其他资料</w:t>
      </w:r>
      <w:bookmarkEnd w:id="515"/>
    </w:p>
    <w:p w14:paraId="24435821">
      <w:pPr>
        <w:pStyle w:val="35"/>
        <w:spacing w:before="120" w:after="120"/>
        <w:jc w:val="center"/>
        <w:outlineLvl w:val="9"/>
        <w:rPr>
          <w:rFonts w:hint="eastAsia" w:ascii="宋体" w:hAnsi="宋体" w:eastAsia="宋体" w:cs="宋体"/>
          <w:color w:val="auto"/>
          <w:spacing w:val="9"/>
          <w:sz w:val="31"/>
          <w:szCs w:val="31"/>
          <w:highlight w:val="none"/>
        </w:rPr>
      </w:pPr>
    </w:p>
    <w:p w14:paraId="3C97A6A1">
      <w:pPr>
        <w:spacing w:before="68" w:line="352" w:lineRule="auto"/>
        <w:ind w:right="72"/>
        <w:jc w:val="center"/>
        <w:rPr>
          <w:rFonts w:hint="eastAsia" w:ascii="宋体" w:hAnsi="宋体" w:eastAsia="宋体" w:cs="宋体"/>
          <w:b/>
          <w:bCs/>
          <w:color w:val="auto"/>
          <w:spacing w:val="-2"/>
          <w:sz w:val="28"/>
          <w:szCs w:val="28"/>
          <w:highlight w:val="none"/>
          <w:lang w:val="en-US" w:eastAsia="zh-CN"/>
        </w:rPr>
      </w:pPr>
      <w:r>
        <w:rPr>
          <w:rFonts w:hint="eastAsia" w:ascii="宋体" w:hAnsi="宋体" w:eastAsia="宋体" w:cs="宋体"/>
          <w:b/>
          <w:bCs/>
          <w:color w:val="auto"/>
          <w:spacing w:val="-2"/>
          <w:sz w:val="28"/>
          <w:szCs w:val="28"/>
          <w:highlight w:val="none"/>
        </w:rPr>
        <w:t>投标人可自行</w:t>
      </w:r>
      <w:r>
        <w:rPr>
          <w:rFonts w:hint="eastAsia" w:ascii="宋体" w:hAnsi="宋体" w:eastAsia="宋体" w:cs="宋体"/>
          <w:b/>
          <w:bCs/>
          <w:color w:val="auto"/>
          <w:spacing w:val="-2"/>
          <w:sz w:val="28"/>
          <w:szCs w:val="28"/>
          <w:highlight w:val="none"/>
          <w:lang w:val="en-US" w:eastAsia="zh-CN"/>
        </w:rPr>
        <w:t>添加内容。</w:t>
      </w:r>
    </w:p>
    <w:p w14:paraId="5906F08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5D92B2B3">
      <w:pPr>
        <w:pStyle w:val="88"/>
        <w:kinsoku/>
        <w:wordWrap w:val="0"/>
        <w:overflowPunct/>
        <w:topLinePunct/>
        <w:autoSpaceDE/>
        <w:autoSpaceDN/>
        <w:bidi w:val="0"/>
        <w:ind w:firstLine="0"/>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附件1</w:t>
      </w:r>
    </w:p>
    <w:p w14:paraId="3316CEBA">
      <w:pPr>
        <w:bidi w:val="0"/>
        <w:rPr>
          <w:rFonts w:hint="eastAsia"/>
        </w:rPr>
      </w:pPr>
      <w:bookmarkStart w:id="516" w:name="_Toc30043"/>
      <w:bookmarkStart w:id="517" w:name="_Toc6323"/>
    </w:p>
    <w:p w14:paraId="0BD023C5">
      <w:pPr>
        <w:spacing w:before="68" w:line="352" w:lineRule="auto"/>
        <w:ind w:right="72"/>
        <w:jc w:val="center"/>
        <w:rPr>
          <w:rFonts w:hint="eastAsia" w:ascii="宋体" w:hAnsi="宋体" w:eastAsia="宋体" w:cs="宋体"/>
          <w:b/>
          <w:bCs/>
          <w:color w:val="auto"/>
          <w:spacing w:val="-2"/>
          <w:sz w:val="28"/>
          <w:szCs w:val="28"/>
          <w:highlight w:val="none"/>
        </w:rPr>
      </w:pPr>
      <w:r>
        <w:rPr>
          <w:rFonts w:hint="eastAsia" w:ascii="宋体" w:hAnsi="宋体" w:eastAsia="宋体" w:cs="宋体"/>
          <w:b/>
          <w:bCs/>
          <w:color w:val="auto"/>
          <w:spacing w:val="-2"/>
          <w:sz w:val="28"/>
          <w:szCs w:val="28"/>
          <w:highlight w:val="none"/>
        </w:rPr>
        <w:t>中小企业声明函（如有）</w:t>
      </w:r>
      <w:bookmarkEnd w:id="516"/>
      <w:bookmarkEnd w:id="517"/>
    </w:p>
    <w:p w14:paraId="30F0CD07">
      <w:pPr>
        <w:bidi w:val="0"/>
        <w:rPr>
          <w:rFonts w:hint="eastAsia"/>
        </w:rPr>
      </w:pPr>
    </w:p>
    <w:p w14:paraId="7B3EA12F">
      <w:pPr>
        <w:pStyle w:val="88"/>
        <w:kinsoku/>
        <w:wordWrap w:val="0"/>
        <w:overflowPunct/>
        <w:topLinePunct/>
        <w:autoSpaceDE/>
        <w:autoSpaceDN/>
        <w:bidi w:val="0"/>
        <w:spacing w:line="360" w:lineRule="auto"/>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（招标人）</w:t>
      </w:r>
      <w:r>
        <w:rPr>
          <w:rFonts w:hint="eastAsia" w:ascii="宋体" w:hAnsi="宋体" w:eastAsia="宋体" w:cs="宋体"/>
          <w:color w:val="auto"/>
          <w:sz w:val="21"/>
          <w:szCs w:val="21"/>
          <w:highlight w:val="none"/>
          <w:u w:val="single"/>
          <w:lang w:val="en-US" w:eastAsia="zh-CN"/>
        </w:rPr>
        <w:t xml:space="preserve">         </w:t>
      </w:r>
    </w:p>
    <w:p w14:paraId="39C1FCC8">
      <w:pPr>
        <w:pStyle w:val="13"/>
        <w:kinsoku/>
        <w:wordWrap w:val="0"/>
        <w:overflowPunct/>
        <w:topLinePunct/>
        <w:autoSpaceDE/>
        <w:autoSpaceDN/>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B85177F">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本公司郑重声明，根据《政府采购促进中小企业发展管理办法》（财库﹝2020﹞46号）的规定，本公司参加</w:t>
      </w:r>
      <w:r>
        <w:rPr>
          <w:rFonts w:hint="eastAsia" w:ascii="宋体" w:hAnsi="宋体" w:eastAsia="宋体" w:cs="宋体"/>
          <w:color w:val="auto"/>
          <w:sz w:val="21"/>
          <w:szCs w:val="21"/>
          <w:highlight w:val="none"/>
          <w:u w:val="single"/>
        </w:rPr>
        <w:t xml:space="preserve">   （招标人）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招标活动，</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单位全部为符合政策要求的中小企业。相关企业的具体情况如下：</w:t>
      </w:r>
    </w:p>
    <w:p w14:paraId="057F0E34">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lang w:val="en-US" w:eastAsia="zh-CN"/>
        </w:rPr>
        <w:t>其他未列明行业</w:t>
      </w:r>
      <w:r>
        <w:rPr>
          <w:rFonts w:hint="eastAsia" w:ascii="宋体" w:hAnsi="宋体" w:eastAsia="宋体" w:cs="宋体"/>
          <w:color w:val="auto"/>
          <w:sz w:val="21"/>
          <w:szCs w:val="21"/>
          <w:highlight w:val="none"/>
        </w:rPr>
        <w:t>；承建（承接）企业为</w:t>
      </w:r>
      <w:r>
        <w:rPr>
          <w:rFonts w:hint="eastAsia" w:ascii="宋体" w:hAnsi="宋体" w:eastAsia="宋体" w:cs="宋体"/>
          <w:color w:val="auto"/>
          <w:sz w:val="21"/>
          <w:szCs w:val="21"/>
          <w:highlight w:val="none"/>
          <w:u w:val="single"/>
        </w:rPr>
        <w:t xml:space="preserve">    （企业名称）     </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万元，属于（□小型企业、□微型企业）；在本项目中拟承担工作，在本项目的合同份额占合同总金额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4A447A3">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lang w:val="en-US" w:eastAsia="zh-CN"/>
        </w:rPr>
        <w:t>其他未列明行业</w:t>
      </w:r>
      <w:r>
        <w:rPr>
          <w:rFonts w:hint="eastAsia" w:ascii="宋体" w:hAnsi="宋体" w:eastAsia="宋体" w:cs="宋体"/>
          <w:color w:val="auto"/>
          <w:sz w:val="21"/>
          <w:szCs w:val="21"/>
          <w:highlight w:val="none"/>
        </w:rPr>
        <w:t>；承建（承接）企业为</w:t>
      </w:r>
      <w:r>
        <w:rPr>
          <w:rFonts w:hint="eastAsia" w:ascii="宋体" w:hAnsi="宋体" w:eastAsia="宋体" w:cs="宋体"/>
          <w:color w:val="auto"/>
          <w:sz w:val="21"/>
          <w:szCs w:val="21"/>
          <w:highlight w:val="none"/>
          <w:u w:val="single"/>
        </w:rPr>
        <w:t xml:space="preserve">     （企业名称）     </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万元，属于（□小型企业、□微型企业）；在本项目中拟承担工作，在本项目的合同份额占合同总金额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B365395">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6B8BF53F">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4267457F">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007A02C6">
      <w:pPr>
        <w:pStyle w:val="13"/>
        <w:kinsoku/>
        <w:wordWrap w:val="0"/>
        <w:overflowPunct/>
        <w:topLinePunct/>
        <w:autoSpaceDE/>
        <w:autoSpaceDN/>
        <w:bidi w:val="0"/>
        <w:rPr>
          <w:rFonts w:hint="eastAsia" w:ascii="宋体" w:hAnsi="宋体" w:eastAsia="宋体" w:cs="宋体"/>
          <w:color w:val="auto"/>
          <w:sz w:val="21"/>
          <w:szCs w:val="21"/>
          <w:highlight w:val="none"/>
        </w:rPr>
      </w:pPr>
    </w:p>
    <w:p w14:paraId="0CD2DC14">
      <w:pPr>
        <w:pStyle w:val="13"/>
        <w:kinsoku/>
        <w:wordWrap w:val="0"/>
        <w:overflowPunct/>
        <w:topLinePunct/>
        <w:autoSpaceDE/>
        <w:autoSpaceDN/>
        <w:bidi w:val="0"/>
        <w:rPr>
          <w:rFonts w:hint="eastAsia" w:ascii="宋体" w:hAnsi="宋体" w:eastAsia="宋体" w:cs="宋体"/>
          <w:color w:val="auto"/>
          <w:sz w:val="21"/>
          <w:szCs w:val="21"/>
          <w:highlight w:val="none"/>
        </w:rPr>
      </w:pPr>
    </w:p>
    <w:p w14:paraId="4A1A8EB9">
      <w:pPr>
        <w:pStyle w:val="13"/>
        <w:kinsoku/>
        <w:wordWrap w:val="0"/>
        <w:overflowPunct/>
        <w:topLinePunct/>
        <w:autoSpaceDE/>
        <w:autoSpaceDN/>
        <w:bidi w:val="0"/>
        <w:rPr>
          <w:rFonts w:hint="eastAsia" w:ascii="宋体" w:hAnsi="宋体" w:eastAsia="宋体" w:cs="宋体"/>
          <w:color w:val="auto"/>
          <w:sz w:val="21"/>
          <w:szCs w:val="21"/>
          <w:highlight w:val="none"/>
        </w:rPr>
      </w:pPr>
    </w:p>
    <w:p w14:paraId="18426D84">
      <w:pPr>
        <w:pStyle w:val="13"/>
        <w:kinsoku/>
        <w:wordWrap w:val="0"/>
        <w:overflowPunct/>
        <w:topLinePunct/>
        <w:autoSpaceDE/>
        <w:autoSpaceDN/>
        <w:bidi w:val="0"/>
        <w:rPr>
          <w:rFonts w:hint="eastAsia" w:ascii="宋体" w:hAnsi="宋体" w:eastAsia="宋体" w:cs="宋体"/>
          <w:color w:val="auto"/>
          <w:sz w:val="21"/>
          <w:szCs w:val="21"/>
          <w:highlight w:val="none"/>
        </w:rPr>
      </w:pPr>
    </w:p>
    <w:p w14:paraId="20AFA04B">
      <w:pPr>
        <w:pStyle w:val="13"/>
        <w:kinsoku/>
        <w:wordWrap w:val="0"/>
        <w:overflowPunct/>
        <w:topLinePunct/>
        <w:autoSpaceDE/>
        <w:autoSpaceDN/>
        <w:bidi w:val="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投标人名称（盖章）：</w:t>
      </w:r>
    </w:p>
    <w:p w14:paraId="5CF26CBC">
      <w:pPr>
        <w:pStyle w:val="13"/>
        <w:kinsoku/>
        <w:wordWrap w:val="0"/>
        <w:overflowPunct/>
        <w:topLinePunct/>
        <w:autoSpaceDE/>
        <w:autoSpaceDN/>
        <w:bidi w:val="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14:paraId="1518FFFA">
      <w:pPr>
        <w:pStyle w:val="13"/>
        <w:kinsoku/>
        <w:wordWrap w:val="0"/>
        <w:overflowPunct/>
        <w:topLinePunct/>
        <w:autoSpaceDE/>
        <w:autoSpaceDN/>
        <w:bidi w:val="0"/>
        <w:rPr>
          <w:rFonts w:hint="eastAsia" w:ascii="宋体" w:hAnsi="宋体" w:eastAsia="宋体" w:cs="宋体"/>
          <w:color w:val="auto"/>
          <w:sz w:val="21"/>
          <w:szCs w:val="21"/>
          <w:highlight w:val="none"/>
        </w:rPr>
      </w:pPr>
    </w:p>
    <w:p w14:paraId="2DBCFCE1">
      <w:pPr>
        <w:pStyle w:val="13"/>
        <w:kinsoku/>
        <w:wordWrap w:val="0"/>
        <w:overflowPunct/>
        <w:topLinePunct/>
        <w:autoSpaceDE/>
        <w:autoSpaceDN/>
        <w:bidi w:val="0"/>
        <w:rPr>
          <w:rFonts w:hint="eastAsia" w:ascii="宋体" w:hAnsi="宋体" w:eastAsia="宋体" w:cs="宋体"/>
          <w:color w:val="auto"/>
          <w:sz w:val="21"/>
          <w:szCs w:val="21"/>
          <w:highlight w:val="none"/>
        </w:rPr>
      </w:pPr>
    </w:p>
    <w:p w14:paraId="4165FC17">
      <w:pPr>
        <w:pStyle w:val="13"/>
        <w:kinsoku/>
        <w:wordWrap w:val="0"/>
        <w:overflowPunct/>
        <w:topLinePunct/>
        <w:autoSpaceDE/>
        <w:autoSpaceDN/>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注：1、从业人员、营业收入、资产总额填报上一年度数据，无上一年度数据的新成立企业可不填报。</w:t>
      </w:r>
    </w:p>
    <w:p w14:paraId="4D411974">
      <w:pPr>
        <w:pStyle w:val="13"/>
        <w:kinsoku/>
        <w:wordWrap w:val="0"/>
        <w:overflowPunct/>
        <w:topLinePunct/>
        <w:autoSpaceDE/>
        <w:autoSpaceDN/>
        <w:bidi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2、《中小企业声明函》（如有）适用于小微企业参加招投标活动的。投标人应当自行核实是否属于小微企业，并认真填写，若有虚假将追究其责任。</w:t>
      </w:r>
    </w:p>
    <w:p w14:paraId="7D7ED09A">
      <w:pPr>
        <w:pStyle w:val="13"/>
        <w:kinsoku/>
        <w:wordWrap w:val="0"/>
        <w:overflowPunct/>
        <w:topLinePunct/>
        <w:autoSpaceDE/>
        <w:autoSpaceDN/>
        <w:bidi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3、需按照本项目对应行业出具《中小企业声明函》，而非按照供应商的经营范围出具。</w:t>
      </w:r>
    </w:p>
    <w:p w14:paraId="0ECA4E2F">
      <w:pPr>
        <w:pStyle w:val="65"/>
        <w:kinsoku/>
        <w:wordWrap w:val="0"/>
        <w:overflowPunct/>
        <w:topLinePunct/>
        <w:autoSpaceDE/>
        <w:autoSpaceDN/>
        <w:bidi w:val="0"/>
        <w:spacing w:line="240" w:lineRule="auto"/>
        <w:ind w:right="98" w:firstLine="0" w:firstLineChars="0"/>
        <w:rPr>
          <w:rFonts w:hint="eastAsia" w:ascii="宋体" w:hAnsi="宋体" w:eastAsia="宋体" w:cs="宋体"/>
          <w:b/>
          <w:bCs/>
          <w:snapToGrid w:val="0"/>
          <w:color w:val="auto"/>
          <w:kern w:val="13"/>
          <w:sz w:val="21"/>
          <w:szCs w:val="21"/>
          <w:highlight w:val="none"/>
          <w:lang w:val="en-US" w:eastAsia="zh-CN"/>
        </w:rPr>
      </w:pPr>
    </w:p>
    <w:p w14:paraId="5864BDF1">
      <w:pPr>
        <w:pStyle w:val="65"/>
        <w:kinsoku/>
        <w:wordWrap w:val="0"/>
        <w:overflowPunct/>
        <w:topLinePunct/>
        <w:autoSpaceDE/>
        <w:autoSpaceDN/>
        <w:bidi w:val="0"/>
        <w:spacing w:line="240" w:lineRule="auto"/>
        <w:ind w:right="98" w:firstLine="0" w:firstLineChars="0"/>
        <w:rPr>
          <w:rFonts w:hint="eastAsia" w:ascii="宋体" w:hAnsi="宋体" w:eastAsia="宋体" w:cs="宋体"/>
          <w:b/>
          <w:bCs/>
          <w:snapToGrid w:val="0"/>
          <w:color w:val="auto"/>
          <w:kern w:val="13"/>
          <w:sz w:val="21"/>
          <w:szCs w:val="21"/>
          <w:highlight w:val="none"/>
          <w:lang w:val="en-US" w:eastAsia="zh-CN"/>
        </w:rPr>
      </w:pPr>
      <w:r>
        <w:rPr>
          <w:rFonts w:hint="eastAsia" w:ascii="宋体" w:hAnsi="宋体" w:eastAsia="宋体" w:cs="宋体"/>
          <w:b/>
          <w:bCs/>
          <w:snapToGrid w:val="0"/>
          <w:color w:val="auto"/>
          <w:kern w:val="13"/>
          <w:sz w:val="21"/>
          <w:szCs w:val="21"/>
          <w:highlight w:val="none"/>
          <w:lang w:val="en-US" w:eastAsia="zh-CN"/>
        </w:rPr>
        <w:t>（此格式不作为废标条款）</w:t>
      </w:r>
    </w:p>
    <w:p w14:paraId="628EDE8E">
      <w:pPr>
        <w:tabs>
          <w:tab w:val="left" w:pos="720"/>
        </w:tabs>
        <w:kinsoku/>
        <w:wordWrap w:val="0"/>
        <w:overflowPunct/>
        <w:topLinePunct/>
        <w:autoSpaceDE/>
        <w:autoSpaceDN/>
        <w:bidi w:val="0"/>
        <w:snapToGrid w:val="0"/>
        <w:spacing w:line="360" w:lineRule="auto"/>
        <w:jc w:val="center"/>
        <w:rPr>
          <w:rFonts w:hint="eastAsia" w:ascii="宋体" w:hAnsi="宋体" w:eastAsia="宋体" w:cs="宋体"/>
          <w:b/>
          <w:color w:val="auto"/>
          <w:kern w:val="2"/>
          <w:sz w:val="32"/>
          <w:szCs w:val="32"/>
          <w:highlight w:val="none"/>
          <w:lang w:val="en-US" w:eastAsia="zh-CN"/>
        </w:rPr>
      </w:pPr>
    </w:p>
    <w:p w14:paraId="4894C91E">
      <w:pPr>
        <w:tabs>
          <w:tab w:val="left" w:pos="720"/>
        </w:tabs>
        <w:kinsoku/>
        <w:wordWrap w:val="0"/>
        <w:overflowPunct/>
        <w:topLinePunct/>
        <w:autoSpaceDE/>
        <w:autoSpaceDN/>
        <w:bidi w:val="0"/>
        <w:snapToGrid w:val="0"/>
        <w:spacing w:line="360" w:lineRule="auto"/>
        <w:jc w:val="center"/>
        <w:rPr>
          <w:rFonts w:hint="eastAsia" w:ascii="宋体" w:hAnsi="宋体" w:eastAsia="宋体" w:cs="宋体"/>
          <w:b/>
          <w:color w:val="auto"/>
          <w:kern w:val="2"/>
          <w:sz w:val="32"/>
          <w:szCs w:val="32"/>
          <w:highlight w:val="none"/>
          <w:lang w:val="en-US" w:eastAsia="zh-CN"/>
        </w:rPr>
      </w:pPr>
    </w:p>
    <w:p w14:paraId="071FFEC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68F2902A">
      <w:pPr>
        <w:kinsoku/>
        <w:wordWrap w:val="0"/>
        <w:overflowPunct/>
        <w:topLinePunct/>
        <w:autoSpaceDE/>
        <w:autoSpaceDN/>
        <w:bidi w:val="0"/>
        <w:snapToGrid/>
        <w:spacing w:line="360" w:lineRule="auto"/>
        <w:ind w:firstLine="0" w:firstLineChars="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color w:val="auto"/>
          <w:sz w:val="24"/>
          <w:szCs w:val="24"/>
          <w:highlight w:val="none"/>
          <w:lang w:val="en-US" w:eastAsia="zh-CN"/>
        </w:rPr>
        <w:t>附件2</w:t>
      </w:r>
    </w:p>
    <w:p w14:paraId="36F86589">
      <w:pPr>
        <w:spacing w:before="68" w:line="352" w:lineRule="auto"/>
        <w:ind w:right="72"/>
        <w:jc w:val="center"/>
        <w:rPr>
          <w:rFonts w:hint="eastAsia" w:ascii="宋体" w:hAnsi="宋体" w:eastAsia="宋体" w:cs="宋体"/>
          <w:b/>
          <w:bCs/>
          <w:color w:val="auto"/>
          <w:spacing w:val="-2"/>
          <w:sz w:val="28"/>
          <w:szCs w:val="28"/>
          <w:highlight w:val="none"/>
          <w:lang w:eastAsia="zh-CN"/>
        </w:rPr>
      </w:pPr>
      <w:bookmarkStart w:id="518" w:name="_Toc32059"/>
      <w:bookmarkStart w:id="519" w:name="_Toc7917"/>
      <w:r>
        <w:rPr>
          <w:rFonts w:hint="eastAsia" w:ascii="宋体" w:hAnsi="宋体" w:eastAsia="宋体" w:cs="宋体"/>
          <w:b/>
          <w:bCs/>
          <w:color w:val="auto"/>
          <w:spacing w:val="-2"/>
          <w:sz w:val="28"/>
          <w:szCs w:val="28"/>
          <w:highlight w:val="none"/>
          <w:lang w:eastAsia="zh-CN"/>
        </w:rPr>
        <w:t>监狱企业</w:t>
      </w:r>
      <w:r>
        <w:rPr>
          <w:rFonts w:hint="eastAsia" w:ascii="宋体" w:hAnsi="宋体" w:eastAsia="宋体" w:cs="宋体"/>
          <w:b/>
          <w:bCs/>
          <w:color w:val="auto"/>
          <w:spacing w:val="-2"/>
          <w:sz w:val="28"/>
          <w:szCs w:val="28"/>
          <w:highlight w:val="none"/>
          <w:lang w:val="en-US" w:eastAsia="zh-CN"/>
        </w:rPr>
        <w:t>证明文件</w:t>
      </w:r>
      <w:r>
        <w:rPr>
          <w:rFonts w:hint="eastAsia" w:ascii="宋体" w:hAnsi="宋体" w:eastAsia="宋体" w:cs="宋体"/>
          <w:b/>
          <w:bCs/>
          <w:color w:val="auto"/>
          <w:spacing w:val="-2"/>
          <w:sz w:val="28"/>
          <w:szCs w:val="28"/>
          <w:highlight w:val="none"/>
          <w:lang w:eastAsia="zh-CN"/>
        </w:rPr>
        <w:t>（</w:t>
      </w:r>
      <w:r>
        <w:rPr>
          <w:rFonts w:hint="eastAsia" w:ascii="宋体" w:hAnsi="宋体" w:eastAsia="宋体" w:cs="宋体"/>
          <w:b/>
          <w:bCs/>
          <w:color w:val="auto"/>
          <w:spacing w:val="-2"/>
          <w:sz w:val="28"/>
          <w:szCs w:val="28"/>
          <w:highlight w:val="none"/>
          <w:lang w:val="en-US" w:eastAsia="zh-CN"/>
        </w:rPr>
        <w:t>如有</w:t>
      </w:r>
      <w:r>
        <w:rPr>
          <w:rFonts w:hint="eastAsia" w:ascii="宋体" w:hAnsi="宋体" w:eastAsia="宋体" w:cs="宋体"/>
          <w:b/>
          <w:bCs/>
          <w:color w:val="auto"/>
          <w:spacing w:val="-2"/>
          <w:sz w:val="28"/>
          <w:szCs w:val="28"/>
          <w:highlight w:val="none"/>
          <w:lang w:eastAsia="zh-CN"/>
        </w:rPr>
        <w:t>）</w:t>
      </w:r>
      <w:bookmarkEnd w:id="518"/>
      <w:bookmarkEnd w:id="519"/>
    </w:p>
    <w:p w14:paraId="12E69C06">
      <w:pPr>
        <w:pStyle w:val="88"/>
        <w:kinsoku/>
        <w:wordWrap w:val="0"/>
        <w:overflowPunct/>
        <w:topLinePunct/>
        <w:autoSpaceDE/>
        <w:autoSpaceDN/>
        <w:bidi w:val="0"/>
        <w:ind w:firstLine="480"/>
        <w:rPr>
          <w:rFonts w:hint="eastAsia" w:ascii="宋体" w:hAnsi="宋体" w:eastAsia="宋体" w:cs="宋体"/>
          <w:color w:val="auto"/>
          <w:highlight w:val="none"/>
          <w:lang w:val="en-US" w:eastAsia="zh-CN"/>
        </w:rPr>
      </w:pPr>
    </w:p>
    <w:p w14:paraId="358B7E39">
      <w:pPr>
        <w:pStyle w:val="88"/>
        <w:kinsoku/>
        <w:wordWrap w:val="0"/>
        <w:overflowPunct/>
        <w:topLinePunct/>
        <w:autoSpaceDE/>
        <w:autoSpaceDN/>
        <w:bidi w:val="0"/>
        <w:ind w:firstLine="480"/>
        <w:rPr>
          <w:rFonts w:hint="eastAsia" w:ascii="宋体" w:hAnsi="宋体" w:eastAsia="宋体" w:cs="宋体"/>
          <w:color w:val="auto"/>
          <w:highlight w:val="none"/>
          <w:lang w:val="en-US" w:eastAsia="zh-CN"/>
        </w:rPr>
      </w:pPr>
    </w:p>
    <w:p w14:paraId="2EE20839">
      <w:pPr>
        <w:pStyle w:val="88"/>
        <w:kinsoku/>
        <w:wordWrap w:val="0"/>
        <w:overflowPunct/>
        <w:topLinePunct/>
        <w:autoSpaceDE/>
        <w:autoSpaceDN/>
        <w:bidi w:val="0"/>
        <w:ind w:firstLine="480"/>
        <w:rPr>
          <w:rFonts w:hint="eastAsia" w:ascii="宋体" w:hAnsi="宋体" w:eastAsia="宋体" w:cs="宋体"/>
          <w:color w:val="auto"/>
          <w:highlight w:val="none"/>
          <w:lang w:val="en-US" w:eastAsia="zh-CN"/>
        </w:rPr>
      </w:pPr>
    </w:p>
    <w:p w14:paraId="461F6522">
      <w:pPr>
        <w:pStyle w:val="88"/>
        <w:kinsoku/>
        <w:wordWrap w:val="0"/>
        <w:overflowPunct/>
        <w:topLinePunct/>
        <w:autoSpaceDE/>
        <w:autoSpaceDN/>
        <w:bidi w:val="0"/>
        <w:ind w:firstLine="480"/>
        <w:rPr>
          <w:rFonts w:hint="eastAsia" w:ascii="宋体" w:hAnsi="宋体" w:eastAsia="宋体" w:cs="宋体"/>
          <w:color w:val="auto"/>
          <w:highlight w:val="none"/>
          <w:lang w:val="en-US" w:eastAsia="zh-CN"/>
        </w:rPr>
      </w:pPr>
    </w:p>
    <w:p w14:paraId="66D90620">
      <w:pPr>
        <w:pStyle w:val="88"/>
        <w:kinsoku/>
        <w:wordWrap w:val="0"/>
        <w:overflowPunct/>
        <w:topLinePunct/>
        <w:autoSpaceDE/>
        <w:autoSpaceDN/>
        <w:bidi w:val="0"/>
        <w:ind w:firstLine="480"/>
        <w:rPr>
          <w:rFonts w:hint="eastAsia" w:ascii="宋体" w:hAnsi="宋体" w:eastAsia="宋体" w:cs="宋体"/>
          <w:color w:val="auto"/>
          <w:highlight w:val="none"/>
          <w:lang w:val="en-US" w:eastAsia="zh-CN"/>
        </w:rPr>
      </w:pPr>
    </w:p>
    <w:p w14:paraId="0AC75514">
      <w:pPr>
        <w:pStyle w:val="88"/>
        <w:kinsoku/>
        <w:wordWrap w:val="0"/>
        <w:overflowPunct/>
        <w:topLinePunct/>
        <w:autoSpaceDE/>
        <w:autoSpaceDN/>
        <w:bidi w:val="0"/>
        <w:ind w:firstLine="480"/>
        <w:rPr>
          <w:rFonts w:hint="eastAsia" w:ascii="宋体" w:hAnsi="宋体" w:eastAsia="宋体" w:cs="宋体"/>
          <w:color w:val="auto"/>
          <w:highlight w:val="none"/>
          <w:lang w:val="en-US" w:eastAsia="zh-CN"/>
        </w:rPr>
      </w:pPr>
    </w:p>
    <w:p w14:paraId="5AB770A1">
      <w:pPr>
        <w:pStyle w:val="88"/>
        <w:kinsoku/>
        <w:wordWrap w:val="0"/>
        <w:overflowPunct/>
        <w:topLinePunct/>
        <w:autoSpaceDE/>
        <w:autoSpaceDN/>
        <w:bidi w:val="0"/>
        <w:ind w:firstLine="480"/>
        <w:rPr>
          <w:rFonts w:hint="eastAsia" w:ascii="宋体" w:hAnsi="宋体" w:eastAsia="宋体" w:cs="宋体"/>
          <w:color w:val="auto"/>
          <w:highlight w:val="none"/>
          <w:lang w:val="en-US" w:eastAsia="zh-CN"/>
        </w:rPr>
      </w:pPr>
    </w:p>
    <w:p w14:paraId="173A175B">
      <w:pPr>
        <w:pStyle w:val="88"/>
        <w:kinsoku/>
        <w:wordWrap w:val="0"/>
        <w:overflowPunct/>
        <w:topLinePunct/>
        <w:autoSpaceDE/>
        <w:autoSpaceDN/>
        <w:bidi w:val="0"/>
        <w:ind w:firstLine="480"/>
        <w:rPr>
          <w:rFonts w:hint="eastAsia" w:ascii="宋体" w:hAnsi="宋体" w:eastAsia="宋体" w:cs="宋体"/>
          <w:color w:val="auto"/>
          <w:highlight w:val="none"/>
          <w:lang w:val="en-US" w:eastAsia="zh-CN"/>
        </w:rPr>
      </w:pPr>
    </w:p>
    <w:p w14:paraId="0E7D99AA">
      <w:pPr>
        <w:pStyle w:val="88"/>
        <w:kinsoku/>
        <w:wordWrap w:val="0"/>
        <w:overflowPunct/>
        <w:topLinePunct/>
        <w:autoSpaceDE/>
        <w:autoSpaceDN/>
        <w:bidi w:val="0"/>
        <w:ind w:firstLine="480"/>
        <w:rPr>
          <w:rFonts w:hint="eastAsia" w:ascii="宋体" w:hAnsi="宋体" w:eastAsia="宋体" w:cs="宋体"/>
          <w:color w:val="auto"/>
          <w:highlight w:val="none"/>
          <w:lang w:val="en-US" w:eastAsia="zh-CN"/>
        </w:rPr>
      </w:pPr>
    </w:p>
    <w:p w14:paraId="3C52C336">
      <w:pPr>
        <w:pStyle w:val="88"/>
        <w:kinsoku/>
        <w:wordWrap w:val="0"/>
        <w:overflowPunct/>
        <w:topLinePunct/>
        <w:autoSpaceDE/>
        <w:autoSpaceDN/>
        <w:bidi w:val="0"/>
        <w:ind w:firstLine="480"/>
        <w:rPr>
          <w:rFonts w:hint="eastAsia" w:ascii="宋体" w:hAnsi="宋体" w:eastAsia="宋体" w:cs="宋体"/>
          <w:color w:val="auto"/>
          <w:highlight w:val="none"/>
          <w:lang w:val="en-US" w:eastAsia="zh-CN"/>
        </w:rPr>
      </w:pPr>
    </w:p>
    <w:p w14:paraId="53AFC703">
      <w:pPr>
        <w:pStyle w:val="88"/>
        <w:kinsoku/>
        <w:wordWrap w:val="0"/>
        <w:overflowPunct/>
        <w:topLinePunct/>
        <w:autoSpaceDE/>
        <w:autoSpaceDN/>
        <w:bidi w:val="0"/>
        <w:ind w:firstLine="480"/>
        <w:rPr>
          <w:rFonts w:hint="eastAsia" w:ascii="宋体" w:hAnsi="宋体" w:eastAsia="宋体" w:cs="宋体"/>
          <w:color w:val="auto"/>
          <w:highlight w:val="none"/>
          <w:lang w:val="en-US" w:eastAsia="zh-CN"/>
        </w:rPr>
      </w:pPr>
    </w:p>
    <w:p w14:paraId="73A276EF">
      <w:pPr>
        <w:pStyle w:val="88"/>
        <w:kinsoku/>
        <w:wordWrap w:val="0"/>
        <w:overflowPunct/>
        <w:topLinePunct/>
        <w:autoSpaceDE/>
        <w:autoSpaceDN/>
        <w:bidi w:val="0"/>
        <w:ind w:firstLine="480"/>
        <w:rPr>
          <w:rFonts w:hint="eastAsia" w:ascii="宋体" w:hAnsi="宋体" w:eastAsia="宋体" w:cs="宋体"/>
          <w:color w:val="auto"/>
          <w:highlight w:val="none"/>
          <w:lang w:val="en-US" w:eastAsia="zh-CN"/>
        </w:rPr>
      </w:pPr>
    </w:p>
    <w:p w14:paraId="65BF1B9F">
      <w:pPr>
        <w:pStyle w:val="88"/>
        <w:kinsoku/>
        <w:wordWrap w:val="0"/>
        <w:overflowPunct/>
        <w:topLinePunct/>
        <w:autoSpaceDE/>
        <w:autoSpaceDN/>
        <w:bidi w:val="0"/>
        <w:ind w:firstLine="480"/>
        <w:rPr>
          <w:rFonts w:hint="eastAsia" w:ascii="宋体" w:hAnsi="宋体" w:eastAsia="宋体" w:cs="宋体"/>
          <w:color w:val="auto"/>
          <w:highlight w:val="none"/>
          <w:lang w:val="en-US" w:eastAsia="zh-CN"/>
        </w:rPr>
      </w:pPr>
    </w:p>
    <w:p w14:paraId="1A2B1AAD">
      <w:pPr>
        <w:pStyle w:val="88"/>
        <w:kinsoku/>
        <w:wordWrap w:val="0"/>
        <w:overflowPunct/>
        <w:topLinePunct/>
        <w:autoSpaceDE/>
        <w:autoSpaceDN/>
        <w:bidi w:val="0"/>
        <w:ind w:firstLine="480"/>
        <w:rPr>
          <w:rFonts w:hint="eastAsia" w:ascii="宋体" w:hAnsi="宋体" w:eastAsia="宋体" w:cs="宋体"/>
          <w:color w:val="auto"/>
          <w:highlight w:val="none"/>
          <w:lang w:val="en-US" w:eastAsia="zh-CN"/>
        </w:rPr>
      </w:pPr>
    </w:p>
    <w:p w14:paraId="5F115625">
      <w:pPr>
        <w:pStyle w:val="88"/>
        <w:kinsoku/>
        <w:wordWrap w:val="0"/>
        <w:overflowPunct/>
        <w:topLinePunct/>
        <w:autoSpaceDE/>
        <w:autoSpaceDN/>
        <w:bidi w:val="0"/>
        <w:ind w:firstLine="480"/>
        <w:rPr>
          <w:rFonts w:hint="eastAsia" w:ascii="宋体" w:hAnsi="宋体" w:eastAsia="宋体" w:cs="宋体"/>
          <w:color w:val="auto"/>
          <w:highlight w:val="none"/>
          <w:lang w:val="en-US" w:eastAsia="zh-CN"/>
        </w:rPr>
      </w:pPr>
    </w:p>
    <w:p w14:paraId="030B721B">
      <w:pPr>
        <w:pStyle w:val="88"/>
        <w:kinsoku/>
        <w:wordWrap w:val="0"/>
        <w:overflowPunct/>
        <w:topLinePunct/>
        <w:autoSpaceDE/>
        <w:autoSpaceDN/>
        <w:bidi w:val="0"/>
        <w:ind w:firstLine="480"/>
        <w:rPr>
          <w:rFonts w:hint="eastAsia" w:ascii="宋体" w:hAnsi="宋体" w:eastAsia="宋体" w:cs="宋体"/>
          <w:color w:val="auto"/>
          <w:highlight w:val="none"/>
          <w:lang w:val="en-US" w:eastAsia="zh-CN"/>
        </w:rPr>
      </w:pPr>
    </w:p>
    <w:p w14:paraId="39A7CF08">
      <w:pPr>
        <w:pStyle w:val="88"/>
        <w:kinsoku/>
        <w:wordWrap w:val="0"/>
        <w:overflowPunct/>
        <w:topLinePunct/>
        <w:autoSpaceDE/>
        <w:autoSpaceDN/>
        <w:bidi w:val="0"/>
        <w:ind w:firstLine="480"/>
        <w:rPr>
          <w:rFonts w:hint="eastAsia" w:ascii="宋体" w:hAnsi="宋体" w:eastAsia="宋体" w:cs="宋体"/>
          <w:color w:val="auto"/>
          <w:sz w:val="21"/>
          <w:szCs w:val="21"/>
          <w:highlight w:val="none"/>
          <w:lang w:val="en-US" w:eastAsia="zh-CN"/>
        </w:rPr>
      </w:pPr>
    </w:p>
    <w:p w14:paraId="77F71084">
      <w:pPr>
        <w:kinsoku/>
        <w:wordWrap w:val="0"/>
        <w:overflowPunct/>
        <w:topLinePunct/>
        <w:autoSpaceDE/>
        <w:autoSpaceDN/>
        <w:bidi w:val="0"/>
        <w:spacing w:line="240" w:lineRule="auto"/>
        <w:ind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A43008F">
      <w:pPr>
        <w:kinsoku/>
        <w:wordWrap w:val="0"/>
        <w:overflowPunct/>
        <w:topLinePunct/>
        <w:autoSpaceDE/>
        <w:autoSpaceDN/>
        <w:bidi w:val="0"/>
        <w:spacing w:line="24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2、监狱企业参与投标的，需提供由省级以上监狱管理局、戒毒管理局（含新疆生产建设兵团）出具的属于监狱企业的证明文件。监狱企业视同小微企业，无需再提供《中小企业声明函》。</w:t>
      </w:r>
    </w:p>
    <w:p w14:paraId="5E6C3ACC">
      <w:pPr>
        <w:pStyle w:val="65"/>
        <w:kinsoku/>
        <w:wordWrap w:val="0"/>
        <w:overflowPunct/>
        <w:topLinePunct/>
        <w:autoSpaceDE/>
        <w:autoSpaceDN/>
        <w:bidi w:val="0"/>
        <w:spacing w:line="240" w:lineRule="auto"/>
        <w:ind w:right="98" w:firstLine="0" w:firstLineChars="0"/>
        <w:rPr>
          <w:rFonts w:hint="eastAsia" w:ascii="宋体" w:hAnsi="宋体" w:eastAsia="宋体" w:cs="宋体"/>
          <w:b/>
          <w:bCs/>
          <w:snapToGrid w:val="0"/>
          <w:color w:val="auto"/>
          <w:kern w:val="13"/>
          <w:sz w:val="21"/>
          <w:szCs w:val="21"/>
          <w:highlight w:val="none"/>
          <w:lang w:val="en-US" w:eastAsia="zh-CN"/>
        </w:rPr>
      </w:pPr>
    </w:p>
    <w:p w14:paraId="55F58871">
      <w:pPr>
        <w:pStyle w:val="65"/>
        <w:kinsoku/>
        <w:wordWrap w:val="0"/>
        <w:overflowPunct/>
        <w:topLinePunct/>
        <w:autoSpaceDE/>
        <w:autoSpaceDN/>
        <w:bidi w:val="0"/>
        <w:spacing w:line="240" w:lineRule="auto"/>
        <w:ind w:right="98" w:firstLine="0" w:firstLineChars="0"/>
        <w:rPr>
          <w:rFonts w:hint="eastAsia" w:ascii="宋体" w:hAnsi="宋体" w:eastAsia="宋体" w:cs="宋体"/>
          <w:b/>
          <w:bCs/>
          <w:snapToGrid w:val="0"/>
          <w:color w:val="auto"/>
          <w:kern w:val="13"/>
          <w:sz w:val="21"/>
          <w:szCs w:val="21"/>
          <w:highlight w:val="none"/>
          <w:lang w:val="en-US" w:eastAsia="zh-CN"/>
        </w:rPr>
      </w:pPr>
    </w:p>
    <w:p w14:paraId="4FF0315C">
      <w:pPr>
        <w:pStyle w:val="65"/>
        <w:kinsoku/>
        <w:wordWrap w:val="0"/>
        <w:overflowPunct/>
        <w:topLinePunct/>
        <w:autoSpaceDE/>
        <w:autoSpaceDN/>
        <w:bidi w:val="0"/>
        <w:spacing w:line="240" w:lineRule="auto"/>
        <w:ind w:right="98" w:firstLine="0" w:firstLineChars="0"/>
        <w:rPr>
          <w:rFonts w:hint="eastAsia" w:ascii="宋体" w:hAnsi="宋体" w:eastAsia="宋体" w:cs="宋体"/>
          <w:b/>
          <w:bCs/>
          <w:snapToGrid w:val="0"/>
          <w:color w:val="auto"/>
          <w:kern w:val="13"/>
          <w:sz w:val="21"/>
          <w:szCs w:val="21"/>
          <w:highlight w:val="none"/>
          <w:lang w:val="en-US" w:eastAsia="zh-CN"/>
        </w:rPr>
      </w:pPr>
      <w:r>
        <w:rPr>
          <w:rFonts w:hint="eastAsia" w:ascii="宋体" w:hAnsi="宋体" w:eastAsia="宋体" w:cs="宋体"/>
          <w:b/>
          <w:bCs/>
          <w:snapToGrid w:val="0"/>
          <w:color w:val="auto"/>
          <w:kern w:val="13"/>
          <w:sz w:val="21"/>
          <w:szCs w:val="21"/>
          <w:highlight w:val="none"/>
          <w:lang w:val="en-US" w:eastAsia="zh-CN"/>
        </w:rPr>
        <w:t>（此格式不作为废标条款）</w:t>
      </w:r>
    </w:p>
    <w:p w14:paraId="6EBB5C6E">
      <w:pPr>
        <w:pStyle w:val="88"/>
        <w:kinsoku/>
        <w:wordWrap w:val="0"/>
        <w:overflowPunct/>
        <w:topLinePunct/>
        <w:autoSpaceDE/>
        <w:autoSpaceDN/>
        <w:bidi w:val="0"/>
        <w:ind w:firstLine="0"/>
        <w:outlineLvl w:val="9"/>
        <w:rPr>
          <w:rFonts w:ascii="宋体" w:hAnsi="宋体" w:eastAsia="宋体" w:cs="宋体"/>
          <w:color w:val="auto"/>
          <w:highlight w:val="none"/>
        </w:rPr>
      </w:pPr>
      <w:r>
        <w:rPr>
          <w:rFonts w:ascii="宋体" w:hAnsi="宋体" w:eastAsia="宋体" w:cs="宋体"/>
          <w:color w:val="auto"/>
          <w:highlight w:val="none"/>
        </w:rPr>
        <w:br w:type="page"/>
      </w:r>
      <w:r>
        <w:rPr>
          <w:rFonts w:hint="eastAsia" w:ascii="宋体" w:hAnsi="宋体" w:eastAsia="宋体" w:cs="宋体"/>
          <w:b/>
          <w:color w:val="auto"/>
          <w:sz w:val="24"/>
          <w:szCs w:val="24"/>
          <w:highlight w:val="none"/>
          <w:lang w:val="en-US" w:eastAsia="zh-CN"/>
        </w:rPr>
        <w:t>附件3</w:t>
      </w:r>
    </w:p>
    <w:p w14:paraId="5FABE4CF">
      <w:pPr>
        <w:bidi w:val="0"/>
      </w:pPr>
    </w:p>
    <w:p w14:paraId="6E272A08">
      <w:pPr>
        <w:spacing w:before="68" w:line="352" w:lineRule="auto"/>
        <w:ind w:right="72"/>
        <w:jc w:val="center"/>
        <w:rPr>
          <w:rFonts w:hint="eastAsia" w:ascii="宋体" w:hAnsi="宋体" w:eastAsia="宋体" w:cs="宋体"/>
          <w:b/>
          <w:bCs/>
          <w:color w:val="auto"/>
          <w:spacing w:val="-2"/>
          <w:sz w:val="28"/>
          <w:szCs w:val="28"/>
          <w:highlight w:val="none"/>
          <w:lang w:eastAsia="zh-CN"/>
        </w:rPr>
      </w:pPr>
      <w:bookmarkStart w:id="520" w:name="_Toc3564"/>
      <w:bookmarkStart w:id="521" w:name="_Toc9169"/>
      <w:r>
        <w:rPr>
          <w:rFonts w:hint="eastAsia" w:ascii="宋体" w:hAnsi="宋体" w:eastAsia="宋体" w:cs="宋体"/>
          <w:b/>
          <w:bCs/>
          <w:color w:val="auto"/>
          <w:spacing w:val="-2"/>
          <w:sz w:val="28"/>
          <w:szCs w:val="28"/>
          <w:highlight w:val="none"/>
          <w:lang w:eastAsia="zh-CN"/>
        </w:rPr>
        <w:t>残疾人福利性</w:t>
      </w:r>
      <w:r>
        <w:rPr>
          <w:rFonts w:hint="eastAsia" w:ascii="宋体" w:hAnsi="宋体" w:eastAsia="宋体" w:cs="宋体"/>
          <w:b/>
          <w:bCs/>
          <w:color w:val="auto"/>
          <w:spacing w:val="-2"/>
          <w:sz w:val="28"/>
          <w:szCs w:val="28"/>
          <w:highlight w:val="none"/>
          <w:lang w:val="en-US" w:eastAsia="zh-CN"/>
        </w:rPr>
        <w:t>单位</w:t>
      </w:r>
      <w:r>
        <w:rPr>
          <w:rFonts w:hint="eastAsia" w:ascii="宋体" w:hAnsi="宋体" w:eastAsia="宋体" w:cs="宋体"/>
          <w:b/>
          <w:bCs/>
          <w:color w:val="auto"/>
          <w:spacing w:val="-2"/>
          <w:sz w:val="28"/>
          <w:szCs w:val="28"/>
          <w:highlight w:val="none"/>
          <w:lang w:eastAsia="zh-CN"/>
        </w:rPr>
        <w:t>声明函（</w:t>
      </w:r>
      <w:r>
        <w:rPr>
          <w:rFonts w:hint="eastAsia" w:ascii="宋体" w:hAnsi="宋体" w:eastAsia="宋体" w:cs="宋体"/>
          <w:b/>
          <w:bCs/>
          <w:color w:val="auto"/>
          <w:spacing w:val="-2"/>
          <w:sz w:val="28"/>
          <w:szCs w:val="28"/>
          <w:highlight w:val="none"/>
          <w:lang w:val="en-US" w:eastAsia="zh-CN"/>
        </w:rPr>
        <w:t>如有</w:t>
      </w:r>
      <w:r>
        <w:rPr>
          <w:rFonts w:hint="eastAsia" w:ascii="宋体" w:hAnsi="宋体" w:eastAsia="宋体" w:cs="宋体"/>
          <w:b/>
          <w:bCs/>
          <w:color w:val="auto"/>
          <w:spacing w:val="-2"/>
          <w:sz w:val="28"/>
          <w:szCs w:val="28"/>
          <w:highlight w:val="none"/>
          <w:lang w:eastAsia="zh-CN"/>
        </w:rPr>
        <w:t>）</w:t>
      </w:r>
      <w:bookmarkEnd w:id="520"/>
      <w:bookmarkEnd w:id="521"/>
    </w:p>
    <w:p w14:paraId="5A02A2A8">
      <w:pPr>
        <w:bidi w:val="0"/>
        <w:rPr>
          <w:rFonts w:hint="eastAsia"/>
        </w:rPr>
      </w:pPr>
    </w:p>
    <w:p w14:paraId="29A5007D">
      <w:pPr>
        <w:pStyle w:val="88"/>
        <w:kinsoku/>
        <w:wordWrap w:val="0"/>
        <w:overflowPunct/>
        <w:topLinePunct/>
        <w:autoSpaceDE/>
        <w:autoSpaceDN/>
        <w:bidi w:val="0"/>
        <w:spacing w:line="360" w:lineRule="auto"/>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（招标人）</w:t>
      </w:r>
      <w:r>
        <w:rPr>
          <w:rFonts w:hint="eastAsia" w:ascii="宋体" w:hAnsi="宋体" w:eastAsia="宋体" w:cs="宋体"/>
          <w:color w:val="auto"/>
          <w:sz w:val="21"/>
          <w:szCs w:val="21"/>
          <w:highlight w:val="none"/>
          <w:u w:val="single"/>
          <w:lang w:val="en-US" w:eastAsia="zh-CN"/>
        </w:rPr>
        <w:t xml:space="preserve">         </w:t>
      </w:r>
    </w:p>
    <w:p w14:paraId="5B128683">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本单位郑重声明，根据《财政部 民政部 中国残疾人联合会关于促进残疾人就业政府采购政策的通知》</w:t>
      </w:r>
      <w:r>
        <w:rPr>
          <w:rFonts w:hint="eastAsia" w:ascii="宋体" w:hAnsi="宋体" w:eastAsia="宋体" w:cs="宋体"/>
          <w:color w:val="auto"/>
          <w:sz w:val="21"/>
          <w:szCs w:val="21"/>
          <w:highlight w:val="none"/>
        </w:rPr>
        <w:t>（财库〔2017〕141号）</w:t>
      </w:r>
      <w:r>
        <w:rPr>
          <w:rFonts w:ascii="宋体" w:hAnsi="宋体" w:eastAsia="宋体" w:cs="宋体"/>
          <w:color w:val="auto"/>
          <w:sz w:val="21"/>
          <w:szCs w:val="21"/>
          <w:highlight w:val="none"/>
        </w:rPr>
        <w:t>的规定，本单位为符合条件的残疾人福利性单位，且本单位参加</w:t>
      </w:r>
      <w:r>
        <w:rPr>
          <w:rFonts w:hint="eastAsia" w:ascii="宋体" w:hAnsi="宋体" w:eastAsia="宋体" w:cs="宋体"/>
          <w:color w:val="auto"/>
          <w:sz w:val="21"/>
          <w:szCs w:val="21"/>
          <w:highlight w:val="none"/>
          <w:u w:val="single"/>
        </w:rPr>
        <w:t xml:space="preserve">        （招标人）</w:t>
      </w:r>
      <w:r>
        <w:rPr>
          <w:rFonts w:hint="eastAsia" w:ascii="宋体" w:hAnsi="宋体" w:eastAsia="宋体" w:cs="宋体"/>
          <w:color w:val="auto"/>
          <w:sz w:val="21"/>
          <w:szCs w:val="21"/>
          <w:highlight w:val="none"/>
          <w:u w:val="single"/>
          <w:lang w:val="en-US" w:eastAsia="zh-CN"/>
        </w:rPr>
        <w:t xml:space="preserve">         </w:t>
      </w:r>
      <w:r>
        <w:rPr>
          <w:rFonts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项目</w:t>
      </w:r>
      <w:r>
        <w:rPr>
          <w:rFonts w:hint="eastAsia" w:ascii="宋体" w:hAnsi="宋体" w:eastAsia="宋体" w:cs="宋体"/>
          <w:color w:val="auto"/>
          <w:sz w:val="21"/>
          <w:szCs w:val="21"/>
          <w:highlight w:val="none"/>
          <w:lang w:val="en-US" w:eastAsia="zh-CN"/>
        </w:rPr>
        <w:t>招标</w:t>
      </w:r>
      <w:r>
        <w:rPr>
          <w:rFonts w:ascii="宋体" w:hAnsi="宋体" w:eastAsia="宋体" w:cs="宋体"/>
          <w:color w:val="auto"/>
          <w:sz w:val="21"/>
          <w:szCs w:val="21"/>
          <w:highlight w:val="none"/>
        </w:rPr>
        <w:t>活动</w:t>
      </w:r>
      <w:r>
        <w:rPr>
          <w:rFonts w:hint="eastAsia" w:ascii="宋体" w:hAnsi="宋体" w:eastAsia="宋体" w:cs="宋体"/>
          <w:color w:val="auto"/>
          <w:sz w:val="21"/>
          <w:szCs w:val="21"/>
          <w:highlight w:val="none"/>
          <w:lang w:eastAsia="zh-CN"/>
        </w:rPr>
        <w:t>，</w:t>
      </w:r>
      <w:r>
        <w:rPr>
          <w:rFonts w:ascii="宋体" w:hAnsi="宋体" w:eastAsia="宋体" w:cs="宋体"/>
          <w:color w:val="auto"/>
          <w:sz w:val="21"/>
          <w:szCs w:val="21"/>
          <w:highlight w:val="none"/>
        </w:rPr>
        <w:t>由本单位承担工程。</w:t>
      </w:r>
    </w:p>
    <w:p w14:paraId="0C1341B8">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本单位对上述声明的真实性负责。如有虚假，将依法承担相应责任。</w:t>
      </w:r>
    </w:p>
    <w:p w14:paraId="203F675F">
      <w:pPr>
        <w:kinsoku/>
        <w:wordWrap w:val="0"/>
        <w:overflowPunct/>
        <w:topLinePunct/>
        <w:autoSpaceDE/>
        <w:autoSpaceDN/>
        <w:bidi w:val="0"/>
        <w:snapToGrid/>
        <w:spacing w:line="360" w:lineRule="auto"/>
        <w:ind w:firstLine="4410" w:firstLineChars="2100"/>
        <w:jc w:val="both"/>
        <w:rPr>
          <w:rFonts w:hint="eastAsia" w:ascii="宋体" w:hAnsi="宋体" w:eastAsia="宋体" w:cs="宋体"/>
          <w:color w:val="auto"/>
          <w:sz w:val="21"/>
          <w:szCs w:val="21"/>
          <w:highlight w:val="none"/>
          <w:lang w:val="en-US" w:eastAsia="zh-CN"/>
        </w:rPr>
      </w:pPr>
    </w:p>
    <w:p w14:paraId="1238B857">
      <w:pPr>
        <w:kinsoku/>
        <w:wordWrap w:val="0"/>
        <w:overflowPunct/>
        <w:topLinePunct/>
        <w:autoSpaceDE/>
        <w:autoSpaceDN/>
        <w:bidi w:val="0"/>
        <w:snapToGrid/>
        <w:spacing w:line="360" w:lineRule="auto"/>
        <w:ind w:firstLine="4410" w:firstLineChars="2100"/>
        <w:jc w:val="both"/>
        <w:rPr>
          <w:rFonts w:hint="eastAsia" w:ascii="宋体" w:hAnsi="宋体" w:eastAsia="宋体" w:cs="宋体"/>
          <w:color w:val="auto"/>
          <w:sz w:val="21"/>
          <w:szCs w:val="21"/>
          <w:highlight w:val="none"/>
          <w:lang w:val="en-US" w:eastAsia="zh-CN"/>
        </w:rPr>
      </w:pPr>
    </w:p>
    <w:p w14:paraId="7EFB8F32">
      <w:pPr>
        <w:pStyle w:val="13"/>
        <w:kinsoku/>
        <w:wordWrap w:val="0"/>
        <w:overflowPunct/>
        <w:topLinePunct/>
        <w:autoSpaceDE/>
        <w:autoSpaceDN/>
        <w:bidi w:val="0"/>
        <w:rPr>
          <w:rFonts w:hint="eastAsia" w:ascii="宋体" w:hAnsi="宋体" w:eastAsia="宋体" w:cs="宋体"/>
          <w:color w:val="auto"/>
          <w:sz w:val="21"/>
          <w:szCs w:val="21"/>
          <w:highlight w:val="none"/>
          <w:lang w:val="en-US" w:eastAsia="zh-CN"/>
        </w:rPr>
      </w:pPr>
    </w:p>
    <w:p w14:paraId="4E3257A1">
      <w:pPr>
        <w:pStyle w:val="13"/>
        <w:kinsoku/>
        <w:wordWrap w:val="0"/>
        <w:overflowPunct/>
        <w:topLinePunct/>
        <w:autoSpaceDE/>
        <w:autoSpaceDN/>
        <w:bidi w:val="0"/>
        <w:rPr>
          <w:rFonts w:hint="eastAsia" w:ascii="宋体" w:hAnsi="宋体" w:eastAsia="宋体" w:cs="宋体"/>
          <w:color w:val="auto"/>
          <w:sz w:val="21"/>
          <w:szCs w:val="21"/>
          <w:highlight w:val="none"/>
          <w:lang w:val="en-US" w:eastAsia="zh-CN"/>
        </w:rPr>
      </w:pPr>
    </w:p>
    <w:p w14:paraId="17DEE6A6">
      <w:pPr>
        <w:kinsoku/>
        <w:wordWrap w:val="0"/>
        <w:overflowPunct/>
        <w:topLinePunct/>
        <w:autoSpaceDE/>
        <w:autoSpaceDN/>
        <w:bidi w:val="0"/>
        <w:spacing w:line="360" w:lineRule="auto"/>
        <w:ind w:firstLine="4410" w:firstLineChars="2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名称（盖章）：</w:t>
      </w:r>
    </w:p>
    <w:p w14:paraId="298E0FF6">
      <w:pPr>
        <w:kinsoku/>
        <w:wordWrap w:val="0"/>
        <w:overflowPunct/>
        <w:topLinePunct/>
        <w:autoSpaceDE/>
        <w:autoSpaceDN/>
        <w:bidi w:val="0"/>
        <w:spacing w:line="360" w:lineRule="auto"/>
        <w:ind w:firstLine="4410" w:firstLineChars="2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期：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月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w:t>
      </w:r>
    </w:p>
    <w:p w14:paraId="401DE84E">
      <w:pPr>
        <w:kinsoku/>
        <w:wordWrap w:val="0"/>
        <w:overflowPunct/>
        <w:topLinePunct/>
        <w:autoSpaceDE/>
        <w:autoSpaceDN/>
        <w:bidi w:val="0"/>
        <w:snapToGrid/>
        <w:spacing w:line="360" w:lineRule="auto"/>
        <w:ind w:firstLine="0" w:firstLineChars="0"/>
        <w:jc w:val="center"/>
        <w:rPr>
          <w:rFonts w:hint="eastAsia" w:ascii="宋体" w:hAnsi="宋体" w:eastAsia="宋体" w:cs="宋体"/>
          <w:b/>
          <w:bCs/>
          <w:i w:val="0"/>
          <w:iCs w:val="0"/>
          <w:color w:val="auto"/>
          <w:sz w:val="21"/>
          <w:szCs w:val="21"/>
          <w:highlight w:val="none"/>
        </w:rPr>
      </w:pPr>
    </w:p>
    <w:p w14:paraId="490B5CC2">
      <w:pPr>
        <w:kinsoku/>
        <w:wordWrap w:val="0"/>
        <w:overflowPunct/>
        <w:topLinePunct/>
        <w:autoSpaceDE/>
        <w:autoSpaceDN/>
        <w:bidi w:val="0"/>
        <w:snapToGrid/>
        <w:spacing w:line="360" w:lineRule="auto"/>
        <w:ind w:firstLine="0" w:firstLineChars="0"/>
        <w:jc w:val="center"/>
        <w:rPr>
          <w:rFonts w:hint="eastAsia" w:ascii="宋体" w:hAnsi="宋体" w:eastAsia="宋体" w:cs="宋体"/>
          <w:b/>
          <w:bCs/>
          <w:i w:val="0"/>
          <w:iCs w:val="0"/>
          <w:color w:val="auto"/>
          <w:sz w:val="21"/>
          <w:szCs w:val="21"/>
          <w:highlight w:val="none"/>
        </w:rPr>
      </w:pPr>
    </w:p>
    <w:p w14:paraId="34391149">
      <w:pPr>
        <w:kinsoku/>
        <w:wordWrap w:val="0"/>
        <w:overflowPunct/>
        <w:topLinePunct/>
        <w:autoSpaceDE/>
        <w:autoSpaceDN/>
        <w:bidi w:val="0"/>
        <w:snapToGrid/>
        <w:spacing w:line="360" w:lineRule="auto"/>
        <w:ind w:firstLine="0" w:firstLineChars="0"/>
        <w:jc w:val="center"/>
        <w:rPr>
          <w:rFonts w:hint="eastAsia" w:ascii="宋体" w:hAnsi="宋体" w:eastAsia="宋体" w:cs="宋体"/>
          <w:b/>
          <w:bCs/>
          <w:i w:val="0"/>
          <w:iCs w:val="0"/>
          <w:color w:val="auto"/>
          <w:sz w:val="21"/>
          <w:szCs w:val="21"/>
          <w:highlight w:val="none"/>
        </w:rPr>
      </w:pPr>
    </w:p>
    <w:p w14:paraId="25016F40">
      <w:pPr>
        <w:kinsoku/>
        <w:wordWrap w:val="0"/>
        <w:overflowPunct/>
        <w:topLinePunct/>
        <w:autoSpaceDE/>
        <w:autoSpaceDN/>
        <w:bidi w:val="0"/>
        <w:snapToGrid/>
        <w:spacing w:line="360" w:lineRule="auto"/>
        <w:ind w:firstLine="0" w:firstLineChars="0"/>
        <w:jc w:val="center"/>
        <w:rPr>
          <w:rFonts w:hint="eastAsia" w:ascii="宋体" w:hAnsi="宋体" w:eastAsia="宋体" w:cs="宋体"/>
          <w:b/>
          <w:bCs/>
          <w:i w:val="0"/>
          <w:iCs w:val="0"/>
          <w:color w:val="auto"/>
          <w:sz w:val="21"/>
          <w:szCs w:val="21"/>
          <w:highlight w:val="none"/>
        </w:rPr>
      </w:pPr>
    </w:p>
    <w:p w14:paraId="623198B2">
      <w:pPr>
        <w:kinsoku/>
        <w:wordWrap w:val="0"/>
        <w:overflowPunct/>
        <w:topLinePunct/>
        <w:autoSpaceDE/>
        <w:autoSpaceDN/>
        <w:bidi w:val="0"/>
        <w:snapToGrid/>
        <w:spacing w:line="360" w:lineRule="auto"/>
        <w:ind w:firstLine="0" w:firstLineChars="0"/>
        <w:jc w:val="center"/>
        <w:rPr>
          <w:rFonts w:hint="eastAsia" w:ascii="宋体" w:hAnsi="宋体" w:eastAsia="宋体" w:cs="宋体"/>
          <w:b/>
          <w:bCs/>
          <w:i w:val="0"/>
          <w:iCs w:val="0"/>
          <w:color w:val="auto"/>
          <w:sz w:val="21"/>
          <w:szCs w:val="21"/>
          <w:highlight w:val="none"/>
        </w:rPr>
      </w:pPr>
    </w:p>
    <w:p w14:paraId="48BC1CE7">
      <w:pPr>
        <w:kinsoku/>
        <w:wordWrap w:val="0"/>
        <w:overflowPunct/>
        <w:topLinePunct/>
        <w:autoSpaceDE/>
        <w:autoSpaceDN/>
        <w:bidi w:val="0"/>
        <w:snapToGrid/>
        <w:spacing w:line="360" w:lineRule="auto"/>
        <w:ind w:firstLine="0" w:firstLineChars="0"/>
        <w:jc w:val="center"/>
        <w:rPr>
          <w:rFonts w:hint="eastAsia" w:ascii="宋体" w:hAnsi="宋体" w:eastAsia="宋体" w:cs="宋体"/>
          <w:b/>
          <w:bCs/>
          <w:i w:val="0"/>
          <w:iCs w:val="0"/>
          <w:color w:val="auto"/>
          <w:sz w:val="21"/>
          <w:szCs w:val="21"/>
          <w:highlight w:val="none"/>
        </w:rPr>
      </w:pPr>
    </w:p>
    <w:p w14:paraId="472A8660">
      <w:pPr>
        <w:kinsoku/>
        <w:wordWrap w:val="0"/>
        <w:overflowPunct/>
        <w:topLinePunct/>
        <w:autoSpaceDE/>
        <w:autoSpaceDN/>
        <w:bidi w:val="0"/>
        <w:snapToGrid/>
        <w:spacing w:line="240" w:lineRule="auto"/>
        <w:ind w:firstLine="0" w:firstLineChars="0"/>
        <w:jc w:val="both"/>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注：</w:t>
      </w:r>
      <w:r>
        <w:rPr>
          <w:rFonts w:hint="eastAsia" w:ascii="宋体" w:hAnsi="宋体" w:eastAsia="宋体" w:cs="宋体"/>
          <w:b/>
          <w:bCs/>
          <w:i w:val="0"/>
          <w:iCs w:val="0"/>
          <w:color w:val="auto"/>
          <w:sz w:val="21"/>
          <w:szCs w:val="21"/>
          <w:highlight w:val="none"/>
          <w:lang w:val="en-US" w:eastAsia="zh-CN"/>
        </w:rPr>
        <w:t>1、</w:t>
      </w:r>
      <w:r>
        <w:rPr>
          <w:rFonts w:hint="eastAsia" w:ascii="宋体" w:hAnsi="宋体" w:eastAsia="宋体" w:cs="宋体"/>
          <w:b/>
          <w:bCs/>
          <w:i w:val="0"/>
          <w:iCs w:val="0"/>
          <w:color w:val="auto"/>
          <w:sz w:val="21"/>
          <w:szCs w:val="21"/>
          <w:highlight w:val="none"/>
        </w:rPr>
        <w:t>残疾人福利性单位声明函（如有）适用于残疾人福利性单位参加招投标活动的。本函未填写的视作未做声明。</w:t>
      </w:r>
    </w:p>
    <w:p w14:paraId="1EFCDF64">
      <w:pPr>
        <w:kinsoku/>
        <w:wordWrap w:val="0"/>
        <w:overflowPunct/>
        <w:topLinePunct/>
        <w:autoSpaceDE/>
        <w:autoSpaceDN/>
        <w:bidi w:val="0"/>
        <w:snapToGrid/>
        <w:spacing w:line="240" w:lineRule="auto"/>
        <w:ind w:firstLine="420" w:firstLineChars="200"/>
        <w:jc w:val="both"/>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2、</w:t>
      </w:r>
      <w:r>
        <w:rPr>
          <w:rFonts w:hint="eastAsia" w:ascii="宋体" w:hAnsi="宋体" w:eastAsia="宋体" w:cs="宋体"/>
          <w:b/>
          <w:bCs/>
          <w:i w:val="0"/>
          <w:iCs w:val="0"/>
          <w:color w:val="auto"/>
          <w:sz w:val="21"/>
          <w:szCs w:val="21"/>
          <w:highlight w:val="none"/>
        </w:rPr>
        <w:t>残疾人福利性单位视同小微企业，无需再提供《中小企业声明函》。</w:t>
      </w:r>
    </w:p>
    <w:p w14:paraId="05DED2FA">
      <w:pPr>
        <w:pStyle w:val="65"/>
        <w:kinsoku/>
        <w:wordWrap w:val="0"/>
        <w:overflowPunct/>
        <w:topLinePunct/>
        <w:autoSpaceDE/>
        <w:autoSpaceDN/>
        <w:bidi w:val="0"/>
        <w:spacing w:line="240" w:lineRule="auto"/>
        <w:ind w:right="98" w:firstLine="0" w:firstLineChars="0"/>
        <w:rPr>
          <w:rFonts w:hint="eastAsia" w:ascii="宋体" w:hAnsi="宋体" w:eastAsia="宋体" w:cs="宋体"/>
          <w:b/>
          <w:bCs/>
          <w:snapToGrid w:val="0"/>
          <w:color w:val="auto"/>
          <w:kern w:val="13"/>
          <w:sz w:val="21"/>
          <w:szCs w:val="21"/>
          <w:highlight w:val="none"/>
          <w:lang w:val="en-US" w:eastAsia="zh-CN"/>
        </w:rPr>
      </w:pPr>
    </w:p>
    <w:p w14:paraId="16545022">
      <w:pPr>
        <w:pStyle w:val="65"/>
        <w:kinsoku/>
        <w:wordWrap w:val="0"/>
        <w:overflowPunct/>
        <w:topLinePunct/>
        <w:autoSpaceDE/>
        <w:autoSpaceDN/>
        <w:bidi w:val="0"/>
        <w:spacing w:line="240" w:lineRule="auto"/>
        <w:ind w:right="98" w:firstLine="0" w:firstLineChars="0"/>
        <w:rPr>
          <w:rFonts w:hint="eastAsia" w:ascii="宋体" w:hAnsi="宋体" w:eastAsia="宋体" w:cs="宋体"/>
          <w:b/>
          <w:bCs/>
          <w:snapToGrid w:val="0"/>
          <w:color w:val="auto"/>
          <w:kern w:val="13"/>
          <w:sz w:val="21"/>
          <w:szCs w:val="21"/>
          <w:highlight w:val="none"/>
          <w:lang w:val="en-US" w:eastAsia="zh-CN"/>
        </w:rPr>
      </w:pPr>
    </w:p>
    <w:p w14:paraId="425331FD">
      <w:pPr>
        <w:pStyle w:val="65"/>
        <w:kinsoku/>
        <w:wordWrap w:val="0"/>
        <w:overflowPunct/>
        <w:topLinePunct/>
        <w:autoSpaceDE/>
        <w:autoSpaceDN/>
        <w:bidi w:val="0"/>
        <w:spacing w:line="240" w:lineRule="auto"/>
        <w:ind w:right="98" w:firstLine="0" w:firstLineChars="0"/>
        <w:rPr>
          <w:rFonts w:hint="eastAsia" w:ascii="宋体" w:hAnsi="宋体" w:eastAsia="宋体" w:cs="宋体"/>
          <w:b/>
          <w:bCs/>
          <w:snapToGrid w:val="0"/>
          <w:color w:val="auto"/>
          <w:kern w:val="13"/>
          <w:sz w:val="21"/>
          <w:szCs w:val="21"/>
          <w:highlight w:val="none"/>
          <w:lang w:val="en-US" w:eastAsia="zh-CN"/>
        </w:rPr>
      </w:pPr>
      <w:r>
        <w:rPr>
          <w:rFonts w:hint="eastAsia" w:ascii="宋体" w:hAnsi="宋体" w:eastAsia="宋体" w:cs="宋体"/>
          <w:b/>
          <w:bCs/>
          <w:snapToGrid w:val="0"/>
          <w:color w:val="auto"/>
          <w:kern w:val="13"/>
          <w:sz w:val="21"/>
          <w:szCs w:val="21"/>
          <w:highlight w:val="none"/>
          <w:lang w:val="en-US" w:eastAsia="zh-CN"/>
        </w:rPr>
        <w:t>（此格式不作为废标条款）</w:t>
      </w:r>
    </w:p>
    <w:p w14:paraId="3256D6B9">
      <w:pPr>
        <w:numPr>
          <w:ilvl w:val="0"/>
          <w:numId w:val="0"/>
        </w:numPr>
        <w:kinsoku/>
        <w:wordWrap w:val="0"/>
        <w:overflowPunct/>
        <w:topLinePunct/>
        <w:autoSpaceDE/>
        <w:autoSpaceDN/>
        <w:bidi w:val="0"/>
        <w:rPr>
          <w:rFonts w:hint="eastAsia" w:ascii="宋体" w:hAnsi="宋体" w:eastAsia="宋体" w:cs="宋体"/>
          <w:color w:val="auto"/>
          <w:spacing w:val="9"/>
          <w:sz w:val="21"/>
          <w:szCs w:val="21"/>
          <w:highlight w:val="none"/>
        </w:rPr>
      </w:pPr>
    </w:p>
    <w:p w14:paraId="0AF704CF">
      <w:pPr>
        <w:numPr>
          <w:ilvl w:val="0"/>
          <w:numId w:val="0"/>
        </w:numPr>
        <w:kinsoku/>
        <w:wordWrap w:val="0"/>
        <w:overflowPunct/>
        <w:topLinePunct/>
        <w:autoSpaceDE/>
        <w:autoSpaceDN/>
        <w:bidi w:val="0"/>
        <w:rPr>
          <w:rFonts w:hint="eastAsia" w:ascii="宋体" w:hAnsi="宋体" w:eastAsia="宋体" w:cs="宋体"/>
          <w:color w:val="auto"/>
          <w:spacing w:val="9"/>
          <w:sz w:val="21"/>
          <w:szCs w:val="21"/>
          <w:highlight w:val="none"/>
          <w:lang w:val="en-US" w:eastAsia="zh-CN"/>
        </w:rPr>
      </w:pPr>
    </w:p>
    <w:p w14:paraId="7165D712">
      <w:pPr>
        <w:pStyle w:val="35"/>
        <w:spacing w:before="120" w:after="120"/>
        <w:jc w:val="center"/>
        <w:outlineLvl w:val="9"/>
        <w:rPr>
          <w:rFonts w:hint="eastAsia" w:ascii="宋体" w:hAnsi="宋体" w:eastAsia="宋体" w:cs="宋体"/>
          <w:color w:val="auto"/>
          <w:spacing w:val="9"/>
          <w:sz w:val="31"/>
          <w:szCs w:val="31"/>
          <w:highlight w:val="none"/>
        </w:rPr>
      </w:pPr>
    </w:p>
    <w:p w14:paraId="1D559F31">
      <w:pPr>
        <w:pStyle w:val="35"/>
        <w:spacing w:before="120" w:after="120"/>
        <w:jc w:val="center"/>
        <w:outlineLvl w:val="9"/>
        <w:rPr>
          <w:rFonts w:hint="eastAsia" w:ascii="宋体" w:hAnsi="宋体" w:eastAsia="宋体" w:cs="宋体"/>
          <w:color w:val="auto"/>
          <w:spacing w:val="9"/>
          <w:sz w:val="31"/>
          <w:szCs w:val="31"/>
          <w:highlight w:val="none"/>
        </w:rPr>
        <w:sectPr>
          <w:footerReference r:id="rId33" w:type="default"/>
          <w:pgSz w:w="11905" w:h="16838"/>
          <w:pgMar w:top="1344" w:right="1247" w:bottom="1106" w:left="1837" w:header="0" w:footer="680" w:gutter="0"/>
          <w:pgNumType w:fmt="decimal"/>
          <w:cols w:space="0" w:num="1"/>
          <w:rtlGutter w:val="0"/>
          <w:docGrid w:type="linesAndChars" w:linePitch="312" w:charSpace="0"/>
        </w:sectPr>
      </w:pPr>
    </w:p>
    <w:p w14:paraId="4F47E760">
      <w:pPr>
        <w:pStyle w:val="34"/>
        <w:rPr>
          <w:rFonts w:hint="eastAsia" w:ascii="宋体" w:hAnsi="宋体" w:eastAsia="宋体" w:cs="宋体"/>
          <w:b/>
          <w:bCs w:val="0"/>
          <w:color w:val="auto"/>
          <w:spacing w:val="24"/>
          <w:szCs w:val="44"/>
          <w:highlight w:val="none"/>
        </w:rPr>
      </w:pPr>
      <w:bookmarkStart w:id="522" w:name="_Toc22905"/>
      <w:bookmarkStart w:id="523" w:name="_Toc5140"/>
      <w:r>
        <w:rPr>
          <w:rFonts w:hint="eastAsia" w:ascii="宋体" w:hAnsi="宋体" w:eastAsia="宋体" w:cs="宋体"/>
          <w:b/>
          <w:bCs w:val="0"/>
          <w:color w:val="auto"/>
          <w:spacing w:val="24"/>
          <w:szCs w:val="44"/>
          <w:highlight w:val="none"/>
        </w:rPr>
        <w:t>第七章</w:t>
      </w:r>
      <w:r>
        <w:rPr>
          <w:rFonts w:hint="eastAsia" w:ascii="宋体" w:hAnsi="宋体" w:eastAsia="宋体" w:cs="宋体"/>
          <w:b/>
          <w:bCs w:val="0"/>
          <w:color w:val="auto"/>
          <w:spacing w:val="24"/>
          <w:szCs w:val="44"/>
          <w:highlight w:val="none"/>
          <w:lang w:val="en-US" w:eastAsia="zh-CN"/>
        </w:rPr>
        <w:t xml:space="preserve"> </w:t>
      </w:r>
      <w:r>
        <w:rPr>
          <w:rFonts w:hint="eastAsia" w:ascii="宋体" w:hAnsi="宋体" w:eastAsia="宋体" w:cs="宋体"/>
          <w:b/>
          <w:bCs w:val="0"/>
          <w:color w:val="auto"/>
          <w:spacing w:val="24"/>
          <w:szCs w:val="44"/>
          <w:highlight w:val="none"/>
        </w:rPr>
        <w:t>否决性条款汇总</w:t>
      </w:r>
      <w:bookmarkEnd w:id="522"/>
      <w:bookmarkEnd w:id="523"/>
    </w:p>
    <w:p w14:paraId="6BFAEA46">
      <w:pPr>
        <w:bidi w:val="0"/>
        <w:rPr>
          <w:rFonts w:hint="eastAsia"/>
          <w:lang w:val="en-US" w:eastAsia="zh-CN"/>
        </w:rPr>
      </w:pPr>
    </w:p>
    <w:p w14:paraId="393D0DD6">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不得将文件顺序、明显的文字错误、表格填写信息增加或格式调整等内容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4BDBDAD8">
      <w:pPr>
        <w:spacing w:before="68" w:line="352" w:lineRule="auto"/>
        <w:ind w:right="72"/>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lang w:eastAsia="zh-CN"/>
        </w:rPr>
        <w:t>一</w:t>
      </w:r>
      <w:r>
        <w:rPr>
          <w:rFonts w:hint="eastAsia" w:ascii="宋体" w:hAnsi="宋体" w:eastAsia="宋体" w:cs="宋体"/>
          <w:b/>
          <w:bCs/>
          <w:color w:val="auto"/>
          <w:spacing w:val="-2"/>
          <w:sz w:val="24"/>
          <w:szCs w:val="24"/>
          <w:highlight w:val="none"/>
        </w:rPr>
        <w:t>、否决性条款</w:t>
      </w:r>
    </w:p>
    <w:p w14:paraId="2331D857">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 未按要求加密的投标文件，广州交易集团有限公司（广州公共资源交易中心）网站交易平台将予以拒收。</w:t>
      </w:r>
    </w:p>
    <w:p w14:paraId="4CA83C28">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 逾期送达的电子投标文件，广州交易集团有限公司（广州公共资源交易中心）网站交易平台将予以拒收。</w:t>
      </w:r>
    </w:p>
    <w:p w14:paraId="0D54250A">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23729F28">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 有一项不符合下列评审标准的，评标委员会应当否决其投标：</w:t>
      </w:r>
    </w:p>
    <w:p w14:paraId="242658D9">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(1)投标文件有不符合招标文件评标办法“资格评审标准”中任何一项情形的。</w:t>
      </w:r>
    </w:p>
    <w:p w14:paraId="594CA23B">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(2)投标文件有不符合招标文件评标办法形式“商务文件形式评审标准”中任何一项情形的。</w:t>
      </w:r>
    </w:p>
    <w:p w14:paraId="3A668754">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(3)投标文件有不符合招标文件评标办法“商务文件响应性评审标准”中任何一项情形的。</w:t>
      </w:r>
    </w:p>
    <w:p w14:paraId="5EE44B6B">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(4)投标文件有不符合招标文件评标办法“服务方案响应性评审标准”中任何一项情形的。</w:t>
      </w:r>
    </w:p>
    <w:p w14:paraId="36191981">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 投标人有以下情形之一的，评标委员会应当否决其投标：</w:t>
      </w:r>
    </w:p>
    <w:p w14:paraId="6BBBA0DF">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(1)投标文件没有对招标文件的实质性要求和条件作出响应，或者对招标文件的偏差超出招标文件规定的偏差范围或最高项数；</w:t>
      </w:r>
    </w:p>
    <w:p w14:paraId="6A64604F">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(2)有以他人名义投标、串通投标、弄虚作假、行贿等违法行为。</w:t>
      </w:r>
    </w:p>
    <w:p w14:paraId="406DE1AE">
      <w:pPr>
        <w:keepNext w:val="0"/>
        <w:keepLines w:val="0"/>
        <w:pageBreakBefore w:val="0"/>
        <w:widowControl/>
        <w:kinsoku/>
        <w:wordWrap/>
        <w:overflowPunct/>
        <w:topLinePunct w:val="0"/>
        <w:autoSpaceDE w:val="0"/>
        <w:autoSpaceDN w:val="0"/>
        <w:bidi w:val="0"/>
        <w:adjustRightInd/>
        <w:snapToGrid w:val="0"/>
        <w:spacing w:before="68" w:line="353" w:lineRule="auto"/>
        <w:ind w:right="74"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(3)以向招标人或者评标委员会成员行贿的手段谋取中标。  </w:t>
      </w:r>
    </w:p>
    <w:sectPr>
      <w:pgSz w:w="11905" w:h="16838"/>
      <w:pgMar w:top="1344" w:right="1247" w:bottom="1106" w:left="1837" w:header="0" w:footer="680" w:gutter="0"/>
      <w:pgNumType w:fmt="decimal"/>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0BE3C">
    <w:pPr>
      <w:pStyle w:val="50"/>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0E219">
    <w:pPr>
      <w:spacing w:line="178" w:lineRule="auto"/>
      <w:ind w:left="4229"/>
      <w:rPr>
        <w:sz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7018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7018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C6306">
                          <w:pPr>
                            <w:pStyle w:val="1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3.4pt;mso-position-horizontal:center;mso-position-horizontal-relative:margin;z-index:251666432;mso-width-relative:page;mso-height-relative:page;" filled="f" stroked="f" coordsize="21600,21600" o:gfxdata="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q/JoR0gAAAAQBAAAPAAAAAAAAAAEAIAAAACIAAABkcnMvZG93bnJldi54bWxQ&#10;SwECFAAUAAAACACHTuJA26xCQDYCAABiBAAADgAAAAAAAAABACAAAAAhAQAAZHJzL2Uyb0RvYy54&#10;bWxQSwUGAAAAAAYABgBZAQAAyQUAAAAA&#10;">
              <v:fill on="f" focussize="0,0"/>
              <v:stroke on="f" weight="0.5pt"/>
              <v:imagedata o:title=""/>
              <o:lock v:ext="edit" aspectratio="f"/>
              <v:textbox inset="0mm,0mm,0mm,0mm" style="mso-fit-shape-to-text:t;">
                <w:txbxContent>
                  <w:p w14:paraId="34AC6306">
                    <w:pPr>
                      <w:pStyle w:val="1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9CD48">
    <w:pPr>
      <w:spacing w:line="178" w:lineRule="auto"/>
      <w:ind w:left="4223"/>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posOffset>2733675</wp:posOffset>
              </wp:positionH>
              <wp:positionV relativeFrom="paragraph">
                <wp:posOffset>0</wp:posOffset>
              </wp:positionV>
              <wp:extent cx="162560" cy="13779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6256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9D301">
                          <w:pPr>
                            <w:pStyle w:val="1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5.25pt;margin-top:0pt;height:10.85pt;width:12.8pt;mso-position-horizontal-relative:margin;z-index:251667456;mso-width-relative:page;mso-height-relative:page;" filled="f" stroked="f" coordsize="21600,21600" o:gfxdata="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pNFbfWAAAABwEAAA8AAAAAAAAAAQAgAAAAIgAAAGRycy9kb3ducmV2&#10;LnhtbFBLAQIUABQAAAAIAIdO4kDiLx8uNwIAAGEEAAAOAAAAAAAAAAEAIAAAACUBAABkcnMvZTJv&#10;RG9jLnhtbFBLBQYAAAAABgAGAFkBAADOBQAAAAA=&#10;">
              <v:fill on="f" focussize="0,0"/>
              <v:stroke on="f" weight="0.5pt"/>
              <v:imagedata o:title=""/>
              <o:lock v:ext="edit" aspectratio="f"/>
              <v:textbox inset="0mm,0mm,0mm,0mm">
                <w:txbxContent>
                  <w:p w14:paraId="4F19D301">
                    <w:pPr>
                      <w:pStyle w:val="1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A711C">
    <w:pPr>
      <w:spacing w:line="178" w:lineRule="auto"/>
      <w:ind w:left="4202"/>
      <w:rPr>
        <w:sz w:val="18"/>
      </w:rPr>
    </w:pPr>
    <w:r>
      <w:rPr>
        <w:sz w:val="18"/>
      </w:rPr>
      <mc:AlternateContent>
        <mc:Choice Requires="wps">
          <w:drawing>
            <wp:anchor distT="0" distB="0" distL="114300" distR="114300" simplePos="0" relativeHeight="251668480" behindDoc="0" locked="0" layoutInCell="1" allowOverlap="1">
              <wp:simplePos x="0" y="0"/>
              <wp:positionH relativeFrom="margin">
                <wp:posOffset>2733675</wp:posOffset>
              </wp:positionH>
              <wp:positionV relativeFrom="paragraph">
                <wp:posOffset>0</wp:posOffset>
              </wp:positionV>
              <wp:extent cx="169545" cy="14478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69545" cy="144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CCFC67">
                          <w:pPr>
                            <w:pStyle w:val="1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5.25pt;margin-top:0pt;height:11.4pt;width:13.35pt;mso-position-horizontal-relative:margin;z-index:251668480;mso-width-relative:page;mso-height-relative:page;" filled="f" stroked="f" coordsize="21600,21600" o:gfxdata="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BGAunWAAAABwEAAA8AAAAAAAAAAQAgAAAAIgAAAGRycy9kb3ducmV2&#10;LnhtbFBLAQIUABQAAAAIAIdO4kDwJqHXNwIAAGMEAAAOAAAAAAAAAAEAIAAAACUBAABkcnMvZTJv&#10;RG9jLnhtbFBLBQYAAAAABgAGAFkBAADOBQAAAAA=&#10;">
              <v:fill on="f" focussize="0,0"/>
              <v:stroke on="f" weight="0.5pt"/>
              <v:imagedata o:title=""/>
              <o:lock v:ext="edit" aspectratio="f"/>
              <v:textbox inset="0mm,0mm,0mm,0mm">
                <w:txbxContent>
                  <w:p w14:paraId="5ECCFC67">
                    <w:pPr>
                      <w:pStyle w:val="1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9113B">
    <w:pPr>
      <w:spacing w:line="178" w:lineRule="auto"/>
      <w:ind w:left="4202"/>
      <w:rPr>
        <w:sz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1DB49E">
                          <w:pPr>
                            <w:pStyle w:val="1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31DB49E">
                    <w:pPr>
                      <w:pStyle w:val="1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A7F57">
    <w:pPr>
      <w:spacing w:line="177" w:lineRule="auto"/>
      <w:ind w:left="4201"/>
      <w:rPr>
        <w:sz w:val="18"/>
      </w:rPr>
    </w:pPr>
    <w:r>
      <w:rPr>
        <w:sz w:val="18"/>
      </w:rPr>
      <mc:AlternateContent>
        <mc:Choice Requires="wps">
          <w:drawing>
            <wp:anchor distT="0" distB="0" distL="114300" distR="114300" simplePos="0" relativeHeight="251670528" behindDoc="0" locked="0" layoutInCell="1" allowOverlap="1">
              <wp:simplePos x="0" y="0"/>
              <wp:positionH relativeFrom="margin">
                <wp:posOffset>2733675</wp:posOffset>
              </wp:positionH>
              <wp:positionV relativeFrom="paragraph">
                <wp:posOffset>0</wp:posOffset>
              </wp:positionV>
              <wp:extent cx="170180" cy="13779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7018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9F96A">
                          <w:pPr>
                            <w:pStyle w:val="1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5.25pt;margin-top:0pt;height:10.85pt;width:13.4pt;mso-position-horizontal-relative:margin;z-index:251670528;mso-width-relative:page;mso-height-relative:page;" filled="f" stroked="f" coordsize="21600,21600" o:gfxdata="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Fhrhr1gAAAAcBAAAPAAAAAAAAAAEAIAAAACIAAABkcnMvZG93bnJl&#10;di54bWxQSwECFAAUAAAACACHTuJA0wuioDgCAABjBAAADgAAAAAAAAABACAAAAAlAQAAZHJzL2Uy&#10;b0RvYy54bWxQSwUGAAAAAAYABgBZAQAAzwUAAAAA&#10;">
              <v:fill on="f" focussize="0,0"/>
              <v:stroke on="f" weight="0.5pt"/>
              <v:imagedata o:title=""/>
              <o:lock v:ext="edit" aspectratio="f"/>
              <v:textbox inset="0mm,0mm,0mm,0mm">
                <w:txbxContent>
                  <w:p w14:paraId="2B49F96A">
                    <w:pPr>
                      <w:pStyle w:val="1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2B8D8">
    <w:pPr>
      <w:spacing w:line="178" w:lineRule="auto"/>
      <w:ind w:left="4201"/>
      <w:rPr>
        <w:sz w:val="18"/>
      </w:rPr>
    </w:pPr>
    <w:r>
      <w:rPr>
        <w:sz w:val="18"/>
      </w:rPr>
      <mc:AlternateContent>
        <mc:Choice Requires="wps">
          <w:drawing>
            <wp:anchor distT="0" distB="0" distL="114300" distR="114300" simplePos="0" relativeHeight="251671552" behindDoc="0" locked="0" layoutInCell="1" allowOverlap="1">
              <wp:simplePos x="0" y="0"/>
              <wp:positionH relativeFrom="margin">
                <wp:posOffset>2733675</wp:posOffset>
              </wp:positionH>
              <wp:positionV relativeFrom="paragraph">
                <wp:posOffset>0</wp:posOffset>
              </wp:positionV>
              <wp:extent cx="162560" cy="13779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6256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C1D175">
                          <w:pPr>
                            <w:pStyle w:val="1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5.25pt;margin-top:0pt;height:10.85pt;width:12.8pt;mso-position-horizontal-relative:margin;z-index:251671552;mso-width-relative:page;mso-height-relative:page;" filled="f" stroked="f" coordsize="21600,21600" o:gfxdata="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aTRW31gAAAAcBAAAPAAAAAAAAAAEAIAAAACIAAABkcnMvZG93bnJl&#10;di54bWxQSwECFAAUAAAACACHTuJAzuxZpDgCAABjBAAADgAAAAAAAAABACAAAAAlAQAAZHJzL2Uy&#10;b0RvYy54bWxQSwUGAAAAAAYABgBZAQAAzwUAAAAA&#10;">
              <v:fill on="f" focussize="0,0"/>
              <v:stroke on="f" weight="0.5pt"/>
              <v:imagedata o:title=""/>
              <o:lock v:ext="edit" aspectratio="f"/>
              <v:textbox inset="0mm,0mm,0mm,0mm">
                <w:txbxContent>
                  <w:p w14:paraId="20C1D175">
                    <w:pPr>
                      <w:pStyle w:val="1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2F714">
    <w:pPr>
      <w:spacing w:line="178" w:lineRule="auto"/>
      <w:ind w:left="4201"/>
      <w:rPr>
        <w:sz w:val="18"/>
      </w:rPr>
    </w:pPr>
    <w:r>
      <w:rPr>
        <w:sz w:val="18"/>
      </w:rPr>
      <mc:AlternateContent>
        <mc:Choice Requires="wps">
          <w:drawing>
            <wp:anchor distT="0" distB="0" distL="114300" distR="114300" simplePos="0" relativeHeight="251672576" behindDoc="0" locked="0" layoutInCell="1" allowOverlap="1">
              <wp:simplePos x="0" y="0"/>
              <wp:positionH relativeFrom="margin">
                <wp:posOffset>2733675</wp:posOffset>
              </wp:positionH>
              <wp:positionV relativeFrom="paragraph">
                <wp:posOffset>0</wp:posOffset>
              </wp:positionV>
              <wp:extent cx="162560" cy="13779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6256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ACB12">
                          <w:pPr>
                            <w:pStyle w:val="1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5.25pt;margin-top:0pt;height:10.85pt;width:12.8pt;mso-position-horizontal-relative:margin;z-index:251672576;mso-width-relative:page;mso-height-relative:page;" filled="f" stroked="f" coordsize="21600,21600" o:gfxdata="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aTRW31gAAAAcBAAAPAAAAAAAAAAEAIAAAACIAAABkcnMvZG93bnJl&#10;di54bWxQSwECFAAUAAAACACHTuJAw78sRzgCAABjBAAADgAAAAAAAAABACAAAAAlAQAAZHJzL2Uy&#10;b0RvYy54bWxQSwUGAAAAAAYABgBZAQAAzwUAAAAA&#10;">
              <v:fill on="f" focussize="0,0"/>
              <v:stroke on="f" weight="0.5pt"/>
              <v:imagedata o:title=""/>
              <o:lock v:ext="edit" aspectratio="f"/>
              <v:textbox inset="0mm,0mm,0mm,0mm">
                <w:txbxContent>
                  <w:p w14:paraId="16CACB12">
                    <w:pPr>
                      <w:pStyle w:val="16"/>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BA551">
    <w:pPr>
      <w:spacing w:line="177" w:lineRule="auto"/>
      <w:ind w:left="4230"/>
      <w:rPr>
        <w:sz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8416BF">
                          <w:pPr>
                            <w:pStyle w:val="1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88416BF">
                    <w:pPr>
                      <w:pStyle w:val="1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446AD">
    <w:pPr>
      <w:spacing w:line="178" w:lineRule="auto"/>
      <w:ind w:left="4201"/>
      <w:rPr>
        <w:sz w:val="18"/>
      </w:rPr>
    </w:pPr>
    <w:r>
      <w:rPr>
        <w:sz w:val="18"/>
      </w:rPr>
      <mc:AlternateContent>
        <mc:Choice Requires="wps">
          <w:drawing>
            <wp:anchor distT="0" distB="0" distL="114300" distR="114300" simplePos="0" relativeHeight="251674624" behindDoc="0" locked="0" layoutInCell="1" allowOverlap="1">
              <wp:simplePos x="0" y="0"/>
              <wp:positionH relativeFrom="margin">
                <wp:posOffset>2733675</wp:posOffset>
              </wp:positionH>
              <wp:positionV relativeFrom="paragraph">
                <wp:posOffset>0</wp:posOffset>
              </wp:positionV>
              <wp:extent cx="162560" cy="13081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62560" cy="1308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19424">
                          <w:pPr>
                            <w:pStyle w:val="1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5.25pt;margin-top:0pt;height:10.3pt;width:12.8pt;mso-position-horizontal-relative:margin;z-index:251674624;mso-width-relative:page;mso-height-relative:page;" filled="f" stroked="f" coordsize="21600,21600" o:gfxdata="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E9pAF1gAAAAcBAAAPAAAAAAAAAAEAIAAAACIAAABkcnMvZG93bnJldi54&#10;bWxQSwECFAAUAAAACACHTuJAuIHfKjUCAABjBAAADgAAAAAAAAABACAAAAAlAQAAZHJzL2Uyb0Rv&#10;Yy54bWxQSwUGAAAAAAYABgBZAQAAzAUAAAAA&#10;">
              <v:fill on="f" focussize="0,0"/>
              <v:stroke on="f" weight="0.5pt"/>
              <v:imagedata o:title=""/>
              <o:lock v:ext="edit" aspectratio="f"/>
              <v:textbox inset="0mm,0mm,0mm,0mm">
                <w:txbxContent>
                  <w:p w14:paraId="52519424">
                    <w:pPr>
                      <w:pStyle w:val="1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29387">
    <w:pPr>
      <w:spacing w:line="176" w:lineRule="auto"/>
      <w:ind w:left="4308"/>
      <w:rPr>
        <w:sz w:val="18"/>
      </w:rPr>
    </w:pPr>
    <w:r>
      <w:rPr>
        <w:sz w:val="18"/>
      </w:rPr>
      <mc:AlternateContent>
        <mc:Choice Requires="wps">
          <w:drawing>
            <wp:anchor distT="0" distB="0" distL="114300" distR="114300" simplePos="0" relativeHeight="251675648" behindDoc="0" locked="0" layoutInCell="1" allowOverlap="1">
              <wp:simplePos x="0" y="0"/>
              <wp:positionH relativeFrom="margin">
                <wp:posOffset>2733675</wp:posOffset>
              </wp:positionH>
              <wp:positionV relativeFrom="paragraph">
                <wp:posOffset>0</wp:posOffset>
              </wp:positionV>
              <wp:extent cx="169545" cy="13779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69545"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3EA3D2">
                          <w:pPr>
                            <w:pStyle w:val="1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5.25pt;margin-top:0pt;height:10.85pt;width:13.35pt;mso-position-horizontal-relative:margin;z-index:251675648;mso-width-relative:page;mso-height-relative:page;" filled="f" stroked="f" coordsize="21600,21600" o:gfxdata="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nTQF1gAAAAcBAAAPAAAAAAAAAAEAIAAAACIAAABkcnMvZG93bnJl&#10;di54bWxQSwECFAAUAAAACACHTuJAIg64bjgCAABjBAAADgAAAAAAAAABACAAAAAlAQAAZHJzL2Uy&#10;b0RvYy54bWxQSwUGAAAAAAYABgBZAQAAzwUAAAAA&#10;">
              <v:fill on="f" focussize="0,0"/>
              <v:stroke on="f" weight="0.5pt"/>
              <v:imagedata o:title=""/>
              <o:lock v:ext="edit" aspectratio="f"/>
              <v:textbox inset="0mm,0mm,0mm,0mm">
                <w:txbxContent>
                  <w:p w14:paraId="283EA3D2">
                    <w:pPr>
                      <w:pStyle w:val="1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EDF6B">
    <w:pPr>
      <w:spacing w:line="177" w:lineRule="auto"/>
      <w:rPr>
        <w:sz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E8875">
    <w:pPr>
      <w:spacing w:line="178" w:lineRule="auto"/>
      <w:ind w:left="4229"/>
      <w:rPr>
        <w:sz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125D83">
                          <w:pPr>
                            <w:pStyle w:val="1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4125D83">
                    <w:pPr>
                      <w:pStyle w:val="1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40702">
    <w:pPr>
      <w:spacing w:line="178" w:lineRule="auto"/>
      <w:ind w:left="4230"/>
      <w:rPr>
        <w:sz w:val="18"/>
      </w:rPr>
    </w:pPr>
    <w:r>
      <w:rPr>
        <w:sz w:val="18"/>
      </w:rPr>
      <mc:AlternateContent>
        <mc:Choice Requires="wps">
          <w:drawing>
            <wp:anchor distT="0" distB="0" distL="114300" distR="114300" simplePos="0" relativeHeight="251677696" behindDoc="0" locked="0" layoutInCell="1" allowOverlap="1">
              <wp:simplePos x="0" y="0"/>
              <wp:positionH relativeFrom="margin">
                <wp:posOffset>2733675</wp:posOffset>
              </wp:positionH>
              <wp:positionV relativeFrom="paragraph">
                <wp:posOffset>0</wp:posOffset>
              </wp:positionV>
              <wp:extent cx="155575" cy="14478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55575" cy="144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D40F2">
                          <w:pPr>
                            <w:pStyle w:val="1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5.25pt;margin-top:0pt;height:11.4pt;width:12.25pt;mso-position-horizontal-relative:margin;z-index:251677696;mso-width-relative:page;mso-height-relative:page;" filled="f" stroked="f" coordsize="21600,21600" o:gfxdata="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4inE31gAAAAcBAAAPAAAAAAAAAAEAIAAAACIAAABkcnMvZG93bnJl&#10;di54bWxQSwECFAAUAAAACACHTuJAl3+f1jgCAABjBAAADgAAAAAAAAABACAAAAAlAQAAZHJzL2Uy&#10;b0RvYy54bWxQSwUGAAAAAAYABgBZAQAAzwUAAAAA&#10;">
              <v:fill on="f" focussize="0,0"/>
              <v:stroke on="f" weight="0.5pt"/>
              <v:imagedata o:title=""/>
              <o:lock v:ext="edit" aspectratio="f"/>
              <v:textbox inset="0mm,0mm,0mm,0mm">
                <w:txbxContent>
                  <w:p w14:paraId="4F0D40F2">
                    <w:pPr>
                      <w:pStyle w:val="1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356C0">
    <w:pPr>
      <w:spacing w:line="178" w:lineRule="auto"/>
      <w:ind w:left="4199"/>
      <w:rPr>
        <w:sz w:val="18"/>
      </w:rPr>
    </w:pPr>
    <w:r>
      <w:rPr>
        <w:sz w:val="18"/>
      </w:rPr>
      <mc:AlternateContent>
        <mc:Choice Requires="wps">
          <w:drawing>
            <wp:anchor distT="0" distB="0" distL="114300" distR="114300" simplePos="0" relativeHeight="251678720" behindDoc="0" locked="0" layoutInCell="1" allowOverlap="1">
              <wp:simplePos x="0" y="0"/>
              <wp:positionH relativeFrom="margin">
                <wp:posOffset>2733675</wp:posOffset>
              </wp:positionH>
              <wp:positionV relativeFrom="paragraph">
                <wp:posOffset>0</wp:posOffset>
              </wp:positionV>
              <wp:extent cx="169545" cy="13779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69545"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E14B9">
                          <w:pPr>
                            <w:pStyle w:val="1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5.25pt;margin-top:0pt;height:10.85pt;width:13.35pt;mso-position-horizontal-relative:margin;z-index:251678720;mso-width-relative:page;mso-height-relative:page;" filled="f" stroked="f" coordsize="21600,21600" o:gfxdata="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J00BdYAAAAHAQAADwAAAAAAAAABACAAAAAiAAAAZHJzL2Rvd25y&#10;ZXYueG1sUEsBAhQAFAAAAAgAh07iQFKC+v45AgAAYwQAAA4AAAAAAAAAAQAgAAAAJQEAAGRycy9l&#10;Mm9Eb2MueG1sUEsFBgAAAAAGAAYAWQEAANAFAAAAAA==&#10;">
              <v:fill on="f" focussize="0,0"/>
              <v:stroke on="f" weight="0.5pt"/>
              <v:imagedata o:title=""/>
              <o:lock v:ext="edit" aspectratio="f"/>
              <v:textbox inset="0mm,0mm,0mm,0mm">
                <w:txbxContent>
                  <w:p w14:paraId="564E14B9">
                    <w:pPr>
                      <w:pStyle w:val="1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FECF0">
    <w:pPr>
      <w:spacing w:line="178" w:lineRule="auto"/>
      <w:ind w:left="4235"/>
      <w:rPr>
        <w:sz w:val="18"/>
      </w:rPr>
    </w:pPr>
    <w:r>
      <w:rPr>
        <w:sz w:val="18"/>
      </w:rPr>
      <mc:AlternateContent>
        <mc:Choice Requires="wps">
          <w:drawing>
            <wp:anchor distT="0" distB="0" distL="114300" distR="114300" simplePos="0" relativeHeight="251679744" behindDoc="0" locked="0" layoutInCell="1" allowOverlap="1">
              <wp:simplePos x="0" y="0"/>
              <wp:positionH relativeFrom="margin">
                <wp:posOffset>2733675</wp:posOffset>
              </wp:positionH>
              <wp:positionV relativeFrom="paragraph">
                <wp:posOffset>0</wp:posOffset>
              </wp:positionV>
              <wp:extent cx="177165" cy="13779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77165"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DFB73">
                          <w:pPr>
                            <w:pStyle w:val="16"/>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5.25pt;margin-top:0pt;height:10.85pt;width:13.95pt;mso-position-horizontal-relative:margin;z-index:251679744;mso-width-relative:page;mso-height-relative:page;" filled="f" stroked="f" coordsize="21600,21600" o:gfxdata="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jby7DWAAAABwEAAA8AAAAAAAAAAQAgAAAAIgAAAGRycy9kb3ducmV2&#10;LnhtbFBLAQIUABQAAAAIAIdO4kCOpazKNwIAAGMEAAAOAAAAAAAAAAEAIAAAACUBAABkcnMvZTJv&#10;RG9jLnhtbFBLBQYAAAAABgAGAFkBAADOBQAAAAA=&#10;">
              <v:fill on="f" focussize="0,0"/>
              <v:stroke on="f" weight="0.5pt"/>
              <v:imagedata o:title=""/>
              <o:lock v:ext="edit" aspectratio="f"/>
              <v:textbox inset="0mm,0mm,0mm,0mm">
                <w:txbxContent>
                  <w:p w14:paraId="38CDFB73">
                    <w:pPr>
                      <w:pStyle w:val="16"/>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A16BB">
    <w:pPr>
      <w:spacing w:line="178" w:lineRule="auto"/>
      <w:ind w:left="4199"/>
      <w:rPr>
        <w:sz w:val="18"/>
      </w:rPr>
    </w:pPr>
    <w:r>
      <w:rPr>
        <w:sz w:val="18"/>
      </w:rPr>
      <mc:AlternateContent>
        <mc:Choice Requires="wps">
          <w:drawing>
            <wp:anchor distT="0" distB="0" distL="114300" distR="114300" simplePos="0" relativeHeight="251680768" behindDoc="0" locked="0" layoutInCell="1" allowOverlap="1">
              <wp:simplePos x="0" y="0"/>
              <wp:positionH relativeFrom="margin">
                <wp:posOffset>2733675</wp:posOffset>
              </wp:positionH>
              <wp:positionV relativeFrom="paragraph">
                <wp:posOffset>0</wp:posOffset>
              </wp:positionV>
              <wp:extent cx="162560" cy="13779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6256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22802">
                          <w:pPr>
                            <w:pStyle w:val="16"/>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5.25pt;margin-top:0pt;height:10.85pt;width:12.8pt;mso-position-horizontal-relative:margin;z-index:251680768;mso-width-relative:page;mso-height-relative:page;" filled="f" stroked="f" coordsize="21600,21600" o:gfxdata="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k0Vt9YAAAAHAQAADwAAAAAAAAABACAAAAAiAAAAZHJzL2Rvd25y&#10;ZXYueG1sUEsBAhQAFAAAAAgAh07iQPGb+Tg5AgAAYwQAAA4AAAAAAAAAAQAgAAAAJQEAAGRycy9l&#10;Mm9Eb2MueG1sUEsFBgAAAAAGAAYAWQEAANAFAAAAAA==&#10;">
              <v:fill on="f" focussize="0,0"/>
              <v:stroke on="f" weight="0.5pt"/>
              <v:imagedata o:title=""/>
              <o:lock v:ext="edit" aspectratio="f"/>
              <v:textbox inset="0mm,0mm,0mm,0mm">
                <w:txbxContent>
                  <w:p w14:paraId="07522802">
                    <w:pPr>
                      <w:pStyle w:val="16"/>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45718">
    <w:pPr>
      <w:spacing w:line="178" w:lineRule="auto"/>
      <w:ind w:left="4227"/>
      <w:rPr>
        <w:sz w:val="18"/>
      </w:rPr>
    </w:pPr>
    <w:r>
      <w:rPr>
        <w:sz w:val="18"/>
      </w:rPr>
      <mc:AlternateContent>
        <mc:Choice Requires="wps">
          <w:drawing>
            <wp:anchor distT="0" distB="0" distL="114300" distR="114300" simplePos="0" relativeHeight="251681792" behindDoc="0" locked="0" layoutInCell="1" allowOverlap="1">
              <wp:simplePos x="0" y="0"/>
              <wp:positionH relativeFrom="margin">
                <wp:posOffset>2733675</wp:posOffset>
              </wp:positionH>
              <wp:positionV relativeFrom="paragraph">
                <wp:posOffset>0</wp:posOffset>
              </wp:positionV>
              <wp:extent cx="169545" cy="13779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69545"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EBB41">
                          <w:pPr>
                            <w:pStyle w:val="16"/>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5.25pt;margin-top:0pt;height:10.85pt;width:13.35pt;mso-position-horizontal-relative:margin;z-index:251681792;mso-width-relative:page;mso-height-relative:page;" filled="f" stroked="f" coordsize="21600,21600" o:gfxdata="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J00BdYAAAAHAQAADwAAAAAAAAABACAAAAAiAAAAZHJzL2Rvd25y&#10;ZXYueG1sUEsBAhQAFAAAAAgAh07iQNV8MxU5AgAAYwQAAA4AAAAAAAAAAQAgAAAAJQEAAGRycy9l&#10;Mm9Eb2MueG1sUEsFBgAAAAAGAAYAWQEAANAFAAAAAA==&#10;">
              <v:fill on="f" focussize="0,0"/>
              <v:stroke on="f" weight="0.5pt"/>
              <v:imagedata o:title=""/>
              <o:lock v:ext="edit" aspectratio="f"/>
              <v:textbox inset="0mm,0mm,0mm,0mm">
                <w:txbxContent>
                  <w:p w14:paraId="220EBB41">
                    <w:pPr>
                      <w:pStyle w:val="16"/>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D8192">
    <w:pPr>
      <w:spacing w:line="178" w:lineRule="auto"/>
      <w:ind w:left="4201"/>
      <w:rPr>
        <w:sz w:val="18"/>
      </w:rPr>
    </w:pPr>
    <w:r>
      <w:rPr>
        <w:sz w:val="18"/>
      </w:rPr>
      <mc:AlternateContent>
        <mc:Choice Requires="wps">
          <w:drawing>
            <wp:anchor distT="0" distB="0" distL="114300" distR="114300" simplePos="0" relativeHeight="251682816" behindDoc="0" locked="0" layoutInCell="1" allowOverlap="1">
              <wp:simplePos x="0" y="0"/>
              <wp:positionH relativeFrom="margin">
                <wp:posOffset>2733675</wp:posOffset>
              </wp:positionH>
              <wp:positionV relativeFrom="paragraph">
                <wp:posOffset>0</wp:posOffset>
              </wp:positionV>
              <wp:extent cx="177800" cy="137795"/>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7780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B2A6E">
                          <w:pPr>
                            <w:pStyle w:val="16"/>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5.25pt;margin-top:0pt;height:10.85pt;width:14pt;mso-position-horizontal-relative:margin;z-index:251682816;mso-width-relative:page;mso-height-relative:page;" filled="f" stroked="f" coordsize="21600,21600" o:gfxdata="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cBH3tYAAAAHAQAADwAAAAAAAAABACAAAAAiAAAAZHJzL2Rvd25y&#10;ZXYueG1sUEsBAhQAFAAAAAgAh07iQNmBw1I5AgAAYwQAAA4AAAAAAAAAAQAgAAAAJQEAAGRycy9l&#10;Mm9Eb2MueG1sUEsFBgAAAAAGAAYAWQEAANAFAAAAAA==&#10;">
              <v:fill on="f" focussize="0,0"/>
              <v:stroke on="f" weight="0.5pt"/>
              <v:imagedata o:title=""/>
              <o:lock v:ext="edit" aspectratio="f"/>
              <v:textbox inset="0mm,0mm,0mm,0mm">
                <w:txbxContent>
                  <w:p w14:paraId="2E6B2A6E">
                    <w:pPr>
                      <w:pStyle w:val="16"/>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E6762">
    <w:pPr>
      <w:spacing w:line="178" w:lineRule="auto"/>
      <w:ind w:left="4199"/>
      <w:rPr>
        <w:sz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3AFD8">
                          <w:pPr>
                            <w:pStyle w:val="1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5E3AFD8">
                    <w:pPr>
                      <w:pStyle w:val="16"/>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B21E5">
    <w:pPr>
      <w:pStyle w:val="16"/>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77165" cy="14414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77165" cy="144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6712DC">
                          <w:pPr>
                            <w:pStyle w:val="1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35pt;width:13.95pt;mso-position-horizontal:center;mso-position-horizontal-relative:margin;z-index:251684864;mso-width-relative:page;mso-height-relative:page;" filled="f" stroked="f" coordsize="21600,21600" o:gfxdata="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P//1PSAAAAAwEAAA8AAAAAAAAAAQAgAAAAIgAAAGRycy9kb3ducmV2Lnht&#10;bFBLAQIUABQAAAAIAIdO4kDjdzGNOAIAAGMEAAAOAAAAAAAAAAEAIAAAACEBAABkcnMvZTJvRG9j&#10;LnhtbFBLBQYAAAAABgAGAFkBAADLBQAAAAA=&#10;">
              <v:fill on="f" focussize="0,0"/>
              <v:stroke on="f" weight="0.5pt"/>
              <v:imagedata o:title=""/>
              <o:lock v:ext="edit" aspectratio="f"/>
              <v:textbox inset="0mm,0mm,0mm,0mm">
                <w:txbxContent>
                  <w:p w14:paraId="736712DC">
                    <w:pPr>
                      <w:pStyle w:val="16"/>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5A163">
    <w:pPr>
      <w:spacing w:line="177" w:lineRule="auto"/>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760BFB">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760BFB">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26F66">
    <w:pPr>
      <w:spacing w:line="177" w:lineRule="auto"/>
      <w:ind w:left="4242"/>
      <w:rPr>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B0783">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DB0783">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C1C7E">
    <w:pPr>
      <w:spacing w:line="178" w:lineRule="auto"/>
      <w:ind w:left="4354"/>
      <w:rPr>
        <w:sz w:val="18"/>
      </w:rPr>
    </w:pPr>
    <w:r>
      <w:rPr>
        <w:sz w:val="18"/>
      </w:rPr>
      <mc:AlternateContent>
        <mc:Choice Requires="wps">
          <w:drawing>
            <wp:anchor distT="0" distB="0" distL="114300" distR="114300" simplePos="0" relativeHeight="251661312" behindDoc="0" locked="0" layoutInCell="1" allowOverlap="1">
              <wp:simplePos x="0" y="0"/>
              <wp:positionH relativeFrom="margin">
                <wp:posOffset>2733675</wp:posOffset>
              </wp:positionH>
              <wp:positionV relativeFrom="paragraph">
                <wp:posOffset>0</wp:posOffset>
              </wp:positionV>
              <wp:extent cx="15494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549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CD5E6">
                          <w:pPr>
                            <w:pStyle w:val="1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5.25pt;margin-top:0pt;height:144pt;width:12.2pt;mso-position-horizontal-relative:margin;z-index:251661312;mso-width-relative:page;mso-height-relative:page;" filled="f" stroked="f" coordsize="21600,21600" o:gfxdata="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mr08PWAAAACAEAAA8AAAAAAAAAAQAgAAAAIgAAAGRycy9kb3ducmV2&#10;LnhtbFBLAQIUABQAAAAIAIdO4kDql4RJNwIAAGIEAAAOAAAAAAAAAAEAIAAAACUBAABkcnMvZTJv&#10;RG9jLnhtbFBLBQYAAAAABgAGAFkBAADOBQAAAAA=&#10;">
              <v:fill on="f" focussize="0,0"/>
              <v:stroke on="f" weight="0.5pt"/>
              <v:imagedata o:title=""/>
              <o:lock v:ext="edit" aspectratio="f"/>
              <v:textbox inset="0mm,0mm,0mm,0mm" style="mso-fit-shape-to-text:t;">
                <w:txbxContent>
                  <w:p w14:paraId="255CD5E6">
                    <w:pPr>
                      <w:pStyle w:val="1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51E1">
    <w:pPr>
      <w:spacing w:line="178" w:lineRule="auto"/>
      <w:ind w:left="4231"/>
      <w:rPr>
        <w:sz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7716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771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7B82E">
                          <w:pPr>
                            <w:pStyle w:val="1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3.95pt;mso-position-horizontal:center;mso-position-horizontal-relative:margin;z-index:251662336;mso-width-relative:page;mso-height-relative:page;" filled="f" stroked="f" coordsize="21600,21600" o:gfxdata="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T2Chz0gAAAAQBAAAPAAAAAAAAAAEAIAAAACIAAABkcnMvZG93bnJldi54&#10;bWxQSwECFAAUAAAACACHTuJAhepTJjkCAABiBAAADgAAAAAAAAABACAAAAAhAQAAZHJzL2Uyb0Rv&#10;Yy54bWxQSwUGAAAAAAYABgBZAQAAzAUAAAAA&#10;">
              <v:fill on="f" focussize="0,0"/>
              <v:stroke on="f" weight="0.5pt"/>
              <v:imagedata o:title=""/>
              <o:lock v:ext="edit" aspectratio="f"/>
              <v:textbox inset="0mm,0mm,0mm,0mm" style="mso-fit-shape-to-text:t;">
                <w:txbxContent>
                  <w:p w14:paraId="4157B82E">
                    <w:pPr>
                      <w:pStyle w:val="1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4E781">
    <w:pPr>
      <w:spacing w:line="178" w:lineRule="auto"/>
      <w:ind w:left="4238"/>
      <w:rPr>
        <w:sz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1336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1336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26FF6">
                          <w:pPr>
                            <w:pStyle w:val="1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6.8pt;mso-position-horizontal:center;mso-position-horizontal-relative:margin;z-index:251663360;mso-width-relative:page;mso-height-relative:page;" filled="f" stroked="f" coordsize="21600,21600" o:gfxdata="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UKAEdQAAAAEAQAADwAAAAAAAAABACAAAAAiAAAAZHJzL2Rvd25yZXYu&#10;eG1sUEsBAhQAFAAAAAgAh07iQKVZINo4AgAAYgQAAA4AAAAAAAAAAQAgAAAAIwEAAGRycy9lMm9E&#10;b2MueG1sUEsFBgAAAAAGAAYAWQEAAM0FAAAAAA==&#10;">
              <v:fill on="f" focussize="0,0"/>
              <v:stroke on="f" weight="0.5pt"/>
              <v:imagedata o:title=""/>
              <o:lock v:ext="edit" aspectratio="f"/>
              <v:textbox inset="0mm,0mm,0mm,0mm" style="mso-fit-shape-to-text:t;">
                <w:txbxContent>
                  <w:p w14:paraId="7F426FF6">
                    <w:pPr>
                      <w:pStyle w:val="1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3E1C">
    <w:pPr>
      <w:spacing w:line="178" w:lineRule="auto"/>
      <w:ind w:left="4230"/>
      <w:rPr>
        <w:sz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4785"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478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CDE73A">
                          <w:pPr>
                            <w:pStyle w:val="1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55pt;mso-position-horizontal:center;mso-position-horizontal-relative:margin;z-index:251664384;mso-width-relative:page;mso-height-relative:page;" filled="f" stroked="f" coordsize="21600,21600" o:gfxdata="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CU6QdIAAAAEAQAADwAAAAAAAAABACAAAAAiAAAAZHJzL2Rvd25yZXYueG1s&#10;UEsBAhQAFAAAAAgAh07iQHPv4ms3AgAAYgQAAA4AAAAAAAAAAQAgAAAAIQEAAGRycy9lMm9Eb2Mu&#10;eG1sUEsFBgAAAAAGAAYAWQEAAMoFAAAAAA==&#10;">
              <v:fill on="f" focussize="0,0"/>
              <v:stroke on="f" weight="0.5pt"/>
              <v:imagedata o:title=""/>
              <o:lock v:ext="edit" aspectratio="f"/>
              <v:textbox inset="0mm,0mm,0mm,0mm" style="mso-fit-shape-to-text:t;">
                <w:txbxContent>
                  <w:p w14:paraId="36CDE73A">
                    <w:pPr>
                      <w:pStyle w:val="1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DFF01">
    <w:pPr>
      <w:spacing w:line="178" w:lineRule="auto"/>
      <w:ind w:left="4348"/>
      <w:rPr>
        <w:sz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77165" cy="13081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77165" cy="1308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5767A5">
                          <w:pPr>
                            <w:pStyle w:val="1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3pt;width:13.95pt;mso-position-horizontal:center;mso-position-horizontal-relative:margin;z-index:251665408;mso-width-relative:page;mso-height-relative:page;" filled="f" stroked="f" coordsize="21600,21600" o:gfxdata="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wnTTtIAAAADAQAADwAAAAAAAAABACAAAAAiAAAAZHJzL2Rvd25yZXYueG1s&#10;UEsBAhQAFAAAAAgAh07iQFOZic43AgAAYQQAAA4AAAAAAAAAAQAgAAAAIQEAAGRycy9lMm9Eb2Mu&#10;eG1sUEsFBgAAAAAGAAYAWQEAAMoFAAAAAA==&#10;">
              <v:fill on="f" focussize="0,0"/>
              <v:stroke on="f" weight="0.5pt"/>
              <v:imagedata o:title=""/>
              <o:lock v:ext="edit" aspectratio="f"/>
              <v:textbox inset="0mm,0mm,0mm,0mm">
                <w:txbxContent>
                  <w:p w14:paraId="445767A5">
                    <w:pPr>
                      <w:pStyle w:val="1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4CF96">
    <w:pPr>
      <w:pStyle w:val="48"/>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CE838">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F28C7">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D8583C"/>
    <w:multiLevelType w:val="singleLevel"/>
    <w:tmpl w:val="1BD8583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500"/>
  <w:drawingGridHorizontalSpacing w:val="210"/>
  <w:drawingGridVerticalSpacing w:val="156"/>
  <w:displayHorizontalDrawingGridEvery w:val="1"/>
  <w:displayVerticalDrawingGridEvery w:val="2"/>
  <w:noPunctuationKerning w:val="1"/>
  <w:characterSpacingControl w:val="doNotCompress"/>
  <w:compat>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iNTE0Y2RmMTU1ZmNlOTc1OGRkOTA3MDk0Y2M3ZmEifQ=="/>
    <w:docVar w:name="KSO_WPS_MARK_KEY" w:val="505ab218-ca17-44e9-bde2-1d8aed039865"/>
  </w:docVars>
  <w:rsids>
    <w:rsidRoot w:val="00F0598C"/>
    <w:rsid w:val="0004004A"/>
    <w:rsid w:val="000F2FD4"/>
    <w:rsid w:val="00113FC8"/>
    <w:rsid w:val="00127C32"/>
    <w:rsid w:val="00163EE0"/>
    <w:rsid w:val="00187E11"/>
    <w:rsid w:val="0019702E"/>
    <w:rsid w:val="00224114"/>
    <w:rsid w:val="00367195"/>
    <w:rsid w:val="00376A56"/>
    <w:rsid w:val="003A0896"/>
    <w:rsid w:val="004653F8"/>
    <w:rsid w:val="0061556B"/>
    <w:rsid w:val="006D24EA"/>
    <w:rsid w:val="00774F0B"/>
    <w:rsid w:val="007A238C"/>
    <w:rsid w:val="00801387"/>
    <w:rsid w:val="00864AC8"/>
    <w:rsid w:val="00871F0F"/>
    <w:rsid w:val="008A07D1"/>
    <w:rsid w:val="008C37E1"/>
    <w:rsid w:val="00A037AE"/>
    <w:rsid w:val="00A43015"/>
    <w:rsid w:val="00A84801"/>
    <w:rsid w:val="00AA0037"/>
    <w:rsid w:val="00AE79BD"/>
    <w:rsid w:val="00BC6CA2"/>
    <w:rsid w:val="00BE22F3"/>
    <w:rsid w:val="00C13F02"/>
    <w:rsid w:val="00C467C2"/>
    <w:rsid w:val="00C93AC9"/>
    <w:rsid w:val="00CA5EBA"/>
    <w:rsid w:val="00D26F76"/>
    <w:rsid w:val="00D37AF3"/>
    <w:rsid w:val="00DB2254"/>
    <w:rsid w:val="00DD668E"/>
    <w:rsid w:val="00DE5C1D"/>
    <w:rsid w:val="00DF2856"/>
    <w:rsid w:val="00E07886"/>
    <w:rsid w:val="00EA5420"/>
    <w:rsid w:val="00EF46F3"/>
    <w:rsid w:val="00F0598C"/>
    <w:rsid w:val="00F620BE"/>
    <w:rsid w:val="0580122B"/>
    <w:rsid w:val="0602632E"/>
    <w:rsid w:val="0800020A"/>
    <w:rsid w:val="09A10F2A"/>
    <w:rsid w:val="0A113F5A"/>
    <w:rsid w:val="0A8A4A1D"/>
    <w:rsid w:val="0C1E0CB3"/>
    <w:rsid w:val="0C230BF9"/>
    <w:rsid w:val="0C4F3798"/>
    <w:rsid w:val="0C6B516E"/>
    <w:rsid w:val="0C832EE0"/>
    <w:rsid w:val="0D6F1311"/>
    <w:rsid w:val="0E302400"/>
    <w:rsid w:val="0FCD4C9E"/>
    <w:rsid w:val="10832D25"/>
    <w:rsid w:val="10881C14"/>
    <w:rsid w:val="111E1A3B"/>
    <w:rsid w:val="112F3D99"/>
    <w:rsid w:val="14D44367"/>
    <w:rsid w:val="15711640"/>
    <w:rsid w:val="16421E79"/>
    <w:rsid w:val="164E3D34"/>
    <w:rsid w:val="164E6A70"/>
    <w:rsid w:val="16535A79"/>
    <w:rsid w:val="170C5AE7"/>
    <w:rsid w:val="170D72E8"/>
    <w:rsid w:val="1868190E"/>
    <w:rsid w:val="18701B7B"/>
    <w:rsid w:val="19FF1B5A"/>
    <w:rsid w:val="1ACB73BF"/>
    <w:rsid w:val="1B184541"/>
    <w:rsid w:val="1B2D4292"/>
    <w:rsid w:val="1B34517F"/>
    <w:rsid w:val="1BF41A6D"/>
    <w:rsid w:val="1CFB1D75"/>
    <w:rsid w:val="1E3429EF"/>
    <w:rsid w:val="1F0B7121"/>
    <w:rsid w:val="1F37341B"/>
    <w:rsid w:val="200030BE"/>
    <w:rsid w:val="202C1BC7"/>
    <w:rsid w:val="20ED3ED1"/>
    <w:rsid w:val="2186165D"/>
    <w:rsid w:val="239950AF"/>
    <w:rsid w:val="23D9206E"/>
    <w:rsid w:val="259A3A7F"/>
    <w:rsid w:val="27433916"/>
    <w:rsid w:val="2A4C275F"/>
    <w:rsid w:val="2B3836F1"/>
    <w:rsid w:val="2CE24587"/>
    <w:rsid w:val="2F283EAA"/>
    <w:rsid w:val="3012070C"/>
    <w:rsid w:val="303A7FE0"/>
    <w:rsid w:val="304E07E8"/>
    <w:rsid w:val="30721F0F"/>
    <w:rsid w:val="315A1D85"/>
    <w:rsid w:val="327715F3"/>
    <w:rsid w:val="33592ACC"/>
    <w:rsid w:val="34C628AE"/>
    <w:rsid w:val="34F8683E"/>
    <w:rsid w:val="35C67F79"/>
    <w:rsid w:val="369A3EC3"/>
    <w:rsid w:val="3701395E"/>
    <w:rsid w:val="371A53B3"/>
    <w:rsid w:val="380A1B7E"/>
    <w:rsid w:val="3862667F"/>
    <w:rsid w:val="388E6E6F"/>
    <w:rsid w:val="38ED5C39"/>
    <w:rsid w:val="3992139A"/>
    <w:rsid w:val="3A6810F3"/>
    <w:rsid w:val="3BCB12A4"/>
    <w:rsid w:val="3C5E17EA"/>
    <w:rsid w:val="3E85042F"/>
    <w:rsid w:val="3F0D4291"/>
    <w:rsid w:val="3FB06F56"/>
    <w:rsid w:val="3FC511BF"/>
    <w:rsid w:val="401273A6"/>
    <w:rsid w:val="40782C62"/>
    <w:rsid w:val="43071202"/>
    <w:rsid w:val="437432AA"/>
    <w:rsid w:val="43907140"/>
    <w:rsid w:val="439A3786"/>
    <w:rsid w:val="44235314"/>
    <w:rsid w:val="44910589"/>
    <w:rsid w:val="453D1784"/>
    <w:rsid w:val="47164EC4"/>
    <w:rsid w:val="4A797F25"/>
    <w:rsid w:val="4A7D2DBD"/>
    <w:rsid w:val="4B8664D3"/>
    <w:rsid w:val="4BB37A4D"/>
    <w:rsid w:val="4C0D20F5"/>
    <w:rsid w:val="4C5655F7"/>
    <w:rsid w:val="4CA13997"/>
    <w:rsid w:val="4CFC3605"/>
    <w:rsid w:val="4D53053B"/>
    <w:rsid w:val="4E974C94"/>
    <w:rsid w:val="4ECA0294"/>
    <w:rsid w:val="4F1162B1"/>
    <w:rsid w:val="4F2A04A2"/>
    <w:rsid w:val="4F3E491E"/>
    <w:rsid w:val="4FE43641"/>
    <w:rsid w:val="4FF15536"/>
    <w:rsid w:val="50123FDB"/>
    <w:rsid w:val="50850F10"/>
    <w:rsid w:val="51940427"/>
    <w:rsid w:val="52616B64"/>
    <w:rsid w:val="52F31622"/>
    <w:rsid w:val="54415219"/>
    <w:rsid w:val="553443BB"/>
    <w:rsid w:val="5623455D"/>
    <w:rsid w:val="56483768"/>
    <w:rsid w:val="57452D58"/>
    <w:rsid w:val="58A4593E"/>
    <w:rsid w:val="591650F5"/>
    <w:rsid w:val="59AD307A"/>
    <w:rsid w:val="5B745BFD"/>
    <w:rsid w:val="5BD731BA"/>
    <w:rsid w:val="5C5D3FF8"/>
    <w:rsid w:val="5C80160D"/>
    <w:rsid w:val="5CAA5AE0"/>
    <w:rsid w:val="5F3B6A32"/>
    <w:rsid w:val="603554FE"/>
    <w:rsid w:val="61242EBB"/>
    <w:rsid w:val="624614D7"/>
    <w:rsid w:val="65D452B8"/>
    <w:rsid w:val="66E406F2"/>
    <w:rsid w:val="671D615E"/>
    <w:rsid w:val="69392234"/>
    <w:rsid w:val="693E784B"/>
    <w:rsid w:val="69E232F9"/>
    <w:rsid w:val="6A7919AE"/>
    <w:rsid w:val="6A7F39E6"/>
    <w:rsid w:val="6AAD6F18"/>
    <w:rsid w:val="6B5C7942"/>
    <w:rsid w:val="6BE50451"/>
    <w:rsid w:val="6C22580A"/>
    <w:rsid w:val="6DA96869"/>
    <w:rsid w:val="6E13312B"/>
    <w:rsid w:val="6ED722E5"/>
    <w:rsid w:val="6FEB0329"/>
    <w:rsid w:val="70271038"/>
    <w:rsid w:val="708E10B8"/>
    <w:rsid w:val="70E67ED5"/>
    <w:rsid w:val="718305FE"/>
    <w:rsid w:val="71D42148"/>
    <w:rsid w:val="71DA6274"/>
    <w:rsid w:val="73966B83"/>
    <w:rsid w:val="73C550FF"/>
    <w:rsid w:val="744B3D4C"/>
    <w:rsid w:val="746F4CA9"/>
    <w:rsid w:val="75D831DB"/>
    <w:rsid w:val="75FF89C1"/>
    <w:rsid w:val="76031BF9"/>
    <w:rsid w:val="763769FA"/>
    <w:rsid w:val="771432A9"/>
    <w:rsid w:val="789D793B"/>
    <w:rsid w:val="79E67CEC"/>
    <w:rsid w:val="7A497FB2"/>
    <w:rsid w:val="7AAA5541"/>
    <w:rsid w:val="7B95614B"/>
    <w:rsid w:val="7CBB0F60"/>
    <w:rsid w:val="7CCC11B9"/>
    <w:rsid w:val="7D1F4FA8"/>
    <w:rsid w:val="7E65278D"/>
    <w:rsid w:val="7EDC1B88"/>
    <w:rsid w:val="7FF753FB"/>
    <w:rsid w:val="CFFFC7D0"/>
    <w:rsid w:val="DFFED6EF"/>
    <w:rsid w:val="F5FA2127"/>
    <w:rsid w:val="FF7FA695"/>
    <w:rsid w:val="FFB53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snapToGrid w:val="0"/>
    </w:pPr>
    <w:rPr>
      <w:rFonts w:ascii="Arial" w:hAnsi="Arial" w:eastAsia="Arial" w:cs="Times New Roman"/>
      <w:color w:val="000000"/>
      <w:sz w:val="21"/>
      <w:szCs w:val="21"/>
      <w:lang w:val="en-US" w:eastAsia="zh-CN" w:bidi="ar-SA"/>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qFormat/>
    <w:uiPriority w:val="0"/>
    <w:pPr>
      <w:keepNext/>
      <w:keepLines/>
      <w:spacing w:before="120" w:beforeLines="0" w:after="120" w:afterLines="0" w:line="240" w:lineRule="auto"/>
      <w:ind w:firstLine="137" w:firstLineChars="49"/>
      <w:outlineLvl w:val="2"/>
    </w:pPr>
    <w:rPr>
      <w:rFonts w:ascii="黑体" w:hAnsi="黑体" w:eastAsia="宋体"/>
      <w:b/>
      <w:bCs/>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b/>
    </w:rPr>
  </w:style>
  <w:style w:type="paragraph" w:styleId="5">
    <w:name w:val="toc 7"/>
    <w:basedOn w:val="1"/>
    <w:next w:val="1"/>
    <w:unhideWhenUsed/>
    <w:qFormat/>
    <w:uiPriority w:val="39"/>
    <w:pPr>
      <w:widowControl w:val="0"/>
      <w:kinsoku/>
      <w:autoSpaceDE/>
      <w:autoSpaceDN/>
      <w:snapToGrid/>
      <w:ind w:left="2520" w:leftChars="1200"/>
      <w:jc w:val="both"/>
    </w:pPr>
    <w:rPr>
      <w:rFonts w:asciiTheme="minorHAnsi" w:hAnsiTheme="minorHAnsi" w:eastAsiaTheme="minorEastAsia" w:cstheme="minorBidi"/>
      <w:color w:val="auto"/>
      <w:kern w:val="2"/>
      <w:szCs w:val="22"/>
      <w14:ligatures w14:val="standardContextual"/>
    </w:rPr>
  </w:style>
  <w:style w:type="paragraph" w:styleId="6">
    <w:name w:val="Normal Indent"/>
    <w:basedOn w:val="1"/>
    <w:qFormat/>
    <w:uiPriority w:val="0"/>
    <w:pPr>
      <w:ind w:firstLine="420" w:firstLineChars="200"/>
    </w:pPr>
  </w:style>
  <w:style w:type="paragraph" w:styleId="7">
    <w:name w:val="annotation text"/>
    <w:basedOn w:val="1"/>
    <w:qFormat/>
    <w:uiPriority w:val="0"/>
  </w:style>
  <w:style w:type="paragraph" w:styleId="8">
    <w:name w:val="Body Text"/>
    <w:basedOn w:val="1"/>
    <w:unhideWhenUsed/>
    <w:qFormat/>
    <w:uiPriority w:val="0"/>
    <w:pPr>
      <w:spacing w:after="120"/>
    </w:pPr>
  </w:style>
  <w:style w:type="paragraph" w:styleId="9">
    <w:name w:val="Body Text Indent"/>
    <w:basedOn w:val="1"/>
    <w:next w:val="10"/>
    <w:qFormat/>
    <w:uiPriority w:val="99"/>
    <w:pPr>
      <w:ind w:firstLine="600" w:firstLineChars="200"/>
    </w:pPr>
    <w:rPr>
      <w:rFonts w:ascii="宋体"/>
      <w:sz w:val="30"/>
      <w:szCs w:val="20"/>
    </w:rPr>
  </w:style>
  <w:style w:type="paragraph" w:styleId="10">
    <w:name w:val="envelope return"/>
    <w:basedOn w:val="1"/>
    <w:qFormat/>
    <w:uiPriority w:val="0"/>
    <w:pPr>
      <w:snapToGrid w:val="0"/>
    </w:pPr>
    <w:rPr>
      <w:rFonts w:ascii="Arial" w:hAnsi="Arial" w:cs="Arial"/>
    </w:rPr>
  </w:style>
  <w:style w:type="paragraph" w:styleId="11">
    <w:name w:val="toc 5"/>
    <w:basedOn w:val="1"/>
    <w:next w:val="1"/>
    <w:unhideWhenUsed/>
    <w:qFormat/>
    <w:uiPriority w:val="39"/>
    <w:pPr>
      <w:widowControl w:val="0"/>
      <w:kinsoku/>
      <w:autoSpaceDE/>
      <w:autoSpaceDN/>
      <w:snapToGrid/>
      <w:ind w:left="1680" w:leftChars="800"/>
      <w:jc w:val="both"/>
    </w:pPr>
    <w:rPr>
      <w:rFonts w:asciiTheme="minorHAnsi" w:hAnsiTheme="minorHAnsi" w:eastAsiaTheme="minorEastAsia" w:cstheme="minorBidi"/>
      <w:color w:val="auto"/>
      <w:kern w:val="2"/>
      <w:szCs w:val="22"/>
      <w14:ligatures w14:val="standardContextual"/>
    </w:rPr>
  </w:style>
  <w:style w:type="paragraph" w:styleId="12">
    <w:name w:val="toc 3"/>
    <w:basedOn w:val="1"/>
    <w:next w:val="1"/>
    <w:qFormat/>
    <w:uiPriority w:val="39"/>
    <w:pPr>
      <w:ind w:left="840" w:leftChars="400"/>
    </w:pPr>
  </w:style>
  <w:style w:type="paragraph" w:styleId="13">
    <w:name w:val="Plain Text"/>
    <w:basedOn w:val="1"/>
    <w:next w:val="1"/>
    <w:qFormat/>
    <w:uiPriority w:val="99"/>
    <w:rPr>
      <w:rFonts w:ascii="宋体"/>
    </w:rPr>
  </w:style>
  <w:style w:type="paragraph" w:styleId="14">
    <w:name w:val="toc 8"/>
    <w:basedOn w:val="1"/>
    <w:next w:val="1"/>
    <w:unhideWhenUsed/>
    <w:qFormat/>
    <w:uiPriority w:val="39"/>
    <w:pPr>
      <w:widowControl w:val="0"/>
      <w:kinsoku/>
      <w:autoSpaceDE/>
      <w:autoSpaceDN/>
      <w:snapToGrid/>
      <w:ind w:left="2940" w:leftChars="1400"/>
      <w:jc w:val="both"/>
    </w:pPr>
    <w:rPr>
      <w:rFonts w:asciiTheme="minorHAnsi" w:hAnsiTheme="minorHAnsi" w:eastAsiaTheme="minorEastAsia" w:cstheme="minorBidi"/>
      <w:color w:val="auto"/>
      <w:kern w:val="2"/>
      <w:szCs w:val="22"/>
      <w14:ligatures w14:val="standardContextual"/>
    </w:rPr>
  </w:style>
  <w:style w:type="paragraph" w:styleId="15">
    <w:name w:val="Balloon Text"/>
    <w:basedOn w:val="1"/>
    <w:link w:val="81"/>
    <w:qFormat/>
    <w:uiPriority w:val="0"/>
    <w:rPr>
      <w:sz w:val="18"/>
      <w:szCs w:val="18"/>
    </w:rPr>
  </w:style>
  <w:style w:type="paragraph" w:styleId="16">
    <w:name w:val="footer"/>
    <w:basedOn w:val="1"/>
    <w:link w:val="78"/>
    <w:qFormat/>
    <w:uiPriority w:val="99"/>
    <w:pPr>
      <w:tabs>
        <w:tab w:val="center" w:pos="4153"/>
        <w:tab w:val="right" w:pos="8306"/>
      </w:tabs>
    </w:pPr>
    <w:rPr>
      <w:sz w:val="18"/>
      <w:szCs w:val="18"/>
    </w:rPr>
  </w:style>
  <w:style w:type="paragraph" w:styleId="17">
    <w:name w:val="header"/>
    <w:basedOn w:val="1"/>
    <w:link w:val="77"/>
    <w:qFormat/>
    <w:uiPriority w:val="0"/>
    <w:pPr>
      <w:tabs>
        <w:tab w:val="center" w:pos="4153"/>
        <w:tab w:val="right" w:pos="8306"/>
      </w:tabs>
      <w:jc w:val="center"/>
    </w:pPr>
    <w:rPr>
      <w:sz w:val="18"/>
      <w:szCs w:val="18"/>
    </w:rPr>
  </w:style>
  <w:style w:type="paragraph" w:styleId="18">
    <w:name w:val="toc 1"/>
    <w:basedOn w:val="1"/>
    <w:next w:val="1"/>
    <w:qFormat/>
    <w:uiPriority w:val="39"/>
  </w:style>
  <w:style w:type="paragraph" w:styleId="19">
    <w:name w:val="toc 4"/>
    <w:basedOn w:val="1"/>
    <w:next w:val="1"/>
    <w:unhideWhenUsed/>
    <w:qFormat/>
    <w:uiPriority w:val="39"/>
    <w:pPr>
      <w:widowControl w:val="0"/>
      <w:kinsoku/>
      <w:autoSpaceDE/>
      <w:autoSpaceDN/>
      <w:snapToGrid/>
      <w:ind w:left="1260" w:leftChars="600"/>
      <w:jc w:val="both"/>
    </w:pPr>
    <w:rPr>
      <w:rFonts w:asciiTheme="minorHAnsi" w:hAnsiTheme="minorHAnsi" w:eastAsiaTheme="minorEastAsia" w:cstheme="minorBidi"/>
      <w:color w:val="auto"/>
      <w:kern w:val="2"/>
      <w:szCs w:val="22"/>
      <w14:ligatures w14:val="standardContextual"/>
    </w:rPr>
  </w:style>
  <w:style w:type="paragraph" w:styleId="20">
    <w:name w:val="toc 6"/>
    <w:basedOn w:val="1"/>
    <w:next w:val="1"/>
    <w:unhideWhenUsed/>
    <w:qFormat/>
    <w:uiPriority w:val="39"/>
    <w:pPr>
      <w:widowControl w:val="0"/>
      <w:kinsoku/>
      <w:autoSpaceDE/>
      <w:autoSpaceDN/>
      <w:snapToGrid/>
      <w:ind w:left="2100" w:leftChars="1000"/>
      <w:jc w:val="both"/>
    </w:pPr>
    <w:rPr>
      <w:rFonts w:asciiTheme="minorHAnsi" w:hAnsiTheme="minorHAnsi" w:eastAsiaTheme="minorEastAsia" w:cstheme="minorBidi"/>
      <w:color w:val="auto"/>
      <w:kern w:val="2"/>
      <w:szCs w:val="22"/>
      <w14:ligatures w14:val="standardContextual"/>
    </w:rPr>
  </w:style>
  <w:style w:type="paragraph" w:styleId="21">
    <w:name w:val="toc 2"/>
    <w:basedOn w:val="1"/>
    <w:next w:val="1"/>
    <w:qFormat/>
    <w:uiPriority w:val="39"/>
    <w:pPr>
      <w:ind w:left="420" w:leftChars="200"/>
    </w:pPr>
  </w:style>
  <w:style w:type="paragraph" w:styleId="22">
    <w:name w:val="toc 9"/>
    <w:basedOn w:val="1"/>
    <w:next w:val="1"/>
    <w:unhideWhenUsed/>
    <w:qFormat/>
    <w:uiPriority w:val="39"/>
    <w:pPr>
      <w:widowControl w:val="0"/>
      <w:kinsoku/>
      <w:autoSpaceDE/>
      <w:autoSpaceDN/>
      <w:snapToGrid/>
      <w:ind w:left="3360" w:leftChars="1600"/>
      <w:jc w:val="both"/>
    </w:pPr>
    <w:rPr>
      <w:rFonts w:asciiTheme="minorHAnsi" w:hAnsiTheme="minorHAnsi" w:eastAsiaTheme="minorEastAsia" w:cstheme="minorBidi"/>
      <w:color w:val="auto"/>
      <w:kern w:val="2"/>
      <w:szCs w:val="22"/>
      <w14:ligatures w14:val="standardContextual"/>
    </w:rPr>
  </w:style>
  <w:style w:type="paragraph" w:styleId="23">
    <w:name w:val="Normal (Web)"/>
    <w:basedOn w:val="1"/>
    <w:qFormat/>
    <w:uiPriority w:val="99"/>
    <w:pPr>
      <w:spacing w:before="100" w:beforeAutospacing="1" w:after="100" w:afterAutospacing="1"/>
      <w:ind w:left="0" w:right="0"/>
      <w:jc w:val="left"/>
    </w:pPr>
    <w:rPr>
      <w:kern w:val="0"/>
      <w:sz w:val="24"/>
      <w:lang w:val="en-US" w:eastAsia="zh-CN" w:bidi="ar"/>
    </w:rPr>
  </w:style>
  <w:style w:type="paragraph" w:styleId="24">
    <w:name w:val="Body Text First Indent"/>
    <w:basedOn w:val="8"/>
    <w:next w:val="25"/>
    <w:qFormat/>
    <w:uiPriority w:val="0"/>
    <w:pPr>
      <w:ind w:firstLine="420"/>
    </w:pPr>
    <w:rPr>
      <w:rFonts w:ascii="Times New Roman" w:hAnsi="Times New Roman" w:eastAsia="楷体_GB2312"/>
      <w:kern w:val="0"/>
      <w:sz w:val="20"/>
      <w:szCs w:val="20"/>
    </w:rPr>
  </w:style>
  <w:style w:type="paragraph" w:styleId="25">
    <w:name w:val="Body Text First Indent 2"/>
    <w:basedOn w:val="9"/>
    <w:next w:val="26"/>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customStyle="1" w:styleId="26">
    <w:name w:val="样式 正文首行缩进 2 + Arial"/>
    <w:basedOn w:val="1"/>
    <w:next w:val="1"/>
    <w:qFormat/>
    <w:uiPriority w:val="0"/>
    <w:pPr>
      <w:spacing w:before="100" w:beforeAutospacing="1" w:after="120" w:line="320" w:lineRule="atLeast"/>
      <w:ind w:firstLine="200" w:firstLineChars="200"/>
    </w:pPr>
    <w:rPr>
      <w:sz w:val="24"/>
      <w:szCs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Hyperlink"/>
    <w:basedOn w:val="29"/>
    <w:unhideWhenUsed/>
    <w:qFormat/>
    <w:uiPriority w:val="99"/>
    <w:rPr>
      <w:color w:val="0000FF" w:themeColor="hyperlink"/>
      <w:u w:val="single"/>
      <w14:textFill>
        <w14:solidFill>
          <w14:schemeClr w14:val="hlink"/>
        </w14:solidFill>
      </w14:textFill>
    </w:rPr>
  </w:style>
  <w:style w:type="character" w:styleId="31">
    <w:name w:val="annotation reference"/>
    <w:basedOn w:val="29"/>
    <w:qFormat/>
    <w:uiPriority w:val="0"/>
    <w:rPr>
      <w:sz w:val="21"/>
      <w:szCs w:val="21"/>
    </w:rPr>
  </w:style>
  <w:style w:type="paragraph" w:customStyle="1" w:styleId="32">
    <w:name w:val="Default"/>
    <w:qFormat/>
    <w:uiPriority w:val="0"/>
    <w:pPr>
      <w:widowControl w:val="0"/>
      <w:autoSpaceDE w:val="0"/>
      <w:autoSpaceDN w:val="0"/>
    </w:pPr>
    <w:rPr>
      <w:rFonts w:ascii="宋体" w:hAnsi="Times New Roman" w:eastAsia="宋体" w:cs="Times New Roman"/>
      <w:color w:val="000000"/>
      <w:sz w:val="24"/>
      <w:lang w:val="en-US" w:eastAsia="zh-CN" w:bidi="ar-SA"/>
    </w:rPr>
  </w:style>
  <w:style w:type="paragraph" w:customStyle="1" w:styleId="33">
    <w:name w:val="标题 11"/>
    <w:basedOn w:val="1"/>
    <w:qFormat/>
    <w:uiPriority w:val="0"/>
    <w:pPr>
      <w:keepNext/>
      <w:keepLines/>
      <w:spacing w:before="340" w:after="330" w:line="578" w:lineRule="auto"/>
      <w:jc w:val="center"/>
      <w:outlineLvl w:val="0"/>
    </w:pPr>
    <w:rPr>
      <w:rFonts w:eastAsia="宋体"/>
      <w:b/>
      <w:bCs/>
      <w:kern w:val="44"/>
      <w:sz w:val="44"/>
      <w:szCs w:val="44"/>
    </w:rPr>
  </w:style>
  <w:style w:type="paragraph" w:customStyle="1" w:styleId="34">
    <w:name w:val="标题 21"/>
    <w:basedOn w:val="33"/>
    <w:qFormat/>
    <w:uiPriority w:val="0"/>
    <w:pPr>
      <w:spacing w:before="120" w:after="120" w:line="240" w:lineRule="auto"/>
      <w:outlineLvl w:val="1"/>
    </w:pPr>
    <w:rPr>
      <w:rFonts w:ascii="黑体" w:hAnsi="黑体"/>
      <w:b w:val="0"/>
      <w:szCs w:val="30"/>
    </w:rPr>
  </w:style>
  <w:style w:type="paragraph" w:customStyle="1" w:styleId="35">
    <w:name w:val="标题 31"/>
    <w:basedOn w:val="1"/>
    <w:qFormat/>
    <w:uiPriority w:val="0"/>
    <w:pPr>
      <w:spacing w:before="50" w:after="50"/>
      <w:outlineLvl w:val="2"/>
    </w:pPr>
    <w:rPr>
      <w:rFonts w:ascii="宋体" w:hAnsi="宋体" w:eastAsia="宋体"/>
      <w:b/>
      <w:sz w:val="28"/>
      <w:szCs w:val="24"/>
    </w:rPr>
  </w:style>
  <w:style w:type="paragraph" w:customStyle="1" w:styleId="36">
    <w:name w:val="标题 41"/>
    <w:basedOn w:val="1"/>
    <w:qFormat/>
    <w:uiPriority w:val="0"/>
    <w:pPr>
      <w:outlineLvl w:val="3"/>
    </w:pPr>
    <w:rPr>
      <w:rFonts w:ascii="宋体" w:hAnsi="宋体" w:eastAsia="宋体"/>
      <w:sz w:val="28"/>
      <w:szCs w:val="24"/>
    </w:rPr>
  </w:style>
  <w:style w:type="paragraph" w:customStyle="1" w:styleId="37">
    <w:name w:val="标题 61"/>
    <w:basedOn w:val="1"/>
    <w:qFormat/>
    <w:uiPriority w:val="0"/>
    <w:pPr>
      <w:keepNext/>
      <w:keepLines/>
      <w:tabs>
        <w:tab w:val="left" w:pos="1440"/>
      </w:tabs>
      <w:spacing w:before="240" w:after="64" w:line="320" w:lineRule="auto"/>
      <w:ind w:left="1152" w:hanging="1152"/>
      <w:outlineLvl w:val="5"/>
    </w:pPr>
    <w:rPr>
      <w:rFonts w:eastAsia="黑体"/>
      <w:b/>
      <w:bCs/>
      <w:sz w:val="24"/>
      <w:szCs w:val="24"/>
    </w:rPr>
  </w:style>
  <w:style w:type="character" w:customStyle="1" w:styleId="38">
    <w:name w:val="默认段落字体1"/>
    <w:semiHidden/>
    <w:qFormat/>
    <w:uiPriority w:val="0"/>
  </w:style>
  <w:style w:type="table" w:customStyle="1" w:styleId="39">
    <w:name w:val="普通表格1"/>
    <w:semiHidden/>
    <w:qFormat/>
    <w:uiPriority w:val="0"/>
    <w:tblPr>
      <w:tblCellMar>
        <w:top w:w="0" w:type="dxa"/>
        <w:left w:w="0" w:type="dxa"/>
        <w:bottom w:w="0" w:type="dxa"/>
        <w:right w:w="0" w:type="dxa"/>
      </w:tblCellMar>
    </w:tblPr>
  </w:style>
  <w:style w:type="paragraph" w:customStyle="1" w:styleId="40">
    <w:name w:val="正文缩进11"/>
    <w:basedOn w:val="1"/>
    <w:qFormat/>
    <w:uiPriority w:val="0"/>
    <w:pPr>
      <w:ind w:firstLine="420" w:firstLineChars="200"/>
    </w:pPr>
  </w:style>
  <w:style w:type="paragraph" w:customStyle="1" w:styleId="41">
    <w:name w:val="批注文字1"/>
    <w:basedOn w:val="1"/>
    <w:qFormat/>
    <w:uiPriority w:val="0"/>
  </w:style>
  <w:style w:type="paragraph" w:customStyle="1" w:styleId="42">
    <w:name w:val="正文文本 31"/>
    <w:qFormat/>
    <w:uiPriority w:val="0"/>
    <w:pPr>
      <w:widowControl w:val="0"/>
      <w:spacing w:after="120"/>
      <w:jc w:val="both"/>
    </w:pPr>
    <w:rPr>
      <w:rFonts w:ascii="Times New Roman" w:hAnsi="Times New Roman" w:eastAsia="楷体_GB2312" w:cs="Times New Roman"/>
      <w:kern w:val="2"/>
      <w:sz w:val="16"/>
      <w:szCs w:val="16"/>
      <w:lang w:val="en-US" w:eastAsia="zh-CN" w:bidi="ar-SA"/>
    </w:rPr>
  </w:style>
  <w:style w:type="paragraph" w:customStyle="1" w:styleId="43">
    <w:name w:val="正文文本1"/>
    <w:basedOn w:val="1"/>
    <w:qFormat/>
    <w:uiPriority w:val="0"/>
    <w:pPr>
      <w:spacing w:after="120"/>
    </w:pPr>
  </w:style>
  <w:style w:type="paragraph" w:customStyle="1" w:styleId="44">
    <w:name w:val="正文文本缩进1"/>
    <w:basedOn w:val="1"/>
    <w:qFormat/>
    <w:uiPriority w:val="0"/>
    <w:pPr>
      <w:ind w:firstLine="600" w:firstLineChars="200"/>
    </w:pPr>
    <w:rPr>
      <w:rFonts w:ascii="宋体"/>
      <w:sz w:val="30"/>
      <w:szCs w:val="20"/>
    </w:rPr>
  </w:style>
  <w:style w:type="paragraph" w:customStyle="1" w:styleId="45">
    <w:name w:val="寄信人地址1"/>
    <w:basedOn w:val="1"/>
    <w:qFormat/>
    <w:uiPriority w:val="0"/>
  </w:style>
  <w:style w:type="paragraph" w:customStyle="1" w:styleId="46">
    <w:name w:val="目录 31"/>
    <w:basedOn w:val="1"/>
    <w:qFormat/>
    <w:uiPriority w:val="0"/>
    <w:pPr>
      <w:ind w:left="840" w:leftChars="400"/>
    </w:pPr>
  </w:style>
  <w:style w:type="paragraph" w:customStyle="1" w:styleId="47">
    <w:name w:val="纯文本1"/>
    <w:basedOn w:val="1"/>
    <w:qFormat/>
    <w:uiPriority w:val="0"/>
    <w:rPr>
      <w:rFonts w:ascii="宋体" w:hAnsi="Courier New"/>
      <w:szCs w:val="20"/>
    </w:rPr>
  </w:style>
  <w:style w:type="paragraph" w:customStyle="1" w:styleId="48">
    <w:name w:val="页眉1"/>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customStyle="1" w:styleId="49">
    <w:name w:val="日期1"/>
    <w:basedOn w:val="1"/>
    <w:qFormat/>
    <w:uiPriority w:val="0"/>
    <w:pPr>
      <w:ind w:left="100" w:leftChars="2500"/>
    </w:pPr>
    <w:rPr>
      <w:sz w:val="20"/>
    </w:rPr>
  </w:style>
  <w:style w:type="paragraph" w:customStyle="1" w:styleId="50">
    <w:name w:val="页脚1"/>
    <w:basedOn w:val="1"/>
    <w:qFormat/>
    <w:uiPriority w:val="0"/>
    <w:pPr>
      <w:tabs>
        <w:tab w:val="center" w:pos="4153"/>
        <w:tab w:val="right" w:pos="8306"/>
      </w:tabs>
    </w:pPr>
    <w:rPr>
      <w:sz w:val="18"/>
    </w:rPr>
  </w:style>
  <w:style w:type="paragraph" w:customStyle="1" w:styleId="51">
    <w:name w:val="目录 11"/>
    <w:basedOn w:val="1"/>
    <w:qFormat/>
    <w:uiPriority w:val="0"/>
  </w:style>
  <w:style w:type="paragraph" w:customStyle="1" w:styleId="52">
    <w:name w:val="正文文本缩进 31"/>
    <w:basedOn w:val="1"/>
    <w:qFormat/>
    <w:uiPriority w:val="0"/>
    <w:pPr>
      <w:spacing w:after="120"/>
      <w:ind w:left="420" w:leftChars="200"/>
    </w:pPr>
    <w:rPr>
      <w:sz w:val="16"/>
      <w:szCs w:val="16"/>
    </w:rPr>
  </w:style>
  <w:style w:type="paragraph" w:customStyle="1" w:styleId="53">
    <w:name w:val="目录 21"/>
    <w:basedOn w:val="1"/>
    <w:qFormat/>
    <w:uiPriority w:val="0"/>
    <w:pPr>
      <w:ind w:left="420" w:leftChars="200"/>
    </w:pPr>
  </w:style>
  <w:style w:type="paragraph" w:customStyle="1" w:styleId="54">
    <w:name w:val="普通(网站)1"/>
    <w:basedOn w:val="1"/>
    <w:qFormat/>
    <w:uiPriority w:val="0"/>
    <w:pPr>
      <w:spacing w:before="100" w:beforeAutospacing="1" w:after="100" w:afterAutospacing="1"/>
    </w:pPr>
    <w:rPr>
      <w:sz w:val="24"/>
    </w:rPr>
  </w:style>
  <w:style w:type="paragraph" w:customStyle="1" w:styleId="55">
    <w:name w:val="正文首行缩进1"/>
    <w:basedOn w:val="43"/>
    <w:qFormat/>
    <w:uiPriority w:val="0"/>
    <w:pPr>
      <w:ind w:firstLine="420"/>
    </w:pPr>
    <w:rPr>
      <w:rFonts w:ascii="Times New Roman" w:hAnsi="Times New Roman" w:eastAsia="楷体_GB2312"/>
      <w:sz w:val="20"/>
      <w:szCs w:val="20"/>
    </w:rPr>
  </w:style>
  <w:style w:type="paragraph" w:customStyle="1" w:styleId="56">
    <w:name w:val="正文首行缩进 21"/>
    <w:basedOn w:val="1"/>
    <w:qFormat/>
    <w:uiPriority w:val="0"/>
    <w:pPr>
      <w:widowControl w:val="0"/>
      <w:spacing w:after="120"/>
      <w:ind w:left="420" w:leftChars="200" w:firstLine="420" w:firstLineChars="200"/>
      <w:jc w:val="both"/>
    </w:pPr>
    <w:rPr>
      <w:rFonts w:ascii="Calibri" w:hAnsi="Calibri" w:eastAsia="宋体"/>
      <w:kern w:val="2"/>
      <w:szCs w:val="24"/>
    </w:rPr>
  </w:style>
  <w:style w:type="table" w:customStyle="1" w:styleId="57">
    <w:name w:val="网格型1"/>
    <w:basedOn w:val="39"/>
    <w:qFormat/>
    <w:uiPriority w:val="0"/>
    <w:pPr>
      <w:widowControl w:val="0"/>
      <w:jc w:val="both"/>
    </w:pPr>
  </w:style>
  <w:style w:type="character" w:customStyle="1" w:styleId="58">
    <w:name w:val="超链接1"/>
    <w:qFormat/>
    <w:uiPriority w:val="0"/>
    <w:rPr>
      <w:rFonts w:ascii="Arial" w:hAnsi="Arial" w:eastAsia="黑体"/>
      <w:color w:val="0000FF"/>
      <w:kern w:val="2"/>
      <w:sz w:val="21"/>
      <w:szCs w:val="21"/>
      <w:u w:val="single"/>
      <w:lang w:val="en-US" w:eastAsia="zh-CN" w:bidi="ar-SA"/>
    </w:rPr>
  </w:style>
  <w:style w:type="paragraph" w:customStyle="1" w:styleId="59">
    <w:name w:val="样式 行距: 1.5 倍行距1"/>
    <w:basedOn w:val="1"/>
    <w:qFormat/>
    <w:uiPriority w:val="0"/>
    <w:pPr>
      <w:ind w:firstLine="560" w:firstLineChars="200"/>
    </w:pPr>
    <w:rPr>
      <w:rFonts w:ascii="Times New Roman" w:hAnsi="Times New Roman" w:eastAsia="宋体"/>
    </w:rPr>
  </w:style>
  <w:style w:type="paragraph" w:customStyle="1" w:styleId="60">
    <w:name w:val="正文 New"/>
    <w:qFormat/>
    <w:uiPriority w:val="0"/>
    <w:pPr>
      <w:widowControl w:val="0"/>
      <w:jc w:val="both"/>
    </w:pPr>
    <w:rPr>
      <w:rFonts w:ascii="Times New Roman" w:hAnsi="Times New Roman" w:eastAsia="方正楷体_GB2312" w:cs="Times New Roman"/>
      <w:kern w:val="2"/>
      <w:sz w:val="21"/>
      <w:lang w:val="en-US" w:eastAsia="zh-CN" w:bidi="ar-SA"/>
    </w:rPr>
  </w:style>
  <w:style w:type="paragraph" w:customStyle="1" w:styleId="61">
    <w:name w:val="正文 New New New New New New New New New"/>
    <w:qFormat/>
    <w:uiPriority w:val="0"/>
    <w:pPr>
      <w:widowControl w:val="0"/>
      <w:jc w:val="both"/>
    </w:pPr>
    <w:rPr>
      <w:rFonts w:ascii="Times New Roman" w:hAnsi="Times New Roman" w:eastAsia="方正楷体_GB2312" w:cs="Times New Roman"/>
      <w:kern w:val="2"/>
      <w:sz w:val="21"/>
      <w:lang w:val="en-US" w:eastAsia="zh-CN" w:bidi="ar-SA"/>
    </w:rPr>
  </w:style>
  <w:style w:type="paragraph" w:customStyle="1" w:styleId="62">
    <w:name w:val="正文缩进1"/>
    <w:basedOn w:val="63"/>
    <w:qFormat/>
    <w:uiPriority w:val="0"/>
    <w:pPr>
      <w:widowControl w:val="0"/>
      <w:spacing w:line="360" w:lineRule="auto"/>
      <w:ind w:firstLine="200" w:firstLineChars="200"/>
      <w:jc w:val="both"/>
    </w:pPr>
    <w:rPr>
      <w:rFonts w:ascii="Times New Roman" w:hAnsi="Times New Roman" w:eastAsia="宋体"/>
      <w:kern w:val="2"/>
      <w:szCs w:val="22"/>
    </w:rPr>
  </w:style>
  <w:style w:type="paragraph" w:customStyle="1" w:styleId="63">
    <w:name w:val="正文1"/>
    <w:basedOn w:val="1"/>
    <w:qFormat/>
    <w:uiPriority w:val="0"/>
    <w:pPr>
      <w:spacing w:line="240" w:lineRule="atLeast"/>
      <w:jc w:val="center"/>
    </w:pPr>
    <w:rPr>
      <w:rFonts w:ascii="Tahoma" w:hAnsi="Tahoma"/>
      <w:sz w:val="24"/>
    </w:rPr>
  </w:style>
  <w:style w:type="paragraph" w:customStyle="1" w:styleId="64">
    <w:name w:val="WPSOffice手动目录 2"/>
    <w:qFormat/>
    <w:uiPriority w:val="0"/>
    <w:pPr>
      <w:ind w:left="200" w:leftChars="200"/>
    </w:pPr>
    <w:rPr>
      <w:rFonts w:ascii="Arial" w:hAnsi="Arial" w:eastAsia="Arial" w:cs="Times New Roman"/>
      <w:lang w:val="en-US" w:eastAsia="zh-CN" w:bidi="ar-SA"/>
    </w:rPr>
  </w:style>
  <w:style w:type="paragraph" w:customStyle="1" w:styleId="6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6">
    <w:name w:val="发文落款"/>
    <w:basedOn w:val="65"/>
    <w:qFormat/>
    <w:uiPriority w:val="0"/>
    <w:pPr>
      <w:ind w:left="4094" w:right="607" w:firstLine="0"/>
      <w:jc w:val="center"/>
    </w:pPr>
  </w:style>
  <w:style w:type="paragraph" w:customStyle="1" w:styleId="67">
    <w:name w:val="WPSOffice手动目录 1"/>
    <w:qFormat/>
    <w:uiPriority w:val="0"/>
    <w:rPr>
      <w:rFonts w:ascii="Arial" w:hAnsi="Arial" w:eastAsia="Arial" w:cs="Times New Roman"/>
      <w:lang w:val="en-US" w:eastAsia="zh-CN" w:bidi="ar-SA"/>
    </w:rPr>
  </w:style>
  <w:style w:type="paragraph" w:customStyle="1" w:styleId="68">
    <w:name w:val="Table Paragraph"/>
    <w:basedOn w:val="1"/>
    <w:qFormat/>
    <w:uiPriority w:val="0"/>
    <w:rPr>
      <w:sz w:val="24"/>
      <w:szCs w:val="24"/>
    </w:rPr>
  </w:style>
  <w:style w:type="paragraph" w:customStyle="1" w:styleId="69">
    <w:name w:val="WPSOffice手动目录 3"/>
    <w:qFormat/>
    <w:uiPriority w:val="0"/>
    <w:pPr>
      <w:ind w:left="400" w:leftChars="400"/>
    </w:pPr>
    <w:rPr>
      <w:rFonts w:ascii="Arial" w:hAnsi="Arial" w:eastAsia="Arial" w:cs="Times New Roman"/>
      <w:lang w:val="en-US" w:eastAsia="zh-CN" w:bidi="ar-SA"/>
    </w:rPr>
  </w:style>
  <w:style w:type="table" w:customStyle="1" w:styleId="70">
    <w:name w:val="Table Normal"/>
    <w:qFormat/>
    <w:uiPriority w:val="0"/>
    <w:tblPr>
      <w:tblCellMar>
        <w:top w:w="0" w:type="dxa"/>
        <w:left w:w="0" w:type="dxa"/>
        <w:bottom w:w="0" w:type="dxa"/>
        <w:right w:w="0" w:type="dxa"/>
      </w:tblCellMar>
    </w:tblPr>
  </w:style>
  <w:style w:type="paragraph" w:customStyle="1" w:styleId="71">
    <w:name w:val="0正文"/>
    <w:basedOn w:val="1"/>
    <w:qFormat/>
    <w:uiPriority w:val="0"/>
    <w:pPr>
      <w:spacing w:line="520" w:lineRule="atLeast"/>
      <w:ind w:firstLine="480" w:firstLineChars="200"/>
    </w:pPr>
    <w:rPr>
      <w:rFonts w:ascii="Times New Roman" w:hAnsi="Times New Roman" w:eastAsia="宋体"/>
      <w:sz w:val="24"/>
      <w:szCs w:val="24"/>
    </w:rPr>
  </w:style>
  <w:style w:type="paragraph" w:customStyle="1" w:styleId="72">
    <w:name w:val="Table Text"/>
    <w:basedOn w:val="1"/>
    <w:semiHidden/>
    <w:qFormat/>
    <w:uiPriority w:val="0"/>
    <w:rPr>
      <w:rFonts w:ascii="宋体" w:hAnsi="宋体"/>
      <w:sz w:val="24"/>
      <w:szCs w:val="24"/>
      <w:lang w:eastAsia="en-US"/>
    </w:rPr>
  </w:style>
  <w:style w:type="character" w:customStyle="1" w:styleId="73">
    <w:name w:val="font41"/>
    <w:qFormat/>
    <w:uiPriority w:val="0"/>
    <w:rPr>
      <w:rFonts w:hint="eastAsia" w:ascii="宋体" w:hAnsi="宋体" w:eastAsia="宋体"/>
      <w:color w:val="000000"/>
      <w:sz w:val="24"/>
      <w:szCs w:val="24"/>
      <w:u w:val="none"/>
    </w:rPr>
  </w:style>
  <w:style w:type="character" w:customStyle="1" w:styleId="74">
    <w:name w:val="font21"/>
    <w:qFormat/>
    <w:uiPriority w:val="0"/>
    <w:rPr>
      <w:rFonts w:hint="eastAsia" w:ascii="宋体" w:hAnsi="宋体" w:eastAsia="宋体"/>
      <w:b/>
      <w:color w:val="000000"/>
      <w:sz w:val="24"/>
      <w:szCs w:val="24"/>
      <w:u w:val="none"/>
    </w:rPr>
  </w:style>
  <w:style w:type="character" w:customStyle="1" w:styleId="75">
    <w:name w:val="font31"/>
    <w:qFormat/>
    <w:uiPriority w:val="0"/>
    <w:rPr>
      <w:rFonts w:ascii="Times New Roman" w:hAnsi="Times New Roman"/>
      <w:color w:val="000000"/>
      <w:sz w:val="24"/>
      <w:szCs w:val="24"/>
      <w:u w:val="none"/>
    </w:rPr>
  </w:style>
  <w:style w:type="character" w:customStyle="1" w:styleId="76">
    <w:name w:val="font01"/>
    <w:qFormat/>
    <w:uiPriority w:val="0"/>
    <w:rPr>
      <w:rFonts w:hint="eastAsia" w:ascii="宋体" w:hAnsi="宋体" w:eastAsia="宋体"/>
      <w:color w:val="000000"/>
      <w:sz w:val="24"/>
      <w:szCs w:val="24"/>
      <w:u w:val="none"/>
    </w:rPr>
  </w:style>
  <w:style w:type="character" w:customStyle="1" w:styleId="77">
    <w:name w:val="页眉 Char"/>
    <w:basedOn w:val="29"/>
    <w:link w:val="17"/>
    <w:qFormat/>
    <w:uiPriority w:val="0"/>
    <w:rPr>
      <w:rFonts w:ascii="Arial" w:hAnsi="Arial" w:eastAsia="Arial"/>
      <w:color w:val="000000"/>
      <w:sz w:val="18"/>
      <w:szCs w:val="18"/>
    </w:rPr>
  </w:style>
  <w:style w:type="character" w:customStyle="1" w:styleId="78">
    <w:name w:val="页脚 Char"/>
    <w:basedOn w:val="29"/>
    <w:link w:val="16"/>
    <w:qFormat/>
    <w:uiPriority w:val="99"/>
    <w:rPr>
      <w:rFonts w:ascii="Arial" w:hAnsi="Arial" w:eastAsia="Arial"/>
      <w:color w:val="000000"/>
      <w:sz w:val="18"/>
      <w:szCs w:val="18"/>
    </w:rPr>
  </w:style>
  <w:style w:type="character" w:customStyle="1" w:styleId="79">
    <w:name w:val="未处理的提及1"/>
    <w:basedOn w:val="29"/>
    <w:unhideWhenUsed/>
    <w:qFormat/>
    <w:uiPriority w:val="99"/>
    <w:rPr>
      <w:color w:val="605E5C"/>
      <w:shd w:val="clear" w:color="auto" w:fill="E1DFDD"/>
    </w:rPr>
  </w:style>
  <w:style w:type="paragraph" w:customStyle="1" w:styleId="80">
    <w:name w:val="Revision"/>
    <w:hidden/>
    <w:unhideWhenUsed/>
    <w:qFormat/>
    <w:uiPriority w:val="99"/>
    <w:rPr>
      <w:rFonts w:ascii="Arial" w:hAnsi="Arial" w:eastAsia="Arial" w:cs="Times New Roman"/>
      <w:color w:val="000000"/>
      <w:sz w:val="21"/>
      <w:szCs w:val="21"/>
      <w:lang w:val="en-US" w:eastAsia="zh-CN" w:bidi="ar-SA"/>
    </w:rPr>
  </w:style>
  <w:style w:type="character" w:customStyle="1" w:styleId="81">
    <w:name w:val="批注框文本 Char"/>
    <w:basedOn w:val="29"/>
    <w:link w:val="15"/>
    <w:qFormat/>
    <w:uiPriority w:val="0"/>
    <w:rPr>
      <w:rFonts w:ascii="Arial" w:hAnsi="Arial" w:eastAsia="Arial"/>
      <w:color w:val="000000"/>
      <w:sz w:val="18"/>
      <w:szCs w:val="18"/>
    </w:rPr>
  </w:style>
  <w:style w:type="paragraph" w:customStyle="1" w:styleId="82">
    <w:name w:val="No Spacing"/>
    <w:qFormat/>
    <w:uiPriority w:val="1"/>
    <w:pPr>
      <w:widowControl w:val="0"/>
      <w:snapToGrid w:val="0"/>
      <w:ind w:firstLine="200" w:firstLineChars="200"/>
      <w:jc w:val="both"/>
    </w:pPr>
    <w:rPr>
      <w:rFonts w:ascii="Times New Roman" w:hAnsi="Times New Roman" w:eastAsia="宋体" w:cs="Times New Roman"/>
      <w:kern w:val="2"/>
      <w:sz w:val="21"/>
      <w:szCs w:val="21"/>
      <w:lang w:val="en-US" w:eastAsia="zh-CN" w:bidi="ar-SA"/>
    </w:rPr>
  </w:style>
  <w:style w:type="paragraph" w:customStyle="1" w:styleId="83">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84">
    <w:name w:val="K&amp;W Normal"/>
    <w:qFormat/>
    <w:uiPriority w:val="0"/>
    <w:pPr>
      <w:spacing w:after="280" w:line="240" w:lineRule="atLeast"/>
      <w:jc w:val="both"/>
    </w:pPr>
    <w:rPr>
      <w:rFonts w:ascii="Arial" w:hAnsi="Arial" w:eastAsia="楷体_GB2312" w:cs="Times New Roman"/>
      <w:color w:val="000000"/>
      <w:sz w:val="21"/>
      <w:szCs w:val="22"/>
      <w:lang w:val="en-US" w:eastAsia="en-US" w:bidi="ar-SA"/>
    </w:rPr>
  </w:style>
  <w:style w:type="paragraph" w:customStyle="1" w:styleId="85">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86">
    <w:name w:val="正文缩进 New"/>
    <w:basedOn w:val="85"/>
    <w:qFormat/>
    <w:uiPriority w:val="0"/>
    <w:pPr>
      <w:ind w:firstLine="420"/>
    </w:pPr>
    <w:rPr>
      <w:rFonts w:ascii="Times New Roman" w:hAnsi="Times New Roman" w:cs="Times New Roman"/>
      <w:snapToGrid/>
      <w:kern w:val="2"/>
      <w:szCs w:val="20"/>
    </w:rPr>
  </w:style>
  <w:style w:type="paragraph" w:customStyle="1" w:styleId="87">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88">
    <w:name w:val="null3"/>
    <w:qFormat/>
    <w:uiPriority w:val="0"/>
    <w:rPr>
      <w:rFonts w:hint="eastAsia" w:ascii="Calibri" w:hAnsi="Calibri" w:eastAsia="宋体" w:cs="Times New Roman"/>
      <w:lang w:val="en-US" w:eastAsia="zh-Hans"/>
    </w:rPr>
  </w:style>
  <w:style w:type="paragraph" w:customStyle="1" w:styleId="89">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er" Target="footer1.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header" Target="header3.xml"/><Relationship Id="rId15" Type="http://schemas.openxmlformats.org/officeDocument/2006/relationships/footer" Target="footer11.xml"/><Relationship Id="rId14" Type="http://schemas.openxmlformats.org/officeDocument/2006/relationships/header" Target="header2.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74</Pages>
  <Words>1832</Words>
  <Characters>1953</Characters>
  <Lines>352</Lines>
  <Paragraphs>99</Paragraphs>
  <TotalTime>1</TotalTime>
  <ScaleCrop>false</ScaleCrop>
  <LinksUpToDate>false</LinksUpToDate>
  <CharactersWithSpaces>1985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2024-12-06T08:22:00Z</dcterms:created>
  <dc:creator>zane</dc:creator>
  <cp:lastModifiedBy>Administrator</cp:lastModifiedBy>
  <cp:lastPrinted>2025-07-30T07:59:00Z</cp:lastPrinted>
  <dcterms:modified xsi:type="dcterms:W3CDTF">2025-07-31T00:41:55Z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C466F900B486465BB317185D18163F5E_13</vt:lpwstr>
  </property>
  <property fmtid="{D5CDD505-2E9C-101B-9397-08002B2CF9AE}" pid="4" name="KSOTemplateDocerSaveRecord">
    <vt:lpwstr>eyJoZGlkIjoiN2UzOTM4ODdiNGFiZWViMGFhM2FlMDg5MDY4YjcyYWUiLCJ1c2VySWQiOiI0MDM1NzQ4NDgifQ==</vt:lpwstr>
  </property>
</Properties>
</file>