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98BD2">
      <w:pPr>
        <w:ind w:firstLine="480"/>
        <w:rPr>
          <w:color w:val="auto"/>
        </w:rPr>
      </w:pPr>
    </w:p>
    <w:p w14:paraId="7D059FAC">
      <w:pPr>
        <w:ind w:firstLine="480"/>
        <w:rPr>
          <w:color w:val="auto"/>
        </w:rPr>
      </w:pPr>
    </w:p>
    <w:p w14:paraId="5BCB8604">
      <w:pPr>
        <w:ind w:firstLineChars="0"/>
        <w:jc w:val="center"/>
        <w:rPr>
          <w:rFonts w:hint="eastAsia" w:ascii="宋体" w:hAnsi="宋体" w:cstheme="minorBidi"/>
          <w:bCs/>
          <w:color w:val="auto"/>
          <w:kern w:val="0"/>
          <w:sz w:val="48"/>
          <w:szCs w:val="48"/>
        </w:rPr>
      </w:pPr>
      <w:r>
        <w:rPr>
          <w:rFonts w:hint="eastAsia" w:ascii="宋体" w:hAnsi="宋体" w:cstheme="minorBidi"/>
          <w:bCs/>
          <w:color w:val="auto"/>
          <w:kern w:val="0"/>
          <w:sz w:val="48"/>
          <w:szCs w:val="48"/>
        </w:rPr>
        <w:t>南沙数字谷产业配套基础设施工程（一期）勘察及初步设计</w:t>
      </w:r>
    </w:p>
    <w:p w14:paraId="29E11D19">
      <w:pPr>
        <w:ind w:firstLine="480"/>
        <w:rPr>
          <w:color w:val="auto"/>
        </w:rPr>
      </w:pPr>
    </w:p>
    <w:p w14:paraId="3C261329">
      <w:pPr>
        <w:ind w:firstLine="480"/>
        <w:rPr>
          <w:color w:val="auto"/>
        </w:rPr>
      </w:pPr>
    </w:p>
    <w:p w14:paraId="1BB9E5E3">
      <w:pPr>
        <w:ind w:firstLine="480"/>
        <w:rPr>
          <w:color w:val="auto"/>
        </w:rPr>
      </w:pPr>
    </w:p>
    <w:p w14:paraId="45B4EEB6">
      <w:pPr>
        <w:ind w:firstLine="480"/>
        <w:rPr>
          <w:color w:val="auto"/>
        </w:rPr>
      </w:pPr>
    </w:p>
    <w:p w14:paraId="49368D44">
      <w:pPr>
        <w:ind w:firstLine="480"/>
        <w:rPr>
          <w:color w:val="auto"/>
        </w:rPr>
      </w:pPr>
    </w:p>
    <w:p w14:paraId="4CD638AD">
      <w:pPr>
        <w:ind w:firstLine="480"/>
        <w:rPr>
          <w:color w:val="auto"/>
        </w:rPr>
      </w:pPr>
    </w:p>
    <w:p w14:paraId="51492FEB">
      <w:pPr>
        <w:widowControl/>
        <w:spacing w:after="200" w:line="240" w:lineRule="auto"/>
        <w:ind w:firstLineChars="0"/>
        <w:jc w:val="center"/>
        <w:rPr>
          <w:rFonts w:hint="eastAsia" w:ascii="宋体" w:hAnsi="宋体" w:cstheme="minorBidi"/>
          <w:b/>
          <w:color w:val="auto"/>
          <w:kern w:val="0"/>
          <w:sz w:val="52"/>
          <w:szCs w:val="52"/>
        </w:rPr>
      </w:pPr>
      <w:r>
        <w:rPr>
          <w:rFonts w:hint="eastAsia" w:ascii="宋体" w:hAnsi="宋体" w:cstheme="minorBidi"/>
          <w:b/>
          <w:color w:val="auto"/>
          <w:kern w:val="0"/>
          <w:sz w:val="52"/>
          <w:szCs w:val="52"/>
        </w:rPr>
        <w:t xml:space="preserve">任 </w:t>
      </w:r>
      <w:r>
        <w:rPr>
          <w:rFonts w:ascii="宋体" w:hAnsi="宋体" w:cstheme="minorBidi"/>
          <w:b/>
          <w:color w:val="auto"/>
          <w:kern w:val="0"/>
          <w:sz w:val="52"/>
          <w:szCs w:val="52"/>
        </w:rPr>
        <w:t xml:space="preserve"> </w:t>
      </w:r>
      <w:r>
        <w:rPr>
          <w:rFonts w:hint="eastAsia" w:ascii="宋体" w:hAnsi="宋体" w:cstheme="minorBidi"/>
          <w:b/>
          <w:color w:val="auto"/>
          <w:kern w:val="0"/>
          <w:sz w:val="52"/>
          <w:szCs w:val="52"/>
        </w:rPr>
        <w:t xml:space="preserve">务 </w:t>
      </w:r>
      <w:r>
        <w:rPr>
          <w:rFonts w:ascii="宋体" w:hAnsi="宋体" w:cstheme="minorBidi"/>
          <w:b/>
          <w:color w:val="auto"/>
          <w:kern w:val="0"/>
          <w:sz w:val="52"/>
          <w:szCs w:val="52"/>
        </w:rPr>
        <w:t xml:space="preserve"> </w:t>
      </w:r>
      <w:r>
        <w:rPr>
          <w:rFonts w:hint="eastAsia" w:ascii="宋体" w:hAnsi="宋体" w:cstheme="minorBidi"/>
          <w:b/>
          <w:color w:val="auto"/>
          <w:kern w:val="0"/>
          <w:sz w:val="52"/>
          <w:szCs w:val="52"/>
        </w:rPr>
        <w:t>书</w:t>
      </w:r>
    </w:p>
    <w:p w14:paraId="7FC039DC">
      <w:pPr>
        <w:ind w:firstLine="480"/>
        <w:rPr>
          <w:color w:val="auto"/>
        </w:rPr>
      </w:pPr>
    </w:p>
    <w:p w14:paraId="0C78B7EB">
      <w:pPr>
        <w:ind w:firstLine="480"/>
        <w:rPr>
          <w:color w:val="auto"/>
        </w:rPr>
      </w:pPr>
    </w:p>
    <w:p w14:paraId="0E3463C1">
      <w:pPr>
        <w:ind w:firstLine="480"/>
        <w:rPr>
          <w:color w:val="auto"/>
        </w:rPr>
      </w:pPr>
    </w:p>
    <w:p w14:paraId="0AE38B21">
      <w:pPr>
        <w:ind w:firstLine="480"/>
        <w:rPr>
          <w:color w:val="auto"/>
        </w:rPr>
      </w:pPr>
    </w:p>
    <w:p w14:paraId="565D2450">
      <w:pPr>
        <w:ind w:firstLine="480"/>
        <w:rPr>
          <w:color w:val="auto"/>
        </w:rPr>
      </w:pPr>
    </w:p>
    <w:p w14:paraId="4E46FB29">
      <w:pPr>
        <w:ind w:firstLine="480"/>
        <w:rPr>
          <w:color w:val="auto"/>
        </w:rPr>
      </w:pPr>
    </w:p>
    <w:p w14:paraId="141E3587">
      <w:pPr>
        <w:ind w:firstLine="480"/>
        <w:rPr>
          <w:color w:val="auto"/>
        </w:rPr>
      </w:pPr>
    </w:p>
    <w:p w14:paraId="65F84984">
      <w:pPr>
        <w:ind w:firstLine="480"/>
        <w:rPr>
          <w:color w:val="auto"/>
        </w:rPr>
      </w:pPr>
    </w:p>
    <w:p w14:paraId="0129461E">
      <w:pPr>
        <w:ind w:firstLine="480"/>
        <w:rPr>
          <w:color w:val="auto"/>
        </w:rPr>
      </w:pPr>
    </w:p>
    <w:p w14:paraId="2773955D">
      <w:pPr>
        <w:ind w:firstLine="480"/>
        <w:rPr>
          <w:color w:val="auto"/>
        </w:rPr>
      </w:pPr>
    </w:p>
    <w:p w14:paraId="1835C790">
      <w:pPr>
        <w:ind w:firstLine="480"/>
        <w:rPr>
          <w:color w:val="auto"/>
        </w:rPr>
      </w:pPr>
    </w:p>
    <w:p w14:paraId="623595D2">
      <w:pPr>
        <w:ind w:firstLine="480"/>
        <w:rPr>
          <w:color w:val="auto"/>
        </w:rPr>
      </w:pPr>
    </w:p>
    <w:p w14:paraId="3CC18BD1">
      <w:pPr>
        <w:ind w:firstLine="720"/>
        <w:jc w:val="center"/>
        <w:rPr>
          <w:rFonts w:hint="eastAsia" w:ascii="宋体" w:hAnsi="宋体" w:cstheme="minorBidi"/>
          <w:bCs/>
          <w:color w:val="auto"/>
          <w:kern w:val="0"/>
          <w:sz w:val="36"/>
          <w:szCs w:val="36"/>
        </w:rPr>
      </w:pPr>
      <w:r>
        <w:rPr>
          <w:rFonts w:hint="eastAsia" w:ascii="宋体" w:hAnsi="宋体" w:cstheme="minorBidi"/>
          <w:bCs/>
          <w:color w:val="auto"/>
          <w:kern w:val="0"/>
          <w:sz w:val="36"/>
          <w:szCs w:val="36"/>
        </w:rPr>
        <w:t>广州市南沙新区产业园区开发建设管理局</w:t>
      </w:r>
    </w:p>
    <w:p w14:paraId="681DB015">
      <w:pPr>
        <w:ind w:firstLine="720"/>
        <w:jc w:val="center"/>
        <w:rPr>
          <w:rFonts w:hint="eastAsia" w:ascii="宋体" w:hAnsi="宋体" w:cstheme="minorBidi"/>
          <w:bCs/>
          <w:color w:val="auto"/>
          <w:kern w:val="0"/>
          <w:sz w:val="36"/>
          <w:szCs w:val="36"/>
        </w:rPr>
      </w:pPr>
      <w:r>
        <w:rPr>
          <w:rFonts w:hint="eastAsia" w:ascii="宋体" w:hAnsi="宋体" w:cstheme="minorBidi"/>
          <w:bCs/>
          <w:color w:val="auto"/>
          <w:kern w:val="0"/>
          <w:sz w:val="36"/>
          <w:szCs w:val="36"/>
        </w:rPr>
        <w:t>2025年</w:t>
      </w:r>
      <w:r>
        <w:rPr>
          <w:rFonts w:hint="eastAsia" w:ascii="宋体" w:hAnsi="宋体" w:cstheme="minorBidi"/>
          <w:bCs/>
          <w:color w:val="auto"/>
          <w:kern w:val="0"/>
          <w:sz w:val="36"/>
          <w:szCs w:val="36"/>
          <w:lang w:val="en-US" w:eastAsia="zh-CN"/>
        </w:rPr>
        <w:t>6</w:t>
      </w:r>
      <w:r>
        <w:rPr>
          <w:rFonts w:hint="eastAsia" w:ascii="宋体" w:hAnsi="宋体" w:cstheme="minorBidi"/>
          <w:bCs/>
          <w:color w:val="auto"/>
          <w:kern w:val="0"/>
          <w:sz w:val="36"/>
          <w:szCs w:val="36"/>
        </w:rPr>
        <w:t>月</w:t>
      </w:r>
    </w:p>
    <w:p w14:paraId="55F909B1">
      <w:pPr>
        <w:ind w:firstLine="480"/>
        <w:rPr>
          <w:color w:val="auto"/>
        </w:rPr>
      </w:pPr>
    </w:p>
    <w:p w14:paraId="4DF5B300">
      <w:pPr>
        <w:ind w:firstLine="480"/>
        <w:rPr>
          <w:color w:val="auto"/>
        </w:rPr>
      </w:pPr>
    </w:p>
    <w:p w14:paraId="65E0EFD3">
      <w:pPr>
        <w:ind w:firstLine="480"/>
        <w:rPr>
          <w:color w:val="auto"/>
        </w:rPr>
        <w:sectPr>
          <w:headerReference r:id="rId5" w:type="default"/>
          <w:headerReference r:id="rId6" w:type="even"/>
          <w:footerReference r:id="rId7" w:type="even"/>
          <w:pgSz w:w="11906" w:h="16838"/>
          <w:pgMar w:top="1588" w:right="1247" w:bottom="1247" w:left="1588" w:header="1021" w:footer="851" w:gutter="0"/>
          <w:pgNumType w:start="1"/>
          <w:cols w:space="425" w:num="1"/>
          <w:docGrid w:linePitch="312" w:charSpace="0"/>
        </w:sectPr>
      </w:pPr>
    </w:p>
    <w:p w14:paraId="015D4FEB">
      <w:pPr>
        <w:pStyle w:val="35"/>
        <w:rPr>
          <w:color w:val="auto"/>
        </w:rPr>
      </w:pPr>
      <w:r>
        <w:rPr>
          <w:rFonts w:hint="eastAsia"/>
          <w:color w:val="auto"/>
        </w:rPr>
        <w:t>目  录</w:t>
      </w:r>
    </w:p>
    <w:p w14:paraId="73CF8AD0">
      <w:pPr>
        <w:pStyle w:val="17"/>
        <w:tabs>
          <w:tab w:val="right" w:leader="dot" w:pos="9071"/>
        </w:tabs>
        <w:rPr>
          <w:color w:val="auto"/>
        </w:rPr>
      </w:pPr>
      <w:r>
        <w:rPr>
          <w:color w:val="auto"/>
        </w:rPr>
        <w:fldChar w:fldCharType="begin"/>
      </w:r>
      <w:r>
        <w:rPr>
          <w:color w:val="auto"/>
        </w:rPr>
        <w:instrText xml:space="preserve"> </w:instrText>
      </w:r>
      <w:r>
        <w:rPr>
          <w:rFonts w:hint="eastAsia"/>
          <w:color w:val="auto"/>
        </w:rPr>
        <w:instrText xml:space="preserve"> TOC \o "1-2" \h \z \u</w:instrText>
      </w:r>
      <w:r>
        <w:rPr>
          <w:color w:val="auto"/>
        </w:rPr>
        <w:instrText xml:space="preserve"> </w:instrText>
      </w:r>
      <w:r>
        <w:rPr>
          <w:color w:val="auto"/>
        </w:rPr>
        <w:fldChar w:fldCharType="separate"/>
      </w:r>
      <w:r>
        <w:fldChar w:fldCharType="begin"/>
      </w:r>
      <w:r>
        <w:instrText xml:space="preserve"> HYPERLINK \l "_Toc8897" </w:instrText>
      </w:r>
      <w:r>
        <w:fldChar w:fldCharType="separate"/>
      </w:r>
      <w:r>
        <w:rPr>
          <w:rFonts w:hint="eastAsia" w:ascii="Times NewRoman"/>
          <w:color w:val="auto"/>
          <w:szCs w:val="44"/>
        </w:rPr>
        <w:t xml:space="preserve">第一章 </w:t>
      </w:r>
      <w:r>
        <w:rPr>
          <w:rFonts w:hint="eastAsia"/>
          <w:color w:val="auto"/>
        </w:rPr>
        <w:t>总 则</w:t>
      </w:r>
      <w:r>
        <w:rPr>
          <w:color w:val="auto"/>
        </w:rPr>
        <w:tab/>
      </w:r>
      <w:r>
        <w:rPr>
          <w:color w:val="auto"/>
        </w:rPr>
        <w:fldChar w:fldCharType="begin"/>
      </w:r>
      <w:r>
        <w:rPr>
          <w:color w:val="auto"/>
        </w:rPr>
        <w:instrText xml:space="preserve"> PAGEREF _Toc8897 \h </w:instrText>
      </w:r>
      <w:r>
        <w:rPr>
          <w:color w:val="auto"/>
        </w:rPr>
        <w:fldChar w:fldCharType="separate"/>
      </w:r>
      <w:r>
        <w:rPr>
          <w:color w:val="auto"/>
        </w:rPr>
        <w:t>1</w:t>
      </w:r>
      <w:r>
        <w:rPr>
          <w:color w:val="auto"/>
        </w:rPr>
        <w:fldChar w:fldCharType="end"/>
      </w:r>
      <w:r>
        <w:rPr>
          <w:color w:val="auto"/>
        </w:rPr>
        <w:fldChar w:fldCharType="end"/>
      </w:r>
    </w:p>
    <w:p w14:paraId="7C0D405A">
      <w:pPr>
        <w:pStyle w:val="20"/>
        <w:tabs>
          <w:tab w:val="right" w:leader="dot" w:pos="9071"/>
        </w:tabs>
        <w:rPr>
          <w:color w:val="auto"/>
        </w:rPr>
      </w:pPr>
      <w:r>
        <w:fldChar w:fldCharType="begin"/>
      </w:r>
      <w:r>
        <w:instrText xml:space="preserve"> HYPERLINK \l "_Toc24289" </w:instrText>
      </w:r>
      <w:r>
        <w:fldChar w:fldCharType="separate"/>
      </w:r>
      <w:r>
        <w:rPr>
          <w:rFonts w:hint="eastAsia" w:ascii="Times NewRoman"/>
          <w:color w:val="auto"/>
        </w:rPr>
        <w:t xml:space="preserve">1.1 </w:t>
      </w:r>
      <w:r>
        <w:rPr>
          <w:rFonts w:hint="eastAsia"/>
          <w:color w:val="auto"/>
        </w:rPr>
        <w:t>项目名称</w:t>
      </w:r>
      <w:r>
        <w:rPr>
          <w:color w:val="auto"/>
        </w:rPr>
        <w:tab/>
      </w:r>
      <w:r>
        <w:rPr>
          <w:color w:val="auto"/>
        </w:rPr>
        <w:fldChar w:fldCharType="begin"/>
      </w:r>
      <w:r>
        <w:rPr>
          <w:color w:val="auto"/>
        </w:rPr>
        <w:instrText xml:space="preserve"> PAGEREF _Toc24289 \h </w:instrText>
      </w:r>
      <w:r>
        <w:rPr>
          <w:color w:val="auto"/>
        </w:rPr>
        <w:fldChar w:fldCharType="separate"/>
      </w:r>
      <w:r>
        <w:rPr>
          <w:color w:val="auto"/>
        </w:rPr>
        <w:t>1</w:t>
      </w:r>
      <w:r>
        <w:rPr>
          <w:color w:val="auto"/>
        </w:rPr>
        <w:fldChar w:fldCharType="end"/>
      </w:r>
      <w:r>
        <w:rPr>
          <w:color w:val="auto"/>
        </w:rPr>
        <w:fldChar w:fldCharType="end"/>
      </w:r>
    </w:p>
    <w:p w14:paraId="236AAC91">
      <w:pPr>
        <w:pStyle w:val="20"/>
        <w:tabs>
          <w:tab w:val="right" w:leader="dot" w:pos="9071"/>
        </w:tabs>
        <w:rPr>
          <w:color w:val="auto"/>
        </w:rPr>
      </w:pPr>
      <w:r>
        <w:fldChar w:fldCharType="begin"/>
      </w:r>
      <w:r>
        <w:instrText xml:space="preserve"> HYPERLINK \l "_Toc28873" </w:instrText>
      </w:r>
      <w:r>
        <w:fldChar w:fldCharType="separate"/>
      </w:r>
      <w:r>
        <w:rPr>
          <w:rFonts w:hint="eastAsia" w:ascii="Times NewRoman"/>
          <w:color w:val="auto"/>
        </w:rPr>
        <w:t xml:space="preserve">1.2 </w:t>
      </w:r>
      <w:r>
        <w:rPr>
          <w:rFonts w:hint="eastAsia"/>
          <w:color w:val="auto"/>
        </w:rPr>
        <w:t>建设单位</w:t>
      </w:r>
      <w:r>
        <w:rPr>
          <w:color w:val="auto"/>
        </w:rPr>
        <w:tab/>
      </w:r>
      <w:r>
        <w:rPr>
          <w:color w:val="auto"/>
        </w:rPr>
        <w:fldChar w:fldCharType="begin"/>
      </w:r>
      <w:r>
        <w:rPr>
          <w:color w:val="auto"/>
        </w:rPr>
        <w:instrText xml:space="preserve"> PAGEREF _Toc28873 \h </w:instrText>
      </w:r>
      <w:r>
        <w:rPr>
          <w:color w:val="auto"/>
        </w:rPr>
        <w:fldChar w:fldCharType="separate"/>
      </w:r>
      <w:r>
        <w:rPr>
          <w:color w:val="auto"/>
        </w:rPr>
        <w:t>1</w:t>
      </w:r>
      <w:r>
        <w:rPr>
          <w:color w:val="auto"/>
        </w:rPr>
        <w:fldChar w:fldCharType="end"/>
      </w:r>
      <w:r>
        <w:rPr>
          <w:color w:val="auto"/>
        </w:rPr>
        <w:fldChar w:fldCharType="end"/>
      </w:r>
    </w:p>
    <w:p w14:paraId="4E6AF17E">
      <w:pPr>
        <w:pStyle w:val="20"/>
        <w:tabs>
          <w:tab w:val="right" w:leader="dot" w:pos="9071"/>
        </w:tabs>
        <w:rPr>
          <w:color w:val="auto"/>
        </w:rPr>
      </w:pPr>
      <w:r>
        <w:fldChar w:fldCharType="begin"/>
      </w:r>
      <w:r>
        <w:instrText xml:space="preserve"> HYPERLINK \l "_Toc804" </w:instrText>
      </w:r>
      <w:r>
        <w:fldChar w:fldCharType="separate"/>
      </w:r>
      <w:r>
        <w:rPr>
          <w:rFonts w:hint="eastAsia" w:ascii="Times NewRoman"/>
          <w:color w:val="auto"/>
        </w:rPr>
        <w:t xml:space="preserve">1.3 </w:t>
      </w:r>
      <w:r>
        <w:rPr>
          <w:rFonts w:hint="eastAsia"/>
          <w:color w:val="auto"/>
        </w:rPr>
        <w:t>地理位置</w:t>
      </w:r>
      <w:r>
        <w:rPr>
          <w:color w:val="auto"/>
        </w:rPr>
        <w:tab/>
      </w:r>
      <w:r>
        <w:rPr>
          <w:color w:val="auto"/>
        </w:rPr>
        <w:fldChar w:fldCharType="begin"/>
      </w:r>
      <w:r>
        <w:rPr>
          <w:color w:val="auto"/>
        </w:rPr>
        <w:instrText xml:space="preserve"> PAGEREF _Toc804 \h </w:instrText>
      </w:r>
      <w:r>
        <w:rPr>
          <w:color w:val="auto"/>
        </w:rPr>
        <w:fldChar w:fldCharType="separate"/>
      </w:r>
      <w:r>
        <w:rPr>
          <w:color w:val="auto"/>
        </w:rPr>
        <w:t>1</w:t>
      </w:r>
      <w:r>
        <w:rPr>
          <w:color w:val="auto"/>
        </w:rPr>
        <w:fldChar w:fldCharType="end"/>
      </w:r>
      <w:r>
        <w:rPr>
          <w:color w:val="auto"/>
        </w:rPr>
        <w:fldChar w:fldCharType="end"/>
      </w:r>
    </w:p>
    <w:p w14:paraId="77BF5F2A">
      <w:pPr>
        <w:pStyle w:val="20"/>
        <w:tabs>
          <w:tab w:val="right" w:leader="dot" w:pos="9071"/>
        </w:tabs>
        <w:rPr>
          <w:color w:val="auto"/>
        </w:rPr>
      </w:pPr>
      <w:r>
        <w:fldChar w:fldCharType="begin"/>
      </w:r>
      <w:r>
        <w:instrText xml:space="preserve"> HYPERLINK \l "_Toc25358" </w:instrText>
      </w:r>
      <w:r>
        <w:fldChar w:fldCharType="separate"/>
      </w:r>
      <w:r>
        <w:rPr>
          <w:rFonts w:hint="eastAsia" w:ascii="Times NewRoman"/>
          <w:color w:val="auto"/>
        </w:rPr>
        <w:t xml:space="preserve">1.4 </w:t>
      </w:r>
      <w:r>
        <w:rPr>
          <w:rFonts w:hint="eastAsia"/>
          <w:color w:val="auto"/>
        </w:rPr>
        <w:t>建设内容与规模</w:t>
      </w:r>
      <w:r>
        <w:rPr>
          <w:color w:val="auto"/>
        </w:rPr>
        <w:tab/>
      </w:r>
      <w:r>
        <w:rPr>
          <w:color w:val="auto"/>
        </w:rPr>
        <w:fldChar w:fldCharType="begin"/>
      </w:r>
      <w:r>
        <w:rPr>
          <w:color w:val="auto"/>
        </w:rPr>
        <w:instrText xml:space="preserve"> PAGEREF _Toc25358 \h </w:instrText>
      </w:r>
      <w:r>
        <w:rPr>
          <w:color w:val="auto"/>
        </w:rPr>
        <w:fldChar w:fldCharType="separate"/>
      </w:r>
      <w:r>
        <w:rPr>
          <w:color w:val="auto"/>
        </w:rPr>
        <w:t>1</w:t>
      </w:r>
      <w:r>
        <w:rPr>
          <w:color w:val="auto"/>
        </w:rPr>
        <w:fldChar w:fldCharType="end"/>
      </w:r>
      <w:r>
        <w:rPr>
          <w:color w:val="auto"/>
        </w:rPr>
        <w:fldChar w:fldCharType="end"/>
      </w:r>
    </w:p>
    <w:p w14:paraId="03B2B9C9">
      <w:pPr>
        <w:pStyle w:val="17"/>
        <w:tabs>
          <w:tab w:val="right" w:leader="dot" w:pos="9071"/>
        </w:tabs>
        <w:rPr>
          <w:color w:val="auto"/>
        </w:rPr>
      </w:pPr>
      <w:r>
        <w:fldChar w:fldCharType="begin"/>
      </w:r>
      <w:r>
        <w:instrText xml:space="preserve"> HYPERLINK \l "_Toc28880" </w:instrText>
      </w:r>
      <w:r>
        <w:fldChar w:fldCharType="separate"/>
      </w:r>
      <w:r>
        <w:rPr>
          <w:rFonts w:hint="eastAsia" w:ascii="Times NewRoman"/>
          <w:color w:val="auto"/>
          <w:szCs w:val="44"/>
        </w:rPr>
        <w:t xml:space="preserve">第二章 </w:t>
      </w:r>
      <w:r>
        <w:rPr>
          <w:rFonts w:hint="eastAsia"/>
          <w:color w:val="auto"/>
        </w:rPr>
        <w:t>规划情况</w:t>
      </w:r>
      <w:r>
        <w:rPr>
          <w:color w:val="auto"/>
        </w:rPr>
        <w:tab/>
      </w:r>
      <w:r>
        <w:rPr>
          <w:color w:val="auto"/>
        </w:rPr>
        <w:fldChar w:fldCharType="begin"/>
      </w:r>
      <w:r>
        <w:rPr>
          <w:color w:val="auto"/>
        </w:rPr>
        <w:instrText xml:space="preserve"> PAGEREF _Toc28880 \h </w:instrText>
      </w:r>
      <w:r>
        <w:rPr>
          <w:color w:val="auto"/>
        </w:rPr>
        <w:fldChar w:fldCharType="separate"/>
      </w:r>
      <w:r>
        <w:rPr>
          <w:color w:val="auto"/>
        </w:rPr>
        <w:t>3</w:t>
      </w:r>
      <w:r>
        <w:rPr>
          <w:color w:val="auto"/>
        </w:rPr>
        <w:fldChar w:fldCharType="end"/>
      </w:r>
      <w:r>
        <w:rPr>
          <w:color w:val="auto"/>
        </w:rPr>
        <w:fldChar w:fldCharType="end"/>
      </w:r>
    </w:p>
    <w:p w14:paraId="7A8DFA4E">
      <w:pPr>
        <w:pStyle w:val="17"/>
        <w:tabs>
          <w:tab w:val="right" w:leader="dot" w:pos="9071"/>
        </w:tabs>
        <w:rPr>
          <w:color w:val="auto"/>
        </w:rPr>
      </w:pPr>
      <w:r>
        <w:fldChar w:fldCharType="begin"/>
      </w:r>
      <w:r>
        <w:instrText xml:space="preserve"> HYPERLINK \l "_Toc10163" </w:instrText>
      </w:r>
      <w:r>
        <w:fldChar w:fldCharType="separate"/>
      </w:r>
      <w:r>
        <w:rPr>
          <w:rFonts w:hint="eastAsia" w:ascii="Times NewRoman"/>
          <w:color w:val="auto"/>
          <w:szCs w:val="44"/>
        </w:rPr>
        <w:t xml:space="preserve">第三章 </w:t>
      </w:r>
      <w:r>
        <w:rPr>
          <w:rFonts w:hint="eastAsia"/>
          <w:color w:val="auto"/>
        </w:rPr>
        <w:t>工程总体设计原则及要求</w:t>
      </w:r>
      <w:r>
        <w:rPr>
          <w:color w:val="auto"/>
        </w:rPr>
        <w:tab/>
      </w:r>
      <w:r>
        <w:rPr>
          <w:color w:val="auto"/>
        </w:rPr>
        <w:fldChar w:fldCharType="begin"/>
      </w:r>
      <w:r>
        <w:rPr>
          <w:color w:val="auto"/>
        </w:rPr>
        <w:instrText xml:space="preserve"> PAGEREF _Toc10163 \h </w:instrText>
      </w:r>
      <w:r>
        <w:rPr>
          <w:color w:val="auto"/>
        </w:rPr>
        <w:fldChar w:fldCharType="separate"/>
      </w:r>
      <w:r>
        <w:rPr>
          <w:color w:val="auto"/>
        </w:rPr>
        <w:t>4</w:t>
      </w:r>
      <w:r>
        <w:rPr>
          <w:color w:val="auto"/>
        </w:rPr>
        <w:fldChar w:fldCharType="end"/>
      </w:r>
      <w:r>
        <w:rPr>
          <w:color w:val="auto"/>
        </w:rPr>
        <w:fldChar w:fldCharType="end"/>
      </w:r>
    </w:p>
    <w:p w14:paraId="33C87B92">
      <w:pPr>
        <w:pStyle w:val="20"/>
        <w:tabs>
          <w:tab w:val="right" w:leader="dot" w:pos="9071"/>
        </w:tabs>
        <w:rPr>
          <w:color w:val="auto"/>
        </w:rPr>
      </w:pPr>
      <w:r>
        <w:fldChar w:fldCharType="begin"/>
      </w:r>
      <w:r>
        <w:instrText xml:space="preserve"> HYPERLINK \l "_Toc26753" </w:instrText>
      </w:r>
      <w:r>
        <w:fldChar w:fldCharType="separate"/>
      </w:r>
      <w:r>
        <w:rPr>
          <w:rFonts w:hint="eastAsia" w:ascii="Times NewRoman"/>
          <w:color w:val="auto"/>
        </w:rPr>
        <w:t xml:space="preserve">3.1 </w:t>
      </w:r>
      <w:r>
        <w:rPr>
          <w:rFonts w:hint="eastAsia"/>
          <w:color w:val="auto"/>
        </w:rPr>
        <w:t>总体设计原则</w:t>
      </w:r>
      <w:r>
        <w:rPr>
          <w:color w:val="auto"/>
        </w:rPr>
        <w:tab/>
      </w:r>
      <w:r>
        <w:rPr>
          <w:color w:val="auto"/>
        </w:rPr>
        <w:fldChar w:fldCharType="begin"/>
      </w:r>
      <w:r>
        <w:rPr>
          <w:color w:val="auto"/>
        </w:rPr>
        <w:instrText xml:space="preserve"> PAGEREF _Toc26753 \h </w:instrText>
      </w:r>
      <w:r>
        <w:rPr>
          <w:color w:val="auto"/>
        </w:rPr>
        <w:fldChar w:fldCharType="separate"/>
      </w:r>
      <w:r>
        <w:rPr>
          <w:color w:val="auto"/>
        </w:rPr>
        <w:t>4</w:t>
      </w:r>
      <w:r>
        <w:rPr>
          <w:color w:val="auto"/>
        </w:rPr>
        <w:fldChar w:fldCharType="end"/>
      </w:r>
      <w:r>
        <w:rPr>
          <w:color w:val="auto"/>
        </w:rPr>
        <w:fldChar w:fldCharType="end"/>
      </w:r>
    </w:p>
    <w:p w14:paraId="2D3965FC">
      <w:pPr>
        <w:pStyle w:val="20"/>
        <w:tabs>
          <w:tab w:val="right" w:leader="dot" w:pos="9071"/>
        </w:tabs>
        <w:rPr>
          <w:color w:val="auto"/>
        </w:rPr>
      </w:pPr>
      <w:r>
        <w:fldChar w:fldCharType="begin"/>
      </w:r>
      <w:r>
        <w:instrText xml:space="preserve"> HYPERLINK \l "_Toc9188" </w:instrText>
      </w:r>
      <w:r>
        <w:fldChar w:fldCharType="separate"/>
      </w:r>
      <w:r>
        <w:rPr>
          <w:rFonts w:hint="eastAsia" w:ascii="Times NewRoman"/>
          <w:color w:val="auto"/>
        </w:rPr>
        <w:t xml:space="preserve">3.2 </w:t>
      </w:r>
      <w:r>
        <w:rPr>
          <w:rFonts w:hint="eastAsia"/>
          <w:color w:val="auto"/>
        </w:rPr>
        <w:t>设计总体要求</w:t>
      </w:r>
      <w:r>
        <w:rPr>
          <w:color w:val="auto"/>
        </w:rPr>
        <w:tab/>
      </w:r>
      <w:r>
        <w:rPr>
          <w:color w:val="auto"/>
        </w:rPr>
        <w:fldChar w:fldCharType="begin"/>
      </w:r>
      <w:r>
        <w:rPr>
          <w:color w:val="auto"/>
        </w:rPr>
        <w:instrText xml:space="preserve"> PAGEREF _Toc9188 \h </w:instrText>
      </w:r>
      <w:r>
        <w:rPr>
          <w:color w:val="auto"/>
        </w:rPr>
        <w:fldChar w:fldCharType="separate"/>
      </w:r>
      <w:r>
        <w:rPr>
          <w:color w:val="auto"/>
        </w:rPr>
        <w:t>5</w:t>
      </w:r>
      <w:r>
        <w:rPr>
          <w:color w:val="auto"/>
        </w:rPr>
        <w:fldChar w:fldCharType="end"/>
      </w:r>
      <w:r>
        <w:rPr>
          <w:color w:val="auto"/>
        </w:rPr>
        <w:fldChar w:fldCharType="end"/>
      </w:r>
    </w:p>
    <w:p w14:paraId="0E0A3523">
      <w:pPr>
        <w:pStyle w:val="17"/>
        <w:tabs>
          <w:tab w:val="right" w:leader="dot" w:pos="9071"/>
        </w:tabs>
        <w:rPr>
          <w:color w:val="auto"/>
        </w:rPr>
      </w:pPr>
      <w:r>
        <w:fldChar w:fldCharType="begin"/>
      </w:r>
      <w:r>
        <w:instrText xml:space="preserve"> HYPERLINK \l "_Toc11712" </w:instrText>
      </w:r>
      <w:r>
        <w:fldChar w:fldCharType="separate"/>
      </w:r>
      <w:r>
        <w:rPr>
          <w:rFonts w:hint="eastAsia" w:ascii="Times NewRoman"/>
          <w:color w:val="auto"/>
          <w:szCs w:val="44"/>
        </w:rPr>
        <w:t xml:space="preserve">第四章 </w:t>
      </w:r>
      <w:r>
        <w:rPr>
          <w:rFonts w:hint="eastAsia"/>
          <w:color w:val="auto"/>
        </w:rPr>
        <w:t>勘察内容及工作任务</w:t>
      </w:r>
      <w:r>
        <w:rPr>
          <w:color w:val="auto"/>
        </w:rPr>
        <w:tab/>
      </w:r>
      <w:r>
        <w:rPr>
          <w:color w:val="auto"/>
        </w:rPr>
        <w:fldChar w:fldCharType="begin"/>
      </w:r>
      <w:r>
        <w:rPr>
          <w:color w:val="auto"/>
        </w:rPr>
        <w:instrText xml:space="preserve"> PAGEREF _Toc11712 \h </w:instrText>
      </w:r>
      <w:r>
        <w:rPr>
          <w:color w:val="auto"/>
        </w:rPr>
        <w:fldChar w:fldCharType="separate"/>
      </w:r>
      <w:r>
        <w:rPr>
          <w:color w:val="auto"/>
        </w:rPr>
        <w:t>7</w:t>
      </w:r>
      <w:r>
        <w:rPr>
          <w:color w:val="auto"/>
        </w:rPr>
        <w:fldChar w:fldCharType="end"/>
      </w:r>
      <w:r>
        <w:rPr>
          <w:color w:val="auto"/>
        </w:rPr>
        <w:fldChar w:fldCharType="end"/>
      </w:r>
    </w:p>
    <w:p w14:paraId="38A54938">
      <w:pPr>
        <w:pStyle w:val="20"/>
        <w:tabs>
          <w:tab w:val="right" w:leader="dot" w:pos="9071"/>
        </w:tabs>
        <w:rPr>
          <w:color w:val="auto"/>
        </w:rPr>
      </w:pPr>
      <w:r>
        <w:fldChar w:fldCharType="begin"/>
      </w:r>
      <w:r>
        <w:instrText xml:space="preserve"> HYPERLINK \l "_Toc31697" </w:instrText>
      </w:r>
      <w:r>
        <w:fldChar w:fldCharType="separate"/>
      </w:r>
      <w:r>
        <w:rPr>
          <w:rFonts w:hint="eastAsia" w:ascii="Times NewRoman"/>
          <w:color w:val="auto"/>
        </w:rPr>
        <w:t xml:space="preserve">4.1 </w:t>
      </w:r>
      <w:r>
        <w:rPr>
          <w:rFonts w:hint="eastAsia"/>
          <w:color w:val="auto"/>
        </w:rPr>
        <w:t>勘察设计范围</w:t>
      </w:r>
      <w:r>
        <w:rPr>
          <w:color w:val="auto"/>
        </w:rPr>
        <w:tab/>
      </w:r>
      <w:r>
        <w:rPr>
          <w:color w:val="auto"/>
        </w:rPr>
        <w:fldChar w:fldCharType="begin"/>
      </w:r>
      <w:r>
        <w:rPr>
          <w:color w:val="auto"/>
        </w:rPr>
        <w:instrText xml:space="preserve"> PAGEREF _Toc31697 \h </w:instrText>
      </w:r>
      <w:r>
        <w:rPr>
          <w:color w:val="auto"/>
        </w:rPr>
        <w:fldChar w:fldCharType="separate"/>
      </w:r>
      <w:r>
        <w:rPr>
          <w:color w:val="auto"/>
        </w:rPr>
        <w:t>7</w:t>
      </w:r>
      <w:r>
        <w:rPr>
          <w:color w:val="auto"/>
        </w:rPr>
        <w:fldChar w:fldCharType="end"/>
      </w:r>
      <w:r>
        <w:rPr>
          <w:color w:val="auto"/>
        </w:rPr>
        <w:fldChar w:fldCharType="end"/>
      </w:r>
    </w:p>
    <w:p w14:paraId="37F6CA74">
      <w:pPr>
        <w:pStyle w:val="20"/>
        <w:tabs>
          <w:tab w:val="right" w:leader="dot" w:pos="9071"/>
        </w:tabs>
        <w:rPr>
          <w:color w:val="auto"/>
        </w:rPr>
      </w:pPr>
      <w:r>
        <w:fldChar w:fldCharType="begin"/>
      </w:r>
      <w:r>
        <w:instrText xml:space="preserve"> HYPERLINK \l "_Toc12194" </w:instrText>
      </w:r>
      <w:r>
        <w:fldChar w:fldCharType="separate"/>
      </w:r>
      <w:r>
        <w:rPr>
          <w:rFonts w:hint="eastAsia" w:ascii="Times NewRoman"/>
          <w:color w:val="auto"/>
        </w:rPr>
        <w:t xml:space="preserve">4.2 </w:t>
      </w:r>
      <w:r>
        <w:rPr>
          <w:rFonts w:hint="eastAsia"/>
          <w:color w:val="auto"/>
        </w:rPr>
        <w:t>勘测内容</w:t>
      </w:r>
      <w:r>
        <w:rPr>
          <w:color w:val="auto"/>
        </w:rPr>
        <w:tab/>
      </w:r>
      <w:r>
        <w:rPr>
          <w:color w:val="auto"/>
        </w:rPr>
        <w:fldChar w:fldCharType="begin"/>
      </w:r>
      <w:r>
        <w:rPr>
          <w:color w:val="auto"/>
        </w:rPr>
        <w:instrText xml:space="preserve"> PAGEREF _Toc12194 \h </w:instrText>
      </w:r>
      <w:r>
        <w:rPr>
          <w:color w:val="auto"/>
        </w:rPr>
        <w:fldChar w:fldCharType="separate"/>
      </w:r>
      <w:r>
        <w:rPr>
          <w:color w:val="auto"/>
        </w:rPr>
        <w:t>7</w:t>
      </w:r>
      <w:r>
        <w:rPr>
          <w:color w:val="auto"/>
        </w:rPr>
        <w:fldChar w:fldCharType="end"/>
      </w:r>
      <w:r>
        <w:rPr>
          <w:color w:val="auto"/>
        </w:rPr>
        <w:fldChar w:fldCharType="end"/>
      </w:r>
    </w:p>
    <w:p w14:paraId="11C18734">
      <w:pPr>
        <w:pStyle w:val="20"/>
        <w:tabs>
          <w:tab w:val="right" w:leader="dot" w:pos="9071"/>
        </w:tabs>
        <w:rPr>
          <w:color w:val="auto"/>
        </w:rPr>
      </w:pPr>
      <w:r>
        <w:fldChar w:fldCharType="begin"/>
      </w:r>
      <w:r>
        <w:instrText xml:space="preserve"> HYPERLINK \l "_Toc22353" </w:instrText>
      </w:r>
      <w:r>
        <w:fldChar w:fldCharType="separate"/>
      </w:r>
      <w:r>
        <w:rPr>
          <w:rFonts w:hint="eastAsia" w:ascii="Times NewRoman"/>
          <w:color w:val="auto"/>
        </w:rPr>
        <w:t xml:space="preserve">4.3 </w:t>
      </w:r>
      <w:r>
        <w:rPr>
          <w:rFonts w:hint="eastAsia"/>
          <w:color w:val="auto"/>
        </w:rPr>
        <w:t>设计内容</w:t>
      </w:r>
      <w:r>
        <w:rPr>
          <w:color w:val="auto"/>
        </w:rPr>
        <w:tab/>
      </w:r>
      <w:r>
        <w:rPr>
          <w:color w:val="auto"/>
        </w:rPr>
        <w:fldChar w:fldCharType="begin"/>
      </w:r>
      <w:r>
        <w:rPr>
          <w:color w:val="auto"/>
        </w:rPr>
        <w:instrText xml:space="preserve"> PAGEREF _Toc22353 \h </w:instrText>
      </w:r>
      <w:r>
        <w:rPr>
          <w:color w:val="auto"/>
        </w:rPr>
        <w:fldChar w:fldCharType="separate"/>
      </w:r>
      <w:r>
        <w:rPr>
          <w:color w:val="auto"/>
        </w:rPr>
        <w:t>8</w:t>
      </w:r>
      <w:r>
        <w:rPr>
          <w:color w:val="auto"/>
        </w:rPr>
        <w:fldChar w:fldCharType="end"/>
      </w:r>
      <w:r>
        <w:rPr>
          <w:color w:val="auto"/>
        </w:rPr>
        <w:fldChar w:fldCharType="end"/>
      </w:r>
    </w:p>
    <w:p w14:paraId="486C9F2C">
      <w:pPr>
        <w:pStyle w:val="17"/>
        <w:tabs>
          <w:tab w:val="right" w:leader="dot" w:pos="9071"/>
        </w:tabs>
        <w:rPr>
          <w:color w:val="auto"/>
        </w:rPr>
      </w:pPr>
      <w:r>
        <w:fldChar w:fldCharType="begin"/>
      </w:r>
      <w:r>
        <w:instrText xml:space="preserve"> HYPERLINK \l "_Toc32598" </w:instrText>
      </w:r>
      <w:r>
        <w:fldChar w:fldCharType="separate"/>
      </w:r>
      <w:r>
        <w:rPr>
          <w:rFonts w:hint="eastAsia" w:ascii="Times NewRoman"/>
          <w:color w:val="auto"/>
          <w:szCs w:val="44"/>
        </w:rPr>
        <w:t xml:space="preserve">第五章 </w:t>
      </w:r>
      <w:r>
        <w:rPr>
          <w:rFonts w:hint="eastAsia"/>
          <w:color w:val="auto"/>
        </w:rPr>
        <w:t xml:space="preserve">附 </w:t>
      </w:r>
      <w:r>
        <w:rPr>
          <w:color w:val="auto"/>
        </w:rPr>
        <w:t xml:space="preserve"> </w:t>
      </w:r>
      <w:r>
        <w:rPr>
          <w:rFonts w:hint="eastAsia"/>
          <w:color w:val="auto"/>
        </w:rPr>
        <w:t>则</w:t>
      </w:r>
      <w:r>
        <w:rPr>
          <w:color w:val="auto"/>
        </w:rPr>
        <w:tab/>
      </w:r>
      <w:r>
        <w:rPr>
          <w:color w:val="auto"/>
        </w:rPr>
        <w:fldChar w:fldCharType="begin"/>
      </w:r>
      <w:r>
        <w:rPr>
          <w:color w:val="auto"/>
        </w:rPr>
        <w:instrText xml:space="preserve"> PAGEREF _Toc32598 \h </w:instrText>
      </w:r>
      <w:r>
        <w:rPr>
          <w:color w:val="auto"/>
        </w:rPr>
        <w:fldChar w:fldCharType="separate"/>
      </w:r>
      <w:r>
        <w:rPr>
          <w:color w:val="auto"/>
        </w:rPr>
        <w:t>11</w:t>
      </w:r>
      <w:r>
        <w:rPr>
          <w:color w:val="auto"/>
        </w:rPr>
        <w:fldChar w:fldCharType="end"/>
      </w:r>
      <w:r>
        <w:rPr>
          <w:color w:val="auto"/>
        </w:rPr>
        <w:fldChar w:fldCharType="end"/>
      </w:r>
    </w:p>
    <w:p w14:paraId="0A232731">
      <w:pPr>
        <w:ind w:firstLine="480"/>
        <w:rPr>
          <w:color w:val="auto"/>
        </w:rPr>
      </w:pPr>
      <w:r>
        <w:rPr>
          <w:color w:val="auto"/>
        </w:rPr>
        <w:fldChar w:fldCharType="end"/>
      </w:r>
    </w:p>
    <w:p w14:paraId="01A32BDE">
      <w:pPr>
        <w:ind w:firstLine="480"/>
        <w:rPr>
          <w:color w:val="auto"/>
        </w:rPr>
      </w:pPr>
    </w:p>
    <w:p w14:paraId="6BD68570">
      <w:pPr>
        <w:ind w:firstLine="480"/>
        <w:rPr>
          <w:color w:val="auto"/>
        </w:rPr>
      </w:pPr>
    </w:p>
    <w:p w14:paraId="1FCA16D2">
      <w:pPr>
        <w:ind w:firstLine="480"/>
        <w:rPr>
          <w:color w:val="auto"/>
        </w:rPr>
        <w:sectPr>
          <w:pgSz w:w="11906" w:h="16838"/>
          <w:pgMar w:top="1588" w:right="1247" w:bottom="1247" w:left="1588" w:header="1021" w:footer="851" w:gutter="0"/>
          <w:pgNumType w:start="1"/>
          <w:cols w:space="425" w:num="1"/>
          <w:docGrid w:linePitch="312" w:charSpace="0"/>
        </w:sectPr>
      </w:pPr>
    </w:p>
    <w:p w14:paraId="26DA4258">
      <w:pPr>
        <w:pStyle w:val="2"/>
        <w:rPr>
          <w:color w:val="auto"/>
        </w:rPr>
      </w:pPr>
      <w:r>
        <w:rPr>
          <w:rFonts w:hint="eastAsia"/>
          <w:color w:val="auto"/>
        </w:rPr>
        <w:t xml:space="preserve"> </w:t>
      </w:r>
      <w:bookmarkStart w:id="0" w:name="_Toc8897"/>
      <w:bookmarkStart w:id="1" w:name="_Toc160033188"/>
      <w:r>
        <w:rPr>
          <w:rFonts w:hint="eastAsia"/>
          <w:color w:val="auto"/>
        </w:rPr>
        <w:t>总 则</w:t>
      </w:r>
      <w:bookmarkEnd w:id="0"/>
      <w:bookmarkEnd w:id="1"/>
    </w:p>
    <w:p w14:paraId="1E2FEB75">
      <w:pPr>
        <w:pStyle w:val="3"/>
        <w:rPr>
          <w:color w:val="auto"/>
        </w:rPr>
      </w:pPr>
      <w:bookmarkStart w:id="2" w:name="_Toc160033189"/>
      <w:bookmarkStart w:id="3" w:name="_Toc24289"/>
      <w:r>
        <w:rPr>
          <w:rFonts w:hint="eastAsia"/>
          <w:color w:val="auto"/>
        </w:rPr>
        <w:t>项目名称</w:t>
      </w:r>
      <w:bookmarkEnd w:id="2"/>
      <w:bookmarkEnd w:id="3"/>
    </w:p>
    <w:p w14:paraId="2F68B7E7">
      <w:pPr>
        <w:ind w:firstLine="480"/>
        <w:rPr>
          <w:color w:val="auto"/>
        </w:rPr>
      </w:pPr>
      <w:bookmarkStart w:id="4" w:name="_Toc160033190"/>
      <w:r>
        <w:rPr>
          <w:rFonts w:hint="eastAsia"/>
          <w:color w:val="auto"/>
        </w:rPr>
        <w:t>南沙数字谷产业配套基础设施工程（一期）</w:t>
      </w:r>
    </w:p>
    <w:p w14:paraId="5F63EEEF">
      <w:pPr>
        <w:pStyle w:val="3"/>
        <w:rPr>
          <w:color w:val="auto"/>
        </w:rPr>
      </w:pPr>
      <w:bookmarkStart w:id="5" w:name="_Toc28873"/>
      <w:r>
        <w:rPr>
          <w:rFonts w:hint="eastAsia"/>
          <w:color w:val="auto"/>
        </w:rPr>
        <w:t>建设单位</w:t>
      </w:r>
      <w:bookmarkEnd w:id="4"/>
      <w:bookmarkEnd w:id="5"/>
    </w:p>
    <w:p w14:paraId="17D234BF">
      <w:pPr>
        <w:ind w:firstLine="480"/>
        <w:rPr>
          <w:color w:val="auto"/>
        </w:rPr>
      </w:pPr>
      <w:r>
        <w:rPr>
          <w:rFonts w:hint="eastAsia"/>
          <w:color w:val="auto"/>
        </w:rPr>
        <w:t>广州市南沙新区产业园区开发建设管理局</w:t>
      </w:r>
    </w:p>
    <w:p w14:paraId="763E48C4">
      <w:pPr>
        <w:pStyle w:val="3"/>
        <w:rPr>
          <w:color w:val="auto"/>
        </w:rPr>
      </w:pPr>
      <w:bookmarkStart w:id="6" w:name="_Toc804"/>
      <w:bookmarkStart w:id="7" w:name="_Toc160033191"/>
      <w:r>
        <w:rPr>
          <w:rFonts w:hint="eastAsia"/>
          <w:color w:val="auto"/>
        </w:rPr>
        <w:t>地理位置</w:t>
      </w:r>
      <w:bookmarkEnd w:id="6"/>
      <w:bookmarkEnd w:id="7"/>
    </w:p>
    <w:p w14:paraId="4E7A8F0C">
      <w:pPr>
        <w:pStyle w:val="43"/>
        <w:ind w:firstLine="480"/>
        <w:rPr>
          <w:color w:val="auto"/>
        </w:rPr>
      </w:pPr>
      <w:r>
        <w:rPr>
          <w:rFonts w:hint="eastAsia"/>
          <w:color w:val="auto"/>
          <w:lang w:val="en-US"/>
        </w:rPr>
        <w:t>本项目所在的</w:t>
      </w:r>
      <w:r>
        <w:rPr>
          <w:rFonts w:hint="eastAsia"/>
          <w:color w:val="auto"/>
        </w:rPr>
        <w:t>南沙数字谷位于南沙新区万顷沙南部，定位为数字经济产业创新发展区，北至八涌、南至十</w:t>
      </w:r>
      <w:r>
        <w:rPr>
          <w:rFonts w:hint="eastAsia"/>
          <w:color w:val="auto"/>
          <w:lang w:val="en-US"/>
        </w:rPr>
        <w:t>四</w:t>
      </w:r>
      <w:r>
        <w:rPr>
          <w:rFonts w:hint="eastAsia"/>
          <w:color w:val="auto"/>
        </w:rPr>
        <w:t>涌、东至陈家围涌、西至洪奇沥水道，</w:t>
      </w:r>
      <w:r>
        <w:rPr>
          <w:rFonts w:hint="eastAsia"/>
          <w:color w:val="auto"/>
          <w:lang w:val="en-US"/>
        </w:rPr>
        <w:t>是</w:t>
      </w:r>
      <w:r>
        <w:rPr>
          <w:color w:val="auto"/>
        </w:rPr>
        <w:t>国家级经济技术开发区—南沙经济技术开发区的重要组成部分。</w:t>
      </w:r>
    </w:p>
    <w:p w14:paraId="4ECEA556">
      <w:pPr>
        <w:pStyle w:val="3"/>
        <w:rPr>
          <w:color w:val="auto"/>
        </w:rPr>
      </w:pPr>
      <w:bookmarkStart w:id="8" w:name="_Toc25358"/>
      <w:bookmarkStart w:id="9" w:name="_Toc160033192"/>
      <w:r>
        <w:rPr>
          <w:rFonts w:hint="eastAsia"/>
          <w:color w:val="auto"/>
        </w:rPr>
        <w:t>建设内容与规模</w:t>
      </w:r>
      <w:bookmarkEnd w:id="8"/>
      <w:bookmarkEnd w:id="9"/>
    </w:p>
    <w:p w14:paraId="68A9B63F">
      <w:pPr>
        <w:ind w:firstLine="480"/>
        <w:rPr>
          <w:rFonts w:eastAsia="新宋体"/>
          <w:color w:val="auto"/>
        </w:rPr>
      </w:pPr>
      <w:r>
        <w:rPr>
          <w:rFonts w:eastAsia="新宋体"/>
          <w:color w:val="auto"/>
        </w:rPr>
        <w:t>本项目位于广东省广州市南沙区万顷沙镇，为</w:t>
      </w:r>
      <w:r>
        <w:rPr>
          <w:rFonts w:hint="eastAsia" w:eastAsia="新宋体"/>
          <w:color w:val="auto"/>
        </w:rPr>
        <w:t>南沙数字谷产业配套基础设施工程（一期）</w:t>
      </w:r>
      <w:r>
        <w:rPr>
          <w:rFonts w:eastAsia="新宋体"/>
          <w:color w:val="auto"/>
        </w:rPr>
        <w:t>，建设内容</w:t>
      </w:r>
      <w:r>
        <w:rPr>
          <w:rFonts w:hint="eastAsia" w:eastAsia="新宋体"/>
          <w:color w:val="auto"/>
        </w:rPr>
        <w:t>包含共包含 2 条路，共计约 0.88 公里，分别为新安一纵路、福安东一街。拟建规模具体如下：新安一纵路，道路等级为城市主干路，设计速度为 50km/h，红线宽 40m，双向六车道布置，长度约为 460m；福安东一街，道路等级为城市次干路，设计速度为 40km/h，红线宽 26m，双向四车道布置，长度为 416m。</w:t>
      </w:r>
    </w:p>
    <w:p w14:paraId="51C17F34">
      <w:pPr>
        <w:ind w:firstLine="480"/>
        <w:rPr>
          <w:rFonts w:eastAsia="新宋体"/>
          <w:color w:val="auto"/>
        </w:rPr>
      </w:pPr>
      <w:r>
        <w:rPr>
          <w:rFonts w:eastAsia="新宋体"/>
          <w:color w:val="auto"/>
        </w:rPr>
        <w:t>建设项目</w:t>
      </w:r>
      <w:r>
        <w:rPr>
          <w:rFonts w:hint="eastAsia" w:eastAsia="新宋体"/>
          <w:color w:val="auto"/>
        </w:rPr>
        <w:t>建设项目总投资15215.33万元，其中：建安费 9614.25 万元，工程建设其他费5063.34 万元（含建设用地成本3922.74万元），预备费537.74 万元。</w:t>
      </w:r>
    </w:p>
    <w:p w14:paraId="0739D273">
      <w:pPr>
        <w:pStyle w:val="43"/>
        <w:ind w:firstLine="480"/>
        <w:rPr>
          <w:color w:val="auto"/>
        </w:rPr>
      </w:pPr>
      <w:r>
        <w:rPr>
          <w:color w:val="auto"/>
        </w:rPr>
        <w:t>建设内容包括：道路、给排水、管线综合、照明、电力管沟、交通、绿化等工程。</w:t>
      </w:r>
    </w:p>
    <w:p w14:paraId="504B301C">
      <w:pPr>
        <w:ind w:firstLine="0" w:firstLineChars="0"/>
        <w:jc w:val="center"/>
        <w:rPr>
          <w:color w:val="auto"/>
        </w:rPr>
      </w:pPr>
      <w:r>
        <w:rPr>
          <w:rFonts w:hint="eastAsia"/>
          <w:color w:val="auto"/>
        </w:rPr>
        <w:drawing>
          <wp:inline distT="0" distB="0" distL="114300" distR="114300">
            <wp:extent cx="5655310" cy="2966720"/>
            <wp:effectExtent l="0" t="0" r="0" b="0"/>
            <wp:docPr id="3" name="图片 3" descr="f62d0f4d415fc7081a3d649ad002b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62d0f4d415fc7081a3d649ad002b39"/>
                    <pic:cNvPicPr>
                      <a:picLocks noChangeAspect="1"/>
                    </pic:cNvPicPr>
                  </pic:nvPicPr>
                  <pic:blipFill>
                    <a:blip r:embed="rId13"/>
                    <a:srcRect l="453" r="1247" b="34447"/>
                    <a:stretch>
                      <a:fillRect/>
                    </a:stretch>
                  </pic:blipFill>
                  <pic:spPr>
                    <a:xfrm>
                      <a:off x="0" y="0"/>
                      <a:ext cx="5655310" cy="2966720"/>
                    </a:xfrm>
                    <a:prstGeom prst="rect">
                      <a:avLst/>
                    </a:prstGeom>
                  </pic:spPr>
                </pic:pic>
              </a:graphicData>
            </a:graphic>
          </wp:inline>
        </w:drawing>
      </w:r>
    </w:p>
    <w:p w14:paraId="6F81940F">
      <w:pPr>
        <w:pStyle w:val="28"/>
        <w:rPr>
          <w:color w:val="auto"/>
        </w:rPr>
      </w:pPr>
      <w:bookmarkStart w:id="10" w:name="_Toc160033239"/>
      <w:r>
        <w:rPr>
          <w:rFonts w:hint="eastAsia"/>
          <w:color w:val="auto"/>
        </w:rPr>
        <w:t>项目地理位置示意图</w:t>
      </w:r>
      <w:bookmarkEnd w:id="10"/>
    </w:p>
    <w:p w14:paraId="591A073F">
      <w:pPr>
        <w:ind w:firstLine="480"/>
        <w:rPr>
          <w:color w:val="auto"/>
        </w:rPr>
        <w:sectPr>
          <w:headerReference r:id="rId8" w:type="default"/>
          <w:footerReference r:id="rId10" w:type="default"/>
          <w:headerReference r:id="rId9" w:type="even"/>
          <w:footerReference r:id="rId11" w:type="even"/>
          <w:pgSz w:w="11906" w:h="16838"/>
          <w:pgMar w:top="1588" w:right="1247" w:bottom="1247" w:left="1588" w:header="1021" w:footer="851" w:gutter="0"/>
          <w:pgNumType w:start="1"/>
          <w:cols w:space="425" w:num="1"/>
          <w:docGrid w:linePitch="312" w:charSpace="0"/>
        </w:sectPr>
      </w:pPr>
    </w:p>
    <w:p w14:paraId="5694E935">
      <w:pPr>
        <w:pStyle w:val="2"/>
        <w:rPr>
          <w:color w:val="auto"/>
        </w:rPr>
      </w:pPr>
      <w:bookmarkStart w:id="11" w:name="_Toc160144195"/>
      <w:bookmarkStart w:id="12" w:name="_Toc28880"/>
      <w:bookmarkStart w:id="13" w:name="_Toc160033193"/>
      <w:r>
        <w:rPr>
          <w:rFonts w:hint="eastAsia"/>
          <w:color w:val="auto"/>
        </w:rPr>
        <w:t>规划情况</w:t>
      </w:r>
      <w:bookmarkEnd w:id="11"/>
      <w:bookmarkEnd w:id="12"/>
    </w:p>
    <w:p w14:paraId="29C3709E">
      <w:pPr>
        <w:pStyle w:val="43"/>
        <w:ind w:firstLine="482"/>
        <w:rPr>
          <w:b/>
          <w:bCs/>
          <w:color w:val="auto"/>
          <w:lang w:val="en-US"/>
        </w:rPr>
      </w:pPr>
      <w:r>
        <w:rPr>
          <w:rFonts w:hint="eastAsia"/>
          <w:b/>
          <w:bCs/>
          <w:color w:val="auto"/>
          <w:lang w:val="en-US"/>
        </w:rPr>
        <w:t>一、对外交通</w:t>
      </w:r>
    </w:p>
    <w:p w14:paraId="49C4397C">
      <w:pPr>
        <w:pStyle w:val="43"/>
        <w:ind w:firstLine="480"/>
        <w:rPr>
          <w:color w:val="auto"/>
          <w:lang w:val="en-US"/>
        </w:rPr>
      </w:pPr>
      <w:r>
        <w:rPr>
          <w:rFonts w:hint="eastAsia"/>
          <w:color w:val="auto"/>
          <w:lang w:val="en-US"/>
        </w:rPr>
        <w:t>区域交通：对外交通便捷，临近客货运枢纽，高效连通周边城市</w:t>
      </w:r>
    </w:p>
    <w:p w14:paraId="07DE2CF5">
      <w:pPr>
        <w:pStyle w:val="43"/>
        <w:ind w:firstLine="480"/>
        <w:rPr>
          <w:color w:val="auto"/>
          <w:lang w:val="en-US"/>
        </w:rPr>
      </w:pPr>
      <w:r>
        <w:rPr>
          <w:rFonts w:hint="eastAsia"/>
          <w:color w:val="auto"/>
          <w:lang w:val="en-US"/>
        </w:rPr>
        <w:t>周边已形成“两横三纵”的高快速路网，两横：深中通道、南中高速，三纵：深中通道南沙线-万环西路（快速化改造）、中山东环高速、南沙港快速，可实现15分钟达中山城区，25分钟达深圳宝安，40分钟达广州主城区。</w:t>
      </w:r>
    </w:p>
    <w:p w14:paraId="58625DE0">
      <w:pPr>
        <w:pStyle w:val="43"/>
        <w:ind w:firstLine="482"/>
        <w:rPr>
          <w:b/>
          <w:bCs/>
          <w:color w:val="auto"/>
          <w:lang w:val="en-US"/>
        </w:rPr>
      </w:pPr>
      <w:r>
        <w:rPr>
          <w:rFonts w:hint="eastAsia"/>
          <w:b/>
          <w:bCs/>
          <w:color w:val="auto"/>
          <w:lang w:val="en-US"/>
        </w:rPr>
        <w:t>二、交通路网规划</w:t>
      </w:r>
    </w:p>
    <w:p w14:paraId="50B82FB8">
      <w:pPr>
        <w:pStyle w:val="43"/>
        <w:ind w:firstLine="480"/>
        <w:rPr>
          <w:color w:val="auto"/>
          <w:lang w:val="en-US"/>
        </w:rPr>
      </w:pPr>
      <w:r>
        <w:rPr>
          <w:rFonts w:hint="eastAsia"/>
          <w:color w:val="auto"/>
          <w:lang w:val="en-US"/>
        </w:rPr>
        <w:t>（1）规划路网结构</w:t>
      </w:r>
    </w:p>
    <w:p w14:paraId="450B7B69">
      <w:pPr>
        <w:pStyle w:val="43"/>
        <w:ind w:firstLine="480"/>
        <w:rPr>
          <w:color w:val="auto"/>
          <w:lang w:val="en-US"/>
        </w:rPr>
      </w:pPr>
      <w:r>
        <w:rPr>
          <w:rFonts w:hint="eastAsia"/>
          <w:color w:val="auto"/>
          <w:lang w:val="en-US"/>
        </w:rPr>
        <w:t>规划形成“一纵四横”的路网骨架。</w:t>
      </w:r>
    </w:p>
    <w:p w14:paraId="648A559E">
      <w:pPr>
        <w:pStyle w:val="43"/>
        <w:ind w:firstLine="480"/>
        <w:rPr>
          <w:color w:val="auto"/>
          <w:lang w:val="en-US"/>
        </w:rPr>
      </w:pPr>
      <w:r>
        <w:rPr>
          <w:rFonts w:hint="eastAsia"/>
          <w:color w:val="auto"/>
          <w:lang w:val="en-US"/>
        </w:rPr>
        <w:t>其中，一纵为万环西路；四横为沥心沙路、新安一纵路、万龙大道、红海路。</w:t>
      </w:r>
    </w:p>
    <w:p w14:paraId="2A036C83">
      <w:pPr>
        <w:pStyle w:val="43"/>
        <w:ind w:firstLine="480"/>
        <w:rPr>
          <w:color w:val="auto"/>
          <w:lang w:val="en-US"/>
        </w:rPr>
      </w:pPr>
      <w:r>
        <w:rPr>
          <w:rFonts w:hint="eastAsia"/>
          <w:color w:val="auto"/>
          <w:lang w:val="en-US"/>
        </w:rPr>
        <w:t>（2）道路分级</w:t>
      </w:r>
    </w:p>
    <w:p w14:paraId="60669675">
      <w:pPr>
        <w:pStyle w:val="43"/>
        <w:ind w:firstLine="480"/>
        <w:rPr>
          <w:color w:val="auto"/>
          <w:lang w:val="en-US"/>
        </w:rPr>
      </w:pPr>
      <w:r>
        <w:rPr>
          <w:rFonts w:hint="eastAsia"/>
          <w:color w:val="auto"/>
          <w:lang w:val="en-US"/>
        </w:rPr>
        <w:t>规划区域内道路由城市快速路、主干路、次干路、支路及弹性支路构成。</w:t>
      </w:r>
    </w:p>
    <w:p w14:paraId="53F2C859">
      <w:pPr>
        <w:pStyle w:val="45"/>
        <w:ind w:firstLine="482"/>
        <w:rPr>
          <w:rFonts w:hint="eastAsia"/>
          <w:color w:val="auto"/>
        </w:rPr>
      </w:pPr>
      <w:r>
        <w:rPr>
          <w:color w:val="auto"/>
        </w:rPr>
        <w:br w:type="page"/>
      </w:r>
    </w:p>
    <w:p w14:paraId="23FCE789">
      <w:pPr>
        <w:pStyle w:val="2"/>
        <w:rPr>
          <w:color w:val="auto"/>
        </w:rPr>
      </w:pPr>
      <w:bookmarkStart w:id="14" w:name="_Toc10163"/>
      <w:r>
        <w:rPr>
          <w:rFonts w:hint="eastAsia"/>
          <w:color w:val="auto"/>
        </w:rPr>
        <w:t>工程总体设计原则及要求</w:t>
      </w:r>
      <w:bookmarkEnd w:id="13"/>
      <w:bookmarkEnd w:id="14"/>
    </w:p>
    <w:p w14:paraId="384B2725">
      <w:pPr>
        <w:pStyle w:val="3"/>
        <w:rPr>
          <w:color w:val="auto"/>
        </w:rPr>
      </w:pPr>
      <w:bookmarkStart w:id="15" w:name="_Toc26753"/>
      <w:bookmarkStart w:id="16" w:name="_Toc160033194"/>
      <w:r>
        <w:rPr>
          <w:rFonts w:hint="eastAsia"/>
          <w:color w:val="auto"/>
        </w:rPr>
        <w:t>总体设计原则</w:t>
      </w:r>
      <w:bookmarkEnd w:id="15"/>
      <w:bookmarkEnd w:id="16"/>
    </w:p>
    <w:p w14:paraId="36298F02">
      <w:pPr>
        <w:ind w:firstLine="480"/>
        <w:rPr>
          <w:color w:val="auto"/>
        </w:rPr>
      </w:pPr>
      <w:r>
        <w:rPr>
          <w:rFonts w:hint="eastAsia"/>
          <w:color w:val="auto"/>
        </w:rPr>
        <w:t>满足安全、耐久、技术经济最优等原则，包括且不限于：</w:t>
      </w:r>
    </w:p>
    <w:p w14:paraId="73600E06">
      <w:pPr>
        <w:ind w:firstLine="480"/>
        <w:rPr>
          <w:color w:val="auto"/>
        </w:rPr>
      </w:pPr>
      <w:r>
        <w:rPr>
          <w:rFonts w:hint="eastAsia"/>
          <w:color w:val="auto"/>
        </w:rPr>
        <w:t>（1）道路总体布局应符合总体规划方案，快捷、舒顺。同时，应与其它路网现状及规划密切配合，使路网层次分明，功能完善，交通流转快捷，集散方便。</w:t>
      </w:r>
    </w:p>
    <w:p w14:paraId="4706F544">
      <w:pPr>
        <w:ind w:firstLine="480"/>
        <w:rPr>
          <w:color w:val="auto"/>
        </w:rPr>
      </w:pPr>
      <w:r>
        <w:rPr>
          <w:rFonts w:hint="eastAsia"/>
          <w:color w:val="auto"/>
        </w:rPr>
        <w:t>（2）满足交通功能的要求，对片区规划路网进一步分析研究，合理确定道路等级、技术指标，研究解决相交路口交叉设置及选型、平面交叉口渠化形式、道路交通流组织等。</w:t>
      </w:r>
    </w:p>
    <w:p w14:paraId="70FBF98F">
      <w:pPr>
        <w:ind w:firstLine="480"/>
        <w:rPr>
          <w:color w:val="auto"/>
        </w:rPr>
      </w:pPr>
      <w:r>
        <w:rPr>
          <w:rFonts w:hint="eastAsia"/>
          <w:color w:val="auto"/>
        </w:rPr>
        <w:t>（3）在尊重建设现状和城市规划所确定的城市空间结构、土地利用方式、道路交通组织及不违反强制性条文的前提下，在规划红线范围内对该段原有设计结构形式作合理的调整或补充，并进行深化。</w:t>
      </w:r>
    </w:p>
    <w:p w14:paraId="0DA1C436">
      <w:pPr>
        <w:ind w:firstLine="480"/>
        <w:rPr>
          <w:color w:val="auto"/>
        </w:rPr>
      </w:pPr>
      <w:r>
        <w:rPr>
          <w:rFonts w:hint="eastAsia"/>
          <w:color w:val="auto"/>
        </w:rPr>
        <w:t>（4）结合本项目的地形条件、地质条件、人文环境、生态环境等特点，采用合理的技术标准，减少对自然环境的影响，控制工程投资规模。</w:t>
      </w:r>
    </w:p>
    <w:p w14:paraId="11F0F668">
      <w:pPr>
        <w:ind w:firstLine="480"/>
        <w:rPr>
          <w:color w:val="auto"/>
        </w:rPr>
      </w:pPr>
      <w:r>
        <w:rPr>
          <w:rFonts w:hint="eastAsia"/>
          <w:color w:val="auto"/>
        </w:rPr>
        <w:t>（5）在遵循规划设计要点的基础上，综合考虑交通、防洪、排涝、管线、景观、用地等多方面因素，合理确定道路的各项技术指标。</w:t>
      </w:r>
    </w:p>
    <w:p w14:paraId="64299C64">
      <w:pPr>
        <w:ind w:firstLine="480"/>
        <w:rPr>
          <w:color w:val="auto"/>
        </w:rPr>
      </w:pPr>
      <w:r>
        <w:rPr>
          <w:rFonts w:hint="eastAsia"/>
          <w:color w:val="auto"/>
        </w:rPr>
        <w:t>（6）以尊重生态为原则、运用生态方法设计本项目，主要特点是不破坏自然生态系统的连续性和周围环境的生物多样性，将本项目融入良性自然生态环境系统之中，又使本项目成为自然环境中的一道景观。道路绿化选择不同的树种和苗木，形成多样性的植物群落，体现生态性。</w:t>
      </w:r>
    </w:p>
    <w:p w14:paraId="2B619367">
      <w:pPr>
        <w:ind w:firstLine="480"/>
        <w:rPr>
          <w:color w:val="auto"/>
        </w:rPr>
      </w:pPr>
      <w:r>
        <w:rPr>
          <w:rFonts w:hint="eastAsia"/>
          <w:color w:val="auto"/>
        </w:rPr>
        <w:t>（7）按照相关技术规范要求，在确保道路结构厚度的基础上，优化道路纵断面，减少填挖方，设置合理的路线平纵组合，力求达到安全、舒适的行车环境。</w:t>
      </w:r>
    </w:p>
    <w:p w14:paraId="59609F8C">
      <w:pPr>
        <w:ind w:firstLine="480"/>
        <w:rPr>
          <w:color w:val="auto"/>
        </w:rPr>
      </w:pPr>
      <w:r>
        <w:rPr>
          <w:rFonts w:hint="eastAsia"/>
          <w:color w:val="auto"/>
        </w:rPr>
        <w:t>（8）根据道路建设特点，以交通量分析为依据，结合各种新技术、新产品和新工艺，提出最经济、最优化的路面结构设计。</w:t>
      </w:r>
    </w:p>
    <w:p w14:paraId="6AD5A27C">
      <w:pPr>
        <w:ind w:firstLine="480"/>
        <w:rPr>
          <w:color w:val="auto"/>
        </w:rPr>
      </w:pPr>
      <w:r>
        <w:rPr>
          <w:rFonts w:hint="eastAsia"/>
          <w:color w:val="auto"/>
        </w:rPr>
        <w:t>（9）根据路网布局、两侧用地情况，对交通组织进行多方案比较，彻底解决人车分流问题，对车行系统、人行系统、停车系统进行深入的分析研究以提出最合理、最优化的交通组织方案。</w:t>
      </w:r>
    </w:p>
    <w:p w14:paraId="20C76D14">
      <w:pPr>
        <w:ind w:firstLine="480"/>
        <w:rPr>
          <w:color w:val="auto"/>
        </w:rPr>
      </w:pPr>
      <w:r>
        <w:rPr>
          <w:rFonts w:hint="eastAsia"/>
          <w:color w:val="auto"/>
        </w:rPr>
        <w:t>（10）充分重视道路元素的设计，如交通标志、标线、公交停靠站、行人过街系统、伤残人坡道、导盲带、道口等设计，务求细心体贴，体现以人为本的宗旨。</w:t>
      </w:r>
    </w:p>
    <w:p w14:paraId="1DB05FD3">
      <w:pPr>
        <w:ind w:firstLine="480"/>
        <w:rPr>
          <w:color w:val="auto"/>
        </w:rPr>
      </w:pPr>
      <w:r>
        <w:rPr>
          <w:rFonts w:hint="eastAsia"/>
          <w:color w:val="auto"/>
        </w:rPr>
        <w:t>（11）充分考虑各种管线的现状情况及建设要求，认真研究和分析道路沿线给、雨、污水系统及电力规划，提出合理、可行的管线建设方案。</w:t>
      </w:r>
    </w:p>
    <w:p w14:paraId="1258E70A">
      <w:pPr>
        <w:ind w:firstLine="480"/>
        <w:rPr>
          <w:color w:val="auto"/>
        </w:rPr>
      </w:pPr>
      <w:r>
        <w:rPr>
          <w:rFonts w:hint="eastAsia"/>
          <w:color w:val="auto"/>
        </w:rPr>
        <w:t>（12）道路的照明，不仅是道路必不可少的功能因素，更是城市道路景观的亮点所在，对现状照明存在的问题进行认真的剖析和总结，在照明设计中采用各种新型技术和节能产品，使道路照明成为城市的一道风景线。</w:t>
      </w:r>
    </w:p>
    <w:p w14:paraId="77A425C0">
      <w:pPr>
        <w:ind w:firstLine="480"/>
        <w:rPr>
          <w:color w:val="auto"/>
        </w:rPr>
      </w:pPr>
      <w:r>
        <w:rPr>
          <w:rFonts w:hint="eastAsia"/>
          <w:color w:val="auto"/>
        </w:rPr>
        <w:t>（13）景观绿化设计：作为城市景观的重要组成部分，道路绿化应综合考虑既有绿化位置、建设平面布局、植物选种原则及其与构造物的搭配等要素，做到自然、精致、协调，与山水之间的城市融为一体。</w:t>
      </w:r>
    </w:p>
    <w:p w14:paraId="6F491CA6">
      <w:pPr>
        <w:ind w:firstLine="480"/>
        <w:rPr>
          <w:color w:val="auto"/>
        </w:rPr>
      </w:pPr>
      <w:r>
        <w:rPr>
          <w:rFonts w:hint="eastAsia"/>
          <w:color w:val="auto"/>
        </w:rPr>
        <w:t>（14）根据项目的特点，结合已往成熟可靠的经验，充分考虑道路结构型式及材料的来源，力求在造价合理的基础上，优先采用新技术、新材料，达到更好的使用效果。</w:t>
      </w:r>
    </w:p>
    <w:p w14:paraId="62DD0DB4">
      <w:pPr>
        <w:ind w:firstLine="480"/>
        <w:rPr>
          <w:color w:val="auto"/>
        </w:rPr>
      </w:pPr>
      <w:r>
        <w:rPr>
          <w:rFonts w:hint="eastAsia"/>
          <w:color w:val="auto"/>
        </w:rPr>
        <w:t>（15）充分考虑城市环境和城市面貌的要求，解决好人、车、路、环境各种要素的相互关系。</w:t>
      </w:r>
    </w:p>
    <w:p w14:paraId="5563A6E7">
      <w:pPr>
        <w:ind w:firstLine="480"/>
        <w:rPr>
          <w:color w:val="auto"/>
        </w:rPr>
      </w:pPr>
      <w:r>
        <w:rPr>
          <w:rFonts w:hint="eastAsia"/>
          <w:color w:val="auto"/>
        </w:rPr>
        <w:t>（16）设计应落实全要素设计概念，体现“国际化、高端化、精细化、品质化”。</w:t>
      </w:r>
    </w:p>
    <w:p w14:paraId="6B06D710">
      <w:pPr>
        <w:ind w:firstLine="480"/>
        <w:rPr>
          <w:color w:val="auto"/>
        </w:rPr>
      </w:pPr>
      <w:r>
        <w:rPr>
          <w:rFonts w:hint="eastAsia"/>
          <w:color w:val="auto"/>
        </w:rPr>
        <w:t>（17）应满足“海绵城市”的建设要求，体现“智慧城市”的建设理念。</w:t>
      </w:r>
    </w:p>
    <w:p w14:paraId="00757747">
      <w:pPr>
        <w:ind w:firstLine="480"/>
        <w:rPr>
          <w:color w:val="auto"/>
        </w:rPr>
      </w:pPr>
      <w:r>
        <w:rPr>
          <w:rFonts w:hint="eastAsia"/>
          <w:color w:val="auto"/>
        </w:rPr>
        <w:t>（18）充分考虑地下工程的耐久性，在防水、排水设计上采取有效的措施。</w:t>
      </w:r>
    </w:p>
    <w:p w14:paraId="356D9903">
      <w:pPr>
        <w:ind w:firstLine="480"/>
        <w:rPr>
          <w:color w:val="auto"/>
        </w:rPr>
      </w:pPr>
      <w:r>
        <w:rPr>
          <w:rFonts w:hint="eastAsia"/>
          <w:color w:val="auto"/>
        </w:rPr>
        <w:t>（19）充分利用已有勘察设计成果。</w:t>
      </w:r>
    </w:p>
    <w:p w14:paraId="4893E71A">
      <w:pPr>
        <w:pStyle w:val="3"/>
        <w:rPr>
          <w:color w:val="auto"/>
        </w:rPr>
      </w:pPr>
      <w:bookmarkStart w:id="17" w:name="_Toc160033195"/>
      <w:bookmarkStart w:id="18" w:name="_Toc9188"/>
      <w:r>
        <w:rPr>
          <w:rFonts w:hint="eastAsia"/>
          <w:color w:val="auto"/>
        </w:rPr>
        <w:t>设计总体要求</w:t>
      </w:r>
      <w:bookmarkEnd w:id="17"/>
      <w:bookmarkEnd w:id="18"/>
    </w:p>
    <w:p w14:paraId="6D159BAC">
      <w:pPr>
        <w:ind w:firstLine="480"/>
        <w:rPr>
          <w:color w:val="auto"/>
        </w:rPr>
      </w:pPr>
      <w:r>
        <w:rPr>
          <w:rFonts w:hint="eastAsia"/>
          <w:color w:val="auto"/>
        </w:rPr>
        <w:t>（1）做好与相关在建工程设计单位的协调沟通。</w:t>
      </w:r>
    </w:p>
    <w:p w14:paraId="7101FD68">
      <w:pPr>
        <w:ind w:firstLine="480"/>
        <w:rPr>
          <w:color w:val="auto"/>
        </w:rPr>
      </w:pPr>
      <w:r>
        <w:rPr>
          <w:rFonts w:hint="eastAsia"/>
          <w:color w:val="auto"/>
        </w:rPr>
        <w:t>（2）项目设计满足国家和省、市、区有关建设方针、政策、规划、规程要求，各阶段设计通过报建报批及审查要求。</w:t>
      </w:r>
    </w:p>
    <w:p w14:paraId="74637C95">
      <w:pPr>
        <w:ind w:firstLine="480"/>
        <w:rPr>
          <w:color w:val="auto"/>
        </w:rPr>
      </w:pPr>
      <w:r>
        <w:rPr>
          <w:rFonts w:hint="eastAsia"/>
          <w:color w:val="auto"/>
        </w:rPr>
        <w:t>（3）建设型式与规模能满足区域交通发展的需求，能满足道路所承担的交通功能需求，并根据此要求合理的确定道路的用地规模、断面型式及建设型式。</w:t>
      </w:r>
    </w:p>
    <w:p w14:paraId="27AF5F6F">
      <w:pPr>
        <w:ind w:firstLine="480"/>
        <w:rPr>
          <w:color w:val="auto"/>
        </w:rPr>
      </w:pPr>
      <w:r>
        <w:rPr>
          <w:rFonts w:hint="eastAsia"/>
          <w:color w:val="auto"/>
        </w:rPr>
        <w:t>（4）有利于发挥道路的交通功能，有利于城市交通的集散和疏解、均衡路网流量、发挥路网整体运行效率以及地区规划的开发和协调。做好慢行交通系统的连续性设计。</w:t>
      </w:r>
    </w:p>
    <w:p w14:paraId="0DECF02E">
      <w:pPr>
        <w:ind w:firstLine="480"/>
        <w:rPr>
          <w:color w:val="auto"/>
        </w:rPr>
      </w:pPr>
      <w:r>
        <w:rPr>
          <w:rFonts w:hint="eastAsia"/>
          <w:color w:val="auto"/>
        </w:rPr>
        <w:t>（5）充分注重环境和景观要求，创造一个良好的行车环境和城市景观效应，因地制宜，构建南沙地区特色景观路。</w:t>
      </w:r>
    </w:p>
    <w:p w14:paraId="55C6D9CB">
      <w:pPr>
        <w:ind w:firstLine="480"/>
        <w:rPr>
          <w:color w:val="auto"/>
        </w:rPr>
      </w:pPr>
      <w:r>
        <w:rPr>
          <w:rFonts w:hint="eastAsia"/>
          <w:color w:val="auto"/>
        </w:rPr>
        <w:t>（6）从交通安全角度出发，完善人行过街设施，做好无障碍设计，方便残疾人、老年人和弱视群体的出行需求。</w:t>
      </w:r>
    </w:p>
    <w:p w14:paraId="489E2CB8">
      <w:pPr>
        <w:ind w:firstLine="480"/>
        <w:rPr>
          <w:color w:val="auto"/>
        </w:rPr>
      </w:pPr>
      <w:r>
        <w:rPr>
          <w:rFonts w:hint="eastAsia"/>
          <w:color w:val="auto"/>
        </w:rPr>
        <w:t>（7）妥善考虑公交车线路和设站规划、横向人行通道设置、沿线非机动车通道安排，最终以相关部门审批意见为准。</w:t>
      </w:r>
    </w:p>
    <w:p w14:paraId="77265EDD">
      <w:pPr>
        <w:ind w:firstLine="480"/>
        <w:rPr>
          <w:color w:val="auto"/>
        </w:rPr>
      </w:pPr>
      <w:r>
        <w:rPr>
          <w:rFonts w:hint="eastAsia"/>
          <w:color w:val="auto"/>
        </w:rPr>
        <w:t>（8）满足项目的使用功能和便于维护管理的要求。</w:t>
      </w:r>
    </w:p>
    <w:p w14:paraId="16124431">
      <w:pPr>
        <w:ind w:firstLine="480"/>
        <w:rPr>
          <w:color w:val="auto"/>
        </w:rPr>
      </w:pPr>
      <w:r>
        <w:rPr>
          <w:rFonts w:hint="eastAsia"/>
          <w:color w:val="auto"/>
        </w:rPr>
        <w:t>（9）须具有经济性，以适当的投资建设取得较好的经济效益和社会效益。采用新技术、新工艺、新材料，合理确定建设规模，使工程方案充分体现合理性、适用性、可行性和性价比。设计以低碳绿色环保意念。</w:t>
      </w:r>
    </w:p>
    <w:p w14:paraId="55CEC1AC">
      <w:pPr>
        <w:ind w:firstLine="480"/>
        <w:rPr>
          <w:color w:val="auto"/>
        </w:rPr>
      </w:pPr>
      <w:r>
        <w:rPr>
          <w:rFonts w:hint="eastAsia"/>
          <w:color w:val="auto"/>
        </w:rPr>
        <w:t>（10）选择适合南沙地区生长的优势树种，绿化景观设计应综合考虑现状景观条件，协调统一。</w:t>
      </w:r>
    </w:p>
    <w:p w14:paraId="77E8D453">
      <w:pPr>
        <w:ind w:firstLine="480"/>
        <w:rPr>
          <w:color w:val="auto"/>
        </w:rPr>
      </w:pPr>
      <w:r>
        <w:rPr>
          <w:rFonts w:hint="eastAsia"/>
          <w:color w:val="auto"/>
        </w:rPr>
        <w:t>（11）道路沿线周边区域的景观提升，在征得相关主管单位的同意后，可纳入本项目设计。</w:t>
      </w:r>
    </w:p>
    <w:p w14:paraId="3A26631F">
      <w:pPr>
        <w:ind w:firstLine="480"/>
        <w:rPr>
          <w:color w:val="auto"/>
        </w:rPr>
      </w:pPr>
      <w:r>
        <w:rPr>
          <w:rFonts w:hint="eastAsia"/>
          <w:color w:val="auto"/>
        </w:rPr>
        <w:t>（12）技术标准及指标均应满足各专业规范的具体要求，并参照执行《南沙产业园市政工程设计指引》、《南沙新区市政基础设施技术指引》、《南沙新区市政道路照明工程智能控制管理系统建设指南》、《城市道路品质化提升建设指引》、《广州市海绵城市建设技术指引及标准图集》等广州市及南沙区颁布有关指引及标准。</w:t>
      </w:r>
    </w:p>
    <w:p w14:paraId="6DB5768C">
      <w:pPr>
        <w:ind w:firstLine="480"/>
        <w:rPr>
          <w:color w:val="auto"/>
        </w:rPr>
      </w:pPr>
      <w:r>
        <w:rPr>
          <w:rFonts w:hint="eastAsia"/>
          <w:color w:val="auto"/>
        </w:rPr>
        <w:t>（13）应采用南沙地区应用成熟的技术、工艺、材料设备，采用“四新技术”应具有明显的经济技术优势。不得采用存在专利、产权纠纷的产品或工艺，如出现产权纠纷应自行妥善处理。</w:t>
      </w:r>
    </w:p>
    <w:p w14:paraId="6591D457">
      <w:pPr>
        <w:ind w:firstLine="480"/>
        <w:rPr>
          <w:color w:val="auto"/>
        </w:rPr>
      </w:pPr>
      <w:r>
        <w:rPr>
          <w:rFonts w:hint="eastAsia"/>
          <w:color w:val="auto"/>
        </w:rPr>
        <w:t>（14）应做好工程建设对周围建（构）筑物、管线的影响分析，根据有限元等数值分析成果对既有建（构）筑物、管线采用经济合理的保护措施，采用合理适中的有效措施预防对周边拟建工程的不利影响。</w:t>
      </w:r>
    </w:p>
    <w:p w14:paraId="268BF4A2">
      <w:pPr>
        <w:ind w:firstLine="480"/>
        <w:rPr>
          <w:color w:val="auto"/>
        </w:rPr>
      </w:pPr>
      <w:r>
        <w:rPr>
          <w:rFonts w:hint="eastAsia"/>
          <w:color w:val="auto"/>
        </w:rPr>
        <w:t>（15）做好创优创新规划，创建优质工程和优秀设计。</w:t>
      </w:r>
    </w:p>
    <w:p w14:paraId="6234BB53">
      <w:pPr>
        <w:ind w:firstLine="480"/>
        <w:rPr>
          <w:color w:val="auto"/>
        </w:rPr>
      </w:pPr>
      <w:r>
        <w:rPr>
          <w:rFonts w:hint="eastAsia"/>
          <w:color w:val="auto"/>
        </w:rPr>
        <w:t>（16）做好交通组织设计，施工期间保证道路畅通。</w:t>
      </w:r>
    </w:p>
    <w:p w14:paraId="1C033C24">
      <w:pPr>
        <w:ind w:firstLine="480"/>
        <w:rPr>
          <w:color w:val="auto"/>
        </w:rPr>
      </w:pPr>
      <w:r>
        <w:rPr>
          <w:rFonts w:hint="eastAsia"/>
          <w:color w:val="auto"/>
        </w:rPr>
        <w:t>（17）做好与相关职能部门及属地的沟通协调工作，主动收集相关资料，并做好设计衔接。</w:t>
      </w:r>
    </w:p>
    <w:p w14:paraId="4326F484">
      <w:pPr>
        <w:ind w:firstLine="480"/>
        <w:rPr>
          <w:color w:val="auto"/>
        </w:rPr>
      </w:pPr>
      <w:r>
        <w:rPr>
          <w:rFonts w:hint="eastAsia"/>
          <w:color w:val="auto"/>
        </w:rPr>
        <w:t>（18）本项目全过程严格实行投资控制，总概算不得超总估算，如因客观原因确需调整，应按相关规定程序办理。要求概算编制准确、合理、精细，符合相关规范、标准要求。</w:t>
      </w:r>
    </w:p>
    <w:p w14:paraId="487F31B6">
      <w:pPr>
        <w:ind w:firstLine="480"/>
        <w:rPr>
          <w:color w:val="auto"/>
        </w:rPr>
      </w:pPr>
    </w:p>
    <w:p w14:paraId="52A2F114">
      <w:pPr>
        <w:ind w:firstLine="480"/>
        <w:rPr>
          <w:color w:val="auto"/>
        </w:rPr>
        <w:sectPr>
          <w:pgSz w:w="11906" w:h="16838"/>
          <w:pgMar w:top="1588" w:right="1247" w:bottom="1247" w:left="1588" w:header="1021" w:footer="851" w:gutter="0"/>
          <w:cols w:space="425" w:num="1"/>
          <w:docGrid w:linePitch="312" w:charSpace="0"/>
        </w:sectPr>
      </w:pPr>
    </w:p>
    <w:p w14:paraId="50075D90">
      <w:pPr>
        <w:pStyle w:val="2"/>
        <w:rPr>
          <w:color w:val="auto"/>
        </w:rPr>
      </w:pPr>
      <w:bookmarkStart w:id="19" w:name="_Toc160033208"/>
      <w:bookmarkStart w:id="20" w:name="_Toc11712"/>
      <w:r>
        <w:rPr>
          <w:rFonts w:hint="eastAsia"/>
          <w:color w:val="auto"/>
        </w:rPr>
        <w:t>勘察内容及工作任务</w:t>
      </w:r>
      <w:bookmarkEnd w:id="19"/>
      <w:bookmarkEnd w:id="20"/>
    </w:p>
    <w:p w14:paraId="459D3A39">
      <w:pPr>
        <w:pStyle w:val="3"/>
        <w:rPr>
          <w:color w:val="auto"/>
        </w:rPr>
      </w:pPr>
      <w:bookmarkStart w:id="21" w:name="_Toc160208078"/>
      <w:bookmarkStart w:id="22" w:name="_Toc31697"/>
      <w:bookmarkStart w:id="23" w:name="_Hlk160206394"/>
      <w:r>
        <w:rPr>
          <w:rFonts w:hint="eastAsia"/>
          <w:color w:val="auto"/>
        </w:rPr>
        <w:t>勘察设计范围</w:t>
      </w:r>
      <w:bookmarkEnd w:id="21"/>
      <w:bookmarkEnd w:id="22"/>
    </w:p>
    <w:p w14:paraId="3BCF7F8A">
      <w:pPr>
        <w:ind w:firstLine="480"/>
        <w:rPr>
          <w:color w:val="auto"/>
        </w:rPr>
      </w:pPr>
      <w:r>
        <w:rPr>
          <w:rFonts w:hint="eastAsia"/>
          <w:color w:val="auto"/>
        </w:rPr>
        <w:t>（1）工程勘察包括且不限于：在充分利用已有勘察成果的基础上，进行本次勘察设计招标范围内岩土工程勘察、工程测量（含修测）、初勘、详勘、规划放线和竣工验收测量、旧路旧桥检测、超前钻、物探、管线摸查、水下地形测量等。</w:t>
      </w:r>
    </w:p>
    <w:p w14:paraId="225C9B04">
      <w:pPr>
        <w:ind w:firstLine="480"/>
        <w:rPr>
          <w:color w:val="auto"/>
        </w:rPr>
      </w:pPr>
      <w:r>
        <w:rPr>
          <w:rFonts w:hint="eastAsia"/>
          <w:color w:val="auto"/>
        </w:rPr>
        <w:t>（2）工程设计包括且不限于：本次勘察设计招标范围内可行性研究报告编制（含可研方案、树保专章、历史文化保护专章）、方案设计及初步设计（含工程概算）、规划报建、必要的专项研究、配合完成概算财政评审工作及现场配合等后续服务。</w:t>
      </w:r>
    </w:p>
    <w:p w14:paraId="55B39FAD">
      <w:pPr>
        <w:ind w:firstLine="480"/>
        <w:rPr>
          <w:color w:val="auto"/>
        </w:rPr>
      </w:pPr>
      <w:r>
        <w:rPr>
          <w:rFonts w:hint="eastAsia"/>
          <w:color w:val="auto"/>
        </w:rPr>
        <w:t>（3）相关报批、报建：配合项目必要的报批报建工作。</w:t>
      </w:r>
    </w:p>
    <w:bookmarkEnd w:id="23"/>
    <w:p w14:paraId="670184AA">
      <w:pPr>
        <w:pStyle w:val="3"/>
        <w:rPr>
          <w:color w:val="auto"/>
        </w:rPr>
      </w:pPr>
      <w:bookmarkStart w:id="24" w:name="_Toc12194"/>
      <w:bookmarkStart w:id="25" w:name="_Toc160208079"/>
      <w:r>
        <w:rPr>
          <w:rFonts w:hint="eastAsia"/>
          <w:color w:val="auto"/>
        </w:rPr>
        <w:t>勘测内容</w:t>
      </w:r>
      <w:bookmarkEnd w:id="24"/>
      <w:bookmarkEnd w:id="25"/>
    </w:p>
    <w:p w14:paraId="404B5F46">
      <w:pPr>
        <w:ind w:firstLine="480"/>
        <w:rPr>
          <w:color w:val="auto"/>
        </w:rPr>
      </w:pPr>
      <w:r>
        <w:rPr>
          <w:rFonts w:hint="eastAsia"/>
          <w:color w:val="auto"/>
        </w:rPr>
        <w:t>需充分收集利用本场地及周边现有的勘察测量、设计、施工成果，当现有的成果不满足设计要求时，需要增加的勘察测量工作，由业主认可勘察测量大纲后方可实施。</w:t>
      </w:r>
    </w:p>
    <w:p w14:paraId="2692E164">
      <w:pPr>
        <w:ind w:firstLine="480"/>
        <w:rPr>
          <w:color w:val="auto"/>
        </w:rPr>
      </w:pPr>
      <w:r>
        <w:rPr>
          <w:rFonts w:hint="eastAsia"/>
          <w:color w:val="auto"/>
        </w:rPr>
        <w:t>（1）初勘阶段应进行详细的工程测量、工程地质勘察，基本查清沿线管线、地质、水文、气候、地震等情况。若利用既有的地形图、工程地质平面图、</w:t>
      </w:r>
      <w:bookmarkStart w:id="34" w:name="_GoBack"/>
      <w:bookmarkEnd w:id="34"/>
      <w:r>
        <w:rPr>
          <w:rFonts w:hint="eastAsia"/>
          <w:color w:val="auto"/>
        </w:rPr>
        <w:t xml:space="preserve">水文地质资料和地震资料等成果时，必须进行现场核查。对已变化的地区进行地形、地物补测，对工程重点地区进行勘察核对。勘察结果应能清楚反映本工程勘察设计开始时的最新地形、地貌、地质及管线、地物等情况。     </w:t>
      </w:r>
    </w:p>
    <w:p w14:paraId="6BDD6E73">
      <w:pPr>
        <w:ind w:firstLine="480"/>
        <w:rPr>
          <w:color w:val="auto"/>
        </w:rPr>
      </w:pPr>
      <w:r>
        <w:rPr>
          <w:rFonts w:hint="eastAsia"/>
          <w:color w:val="auto"/>
        </w:rPr>
        <w:t xml:space="preserve">（2）初勘阶段应对高压输电线路、燃气、重要的通讯网路等管线进行勘察，较准确标定其坐标位置、走向、电压等级、管材等基本特征。 </w:t>
      </w:r>
    </w:p>
    <w:p w14:paraId="28E329AA">
      <w:pPr>
        <w:ind w:firstLine="480"/>
        <w:rPr>
          <w:color w:val="auto"/>
        </w:rPr>
      </w:pPr>
      <w:r>
        <w:rPr>
          <w:rFonts w:hint="eastAsia"/>
          <w:color w:val="auto"/>
        </w:rPr>
        <w:t xml:space="preserve">（3）初勘阶段应将纸面定线或现场定线的路线交点、控制点、必要的水准高程基点，准确地测放在地面上并加以保护。                           </w:t>
      </w:r>
    </w:p>
    <w:p w14:paraId="2DC22A36">
      <w:pPr>
        <w:ind w:firstLine="480"/>
        <w:rPr>
          <w:color w:val="auto"/>
        </w:rPr>
      </w:pPr>
      <w:r>
        <w:rPr>
          <w:rFonts w:hint="eastAsia"/>
          <w:color w:val="auto"/>
        </w:rPr>
        <w:t xml:space="preserve">（4）详勘阶段，对桥、涵、挡墙等建筑物基础，及软土地基处理的深度，应进行详细的工程地质勘探。   </w:t>
      </w:r>
    </w:p>
    <w:p w14:paraId="0CDA3016">
      <w:pPr>
        <w:ind w:firstLine="480"/>
        <w:rPr>
          <w:color w:val="auto"/>
        </w:rPr>
      </w:pPr>
      <w:r>
        <w:rPr>
          <w:rFonts w:hint="eastAsia"/>
          <w:color w:val="auto"/>
        </w:rPr>
        <w:t>（5）勘察成果报告应能详细、清楚反映岩土的有关力学物理指标、必需的物理及化学性质的指标，特别是软土地基的勘察范围、分布范围及深度要准确，为设计提供设计依据，以避免在施工中因地质不清引起大的设计变更。</w:t>
      </w:r>
    </w:p>
    <w:p w14:paraId="297386FF">
      <w:pPr>
        <w:pStyle w:val="3"/>
        <w:rPr>
          <w:color w:val="auto"/>
        </w:rPr>
      </w:pPr>
      <w:bookmarkStart w:id="26" w:name="_Toc160208080"/>
      <w:bookmarkStart w:id="27" w:name="_Toc22353"/>
      <w:r>
        <w:rPr>
          <w:rFonts w:hint="eastAsia"/>
          <w:color w:val="auto"/>
        </w:rPr>
        <w:t>设计内容</w:t>
      </w:r>
      <w:bookmarkEnd w:id="26"/>
      <w:bookmarkEnd w:id="27"/>
    </w:p>
    <w:p w14:paraId="500EB7A8">
      <w:pPr>
        <w:pStyle w:val="4"/>
        <w:rPr>
          <w:color w:val="auto"/>
        </w:rPr>
      </w:pPr>
      <w:bookmarkStart w:id="28" w:name="_Toc160033211"/>
      <w:bookmarkStart w:id="29" w:name="_Toc160033213"/>
      <w:r>
        <w:rPr>
          <w:rFonts w:hint="eastAsia"/>
          <w:color w:val="auto"/>
        </w:rPr>
        <w:t>方案设计</w:t>
      </w:r>
      <w:bookmarkEnd w:id="28"/>
    </w:p>
    <w:p w14:paraId="5FA88BC2">
      <w:pPr>
        <w:ind w:firstLine="480"/>
        <w:rPr>
          <w:color w:val="auto"/>
        </w:rPr>
      </w:pPr>
      <w:r>
        <w:rPr>
          <w:rFonts w:hint="eastAsia"/>
          <w:color w:val="auto"/>
        </w:rPr>
        <w:t>根据政府部门批准的项目规划设计条件和可行性研究报告（含可研方案）等相关基础资料，结合现场实际情况，编制内容全面完整、重点难点分析透彻的方案（含管线综合方案）设计文件。对于道路、结构、景观照明等进行多方案比选。</w:t>
      </w:r>
    </w:p>
    <w:p w14:paraId="6006889C">
      <w:pPr>
        <w:ind w:firstLine="480"/>
        <w:rPr>
          <w:color w:val="auto"/>
        </w:rPr>
      </w:pPr>
      <w:r>
        <w:rPr>
          <w:rFonts w:hint="eastAsia"/>
          <w:color w:val="auto"/>
        </w:rPr>
        <w:t>中标人在收到中标通知后根据要求完善方案（含管线综合方案）设计，满足发包人向主管部门送审的要求，完成规划部门的方案设计审查。</w:t>
      </w:r>
    </w:p>
    <w:p w14:paraId="75B3C187">
      <w:pPr>
        <w:pStyle w:val="4"/>
        <w:rPr>
          <w:color w:val="auto"/>
        </w:rPr>
      </w:pPr>
      <w:bookmarkStart w:id="30" w:name="_Toc160033212"/>
      <w:r>
        <w:rPr>
          <w:rFonts w:hint="eastAsia"/>
          <w:color w:val="auto"/>
        </w:rPr>
        <w:t>初步设计</w:t>
      </w:r>
      <w:bookmarkEnd w:id="30"/>
    </w:p>
    <w:p w14:paraId="0C1457B9">
      <w:pPr>
        <w:ind w:firstLine="480"/>
        <w:rPr>
          <w:color w:val="auto"/>
        </w:rPr>
      </w:pPr>
      <w:r>
        <w:rPr>
          <w:rFonts w:hint="eastAsia"/>
          <w:color w:val="auto"/>
        </w:rPr>
        <w:t>以批准的规划方案为依据，在初步设计阶段，要基本稳定工程规模、建设目标、投资效益、技术标准以及重要技术节点的方案。并提出设计存在的问题、注意事项及相关建议，其设计深度应能控制工程投资，取得初步设计及概算批复，满足指导施工图设计的需要。</w:t>
      </w:r>
    </w:p>
    <w:bookmarkEnd w:id="29"/>
    <w:p w14:paraId="03761B78">
      <w:pPr>
        <w:pStyle w:val="4"/>
        <w:rPr>
          <w:color w:val="auto"/>
        </w:rPr>
      </w:pPr>
      <w:r>
        <w:rPr>
          <w:rFonts w:hint="eastAsia"/>
          <w:color w:val="auto"/>
        </w:rPr>
        <w:t>概算编制要求</w:t>
      </w:r>
    </w:p>
    <w:p w14:paraId="6508741A">
      <w:pPr>
        <w:ind w:firstLine="480"/>
        <w:rPr>
          <w:color w:val="auto"/>
        </w:rPr>
      </w:pPr>
      <w:r>
        <w:rPr>
          <w:rFonts w:hint="eastAsia"/>
          <w:color w:val="auto"/>
        </w:rPr>
        <w:t>（1）方案阶段的限额设计。根据批复的可行性研究报告估算总投资、设计任务书和发包人（业主）提出的限额指标要求，细化方案阶段的各项控制指标，经发包人（业主）同意后开展方案设计或方案深化；按照本合同确定的限额指标进行限额设计，细化各项指标；优化建设标准、进行多方案比较。</w:t>
      </w:r>
    </w:p>
    <w:p w14:paraId="105AFB6A">
      <w:pPr>
        <w:ind w:firstLine="480"/>
        <w:rPr>
          <w:color w:val="auto"/>
        </w:rPr>
      </w:pPr>
      <w:r>
        <w:rPr>
          <w:rFonts w:hint="eastAsia"/>
          <w:color w:val="auto"/>
        </w:rPr>
        <w:t>（2）初步设计阶段的限额设计。按照方案阶段的经济指标提出初步设计阶段的各项限额控制指标，经发包人（业主）同意后开展初步设计；若对方案设计作了重大修改且需增加投资，应本着节约的原则，经过方案优化，报发包人（业主）批准后方可列入工程概算，且概算审定金额不超估算总投资；如因采用新技术、新设备、新工艺能降低运行成本又符合“安全、可靠、经济、适用、符合国情”的原则，则应符合价值工程的工作原则，在经济技术综合评价审查通过的前提下，报发包人（业主）同意后方可列入工程概算；承包人各专业设计人员应强化控制工程造价意识，在拟定设计原则、技术方案和选择设备材料过程中，应先掌握同类工程的参考造价和工程量，严格按限额设计所分解的投资额和控制工程量进行设计，并以单位工程为考核单元并在管理中进行细化，事先做好专业内部平衡调整，提出节约投资的措施，力求将造价和工程量控制在限额范围之内；造价师应严格掌握并使用好基本预备费和其他费用，当好项目负责人或项目法人的参谋。</w:t>
      </w:r>
    </w:p>
    <w:p w14:paraId="0D6BCF8D">
      <w:pPr>
        <w:ind w:firstLine="480"/>
        <w:rPr>
          <w:color w:val="auto"/>
        </w:rPr>
      </w:pPr>
      <w:r>
        <w:rPr>
          <w:rFonts w:hint="eastAsia"/>
          <w:color w:val="auto"/>
        </w:rPr>
        <w:t>（5）概算送审价以批复的可行性研究报告估算总投资为上限，若因发包人（业主）原因导致概算价超出估算总投资，则按照相关程序办理调整手续；概算中除工程费用、勘察费用和设计费用外，尚有工程建设其他费用及基本预备费，都属于该项目配套应按照有关规定充分考虑的费用，承包人必须按有关规定开项并足额计算费用，不得少计、漏计费用项目及相关费用。</w:t>
      </w:r>
    </w:p>
    <w:p w14:paraId="7C0616FB">
      <w:pPr>
        <w:ind w:firstLine="480"/>
        <w:rPr>
          <w:color w:val="auto"/>
        </w:rPr>
      </w:pPr>
      <w:r>
        <w:rPr>
          <w:rFonts w:hint="eastAsia"/>
          <w:color w:val="auto"/>
        </w:rPr>
        <w:t>（6）完成概算财政评审后，勘察部分以发包人认可的勘察成果文件为依据计算勘察实物工作量，按《工程勘察设计收费标准（2002）》（计价格[2002]10号）结合承包人投标时所报的下浮率修正合同价；设计部分以审定的概算建安工程费为计算基数，按《工程勘察设计收费标准（2002）》（计价格[2002]10号）结合承包人投标时所报的下浮率修正合同价。</w:t>
      </w:r>
    </w:p>
    <w:p w14:paraId="10AC9552">
      <w:pPr>
        <w:ind w:firstLine="480"/>
        <w:rPr>
          <w:color w:val="auto"/>
        </w:rPr>
      </w:pPr>
      <w:r>
        <w:rPr>
          <w:rFonts w:hint="eastAsia"/>
          <w:color w:val="auto"/>
        </w:rPr>
        <w:t>（7）概算文件的编审进度必须与初步设计的进度要求一致。</w:t>
      </w:r>
    </w:p>
    <w:p w14:paraId="47E92143">
      <w:pPr>
        <w:ind w:firstLine="480"/>
        <w:rPr>
          <w:color w:val="auto"/>
        </w:rPr>
      </w:pPr>
      <w:r>
        <w:rPr>
          <w:rFonts w:hint="eastAsia"/>
          <w:color w:val="auto"/>
        </w:rPr>
        <w:t>（8）若果概算超出相应的上限，设计方必须对初步设计进行修改，并承诺该修改不改变有关设计和规划原则、内容与要求，初步设计不改变方案设计本质要求，不降低使用功能和设计质量标准。</w:t>
      </w:r>
    </w:p>
    <w:p w14:paraId="55ADE333">
      <w:pPr>
        <w:pStyle w:val="4"/>
        <w:rPr>
          <w:color w:val="auto"/>
        </w:rPr>
      </w:pPr>
      <w:r>
        <w:rPr>
          <w:rFonts w:hint="eastAsia"/>
          <w:color w:val="auto"/>
        </w:rPr>
        <w:t>成果文件要求</w:t>
      </w:r>
      <w:r>
        <w:rPr>
          <w:rFonts w:hint="eastAsia"/>
          <w:color w:val="auto"/>
        </w:rPr>
        <w:tab/>
      </w:r>
    </w:p>
    <w:p w14:paraId="0AF20FE5">
      <w:pPr>
        <w:ind w:firstLine="480"/>
        <w:rPr>
          <w:color w:val="auto"/>
        </w:rPr>
      </w:pPr>
      <w:r>
        <w:rPr>
          <w:rFonts w:hint="eastAsia"/>
          <w:color w:val="auto"/>
        </w:rPr>
        <w:t>（1）提交的成果文件必须符合设计任务书的要求，应完整、系统、有条理，应达到建设部《市政公用工程设计文件编制深度规定》的深度要求。</w:t>
      </w:r>
    </w:p>
    <w:p w14:paraId="03587B0B">
      <w:pPr>
        <w:ind w:firstLine="480"/>
        <w:rPr>
          <w:color w:val="auto"/>
        </w:rPr>
      </w:pPr>
      <w:r>
        <w:rPr>
          <w:rFonts w:hint="eastAsia"/>
          <w:color w:val="auto"/>
        </w:rPr>
        <w:t>（2）所有设计成果的计量单位均采用国际标准计量单位。</w:t>
      </w:r>
    </w:p>
    <w:p w14:paraId="747506F8">
      <w:pPr>
        <w:ind w:firstLine="480"/>
        <w:rPr>
          <w:color w:val="auto"/>
        </w:rPr>
      </w:pPr>
      <w:r>
        <w:rPr>
          <w:rFonts w:hint="eastAsia"/>
          <w:color w:val="auto"/>
        </w:rPr>
        <w:t>（3）设计成果的文字说明和文字标注均采用中文版本。</w:t>
      </w:r>
    </w:p>
    <w:p w14:paraId="48995E37">
      <w:pPr>
        <w:ind w:firstLine="480"/>
        <w:rPr>
          <w:color w:val="auto"/>
        </w:rPr>
      </w:pPr>
      <w:r>
        <w:rPr>
          <w:rFonts w:hint="eastAsia"/>
          <w:color w:val="auto"/>
        </w:rPr>
        <w:t>（4）设计图纸和文本文件必须做到清晰、完整，尺寸齐全、准确，同类图纸规格应统一。</w:t>
      </w:r>
    </w:p>
    <w:p w14:paraId="3EC04337">
      <w:pPr>
        <w:ind w:firstLine="480"/>
        <w:rPr>
          <w:color w:val="auto"/>
        </w:rPr>
      </w:pPr>
      <w:r>
        <w:rPr>
          <w:rFonts w:hint="eastAsia"/>
          <w:color w:val="auto"/>
        </w:rPr>
        <w:t>（5）初步设计初稿完成后，应送设计咨询单位审核。完成初步设计评审后，应结合会议意见按要求进行修编。</w:t>
      </w:r>
    </w:p>
    <w:p w14:paraId="70DF69A6">
      <w:pPr>
        <w:pStyle w:val="4"/>
        <w:rPr>
          <w:color w:val="auto"/>
        </w:rPr>
      </w:pPr>
      <w:r>
        <w:rPr>
          <w:rFonts w:hint="eastAsia"/>
          <w:color w:val="auto"/>
        </w:rPr>
        <w:t>提交的设计成果</w:t>
      </w:r>
    </w:p>
    <w:p w14:paraId="45E4E8E2">
      <w:pPr>
        <w:ind w:firstLine="480"/>
        <w:rPr>
          <w:color w:val="auto"/>
        </w:rPr>
      </w:pPr>
      <w:r>
        <w:rPr>
          <w:rFonts w:hint="eastAsia"/>
          <w:color w:val="auto"/>
        </w:rPr>
        <w:t>（1）向发包人提交设计成果资料，并对其质量负责。</w:t>
      </w:r>
    </w:p>
    <w:p w14:paraId="79C70F5F">
      <w:pPr>
        <w:ind w:firstLine="480"/>
        <w:rPr>
          <w:color w:val="auto"/>
        </w:rPr>
      </w:pPr>
      <w:r>
        <w:rPr>
          <w:rFonts w:hint="eastAsia"/>
          <w:color w:val="auto"/>
        </w:rPr>
        <w:t>（2）提交设计文件各壹式拾陆份，交付地点为：发包人指定的地点。</w:t>
      </w:r>
    </w:p>
    <w:p w14:paraId="64A5B794">
      <w:pPr>
        <w:ind w:firstLine="480"/>
        <w:rPr>
          <w:color w:val="auto"/>
        </w:rPr>
      </w:pPr>
      <w:r>
        <w:rPr>
          <w:rFonts w:hint="eastAsia"/>
          <w:color w:val="auto"/>
        </w:rPr>
        <w:t>（3）初步设计文件、初步设计概算及其相关文件的交付日期以发包人批准的设计工作大纲确定的日期为准。</w:t>
      </w:r>
    </w:p>
    <w:p w14:paraId="4480A393">
      <w:pPr>
        <w:ind w:firstLine="480"/>
        <w:rPr>
          <w:color w:val="auto"/>
        </w:rPr>
      </w:pPr>
      <w:r>
        <w:rPr>
          <w:rFonts w:hint="eastAsia"/>
          <w:color w:val="auto"/>
        </w:rPr>
        <w:t>（</w:t>
      </w:r>
      <w:r>
        <w:rPr>
          <w:color w:val="auto"/>
        </w:rPr>
        <w:t>4</w:t>
      </w:r>
      <w:r>
        <w:rPr>
          <w:rFonts w:hint="eastAsia"/>
          <w:color w:val="auto"/>
        </w:rPr>
        <w:t>）设计图纸含方案设计图、初步设计图、报建图，概算文件包含方案设计估算、初步设计概算，其中包括发包人及政府有关部门要求提供的上述相关设计文件的电子文件（包括Word版文本说明、CAD图纸及全部PDF文件）。</w:t>
      </w:r>
    </w:p>
    <w:p w14:paraId="16100D14">
      <w:pPr>
        <w:ind w:firstLine="480"/>
        <w:rPr>
          <w:color w:val="auto"/>
        </w:rPr>
      </w:pPr>
      <w:r>
        <w:rPr>
          <w:rFonts w:hint="eastAsia"/>
          <w:color w:val="auto"/>
        </w:rPr>
        <w:t>（</w:t>
      </w:r>
      <w:r>
        <w:rPr>
          <w:color w:val="auto"/>
        </w:rPr>
        <w:t>5</w:t>
      </w:r>
      <w:r>
        <w:rPr>
          <w:rFonts w:hint="eastAsia"/>
          <w:color w:val="auto"/>
        </w:rPr>
        <w:t>）设计单位设计成果文件的提交时间以符合合同约定质量的设计成果文件的提交时间为准。设计成果文件提交的时间及份数如下：</w:t>
      </w:r>
    </w:p>
    <w:tbl>
      <w:tblPr>
        <w:tblStyle w:val="23"/>
        <w:tblW w:w="90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FFFFFF"/>
        <w:tblLayout w:type="autofit"/>
        <w:tblCellMar>
          <w:top w:w="15" w:type="dxa"/>
          <w:left w:w="15" w:type="dxa"/>
          <w:bottom w:w="15" w:type="dxa"/>
          <w:right w:w="15" w:type="dxa"/>
        </w:tblCellMar>
      </w:tblPr>
      <w:tblGrid>
        <w:gridCol w:w="361"/>
        <w:gridCol w:w="3598"/>
        <w:gridCol w:w="813"/>
        <w:gridCol w:w="1784"/>
        <w:gridCol w:w="2509"/>
      </w:tblGrid>
      <w:tr w14:paraId="6370F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FFFFFF"/>
          <w:tblCellMar>
            <w:top w:w="15" w:type="dxa"/>
            <w:left w:w="15" w:type="dxa"/>
            <w:bottom w:w="15" w:type="dxa"/>
            <w:right w:w="15" w:type="dxa"/>
          </w:tblCellMar>
        </w:tblPrEx>
        <w:trPr>
          <w:trHeight w:val="357" w:hRule="atLeast"/>
          <w:jc w:val="center"/>
        </w:trPr>
        <w:tc>
          <w:tcPr>
            <w:tcW w:w="0" w:type="auto"/>
            <w:shd w:val="clear" w:color="000000" w:fill="auto"/>
            <w:vAlign w:val="center"/>
          </w:tcPr>
          <w:p w14:paraId="00D28778">
            <w:pPr>
              <w:pStyle w:val="21"/>
              <w:adjustRightInd w:val="0"/>
              <w:snapToGrid w:val="0"/>
              <w:spacing w:beforeAutospacing="0" w:afterAutospacing="0"/>
              <w:jc w:val="center"/>
              <w:rPr>
                <w:rFonts w:ascii="Times New Roman" w:hAnsi="Times New Roman" w:eastAsia="宋体" w:cs="仿宋_GB2312"/>
                <w:kern w:val="2"/>
                <w:sz w:val="21"/>
                <w:szCs w:val="24"/>
              </w:rPr>
            </w:pPr>
            <w:bookmarkStart w:id="31" w:name="_Hlk160207850"/>
            <w:r>
              <w:rPr>
                <w:rFonts w:hint="eastAsia" w:ascii="Times New Roman" w:hAnsi="Times New Roman" w:eastAsia="宋体" w:cs="仿宋_GB2312"/>
                <w:kern w:val="2"/>
                <w:sz w:val="21"/>
                <w:szCs w:val="24"/>
              </w:rPr>
              <w:t>序号</w:t>
            </w:r>
          </w:p>
        </w:tc>
        <w:tc>
          <w:tcPr>
            <w:tcW w:w="0" w:type="auto"/>
            <w:shd w:val="clear" w:color="000000" w:fill="auto"/>
            <w:vAlign w:val="center"/>
          </w:tcPr>
          <w:p w14:paraId="27A3B9D9">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资料及文件名称</w:t>
            </w:r>
          </w:p>
        </w:tc>
        <w:tc>
          <w:tcPr>
            <w:tcW w:w="0" w:type="auto"/>
            <w:shd w:val="clear" w:color="000000" w:fill="auto"/>
            <w:vAlign w:val="center"/>
          </w:tcPr>
          <w:p w14:paraId="4F1D7699">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提交日期</w:t>
            </w:r>
          </w:p>
          <w:p w14:paraId="385BBCD6">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（日历日）</w:t>
            </w:r>
          </w:p>
        </w:tc>
        <w:tc>
          <w:tcPr>
            <w:tcW w:w="0" w:type="auto"/>
            <w:gridSpan w:val="2"/>
            <w:shd w:val="clear" w:color="000000" w:fill="auto"/>
            <w:vAlign w:val="center"/>
          </w:tcPr>
          <w:p w14:paraId="32683975">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份数</w:t>
            </w:r>
          </w:p>
        </w:tc>
      </w:tr>
      <w:tr w14:paraId="62C09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FFFFFF"/>
          <w:tblCellMar>
            <w:top w:w="15" w:type="dxa"/>
            <w:left w:w="15" w:type="dxa"/>
            <w:bottom w:w="15" w:type="dxa"/>
            <w:right w:w="15" w:type="dxa"/>
          </w:tblCellMar>
        </w:tblPrEx>
        <w:trPr>
          <w:trHeight w:val="357" w:hRule="atLeast"/>
          <w:jc w:val="center"/>
        </w:trPr>
        <w:tc>
          <w:tcPr>
            <w:tcW w:w="0" w:type="auto"/>
            <w:shd w:val="clear" w:color="000000" w:fill="FFFFFF"/>
            <w:vAlign w:val="center"/>
          </w:tcPr>
          <w:p w14:paraId="00BC8922">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1</w:t>
            </w:r>
          </w:p>
        </w:tc>
        <w:tc>
          <w:tcPr>
            <w:tcW w:w="0" w:type="auto"/>
            <w:shd w:val="clear" w:color="000000" w:fill="FFFFFF"/>
            <w:vAlign w:val="center"/>
          </w:tcPr>
          <w:p w14:paraId="5BE58E94">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勘察大纲</w:t>
            </w:r>
          </w:p>
        </w:tc>
        <w:tc>
          <w:tcPr>
            <w:tcW w:w="0" w:type="auto"/>
            <w:vMerge w:val="restart"/>
            <w:shd w:val="clear" w:color="000000" w:fill="FFFFFF"/>
            <w:vAlign w:val="center"/>
          </w:tcPr>
          <w:p w14:paraId="109BAA92">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按甲方</w:t>
            </w:r>
          </w:p>
          <w:p w14:paraId="3EEB6A12">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要求</w:t>
            </w:r>
          </w:p>
          <w:p w14:paraId="685115DE">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提供</w:t>
            </w:r>
          </w:p>
        </w:tc>
        <w:tc>
          <w:tcPr>
            <w:tcW w:w="0" w:type="auto"/>
            <w:shd w:val="clear" w:color="000000" w:fill="FFFFFF"/>
            <w:vAlign w:val="center"/>
          </w:tcPr>
          <w:p w14:paraId="09C0E3FB">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3份或按甲方要求提供</w:t>
            </w:r>
          </w:p>
        </w:tc>
        <w:tc>
          <w:tcPr>
            <w:tcW w:w="0" w:type="auto"/>
            <w:shd w:val="clear" w:color="000000" w:fill="FFFFFF"/>
            <w:vAlign w:val="center"/>
          </w:tcPr>
          <w:p w14:paraId="47F6D11A">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电子文档1份</w:t>
            </w:r>
          </w:p>
        </w:tc>
      </w:tr>
      <w:tr w14:paraId="4002D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FFFFFF"/>
          <w:tblCellMar>
            <w:top w:w="15" w:type="dxa"/>
            <w:left w:w="15" w:type="dxa"/>
            <w:bottom w:w="15" w:type="dxa"/>
            <w:right w:w="15" w:type="dxa"/>
          </w:tblCellMar>
        </w:tblPrEx>
        <w:trPr>
          <w:trHeight w:val="357" w:hRule="atLeast"/>
          <w:jc w:val="center"/>
        </w:trPr>
        <w:tc>
          <w:tcPr>
            <w:tcW w:w="0" w:type="auto"/>
            <w:shd w:val="clear" w:color="000000" w:fill="FFFFFF"/>
            <w:vAlign w:val="center"/>
          </w:tcPr>
          <w:p w14:paraId="12BE33CB">
            <w:pPr>
              <w:pStyle w:val="21"/>
              <w:adjustRightInd w:val="0"/>
              <w:snapToGrid w:val="0"/>
              <w:spacing w:beforeAutospacing="0" w:afterAutospacing="0"/>
              <w:jc w:val="center"/>
              <w:rPr>
                <w:rFonts w:ascii="Times New Roman" w:hAnsi="Times New Roman" w:eastAsia="宋体" w:cs="仿宋_GB2312"/>
                <w:kern w:val="2"/>
                <w:sz w:val="21"/>
                <w:szCs w:val="24"/>
              </w:rPr>
            </w:pPr>
            <w:r>
              <w:rPr>
                <w:rFonts w:ascii="Times New Roman" w:hAnsi="Times New Roman" w:eastAsia="宋体" w:cs="仿宋_GB2312"/>
                <w:kern w:val="2"/>
                <w:sz w:val="21"/>
                <w:szCs w:val="24"/>
              </w:rPr>
              <w:t>2</w:t>
            </w:r>
          </w:p>
        </w:tc>
        <w:tc>
          <w:tcPr>
            <w:tcW w:w="0" w:type="auto"/>
            <w:shd w:val="clear" w:color="000000" w:fill="FFFFFF"/>
            <w:vAlign w:val="center"/>
          </w:tcPr>
          <w:p w14:paraId="25D5A374">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初步勘察（包括建设条件摸查、地形测量、初步地质勘察）报告</w:t>
            </w:r>
          </w:p>
        </w:tc>
        <w:tc>
          <w:tcPr>
            <w:tcW w:w="0" w:type="auto"/>
            <w:vMerge w:val="continue"/>
            <w:shd w:val="clear" w:color="000000" w:fill="FFFFFF"/>
            <w:vAlign w:val="center"/>
          </w:tcPr>
          <w:p w14:paraId="0FEC4F2B">
            <w:pPr>
              <w:spacing w:line="240" w:lineRule="auto"/>
              <w:ind w:firstLine="0" w:firstLineChars="0"/>
              <w:jc w:val="center"/>
              <w:rPr>
                <w:rFonts w:cs="仿宋_GB2312"/>
                <w:color w:val="auto"/>
                <w:sz w:val="21"/>
              </w:rPr>
            </w:pPr>
          </w:p>
        </w:tc>
        <w:tc>
          <w:tcPr>
            <w:tcW w:w="0" w:type="auto"/>
            <w:shd w:val="clear" w:color="000000" w:fill="FFFFFF"/>
            <w:vAlign w:val="center"/>
          </w:tcPr>
          <w:p w14:paraId="77A5D6AC">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3份或按甲方要求提供</w:t>
            </w:r>
          </w:p>
        </w:tc>
        <w:tc>
          <w:tcPr>
            <w:tcW w:w="0" w:type="auto"/>
            <w:shd w:val="clear" w:color="000000" w:fill="FFFFFF"/>
            <w:vAlign w:val="center"/>
          </w:tcPr>
          <w:p w14:paraId="30296B36">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电子文档1份</w:t>
            </w:r>
          </w:p>
        </w:tc>
      </w:tr>
      <w:tr w14:paraId="6F8D7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FFFFFF"/>
          <w:tblCellMar>
            <w:top w:w="15" w:type="dxa"/>
            <w:left w:w="15" w:type="dxa"/>
            <w:bottom w:w="15" w:type="dxa"/>
            <w:right w:w="15" w:type="dxa"/>
          </w:tblCellMar>
        </w:tblPrEx>
        <w:trPr>
          <w:trHeight w:val="357" w:hRule="atLeast"/>
          <w:jc w:val="center"/>
        </w:trPr>
        <w:tc>
          <w:tcPr>
            <w:tcW w:w="0" w:type="auto"/>
            <w:shd w:val="clear" w:color="000000" w:fill="FFFFFF"/>
            <w:vAlign w:val="center"/>
          </w:tcPr>
          <w:p w14:paraId="4731E81B">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2</w:t>
            </w:r>
          </w:p>
        </w:tc>
        <w:tc>
          <w:tcPr>
            <w:tcW w:w="0" w:type="auto"/>
            <w:shd w:val="clear" w:color="000000" w:fill="FFFFFF"/>
            <w:vAlign w:val="center"/>
          </w:tcPr>
          <w:p w14:paraId="60A237FC">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方案设计文件</w:t>
            </w:r>
          </w:p>
        </w:tc>
        <w:tc>
          <w:tcPr>
            <w:tcW w:w="0" w:type="auto"/>
            <w:vMerge w:val="continue"/>
            <w:shd w:val="clear" w:color="000000" w:fill="FFFFFF"/>
            <w:vAlign w:val="center"/>
          </w:tcPr>
          <w:p w14:paraId="4A4AB921">
            <w:pPr>
              <w:spacing w:line="240" w:lineRule="auto"/>
              <w:ind w:firstLine="0" w:firstLineChars="0"/>
              <w:jc w:val="center"/>
              <w:rPr>
                <w:rFonts w:cs="仿宋_GB2312"/>
                <w:color w:val="auto"/>
                <w:sz w:val="21"/>
              </w:rPr>
            </w:pPr>
          </w:p>
        </w:tc>
        <w:tc>
          <w:tcPr>
            <w:tcW w:w="0" w:type="auto"/>
            <w:shd w:val="clear" w:color="000000" w:fill="FFFFFF"/>
            <w:vAlign w:val="center"/>
          </w:tcPr>
          <w:p w14:paraId="2FAD071F">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3份或按甲方要求提供</w:t>
            </w:r>
          </w:p>
        </w:tc>
        <w:tc>
          <w:tcPr>
            <w:tcW w:w="0" w:type="auto"/>
            <w:shd w:val="clear" w:color="000000" w:fill="FFFFFF"/>
            <w:vAlign w:val="center"/>
          </w:tcPr>
          <w:p w14:paraId="1BF70BD4">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电子文档1份</w:t>
            </w:r>
          </w:p>
        </w:tc>
      </w:tr>
      <w:tr w14:paraId="56BA9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57" w:hRule="atLeast"/>
          <w:jc w:val="center"/>
        </w:trPr>
        <w:tc>
          <w:tcPr>
            <w:tcW w:w="0" w:type="auto"/>
            <w:shd w:val="clear" w:color="000000" w:fill="FFFFFF"/>
            <w:vAlign w:val="center"/>
          </w:tcPr>
          <w:p w14:paraId="20FA30C6">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3</w:t>
            </w:r>
          </w:p>
        </w:tc>
        <w:tc>
          <w:tcPr>
            <w:tcW w:w="0" w:type="auto"/>
            <w:shd w:val="clear" w:color="000000" w:fill="FFFFFF"/>
            <w:vAlign w:val="center"/>
          </w:tcPr>
          <w:p w14:paraId="392DF2C6">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初步设计及概算（报批稿）</w:t>
            </w:r>
          </w:p>
        </w:tc>
        <w:tc>
          <w:tcPr>
            <w:tcW w:w="0" w:type="auto"/>
            <w:vMerge w:val="continue"/>
            <w:shd w:val="clear" w:color="000000" w:fill="FFFFFF"/>
            <w:vAlign w:val="center"/>
          </w:tcPr>
          <w:p w14:paraId="32C75D6A">
            <w:pPr>
              <w:spacing w:line="240" w:lineRule="auto"/>
              <w:ind w:firstLine="0" w:firstLineChars="0"/>
              <w:jc w:val="center"/>
              <w:rPr>
                <w:rFonts w:cs="仿宋_GB2312"/>
                <w:color w:val="auto"/>
                <w:sz w:val="21"/>
              </w:rPr>
            </w:pPr>
          </w:p>
        </w:tc>
        <w:tc>
          <w:tcPr>
            <w:tcW w:w="0" w:type="auto"/>
            <w:shd w:val="clear" w:color="000000" w:fill="FFFFFF"/>
            <w:vAlign w:val="center"/>
          </w:tcPr>
          <w:p w14:paraId="255769ED">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3份或按初步设计审查要求提供</w:t>
            </w:r>
          </w:p>
        </w:tc>
        <w:tc>
          <w:tcPr>
            <w:tcW w:w="0" w:type="auto"/>
            <w:shd w:val="clear" w:color="000000" w:fill="FFFFFF"/>
            <w:vAlign w:val="center"/>
          </w:tcPr>
          <w:p w14:paraId="25876857">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电子文档1份（含符合评审要求的软件版）</w:t>
            </w:r>
          </w:p>
        </w:tc>
      </w:tr>
      <w:tr w14:paraId="10BC0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57" w:hRule="atLeast"/>
          <w:jc w:val="center"/>
        </w:trPr>
        <w:tc>
          <w:tcPr>
            <w:tcW w:w="0" w:type="auto"/>
            <w:shd w:val="clear" w:color="000000" w:fill="FFFFFF"/>
            <w:vAlign w:val="center"/>
          </w:tcPr>
          <w:p w14:paraId="4E50B420">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5</w:t>
            </w:r>
          </w:p>
        </w:tc>
        <w:tc>
          <w:tcPr>
            <w:tcW w:w="0" w:type="auto"/>
            <w:shd w:val="clear" w:color="000000" w:fill="FFFFFF"/>
            <w:vAlign w:val="center"/>
          </w:tcPr>
          <w:p w14:paraId="091B124F">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初步设计（修编）</w:t>
            </w:r>
          </w:p>
        </w:tc>
        <w:tc>
          <w:tcPr>
            <w:tcW w:w="0" w:type="auto"/>
            <w:vMerge w:val="continue"/>
            <w:shd w:val="clear" w:color="000000" w:fill="FFFFFF"/>
            <w:vAlign w:val="center"/>
          </w:tcPr>
          <w:p w14:paraId="6E9A1CA4">
            <w:pPr>
              <w:spacing w:line="240" w:lineRule="auto"/>
              <w:ind w:firstLine="0" w:firstLineChars="0"/>
              <w:jc w:val="center"/>
              <w:rPr>
                <w:rFonts w:cs="仿宋_GB2312"/>
                <w:color w:val="auto"/>
                <w:sz w:val="21"/>
              </w:rPr>
            </w:pPr>
          </w:p>
        </w:tc>
        <w:tc>
          <w:tcPr>
            <w:tcW w:w="0" w:type="auto"/>
            <w:shd w:val="clear" w:color="000000" w:fill="FFFFFF"/>
            <w:vAlign w:val="center"/>
          </w:tcPr>
          <w:p w14:paraId="2949A568">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3份或按甲方要求提供</w:t>
            </w:r>
          </w:p>
        </w:tc>
        <w:tc>
          <w:tcPr>
            <w:tcW w:w="0" w:type="auto"/>
            <w:shd w:val="clear" w:color="000000" w:fill="FFFFFF"/>
            <w:vAlign w:val="center"/>
          </w:tcPr>
          <w:p w14:paraId="095B5AEE">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电子文档1份</w:t>
            </w:r>
          </w:p>
        </w:tc>
      </w:tr>
      <w:tr w14:paraId="4F18D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FFFFFF"/>
          <w:tblCellMar>
            <w:top w:w="15" w:type="dxa"/>
            <w:left w:w="15" w:type="dxa"/>
            <w:bottom w:w="15" w:type="dxa"/>
            <w:right w:w="15" w:type="dxa"/>
          </w:tblCellMar>
        </w:tblPrEx>
        <w:trPr>
          <w:trHeight w:val="357" w:hRule="atLeast"/>
          <w:jc w:val="center"/>
        </w:trPr>
        <w:tc>
          <w:tcPr>
            <w:tcW w:w="0" w:type="auto"/>
            <w:shd w:val="clear" w:color="000000" w:fill="FFFFFF"/>
            <w:vAlign w:val="center"/>
          </w:tcPr>
          <w:p w14:paraId="19A25D07">
            <w:pPr>
              <w:pStyle w:val="21"/>
              <w:adjustRightInd w:val="0"/>
              <w:snapToGrid w:val="0"/>
              <w:spacing w:beforeAutospacing="0" w:afterAutospacing="0"/>
              <w:jc w:val="center"/>
              <w:rPr>
                <w:rFonts w:ascii="Times New Roman" w:hAnsi="Times New Roman" w:eastAsia="宋体" w:cs="仿宋_GB2312"/>
                <w:kern w:val="2"/>
                <w:sz w:val="21"/>
                <w:szCs w:val="24"/>
              </w:rPr>
            </w:pPr>
            <w:r>
              <w:rPr>
                <w:rFonts w:ascii="Times New Roman" w:hAnsi="Times New Roman" w:eastAsia="宋体" w:cs="仿宋_GB2312"/>
                <w:kern w:val="2"/>
                <w:sz w:val="21"/>
                <w:szCs w:val="24"/>
              </w:rPr>
              <w:t>6</w:t>
            </w:r>
          </w:p>
        </w:tc>
        <w:tc>
          <w:tcPr>
            <w:tcW w:w="0" w:type="auto"/>
            <w:shd w:val="clear" w:color="000000" w:fill="FFFFFF"/>
            <w:vAlign w:val="center"/>
          </w:tcPr>
          <w:p w14:paraId="04D7874D">
            <w:pPr>
              <w:pStyle w:val="21"/>
              <w:adjustRightInd w:val="0"/>
              <w:snapToGrid w:val="0"/>
              <w:spacing w:beforeAutospacing="0" w:afterAutospacing="0"/>
              <w:jc w:val="center"/>
              <w:rPr>
                <w:rFonts w:ascii="Times New Roman" w:hAnsi="Times New Roman" w:eastAsia="宋体" w:cs="仿宋_GB2312"/>
                <w:kern w:val="2"/>
                <w:sz w:val="21"/>
                <w:szCs w:val="24"/>
              </w:rPr>
            </w:pPr>
            <w:r>
              <w:rPr>
                <w:rFonts w:hint="eastAsia" w:ascii="Times New Roman" w:hAnsi="Times New Roman" w:eastAsia="宋体" w:cs="仿宋_GB2312"/>
                <w:kern w:val="2"/>
                <w:sz w:val="21"/>
                <w:szCs w:val="24"/>
              </w:rPr>
              <w:t>初步设计概算（修编）</w:t>
            </w:r>
          </w:p>
        </w:tc>
        <w:tc>
          <w:tcPr>
            <w:tcW w:w="0" w:type="auto"/>
            <w:vMerge w:val="continue"/>
            <w:shd w:val="clear" w:color="000000" w:fill="FFFFFF"/>
            <w:vAlign w:val="center"/>
          </w:tcPr>
          <w:p w14:paraId="5B6E3976">
            <w:pPr>
              <w:spacing w:line="240" w:lineRule="auto"/>
              <w:ind w:firstLine="0" w:firstLineChars="0"/>
              <w:jc w:val="center"/>
              <w:rPr>
                <w:rFonts w:cs="仿宋_GB2312"/>
                <w:color w:val="auto"/>
                <w:sz w:val="21"/>
              </w:rPr>
            </w:pPr>
          </w:p>
        </w:tc>
        <w:tc>
          <w:tcPr>
            <w:tcW w:w="0" w:type="auto"/>
            <w:shd w:val="clear" w:color="000000" w:fill="FFFFFF"/>
            <w:vAlign w:val="center"/>
          </w:tcPr>
          <w:p w14:paraId="2E9F4F51">
            <w:pPr>
              <w:spacing w:line="240" w:lineRule="auto"/>
              <w:ind w:firstLine="0" w:firstLineChars="0"/>
              <w:jc w:val="center"/>
              <w:rPr>
                <w:rFonts w:cs="仿宋_GB2312"/>
                <w:color w:val="auto"/>
                <w:sz w:val="21"/>
                <w:lang w:bidi="ar"/>
              </w:rPr>
            </w:pPr>
            <w:r>
              <w:rPr>
                <w:rFonts w:hint="eastAsia" w:cs="仿宋_GB2312"/>
                <w:color w:val="auto"/>
                <w:sz w:val="21"/>
              </w:rPr>
              <w:t>3份或</w:t>
            </w:r>
            <w:r>
              <w:rPr>
                <w:rFonts w:hint="eastAsia" w:cs="仿宋_GB2312"/>
                <w:color w:val="auto"/>
                <w:sz w:val="21"/>
                <w:lang w:bidi="ar"/>
              </w:rPr>
              <w:t>按初步设计审查要求提供</w:t>
            </w:r>
          </w:p>
        </w:tc>
        <w:tc>
          <w:tcPr>
            <w:tcW w:w="0" w:type="auto"/>
            <w:shd w:val="clear" w:color="000000" w:fill="FFFFFF"/>
            <w:vAlign w:val="center"/>
          </w:tcPr>
          <w:p w14:paraId="30B29C09">
            <w:pPr>
              <w:spacing w:line="240" w:lineRule="auto"/>
              <w:ind w:firstLine="0" w:firstLineChars="0"/>
              <w:jc w:val="center"/>
              <w:rPr>
                <w:rFonts w:cs="仿宋_GB2312"/>
                <w:color w:val="auto"/>
                <w:sz w:val="21"/>
                <w:lang w:bidi="ar"/>
              </w:rPr>
            </w:pPr>
            <w:r>
              <w:rPr>
                <w:rFonts w:hint="eastAsia" w:cs="仿宋_GB2312"/>
                <w:color w:val="auto"/>
                <w:sz w:val="21"/>
                <w:lang w:bidi="ar"/>
              </w:rPr>
              <w:t>电子文档1份（含符合评审要求的软件版</w:t>
            </w:r>
          </w:p>
        </w:tc>
      </w:tr>
      <w:bookmarkEnd w:id="31"/>
    </w:tbl>
    <w:p w14:paraId="06BB77CA">
      <w:pPr>
        <w:ind w:firstLine="480"/>
        <w:rPr>
          <w:color w:val="auto"/>
        </w:rPr>
      </w:pPr>
      <w:r>
        <w:rPr>
          <w:rFonts w:hint="eastAsia"/>
          <w:color w:val="auto"/>
        </w:rPr>
        <w:t>注：所提交的成果指符合设计深度及设计质量要求的成果，如按时提交的成果不满足要求，将按一般违约进行处罚。</w:t>
      </w:r>
    </w:p>
    <w:p w14:paraId="60EF362E">
      <w:pPr>
        <w:pStyle w:val="4"/>
        <w:rPr>
          <w:color w:val="auto"/>
        </w:rPr>
      </w:pPr>
      <w:r>
        <w:rPr>
          <w:rFonts w:hint="eastAsia"/>
          <w:color w:val="auto"/>
        </w:rPr>
        <w:t>报建</w:t>
      </w:r>
    </w:p>
    <w:p w14:paraId="53FE6C95">
      <w:pPr>
        <w:ind w:firstLine="480"/>
        <w:rPr>
          <w:color w:val="auto"/>
        </w:rPr>
      </w:pPr>
      <w:r>
        <w:rPr>
          <w:rFonts w:hint="eastAsia"/>
          <w:color w:val="auto"/>
        </w:rPr>
        <w:t>主动收集设计所需的国土、规划、水利、航道、海事、电力、铁路等相关资料，配合完成规划、用地 、交通、电力、水利、行洪、通航、海事、环评、水保、地灾评估、消防等报建报批工作。</w:t>
      </w:r>
    </w:p>
    <w:p w14:paraId="62988338">
      <w:pPr>
        <w:pStyle w:val="4"/>
        <w:rPr>
          <w:color w:val="auto"/>
        </w:rPr>
      </w:pPr>
      <w:r>
        <w:rPr>
          <w:rFonts w:hint="eastAsia"/>
          <w:color w:val="auto"/>
        </w:rPr>
        <w:t>其他未尽事宜</w:t>
      </w:r>
    </w:p>
    <w:p w14:paraId="0FEED530">
      <w:pPr>
        <w:ind w:firstLine="480"/>
        <w:rPr>
          <w:color w:val="auto"/>
        </w:rPr>
      </w:pPr>
      <w:r>
        <w:rPr>
          <w:rFonts w:hint="eastAsia"/>
          <w:color w:val="auto"/>
        </w:rPr>
        <w:t>（1）如因规划、建设、环保、交警、水利、航道、海事等行政主管部门或发包人等单位在项目建设过程中，提出对设计内容或工作任务进行调整意见的，由各职能部门或发包人书面通知设计单位进行调整。</w:t>
      </w:r>
    </w:p>
    <w:p w14:paraId="58753DBF">
      <w:pPr>
        <w:ind w:firstLine="480"/>
        <w:rPr>
          <w:color w:val="auto"/>
        </w:rPr>
      </w:pPr>
      <w:r>
        <w:rPr>
          <w:rFonts w:hint="eastAsia"/>
          <w:color w:val="auto"/>
        </w:rPr>
        <w:t>（2）如因设计单位为完善设计等原因提出对设计内容或工作任务进行调整的，需书面报发包人等相关主管单位审核批准。</w:t>
      </w:r>
    </w:p>
    <w:p w14:paraId="24CEA1C7">
      <w:pPr>
        <w:ind w:firstLine="480"/>
        <w:rPr>
          <w:color w:val="auto"/>
        </w:rPr>
        <w:sectPr>
          <w:pgSz w:w="11906" w:h="16838"/>
          <w:pgMar w:top="1588" w:right="1247" w:bottom="1247" w:left="1588" w:header="1021" w:footer="851" w:gutter="0"/>
          <w:cols w:space="425" w:num="1"/>
          <w:docGrid w:linePitch="312" w:charSpace="0"/>
        </w:sectPr>
      </w:pPr>
    </w:p>
    <w:p w14:paraId="26211D85">
      <w:pPr>
        <w:pStyle w:val="2"/>
        <w:rPr>
          <w:color w:val="auto"/>
        </w:rPr>
      </w:pPr>
      <w:bookmarkStart w:id="32" w:name="_Toc32598"/>
      <w:bookmarkStart w:id="33" w:name="_Toc160033221"/>
      <w:r>
        <w:rPr>
          <w:rFonts w:hint="eastAsia"/>
          <w:color w:val="auto"/>
        </w:rPr>
        <w:t xml:space="preserve">附 </w:t>
      </w:r>
      <w:r>
        <w:rPr>
          <w:color w:val="auto"/>
        </w:rPr>
        <w:t xml:space="preserve"> </w:t>
      </w:r>
      <w:r>
        <w:rPr>
          <w:rFonts w:hint="eastAsia"/>
          <w:color w:val="auto"/>
        </w:rPr>
        <w:t>则</w:t>
      </w:r>
      <w:bookmarkEnd w:id="32"/>
      <w:bookmarkEnd w:id="33"/>
    </w:p>
    <w:p w14:paraId="5F764311">
      <w:pPr>
        <w:ind w:firstLine="480"/>
        <w:rPr>
          <w:color w:val="auto"/>
        </w:rPr>
      </w:pPr>
      <w:r>
        <w:rPr>
          <w:rFonts w:hint="eastAsia"/>
          <w:color w:val="auto"/>
        </w:rPr>
        <w:t>（1）本设计任务书对于设计技术审查与评审办法、中标实施方案的规定、及相关法律责任等方面的规定参照设计文件相应内容执行。</w:t>
      </w:r>
    </w:p>
    <w:p w14:paraId="56F7D584">
      <w:pPr>
        <w:ind w:firstLine="480"/>
        <w:rPr>
          <w:color w:val="auto"/>
        </w:rPr>
      </w:pPr>
      <w:r>
        <w:rPr>
          <w:rFonts w:hint="eastAsia"/>
          <w:color w:val="auto"/>
        </w:rPr>
        <w:t>（2）设计成果评审后不予退回。</w:t>
      </w:r>
    </w:p>
    <w:p w14:paraId="7CC709D5">
      <w:pPr>
        <w:ind w:firstLine="480"/>
        <w:rPr>
          <w:color w:val="auto"/>
        </w:rPr>
      </w:pPr>
      <w:r>
        <w:rPr>
          <w:rFonts w:hint="eastAsia"/>
          <w:color w:val="auto"/>
        </w:rPr>
        <w:t>（3）建设单位有权使用实施方案的设计成果，并根据需要要求设计方对选定的实施方案进行调整或修改。</w:t>
      </w:r>
    </w:p>
    <w:p w14:paraId="7AD12B42">
      <w:pPr>
        <w:ind w:firstLine="480"/>
        <w:rPr>
          <w:color w:val="auto"/>
        </w:rPr>
      </w:pPr>
      <w:r>
        <w:rPr>
          <w:rFonts w:hint="eastAsia"/>
          <w:color w:val="auto"/>
        </w:rPr>
        <w:t>（4）投标单位在此前所收到的公告、邀请函、通知等文件内容与本技术文件有矛盾时，以技术文件为准；招标期间由招标组织单位发出的有关投标答疑文件与其它文件内容有矛盾时，以日期较晚的文件为准。</w:t>
      </w:r>
    </w:p>
    <w:p w14:paraId="45757EFC">
      <w:pPr>
        <w:ind w:firstLine="480"/>
        <w:rPr>
          <w:color w:val="auto"/>
        </w:rPr>
      </w:pPr>
      <w:r>
        <w:rPr>
          <w:rFonts w:hint="eastAsia"/>
          <w:color w:val="auto"/>
        </w:rPr>
        <w:t>（5）如对本任务书有疑问，按照招标文件的相关规定进行答疑。</w:t>
      </w:r>
    </w:p>
    <w:p w14:paraId="479554B3">
      <w:pPr>
        <w:ind w:firstLine="480"/>
        <w:rPr>
          <w:color w:val="auto"/>
        </w:rPr>
      </w:pPr>
      <w:r>
        <w:rPr>
          <w:rFonts w:hint="eastAsia"/>
          <w:color w:val="auto"/>
        </w:rPr>
        <w:t>（6）本文件的解释权归本次招标委员会所有。本次招标提供的各种技术资料都只能在此次项目中使用，未经竞赛委员会允许，任何个人、公司及各种机构在任何其他方面的使用都将被视为违反技术文件要求行为，招标委员会将保留追究其法律责任的权利。</w:t>
      </w:r>
    </w:p>
    <w:p w14:paraId="46DF37FC">
      <w:pPr>
        <w:ind w:firstLine="480"/>
        <w:rPr>
          <w:color w:val="auto"/>
        </w:rPr>
      </w:pPr>
      <w:r>
        <w:rPr>
          <w:rFonts w:hint="eastAsia"/>
          <w:color w:val="auto"/>
        </w:rPr>
        <w:t>注：在项目设计及实施过程中，建设单位有权根据项目实际情况、使用方及相关行政审批部门意见对本《任务书》内容进行调整。</w:t>
      </w:r>
    </w:p>
    <w:p w14:paraId="7C739A08">
      <w:pPr>
        <w:ind w:firstLine="480"/>
        <w:rPr>
          <w:color w:val="auto"/>
        </w:rPr>
      </w:pPr>
    </w:p>
    <w:p w14:paraId="79E91CCA">
      <w:pPr>
        <w:ind w:firstLine="480"/>
        <w:rPr>
          <w:color w:val="auto"/>
        </w:rPr>
      </w:pPr>
    </w:p>
    <w:p w14:paraId="7F026332">
      <w:pPr>
        <w:ind w:firstLine="480"/>
        <w:rPr>
          <w:color w:val="auto"/>
        </w:rPr>
      </w:pPr>
    </w:p>
    <w:p w14:paraId="19A47212">
      <w:pPr>
        <w:ind w:firstLine="480"/>
        <w:rPr>
          <w:color w:val="auto"/>
        </w:rPr>
      </w:pPr>
    </w:p>
    <w:p w14:paraId="54B8EE96">
      <w:pPr>
        <w:ind w:firstLine="480"/>
        <w:rPr>
          <w:color w:val="auto"/>
        </w:rPr>
      </w:pPr>
    </w:p>
    <w:p w14:paraId="55A5C65C">
      <w:pPr>
        <w:ind w:firstLine="480"/>
        <w:rPr>
          <w:color w:val="auto"/>
        </w:rPr>
      </w:pPr>
    </w:p>
    <w:p w14:paraId="53B79767">
      <w:pPr>
        <w:ind w:firstLine="480"/>
        <w:rPr>
          <w:color w:val="auto"/>
        </w:rPr>
      </w:pPr>
    </w:p>
    <w:p w14:paraId="45383E68">
      <w:pPr>
        <w:ind w:firstLine="480"/>
        <w:rPr>
          <w:color w:val="auto"/>
        </w:rPr>
      </w:pPr>
    </w:p>
    <w:p w14:paraId="19BEFC84">
      <w:pPr>
        <w:ind w:firstLine="480"/>
        <w:rPr>
          <w:color w:val="auto"/>
        </w:rPr>
      </w:pPr>
    </w:p>
    <w:p w14:paraId="4EEA1A89">
      <w:pPr>
        <w:ind w:firstLine="480"/>
        <w:rPr>
          <w:color w:val="auto"/>
        </w:rPr>
      </w:pPr>
    </w:p>
    <w:sectPr>
      <w:pgSz w:w="11906" w:h="16838"/>
      <w:pgMar w:top="1588" w:right="1247" w:bottom="1247" w:left="1588" w:header="1021" w:footer="851"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NewRoman">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9BEC4">
    <w:pPr>
      <w:pStyle w:val="15"/>
      <w:pBdr>
        <w:top w:val="single" w:color="auto" w:sz="2" w:space="1"/>
      </w:pBdr>
      <w:ind w:firstLine="90" w:firstLineChars="50"/>
      <w:jc w:val="both"/>
    </w:pPr>
    <w:r>
      <w:rPr>
        <w:kern w:val="0"/>
        <w:szCs w:val="21"/>
      </w:rPr>
      <w:fldChar w:fldCharType="begin"/>
    </w:r>
    <w:r>
      <w:rPr>
        <w:kern w:val="0"/>
        <w:szCs w:val="21"/>
      </w:rPr>
      <w:instrText xml:space="preserve"> PAGE </w:instrText>
    </w:r>
    <w:r>
      <w:rPr>
        <w:kern w:val="0"/>
        <w:szCs w:val="21"/>
      </w:rPr>
      <w:fldChar w:fldCharType="separate"/>
    </w:r>
    <w:r>
      <w:rPr>
        <w:kern w:val="0"/>
        <w:szCs w:val="21"/>
      </w:rPr>
      <w:t>2</w:t>
    </w:r>
    <w:r>
      <w:rPr>
        <w:kern w:val="0"/>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C6F33">
    <w:pPr>
      <w:pStyle w:val="15"/>
      <w:ind w:firstLine="480"/>
    </w:pPr>
    <w:sdt>
      <w:sdtPr>
        <w:id w:val="-1705238520"/>
      </w:sdtPr>
      <w:sdtContent>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b/>
            <w:bCs/>
            <w:lang w:val="zh-CN"/>
          </w:rPr>
          <w:t xml:space="preserve"> /</w:t>
        </w:r>
        <w:r>
          <w:rPr>
            <w:rFonts w:hint="eastAsia"/>
            <w:b/>
            <w:bCs/>
          </w:rPr>
          <w:t>11</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69496">
    <w:pPr>
      <w:pStyle w:val="15"/>
      <w:ind w:firstLine="480"/>
      <w:rPr>
        <w:b/>
        <w:bCs/>
      </w:rPr>
    </w:pPr>
    <w:sdt>
      <w:sdtPr>
        <w:id w:val="1674916351"/>
      </w:sdtPr>
      <w:sdtEndPr>
        <w:rPr>
          <w:b/>
          <w:bCs/>
        </w:rPr>
      </w:sdtEndPr>
      <w:sdtContent>
        <w:r>
          <w:rPr>
            <w:b/>
            <w:bCs/>
            <w:sz w:val="24"/>
            <w:szCs w:val="24"/>
          </w:rPr>
          <w:fldChar w:fldCharType="begin"/>
        </w:r>
        <w:r>
          <w:rPr>
            <w:b/>
            <w:bCs/>
          </w:rPr>
          <w:instrText xml:space="preserve">PAGE</w:instrText>
        </w:r>
        <w:r>
          <w:rPr>
            <w:b/>
            <w:bCs/>
            <w:sz w:val="24"/>
            <w:szCs w:val="24"/>
          </w:rPr>
          <w:fldChar w:fldCharType="separate"/>
        </w:r>
        <w:r>
          <w:rPr>
            <w:b/>
            <w:bCs/>
            <w:sz w:val="24"/>
            <w:szCs w:val="24"/>
          </w:rPr>
          <w:t>1</w:t>
        </w:r>
        <w:r>
          <w:rPr>
            <w:b/>
            <w:bCs/>
            <w:sz w:val="24"/>
            <w:szCs w:val="24"/>
          </w:rPr>
          <w:fldChar w:fldCharType="end"/>
        </w:r>
        <w:r>
          <w:rPr>
            <w:b/>
            <w:bCs/>
            <w:lang w:val="zh-CN"/>
          </w:rPr>
          <w:t xml:space="preserve"> / </w:t>
        </w:r>
        <w:r>
          <w:rPr>
            <w:rFonts w:hint="eastAsia"/>
            <w:b/>
            <w:bCs/>
          </w:rPr>
          <w:t>11</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32EAA">
    <w:pPr>
      <w:ind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30F61">
    <w:pPr>
      <w:ind w:left="48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59FD5">
    <w:pPr>
      <w:ind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5BA06">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4753E5"/>
    <w:multiLevelType w:val="multilevel"/>
    <w:tmpl w:val="604753E5"/>
    <w:lvl w:ilvl="0" w:tentative="0">
      <w:start w:val="1"/>
      <w:numFmt w:val="chineseCountingThousand"/>
      <w:pStyle w:val="2"/>
      <w:suff w:val="space"/>
      <w:lvlText w:val="第%1章"/>
      <w:lvlJc w:val="left"/>
      <w:pPr>
        <w:tabs>
          <w:tab w:val="left" w:pos="0"/>
        </w:tabs>
        <w:ind w:left="0" w:firstLine="0"/>
      </w:pPr>
      <w:rPr>
        <w:rFonts w:hint="eastAsia" w:ascii="Times NewRoman" w:eastAsia="宋体"/>
        <w:b/>
        <w:i w:val="0"/>
        <w:iCs w:val="0"/>
        <w:caps w:val="0"/>
        <w:smallCaps w:val="0"/>
        <w:strike w:val="0"/>
        <w:dstrike w:val="0"/>
        <w:vanish w:val="0"/>
        <w:color w:val="000000"/>
        <w:spacing w:val="0"/>
        <w:position w:val="0"/>
        <w:sz w:val="36"/>
        <w:szCs w:val="44"/>
        <w:u w:val="none"/>
        <w:vertAlign w:val="baseline"/>
        <w14:shadow w14:blurRad="0" w14:dist="0" w14:dir="0" w14:sx="0" w14:sy="0" w14:kx="0" w14:ky="0" w14:algn="none">
          <w14:srgbClr w14:val="000000"/>
        </w14:shadow>
      </w:rPr>
    </w:lvl>
    <w:lvl w:ilvl="1" w:tentative="0">
      <w:start w:val="1"/>
      <w:numFmt w:val="decimal"/>
      <w:pStyle w:val="3"/>
      <w:isLgl/>
      <w:suff w:val="space"/>
      <w:lvlText w:val="%1.%2"/>
      <w:lvlJc w:val="left"/>
      <w:pPr>
        <w:tabs>
          <w:tab w:val="left" w:pos="0"/>
        </w:tabs>
        <w:ind w:left="0" w:firstLine="0"/>
      </w:pPr>
      <w:rPr>
        <w:rFonts w:hint="eastAsia" w:ascii="Times NewRoman" w:eastAsia="宋体"/>
        <w:b w:val="0"/>
        <w:i w:val="0"/>
        <w:caps w:val="0"/>
        <w:strike w:val="0"/>
        <w:dstrike w:val="0"/>
        <w:vanish w:val="0"/>
        <w:color w:val="000000"/>
        <w:sz w:val="30"/>
        <w:u w:val="none"/>
        <w:vertAlign w:val="baseline"/>
        <w14:shadow w14:blurRad="0" w14:dist="0" w14:dir="0" w14:sx="0" w14:sy="0" w14:kx="0" w14:ky="0" w14:algn="none">
          <w14:srgbClr w14:val="000000"/>
        </w14:shadow>
      </w:rPr>
    </w:lvl>
    <w:lvl w:ilvl="2" w:tentative="0">
      <w:start w:val="1"/>
      <w:numFmt w:val="decimal"/>
      <w:pStyle w:val="4"/>
      <w:isLgl/>
      <w:suff w:val="space"/>
      <w:lvlText w:val="%1.%2.%3"/>
      <w:lvlJc w:val="left"/>
      <w:pPr>
        <w:tabs>
          <w:tab w:val="left" w:pos="0"/>
        </w:tabs>
        <w:ind w:left="0" w:firstLine="0"/>
      </w:pPr>
      <w:rPr>
        <w:rFonts w:hint="eastAsia" w:ascii="Times NewRoman" w:eastAsia="宋体"/>
        <w:b w:val="0"/>
        <w:i w:val="0"/>
        <w:caps w:val="0"/>
        <w:strike w:val="0"/>
        <w:dstrike w:val="0"/>
        <w:vanish w:val="0"/>
        <w:color w:val="000000"/>
        <w:sz w:val="28"/>
        <w:u w:val="none"/>
        <w:vertAlign w:val="baseline"/>
        <w14:shadow w14:blurRad="0" w14:dist="0" w14:dir="0" w14:sx="0" w14:sy="0" w14:kx="0" w14:ky="0" w14:algn="none">
          <w14:srgbClr w14:val="000000"/>
        </w14:shadow>
      </w:rPr>
    </w:lvl>
    <w:lvl w:ilvl="3" w:tentative="0">
      <w:start w:val="1"/>
      <w:numFmt w:val="decimal"/>
      <w:pStyle w:val="5"/>
      <w:isLgl/>
      <w:suff w:val="space"/>
      <w:lvlText w:val="%1.%2.%3.%4"/>
      <w:lvlJc w:val="left"/>
      <w:pPr>
        <w:tabs>
          <w:tab w:val="left" w:pos="0"/>
        </w:tabs>
        <w:ind w:left="0" w:firstLine="0"/>
      </w:pPr>
      <w:rPr>
        <w:rFonts w:hint="eastAsia" w:ascii="Times NewRoman" w:eastAsia="宋体"/>
        <w:b w:val="0"/>
        <w:i w:val="0"/>
        <w:caps w:val="0"/>
        <w:strike w:val="0"/>
        <w:dstrike w:val="0"/>
        <w:vanish w:val="0"/>
        <w:color w:val="000000"/>
        <w:sz w:val="26"/>
        <w:u w:val="none"/>
        <w:vertAlign w:val="baseline"/>
        <w14:shadow w14:blurRad="0" w14:dist="0" w14:dir="0" w14:sx="0" w14:sy="0" w14:kx="0" w14:ky="0" w14:algn="none">
          <w14:srgbClr w14:val="000000"/>
        </w14:shadow>
      </w:rPr>
    </w:lvl>
    <w:lvl w:ilvl="4" w:tentative="0">
      <w:start w:val="1"/>
      <w:numFmt w:val="decimal"/>
      <w:pStyle w:val="6"/>
      <w:isLgl/>
      <w:suff w:val="space"/>
      <w:lvlText w:val="%1.%2.%3.%4.%5"/>
      <w:lvlJc w:val="left"/>
      <w:pPr>
        <w:tabs>
          <w:tab w:val="left" w:pos="0"/>
        </w:tabs>
        <w:ind w:left="0" w:firstLine="0"/>
      </w:pPr>
      <w:rPr>
        <w:rFonts w:hint="eastAsia" w:ascii="Times NewRoman" w:eastAsia="宋体"/>
        <w:b w:val="0"/>
        <w:i w:val="0"/>
        <w:caps w:val="0"/>
        <w:strike w:val="0"/>
        <w:dstrike w:val="0"/>
        <w:vanish w:val="0"/>
        <w:color w:val="000000"/>
        <w:sz w:val="26"/>
        <w:u w:val="none"/>
        <w:vertAlign w:val="baseline"/>
        <w14:shadow w14:blurRad="0" w14:dist="0" w14:dir="0" w14:sx="0" w14:sy="0" w14:kx="0" w14:ky="0" w14:algn="none">
          <w14:srgbClr w14:val="000000"/>
        </w14:shadow>
      </w:rPr>
    </w:lvl>
    <w:lvl w:ilvl="5" w:tentative="0">
      <w:start w:val="1"/>
      <w:numFmt w:val="decimal"/>
      <w:pStyle w:val="7"/>
      <w:isLgl/>
      <w:suff w:val="space"/>
      <w:lvlText w:val="%1.%2.%3.%4.%5.%6"/>
      <w:lvlJc w:val="left"/>
      <w:pPr>
        <w:tabs>
          <w:tab w:val="left" w:pos="0"/>
        </w:tabs>
        <w:ind w:left="0" w:firstLine="0"/>
      </w:pPr>
      <w:rPr>
        <w:rFonts w:hint="eastAsia" w:ascii="Times NewRoman" w:eastAsia="宋体"/>
        <w:b w:val="0"/>
        <w:i w:val="0"/>
        <w:caps w:val="0"/>
        <w:strike w:val="0"/>
        <w:dstrike w:val="0"/>
        <w:vanish w:val="0"/>
        <w:color w:val="000000"/>
        <w:sz w:val="26"/>
        <w:u w:val="none"/>
        <w:vertAlign w:val="baseline"/>
        <w14:shadow w14:blurRad="0" w14:dist="0" w14:dir="0" w14:sx="0" w14:sy="0" w14:kx="0" w14:ky="0" w14:algn="none">
          <w14:srgbClr w14:val="000000"/>
        </w14:shadow>
      </w:rPr>
    </w:lvl>
    <w:lvl w:ilvl="6" w:tentative="0">
      <w:start w:val="1"/>
      <w:numFmt w:val="decimal"/>
      <w:pStyle w:val="8"/>
      <w:isLgl/>
      <w:suff w:val="space"/>
      <w:lvlText w:val="%1.%2.%3.%4.%5.%6.%7"/>
      <w:lvlJc w:val="left"/>
      <w:pPr>
        <w:tabs>
          <w:tab w:val="left" w:pos="0"/>
        </w:tabs>
        <w:ind w:left="0" w:firstLine="0"/>
      </w:pPr>
      <w:rPr>
        <w:rFonts w:hint="eastAsia" w:ascii="Times NewRoman" w:eastAsia="宋体"/>
        <w:b w:val="0"/>
        <w:i w:val="0"/>
        <w:caps w:val="0"/>
        <w:strike w:val="0"/>
        <w:dstrike w:val="0"/>
        <w:vanish w:val="0"/>
        <w:color w:val="000000"/>
        <w:sz w:val="26"/>
        <w:u w:val="none"/>
        <w:vertAlign w:val="baseline"/>
        <w14:shadow w14:blurRad="0" w14:dist="0" w14:dir="0" w14:sx="0" w14:sy="0" w14:kx="0" w14:ky="0" w14:algn="none">
          <w14:srgbClr w14:val="000000"/>
        </w14:shadow>
      </w:rPr>
    </w:lvl>
    <w:lvl w:ilvl="7" w:tentative="0">
      <w:start w:val="1"/>
      <w:numFmt w:val="decimal"/>
      <w:pStyle w:val="9"/>
      <w:isLgl/>
      <w:suff w:val="space"/>
      <w:lvlText w:val="%1.%2.%3.%4.%5.%6.%7.%8"/>
      <w:lvlJc w:val="left"/>
      <w:pPr>
        <w:tabs>
          <w:tab w:val="left" w:pos="0"/>
        </w:tabs>
        <w:ind w:left="0" w:firstLine="0"/>
      </w:pPr>
      <w:rPr>
        <w:rFonts w:hint="eastAsia" w:ascii="Times NewRoman" w:eastAsia="宋体"/>
        <w:b w:val="0"/>
        <w:i w:val="0"/>
        <w:caps w:val="0"/>
        <w:strike w:val="0"/>
        <w:dstrike w:val="0"/>
        <w:vanish w:val="0"/>
        <w:color w:val="000000"/>
        <w:sz w:val="26"/>
        <w:u w:val="none"/>
        <w:vertAlign w:val="baseline"/>
        <w14:shadow w14:blurRad="0" w14:dist="0" w14:dir="0" w14:sx="0" w14:sy="0" w14:kx="0" w14:ky="0" w14:algn="none">
          <w14:srgbClr w14:val="000000"/>
        </w14:shadow>
      </w:rPr>
    </w:lvl>
    <w:lvl w:ilvl="8" w:tentative="0">
      <w:start w:val="1"/>
      <w:numFmt w:val="decimal"/>
      <w:lvlText w:val="%1.%2.%3.%4.%5.%6.%7.%8.%9"/>
      <w:lvlJc w:val="left"/>
      <w:pPr>
        <w:tabs>
          <w:tab w:val="left" w:pos="6282"/>
        </w:tabs>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bordersDoNotSurroundHeader w:val="1"/>
  <w:bordersDoNotSurroundFooter w:val="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attachedTemplate r:id="rId1"/>
  <w:documentProtection w:edit="readOnly" w:enforcement="0"/>
  <w:defaultTabStop w:val="420"/>
  <w:evenAndOddHeaders w:val="1"/>
  <w:drawingGridHorizontalSpacing w:val="1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29D"/>
    <w:rsid w:val="000149DD"/>
    <w:rsid w:val="00032403"/>
    <w:rsid w:val="000A0013"/>
    <w:rsid w:val="000C2879"/>
    <w:rsid w:val="000C39E9"/>
    <w:rsid w:val="000F5D5F"/>
    <w:rsid w:val="00100950"/>
    <w:rsid w:val="0010228E"/>
    <w:rsid w:val="00103961"/>
    <w:rsid w:val="00114951"/>
    <w:rsid w:val="00134E02"/>
    <w:rsid w:val="001977BA"/>
    <w:rsid w:val="001E591A"/>
    <w:rsid w:val="001F7F93"/>
    <w:rsid w:val="00212B78"/>
    <w:rsid w:val="0022156E"/>
    <w:rsid w:val="0024012A"/>
    <w:rsid w:val="00244820"/>
    <w:rsid w:val="00284003"/>
    <w:rsid w:val="0029136D"/>
    <w:rsid w:val="002B4164"/>
    <w:rsid w:val="002D780C"/>
    <w:rsid w:val="00321B8B"/>
    <w:rsid w:val="00332552"/>
    <w:rsid w:val="00383B4F"/>
    <w:rsid w:val="0039118F"/>
    <w:rsid w:val="003919F0"/>
    <w:rsid w:val="003D0470"/>
    <w:rsid w:val="003F0040"/>
    <w:rsid w:val="003F28DC"/>
    <w:rsid w:val="004358BC"/>
    <w:rsid w:val="00453F0E"/>
    <w:rsid w:val="0046429D"/>
    <w:rsid w:val="00473B61"/>
    <w:rsid w:val="004C2811"/>
    <w:rsid w:val="004E1705"/>
    <w:rsid w:val="00501049"/>
    <w:rsid w:val="00505483"/>
    <w:rsid w:val="00577D36"/>
    <w:rsid w:val="00586B8C"/>
    <w:rsid w:val="0059250B"/>
    <w:rsid w:val="00593ABD"/>
    <w:rsid w:val="005C52C3"/>
    <w:rsid w:val="005D26B1"/>
    <w:rsid w:val="00622EB8"/>
    <w:rsid w:val="00624D75"/>
    <w:rsid w:val="006340F6"/>
    <w:rsid w:val="0063521A"/>
    <w:rsid w:val="00672990"/>
    <w:rsid w:val="00677727"/>
    <w:rsid w:val="00677E57"/>
    <w:rsid w:val="006949D0"/>
    <w:rsid w:val="006A239B"/>
    <w:rsid w:val="006A673C"/>
    <w:rsid w:val="006C7311"/>
    <w:rsid w:val="006D4AF9"/>
    <w:rsid w:val="0070463A"/>
    <w:rsid w:val="007217DC"/>
    <w:rsid w:val="00723A2C"/>
    <w:rsid w:val="0073455C"/>
    <w:rsid w:val="007A5369"/>
    <w:rsid w:val="007B691B"/>
    <w:rsid w:val="007D3741"/>
    <w:rsid w:val="00823402"/>
    <w:rsid w:val="0088252F"/>
    <w:rsid w:val="00882A01"/>
    <w:rsid w:val="008B0F8B"/>
    <w:rsid w:val="008C5976"/>
    <w:rsid w:val="008D62F7"/>
    <w:rsid w:val="008E29BA"/>
    <w:rsid w:val="008E42FF"/>
    <w:rsid w:val="009058C5"/>
    <w:rsid w:val="0094729E"/>
    <w:rsid w:val="00965E80"/>
    <w:rsid w:val="00972C30"/>
    <w:rsid w:val="00997359"/>
    <w:rsid w:val="009A31CE"/>
    <w:rsid w:val="009D1F7A"/>
    <w:rsid w:val="009D5822"/>
    <w:rsid w:val="009E708A"/>
    <w:rsid w:val="00A019AA"/>
    <w:rsid w:val="00A02847"/>
    <w:rsid w:val="00A12E0D"/>
    <w:rsid w:val="00A5669A"/>
    <w:rsid w:val="00A67144"/>
    <w:rsid w:val="00A71F88"/>
    <w:rsid w:val="00A74AA2"/>
    <w:rsid w:val="00A75141"/>
    <w:rsid w:val="00A829D1"/>
    <w:rsid w:val="00A85638"/>
    <w:rsid w:val="00A90131"/>
    <w:rsid w:val="00A9192F"/>
    <w:rsid w:val="00A91F7B"/>
    <w:rsid w:val="00A92088"/>
    <w:rsid w:val="00AD19FF"/>
    <w:rsid w:val="00AD2984"/>
    <w:rsid w:val="00AD5B52"/>
    <w:rsid w:val="00AF05E3"/>
    <w:rsid w:val="00B21B5A"/>
    <w:rsid w:val="00B23B34"/>
    <w:rsid w:val="00B5071E"/>
    <w:rsid w:val="00B67E10"/>
    <w:rsid w:val="00BB10BD"/>
    <w:rsid w:val="00BC26FA"/>
    <w:rsid w:val="00BC7520"/>
    <w:rsid w:val="00BD2B36"/>
    <w:rsid w:val="00BF2918"/>
    <w:rsid w:val="00C16E67"/>
    <w:rsid w:val="00C2300A"/>
    <w:rsid w:val="00C30FD8"/>
    <w:rsid w:val="00C33CA9"/>
    <w:rsid w:val="00C3703B"/>
    <w:rsid w:val="00C406E5"/>
    <w:rsid w:val="00C42E33"/>
    <w:rsid w:val="00C46563"/>
    <w:rsid w:val="00C466A4"/>
    <w:rsid w:val="00C734A4"/>
    <w:rsid w:val="00C8628F"/>
    <w:rsid w:val="00C930B1"/>
    <w:rsid w:val="00C95DC5"/>
    <w:rsid w:val="00CB090C"/>
    <w:rsid w:val="00CC4FC7"/>
    <w:rsid w:val="00CE6BD4"/>
    <w:rsid w:val="00D102AE"/>
    <w:rsid w:val="00D515CC"/>
    <w:rsid w:val="00D5345E"/>
    <w:rsid w:val="00D5627F"/>
    <w:rsid w:val="00D570F2"/>
    <w:rsid w:val="00D734C4"/>
    <w:rsid w:val="00D8162A"/>
    <w:rsid w:val="00D841A0"/>
    <w:rsid w:val="00D8512E"/>
    <w:rsid w:val="00DA34D5"/>
    <w:rsid w:val="00DA6767"/>
    <w:rsid w:val="00DC0E38"/>
    <w:rsid w:val="00DC1757"/>
    <w:rsid w:val="00E0405A"/>
    <w:rsid w:val="00E05F45"/>
    <w:rsid w:val="00E119D2"/>
    <w:rsid w:val="00E30251"/>
    <w:rsid w:val="00E30AA1"/>
    <w:rsid w:val="00E472D0"/>
    <w:rsid w:val="00E6252D"/>
    <w:rsid w:val="00EC5382"/>
    <w:rsid w:val="00EF3286"/>
    <w:rsid w:val="00EF510A"/>
    <w:rsid w:val="00EF6663"/>
    <w:rsid w:val="00F22B90"/>
    <w:rsid w:val="00F31B45"/>
    <w:rsid w:val="00F3729F"/>
    <w:rsid w:val="00F61D54"/>
    <w:rsid w:val="00F644A8"/>
    <w:rsid w:val="00F80783"/>
    <w:rsid w:val="00F87E98"/>
    <w:rsid w:val="00F94033"/>
    <w:rsid w:val="00FC16F1"/>
    <w:rsid w:val="00FD24CD"/>
    <w:rsid w:val="00FF7DD5"/>
    <w:rsid w:val="04EA3047"/>
    <w:rsid w:val="08CC77F6"/>
    <w:rsid w:val="0E6F1325"/>
    <w:rsid w:val="0ED1350D"/>
    <w:rsid w:val="1A153EDB"/>
    <w:rsid w:val="1BA262CE"/>
    <w:rsid w:val="1F1E40BD"/>
    <w:rsid w:val="1FEA0E23"/>
    <w:rsid w:val="246C053E"/>
    <w:rsid w:val="29FA6504"/>
    <w:rsid w:val="30620699"/>
    <w:rsid w:val="3092779F"/>
    <w:rsid w:val="31947D2E"/>
    <w:rsid w:val="3E756C84"/>
    <w:rsid w:val="456C25FC"/>
    <w:rsid w:val="475B2718"/>
    <w:rsid w:val="4B030A80"/>
    <w:rsid w:val="4DA50D37"/>
    <w:rsid w:val="4E110C3E"/>
    <w:rsid w:val="58C579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宋体" w:cs="Times New Roman"/>
      <w:color w:val="000000"/>
      <w:kern w:val="2"/>
      <w:sz w:val="24"/>
      <w:szCs w:val="24"/>
      <w:u w:color="000000"/>
      <w:lang w:val="en-US" w:eastAsia="zh-CN" w:bidi="ar-SA"/>
    </w:rPr>
  </w:style>
  <w:style w:type="paragraph" w:styleId="2">
    <w:name w:val="heading 1"/>
    <w:next w:val="1"/>
    <w:qFormat/>
    <w:uiPriority w:val="0"/>
    <w:pPr>
      <w:widowControl w:val="0"/>
      <w:numPr>
        <w:ilvl w:val="0"/>
        <w:numId w:val="1"/>
      </w:numPr>
      <w:adjustRightInd w:val="0"/>
      <w:snapToGrid w:val="0"/>
      <w:spacing w:before="480" w:after="360"/>
      <w:jc w:val="center"/>
      <w:outlineLvl w:val="0"/>
    </w:pPr>
    <w:rPr>
      <w:rFonts w:ascii="Times New Roman" w:hAnsi="Times New Roman" w:eastAsia="宋体" w:cs="Times New Roman"/>
      <w:b/>
      <w:bCs/>
      <w:color w:val="000000"/>
      <w:kern w:val="2"/>
      <w:sz w:val="36"/>
      <w:szCs w:val="44"/>
      <w:u w:color="000000"/>
      <w:lang w:val="en-US" w:eastAsia="zh-CN" w:bidi="ar-SA"/>
    </w:rPr>
  </w:style>
  <w:style w:type="paragraph" w:styleId="3">
    <w:name w:val="heading 2"/>
    <w:next w:val="1"/>
    <w:qFormat/>
    <w:uiPriority w:val="0"/>
    <w:pPr>
      <w:widowControl w:val="0"/>
      <w:numPr>
        <w:ilvl w:val="1"/>
        <w:numId w:val="1"/>
      </w:numPr>
      <w:adjustRightInd w:val="0"/>
      <w:snapToGrid w:val="0"/>
      <w:spacing w:before="240" w:after="240"/>
      <w:outlineLvl w:val="1"/>
    </w:pPr>
    <w:rPr>
      <w:rFonts w:ascii="Times New Roman" w:hAnsi="Times New Roman" w:eastAsia="宋体" w:cs="Times New Roman"/>
      <w:b/>
      <w:bCs/>
      <w:color w:val="000000"/>
      <w:kern w:val="2"/>
      <w:sz w:val="30"/>
      <w:szCs w:val="27"/>
      <w:u w:color="000000"/>
      <w:lang w:val="en-US" w:eastAsia="zh-CN" w:bidi="ar-SA"/>
    </w:rPr>
  </w:style>
  <w:style w:type="paragraph" w:styleId="4">
    <w:name w:val="heading 3"/>
    <w:next w:val="1"/>
    <w:qFormat/>
    <w:uiPriority w:val="0"/>
    <w:pPr>
      <w:widowControl w:val="0"/>
      <w:numPr>
        <w:ilvl w:val="2"/>
        <w:numId w:val="1"/>
      </w:numPr>
      <w:adjustRightInd w:val="0"/>
      <w:snapToGrid w:val="0"/>
      <w:spacing w:before="120" w:after="120"/>
      <w:outlineLvl w:val="2"/>
    </w:pPr>
    <w:rPr>
      <w:rFonts w:ascii="Times New Roman" w:hAnsi="Times New Roman" w:eastAsia="宋体" w:cs="Times New Roman"/>
      <w:b/>
      <w:bCs/>
      <w:color w:val="000000"/>
      <w:kern w:val="2"/>
      <w:sz w:val="28"/>
      <w:szCs w:val="32"/>
      <w:u w:color="000000"/>
      <w:lang w:val="en-US" w:eastAsia="zh-CN" w:bidi="ar-SA"/>
    </w:rPr>
  </w:style>
  <w:style w:type="paragraph" w:styleId="5">
    <w:name w:val="heading 4"/>
    <w:next w:val="1"/>
    <w:qFormat/>
    <w:uiPriority w:val="0"/>
    <w:pPr>
      <w:widowControl w:val="0"/>
      <w:numPr>
        <w:ilvl w:val="3"/>
        <w:numId w:val="1"/>
      </w:numPr>
      <w:adjustRightInd w:val="0"/>
      <w:snapToGrid w:val="0"/>
      <w:spacing w:before="120" w:after="120"/>
      <w:outlineLvl w:val="3"/>
    </w:pPr>
    <w:rPr>
      <w:rFonts w:ascii="Times New Roman" w:hAnsi="Times New Roman" w:eastAsia="宋体" w:cs="Times New Roman"/>
      <w:b/>
      <w:bCs/>
      <w:color w:val="000000"/>
      <w:kern w:val="2"/>
      <w:sz w:val="26"/>
      <w:szCs w:val="21"/>
      <w:u w:color="000000"/>
      <w:lang w:val="en-US" w:eastAsia="zh-CN" w:bidi="ar-SA"/>
    </w:rPr>
  </w:style>
  <w:style w:type="paragraph" w:styleId="6">
    <w:name w:val="heading 5"/>
    <w:next w:val="1"/>
    <w:qFormat/>
    <w:uiPriority w:val="0"/>
    <w:pPr>
      <w:widowControl w:val="0"/>
      <w:numPr>
        <w:ilvl w:val="4"/>
        <w:numId w:val="1"/>
      </w:numPr>
      <w:adjustRightInd w:val="0"/>
      <w:snapToGrid w:val="0"/>
      <w:spacing w:before="120" w:after="240"/>
      <w:outlineLvl w:val="4"/>
    </w:pPr>
    <w:rPr>
      <w:rFonts w:ascii="Times New Roman" w:hAnsi="Times New Roman" w:eastAsia="宋体" w:cs="Times New Roman"/>
      <w:b/>
      <w:bCs/>
      <w:color w:val="000000"/>
      <w:kern w:val="2"/>
      <w:sz w:val="26"/>
      <w:szCs w:val="28"/>
      <w:u w:color="000000"/>
      <w:lang w:val="en-US" w:eastAsia="zh-CN" w:bidi="ar-SA"/>
    </w:rPr>
  </w:style>
  <w:style w:type="paragraph" w:styleId="7">
    <w:name w:val="heading 6"/>
    <w:next w:val="1"/>
    <w:qFormat/>
    <w:uiPriority w:val="0"/>
    <w:pPr>
      <w:widowControl w:val="0"/>
      <w:numPr>
        <w:ilvl w:val="5"/>
        <w:numId w:val="1"/>
      </w:numPr>
      <w:adjustRightInd w:val="0"/>
      <w:snapToGrid w:val="0"/>
      <w:spacing w:before="120" w:after="240"/>
      <w:outlineLvl w:val="5"/>
    </w:pPr>
    <w:rPr>
      <w:rFonts w:ascii="Times New Roman" w:hAnsi="Times New Roman" w:eastAsia="宋体" w:cs="Times New Roman"/>
      <w:b/>
      <w:bCs/>
      <w:color w:val="000000"/>
      <w:kern w:val="2"/>
      <w:sz w:val="26"/>
      <w:szCs w:val="24"/>
      <w:u w:color="000000"/>
      <w:lang w:val="en-US" w:eastAsia="zh-CN" w:bidi="ar-SA"/>
    </w:rPr>
  </w:style>
  <w:style w:type="paragraph" w:styleId="8">
    <w:name w:val="heading 7"/>
    <w:next w:val="1"/>
    <w:qFormat/>
    <w:uiPriority w:val="0"/>
    <w:pPr>
      <w:widowControl w:val="0"/>
      <w:numPr>
        <w:ilvl w:val="6"/>
        <w:numId w:val="1"/>
      </w:numPr>
      <w:adjustRightInd w:val="0"/>
      <w:snapToGrid w:val="0"/>
      <w:spacing w:before="120" w:after="240"/>
      <w:outlineLvl w:val="6"/>
    </w:pPr>
    <w:rPr>
      <w:rFonts w:ascii="Times New Roman" w:hAnsi="Times New Roman" w:eastAsia="宋体" w:cs="Times New Roman"/>
      <w:b/>
      <w:bCs/>
      <w:color w:val="000000"/>
      <w:kern w:val="2"/>
      <w:sz w:val="26"/>
      <w:szCs w:val="24"/>
      <w:u w:color="000000"/>
      <w:lang w:val="en-US" w:eastAsia="zh-CN" w:bidi="ar-SA"/>
    </w:rPr>
  </w:style>
  <w:style w:type="paragraph" w:styleId="9">
    <w:name w:val="heading 8"/>
    <w:next w:val="1"/>
    <w:qFormat/>
    <w:uiPriority w:val="0"/>
    <w:pPr>
      <w:widowControl w:val="0"/>
      <w:numPr>
        <w:ilvl w:val="7"/>
        <w:numId w:val="1"/>
      </w:numPr>
      <w:adjustRightInd w:val="0"/>
      <w:snapToGrid w:val="0"/>
      <w:spacing w:before="120" w:after="240"/>
      <w:outlineLvl w:val="7"/>
    </w:pPr>
    <w:rPr>
      <w:rFonts w:ascii="Times New Roman" w:hAnsi="Times New Roman" w:eastAsia="宋体" w:cs="Times New Roman"/>
      <w:b/>
      <w:color w:val="000000"/>
      <w:kern w:val="2"/>
      <w:sz w:val="26"/>
      <w:szCs w:val="24"/>
      <w:u w:color="000000"/>
      <w:lang w:val="en-US" w:eastAsia="zh-CN" w:bidi="ar-SA"/>
    </w:rPr>
  </w:style>
  <w:style w:type="paragraph" w:styleId="10">
    <w:name w:val="heading 9"/>
    <w:basedOn w:val="1"/>
    <w:next w:val="1"/>
    <w:qFormat/>
    <w:uiPriority w:val="0"/>
    <w:pPr>
      <w:keepNext/>
      <w:keepLines/>
      <w:spacing w:before="240" w:after="64" w:line="320" w:lineRule="auto"/>
      <w:ind w:firstLine="0" w:firstLineChars="0"/>
      <w:outlineLvl w:val="8"/>
    </w:pPr>
    <w:rPr>
      <w:rFonts w:ascii="Arial" w:hAnsi="Arial" w:eastAsia="黑体"/>
      <w:szCs w:val="21"/>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qFormat/>
    <w:uiPriority w:val="0"/>
    <w:rPr>
      <w:rFonts w:ascii="Arial" w:hAnsi="Arial" w:eastAsia="黑体" w:cs="Arial"/>
      <w:sz w:val="20"/>
      <w:szCs w:val="20"/>
    </w:rPr>
  </w:style>
  <w:style w:type="paragraph" w:styleId="12">
    <w:name w:val="Document Map"/>
    <w:basedOn w:val="1"/>
    <w:semiHidden/>
    <w:qFormat/>
    <w:uiPriority w:val="0"/>
    <w:pPr>
      <w:shd w:val="clear" w:color="auto" w:fill="000080"/>
    </w:pPr>
  </w:style>
  <w:style w:type="paragraph" w:styleId="13">
    <w:name w:val="toc 5"/>
    <w:basedOn w:val="1"/>
    <w:next w:val="1"/>
    <w:semiHidden/>
    <w:qFormat/>
    <w:uiPriority w:val="0"/>
    <w:pPr>
      <w:ind w:left="1247" w:firstLine="0" w:firstLineChars="0"/>
    </w:pPr>
  </w:style>
  <w:style w:type="paragraph" w:styleId="14">
    <w:name w:val="toc 3"/>
    <w:basedOn w:val="1"/>
    <w:next w:val="1"/>
    <w:qFormat/>
    <w:uiPriority w:val="39"/>
    <w:pPr>
      <w:ind w:left="680" w:firstLine="0" w:firstLineChars="0"/>
    </w:pPr>
  </w:style>
  <w:style w:type="paragraph" w:styleId="15">
    <w:name w:val="footer"/>
    <w:link w:val="42"/>
    <w:qFormat/>
    <w:uiPriority w:val="99"/>
    <w:pPr>
      <w:adjustRightInd w:val="0"/>
      <w:snapToGrid w:val="0"/>
      <w:jc w:val="center"/>
    </w:pPr>
    <w:rPr>
      <w:rFonts w:ascii="Times New Roman" w:hAnsi="Times New Roman" w:eastAsia="宋体" w:cs="Times New Roman"/>
      <w:color w:val="000000"/>
      <w:kern w:val="2"/>
      <w:sz w:val="18"/>
      <w:szCs w:val="18"/>
      <w:u w:color="000000"/>
      <w:lang w:val="en-US" w:eastAsia="zh-CN" w:bidi="ar-SA"/>
    </w:rPr>
  </w:style>
  <w:style w:type="paragraph" w:styleId="16">
    <w:name w:val="header"/>
    <w:qFormat/>
    <w:uiPriority w:val="0"/>
    <w:pPr>
      <w:jc w:val="right"/>
    </w:pPr>
    <w:rPr>
      <w:rFonts w:ascii="Times New Roman" w:hAnsi="Times New Roman" w:eastAsia="宋体" w:cs="Times New Roman"/>
      <w:color w:val="000000"/>
      <w:kern w:val="2"/>
      <w:sz w:val="18"/>
      <w:szCs w:val="18"/>
      <w:u w:color="000000"/>
      <w:lang w:val="en-US" w:eastAsia="zh-CN" w:bidi="ar-SA"/>
    </w:rPr>
  </w:style>
  <w:style w:type="paragraph" w:styleId="17">
    <w:name w:val="toc 1"/>
    <w:basedOn w:val="1"/>
    <w:next w:val="1"/>
    <w:qFormat/>
    <w:uiPriority w:val="39"/>
    <w:pPr>
      <w:spacing w:before="80" w:after="80"/>
      <w:ind w:firstLine="0" w:firstLineChars="0"/>
    </w:pPr>
    <w:rPr>
      <w:b/>
    </w:rPr>
  </w:style>
  <w:style w:type="paragraph" w:styleId="18">
    <w:name w:val="toc 4"/>
    <w:basedOn w:val="1"/>
    <w:next w:val="1"/>
    <w:semiHidden/>
    <w:qFormat/>
    <w:uiPriority w:val="0"/>
    <w:pPr>
      <w:ind w:left="964" w:firstLine="0" w:firstLineChars="0"/>
    </w:pPr>
  </w:style>
  <w:style w:type="paragraph" w:styleId="19">
    <w:name w:val="table of figures"/>
    <w:basedOn w:val="1"/>
    <w:next w:val="1"/>
    <w:qFormat/>
    <w:uiPriority w:val="99"/>
    <w:pPr>
      <w:ind w:left="567" w:firstLine="0" w:firstLineChars="0"/>
    </w:pPr>
  </w:style>
  <w:style w:type="paragraph" w:styleId="20">
    <w:name w:val="toc 2"/>
    <w:basedOn w:val="1"/>
    <w:next w:val="1"/>
    <w:qFormat/>
    <w:uiPriority w:val="39"/>
    <w:pPr>
      <w:ind w:left="397" w:firstLine="0" w:firstLineChars="0"/>
    </w:pPr>
  </w:style>
  <w:style w:type="paragraph" w:styleId="21">
    <w:name w:val="Normal (Web)"/>
    <w:basedOn w:val="1"/>
    <w:next w:val="1"/>
    <w:unhideWhenUsed/>
    <w:qFormat/>
    <w:uiPriority w:val="0"/>
    <w:pPr>
      <w:adjustRightInd/>
      <w:snapToGrid/>
      <w:spacing w:beforeAutospacing="1" w:afterAutospacing="1" w:line="240" w:lineRule="auto"/>
      <w:ind w:firstLine="0" w:firstLineChars="0"/>
      <w:jc w:val="left"/>
    </w:pPr>
    <w:rPr>
      <w:rFonts w:asciiTheme="minorHAnsi" w:hAnsiTheme="minorHAnsi" w:eastAsiaTheme="minorEastAsia"/>
      <w:color w:val="auto"/>
      <w:kern w:val="0"/>
      <w:szCs w:val="22"/>
    </w:rPr>
  </w:style>
  <w:style w:type="paragraph" w:styleId="22">
    <w:name w:val="Title"/>
    <w:next w:val="1"/>
    <w:qFormat/>
    <w:uiPriority w:val="0"/>
    <w:pPr>
      <w:widowControl w:val="0"/>
      <w:adjustRightInd w:val="0"/>
      <w:snapToGrid w:val="0"/>
      <w:spacing w:before="480" w:after="240"/>
      <w:jc w:val="center"/>
    </w:pPr>
    <w:rPr>
      <w:rFonts w:ascii="Times New Roman" w:hAnsi="Times New Roman" w:eastAsia="黑体" w:cs="Arial"/>
      <w:bCs/>
      <w:color w:val="000000"/>
      <w:kern w:val="2"/>
      <w:sz w:val="44"/>
      <w:szCs w:val="44"/>
      <w:u w:color="000000"/>
      <w:lang w:val="en-US" w:eastAsia="zh-CN" w:bidi="ar-SA"/>
    </w:rPr>
  </w:style>
  <w:style w:type="table" w:styleId="24">
    <w:name w:val="Table Grid"/>
    <w:basedOn w:val="23"/>
    <w:qFormat/>
    <w:uiPriority w:val="0"/>
    <w:pPr>
      <w:widowControl w:val="0"/>
      <w:adjustRightInd w:val="0"/>
      <w:snapToGrid w:val="0"/>
      <w:jc w:val="center"/>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character" w:styleId="26">
    <w:name w:val="page number"/>
    <w:basedOn w:val="25"/>
    <w:qFormat/>
    <w:uiPriority w:val="0"/>
  </w:style>
  <w:style w:type="character" w:styleId="27">
    <w:name w:val="Hyperlink"/>
    <w:qFormat/>
    <w:uiPriority w:val="99"/>
    <w:rPr>
      <w:color w:val="0000FF"/>
      <w:u w:val="single"/>
    </w:rPr>
  </w:style>
  <w:style w:type="paragraph" w:customStyle="1" w:styleId="28">
    <w:name w:val="ew题注图"/>
    <w:next w:val="1"/>
    <w:qFormat/>
    <w:uiPriority w:val="0"/>
    <w:pPr>
      <w:widowControl w:val="0"/>
      <w:adjustRightInd w:val="0"/>
      <w:snapToGrid w:val="0"/>
      <w:spacing w:before="120" w:after="240"/>
      <w:jc w:val="center"/>
    </w:pPr>
    <w:rPr>
      <w:rFonts w:ascii="Times New Roman" w:hAnsi="Times New Roman" w:eastAsia="宋体" w:cs="Times New Roman"/>
      <w:color w:val="000000"/>
      <w:kern w:val="2"/>
      <w:sz w:val="24"/>
      <w:szCs w:val="24"/>
      <w:u w:color="000000"/>
      <w:lang w:val="en-US" w:eastAsia="zh-CN" w:bidi="ar-SA"/>
    </w:rPr>
  </w:style>
  <w:style w:type="paragraph" w:customStyle="1" w:styleId="29">
    <w:name w:val="ew题注表"/>
    <w:next w:val="1"/>
    <w:qFormat/>
    <w:uiPriority w:val="0"/>
    <w:pPr>
      <w:widowControl w:val="0"/>
      <w:adjustRightInd w:val="0"/>
      <w:snapToGrid w:val="0"/>
      <w:spacing w:before="120" w:after="60"/>
      <w:jc w:val="center"/>
    </w:pPr>
    <w:rPr>
      <w:rFonts w:ascii="Times New Roman" w:hAnsi="Times New Roman" w:eastAsia="宋体" w:cs="Times New Roman"/>
      <w:color w:val="000000"/>
      <w:kern w:val="2"/>
      <w:sz w:val="24"/>
      <w:szCs w:val="24"/>
      <w:u w:color="000000"/>
      <w:lang w:val="en-US" w:eastAsia="zh-CN" w:bidi="ar-SA"/>
    </w:rPr>
  </w:style>
  <w:style w:type="paragraph" w:customStyle="1" w:styleId="30">
    <w:name w:val="ew题注地图"/>
    <w:next w:val="1"/>
    <w:qFormat/>
    <w:uiPriority w:val="0"/>
    <w:pPr>
      <w:widowControl w:val="0"/>
      <w:adjustRightInd w:val="0"/>
      <w:snapToGrid w:val="0"/>
      <w:spacing w:before="120" w:after="240"/>
      <w:jc w:val="center"/>
    </w:pPr>
    <w:rPr>
      <w:rFonts w:ascii="Times New Roman" w:hAnsi="Times New Roman" w:eastAsia="宋体" w:cs="Times New Roman"/>
      <w:color w:val="000000"/>
      <w:kern w:val="2"/>
      <w:sz w:val="24"/>
      <w:szCs w:val="24"/>
      <w:u w:color="000000"/>
      <w:lang w:val="en-US" w:eastAsia="zh-CN" w:bidi="ar-SA"/>
    </w:rPr>
  </w:style>
  <w:style w:type="paragraph" w:customStyle="1" w:styleId="31">
    <w:name w:val="ew段落图"/>
    <w:next w:val="1"/>
    <w:qFormat/>
    <w:uiPriority w:val="0"/>
    <w:pPr>
      <w:widowControl w:val="0"/>
      <w:adjustRightInd w:val="0"/>
      <w:snapToGrid w:val="0"/>
      <w:jc w:val="center"/>
    </w:pPr>
    <w:rPr>
      <w:rFonts w:ascii="Times New Roman" w:hAnsi="Times New Roman" w:eastAsia="宋体" w:cs="Times New Roman"/>
      <w:color w:val="000000"/>
      <w:kern w:val="2"/>
      <w:sz w:val="21"/>
      <w:szCs w:val="24"/>
      <w:u w:color="000000"/>
      <w:lang w:val="en-US" w:eastAsia="zh-CN" w:bidi="ar-SA"/>
    </w:rPr>
  </w:style>
  <w:style w:type="paragraph" w:customStyle="1" w:styleId="32">
    <w:name w:val="ew封面主标题"/>
    <w:next w:val="1"/>
    <w:qFormat/>
    <w:uiPriority w:val="0"/>
    <w:pPr>
      <w:widowControl w:val="0"/>
      <w:adjustRightInd w:val="0"/>
      <w:snapToGrid w:val="0"/>
      <w:spacing w:before="400" w:after="400"/>
      <w:jc w:val="center"/>
    </w:pPr>
    <w:rPr>
      <w:rFonts w:ascii="Times New Roman" w:hAnsi="Times New Roman" w:eastAsia="黑体" w:cs="Times New Roman"/>
      <w:color w:val="000000"/>
      <w:kern w:val="2"/>
      <w:sz w:val="60"/>
      <w:szCs w:val="24"/>
      <w:u w:color="000000"/>
      <w:lang w:val="en-US" w:eastAsia="zh-CN" w:bidi="ar-SA"/>
    </w:rPr>
  </w:style>
  <w:style w:type="paragraph" w:customStyle="1" w:styleId="33">
    <w:name w:val="ew封面日期"/>
    <w:next w:val="1"/>
    <w:qFormat/>
    <w:uiPriority w:val="0"/>
    <w:pPr>
      <w:widowControl w:val="0"/>
      <w:adjustRightInd w:val="0"/>
      <w:snapToGrid w:val="0"/>
      <w:jc w:val="center"/>
    </w:pPr>
    <w:rPr>
      <w:rFonts w:ascii="Arial" w:hAnsi="Arial" w:eastAsia="宋体" w:cs="Times New Roman"/>
      <w:b/>
      <w:color w:val="000000"/>
      <w:kern w:val="2"/>
      <w:sz w:val="28"/>
      <w:szCs w:val="24"/>
      <w:u w:color="000000"/>
      <w:lang w:val="en-US" w:eastAsia="zh-CN" w:bidi="ar-SA"/>
    </w:rPr>
  </w:style>
  <w:style w:type="paragraph" w:customStyle="1" w:styleId="34">
    <w:name w:val="ew封面地址"/>
    <w:next w:val="1"/>
    <w:qFormat/>
    <w:uiPriority w:val="0"/>
    <w:pPr>
      <w:widowControl w:val="0"/>
      <w:adjustRightInd w:val="0"/>
      <w:snapToGrid w:val="0"/>
      <w:jc w:val="center"/>
    </w:pPr>
    <w:rPr>
      <w:rFonts w:ascii="Times New Roman" w:hAnsi="Times New Roman" w:eastAsia="隶书" w:cs="Times New Roman"/>
      <w:color w:val="000000"/>
      <w:kern w:val="2"/>
      <w:sz w:val="32"/>
      <w:szCs w:val="24"/>
      <w:u w:color="000000"/>
      <w:lang w:val="en-US" w:eastAsia="zh-CN" w:bidi="ar-SA"/>
    </w:rPr>
  </w:style>
  <w:style w:type="paragraph" w:customStyle="1" w:styleId="35">
    <w:name w:val="ew标题目录"/>
    <w:next w:val="1"/>
    <w:qFormat/>
    <w:uiPriority w:val="0"/>
    <w:pPr>
      <w:widowControl w:val="0"/>
      <w:adjustRightInd w:val="0"/>
      <w:snapToGrid w:val="0"/>
      <w:spacing w:before="480" w:after="320"/>
      <w:jc w:val="center"/>
    </w:pPr>
    <w:rPr>
      <w:rFonts w:ascii="Times New Roman" w:hAnsi="Times New Roman" w:eastAsia="黑体" w:cs="Times New Roman"/>
      <w:color w:val="000000"/>
      <w:kern w:val="2"/>
      <w:sz w:val="44"/>
      <w:szCs w:val="24"/>
      <w:u w:color="000000"/>
      <w:lang w:val="en-US" w:eastAsia="zh-CN" w:bidi="ar-SA"/>
    </w:rPr>
  </w:style>
  <w:style w:type="paragraph" w:customStyle="1" w:styleId="36">
    <w:name w:val="Code"/>
    <w:basedOn w:val="1"/>
    <w:qFormat/>
    <w:uiPriority w:val="0"/>
    <w:pPr>
      <w:pBdr>
        <w:top w:val="single" w:color="C0C0C0" w:sz="4" w:space="1"/>
        <w:left w:val="single" w:color="C0C0C0" w:sz="4" w:space="4"/>
        <w:bottom w:val="single" w:color="C0C0C0" w:sz="4" w:space="1"/>
        <w:right w:val="single" w:color="C0C0C0" w:sz="4" w:space="4"/>
      </w:pBdr>
      <w:shd w:val="clear" w:color="auto" w:fill="F4F3B7"/>
      <w:spacing w:after="80" w:line="240" w:lineRule="auto"/>
      <w:ind w:left="1134" w:hanging="567" w:firstLineChars="0"/>
    </w:pPr>
    <w:rPr>
      <w:rFonts w:cs="宋体"/>
      <w:sz w:val="21"/>
      <w:szCs w:val="20"/>
    </w:rPr>
  </w:style>
  <w:style w:type="paragraph" w:customStyle="1" w:styleId="37">
    <w:name w:val="公式居中"/>
    <w:basedOn w:val="1"/>
    <w:qFormat/>
    <w:uiPriority w:val="0"/>
    <w:pPr>
      <w:ind w:firstLine="0" w:firstLineChars="0"/>
      <w:jc w:val="center"/>
    </w:pPr>
    <w:rPr>
      <w:rFonts w:cs="宋体"/>
      <w:color w:val="B82C00"/>
      <w:szCs w:val="21"/>
    </w:rPr>
  </w:style>
  <w:style w:type="paragraph" w:customStyle="1" w:styleId="38">
    <w:name w:val="CodeBlue"/>
    <w:basedOn w:val="36"/>
    <w:qFormat/>
    <w:uiPriority w:val="0"/>
    <w:rPr>
      <w:color w:val="0033CC"/>
      <w:szCs w:val="21"/>
    </w:rPr>
  </w:style>
  <w:style w:type="paragraph" w:customStyle="1" w:styleId="39">
    <w:name w:val="ew封面签名"/>
    <w:basedOn w:val="1"/>
    <w:next w:val="1"/>
    <w:qFormat/>
    <w:uiPriority w:val="0"/>
    <w:pPr>
      <w:spacing w:before="40" w:after="80"/>
      <w:ind w:left="7740" w:leftChars="2977" w:firstLine="520"/>
    </w:pPr>
    <w:rPr>
      <w:rFonts w:cs="宋体"/>
      <w:sz w:val="32"/>
      <w:szCs w:val="20"/>
    </w:rPr>
  </w:style>
  <w:style w:type="paragraph" w:customStyle="1" w:styleId="40">
    <w:name w:val="ew封面实线上"/>
    <w:basedOn w:val="1"/>
    <w:next w:val="32"/>
    <w:qFormat/>
    <w:uiPriority w:val="0"/>
    <w:pPr>
      <w:pBdr>
        <w:bottom w:val="single" w:color="auto" w:sz="18" w:space="1"/>
      </w:pBdr>
      <w:spacing w:before="40" w:after="80" w:line="300" w:lineRule="auto"/>
      <w:ind w:firstLine="0" w:firstLineChars="0"/>
    </w:pPr>
    <w:rPr>
      <w:rFonts w:cs="宋体"/>
      <w:sz w:val="26"/>
      <w:szCs w:val="20"/>
    </w:rPr>
  </w:style>
  <w:style w:type="paragraph" w:customStyle="1" w:styleId="41">
    <w:name w:val="ew封面实线下"/>
    <w:basedOn w:val="1"/>
    <w:next w:val="1"/>
    <w:qFormat/>
    <w:uiPriority w:val="0"/>
    <w:pPr>
      <w:pBdr>
        <w:top w:val="single" w:color="auto" w:sz="18" w:space="1"/>
      </w:pBdr>
      <w:spacing w:before="40" w:after="80"/>
      <w:ind w:firstLine="520"/>
    </w:pPr>
    <w:rPr>
      <w:rFonts w:cs="宋体"/>
      <w:sz w:val="26"/>
      <w:szCs w:val="20"/>
    </w:rPr>
  </w:style>
  <w:style w:type="character" w:customStyle="1" w:styleId="42">
    <w:name w:val="页脚 字符"/>
    <w:basedOn w:val="25"/>
    <w:link w:val="15"/>
    <w:qFormat/>
    <w:uiPriority w:val="99"/>
    <w:rPr>
      <w:color w:val="000000"/>
      <w:kern w:val="2"/>
      <w:sz w:val="18"/>
      <w:szCs w:val="18"/>
      <w:u w:color="000000"/>
    </w:rPr>
  </w:style>
  <w:style w:type="paragraph" w:customStyle="1" w:styleId="43">
    <w:name w:val="正文部分"/>
    <w:basedOn w:val="1"/>
    <w:qFormat/>
    <w:uiPriority w:val="0"/>
    <w:pPr>
      <w:jc w:val="left"/>
    </w:pPr>
    <w:rPr>
      <w:snapToGrid w:val="0"/>
      <w:kern w:val="0"/>
      <w:lang w:val="zh-CN"/>
    </w:rPr>
  </w:style>
  <w:style w:type="paragraph" w:customStyle="1" w:styleId="44">
    <w:name w:val="图表"/>
    <w:basedOn w:val="1"/>
    <w:qFormat/>
    <w:uiPriority w:val="0"/>
    <w:pPr>
      <w:tabs>
        <w:tab w:val="left" w:pos="1680"/>
      </w:tabs>
      <w:jc w:val="center"/>
    </w:pPr>
    <w:rPr>
      <w:rFonts w:hAnsi="宋体" w:cs="宋体"/>
      <w:szCs w:val="28"/>
    </w:rPr>
  </w:style>
  <w:style w:type="paragraph" w:customStyle="1" w:styleId="45">
    <w:name w:val="图表名称"/>
    <w:basedOn w:val="1"/>
    <w:next w:val="1"/>
    <w:qFormat/>
    <w:uiPriority w:val="0"/>
    <w:pPr>
      <w:jc w:val="center"/>
    </w:pPr>
    <w:rPr>
      <w:rFonts w:hAnsi="宋体" w:cs="宋体"/>
      <w:b/>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EasyWord\EzWord3.0\Dot\&#20844;&#36335;&#24066;&#25919;\&#36947;&#36335;&#38498;A4.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道路院A4.dot</Template>
  <Company>Good</Company>
  <Pages>15</Pages>
  <Words>6603</Words>
  <Characters>6727</Characters>
  <Lines>55</Lines>
  <Paragraphs>15</Paragraphs>
  <TotalTime>41</TotalTime>
  <ScaleCrop>false</ScaleCrop>
  <LinksUpToDate>false</LinksUpToDate>
  <CharactersWithSpaces>6820</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2024-02-28T06:29:00Z</dcterms:created>
  <dc:creator>JEAKER</dc:creator>
  <cp:lastModifiedBy>任君</cp:lastModifiedBy>
  <cp:lastPrinted>2025-02-18T02:54:00Z</cp:lastPrinted>
  <dcterms:modified xsi:type="dcterms:W3CDTF">2025-07-30T11:31:44Z</dcterms:modified>
  <dc:title>道路工程工可</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y fmtid="{D5CDD505-2E9C-101B-9397-08002B2CF9AE}" pid="4" name="MTEquationSection">
    <vt:lpwstr>1</vt:lpwstr>
  </property>
  <property fmtid="{D5CDD505-2E9C-101B-9397-08002B2CF9AE}" pid="5" name="KSOTemplateDocerSaveRecord">
    <vt:lpwstr>eyJoZGlkIjoiM2NkY2MwZGRjYTcxOWQ3NDFhN2RkNDNhZWRkYjdlN2UiLCJ1c2VySWQiOiIxNjAxMjI1NDMzIn0=</vt:lpwstr>
  </property>
  <property fmtid="{D5CDD505-2E9C-101B-9397-08002B2CF9AE}" pid="6" name="KSOProductBuildVer">
    <vt:lpwstr>2052-12.1.0.22215</vt:lpwstr>
  </property>
  <property fmtid="{D5CDD505-2E9C-101B-9397-08002B2CF9AE}" pid="7" name="ICV">
    <vt:lpwstr>9159F1FC30814F08A8640B197A14C069_13</vt:lpwstr>
  </property>
</Properties>
</file>