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9315">
      <w:pPr>
        <w:spacing w:line="300" w:lineRule="auto"/>
        <w:jc w:val="center"/>
        <w:rPr>
          <w:rFonts w:hint="eastAsia" w:ascii="华文中宋" w:hAnsi="华文中宋" w:eastAsia="华文中宋" w:cs="华文中宋"/>
          <w:sz w:val="44"/>
          <w:szCs w:val="28"/>
          <w:highlight w:val="none"/>
          <w:u w:val="none"/>
        </w:rPr>
      </w:pPr>
      <w:r>
        <w:rPr>
          <w:rFonts w:hint="eastAsia" w:ascii="华文中宋" w:hAnsi="华文中宋" w:eastAsia="华文中宋" w:cs="华文中宋"/>
          <w:sz w:val="44"/>
          <w:szCs w:val="28"/>
          <w:highlight w:val="none"/>
          <w:u w:val="none"/>
        </w:rPr>
        <w:t>华景小学及周边交通优化提升工程施工总承包</w:t>
      </w:r>
    </w:p>
    <w:p w14:paraId="70911C3F">
      <w:pPr>
        <w:spacing w:line="300" w:lineRule="auto"/>
        <w:jc w:val="center"/>
        <w:rPr>
          <w:rFonts w:hint="eastAsia" w:ascii="华文中宋" w:hAnsi="华文中宋" w:eastAsia="华文中宋" w:cs="华文中宋"/>
          <w:sz w:val="36"/>
          <w:highlight w:val="none"/>
          <w:u w:val="single"/>
        </w:rPr>
      </w:pPr>
    </w:p>
    <w:p w14:paraId="388A098C">
      <w:pPr>
        <w:pStyle w:val="2"/>
        <w:rPr>
          <w:rFonts w:hint="eastAsia" w:ascii="华文中宋" w:hAnsi="华文中宋" w:eastAsia="华文中宋" w:cs="华文中宋"/>
          <w:sz w:val="36"/>
          <w:highlight w:val="none"/>
          <w:u w:val="single"/>
        </w:rPr>
      </w:pPr>
    </w:p>
    <w:p w14:paraId="4DD0EA75">
      <w:pPr>
        <w:pStyle w:val="2"/>
        <w:rPr>
          <w:rFonts w:hint="eastAsia" w:ascii="华文中宋" w:hAnsi="华文中宋" w:eastAsia="华文中宋" w:cs="华文中宋"/>
          <w:sz w:val="36"/>
          <w:highlight w:val="none"/>
          <w:u w:val="single"/>
        </w:rPr>
      </w:pPr>
    </w:p>
    <w:p w14:paraId="73FF9E3E">
      <w:pPr>
        <w:rPr>
          <w:rFonts w:hint="eastAsia"/>
          <w:highlight w:val="none"/>
        </w:rPr>
      </w:pPr>
    </w:p>
    <w:p w14:paraId="76CED76C">
      <w:pPr>
        <w:rPr>
          <w:rFonts w:hint="eastAsia"/>
          <w:highlight w:val="none"/>
        </w:rPr>
      </w:pPr>
    </w:p>
    <w:p w14:paraId="0E21FB34">
      <w:pPr>
        <w:rPr>
          <w:highlight w:val="none"/>
        </w:rPr>
      </w:pPr>
    </w:p>
    <w:p w14:paraId="5D1D2A6A">
      <w:pPr>
        <w:spacing w:line="300" w:lineRule="auto"/>
        <w:jc w:val="center"/>
        <w:rPr>
          <w:rFonts w:hint="eastAsia" w:ascii="宋体" w:hAnsi="宋体" w:cs="宋体"/>
          <w:b/>
          <w:bCs/>
          <w:spacing w:val="26"/>
          <w:sz w:val="96"/>
          <w:szCs w:val="110"/>
          <w:highlight w:val="none"/>
        </w:rPr>
      </w:pPr>
      <w:r>
        <w:rPr>
          <w:rFonts w:hint="eastAsia" w:ascii="宋体" w:hAnsi="宋体" w:cs="宋体"/>
          <w:b/>
          <w:bCs/>
          <w:spacing w:val="26"/>
          <w:sz w:val="96"/>
          <w:szCs w:val="110"/>
          <w:highlight w:val="none"/>
        </w:rPr>
        <w:t>招标公告</w:t>
      </w:r>
    </w:p>
    <w:p w14:paraId="68A5FA67">
      <w:pPr>
        <w:rPr>
          <w:rFonts w:hint="eastAsia" w:ascii="华文中宋" w:hAnsi="华文中宋" w:eastAsia="华文中宋" w:cs="华文中宋"/>
          <w:highlight w:val="none"/>
        </w:rPr>
      </w:pPr>
    </w:p>
    <w:p w14:paraId="5287E458">
      <w:pPr>
        <w:spacing w:line="300" w:lineRule="auto"/>
        <w:rPr>
          <w:rFonts w:hint="eastAsia" w:ascii="华文中宋" w:hAnsi="华文中宋" w:eastAsia="华文中宋" w:cs="华文中宋"/>
          <w:sz w:val="52"/>
          <w:highlight w:val="none"/>
        </w:rPr>
      </w:pPr>
    </w:p>
    <w:p w14:paraId="17D0F502">
      <w:pPr>
        <w:pStyle w:val="2"/>
        <w:rPr>
          <w:rFonts w:hint="eastAsia" w:ascii="华文中宋" w:hAnsi="华文中宋" w:eastAsia="华文中宋" w:cs="华文中宋"/>
          <w:sz w:val="52"/>
          <w:highlight w:val="none"/>
        </w:rPr>
      </w:pPr>
    </w:p>
    <w:p w14:paraId="69C35DFD">
      <w:pPr>
        <w:rPr>
          <w:rFonts w:hint="eastAsia"/>
          <w:highlight w:val="none"/>
        </w:rPr>
      </w:pPr>
    </w:p>
    <w:p w14:paraId="13A66E2F">
      <w:pPr>
        <w:pStyle w:val="12"/>
        <w:rPr>
          <w:rFonts w:hint="eastAsia" w:ascii="华文中宋" w:hAnsi="华文中宋" w:eastAsia="华文中宋" w:cs="华文中宋"/>
          <w:sz w:val="52"/>
          <w:highlight w:val="none"/>
        </w:rPr>
      </w:pPr>
    </w:p>
    <w:p w14:paraId="0685DC33">
      <w:pPr>
        <w:rPr>
          <w:rFonts w:hint="eastAsia"/>
          <w:highlight w:val="none"/>
        </w:rPr>
      </w:pPr>
    </w:p>
    <w:p w14:paraId="4794FC07">
      <w:pPr>
        <w:pStyle w:val="5"/>
        <w:rPr>
          <w:highlight w:val="none"/>
        </w:rPr>
      </w:pPr>
    </w:p>
    <w:p w14:paraId="049BF1F9">
      <w:pPr>
        <w:spacing w:line="300" w:lineRule="auto"/>
        <w:ind w:firstLine="1506" w:firstLineChars="500"/>
        <w:outlineLvl w:val="0"/>
        <w:rPr>
          <w:rFonts w:hint="eastAsia" w:ascii="宋体" w:hAnsi="宋体" w:eastAsia="宋体" w:cs="宋体"/>
          <w:b/>
          <w:bCs/>
          <w:sz w:val="30"/>
          <w:szCs w:val="30"/>
          <w:highlight w:val="none"/>
          <w:u w:val="single"/>
          <w:lang w:eastAsia="zh-CN"/>
        </w:rPr>
      </w:pPr>
      <w:bookmarkStart w:id="0" w:name="_Toc18231"/>
      <w:r>
        <w:rPr>
          <w:rFonts w:hint="eastAsia" w:ascii="宋体" w:hAnsi="宋体" w:cs="宋体"/>
          <w:b/>
          <w:bCs/>
          <w:sz w:val="30"/>
          <w:szCs w:val="30"/>
          <w:highlight w:val="none"/>
        </w:rPr>
        <w:t>招  标 单 位：</w:t>
      </w:r>
      <w:bookmarkEnd w:id="0"/>
      <w:r>
        <w:rPr>
          <w:rFonts w:hint="eastAsia" w:ascii="宋体" w:hAnsi="宋体" w:cs="宋体"/>
          <w:b/>
          <w:bCs/>
          <w:sz w:val="30"/>
          <w:szCs w:val="30"/>
          <w:highlight w:val="none"/>
          <w:u w:val="single"/>
          <w:lang w:eastAsia="zh-CN"/>
        </w:rPr>
        <w:t>广州市天河区市政设施管理中心</w:t>
      </w:r>
    </w:p>
    <w:p w14:paraId="4F65DFBB">
      <w:pPr>
        <w:widowControl/>
        <w:spacing w:line="300" w:lineRule="auto"/>
        <w:ind w:firstLine="1506" w:firstLineChars="500"/>
        <w:jc w:val="left"/>
        <w:rPr>
          <w:rFonts w:hint="eastAsia" w:ascii="宋体" w:hAnsi="宋体" w:cs="宋体"/>
          <w:b/>
          <w:bCs/>
          <w:sz w:val="30"/>
          <w:szCs w:val="30"/>
          <w:highlight w:val="none"/>
          <w:u w:val="single"/>
        </w:rPr>
      </w:pPr>
      <w:r>
        <w:rPr>
          <w:rFonts w:hint="eastAsia" w:ascii="宋体" w:hAnsi="宋体" w:cs="宋体"/>
          <w:b/>
          <w:bCs/>
          <w:sz w:val="30"/>
          <w:szCs w:val="30"/>
          <w:highlight w:val="none"/>
        </w:rPr>
        <w:t>招标代理单位：</w:t>
      </w:r>
      <w:r>
        <w:rPr>
          <w:rFonts w:hint="eastAsia" w:ascii="宋体" w:hAnsi="宋体" w:cs="宋体"/>
          <w:b/>
          <w:bCs/>
          <w:sz w:val="30"/>
          <w:szCs w:val="30"/>
          <w:highlight w:val="none"/>
          <w:u w:val="single"/>
        </w:rPr>
        <w:t>广东宏茂建设管理有限公司</w:t>
      </w:r>
    </w:p>
    <w:p w14:paraId="39D3563E">
      <w:pPr>
        <w:widowControl/>
        <w:spacing w:line="300" w:lineRule="auto"/>
        <w:ind w:firstLine="1506" w:firstLineChars="500"/>
        <w:jc w:val="left"/>
        <w:outlineLvl w:val="0"/>
        <w:rPr>
          <w:rFonts w:hint="eastAsia" w:ascii="宋体" w:hAnsi="宋体" w:cs="宋体"/>
          <w:b/>
          <w:bCs/>
          <w:sz w:val="30"/>
          <w:szCs w:val="30"/>
          <w:highlight w:val="none"/>
          <w:u w:val="single"/>
        </w:rPr>
      </w:pPr>
      <w:bookmarkStart w:id="1" w:name="_Toc19183"/>
      <w:r>
        <w:rPr>
          <w:rFonts w:hint="eastAsia" w:ascii="宋体" w:hAnsi="宋体" w:cs="宋体"/>
          <w:b/>
          <w:bCs/>
          <w:sz w:val="30"/>
          <w:szCs w:val="30"/>
          <w:highlight w:val="none"/>
        </w:rPr>
        <w:t>日        期：</w:t>
      </w:r>
      <w:r>
        <w:rPr>
          <w:rFonts w:hint="eastAsia" w:ascii="宋体" w:hAnsi="宋体" w:cs="宋体"/>
          <w:b/>
          <w:bCs/>
          <w:sz w:val="30"/>
          <w:szCs w:val="30"/>
          <w:highlight w:val="none"/>
          <w:u w:val="single"/>
        </w:rPr>
        <w:t>2025年</w:t>
      </w:r>
      <w:r>
        <w:rPr>
          <w:rFonts w:hint="eastAsia" w:ascii="宋体" w:hAnsi="宋体" w:cs="宋体"/>
          <w:b/>
          <w:bCs/>
          <w:sz w:val="30"/>
          <w:szCs w:val="30"/>
          <w:highlight w:val="none"/>
          <w:u w:val="single"/>
          <w:lang w:val="en-US" w:eastAsia="zh-CN"/>
        </w:rPr>
        <w:t>7</w:t>
      </w:r>
      <w:r>
        <w:rPr>
          <w:rFonts w:hint="eastAsia" w:ascii="宋体" w:hAnsi="宋体" w:cs="宋体"/>
          <w:b/>
          <w:bCs/>
          <w:sz w:val="30"/>
          <w:szCs w:val="30"/>
          <w:highlight w:val="none"/>
          <w:u w:val="single"/>
        </w:rPr>
        <w:t>月</w:t>
      </w:r>
      <w:bookmarkEnd w:id="1"/>
    </w:p>
    <w:p w14:paraId="7C86B6D9">
      <w:pPr>
        <w:spacing w:line="0" w:lineRule="atLeast"/>
        <w:rPr>
          <w:rFonts w:hint="eastAsia" w:ascii="宋体" w:hAnsi="宋体"/>
          <w:sz w:val="24"/>
          <w:highlight w:val="none"/>
        </w:rPr>
        <w:sectPr>
          <w:headerReference r:id="rId4" w:type="first"/>
          <w:footerReference r:id="rId5" w:type="first"/>
          <w:headerReference r:id="rId3" w:type="default"/>
          <w:pgSz w:w="11906" w:h="16838"/>
          <w:pgMar w:top="1134" w:right="1134" w:bottom="1134" w:left="1134" w:header="851" w:footer="992" w:gutter="0"/>
          <w:pgNumType w:start="1"/>
          <w:cols w:space="0" w:num="1"/>
          <w:docGrid w:type="lines" w:linePitch="312" w:charSpace="0"/>
        </w:sectPr>
      </w:pPr>
    </w:p>
    <w:p w14:paraId="7609A432">
      <w:pPr>
        <w:pStyle w:val="13"/>
        <w:spacing w:line="360" w:lineRule="auto"/>
        <w:jc w:val="center"/>
        <w:rPr>
          <w:rFonts w:hint="eastAsia" w:ascii="Calibri" w:hAnsi="Calibri" w:eastAsia="黑体"/>
          <w:color w:val="auto"/>
          <w:sz w:val="28"/>
          <w:szCs w:val="28"/>
          <w:highlight w:val="none"/>
          <w:lang w:eastAsia="zh-CN"/>
        </w:rPr>
      </w:pPr>
      <w:r>
        <w:rPr>
          <w:rFonts w:hint="eastAsia" w:ascii="Calibri" w:hAnsi="Calibri" w:eastAsia="黑体"/>
          <w:color w:val="auto"/>
          <w:sz w:val="28"/>
          <w:szCs w:val="28"/>
          <w:highlight w:val="none"/>
          <w:lang w:eastAsia="zh-CN"/>
        </w:rPr>
        <w:t>华景小学及周边交通优化提升工程施工总承包</w:t>
      </w:r>
    </w:p>
    <w:p w14:paraId="4C3EBA65">
      <w:pPr>
        <w:pStyle w:val="13"/>
        <w:spacing w:line="360" w:lineRule="auto"/>
        <w:jc w:val="center"/>
        <w:rPr>
          <w:rFonts w:hint="eastAsia"/>
          <w:color w:val="auto"/>
          <w:sz w:val="24"/>
          <w:highlight w:val="none"/>
        </w:rPr>
      </w:pPr>
      <w:r>
        <w:rPr>
          <w:rFonts w:hint="eastAsia" w:ascii="Calibri" w:hAnsi="Calibri" w:eastAsia="黑体"/>
          <w:color w:val="auto"/>
          <w:sz w:val="28"/>
          <w:szCs w:val="28"/>
          <w:highlight w:val="none"/>
        </w:rPr>
        <w:t>招标公告</w:t>
      </w:r>
    </w:p>
    <w:p w14:paraId="1313475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lang w:val="en-US" w:eastAsia="zh-CN"/>
        </w:rPr>
        <w:t>广州市天河区发展和改革局关于华景小学及周边交通优化提升工程项目建议书</w:t>
      </w:r>
      <w:r>
        <w:rPr>
          <w:rFonts w:hint="eastAsia" w:ascii="宋体" w:hAnsi="宋体"/>
          <w:color w:val="auto"/>
          <w:sz w:val="24"/>
          <w:highlight w:val="none"/>
          <w:u w:val="single"/>
        </w:rPr>
        <w:t>的复函</w:t>
      </w:r>
      <w:r>
        <w:rPr>
          <w:rFonts w:hint="eastAsia" w:ascii="宋体" w:hAnsi="宋体"/>
          <w:color w:val="auto"/>
          <w:sz w:val="24"/>
          <w:highlight w:val="none"/>
        </w:rPr>
        <w:t>》（</w:t>
      </w:r>
      <w:r>
        <w:rPr>
          <w:rFonts w:hint="eastAsia" w:ascii="宋体" w:hAnsi="宋体" w:cs="宋体"/>
          <w:color w:val="auto"/>
          <w:sz w:val="24"/>
          <w:highlight w:val="none"/>
          <w:u w:val="single"/>
        </w:rPr>
        <w:t>穗天发改投批</w:t>
      </w:r>
      <w:r>
        <w:rPr>
          <w:rFonts w:hint="eastAsia" w:ascii="宋体" w:hAnsi="宋体" w:cs="宋体"/>
          <w:color w:val="auto"/>
          <w:sz w:val="24"/>
          <w:highlight w:val="none"/>
          <w:u w:val="single"/>
          <w:lang w:val="en-US" w:eastAsia="zh-CN"/>
        </w:rPr>
        <w:t>[2024]94</w:t>
      </w:r>
      <w:r>
        <w:rPr>
          <w:rFonts w:hint="eastAsia" w:ascii="宋体" w:hAnsi="宋体" w:cs="宋体"/>
          <w:color w:val="auto"/>
          <w:sz w:val="24"/>
          <w:highlight w:val="none"/>
          <w:u w:val="single"/>
        </w:rPr>
        <w:t>号</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广州市天河区市政设施管理中心</w:t>
      </w:r>
      <w:r>
        <w:rPr>
          <w:rFonts w:hint="eastAsia" w:ascii="宋体" w:hAnsi="宋体"/>
          <w:color w:val="auto"/>
          <w:sz w:val="24"/>
          <w:highlight w:val="none"/>
        </w:rPr>
        <w:t>现对</w:t>
      </w:r>
      <w:r>
        <w:rPr>
          <w:rFonts w:hint="eastAsia" w:ascii="宋体" w:hAnsi="宋体"/>
          <w:color w:val="auto"/>
          <w:sz w:val="24"/>
          <w:highlight w:val="none"/>
          <w:u w:val="single"/>
        </w:rPr>
        <w:t>华景小学及周边交通优化提升工程</w:t>
      </w:r>
      <w:r>
        <w:rPr>
          <w:rFonts w:hint="eastAsia" w:ascii="宋体" w:hAnsi="宋体"/>
          <w:color w:val="auto"/>
          <w:sz w:val="24"/>
          <w:highlight w:val="none"/>
        </w:rPr>
        <w:t>施工进行施工</w:t>
      </w:r>
      <w:r>
        <w:rPr>
          <w:rFonts w:hint="eastAsia"/>
          <w:color w:val="auto"/>
          <w:sz w:val="24"/>
          <w:highlight w:val="none"/>
        </w:rPr>
        <w:t>总承包</w:t>
      </w:r>
      <w:r>
        <w:rPr>
          <w:rFonts w:hint="eastAsia" w:ascii="宋体" w:hAnsi="宋体"/>
          <w:color w:val="auto"/>
          <w:sz w:val="24"/>
          <w:highlight w:val="none"/>
        </w:rPr>
        <w:t>公开招标，选定承包人。</w:t>
      </w:r>
    </w:p>
    <w:p w14:paraId="2AD92D93">
      <w:pPr>
        <w:tabs>
          <w:tab w:val="center" w:pos="4415"/>
        </w:tabs>
        <w:spacing w:line="360" w:lineRule="auto"/>
        <w:ind w:firstLine="482" w:firstLineChars="200"/>
        <w:rPr>
          <w:rFonts w:hint="eastAsia" w:ascii="宋体" w:hAnsi="宋体"/>
          <w:color w:val="auto"/>
          <w:sz w:val="24"/>
          <w:highlight w:val="none"/>
          <w:u w:val="single"/>
        </w:rPr>
      </w:pPr>
      <w:bookmarkStart w:id="2" w:name="_Toc4156"/>
      <w:r>
        <w:rPr>
          <w:rStyle w:val="21"/>
          <w:rFonts w:hint="eastAsia"/>
          <w:color w:val="auto"/>
          <w:highlight w:val="none"/>
        </w:rPr>
        <w:t>一、招标项目名称：</w:t>
      </w:r>
      <w:bookmarkEnd w:id="2"/>
      <w:r>
        <w:rPr>
          <w:rFonts w:ascii="宋体" w:hAnsi="宋体"/>
          <w:color w:val="auto"/>
          <w:sz w:val="24"/>
          <w:highlight w:val="none"/>
          <w:u w:val="single"/>
        </w:rPr>
        <w:t xml:space="preserve"> </w:t>
      </w:r>
      <w:r>
        <w:rPr>
          <w:rFonts w:hint="eastAsia" w:ascii="宋体" w:hAnsi="宋体"/>
          <w:color w:val="auto"/>
          <w:sz w:val="24"/>
          <w:highlight w:val="none"/>
          <w:u w:val="single"/>
          <w:lang w:eastAsia="zh-CN"/>
        </w:rPr>
        <w:t>华景小学及周边交通优化提升工程施工总承包</w:t>
      </w:r>
      <w:r>
        <w:rPr>
          <w:rFonts w:ascii="宋体" w:hAnsi="宋体"/>
          <w:color w:val="auto"/>
          <w:sz w:val="24"/>
          <w:highlight w:val="none"/>
          <w:u w:val="single"/>
        </w:rPr>
        <w:t xml:space="preserve"> </w:t>
      </w:r>
    </w:p>
    <w:p w14:paraId="503DACA1">
      <w:pPr>
        <w:tabs>
          <w:tab w:val="center" w:pos="4415"/>
        </w:tabs>
        <w:spacing w:line="360" w:lineRule="auto"/>
        <w:ind w:firstLine="872" w:firstLineChars="400"/>
        <w:rPr>
          <w:rFonts w:hint="eastAsia" w:ascii="宋体" w:hAnsi="宋体"/>
          <w:color w:val="auto"/>
          <w:spacing w:val="-11"/>
          <w:sz w:val="24"/>
          <w:highlight w:val="none"/>
          <w:u w:val="single"/>
        </w:rPr>
      </w:pPr>
      <w:bookmarkStart w:id="3" w:name="_Toc10700"/>
      <w:r>
        <w:rPr>
          <w:rStyle w:val="21"/>
          <w:rFonts w:hint="eastAsia"/>
          <w:b w:val="0"/>
          <w:bCs/>
          <w:color w:val="auto"/>
          <w:spacing w:val="-11"/>
          <w:sz w:val="24"/>
          <w:highlight w:val="none"/>
        </w:rPr>
        <w:t>招标项目对应工程项目名称：</w:t>
      </w:r>
      <w:bookmarkEnd w:id="3"/>
      <w:r>
        <w:rPr>
          <w:rFonts w:hint="eastAsia" w:ascii="宋体" w:hAnsi="宋体"/>
          <w:color w:val="auto"/>
          <w:spacing w:val="-11"/>
          <w:sz w:val="24"/>
          <w:highlight w:val="none"/>
          <w:u w:val="single"/>
        </w:rPr>
        <w:t xml:space="preserve">华景小学及周边交通优化提升工程施工总承包 </w:t>
      </w:r>
    </w:p>
    <w:p w14:paraId="62C4A497">
      <w:pPr>
        <w:tabs>
          <w:tab w:val="center" w:pos="4415"/>
        </w:tabs>
        <w:spacing w:line="360" w:lineRule="auto"/>
        <w:ind w:firstLine="1017" w:firstLineChars="424"/>
        <w:rPr>
          <w:rFonts w:hint="eastAsia" w:ascii="宋体" w:hAnsi="宋体"/>
          <w:color w:val="auto"/>
          <w:sz w:val="24"/>
          <w:highlight w:val="none"/>
          <w:u w:val="single"/>
        </w:rPr>
      </w:pPr>
      <w:r>
        <w:rPr>
          <w:rFonts w:hint="eastAsia" w:ascii="宋体"/>
          <w:color w:val="auto"/>
          <w:sz w:val="24"/>
          <w:highlight w:val="none"/>
        </w:rPr>
        <w:t>招标项目固定资产投资项目代码：</w:t>
      </w:r>
      <w:r>
        <w:rPr>
          <w:rFonts w:hint="eastAsia" w:ascii="宋体"/>
          <w:color w:val="auto"/>
          <w:sz w:val="24"/>
          <w:highlight w:val="none"/>
          <w:u w:val="single"/>
        </w:rPr>
        <w:t>2412-440106-04-01-391316</w:t>
      </w:r>
    </w:p>
    <w:p w14:paraId="3ABB6774">
      <w:pPr>
        <w:spacing w:line="360" w:lineRule="auto"/>
        <w:ind w:firstLine="482" w:firstLineChars="200"/>
        <w:rPr>
          <w:rFonts w:ascii="宋体"/>
          <w:color w:val="auto"/>
          <w:sz w:val="24"/>
          <w:highlight w:val="none"/>
          <w:u w:val="single"/>
        </w:rPr>
      </w:pPr>
      <w:bookmarkStart w:id="4" w:name="_Toc31984"/>
      <w:r>
        <w:rPr>
          <w:rStyle w:val="21"/>
          <w:rFonts w:hint="eastAsia"/>
          <w:color w:val="auto"/>
          <w:highlight w:val="none"/>
        </w:rPr>
        <w:t>二、招标单位：</w:t>
      </w:r>
      <w:bookmarkEnd w:id="4"/>
      <w:r>
        <w:rPr>
          <w:rFonts w:hint="eastAsia" w:ascii="宋体" w:hAnsi="宋体"/>
          <w:color w:val="auto"/>
          <w:sz w:val="24"/>
          <w:highlight w:val="none"/>
          <w:u w:val="single"/>
          <w:lang w:eastAsia="zh-CN"/>
        </w:rPr>
        <w:t>广州市天河区市政设施管理中心</w:t>
      </w:r>
    </w:p>
    <w:p w14:paraId="7FF3C7B1">
      <w:pPr>
        <w:spacing w:line="360" w:lineRule="auto"/>
        <w:ind w:firstLine="537" w:firstLineChars="224"/>
        <w:rPr>
          <w:rFonts w:hint="eastAsia"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王工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val="en-US" w:eastAsia="zh-CN"/>
        </w:rPr>
        <w:t xml:space="preserve"> 020-87706007</w:t>
      </w:r>
    </w:p>
    <w:p w14:paraId="3D198745">
      <w:pPr>
        <w:spacing w:line="36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联系地址：广州市天河区银利街168号</w:t>
      </w:r>
    </w:p>
    <w:p w14:paraId="48EACC04">
      <w:pPr>
        <w:spacing w:line="360" w:lineRule="auto"/>
        <w:ind w:left="420" w:leftChars="200" w:firstLine="540" w:firstLineChars="224"/>
        <w:rPr>
          <w:rFonts w:ascii="宋体"/>
          <w:color w:val="auto"/>
          <w:sz w:val="24"/>
          <w:highlight w:val="none"/>
          <w:u w:val="single"/>
        </w:rPr>
      </w:pPr>
      <w:r>
        <w:rPr>
          <w:rFonts w:hint="eastAsia" w:ascii="宋体" w:hAnsi="宋体"/>
          <w:b/>
          <w:bCs/>
          <w:color w:val="auto"/>
          <w:sz w:val="24"/>
          <w:highlight w:val="none"/>
        </w:rPr>
        <w:t>招标代理机构：</w:t>
      </w:r>
      <w:r>
        <w:rPr>
          <w:rFonts w:hint="eastAsia" w:ascii="宋体" w:hAnsi="宋体"/>
          <w:color w:val="auto"/>
          <w:sz w:val="24"/>
          <w:highlight w:val="none"/>
          <w:u w:val="single"/>
          <w:lang w:eastAsia="zh-CN"/>
        </w:rPr>
        <w:t>广东宏茂建设管理有限公司</w:t>
      </w:r>
      <w:r>
        <w:rPr>
          <w:rFonts w:ascii="宋体" w:hAnsi="宋体"/>
          <w:color w:val="auto"/>
          <w:sz w:val="24"/>
          <w:highlight w:val="none"/>
          <w:u w:val="single"/>
        </w:rPr>
        <w:t xml:space="preserve"> </w:t>
      </w:r>
    </w:p>
    <w:p w14:paraId="2CDA50C5">
      <w:pPr>
        <w:spacing w:line="360" w:lineRule="auto"/>
        <w:ind w:firstLine="537" w:firstLineChars="224"/>
        <w:rPr>
          <w:rFonts w:hint="eastAsia"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eastAsia="zh-CN"/>
        </w:rPr>
        <w:t>王</w:t>
      </w:r>
      <w:r>
        <w:rPr>
          <w:rFonts w:hint="eastAsia" w:ascii="宋体" w:hAnsi="宋体"/>
          <w:color w:val="auto"/>
          <w:sz w:val="24"/>
          <w:highlight w:val="none"/>
          <w:u w:val="single"/>
          <w:lang w:val="en-US" w:eastAsia="zh-CN"/>
        </w:rPr>
        <w:t>工</w:t>
      </w:r>
      <w:r>
        <w:rPr>
          <w:rFonts w:hint="eastAsia" w:ascii="宋体" w:hAnsi="宋体"/>
          <w:color w:val="auto"/>
          <w:sz w:val="24"/>
          <w:highlight w:val="none"/>
          <w:u w:val="single"/>
          <w:lang w:eastAsia="zh-CN"/>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lang w:eastAsia="zh-CN"/>
        </w:rPr>
        <w:t>020-38937455</w:t>
      </w:r>
      <w:r>
        <w:rPr>
          <w:rFonts w:ascii="宋体" w:hAnsi="宋体"/>
          <w:color w:val="auto"/>
          <w:sz w:val="24"/>
          <w:highlight w:val="none"/>
          <w:u w:val="none"/>
        </w:rPr>
        <w:t xml:space="preserve"> </w:t>
      </w:r>
    </w:p>
    <w:p w14:paraId="25FBE2F6">
      <w:pPr>
        <w:spacing w:line="360" w:lineRule="auto"/>
        <w:ind w:firstLine="1015" w:firstLineChars="423"/>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广州市天河区燕岭路123号建设大厦四楼 </w:t>
      </w:r>
    </w:p>
    <w:p w14:paraId="48B24216">
      <w:pPr>
        <w:spacing w:line="360" w:lineRule="auto"/>
        <w:ind w:firstLine="537" w:firstLineChars="224"/>
        <w:rPr>
          <w:rFonts w:ascii="宋体"/>
          <w:color w:val="auto"/>
          <w:sz w:val="24"/>
          <w:highlight w:val="none"/>
        </w:rPr>
      </w:pPr>
      <w:r>
        <w:rPr>
          <w:rFonts w:ascii="宋体" w:hAnsi="宋体"/>
          <w:color w:val="auto"/>
          <w:sz w:val="24"/>
          <w:highlight w:val="none"/>
        </w:rPr>
        <w:t xml:space="preserve"> </w:t>
      </w:r>
      <w:r>
        <w:rPr>
          <w:rFonts w:ascii="宋体" w:hAnsi="宋体"/>
          <w:b/>
          <w:bCs/>
          <w:color w:val="auto"/>
          <w:sz w:val="24"/>
          <w:highlight w:val="none"/>
        </w:rPr>
        <w:t xml:space="preserve">   </w:t>
      </w:r>
      <w:r>
        <w:rPr>
          <w:rFonts w:hint="eastAsia" w:ascii="宋体" w:hAnsi="宋体"/>
          <w:b/>
          <w:bCs/>
          <w:color w:val="auto"/>
          <w:sz w:val="24"/>
          <w:highlight w:val="none"/>
        </w:rPr>
        <w:t>招标监督机构：</w:t>
      </w:r>
      <w:r>
        <w:rPr>
          <w:rFonts w:ascii="宋体" w:hAnsi="宋体"/>
          <w:color w:val="auto"/>
          <w:sz w:val="24"/>
          <w:highlight w:val="none"/>
          <w:u w:val="single"/>
        </w:rPr>
        <w:t xml:space="preserve"> </w:t>
      </w:r>
      <w:r>
        <w:rPr>
          <w:rFonts w:hint="eastAsia" w:ascii="宋体" w:hAnsi="宋体"/>
          <w:color w:val="auto"/>
          <w:sz w:val="24"/>
          <w:highlight w:val="none"/>
          <w:u w:val="single"/>
        </w:rPr>
        <w:t>广州市天河区建设工程招标管理办公室</w:t>
      </w:r>
      <w:r>
        <w:rPr>
          <w:rFonts w:ascii="宋体" w:hAnsi="宋体"/>
          <w:color w:val="auto"/>
          <w:sz w:val="24"/>
          <w:highlight w:val="none"/>
          <w:u w:val="single"/>
        </w:rPr>
        <w:t xml:space="preserve">  </w:t>
      </w:r>
    </w:p>
    <w:p w14:paraId="4AC9BA95">
      <w:pPr>
        <w:spacing w:line="360" w:lineRule="auto"/>
        <w:ind w:firstLine="537" w:firstLineChars="224"/>
        <w:rPr>
          <w:rFonts w:hint="eastAsia"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r>
        <w:rPr>
          <w:rFonts w:ascii="宋体" w:hAnsi="宋体"/>
          <w:color w:val="auto"/>
          <w:sz w:val="24"/>
          <w:highlight w:val="none"/>
          <w:u w:val="single"/>
        </w:rPr>
        <w:t xml:space="preserve">020-85536908 </w:t>
      </w:r>
    </w:p>
    <w:p w14:paraId="5D633973">
      <w:pPr>
        <w:spacing w:line="360" w:lineRule="auto"/>
        <w:ind w:firstLine="1015" w:firstLineChars="423"/>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 xml:space="preserve"> </w:t>
      </w:r>
      <w:r>
        <w:rPr>
          <w:rFonts w:hint="eastAsia" w:ascii="宋体" w:hAnsi="宋体" w:cs="宋体"/>
          <w:color w:val="auto"/>
          <w:sz w:val="24"/>
          <w:szCs w:val="21"/>
          <w:highlight w:val="none"/>
          <w:u w:val="single"/>
        </w:rPr>
        <w:t>广州市天河区黄埔大道中166号305</w:t>
      </w:r>
      <w:r>
        <w:rPr>
          <w:rFonts w:hint="eastAsia" w:ascii="宋体" w:hAnsi="宋体"/>
          <w:color w:val="auto"/>
          <w:sz w:val="24"/>
          <w:highlight w:val="none"/>
          <w:u w:val="single"/>
        </w:rPr>
        <w:t xml:space="preserve"> </w:t>
      </w:r>
    </w:p>
    <w:p w14:paraId="0DEA9F5B">
      <w:pPr>
        <w:numPr>
          <w:ilvl w:val="0"/>
          <w:numId w:val="1"/>
        </w:numPr>
        <w:spacing w:line="360" w:lineRule="auto"/>
        <w:ind w:firstLine="482" w:firstLineChars="200"/>
        <w:rPr>
          <w:rFonts w:ascii="宋体" w:hAnsi="宋体"/>
          <w:color w:val="auto"/>
          <w:sz w:val="24"/>
          <w:highlight w:val="none"/>
          <w:u w:val="single"/>
        </w:rPr>
      </w:pPr>
      <w:bookmarkStart w:id="5" w:name="_Toc8954"/>
      <w:r>
        <w:rPr>
          <w:rStyle w:val="21"/>
          <w:rFonts w:hint="eastAsia"/>
          <w:color w:val="auto"/>
          <w:highlight w:val="none"/>
        </w:rPr>
        <w:t>建设地点：</w:t>
      </w:r>
      <w:bookmarkEnd w:id="5"/>
      <w:r>
        <w:rPr>
          <w:rFonts w:hint="eastAsia" w:ascii="宋体" w:hAnsi="宋体"/>
          <w:color w:val="auto"/>
          <w:sz w:val="24"/>
          <w:szCs w:val="24"/>
          <w:highlight w:val="none"/>
          <w:u w:val="single"/>
        </w:rPr>
        <w:t>广州市天河区</w:t>
      </w:r>
      <w:r>
        <w:rPr>
          <w:rFonts w:ascii="宋体" w:hAnsi="宋体"/>
          <w:color w:val="auto"/>
          <w:sz w:val="24"/>
          <w:highlight w:val="none"/>
          <w:u w:val="single"/>
        </w:rPr>
        <w:t xml:space="preserve"> </w:t>
      </w:r>
      <w:bookmarkStart w:id="6" w:name="_Toc5544"/>
    </w:p>
    <w:p w14:paraId="05C413E0">
      <w:pPr>
        <w:numPr>
          <w:ilvl w:val="0"/>
          <w:numId w:val="1"/>
        </w:numPr>
        <w:spacing w:line="360" w:lineRule="auto"/>
        <w:ind w:left="0" w:leftChars="0" w:firstLine="482" w:firstLineChars="200"/>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pPr>
      <w:r>
        <w:rPr>
          <w:rStyle w:val="21"/>
          <w:rFonts w:hint="eastAsia"/>
          <w:b/>
          <w:color w:val="000000" w:themeColor="text1"/>
          <w:highlight w:val="none"/>
          <w14:textFill>
            <w14:solidFill>
              <w14:schemeClr w14:val="tx1"/>
            </w14:solidFill>
          </w14:textFill>
        </w:rPr>
        <w:t>项目概况</w:t>
      </w: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w:t>
      </w:r>
      <w:bookmarkEnd w:id="6"/>
      <w:bookmarkStart w:id="7" w:name="_Toc1453"/>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项目围绕华景小学南北校区进行设计，全线设置完善的交通设施、景观绿化设施、配套小区改造工程和华景小学南北学校及小区入口广场及花园改造工程、绿地工程等。建设内容包含有道路工程、交通工程、园林工程、排水工程、照明工程绿化(喷灌)工程等。项目涉及华景北路道路长约700米，北校区改造面积约 720平方米，涉及改造华景新天地的道路长度约170米。南校区改造面积约3124 平方米其中包括北门、东门以及南校区西侧西侧等候区。</w:t>
      </w:r>
    </w:p>
    <w:p w14:paraId="46182F76">
      <w:pPr>
        <w:numPr>
          <w:ilvl w:val="0"/>
          <w:numId w:val="0"/>
        </w:numPr>
        <w:spacing w:line="360" w:lineRule="auto"/>
        <w:ind w:leftChars="200"/>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华景北路位于棠下街道华景新城内，东西走向，连接华景路与枫叶路，道路等</w:t>
      </w:r>
    </w:p>
    <w:p w14:paraId="43079806">
      <w:pPr>
        <w:numPr>
          <w:ilvl w:val="0"/>
          <w:numId w:val="0"/>
        </w:numPr>
        <w:spacing w:line="360" w:lineRule="auto"/>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级为城市次干路，双向四车道，全长约700米，取消西侧两个公交车站之间的人行横道，完善中央绿化带，并对华景路交叉口东进口道中央绿化带进行改造，增加掉头位。在华景路路段(小区路口处)增加信号控制系统</w:t>
      </w:r>
      <w:r>
        <w:rPr>
          <w:rFonts w:hint="eastAsia" w:ascii="宋体" w:hAnsi="宋体" w:cs="宋体"/>
          <w:b w:val="0"/>
          <w:color w:val="000000" w:themeColor="text1"/>
          <w:spacing w:val="-3"/>
          <w:kern w:val="2"/>
          <w:sz w:val="24"/>
          <w:szCs w:val="24"/>
          <w:highlight w:val="none"/>
          <w:lang w:val="en-US" w:eastAsia="zh-CN" w:bidi="ar-SA"/>
          <w14:textFill>
            <w14:solidFill>
              <w14:schemeClr w14:val="tx1"/>
            </w14:solidFill>
          </w14:textFill>
        </w:rPr>
        <w:t>；</w:t>
      </w: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在路段过街和华景东路交叉口增加按钮式过街功能;在沿线信号控制交叉口增加三组监控。</w:t>
      </w:r>
    </w:p>
    <w:p w14:paraId="4B3E251F">
      <w:pPr>
        <w:pStyle w:val="4"/>
        <w:spacing w:line="360" w:lineRule="auto"/>
        <w:ind w:left="0" w:firstLine="468" w:firstLineChars="200"/>
        <w:jc w:val="both"/>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华景北路南北两侧,取消非机动车停位棚和充电桩，移至其它区域，增加非机动车道和人行道之间的止车石,从而达到人车分流。北校区改造的内容有东、西</w:t>
      </w:r>
      <w:r>
        <w:rPr>
          <w:rFonts w:hint="eastAsia" w:ascii="宋体" w:hAnsi="宋体" w:cs="宋体"/>
          <w:b w:val="0"/>
          <w:color w:val="000000" w:themeColor="text1"/>
          <w:spacing w:val="-3"/>
          <w:kern w:val="2"/>
          <w:sz w:val="24"/>
          <w:szCs w:val="24"/>
          <w:highlight w:val="none"/>
          <w:lang w:val="en-US" w:eastAsia="zh-CN" w:bidi="ar-SA"/>
          <w14:textFill>
            <w14:solidFill>
              <w14:schemeClr w14:val="tx1"/>
            </w14:solidFill>
          </w14:textFill>
        </w:rPr>
        <w:t>2座大门</w:t>
      </w: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，并且拓宽北校区东门道路包括华景新天地西侧台阶，面积约为556 平方米，增加华景新天地北侧的道路边的栏杆:增加华景新天地东侧人行横道划线107 平方米;增加陶然小区南侧大门口可移动止车石 75 米。</w:t>
      </w:r>
    </w:p>
    <w:p w14:paraId="1142A827">
      <w:pPr>
        <w:pStyle w:val="4"/>
        <w:spacing w:line="360" w:lineRule="auto"/>
        <w:ind w:left="0" w:firstLine="468" w:firstLineChars="200"/>
        <w:jc w:val="both"/>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南校区改造的内容包括华景新城北门入口广场面积约有 272平方米,拆除围墙 16 米，改</w:t>
      </w:r>
      <w:r>
        <w:rPr>
          <w:rFonts w:hint="eastAsia" w:ascii="宋体" w:hAnsi="宋体" w:cs="宋体"/>
          <w:b w:val="0"/>
          <w:color w:val="000000" w:themeColor="text1"/>
          <w:spacing w:val="-3"/>
          <w:kern w:val="2"/>
          <w:sz w:val="24"/>
          <w:szCs w:val="24"/>
          <w:highlight w:val="none"/>
          <w:lang w:val="en-US" w:eastAsia="zh-CN" w:bidi="ar-SA"/>
          <w14:textFill>
            <w14:solidFill>
              <w14:schemeClr w14:val="tx1"/>
            </w14:solidFill>
          </w14:textFill>
        </w:rPr>
        <w:t>造</w:t>
      </w: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大门一座。东门入口广场面积约 509 平方米，拆除围墙 16 米，新建围墙 10 米,改</w:t>
      </w:r>
      <w:r>
        <w:rPr>
          <w:rFonts w:hint="eastAsia" w:ascii="宋体" w:hAnsi="宋体" w:cs="宋体"/>
          <w:b w:val="0"/>
          <w:color w:val="000000" w:themeColor="text1"/>
          <w:spacing w:val="-3"/>
          <w:kern w:val="2"/>
          <w:sz w:val="24"/>
          <w:szCs w:val="24"/>
          <w:highlight w:val="none"/>
          <w:lang w:val="en-US" w:eastAsia="zh-CN" w:bidi="ar-SA"/>
          <w14:textFill>
            <w14:solidFill>
              <w14:schemeClr w14:val="tx1"/>
            </w14:solidFill>
          </w14:textFill>
        </w:rPr>
        <w:t>造</w:t>
      </w:r>
      <w:r>
        <w:rPr>
          <w:rFonts w:hint="eastAsia" w:ascii="宋体" w:hAnsi="宋体" w:eastAsia="宋体" w:cs="宋体"/>
          <w:b w:val="0"/>
          <w:color w:val="000000" w:themeColor="text1"/>
          <w:spacing w:val="-3"/>
          <w:kern w:val="2"/>
          <w:sz w:val="24"/>
          <w:szCs w:val="24"/>
          <w:highlight w:val="none"/>
          <w:lang w:val="en-US" w:eastAsia="zh-CN" w:bidi="ar-SA"/>
          <w14:textFill>
            <w14:solidFill>
              <w14:schemeClr w14:val="tx1"/>
            </w14:solidFill>
          </w14:textFill>
        </w:rPr>
        <w:t>大门一座。改造南校区东侧花园面积约 2344 平方米绿化及铺装，改善花园的排水系统。</w:t>
      </w:r>
    </w:p>
    <w:p w14:paraId="478F83B2">
      <w:pPr>
        <w:pStyle w:val="4"/>
        <w:spacing w:line="360" w:lineRule="auto"/>
        <w:ind w:left="0" w:firstLine="480" w:firstLineChars="200"/>
        <w:jc w:val="both"/>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b w:val="0"/>
          <w:color w:val="000000" w:themeColor="text1"/>
          <w:sz w:val="24"/>
          <w:szCs w:val="24"/>
          <w:highlight w:val="none"/>
          <w14:textFill>
            <w14:solidFill>
              <w14:schemeClr w14:val="tx1"/>
            </w14:solidFill>
          </w14:textFill>
        </w:rPr>
        <w:t>项目总投资</w:t>
      </w:r>
      <w:r>
        <w:rPr>
          <w:rFonts w:hint="eastAsia" w:ascii="宋体" w:hAnsi="宋体"/>
          <w:b w:val="0"/>
          <w:color w:val="000000" w:themeColor="text1"/>
          <w:sz w:val="24"/>
          <w:szCs w:val="24"/>
          <w:highlight w:val="none"/>
          <w:lang w:val="en-US" w:eastAsia="zh-CN"/>
          <w14:textFill>
            <w14:solidFill>
              <w14:schemeClr w14:val="tx1"/>
            </w14:solidFill>
          </w14:textFill>
        </w:rPr>
        <w:t>约774</w:t>
      </w:r>
      <w:r>
        <w:rPr>
          <w:rFonts w:hint="eastAsia" w:ascii="宋体" w:hAnsi="宋体"/>
          <w:b w:val="0"/>
          <w:color w:val="000000" w:themeColor="text1"/>
          <w:sz w:val="24"/>
          <w:szCs w:val="24"/>
          <w:highlight w:val="none"/>
          <w14:textFill>
            <w14:solidFill>
              <w14:schemeClr w14:val="tx1"/>
            </w14:solidFill>
          </w14:textFill>
        </w:rPr>
        <w:t>万元，其中工程费用</w:t>
      </w:r>
      <w:r>
        <w:rPr>
          <w:rFonts w:hint="eastAsia" w:ascii="宋体" w:hAnsi="宋体"/>
          <w:b w:val="0"/>
          <w:color w:val="000000" w:themeColor="text1"/>
          <w:sz w:val="24"/>
          <w:szCs w:val="24"/>
          <w:highlight w:val="none"/>
          <w:lang w:val="en-US" w:eastAsia="zh-CN"/>
          <w14:textFill>
            <w14:solidFill>
              <w14:schemeClr w14:val="tx1"/>
            </w14:solidFill>
          </w14:textFill>
        </w:rPr>
        <w:t>约</w:t>
      </w:r>
      <w:r>
        <w:rPr>
          <w:rFonts w:hint="eastAsia" w:ascii="宋体" w:hAnsi="宋体"/>
          <w:b w:val="0"/>
          <w:color w:val="000000" w:themeColor="text1"/>
          <w:sz w:val="24"/>
          <w:szCs w:val="24"/>
          <w:highlight w:val="none"/>
          <w14:textFill>
            <w14:solidFill>
              <w14:schemeClr w14:val="tx1"/>
            </w14:solidFill>
          </w14:textFill>
        </w:rPr>
        <w:t>65</w:t>
      </w:r>
      <w:r>
        <w:rPr>
          <w:rFonts w:hint="eastAsia" w:ascii="宋体" w:hAnsi="宋体"/>
          <w:b w:val="0"/>
          <w:color w:val="000000" w:themeColor="text1"/>
          <w:sz w:val="24"/>
          <w:szCs w:val="24"/>
          <w:highlight w:val="none"/>
          <w:lang w:val="en-US" w:eastAsia="zh-CN"/>
          <w14:textFill>
            <w14:solidFill>
              <w14:schemeClr w14:val="tx1"/>
            </w14:solidFill>
          </w14:textFill>
        </w:rPr>
        <w:t>1</w:t>
      </w:r>
      <w:r>
        <w:rPr>
          <w:rFonts w:hint="eastAsia" w:ascii="宋体" w:hAnsi="宋体"/>
          <w:b w:val="0"/>
          <w:color w:val="000000" w:themeColor="text1"/>
          <w:sz w:val="24"/>
          <w:szCs w:val="24"/>
          <w:highlight w:val="none"/>
          <w14:textFill>
            <w14:solidFill>
              <w14:schemeClr w14:val="tx1"/>
            </w14:solidFill>
          </w14:textFill>
        </w:rPr>
        <w:t>万元，工程建设其他费用</w:t>
      </w:r>
      <w:r>
        <w:rPr>
          <w:rFonts w:hint="eastAsia" w:ascii="宋体" w:hAnsi="宋体"/>
          <w:b w:val="0"/>
          <w:color w:val="000000" w:themeColor="text1"/>
          <w:sz w:val="24"/>
          <w:szCs w:val="24"/>
          <w:highlight w:val="none"/>
          <w:lang w:val="en-US" w:eastAsia="zh-CN"/>
          <w14:textFill>
            <w14:solidFill>
              <w14:schemeClr w14:val="tx1"/>
            </w14:solidFill>
          </w14:textFill>
        </w:rPr>
        <w:t>约</w:t>
      </w:r>
      <w:r>
        <w:rPr>
          <w:rFonts w:hint="eastAsia" w:ascii="宋体" w:hAnsi="宋体"/>
          <w:b w:val="0"/>
          <w:color w:val="000000" w:themeColor="text1"/>
          <w:sz w:val="24"/>
          <w:szCs w:val="24"/>
          <w:highlight w:val="none"/>
          <w14:textFill>
            <w14:solidFill>
              <w14:schemeClr w14:val="tx1"/>
            </w14:solidFill>
          </w14:textFill>
        </w:rPr>
        <w:t>100万元，基本预备费</w:t>
      </w:r>
      <w:r>
        <w:rPr>
          <w:rFonts w:hint="eastAsia" w:ascii="宋体" w:hAnsi="宋体"/>
          <w:b w:val="0"/>
          <w:color w:val="000000" w:themeColor="text1"/>
          <w:sz w:val="24"/>
          <w:szCs w:val="24"/>
          <w:highlight w:val="none"/>
          <w:lang w:val="en-US" w:eastAsia="zh-CN"/>
          <w14:textFill>
            <w14:solidFill>
              <w14:schemeClr w14:val="tx1"/>
            </w14:solidFill>
          </w14:textFill>
        </w:rPr>
        <w:t>约</w:t>
      </w:r>
      <w:r>
        <w:rPr>
          <w:rFonts w:hint="eastAsia" w:ascii="宋体" w:hAnsi="宋体"/>
          <w:b w:val="0"/>
          <w:color w:val="000000" w:themeColor="text1"/>
          <w:sz w:val="24"/>
          <w:szCs w:val="24"/>
          <w:highlight w:val="none"/>
          <w14:textFill>
            <w14:solidFill>
              <w14:schemeClr w14:val="tx1"/>
            </w14:solidFill>
          </w14:textFill>
        </w:rPr>
        <w:t>2</w:t>
      </w:r>
      <w:r>
        <w:rPr>
          <w:rFonts w:hint="eastAsia" w:ascii="宋体" w:hAnsi="宋体"/>
          <w:b w:val="0"/>
          <w:color w:val="000000" w:themeColor="text1"/>
          <w:sz w:val="24"/>
          <w:szCs w:val="24"/>
          <w:highlight w:val="none"/>
          <w:lang w:val="en-US" w:eastAsia="zh-CN"/>
          <w14:textFill>
            <w14:solidFill>
              <w14:schemeClr w14:val="tx1"/>
            </w14:solidFill>
          </w14:textFill>
        </w:rPr>
        <w:t>3</w:t>
      </w:r>
      <w:r>
        <w:rPr>
          <w:rFonts w:hint="eastAsia" w:ascii="宋体" w:hAnsi="宋体"/>
          <w:b w:val="0"/>
          <w:color w:val="000000" w:themeColor="text1"/>
          <w:sz w:val="24"/>
          <w:szCs w:val="24"/>
          <w:highlight w:val="none"/>
          <w14:textFill>
            <w14:solidFill>
              <w14:schemeClr w14:val="tx1"/>
            </w14:solidFill>
          </w14:textFill>
        </w:rPr>
        <w:t>万元。</w:t>
      </w:r>
      <w:r>
        <w:rPr>
          <w:rFonts w:hint="eastAsia" w:ascii="宋体" w:hAnsi="宋体"/>
          <w:b w:val="0"/>
          <w:color w:val="000000" w:themeColor="text1"/>
          <w:sz w:val="24"/>
          <w:szCs w:val="24"/>
          <w:highlight w:val="none"/>
          <w:lang w:val="en-US" w:eastAsia="zh-CN"/>
          <w14:textFill>
            <w14:solidFill>
              <w14:schemeClr w14:val="tx1"/>
            </w14:solidFill>
          </w14:textFill>
        </w:rPr>
        <w:t>资金来源为区财政统筹。</w:t>
      </w:r>
    </w:p>
    <w:p w14:paraId="55537E6D">
      <w:pPr>
        <w:pStyle w:val="4"/>
        <w:spacing w:line="360" w:lineRule="auto"/>
        <w:ind w:left="0" w:firstLine="482"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五、标段划分及各标段招标内容、规模和最高投标限价：</w:t>
      </w:r>
      <w:bookmarkEnd w:id="7"/>
    </w:p>
    <w:p w14:paraId="45533002">
      <w:pPr>
        <w:spacing w:line="360" w:lineRule="auto"/>
        <w:ind w:firstLine="537" w:firstLineChars="22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本招标项目分为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个标段。</w:t>
      </w:r>
    </w:p>
    <w:p w14:paraId="383992C7">
      <w:pPr>
        <w:spacing w:line="432" w:lineRule="auto"/>
        <w:ind w:firstLine="537" w:firstLineChars="224"/>
        <w:rPr>
          <w:rFonts w:hint="eastAsia" w:ascii="宋体" w:hAnsi="宋体" w:cs="宋体"/>
          <w:color w:val="000000" w:themeColor="text1"/>
          <w:spacing w:val="-3"/>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.招标内容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项目对华景小学南、北校区及周边道路进行交通功能完善和品质提升，建设内容包括</w:t>
      </w:r>
      <w:r>
        <w:rPr>
          <w:rFonts w:hint="eastAsia" w:ascii="宋体" w:hAnsi="宋体" w:eastAsia="宋体" w:cs="宋体"/>
          <w:b w:val="0"/>
          <w:color w:val="000000" w:themeColor="text1"/>
          <w:spacing w:val="-3"/>
          <w:sz w:val="24"/>
          <w:szCs w:val="24"/>
          <w:highlight w:val="none"/>
          <w14:textFill>
            <w14:solidFill>
              <w14:schemeClr w14:val="tx1"/>
            </w14:solidFill>
          </w14:textFill>
        </w:rPr>
        <w:t>道路工程、交通工程、园林工程、排水工程、照明工程工程等</w:t>
      </w:r>
      <w:r>
        <w:rPr>
          <w:rFonts w:hint="eastAsia" w:ascii="宋体" w:hAnsi="宋体" w:cs="宋体"/>
          <w:b w:val="0"/>
          <w:color w:val="000000" w:themeColor="text1"/>
          <w:spacing w:val="-3"/>
          <w:sz w:val="24"/>
          <w:szCs w:val="24"/>
          <w:highlight w:val="none"/>
          <w:lang w:eastAsia="zh-CN"/>
          <w14:textFill>
            <w14:solidFill>
              <w14:schemeClr w14:val="tx1"/>
            </w14:solidFill>
          </w14:textFill>
        </w:rPr>
        <w:t>，</w:t>
      </w:r>
      <w:r>
        <w:rPr>
          <w:rFonts w:hint="eastAsia" w:ascii="宋体" w:hAnsi="宋体" w:cs="宋体"/>
          <w:color w:val="000000" w:themeColor="text1"/>
          <w:spacing w:val="-3"/>
          <w:sz w:val="24"/>
          <w:szCs w:val="24"/>
          <w:highlight w:val="none"/>
          <w14:textFill>
            <w14:solidFill>
              <w14:schemeClr w14:val="tx1"/>
            </w14:solidFill>
          </w14:textFill>
        </w:rPr>
        <w:t>具体如下：</w:t>
      </w:r>
    </w:p>
    <w:p w14:paraId="605452A8">
      <w:pPr>
        <w:spacing w:before="0" w:line="432" w:lineRule="auto"/>
        <w:ind w:left="0" w:right="0" w:firstLine="470" w:firstLineChars="224"/>
        <w:rPr>
          <w:rFonts w:hint="eastAsia" w:ascii="宋体" w:hAnsi="宋体" w:eastAsia="宋体" w:cs="宋体"/>
          <w:b w:val="0"/>
          <w:bCs w:val="0"/>
          <w:color w:val="000000" w:themeColor="text1"/>
          <w:spacing w:val="-3"/>
          <w:sz w:val="24"/>
          <w:szCs w:val="24"/>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spacing w:val="-3"/>
          <w:sz w:val="24"/>
          <w:szCs w:val="24"/>
          <w:highlight w:val="none"/>
          <w14:textFill>
            <w14:solidFill>
              <w14:schemeClr w14:val="tx1"/>
            </w14:solidFill>
          </w14:textFill>
        </w:rPr>
        <w:t>道路交通优化提升</w:t>
      </w:r>
    </w:p>
    <w:p w14:paraId="158984B9">
      <w:pPr>
        <w:spacing w:before="0" w:line="432" w:lineRule="auto"/>
        <w:ind w:left="0" w:right="0" w:firstLine="524" w:firstLineChars="224"/>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华景北路改造路段约700米，人行道改造4947平方米，增加交通监控系统1处，拆除非机动车停车棚1992平方米，华景新天地北侧道路安装护栏170米</w:t>
      </w:r>
      <w:r>
        <w:rPr>
          <w:rFonts w:hint="eastAsia" w:ascii="宋体" w:hAnsi="宋体" w:cs="宋体"/>
          <w:color w:val="000000" w:themeColor="text1"/>
          <w:spacing w:val="-3"/>
          <w:sz w:val="24"/>
          <w:szCs w:val="24"/>
          <w:highlight w:val="none"/>
          <w:lang w:eastAsia="zh-CN"/>
          <w14:textFill>
            <w14:solidFill>
              <w14:schemeClr w14:val="tx1"/>
            </w14:solidFill>
          </w14:textFill>
        </w:rPr>
        <w:t>。</w:t>
      </w:r>
    </w:p>
    <w:p w14:paraId="4CD0A6C0">
      <w:pPr>
        <w:spacing w:before="0" w:line="432" w:lineRule="auto"/>
        <w:ind w:left="0" w:right="0" w:firstLine="524" w:firstLineChars="224"/>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(2)华景小学北校区交通优化提升</w:t>
      </w:r>
    </w:p>
    <w:p w14:paraId="281E8133">
      <w:pPr>
        <w:spacing w:before="0" w:line="432" w:lineRule="auto"/>
        <w:ind w:left="0" w:right="0" w:firstLine="524" w:firstLineChars="224"/>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人行道改造555平方米，出入口改造25.5平方米，沥青铺装及地面划线206平方米，</w:t>
      </w:r>
      <w:r>
        <w:rPr>
          <w:rFonts w:hint="eastAsia" w:ascii="宋体" w:hAnsi="宋体" w:cs="宋体"/>
          <w:color w:val="000000" w:themeColor="text1"/>
          <w:spacing w:val="-3"/>
          <w:sz w:val="24"/>
          <w:szCs w:val="24"/>
          <w:highlight w:val="none"/>
          <w:lang w:eastAsia="zh-CN"/>
          <w14:textFill>
            <w14:solidFill>
              <w14:schemeClr w14:val="tx1"/>
            </w14:solidFill>
          </w14:textFill>
        </w:rPr>
        <w:t>改造大门</w:t>
      </w:r>
      <w:r>
        <w:rPr>
          <w:rFonts w:hint="eastAsia" w:ascii="宋体" w:hAnsi="宋体" w:cs="宋体"/>
          <w:color w:val="000000" w:themeColor="text1"/>
          <w:spacing w:val="-3"/>
          <w:sz w:val="24"/>
          <w:szCs w:val="24"/>
          <w:highlight w:val="none"/>
          <w:lang w:val="en-US" w:eastAsia="zh-CN"/>
          <w14:textFill>
            <w14:solidFill>
              <w14:schemeClr w14:val="tx1"/>
            </w14:solidFill>
          </w14:textFill>
        </w:rPr>
        <w:t>2座</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，排水系统改造3767平方米。</w:t>
      </w:r>
    </w:p>
    <w:p w14:paraId="3DEB8523">
      <w:pPr>
        <w:spacing w:before="0" w:line="432" w:lineRule="auto"/>
        <w:ind w:left="0" w:right="0" w:firstLine="524" w:firstLineChars="224"/>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(3)华景小学南校区交通优化提升</w:t>
      </w:r>
    </w:p>
    <w:p w14:paraId="61BCB6DE">
      <w:pPr>
        <w:spacing w:before="0" w:line="432" w:lineRule="auto"/>
        <w:ind w:left="0" w:right="0" w:firstLine="524" w:firstLineChars="224"/>
        <w:rPr>
          <w:rFonts w:hint="eastAsia" w:ascii="宋体" w:hAnsi="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人行道改造1947平方米，出入口改造25平方米，安装机动车闸机系统4套，绿化改造1265平方米。</w:t>
      </w:r>
    </w:p>
    <w:p w14:paraId="15E57365">
      <w:pPr>
        <w:spacing w:line="360" w:lineRule="auto"/>
        <w:ind w:firstLine="537" w:firstLineChars="224"/>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（具体以施工合同、施工图纸、工程量清单及有关资料为准）。</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3E70551D">
      <w:pPr>
        <w:spacing w:line="360" w:lineRule="auto"/>
        <w:ind w:firstLine="537" w:firstLineChars="22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最高投标限价：</w:t>
      </w:r>
      <w:r>
        <w:rPr>
          <w:rFonts w:hint="eastAsia" w:ascii="宋体" w:hAnsi="宋体" w:cs="宋体"/>
          <w:color w:val="000000" w:themeColor="text1"/>
          <w:sz w:val="24"/>
          <w:szCs w:val="24"/>
          <w:highlight w:val="none"/>
          <w:u w:val="single"/>
          <w14:textFill>
            <w14:solidFill>
              <w14:schemeClr w14:val="tx1"/>
            </w14:solidFill>
          </w14:textFill>
        </w:rPr>
        <w:t>5</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612</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836.7</w:t>
      </w:r>
      <w:r>
        <w:rPr>
          <w:rFonts w:hint="eastAsia" w:ascii="宋体" w:hAnsi="宋体" w:eastAsia="宋体"/>
          <w:color w:val="000000" w:themeColor="text1"/>
          <w:sz w:val="24"/>
          <w:highlight w:val="none"/>
          <w:u w:val="single"/>
          <w:lang w:val="en-US" w:eastAsia="zh-CN"/>
          <w14:textFill>
            <w14:solidFill>
              <w14:schemeClr w14:val="tx1"/>
            </w14:solidFill>
          </w14:textFill>
        </w:rPr>
        <w:t>元</w:t>
      </w:r>
      <w:r>
        <w:rPr>
          <w:rFonts w:ascii="宋体" w:hAnsi="宋体" w:eastAsia="宋体"/>
          <w:color w:val="000000" w:themeColor="text1"/>
          <w:sz w:val="24"/>
          <w:highlight w:val="none"/>
          <w14:textFill>
            <w14:solidFill>
              <w14:schemeClr w14:val="tx1"/>
            </w14:solidFill>
          </w14:textFill>
        </w:rPr>
        <w:t xml:space="preserve"> </w:t>
      </w:r>
    </w:p>
    <w:p w14:paraId="3944957E">
      <w:pPr>
        <w:spacing w:line="360" w:lineRule="auto"/>
        <w:ind w:firstLine="540" w:firstLineChars="224"/>
        <w:rPr>
          <w:rFonts w:hint="eastAsia" w:ascii="宋体" w:hAnsi="宋体"/>
          <w:color w:val="000000" w:themeColor="text1"/>
          <w:sz w:val="24"/>
          <w:highlight w:val="none"/>
          <w:u w:val="single"/>
          <w14:textFill>
            <w14:solidFill>
              <w14:schemeClr w14:val="tx1"/>
            </w14:solidFill>
          </w14:textFill>
        </w:rPr>
      </w:pPr>
      <w:bookmarkStart w:id="8" w:name="_Toc14879"/>
      <w:r>
        <w:rPr>
          <w:rStyle w:val="21"/>
          <w:rFonts w:hint="eastAsia"/>
          <w:color w:val="000000" w:themeColor="text1"/>
          <w:highlight w:val="none"/>
          <w14:textFill>
            <w14:solidFill>
              <w14:schemeClr w14:val="tx1"/>
            </w14:solidFill>
          </w14:textFill>
        </w:rPr>
        <w:t>六、资金来源：</w:t>
      </w:r>
      <w:bookmarkEnd w:id="8"/>
      <w:r>
        <w:rPr>
          <w:rStyle w:val="21"/>
          <w:rFonts w:hint="eastAsia"/>
          <w:b w:val="0"/>
          <w:bCs/>
          <w:color w:val="000000" w:themeColor="text1"/>
          <w:highlight w:val="none"/>
          <w:u w:val="single"/>
          <w14:textFill>
            <w14:solidFill>
              <w14:schemeClr w14:val="tx1"/>
            </w14:solidFill>
          </w14:textFill>
        </w:rPr>
        <w:t>区财政</w:t>
      </w:r>
      <w:r>
        <w:rPr>
          <w:rStyle w:val="21"/>
          <w:rFonts w:hint="eastAsia"/>
          <w:b w:val="0"/>
          <w:bCs/>
          <w:color w:val="000000" w:themeColor="text1"/>
          <w:highlight w:val="none"/>
          <w:u w:val="single"/>
          <w:lang w:eastAsia="zh-CN"/>
          <w14:textFill>
            <w14:solidFill>
              <w14:schemeClr w14:val="tx1"/>
            </w14:solidFill>
          </w14:textFill>
        </w:rPr>
        <w:t>资金</w:t>
      </w:r>
      <w:bookmarkStart w:id="14" w:name="_GoBack"/>
      <w:bookmarkEnd w:id="14"/>
    </w:p>
    <w:p w14:paraId="037A6A9A">
      <w:pPr>
        <w:spacing w:line="360" w:lineRule="auto"/>
        <w:ind w:left="120" w:leftChars="57" w:firstLine="417" w:firstLineChars="174"/>
        <w:rPr>
          <w:rFonts w:ascii="宋体"/>
          <w:color w:val="auto"/>
          <w:sz w:val="24"/>
          <w:highlight w:val="none"/>
        </w:rPr>
      </w:pPr>
      <w:r>
        <w:rPr>
          <w:rFonts w:hint="eastAsia" w:ascii="楷体" w:hAnsi="楷体" w:eastAsia="楷体" w:cs="楷体"/>
          <w:color w:val="000000" w:themeColor="text1"/>
          <w:sz w:val="24"/>
          <w:highlight w:val="none"/>
          <w14:textFill>
            <w14:solidFill>
              <w14:schemeClr w14:val="tx1"/>
            </w14:solidFill>
          </w14:textFill>
        </w:rPr>
        <w:t>注：政府投资项目一律不得以建筑业企业带资承包的</w:t>
      </w:r>
      <w:r>
        <w:rPr>
          <w:rFonts w:hint="eastAsia" w:ascii="楷体" w:hAnsi="楷体" w:eastAsia="楷体" w:cs="楷体"/>
          <w:color w:val="auto"/>
          <w:sz w:val="24"/>
          <w:highlight w:val="none"/>
        </w:rPr>
        <w:t>方式进行建设。</w:t>
      </w:r>
    </w:p>
    <w:p w14:paraId="11A0DBE0">
      <w:pPr>
        <w:snapToGrid w:val="0"/>
        <w:spacing w:line="360" w:lineRule="auto"/>
        <w:ind w:left="435"/>
        <w:rPr>
          <w:rFonts w:hint="eastAsia" w:ascii="宋体" w:hAnsi="宋体" w:cs="宋体"/>
          <w:color w:val="auto"/>
          <w:sz w:val="24"/>
          <w:szCs w:val="24"/>
          <w:highlight w:val="none"/>
        </w:rPr>
      </w:pPr>
      <w:bookmarkStart w:id="9" w:name="_Toc14645"/>
      <w:r>
        <w:rPr>
          <w:rStyle w:val="21"/>
          <w:rFonts w:hint="eastAsia"/>
          <w:color w:val="auto"/>
          <w:highlight w:val="none"/>
        </w:rPr>
        <w:t>七、公告发布日期、递交投标文件时间与开标时间</w:t>
      </w:r>
      <w:bookmarkEnd w:id="9"/>
      <w:r>
        <w:rPr>
          <w:rFonts w:hint="eastAsia" w:ascii="宋体" w:hAnsi="宋体" w:cs="宋体"/>
          <w:color w:val="auto"/>
          <w:sz w:val="24"/>
          <w:szCs w:val="24"/>
          <w:highlight w:val="none"/>
        </w:rPr>
        <w:t>：</w:t>
      </w:r>
    </w:p>
    <w:p w14:paraId="0100A862">
      <w:pPr>
        <w:snapToGrid w:val="0"/>
        <w:spacing w:line="360" w:lineRule="auto"/>
        <w:ind w:left="435"/>
        <w:rPr>
          <w:rFonts w:hint="eastAsia"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456796DA">
      <w:pPr>
        <w:snapToGrid w:val="0"/>
        <w:spacing w:line="360" w:lineRule="auto"/>
        <w:ind w:left="435"/>
        <w:rPr>
          <w:rFonts w:hint="eastAsia" w:ascii="宋体" w:hAnsi="宋体"/>
          <w:color w:val="auto"/>
          <w:sz w:val="24"/>
          <w:highlight w:val="none"/>
        </w:rPr>
      </w:pPr>
      <w:r>
        <w:rPr>
          <w:rFonts w:hint="eastAsia" w:ascii="宋体" w:hAnsi="宋体"/>
          <w:color w:val="auto"/>
          <w:sz w:val="24"/>
          <w:highlight w:val="none"/>
        </w:rPr>
        <w:t>凡有意参加投标者，请登录</w:t>
      </w:r>
      <w:r>
        <w:rPr>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68FF7B15">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4DD6B08B">
      <w:pPr>
        <w:pStyle w:val="9"/>
        <w:ind w:firstLine="480" w:firstLineChars="200"/>
        <w:rPr>
          <w:rFonts w:hint="eastAsia" w:hAnsi="宋体" w:cs="宋体"/>
          <w:color w:val="auto"/>
          <w:kern w:val="0"/>
          <w:sz w:val="24"/>
          <w:szCs w:val="24"/>
          <w:highlight w:val="none"/>
        </w:rPr>
      </w:pPr>
      <w:r>
        <w:rPr>
          <w:rFonts w:hint="eastAsia" w:hAnsi="宋体" w:cs="宋体"/>
          <w:color w:val="auto"/>
          <w:sz w:val="24"/>
          <w:szCs w:val="24"/>
          <w:highlight w:val="none"/>
        </w:rPr>
        <w:t>2.递交投标文件起始时间：</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时</w:t>
      </w:r>
      <w:r>
        <w:rPr>
          <w:rFonts w:hint="eastAsia" w:hAnsi="宋体"/>
          <w:color w:val="auto"/>
          <w:sz w:val="24"/>
          <w:szCs w:val="24"/>
          <w:highlight w:val="none"/>
          <w:u w:val="single"/>
        </w:rPr>
        <w:t xml:space="preserve">   </w:t>
      </w:r>
      <w:r>
        <w:rPr>
          <w:rFonts w:hint="eastAsia" w:hAnsi="宋体"/>
          <w:color w:val="auto"/>
          <w:sz w:val="24"/>
          <w:szCs w:val="24"/>
          <w:highlight w:val="none"/>
        </w:rPr>
        <w:t>分；</w:t>
      </w:r>
    </w:p>
    <w:p w14:paraId="51A66E9D">
      <w:pPr>
        <w:pStyle w:val="9"/>
        <w:rPr>
          <w:rFonts w:hint="eastAsia" w:hAnsi="宋体" w:cs="宋体"/>
          <w:color w:val="auto"/>
          <w:kern w:val="0"/>
          <w:sz w:val="24"/>
          <w:szCs w:val="24"/>
          <w:highlight w:val="none"/>
        </w:rPr>
      </w:pPr>
    </w:p>
    <w:p w14:paraId="5FCF8D49">
      <w:pPr>
        <w:pStyle w:val="9"/>
        <w:ind w:firstLine="2400" w:firstLineChars="1000"/>
        <w:rPr>
          <w:rFonts w:hint="eastAsia" w:hAnsi="宋体"/>
          <w:color w:val="auto"/>
          <w:sz w:val="24"/>
          <w:szCs w:val="24"/>
          <w:highlight w:val="none"/>
        </w:rPr>
      </w:pPr>
      <w:r>
        <w:rPr>
          <w:rFonts w:hint="eastAsia" w:hAnsi="宋体" w:cs="宋体"/>
          <w:color w:val="auto"/>
          <w:sz w:val="24"/>
          <w:szCs w:val="24"/>
          <w:highlight w:val="none"/>
        </w:rPr>
        <w:t>截止时间：</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color w:val="auto"/>
          <w:sz w:val="24"/>
          <w:szCs w:val="24"/>
          <w:highlight w:val="none"/>
          <w:u w:val="single"/>
        </w:rPr>
        <w:t xml:space="preserve">    </w:t>
      </w:r>
      <w:r>
        <w:rPr>
          <w:rFonts w:hint="eastAsia" w:hAnsi="宋体"/>
          <w:color w:val="auto"/>
          <w:sz w:val="24"/>
          <w:szCs w:val="24"/>
          <w:highlight w:val="none"/>
        </w:rPr>
        <w:t>时</w:t>
      </w:r>
      <w:r>
        <w:rPr>
          <w:rFonts w:hint="eastAsia" w:hAnsi="宋体"/>
          <w:color w:val="auto"/>
          <w:sz w:val="24"/>
          <w:szCs w:val="24"/>
          <w:highlight w:val="none"/>
          <w:u w:val="single"/>
        </w:rPr>
        <w:t xml:space="preserve">   </w:t>
      </w:r>
      <w:r>
        <w:rPr>
          <w:rFonts w:hint="eastAsia" w:hAnsi="宋体"/>
          <w:color w:val="auto"/>
          <w:sz w:val="24"/>
          <w:szCs w:val="24"/>
          <w:highlight w:val="none"/>
        </w:rPr>
        <w:t>分。</w:t>
      </w:r>
    </w:p>
    <w:p w14:paraId="0968A620">
      <w:pPr>
        <w:pStyle w:val="9"/>
        <w:ind w:firstLine="2400" w:firstLineChars="1000"/>
        <w:rPr>
          <w:rFonts w:hint="eastAsia" w:hAnsi="宋体"/>
          <w:color w:val="auto"/>
          <w:sz w:val="24"/>
          <w:szCs w:val="24"/>
          <w:highlight w:val="none"/>
        </w:rPr>
      </w:pPr>
    </w:p>
    <w:p w14:paraId="76DE06CC">
      <w:pPr>
        <w:pStyle w:val="9"/>
        <w:ind w:firstLine="480" w:firstLineChars="200"/>
        <w:rPr>
          <w:rFonts w:hint="eastAsia" w:hAnsi="宋体"/>
          <w:color w:val="auto"/>
          <w:sz w:val="24"/>
          <w:szCs w:val="24"/>
          <w:highlight w:val="none"/>
        </w:rPr>
      </w:pPr>
      <w:r>
        <w:rPr>
          <w:rFonts w:hint="eastAsia" w:hAnsi="宋体" w:cs="宋体"/>
          <w:color w:val="auto"/>
          <w:sz w:val="24"/>
          <w:szCs w:val="24"/>
          <w:highlight w:val="none"/>
        </w:rPr>
        <w:t>3.开标开始时间：</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color w:val="auto"/>
          <w:sz w:val="24"/>
          <w:szCs w:val="24"/>
          <w:highlight w:val="none"/>
          <w:u w:val="single"/>
        </w:rPr>
        <w:t xml:space="preserve">   </w:t>
      </w:r>
      <w:r>
        <w:rPr>
          <w:rFonts w:hint="eastAsia" w:hAnsi="宋体"/>
          <w:color w:val="auto"/>
          <w:sz w:val="24"/>
          <w:szCs w:val="24"/>
          <w:highlight w:val="none"/>
        </w:rPr>
        <w:t>时</w:t>
      </w:r>
      <w:r>
        <w:rPr>
          <w:rFonts w:hint="eastAsia" w:hAnsi="宋体"/>
          <w:color w:val="auto"/>
          <w:sz w:val="24"/>
          <w:szCs w:val="24"/>
          <w:highlight w:val="none"/>
          <w:u w:val="single"/>
        </w:rPr>
        <w:t xml:space="preserve">    </w:t>
      </w:r>
      <w:r>
        <w:rPr>
          <w:rFonts w:hint="eastAsia" w:hAnsi="宋体"/>
          <w:color w:val="auto"/>
          <w:sz w:val="24"/>
          <w:szCs w:val="24"/>
          <w:highlight w:val="none"/>
        </w:rPr>
        <w:t>分。</w:t>
      </w:r>
    </w:p>
    <w:p w14:paraId="6255EE19">
      <w:pPr>
        <w:pStyle w:val="9"/>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4.递交投标文件截止时间与开标时间是否有变化，请密切留意</w:t>
      </w:r>
      <w:r>
        <w:rPr>
          <w:color w:val="auto"/>
          <w:sz w:val="24"/>
          <w:szCs w:val="24"/>
          <w:highlight w:val="none"/>
          <w:u w:val="single"/>
        </w:rPr>
        <w:t>广州公共资源交易中心</w:t>
      </w:r>
      <w:r>
        <w:rPr>
          <w:rFonts w:hint="eastAsia" w:hAnsi="宋体"/>
          <w:color w:val="auto"/>
          <w:sz w:val="24"/>
          <w:szCs w:val="24"/>
          <w:highlight w:val="none"/>
        </w:rPr>
        <w:t>（交易平台）中的相关信息。递交投标文件截止时间后，开标时间因故推迟的，相关评标信息仍以原递交投标文件截止时间的信息为准。</w:t>
      </w:r>
    </w:p>
    <w:p w14:paraId="3640A7E6">
      <w:pPr>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投标人通过广州交易集团有限公司（</w:t>
      </w:r>
      <w:r>
        <w:rPr>
          <w:color w:val="auto"/>
          <w:sz w:val="24"/>
          <w:szCs w:val="24"/>
          <w:highlight w:val="none"/>
          <w:u w:val="single"/>
        </w:rPr>
        <w:t>广州公共资源交易中心</w:t>
      </w:r>
      <w:r>
        <w:rPr>
          <w:rFonts w:hint="eastAsia"/>
          <w:color w:val="auto"/>
          <w:sz w:val="24"/>
          <w:szCs w:val="24"/>
          <w:highlight w:val="none"/>
          <w:u w:val="single"/>
        </w:rPr>
        <w:t>）</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bookmarkStart w:id="10" w:name="OLE_LINK2"/>
      <w:r>
        <w:rPr>
          <w:rFonts w:hint="eastAsia" w:ascii="宋体" w:hAnsi="宋体"/>
          <w:bCs/>
          <w:color w:val="auto"/>
          <w:sz w:val="24"/>
          <w:highlight w:val="none"/>
        </w:rPr>
        <w:t>广州交易集团有限公司（</w:t>
      </w:r>
      <w:r>
        <w:rPr>
          <w:color w:val="auto"/>
          <w:sz w:val="24"/>
          <w:szCs w:val="24"/>
          <w:highlight w:val="none"/>
          <w:u w:val="single"/>
        </w:rPr>
        <w:t>广州公共资源交易中心</w:t>
      </w:r>
      <w:r>
        <w:rPr>
          <w:rFonts w:hint="eastAsia"/>
          <w:color w:val="auto"/>
          <w:sz w:val="24"/>
          <w:szCs w:val="24"/>
          <w:highlight w:val="none"/>
          <w:u w:val="single"/>
        </w:rPr>
        <w:t>）</w:t>
      </w:r>
      <w:bookmarkEnd w:id="10"/>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color w:val="auto"/>
          <w:sz w:val="24"/>
          <w:szCs w:val="24"/>
          <w:highlight w:val="none"/>
        </w:rPr>
        <w:t>广州公共资源交易中心网站http:// www.gzggzy.cn</w:t>
      </w:r>
      <w:r>
        <w:rPr>
          <w:rFonts w:hint="eastAsia" w:ascii="宋体" w:hAnsi="宋体" w:cs="仿宋_GB2312"/>
          <w:color w:val="auto"/>
          <w:sz w:val="24"/>
          <w:szCs w:val="24"/>
          <w:highlight w:val="none"/>
        </w:rPr>
        <w:t xml:space="preserve">。 </w:t>
      </w:r>
    </w:p>
    <w:p w14:paraId="1E9E8E34">
      <w:pPr>
        <w:snapToGrid w:val="0"/>
        <w:spacing w:line="360" w:lineRule="auto"/>
        <w:ind w:firstLine="482" w:firstLineChars="200"/>
        <w:rPr>
          <w:rFonts w:hint="eastAsia" w:ascii="宋体" w:hAnsi="宋体" w:cs="仿宋_GB2312"/>
          <w:color w:val="auto"/>
          <w:sz w:val="24"/>
          <w:szCs w:val="24"/>
          <w:highlight w:val="none"/>
        </w:rPr>
      </w:pPr>
      <w:bookmarkStart w:id="11" w:name="_Toc10467"/>
      <w:r>
        <w:rPr>
          <w:rStyle w:val="21"/>
          <w:rFonts w:hint="eastAsia"/>
          <w:color w:val="auto"/>
          <w:highlight w:val="none"/>
        </w:rPr>
        <w:t>八、招标文件获取方式：</w:t>
      </w:r>
      <w:bookmarkEnd w:id="11"/>
    </w:p>
    <w:p w14:paraId="0F1D89EC">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s="宋体"/>
          <w:color w:val="auto"/>
          <w:kern w:val="0"/>
          <w:sz w:val="24"/>
          <w:szCs w:val="24"/>
          <w:highlight w:val="none"/>
        </w:rPr>
        <w:t>本项目招标文件随招标公告一并在</w:t>
      </w:r>
      <w:r>
        <w:rPr>
          <w:rFonts w:hint="eastAsia" w:ascii="宋体" w:hAnsi="宋体"/>
          <w:bCs/>
          <w:color w:val="auto"/>
          <w:sz w:val="24"/>
          <w:highlight w:val="none"/>
        </w:rPr>
        <w:t>广州交易集团有限公司（</w:t>
      </w:r>
      <w:r>
        <w:rPr>
          <w:color w:val="auto"/>
          <w:sz w:val="24"/>
          <w:szCs w:val="24"/>
          <w:highlight w:val="none"/>
          <w:u w:val="single"/>
        </w:rPr>
        <w:t>广州公共资源交易中心</w:t>
      </w:r>
      <w:r>
        <w:rPr>
          <w:rFonts w:hint="eastAsia"/>
          <w:color w:val="auto"/>
          <w:sz w:val="24"/>
          <w:szCs w:val="24"/>
          <w:highlight w:val="none"/>
          <w:u w:val="single"/>
        </w:rPr>
        <w:t>）</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bCs/>
          <w:color w:val="auto"/>
          <w:sz w:val="24"/>
          <w:highlight w:val="none"/>
        </w:rPr>
        <w:t>广州交易集团有限公司（</w:t>
      </w:r>
      <w:r>
        <w:rPr>
          <w:color w:val="auto"/>
          <w:sz w:val="24"/>
          <w:szCs w:val="24"/>
          <w:highlight w:val="none"/>
          <w:u w:val="single"/>
        </w:rPr>
        <w:t>广州公共资源交易中心</w:t>
      </w:r>
      <w:r>
        <w:rPr>
          <w:rFonts w:hint="eastAsia"/>
          <w:color w:val="auto"/>
          <w:sz w:val="24"/>
          <w:szCs w:val="24"/>
          <w:highlight w:val="none"/>
          <w:u w:val="single"/>
        </w:rPr>
        <w:t>）</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3956CA52">
      <w:pPr>
        <w:spacing w:line="360" w:lineRule="auto"/>
        <w:ind w:firstLine="540" w:firstLineChars="224"/>
        <w:rPr>
          <w:rFonts w:ascii="宋体"/>
          <w:color w:val="auto"/>
          <w:sz w:val="24"/>
          <w:highlight w:val="none"/>
        </w:rPr>
      </w:pPr>
      <w:bookmarkStart w:id="12" w:name="_Toc3194"/>
      <w:r>
        <w:rPr>
          <w:rStyle w:val="21"/>
          <w:rFonts w:hint="eastAsia"/>
          <w:color w:val="auto"/>
          <w:highlight w:val="none"/>
        </w:rPr>
        <w:t>九、投标人资格要求</w:t>
      </w:r>
      <w:bookmarkEnd w:id="12"/>
      <w:r>
        <w:rPr>
          <w:rFonts w:hint="eastAsia" w:ascii="宋体" w:hAnsi="宋体"/>
          <w:color w:val="auto"/>
          <w:sz w:val="24"/>
          <w:highlight w:val="none"/>
        </w:rPr>
        <w:t>：</w:t>
      </w:r>
    </w:p>
    <w:p w14:paraId="04BC24AB">
      <w:pPr>
        <w:spacing w:line="36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w:t>
      </w:r>
      <w:r>
        <w:rPr>
          <w:rFonts w:hint="eastAsia" w:ascii="宋体" w:hAnsi="宋体"/>
          <w:color w:val="auto"/>
          <w:sz w:val="24"/>
          <w:highlight w:val="none"/>
          <w:u w:val="single"/>
        </w:rPr>
        <w:t>参加投标的意思表达清楚，投标人代表被授权有效</w:t>
      </w:r>
      <w:r>
        <w:rPr>
          <w:rFonts w:hint="eastAsia" w:ascii="宋体" w:hAnsi="宋体"/>
          <w:color w:val="auto"/>
          <w:sz w:val="24"/>
          <w:highlight w:val="none"/>
        </w:rPr>
        <w:t>。</w:t>
      </w:r>
    </w:p>
    <w:p w14:paraId="73307A07">
      <w:pPr>
        <w:spacing w:line="36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w:t>
      </w:r>
      <w:r>
        <w:rPr>
          <w:rFonts w:hint="eastAsia" w:ascii="宋体" w:hAnsi="宋体"/>
          <w:color w:val="auto"/>
          <w:sz w:val="24"/>
          <w:highlight w:val="none"/>
          <w:u w:val="single"/>
        </w:rPr>
        <w:t>是法人或其他组织，按国家法律经营</w:t>
      </w:r>
      <w:r>
        <w:rPr>
          <w:rFonts w:hint="eastAsia" w:ascii="宋体" w:hAnsi="宋体"/>
          <w:color w:val="auto"/>
          <w:sz w:val="24"/>
          <w:highlight w:val="none"/>
        </w:rPr>
        <w:t>。</w:t>
      </w:r>
    </w:p>
    <w:p w14:paraId="19ADF6D9">
      <w:pPr>
        <w:spacing w:line="36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w:t>
      </w:r>
      <w:r>
        <w:rPr>
          <w:rFonts w:hint="eastAsia" w:ascii="宋体" w:hAnsi="宋体"/>
          <w:color w:val="auto"/>
          <w:sz w:val="24"/>
          <w:highlight w:val="none"/>
          <w:u w:val="single"/>
        </w:rPr>
        <w:t>建设行政主管部门颁发的有效期内的企业资质证书及安全生产许可证</w:t>
      </w:r>
      <w:r>
        <w:rPr>
          <w:rFonts w:hint="eastAsia" w:ascii="宋体" w:hAnsi="宋体"/>
          <w:color w:val="auto"/>
          <w:sz w:val="24"/>
          <w:highlight w:val="none"/>
        </w:rPr>
        <w:t>；</w:t>
      </w:r>
    </w:p>
    <w:p w14:paraId="0C0D791B">
      <w:pPr>
        <w:pStyle w:val="22"/>
        <w:ind w:firstLine="539"/>
        <w:rPr>
          <w:rFonts w:hint="eastAsia"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14:paraId="2454ACA5">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投标人具有承接本工程所需的</w:t>
      </w:r>
      <w:r>
        <w:rPr>
          <w:rFonts w:hint="eastAsia" w:ascii="宋体" w:hAnsi="宋体" w:eastAsia="宋体"/>
          <w:b/>
          <w:bCs/>
          <w:color w:val="auto"/>
          <w:sz w:val="24"/>
          <w:szCs w:val="24"/>
          <w:highlight w:val="none"/>
          <w:u w:val="single"/>
        </w:rPr>
        <w:t>市政公用</w:t>
      </w:r>
      <w:r>
        <w:rPr>
          <w:rFonts w:hint="eastAsia" w:ascii="宋体" w:hAnsi="宋体" w:eastAsia="宋体" w:cs="宋体"/>
          <w:b/>
          <w:bCs/>
          <w:color w:val="auto"/>
          <w:sz w:val="24"/>
          <w:szCs w:val="24"/>
          <w:highlight w:val="none"/>
          <w:u w:val="single"/>
        </w:rPr>
        <w:t>工程施工总承包</w:t>
      </w:r>
      <w:r>
        <w:rPr>
          <w:rFonts w:hint="eastAsia" w:ascii="宋体" w:hAnsi="宋体" w:eastAsia="宋体" w:cs="宋体"/>
          <w:b/>
          <w:bCs/>
          <w:color w:val="auto"/>
          <w:sz w:val="24"/>
          <w:szCs w:val="24"/>
          <w:highlight w:val="none"/>
          <w:u w:val="single"/>
          <w:lang w:eastAsia="zh-CN"/>
        </w:rPr>
        <w:t>三</w:t>
      </w:r>
      <w:r>
        <w:rPr>
          <w:rFonts w:hint="eastAsia" w:ascii="宋体" w:hAnsi="宋体" w:eastAsia="宋体"/>
          <w:color w:val="auto"/>
          <w:sz w:val="24"/>
          <w:szCs w:val="24"/>
          <w:highlight w:val="none"/>
        </w:rPr>
        <w:t>级或以上级别施工总承包资质。</w:t>
      </w:r>
    </w:p>
    <w:p w14:paraId="141976AF">
      <w:pPr>
        <w:pStyle w:val="2"/>
        <w:tabs>
          <w:tab w:val="left" w:pos="4500"/>
          <w:tab w:val="left" w:pos="6415"/>
        </w:tabs>
        <w:kinsoku w:val="0"/>
        <w:overflowPunct w:val="0"/>
        <w:autoSpaceDE w:val="0"/>
        <w:autoSpaceDN w:val="0"/>
        <w:spacing w:line="360" w:lineRule="auto"/>
        <w:ind w:right="214" w:firstLine="436" w:firstLineChars="200"/>
        <w:rPr>
          <w:rFonts w:hint="eastAsia" w:ascii="宋体" w:hAnsi="宋体"/>
          <w:color w:val="auto"/>
          <w:spacing w:val="-11"/>
          <w:sz w:val="24"/>
          <w:szCs w:val="24"/>
          <w:highlight w:val="none"/>
          <w:u w:val="single"/>
        </w:rPr>
      </w:pPr>
      <w:r>
        <w:rPr>
          <w:rFonts w:hint="eastAsia" w:ascii="宋体" w:hAnsi="宋体"/>
          <w:color w:val="auto"/>
          <w:spacing w:val="-11"/>
          <w:sz w:val="24"/>
          <w:szCs w:val="24"/>
          <w:highlight w:val="none"/>
          <w:u w:val="single"/>
        </w:rPr>
        <w:t>对应所设置资质要求的规模指标：</w:t>
      </w:r>
      <w:r>
        <w:rPr>
          <w:rFonts w:hint="eastAsia" w:ascii="宋体" w:hAnsi="宋体" w:eastAsia="宋体" w:cs="Times New Roman"/>
          <w:color w:val="auto"/>
          <w:spacing w:val="-11"/>
          <w:sz w:val="24"/>
          <w:szCs w:val="24"/>
          <w:highlight w:val="none"/>
          <w:u w:val="single"/>
          <w:lang w:val="en-US" w:eastAsia="zh-CN" w:bidi="ar-SA"/>
        </w:rPr>
        <w:t>单项合同额2500万元以下的市政综合工程</w:t>
      </w:r>
      <w:r>
        <w:rPr>
          <w:rFonts w:hint="eastAsia" w:ascii="宋体" w:hAnsi="宋体"/>
          <w:color w:val="auto"/>
          <w:spacing w:val="-11"/>
          <w:sz w:val="24"/>
          <w:szCs w:val="24"/>
          <w:highlight w:val="none"/>
        </w:rPr>
        <w:t>。</w:t>
      </w:r>
    </w:p>
    <w:p w14:paraId="63A4A0B7">
      <w:pPr>
        <w:pStyle w:val="22"/>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kern w:val="2"/>
          <w:sz w:val="24"/>
          <w:szCs w:val="24"/>
          <w:highlight w:val="none"/>
        </w:rPr>
        <w:t>《住房和城乡建设部关于印发建设工程企业资质管理制度改革方案的通知》（建市〔2020〕94号）</w:t>
      </w:r>
      <w:r>
        <w:rPr>
          <w:rFonts w:hint="eastAsia" w:ascii="楷体" w:hAnsi="楷体" w:eastAsia="楷体" w:cs="楷体"/>
          <w:color w:val="auto"/>
          <w:sz w:val="24"/>
          <w:szCs w:val="24"/>
          <w:highlight w:val="none"/>
        </w:rPr>
        <w:t>)的要求设置。招标内容含有设计要求，且设计要求仅为深化设计的，在投标人的资质设置要求中，不允许设置设计资质。</w:t>
      </w:r>
    </w:p>
    <w:p w14:paraId="606C2CF1">
      <w:pPr>
        <w:pStyle w:val="22"/>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kern w:val="2"/>
          <w:sz w:val="24"/>
          <w:szCs w:val="24"/>
          <w:highlight w:val="none"/>
        </w:rPr>
        <w:t>广东省住房和城乡建设厅关于做好有关建设工程企业资质证书换领工作的通知（粤建许函〔2024〕124号）</w:t>
      </w:r>
      <w:r>
        <w:rPr>
          <w:rFonts w:hint="eastAsia" w:ascii="楷体" w:hAnsi="楷体" w:eastAsia="楷体" w:cs="楷体"/>
          <w:color w:val="auto"/>
          <w:sz w:val="24"/>
          <w:szCs w:val="24"/>
          <w:highlight w:val="none"/>
        </w:rPr>
        <w:t>等相关规定。根据上述文件的要求，投标人需办理企业资质有效期延续的，应当按照相关规定及时办理。</w:t>
      </w:r>
    </w:p>
    <w:p w14:paraId="30DDB607">
      <w:pPr>
        <w:pStyle w:val="22"/>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1C120CE">
      <w:pPr>
        <w:pStyle w:val="22"/>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8523AF4">
      <w:pPr>
        <w:pStyle w:val="22"/>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ABAE7D7">
      <w:pPr>
        <w:pStyle w:val="22"/>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.投标人拟担任本工程项目负责人的人员为：</w:t>
      </w:r>
      <w:r>
        <w:rPr>
          <w:rFonts w:hint="eastAsia" w:ascii="宋体" w:hAnsi="宋体" w:eastAsia="宋体"/>
          <w:b/>
          <w:bCs/>
          <w:color w:val="auto"/>
          <w:sz w:val="24"/>
          <w:szCs w:val="24"/>
          <w:highlight w:val="none"/>
          <w:u w:val="single"/>
        </w:rPr>
        <w:t>市政公用工程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b/>
          <w:bCs/>
          <w:color w:val="auto"/>
          <w:sz w:val="24"/>
          <w:szCs w:val="24"/>
          <w:highlight w:val="none"/>
          <w:u w:val="single"/>
        </w:rPr>
        <w:t>二</w:t>
      </w:r>
      <w:r>
        <w:rPr>
          <w:rFonts w:hint="eastAsia" w:ascii="宋体" w:hAnsi="宋体" w:eastAsia="宋体"/>
          <w:b/>
          <w:bCs/>
          <w:color w:val="auto"/>
          <w:sz w:val="24"/>
          <w:szCs w:val="24"/>
          <w:highlight w:val="none"/>
          <w:u w:val="single"/>
          <w:lang w:val="en-US" w:eastAsia="zh-CN"/>
        </w:rPr>
        <w:t xml:space="preserve">  </w:t>
      </w:r>
      <w:r>
        <w:rPr>
          <w:rFonts w:hint="eastAsia" w:ascii="宋体" w:hAnsi="宋体" w:eastAsia="宋体"/>
          <w:color w:val="auto"/>
          <w:sz w:val="24"/>
          <w:szCs w:val="24"/>
          <w:highlight w:val="none"/>
        </w:rPr>
        <w:t>级或以上级别的注册建造师，</w:t>
      </w:r>
      <w:r>
        <w:rPr>
          <w:rFonts w:hint="eastAsia" w:ascii="宋体" w:hAnsi="宋体" w:eastAsia="宋体" w:cs="宋体"/>
          <w:color w:val="auto"/>
          <w:sz w:val="24"/>
          <w:szCs w:val="24"/>
          <w:highlight w:val="none"/>
        </w:rPr>
        <w:t>且必须为企业在岗人员，注册执业单位须与投标人登记时一致</w:t>
      </w:r>
      <w:r>
        <w:rPr>
          <w:rFonts w:hint="eastAsia" w:ascii="宋体" w:hAnsi="宋体" w:eastAsia="宋体"/>
          <w:color w:val="auto"/>
          <w:sz w:val="24"/>
          <w:szCs w:val="24"/>
          <w:highlight w:val="none"/>
        </w:rPr>
        <w:t>；</w:t>
      </w:r>
      <w:r>
        <w:rPr>
          <w:rFonts w:ascii="宋体" w:hAnsi="宋体" w:eastAsia="宋体"/>
          <w:color w:val="auto"/>
          <w:sz w:val="24"/>
          <w:szCs w:val="24"/>
          <w:highlight w:val="none"/>
        </w:rPr>
        <w:t>项目负责人</w:t>
      </w:r>
      <w:r>
        <w:rPr>
          <w:rFonts w:hint="eastAsia" w:ascii="宋体" w:hAnsi="宋体" w:eastAsia="宋体"/>
          <w:color w:val="auto"/>
          <w:sz w:val="24"/>
          <w:szCs w:val="24"/>
          <w:highlight w:val="none"/>
        </w:rPr>
        <w:t>需</w:t>
      </w:r>
      <w:r>
        <w:rPr>
          <w:rFonts w:ascii="宋体" w:hAnsi="宋体" w:eastAsia="宋体"/>
          <w:color w:val="auto"/>
          <w:sz w:val="24"/>
          <w:szCs w:val="24"/>
          <w:highlight w:val="none"/>
        </w:rPr>
        <w:t>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p>
    <w:p w14:paraId="3D12C903">
      <w:pPr>
        <w:spacing w:line="360" w:lineRule="auto"/>
        <w:ind w:firstLine="537" w:firstLineChars="224"/>
        <w:rPr>
          <w:rFonts w:ascii="宋体"/>
          <w:color w:val="auto"/>
          <w:kern w:val="0"/>
          <w:sz w:val="24"/>
          <w:highlight w:val="none"/>
        </w:rPr>
      </w:pPr>
      <w:r>
        <w:rPr>
          <w:rFonts w:hint="eastAsia" w:ascii="宋体" w:hAnsi="宋体"/>
          <w:color w:val="auto"/>
          <w:kern w:val="0"/>
          <w:sz w:val="24"/>
          <w:highlight w:val="none"/>
        </w:rPr>
        <w:t>6.拟配备的专职安全员不少于</w:t>
      </w:r>
      <w:r>
        <w:rPr>
          <w:rFonts w:hint="eastAsia" w:ascii="宋体" w:hAnsi="宋体"/>
          <w:color w:val="auto"/>
          <w:sz w:val="24"/>
          <w:highlight w:val="none"/>
          <w:u w:val="single"/>
        </w:rPr>
        <w:t xml:space="preserve">  1  人，</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或建筑施工企业专职安全生产管理人员安全生产考核合格证书（C3）。</w:t>
      </w:r>
    </w:p>
    <w:p w14:paraId="582F5145">
      <w:pPr>
        <w:spacing w:line="360" w:lineRule="auto"/>
        <w:ind w:firstLine="537" w:firstLineChars="224"/>
        <w:rPr>
          <w:rFonts w:hint="eastAsia" w:ascii="楷体" w:hAnsi="楷体" w:eastAsia="楷体" w:cs="楷体"/>
          <w:color w:val="auto"/>
          <w:sz w:val="24"/>
          <w:highlight w:val="none"/>
        </w:rPr>
      </w:pPr>
      <w:r>
        <w:rPr>
          <w:rFonts w:hint="eastAsia" w:ascii="楷体" w:hAnsi="楷体" w:eastAsia="楷体" w:cs="楷体"/>
          <w:color w:val="auto"/>
          <w:sz w:val="24"/>
          <w:highlight w:val="none"/>
        </w:rPr>
        <w:t>注：需配备专职安全员数量根据《建筑施工企业安全生产管理机构设置及专职安全生产管理人员配备办法》第十三条和招标项目实际执行。</w:t>
      </w:r>
    </w:p>
    <w:p w14:paraId="174732E3">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7.投标人拟担任本工程技术负责人的资格要求为：市政工程相关专业</w:t>
      </w:r>
      <w:r>
        <w:rPr>
          <w:rFonts w:hint="eastAsia" w:ascii="宋体" w:hAnsi="宋体"/>
          <w:color w:val="auto"/>
          <w:sz w:val="24"/>
          <w:highlight w:val="none"/>
          <w:lang w:val="en-US" w:eastAsia="zh-CN"/>
        </w:rPr>
        <w:t>中</w:t>
      </w:r>
      <w:r>
        <w:rPr>
          <w:rFonts w:hint="eastAsia" w:ascii="宋体" w:hAnsi="宋体"/>
          <w:color w:val="auto"/>
          <w:sz w:val="24"/>
          <w:highlight w:val="none"/>
        </w:rPr>
        <w:t>级或以上职称。</w:t>
      </w:r>
    </w:p>
    <w:p w14:paraId="09AA30B3">
      <w:pPr>
        <w:spacing w:line="360" w:lineRule="auto"/>
        <w:ind w:firstLine="537" w:firstLineChars="224"/>
        <w:rPr>
          <w:rFonts w:ascii="宋体"/>
          <w:color w:val="auto"/>
          <w:sz w:val="24"/>
          <w:highlight w:val="none"/>
        </w:rPr>
      </w:pPr>
      <w:r>
        <w:rPr>
          <w:rFonts w:hint="eastAsia" w:ascii="宋体" w:hAnsi="宋体"/>
          <w:color w:val="auto"/>
          <w:sz w:val="24"/>
          <w:highlight w:val="none"/>
        </w:rPr>
        <w:t>8.投标人已按照附件一的内容签署盖章的《投标人声明》。</w:t>
      </w:r>
    </w:p>
    <w:p w14:paraId="46AD73A9">
      <w:pPr>
        <w:spacing w:line="360" w:lineRule="auto"/>
        <w:ind w:firstLine="537" w:firstLineChars="224"/>
        <w:rPr>
          <w:rFonts w:ascii="宋体"/>
          <w:color w:val="auto"/>
          <w:sz w:val="24"/>
          <w:highlight w:val="none"/>
        </w:rPr>
      </w:pPr>
      <w:r>
        <w:rPr>
          <w:rFonts w:hint="eastAsia" w:ascii="宋体" w:hAnsi="宋体"/>
          <w:color w:val="auto"/>
          <w:sz w:val="24"/>
          <w:szCs w:val="24"/>
          <w:highlight w:val="none"/>
        </w:rPr>
        <w:t>9.关于联合体投标：</w:t>
      </w:r>
    </w:p>
    <w:p w14:paraId="00F9468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szCs w:val="24"/>
          <w:highlight w:val="none"/>
        </w:rPr>
        <w:t>本次招标</w:t>
      </w:r>
      <w:r>
        <w:rPr>
          <w:rFonts w:hint="eastAsia" w:ascii="宋体" w:hAnsi="宋体"/>
          <w:color w:val="auto"/>
          <w:sz w:val="24"/>
          <w:szCs w:val="24"/>
          <w:highlight w:val="none"/>
          <w:u w:val="single"/>
        </w:rPr>
        <w:t>不接受</w:t>
      </w:r>
      <w:r>
        <w:rPr>
          <w:rFonts w:hint="eastAsia" w:ascii="宋体" w:hAnsi="宋体"/>
          <w:color w:val="auto"/>
          <w:sz w:val="24"/>
          <w:szCs w:val="24"/>
          <w:highlight w:val="none"/>
        </w:rPr>
        <w:t>联合体投标。</w:t>
      </w:r>
    </w:p>
    <w:p w14:paraId="72AEAEEE">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10.</w:t>
      </w:r>
      <w:r>
        <w:rPr>
          <w:rFonts w:hint="eastAsia" w:ascii="宋体" w:hAnsi="宋体"/>
          <w:b/>
          <w:bCs/>
          <w:color w:val="auto"/>
          <w:sz w:val="24"/>
          <w:highlight w:val="none"/>
        </w:rPr>
        <w:t>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企业信息取自投标截止时间投标人在企业信息库内的信息，投标人无需提交相关资料，若招标人延长递交投标文件截止时间，企业信息的评审时点也相应延长)。</w:t>
      </w:r>
    </w:p>
    <w:p w14:paraId="601930F0">
      <w:pPr>
        <w:spacing w:line="360" w:lineRule="auto"/>
        <w:ind w:firstLine="537" w:firstLineChars="224"/>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color w:val="auto"/>
          <w:sz w:val="24"/>
          <w:szCs w:val="24"/>
          <w:highlight w:val="none"/>
          <w:u w:val="single"/>
        </w:rPr>
        <w:t>相关投标均无效</w:t>
      </w:r>
      <w:r>
        <w:rPr>
          <w:rFonts w:hint="eastAsia" w:ascii="宋体" w:hAnsi="宋体"/>
          <w:color w:val="auto"/>
          <w:sz w:val="24"/>
          <w:szCs w:val="24"/>
          <w:highlight w:val="none"/>
          <w:u w:val="single"/>
        </w:rPr>
        <w:t xml:space="preserve"> </w:t>
      </w:r>
      <w:r>
        <w:rPr>
          <w:rFonts w:hint="eastAsia" w:ascii="宋体" w:hAnsi="宋体"/>
          <w:color w:val="auto"/>
          <w:sz w:val="24"/>
          <w:highlight w:val="none"/>
        </w:rPr>
        <w:t>。</w:t>
      </w:r>
    </w:p>
    <w:p w14:paraId="7ED63030">
      <w:pPr>
        <w:spacing w:line="360" w:lineRule="auto"/>
        <w:ind w:firstLine="537" w:firstLineChars="224"/>
        <w:rPr>
          <w:rFonts w:hint="eastAsia" w:ascii="宋体" w:hAnsi="宋体"/>
          <w:color w:val="auto"/>
          <w:sz w:val="24"/>
          <w:szCs w:val="24"/>
          <w:highlight w:val="none"/>
        </w:rPr>
      </w:pPr>
      <w:r>
        <w:rPr>
          <w:rFonts w:hint="eastAsia" w:ascii="宋体" w:hAnsi="宋体"/>
          <w:color w:val="auto"/>
          <w:sz w:val="24"/>
          <w:highlight w:val="none"/>
        </w:rPr>
        <w:t>12.</w:t>
      </w:r>
      <w:r>
        <w:rPr>
          <w:rFonts w:hint="eastAsia" w:ascii="宋体" w:hAnsi="宋体" w:cs="宋体"/>
          <w:color w:val="auto"/>
          <w:sz w:val="24"/>
          <w:szCs w:val="24"/>
          <w:highlight w:val="none"/>
        </w:rPr>
        <w:t>在投标截止时间前</w:t>
      </w:r>
      <w:r>
        <w:rPr>
          <w:rFonts w:hint="eastAsia" w:ascii="宋体" w:hAnsi="宋体"/>
          <w:color w:val="auto"/>
          <w:sz w:val="24"/>
          <w:highlight w:val="none"/>
        </w:rPr>
        <w:t>，未被列入拖欠农民工工资失信联合惩戒对象名单</w:t>
      </w:r>
      <w:r>
        <w:rPr>
          <w:rFonts w:hint="eastAsia" w:ascii="宋体" w:hAnsi="宋体"/>
          <w:color w:val="auto"/>
          <w:sz w:val="24"/>
          <w:szCs w:val="24"/>
          <w:highlight w:val="none"/>
        </w:rPr>
        <w:t>。</w:t>
      </w:r>
      <w:r>
        <w:rPr>
          <w:rFonts w:hint="eastAsia" w:ascii="宋体" w:hAnsi="宋体" w:cs="宋体"/>
          <w:color w:val="auto"/>
          <w:sz w:val="24"/>
          <w:highlight w:val="none"/>
          <w:u w:val="single"/>
        </w:rPr>
        <w:t>注：本项评审投标人无需提供资料，按投标截止时间广州交易集团有限公司（广州公共资源交易中心）交易系统比对的结果进行评审</w:t>
      </w:r>
      <w:r>
        <w:rPr>
          <w:rFonts w:hint="eastAsia" w:ascii="宋体" w:hAnsi="宋体" w:cs="宋体"/>
          <w:color w:val="auto"/>
          <w:sz w:val="24"/>
          <w:szCs w:val="24"/>
          <w:highlight w:val="none"/>
          <w:u w:val="single"/>
        </w:rPr>
        <w:t>。</w:t>
      </w:r>
    </w:p>
    <w:p w14:paraId="522E9BF4">
      <w:pPr>
        <w:spacing w:line="360" w:lineRule="auto"/>
        <w:ind w:firstLine="488" w:firstLineChars="224"/>
        <w:rPr>
          <w:rFonts w:hint="eastAsia" w:ascii="宋体" w:hAnsi="宋体"/>
          <w:color w:val="auto"/>
          <w:spacing w:val="-11"/>
          <w:sz w:val="24"/>
          <w:highlight w:val="none"/>
        </w:rPr>
      </w:pPr>
      <w:r>
        <w:rPr>
          <w:rFonts w:hint="eastAsia" w:ascii="宋体" w:hAnsi="宋体"/>
          <w:color w:val="auto"/>
          <w:spacing w:val="-11"/>
          <w:sz w:val="24"/>
          <w:highlight w:val="none"/>
        </w:rPr>
        <w:t>13.政府投资项目，在投标截止时间前，</w:t>
      </w:r>
      <w:r>
        <w:rPr>
          <w:rFonts w:ascii="宋体" w:hAnsi="宋体"/>
          <w:color w:val="auto"/>
          <w:spacing w:val="-11"/>
          <w:sz w:val="24"/>
          <w:highlight w:val="none"/>
        </w:rPr>
        <w:t>投标人未被列入“</w:t>
      </w:r>
      <w:r>
        <w:rPr>
          <w:rFonts w:hint="eastAsia" w:ascii="宋体" w:hAnsi="宋体"/>
          <w:color w:val="auto"/>
          <w:spacing w:val="-11"/>
          <w:sz w:val="24"/>
          <w:highlight w:val="none"/>
        </w:rPr>
        <w:t>失信被执行人</w:t>
      </w:r>
      <w:r>
        <w:rPr>
          <w:rFonts w:ascii="宋体" w:hAnsi="宋体"/>
          <w:color w:val="auto"/>
          <w:spacing w:val="-11"/>
          <w:sz w:val="24"/>
          <w:highlight w:val="none"/>
        </w:rPr>
        <w:t>”</w:t>
      </w:r>
      <w:r>
        <w:rPr>
          <w:rFonts w:hint="eastAsia" w:ascii="宋体" w:hAnsi="宋体"/>
          <w:color w:val="auto"/>
          <w:spacing w:val="-11"/>
          <w:sz w:val="24"/>
          <w:highlight w:val="none"/>
        </w:rPr>
        <w:t>名单。</w:t>
      </w:r>
    </w:p>
    <w:p w14:paraId="44598AA5">
      <w:pPr>
        <w:pStyle w:val="4"/>
        <w:spacing w:before="0" w:after="0" w:line="360" w:lineRule="auto"/>
        <w:ind w:left="0"/>
        <w:jc w:val="left"/>
        <w:rPr>
          <w:b w:val="0"/>
          <w:bCs/>
          <w:color w:val="auto"/>
          <w:highlight w:val="none"/>
        </w:rPr>
      </w:pPr>
      <w:r>
        <w:rPr>
          <w:rFonts w:hint="eastAsia"/>
          <w:b w:val="0"/>
          <w:bCs/>
          <w:color w:val="auto"/>
          <w:highlight w:val="none"/>
        </w:rPr>
        <w:t>注：本项评审投标人无需提供资料，按投标截止时间广州交易集团有限公司（广州公共资源交易中心）交易系统比对的结果进行评审。</w:t>
      </w:r>
    </w:p>
    <w:p w14:paraId="065A93CA">
      <w:pPr>
        <w:pStyle w:val="14"/>
        <w:tabs>
          <w:tab w:val="left" w:pos="7380"/>
        </w:tabs>
        <w:spacing w:after="0" w:line="36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46634CA4">
      <w:pPr>
        <w:snapToGrid w:val="0"/>
        <w:spacing w:line="360" w:lineRule="auto"/>
        <w:ind w:firstLine="482" w:firstLineChars="200"/>
        <w:rPr>
          <w:rFonts w:ascii="宋体" w:cs="宋体"/>
          <w:color w:val="auto"/>
          <w:sz w:val="24"/>
          <w:szCs w:val="24"/>
          <w:highlight w:val="none"/>
        </w:rPr>
      </w:pPr>
      <w:bookmarkStart w:id="13" w:name="_Toc7553"/>
      <w:r>
        <w:rPr>
          <w:rStyle w:val="21"/>
          <w:rFonts w:hint="eastAsia"/>
          <w:color w:val="auto"/>
          <w:highlight w:val="none"/>
        </w:rPr>
        <w:t>十、资格审查方式</w:t>
      </w:r>
      <w:bookmarkEnd w:id="13"/>
      <w:r>
        <w:rPr>
          <w:rFonts w:hint="eastAsia" w:ascii="宋体" w:hAnsi="宋体" w:cs="宋体"/>
          <w:color w:val="auto"/>
          <w:sz w:val="24"/>
          <w:szCs w:val="24"/>
          <w:highlight w:val="none"/>
        </w:rPr>
        <w:t>：</w:t>
      </w:r>
    </w:p>
    <w:p w14:paraId="014E41E9">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6E4C4728">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    十一、资格审查结果将在</w:t>
      </w:r>
      <w:r>
        <w:rPr>
          <w:rFonts w:hint="eastAsia" w:ascii="宋体" w:hAnsi="宋体"/>
          <w:bCs/>
          <w:color w:val="auto"/>
          <w:sz w:val="24"/>
          <w:highlight w:val="none"/>
        </w:rPr>
        <w:t>广州交易集团有限公司（</w:t>
      </w:r>
      <w:r>
        <w:rPr>
          <w:color w:val="auto"/>
          <w:sz w:val="24"/>
          <w:szCs w:val="24"/>
          <w:highlight w:val="none"/>
          <w:u w:val="single"/>
        </w:rPr>
        <w:t>广州公共资源交易中心</w:t>
      </w:r>
      <w:r>
        <w:rPr>
          <w:rFonts w:hint="eastAsia"/>
          <w:color w:val="auto"/>
          <w:sz w:val="24"/>
          <w:szCs w:val="24"/>
          <w:highlight w:val="none"/>
          <w:u w:val="single"/>
        </w:rPr>
        <w:t>）</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0656378C">
      <w:pPr>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rPr>
        <w:t>十二、递交投标文件的投标人不足3名，或满足资格审查合格条件的投标人不足 3 名，或通过有效性审查的投标人不足3名时为招标失败。</w:t>
      </w:r>
    </w:p>
    <w:p w14:paraId="60362AC1">
      <w:pPr>
        <w:spacing w:line="36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51C526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w:t>
      </w:r>
    </w:p>
    <w:p w14:paraId="44A793C6">
      <w:pPr>
        <w:spacing w:line="360" w:lineRule="auto"/>
        <w:ind w:left="239" w:leftChars="114" w:firstLine="297" w:firstLineChars="124"/>
        <w:rPr>
          <w:rFonts w:hint="eastAsia"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461D81C1">
      <w:pPr>
        <w:spacing w:line="360" w:lineRule="auto"/>
        <w:ind w:left="239" w:leftChars="114" w:firstLine="297" w:firstLineChars="124"/>
        <w:rPr>
          <w:rFonts w:hint="eastAsia" w:ascii="宋体" w:hAnsi="宋体"/>
          <w:color w:val="auto"/>
          <w:sz w:val="24"/>
          <w:highlight w:val="none"/>
          <w:u w:val="single"/>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广州市天河区市政设施管理中心</w:t>
      </w:r>
    </w:p>
    <w:p w14:paraId="6A0A760F">
      <w:pPr>
        <w:spacing w:line="360" w:lineRule="auto"/>
        <w:ind w:left="239" w:leftChars="114" w:firstLine="297" w:firstLineChars="124"/>
        <w:rPr>
          <w:rFonts w:hint="eastAsia" w:ascii="宋体" w:hAnsi="宋体"/>
          <w:color w:val="auto"/>
          <w:sz w:val="24"/>
          <w:highlight w:val="none"/>
        </w:rPr>
      </w:pPr>
      <w:r>
        <w:rPr>
          <w:rFonts w:hint="eastAsia" w:ascii="宋体" w:hAnsi="宋体"/>
          <w:color w:val="auto"/>
          <w:sz w:val="24"/>
          <w:highlight w:val="none"/>
        </w:rPr>
        <w:t>异议受理电话：</w:t>
      </w:r>
      <w:r>
        <w:rPr>
          <w:rFonts w:hint="eastAsia" w:ascii="宋体" w:hAnsi="宋体"/>
          <w:color w:val="auto"/>
          <w:sz w:val="24"/>
          <w:highlight w:val="none"/>
          <w:u w:val="single"/>
          <w:lang w:val="en-US" w:eastAsia="zh-CN"/>
        </w:rPr>
        <w:t>020-85610185</w:t>
      </w:r>
    </w:p>
    <w:p w14:paraId="7572A905">
      <w:pPr>
        <w:spacing w:line="360" w:lineRule="auto"/>
        <w:ind w:left="239" w:leftChars="114" w:firstLine="297" w:firstLineChars="124"/>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s="宋体"/>
          <w:color w:val="auto"/>
          <w:sz w:val="24"/>
          <w:szCs w:val="21"/>
          <w:highlight w:val="none"/>
          <w:u w:val="single"/>
          <w:lang w:eastAsia="zh-CN"/>
        </w:rPr>
        <w:t>广州市天河区黄埔大道中166号</w:t>
      </w:r>
      <w:r>
        <w:rPr>
          <w:rFonts w:hint="eastAsia" w:ascii="宋体" w:hAnsi="宋体"/>
          <w:color w:val="auto"/>
          <w:sz w:val="24"/>
          <w:highlight w:val="none"/>
          <w:u w:val="single"/>
        </w:rPr>
        <w:t xml:space="preserve"> </w:t>
      </w:r>
    </w:p>
    <w:p w14:paraId="74FD3243">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注：潜在投标人或利害关系人对本招标公告及招标文件有异议的，应当在招标投标相关法律法规规定的时间内（投标截止时间10日前）通过电子交易系统向招标人提出异议，具体按照电子招标投标交易平台相关指南进行操作。尚未登记注册的，可以书面形式向招标人提出。招标人应当在规定的异议答复期限内作出答复；作出答复前，应当暂停招标投标活动。招标人依法作出答复、发布招标文件澄清或者修改文件的，应当通过电子交易系统进行。作出答复前，应当暂停招标投标活动。</w:t>
      </w:r>
    </w:p>
    <w:p w14:paraId="5ACA60B7">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十六、本公告在广州交易集团有限公司（广州公共资源交易中心）（网址：http://www.gzggzy.cn）、广东省招标投标监管网（网址：https://zbtb.gd.gov.cn/）和中国招标投标公共服务平台（网址：http://www.cebpubservice.com/）发布。招标公告、公示信息的发布时间和内容，以在广东省招标投标监管网发布的为准。</w:t>
      </w:r>
    </w:p>
    <w:p w14:paraId="2AED40F2">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十七、招标公告网上发布时，同时发布招标文件、施工图纸、最高投标限价。本工程根据国家和省有关计价规范设置最高投标限价。招标公告发布之日起计算编制投标文件时间，编制投标文件的时间不得少于20天。招标人如需发布补充公告的，以最后发布的补充公告时间起计算编制投标文件时间。招标人应综合考虑节假日因素，合理确定投标人编制投标文件所需要的时间，如遇春节、五一、十一等长假，建议招标人结合项目特点和实际需要适当延长备标期。</w:t>
      </w:r>
    </w:p>
    <w:p w14:paraId="4FC8ECD4">
      <w:pPr>
        <w:spacing w:line="360" w:lineRule="auto"/>
        <w:ind w:firstLine="537" w:firstLineChars="224"/>
        <w:rPr>
          <w:rFonts w:ascii="宋体"/>
          <w:color w:val="auto"/>
          <w:sz w:val="24"/>
          <w:highlight w:val="none"/>
        </w:rPr>
      </w:pPr>
      <w:r>
        <w:rPr>
          <w:rFonts w:hint="eastAsia" w:ascii="宋体"/>
          <w:color w:val="auto"/>
          <w:sz w:val="24"/>
          <w:highlight w:val="none"/>
        </w:rPr>
        <w:t>十八、《投诉处理决定书》和《行政处理决定书》在</w:t>
      </w:r>
      <w:r>
        <w:rPr>
          <w:rFonts w:hint="eastAsia" w:ascii="宋体" w:hAnsi="宋体"/>
          <w:color w:val="auto"/>
          <w:sz w:val="24"/>
          <w:highlight w:val="none"/>
        </w:rPr>
        <w:t>广州市交通运输局</w:t>
      </w:r>
      <w:r>
        <w:rPr>
          <w:rFonts w:hint="eastAsia" w:ascii="宋体"/>
          <w:color w:val="auto"/>
          <w:sz w:val="24"/>
          <w:highlight w:val="none"/>
        </w:rPr>
        <w:t>网站网站上公布的，视为送达其他与决定书有关的当事人。</w:t>
      </w:r>
    </w:p>
    <w:p w14:paraId="464AE7D3">
      <w:pPr>
        <w:spacing w:line="360" w:lineRule="auto"/>
        <w:ind w:firstLine="537" w:firstLineChars="224"/>
        <w:rPr>
          <w:rFonts w:ascii="宋体"/>
          <w:color w:val="auto"/>
          <w:sz w:val="24"/>
          <w:highlight w:val="none"/>
        </w:rPr>
      </w:pPr>
      <w:r>
        <w:rPr>
          <w:rFonts w:hint="eastAsia" w:ascii="宋体"/>
          <w:color w:val="auto"/>
          <w:sz w:val="24"/>
          <w:highlight w:val="none"/>
        </w:rPr>
        <w:t>十九、投标人在本项目招标人的工程项目中存在下列行为的，将被拒绝一定时期内参与招标人后续工程投标。（注：拒绝投标时限由招标人视严重程度确定，最低三个月起，自招标人发出通知之日起计）</w:t>
      </w:r>
    </w:p>
    <w:p w14:paraId="2C929F6A">
      <w:pPr>
        <w:spacing w:line="360" w:lineRule="auto"/>
        <w:ind w:firstLine="537" w:firstLineChars="224"/>
        <w:rPr>
          <w:rFonts w:ascii="宋体"/>
          <w:color w:val="auto"/>
          <w:sz w:val="24"/>
          <w:highlight w:val="none"/>
        </w:rPr>
      </w:pPr>
      <w:r>
        <w:rPr>
          <w:rFonts w:hint="eastAsia" w:ascii="宋体"/>
          <w:color w:val="auto"/>
          <w:sz w:val="24"/>
          <w:highlight w:val="none"/>
        </w:rPr>
        <w:t>1.将中标工程转包或者违法分包的;</w:t>
      </w:r>
    </w:p>
    <w:p w14:paraId="38CD6ED4">
      <w:pPr>
        <w:spacing w:line="360" w:lineRule="auto"/>
        <w:ind w:firstLine="510" w:firstLineChars="224"/>
        <w:rPr>
          <w:rFonts w:ascii="宋体"/>
          <w:color w:val="auto"/>
          <w:spacing w:val="-6"/>
          <w:sz w:val="24"/>
          <w:highlight w:val="none"/>
        </w:rPr>
      </w:pPr>
      <w:r>
        <w:rPr>
          <w:rFonts w:hint="eastAsia" w:ascii="宋体"/>
          <w:color w:val="auto"/>
          <w:spacing w:val="-6"/>
          <w:sz w:val="24"/>
          <w:highlight w:val="none"/>
        </w:rPr>
        <w:t>2.在中标工程中不执行质量、安全生产相关规定的，造成质量或安全事故的；</w:t>
      </w:r>
    </w:p>
    <w:p w14:paraId="73622C15">
      <w:pPr>
        <w:spacing w:line="360" w:lineRule="auto"/>
        <w:ind w:firstLine="537" w:firstLineChars="224"/>
        <w:rPr>
          <w:rFonts w:ascii="宋体"/>
          <w:color w:val="auto"/>
          <w:sz w:val="24"/>
          <w:highlight w:val="none"/>
        </w:rPr>
      </w:pPr>
      <w:r>
        <w:rPr>
          <w:rFonts w:hint="eastAsia" w:ascii="宋体"/>
          <w:color w:val="auto"/>
          <w:sz w:val="24"/>
          <w:highlight w:val="none"/>
        </w:rPr>
        <w:t>3.出让投标资格的；</w:t>
      </w:r>
    </w:p>
    <w:p w14:paraId="14AD7BD9">
      <w:pPr>
        <w:spacing w:line="360" w:lineRule="auto"/>
        <w:ind w:firstLine="537" w:firstLineChars="224"/>
        <w:rPr>
          <w:rFonts w:ascii="宋体"/>
          <w:color w:val="auto"/>
          <w:sz w:val="24"/>
          <w:highlight w:val="none"/>
        </w:rPr>
      </w:pPr>
      <w:r>
        <w:rPr>
          <w:rFonts w:hint="eastAsia" w:ascii="宋体"/>
          <w:color w:val="auto"/>
          <w:sz w:val="24"/>
          <w:highlight w:val="none"/>
        </w:rPr>
        <w:t>4.存在围标、串标情形的；</w:t>
      </w:r>
    </w:p>
    <w:p w14:paraId="6CF5237B">
      <w:pPr>
        <w:spacing w:line="360" w:lineRule="auto"/>
        <w:ind w:firstLine="537" w:firstLineChars="224"/>
        <w:rPr>
          <w:rFonts w:ascii="宋体"/>
          <w:color w:val="auto"/>
          <w:sz w:val="24"/>
          <w:highlight w:val="none"/>
        </w:rPr>
      </w:pPr>
      <w:r>
        <w:rPr>
          <w:rFonts w:hint="eastAsia" w:ascii="宋体"/>
          <w:color w:val="auto"/>
          <w:sz w:val="24"/>
          <w:highlight w:val="none"/>
        </w:rPr>
        <w:t>5.在投标文件中提供虚假材料的；</w:t>
      </w:r>
    </w:p>
    <w:p w14:paraId="55EC8585">
      <w:pPr>
        <w:spacing w:line="360" w:lineRule="auto"/>
        <w:ind w:firstLine="537" w:firstLineChars="224"/>
        <w:rPr>
          <w:rFonts w:ascii="宋体"/>
          <w:color w:val="auto"/>
          <w:sz w:val="24"/>
          <w:highlight w:val="none"/>
        </w:rPr>
      </w:pPr>
      <w:r>
        <w:rPr>
          <w:rFonts w:hint="eastAsia" w:ascii="宋体"/>
          <w:color w:val="auto"/>
          <w:sz w:val="24"/>
          <w:highlight w:val="none"/>
        </w:rPr>
        <w:t>6.存在少放、不放业绩、奖项等客观评审资料，减少自身竞争力情形的；</w:t>
      </w:r>
    </w:p>
    <w:p w14:paraId="24B53130">
      <w:pPr>
        <w:spacing w:line="360" w:lineRule="auto"/>
        <w:ind w:firstLine="537" w:firstLineChars="224"/>
        <w:rPr>
          <w:rFonts w:ascii="宋体"/>
          <w:color w:val="auto"/>
          <w:sz w:val="24"/>
          <w:highlight w:val="none"/>
        </w:rPr>
      </w:pPr>
      <w:r>
        <w:rPr>
          <w:rFonts w:hint="eastAsia" w:ascii="宋体"/>
          <w:color w:val="auto"/>
          <w:sz w:val="24"/>
          <w:highlight w:val="none"/>
        </w:rPr>
        <w:t>7.存在行贿情形的;</w:t>
      </w:r>
    </w:p>
    <w:p w14:paraId="5FB57893">
      <w:pPr>
        <w:spacing w:line="360" w:lineRule="auto"/>
        <w:ind w:firstLine="537" w:firstLineChars="224"/>
        <w:rPr>
          <w:rFonts w:ascii="宋体"/>
          <w:color w:val="auto"/>
          <w:sz w:val="24"/>
          <w:highlight w:val="none"/>
        </w:rPr>
      </w:pPr>
      <w:r>
        <w:rPr>
          <w:rFonts w:hint="eastAsia" w:ascii="宋体"/>
          <w:color w:val="auto"/>
          <w:sz w:val="24"/>
          <w:highlight w:val="none"/>
        </w:rPr>
        <w:t>8.拖欠农民工工资的；</w:t>
      </w:r>
    </w:p>
    <w:p w14:paraId="6A87197A">
      <w:pPr>
        <w:spacing w:line="360" w:lineRule="auto"/>
        <w:ind w:firstLine="537" w:firstLineChars="224"/>
        <w:rPr>
          <w:rFonts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14:paraId="3E9C26E3">
      <w:pPr>
        <w:spacing w:line="432" w:lineRule="auto"/>
        <w:ind w:firstLine="537" w:firstLineChars="224"/>
        <w:jc w:val="right"/>
        <w:rPr>
          <w:rFonts w:hint="eastAsia" w:ascii="宋体" w:hAnsi="宋体"/>
          <w:color w:val="auto"/>
          <w:sz w:val="24"/>
          <w:highlight w:val="none"/>
        </w:rPr>
      </w:pPr>
      <w:r>
        <w:rPr>
          <w:rFonts w:hint="eastAsia" w:ascii="宋体" w:hAnsi="宋体"/>
          <w:color w:val="auto"/>
          <w:sz w:val="24"/>
          <w:highlight w:val="none"/>
        </w:rPr>
        <w:t>招标人:</w:t>
      </w:r>
      <w:r>
        <w:rPr>
          <w:rFonts w:hint="eastAsia" w:ascii="宋体" w:hAnsi="宋体"/>
          <w:color w:val="auto"/>
          <w:sz w:val="24"/>
          <w:highlight w:val="none"/>
          <w:lang w:eastAsia="zh-CN"/>
        </w:rPr>
        <w:t>广州市天河区市政设施管理中心</w:t>
      </w:r>
    </w:p>
    <w:p w14:paraId="1265582D">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 xml:space="preserve">           招标代理:</w:t>
      </w:r>
      <w:r>
        <w:rPr>
          <w:rFonts w:hint="eastAsia" w:ascii="宋体" w:hAnsi="宋体"/>
          <w:color w:val="auto"/>
          <w:sz w:val="24"/>
          <w:highlight w:val="none"/>
          <w:lang w:eastAsia="zh-CN"/>
        </w:rPr>
        <w:t>广东宏茂建设管理有限公司</w:t>
      </w:r>
    </w:p>
    <w:p w14:paraId="7A48E10F">
      <w:pPr>
        <w:spacing w:line="432" w:lineRule="auto"/>
        <w:jc w:val="center"/>
        <w:rPr>
          <w:rFonts w:ascii="宋体"/>
          <w:color w:val="auto"/>
          <w:sz w:val="24"/>
          <w:highlight w:val="none"/>
        </w:rPr>
      </w:pPr>
      <w:r>
        <w:rPr>
          <w:rFonts w:hint="eastAsia" w:ascii="宋体" w:hAnsi="宋体"/>
          <w:color w:val="auto"/>
          <w:sz w:val="24"/>
          <w:highlight w:val="none"/>
        </w:rPr>
        <w:t xml:space="preserve">                                         2025年</w:t>
      </w:r>
      <w:r>
        <w:rPr>
          <w:rFonts w:hint="eastAsia" w:ascii="宋体" w:hAnsi="宋体"/>
          <w:color w:val="auto"/>
          <w:sz w:val="24"/>
          <w:highlight w:val="none"/>
          <w:lang w:val="en-US" w:eastAsia="zh-CN"/>
        </w:rPr>
        <w:t>7</w:t>
      </w:r>
      <w:r>
        <w:rPr>
          <w:rFonts w:hint="eastAsia" w:ascii="宋体" w:hAnsi="宋体"/>
          <w:color w:val="auto"/>
          <w:sz w:val="24"/>
          <w:highlight w:val="none"/>
        </w:rPr>
        <w:t xml:space="preserve">月  </w:t>
      </w:r>
      <w:r>
        <w:rPr>
          <w:rFonts w:hint="eastAsia" w:ascii="宋体"/>
          <w:color w:val="auto"/>
          <w:sz w:val="24"/>
          <w:highlight w:val="none"/>
        </w:rPr>
        <w:t>日</w:t>
      </w:r>
    </w:p>
    <w:p w14:paraId="78782722">
      <w:pPr>
        <w:rPr>
          <w:rFonts w:ascii="宋体"/>
          <w:color w:val="auto"/>
          <w:sz w:val="24"/>
          <w:highlight w:val="none"/>
        </w:rPr>
      </w:pPr>
      <w:r>
        <w:rPr>
          <w:rFonts w:hint="eastAsia" w:ascii="宋体"/>
          <w:color w:val="auto"/>
          <w:sz w:val="24"/>
          <w:highlight w:val="none"/>
        </w:rPr>
        <w:br w:type="page"/>
      </w:r>
    </w:p>
    <w:p w14:paraId="563A52BD">
      <w:pPr>
        <w:spacing w:line="360" w:lineRule="auto"/>
        <w:rPr>
          <w:b/>
          <w:color w:val="auto"/>
          <w:sz w:val="44"/>
          <w:highlight w:val="none"/>
        </w:rPr>
      </w:pPr>
      <w:r>
        <w:rPr>
          <w:rFonts w:hint="eastAsia" w:ascii="宋体" w:hAnsi="宋体"/>
          <w:color w:val="auto"/>
          <w:sz w:val="24"/>
          <w:highlight w:val="none"/>
        </w:rPr>
        <w:t>附件一：</w:t>
      </w:r>
    </w:p>
    <w:p w14:paraId="71276A97">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0F409783">
      <w:pPr>
        <w:jc w:val="center"/>
        <w:rPr>
          <w:b/>
          <w:color w:val="auto"/>
          <w:sz w:val="44"/>
          <w:szCs w:val="44"/>
          <w:highlight w:val="none"/>
        </w:rPr>
      </w:pPr>
    </w:p>
    <w:p w14:paraId="59E48BFC">
      <w:pPr>
        <w:pStyle w:val="22"/>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u w:val="single"/>
        </w:rPr>
        <w:t>广州市天河区建设工程招标管理办公室、</w:t>
      </w:r>
      <w:r>
        <w:rPr>
          <w:rFonts w:hint="eastAsia" w:ascii="宋体" w:hAnsi="宋体" w:eastAsia="宋体"/>
          <w:color w:val="auto"/>
          <w:sz w:val="24"/>
          <w:szCs w:val="24"/>
          <w:highlight w:val="none"/>
          <w:u w:val="single"/>
          <w:lang w:eastAsia="zh-CN"/>
        </w:rPr>
        <w:t>广州市天河区市政设施管理中心</w:t>
      </w:r>
      <w:r>
        <w:rPr>
          <w:rFonts w:hint="eastAsia" w:ascii="宋体" w:hAnsi="宋体" w:eastAsia="宋体"/>
          <w:color w:val="auto"/>
          <w:sz w:val="24"/>
          <w:szCs w:val="24"/>
          <w:highlight w:val="none"/>
        </w:rPr>
        <w:t>：</w:t>
      </w:r>
    </w:p>
    <w:p w14:paraId="35C0C7BC">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华景小学及周边交通优化提升工程施工总承包</w:t>
      </w:r>
      <w:r>
        <w:rPr>
          <w:rFonts w:hint="eastAsia" w:ascii="宋体" w:hAnsi="宋体" w:eastAsia="宋体"/>
          <w:color w:val="auto"/>
          <w:sz w:val="24"/>
          <w:szCs w:val="24"/>
          <w:highlight w:val="none"/>
        </w:rPr>
        <w:t>投标工作，作出郑重声明：</w:t>
      </w:r>
    </w:p>
    <w:p w14:paraId="5348026A">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一、本公司保证投标文件及其后提供的一切材料都是真实的、完整的、合法的。如我司成为本项目中标候选人，我司同意并授权招标人将我司投标文件商务部分的人员、业绩、奖项等资料进行公开。</w:t>
      </w:r>
    </w:p>
    <w:p w14:paraId="16B6D37F">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0B884A3">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3D496CE6">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0B3B8332">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4FA678BF">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07216ED1">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2CAFBAEC">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7E07A38">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4E5DE58">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5C6B6F49">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6AB6CF7E">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0D7894FD">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5E874675">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20"/>
          <w:rFonts w:hint="eastAsia" w:ascii="宋体" w:hAnsi="宋体" w:eastAsia="宋体"/>
          <w:color w:val="auto"/>
          <w:kern w:val="2"/>
          <w:sz w:val="24"/>
          <w:szCs w:val="24"/>
          <w:highlight w:val="none"/>
        </w:rPr>
        <w:t>或者已过处罚期限的，</w:t>
      </w:r>
      <w:r>
        <w:rPr>
          <w:rFonts w:hint="eastAsia" w:ascii="宋体" w:hAnsi="宋体" w:eastAsia="宋体"/>
          <w:color w:val="auto"/>
          <w:sz w:val="24"/>
          <w:szCs w:val="24"/>
          <w:highlight w:val="none"/>
          <w:lang w:val="zh-CN"/>
        </w:rPr>
        <w:t>不受该项规定限制</w:t>
      </w:r>
      <w:r>
        <w:rPr>
          <w:rFonts w:hint="eastAsia" w:ascii="宋体" w:hAnsi="宋体" w:eastAsia="宋体"/>
          <w:color w:val="auto"/>
          <w:sz w:val="24"/>
          <w:szCs w:val="24"/>
          <w:highlight w:val="none"/>
        </w:rPr>
        <w:t xml:space="preserve">） </w:t>
      </w:r>
    </w:p>
    <w:p w14:paraId="64D0833D">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65C9623D">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41C0DBC4">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64ACD66">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39CC95D0">
      <w:pPr>
        <w:pStyle w:val="22"/>
        <w:numPr>
          <w:ilvl w:val="255"/>
          <w:numId w:val="0"/>
        </w:num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3B910E39">
      <w:pPr>
        <w:pStyle w:val="22"/>
        <w:numPr>
          <w:ilvl w:val="255"/>
          <w:numId w:val="0"/>
        </w:num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D2FB1FD">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962F06B">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0F4F2A61">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1FB67028">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34B797BB">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十、本公司承诺，中标后将按招标人要求，积极响应广州市关于投身“百千万工程”的号召，主动参与建筑业结对帮扶。</w:t>
      </w:r>
    </w:p>
    <w:p w14:paraId="577E0D44">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BABCFCC">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十二、本公司承诺，中标后不委托近两年因伪造检测数据、出具虚假检测报告被各级建设行政主管部门或市场监督管理部门行政处罚或通报的检测单位负责本项目的检测工作。</w:t>
      </w:r>
    </w:p>
    <w:p w14:paraId="1DCDCF0C">
      <w:pPr>
        <w:pStyle w:val="22"/>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w:t>
      </w:r>
      <w:r>
        <w:rPr>
          <w:rFonts w:hint="eastAsia" w:ascii="宋体" w:hAnsi="宋体" w:eastAsia="宋体" w:cs="宋体"/>
          <w:color w:val="auto"/>
          <w:sz w:val="24"/>
          <w:szCs w:val="24"/>
          <w:highlight w:val="none"/>
        </w:rPr>
        <w:t>本公司违反上述承诺，或本声明陈述与事实不符，经查实，本公司愿意接受公开的通报，</w:t>
      </w:r>
      <w:r>
        <w:rPr>
          <w:rFonts w:hint="eastAsia" w:ascii="宋体" w:hAnsi="宋体" w:eastAsia="宋体" w:cs="宋体"/>
          <w:b/>
          <w:bCs/>
          <w:color w:val="auto"/>
          <w:sz w:val="24"/>
          <w:szCs w:val="24"/>
          <w:highlight w:val="none"/>
        </w:rPr>
        <w:t>愿意按照广州市交通运输局有关信用评价管理有关规定，被记录为“不良交易行为信息”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承担由此带来的法律后果</w:t>
      </w:r>
      <w:r>
        <w:rPr>
          <w:rFonts w:hint="eastAsia" w:ascii="宋体" w:hAnsi="宋体" w:eastAsia="宋体"/>
          <w:color w:val="auto"/>
          <w:sz w:val="24"/>
          <w:szCs w:val="24"/>
          <w:highlight w:val="none"/>
        </w:rPr>
        <w:t>。</w:t>
      </w:r>
    </w:p>
    <w:p w14:paraId="50F3AB40">
      <w:pPr>
        <w:pStyle w:val="2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05A72146">
      <w:pPr>
        <w:pStyle w:val="22"/>
        <w:rPr>
          <w:rFonts w:hint="eastAsia" w:ascii="宋体" w:hAnsi="宋体" w:eastAsia="宋体"/>
          <w:color w:val="auto"/>
          <w:sz w:val="24"/>
          <w:szCs w:val="24"/>
          <w:highlight w:val="none"/>
        </w:rPr>
      </w:pPr>
    </w:p>
    <w:p w14:paraId="2908E57D">
      <w:pPr>
        <w:pStyle w:val="23"/>
        <w:ind w:left="629" w:right="1449"/>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声明企业：</w:t>
      </w:r>
    </w:p>
    <w:p w14:paraId="76AE48F9">
      <w:pPr>
        <w:pStyle w:val="22"/>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法定代表人或授权代理人签字：</w:t>
      </w:r>
    </w:p>
    <w:p w14:paraId="35020DBC">
      <w:pPr>
        <w:pStyle w:val="22"/>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78D24B02">
      <w:pPr>
        <w:pStyle w:val="22"/>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14:paraId="3235728E">
      <w:pPr>
        <w:pStyle w:val="22"/>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37A3BB06">
      <w:pPr>
        <w:spacing w:line="360" w:lineRule="auto"/>
        <w:rPr>
          <w:rFonts w:asci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kern w:val="0"/>
          <w:sz w:val="24"/>
          <w:szCs w:val="24"/>
          <w:highlight w:val="none"/>
        </w:rPr>
        <w:t>（企业公章）</w:t>
      </w:r>
    </w:p>
    <w:p w14:paraId="26D3B62E">
      <w:pPr>
        <w:widowControl/>
        <w:snapToGrid w:val="0"/>
        <w:spacing w:line="360" w:lineRule="auto"/>
        <w:ind w:right="102"/>
        <w:jc w:val="left"/>
        <w:rPr>
          <w:rFonts w:hint="eastAsia" w:ascii="宋体" w:hAnsi="宋体"/>
          <w:color w:val="auto"/>
          <w:sz w:val="24"/>
          <w:szCs w:val="24"/>
          <w:highlight w:val="none"/>
        </w:rPr>
      </w:pPr>
      <w:r>
        <w:rPr>
          <w:rFonts w:hint="eastAsia" w:ascii="宋体" w:hAnsi="宋体"/>
          <w:color w:val="auto"/>
          <w:sz w:val="24"/>
          <w:szCs w:val="24"/>
          <w:highlight w:val="none"/>
        </w:rPr>
        <w:t>注：招标人应当要求投标人的法定代表人或授权代理人、项目负责人、技术负责人签字。</w:t>
      </w:r>
    </w:p>
    <w:p w14:paraId="0A66AB2D">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08CD15C4">
      <w:pPr>
        <w:pStyle w:val="22"/>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附件二</w:t>
      </w:r>
    </w:p>
    <w:p w14:paraId="3679D97C">
      <w:pPr>
        <w:pStyle w:val="22"/>
        <w:ind w:firstLine="480" w:firstLineChars="200"/>
        <w:rPr>
          <w:rFonts w:hint="eastAsia" w:ascii="宋体" w:hAnsi="宋体" w:eastAsia="宋体"/>
          <w:color w:val="auto"/>
          <w:sz w:val="24"/>
          <w:szCs w:val="24"/>
          <w:highlight w:val="none"/>
        </w:rPr>
      </w:pPr>
    </w:p>
    <w:p w14:paraId="25A58CAA">
      <w:pPr>
        <w:jc w:val="center"/>
        <w:rPr>
          <w:b/>
          <w:color w:val="auto"/>
          <w:kern w:val="0"/>
          <w:sz w:val="44"/>
          <w:szCs w:val="44"/>
          <w:highlight w:val="none"/>
        </w:rPr>
      </w:pPr>
      <w:r>
        <w:rPr>
          <w:rFonts w:hint="eastAsia"/>
          <w:b/>
          <w:color w:val="auto"/>
          <w:kern w:val="0"/>
          <w:sz w:val="44"/>
          <w:szCs w:val="44"/>
          <w:highlight w:val="none"/>
        </w:rPr>
        <w:t>评标委员会成员声明</w:t>
      </w:r>
    </w:p>
    <w:p w14:paraId="425C20AB">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本项目招标人：</w:t>
      </w:r>
    </w:p>
    <w:p w14:paraId="25A12DC1">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本人就参与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华景小学及周边交通优化提升工程施工总承包</w:t>
      </w:r>
      <w:r>
        <w:rPr>
          <w:rFonts w:hint="eastAsia" w:ascii="宋体" w:hAnsi="宋体" w:eastAsia="宋体"/>
          <w:color w:val="auto"/>
          <w:sz w:val="24"/>
          <w:szCs w:val="24"/>
          <w:highlight w:val="none"/>
        </w:rPr>
        <w:t>项目的评标工作，作出郑重声明：</w:t>
      </w:r>
    </w:p>
    <w:p w14:paraId="43369924">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DE8A1CB">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38BBB68">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E9C54B9">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DE95CF9">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98CC27C">
      <w:pPr>
        <w:pStyle w:val="2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如果本人违反上述声明内容，造成的后果由本人自行承担。</w:t>
      </w:r>
    </w:p>
    <w:p w14:paraId="4DAFBBEA">
      <w:pPr>
        <w:pStyle w:val="22"/>
        <w:ind w:firstLine="480" w:firstLineChars="200"/>
        <w:rPr>
          <w:rFonts w:hint="eastAsia" w:ascii="宋体" w:hAnsi="宋体" w:eastAsia="宋体"/>
          <w:color w:val="auto"/>
          <w:sz w:val="24"/>
          <w:szCs w:val="24"/>
          <w:highlight w:val="none"/>
        </w:rPr>
      </w:pPr>
    </w:p>
    <w:p w14:paraId="14D671B9">
      <w:pPr>
        <w:pStyle w:val="22"/>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声明人：</w:t>
      </w:r>
      <w:r>
        <w:rPr>
          <w:rFonts w:hint="eastAsia" w:ascii="宋体" w:hAnsi="宋体" w:eastAsia="宋体"/>
          <w:color w:val="auto"/>
          <w:sz w:val="24"/>
          <w:szCs w:val="24"/>
          <w:highlight w:val="none"/>
          <w:u w:val="single"/>
        </w:rPr>
        <w:t xml:space="preserve">（签名）  </w:t>
      </w:r>
    </w:p>
    <w:p w14:paraId="0FB899E2">
      <w:pPr>
        <w:pStyle w:val="4"/>
        <w:rPr>
          <w:color w:val="auto"/>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CD2D">
    <w:pPr>
      <w:pStyle w:val="10"/>
      <w:jc w:val="center"/>
    </w:pPr>
    <w:r>
      <w:fldChar w:fldCharType="begin"/>
    </w:r>
    <w:r>
      <w:instrText xml:space="preserve">PAGE   \* MERGEFORMAT</w:instrText>
    </w:r>
    <w:r>
      <w:fldChar w:fldCharType="separate"/>
    </w:r>
    <w:r>
      <w:rPr>
        <w:lang w:val="zh-CN"/>
      </w:rPr>
      <w:t>1</w:t>
    </w:r>
    <w:r>
      <w:fldChar w:fldCharType="end"/>
    </w:r>
  </w:p>
  <w:p w14:paraId="0EE4520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A2C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532C5">
                          <w:pPr>
                            <w:pStyle w:val="10"/>
                            <w:rPr>
                              <w:rStyle w:val="18"/>
                            </w:rPr>
                          </w:pPr>
                          <w:r>
                            <w:rPr>
                              <w:rStyle w:val="18"/>
                            </w:rPr>
                            <w:fldChar w:fldCharType="begin"/>
                          </w:r>
                          <w:r>
                            <w:rPr>
                              <w:rStyle w:val="18"/>
                            </w:rPr>
                            <w:instrText xml:space="preserve">PAGE  </w:instrText>
                          </w:r>
                          <w:r>
                            <w:rPr>
                              <w:rStyle w:val="18"/>
                            </w:rPr>
                            <w:fldChar w:fldCharType="separate"/>
                          </w:r>
                          <w:r>
                            <w:rPr>
                              <w:rStyle w:val="18"/>
                            </w:rPr>
                            <w:t>12</w:t>
                          </w:r>
                          <w:r>
                            <w:rPr>
                              <w:rStyle w:val="18"/>
                            </w:rPr>
                            <w:fldChar w:fldCharType="end"/>
                          </w:r>
                        </w:p>
                        <w:p w14:paraId="00000ED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F7532C5">
                    <w:pPr>
                      <w:pStyle w:val="10"/>
                      <w:rPr>
                        <w:rStyle w:val="18"/>
                      </w:rPr>
                    </w:pPr>
                    <w:r>
                      <w:rPr>
                        <w:rStyle w:val="18"/>
                      </w:rPr>
                      <w:fldChar w:fldCharType="begin"/>
                    </w:r>
                    <w:r>
                      <w:rPr>
                        <w:rStyle w:val="18"/>
                      </w:rPr>
                      <w:instrText xml:space="preserve">PAGE  </w:instrText>
                    </w:r>
                    <w:r>
                      <w:rPr>
                        <w:rStyle w:val="18"/>
                      </w:rPr>
                      <w:fldChar w:fldCharType="separate"/>
                    </w:r>
                    <w:r>
                      <w:rPr>
                        <w:rStyle w:val="18"/>
                      </w:rPr>
                      <w:t>12</w:t>
                    </w:r>
                    <w:r>
                      <w:rPr>
                        <w:rStyle w:val="18"/>
                      </w:rPr>
                      <w:fldChar w:fldCharType="end"/>
                    </w:r>
                  </w:p>
                  <w:p w14:paraId="00000ED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E788">
    <w:pPr>
      <w:pStyle w:val="11"/>
      <w:ind w:left="420"/>
      <w:jc w:val="right"/>
      <w:rPr>
        <w:b/>
        <w:bCs/>
        <w:sz w:val="24"/>
        <w:szCs w:val="24"/>
      </w:rPr>
    </w:pPr>
  </w:p>
  <w:p w14:paraId="5223F9E7">
    <w:pPr>
      <w:pStyle w:val="11"/>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3784">
    <w:pPr>
      <w:pStyle w:val="22"/>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61E12"/>
    <w:multiLevelType w:val="singleLevel"/>
    <w:tmpl w:val="95161E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OWFlNDYzYTU5Njk4OThiMTRkNGJjZDM0YjcyNjUifQ=="/>
    <w:docVar w:name="KSO_WPS_MARK_KEY" w:val="6b493b28-2064-4d9f-b0d0-8ae0b50a7cbf"/>
  </w:docVars>
  <w:rsids>
    <w:rsidRoot w:val="7E5E165D"/>
    <w:rsid w:val="0005336F"/>
    <w:rsid w:val="00111239"/>
    <w:rsid w:val="005B0B03"/>
    <w:rsid w:val="00755ED5"/>
    <w:rsid w:val="0096702C"/>
    <w:rsid w:val="05E327FC"/>
    <w:rsid w:val="08022F15"/>
    <w:rsid w:val="091C2FCB"/>
    <w:rsid w:val="0AA651ED"/>
    <w:rsid w:val="0EBE7A6A"/>
    <w:rsid w:val="0F7C5D76"/>
    <w:rsid w:val="12F84533"/>
    <w:rsid w:val="135F4B65"/>
    <w:rsid w:val="15300D44"/>
    <w:rsid w:val="16035781"/>
    <w:rsid w:val="16F272B1"/>
    <w:rsid w:val="1C63641D"/>
    <w:rsid w:val="1D7D6470"/>
    <w:rsid w:val="1D8B41FA"/>
    <w:rsid w:val="1DDB1868"/>
    <w:rsid w:val="21AB3B95"/>
    <w:rsid w:val="236F4C1C"/>
    <w:rsid w:val="2745581C"/>
    <w:rsid w:val="282C642B"/>
    <w:rsid w:val="2AD840EF"/>
    <w:rsid w:val="2CAD701C"/>
    <w:rsid w:val="2DCF110D"/>
    <w:rsid w:val="30364BA1"/>
    <w:rsid w:val="311D67B4"/>
    <w:rsid w:val="315379B1"/>
    <w:rsid w:val="35416553"/>
    <w:rsid w:val="357B1DAC"/>
    <w:rsid w:val="36570B78"/>
    <w:rsid w:val="36776036"/>
    <w:rsid w:val="3FA87983"/>
    <w:rsid w:val="40F54732"/>
    <w:rsid w:val="41C02EC0"/>
    <w:rsid w:val="43250D5E"/>
    <w:rsid w:val="43F46CD6"/>
    <w:rsid w:val="46E82445"/>
    <w:rsid w:val="474E1547"/>
    <w:rsid w:val="485745AA"/>
    <w:rsid w:val="49843796"/>
    <w:rsid w:val="4C6C77B3"/>
    <w:rsid w:val="4CCE170B"/>
    <w:rsid w:val="51D461F0"/>
    <w:rsid w:val="57E9762A"/>
    <w:rsid w:val="586D09FC"/>
    <w:rsid w:val="58B414B0"/>
    <w:rsid w:val="58F50DE0"/>
    <w:rsid w:val="5A2E41BB"/>
    <w:rsid w:val="5A4E7116"/>
    <w:rsid w:val="5D0E751C"/>
    <w:rsid w:val="5DFD1D77"/>
    <w:rsid w:val="5E4226BD"/>
    <w:rsid w:val="5F935195"/>
    <w:rsid w:val="62612C54"/>
    <w:rsid w:val="63E91CA4"/>
    <w:rsid w:val="64347E61"/>
    <w:rsid w:val="64E4204E"/>
    <w:rsid w:val="671D6325"/>
    <w:rsid w:val="67A8670B"/>
    <w:rsid w:val="6CD51BF0"/>
    <w:rsid w:val="6D792DBA"/>
    <w:rsid w:val="700F53E1"/>
    <w:rsid w:val="72B21D94"/>
    <w:rsid w:val="72E70987"/>
    <w:rsid w:val="74ED088A"/>
    <w:rsid w:val="769755B2"/>
    <w:rsid w:val="77057A22"/>
    <w:rsid w:val="7978552D"/>
    <w:rsid w:val="7A402922"/>
    <w:rsid w:val="7BC118E3"/>
    <w:rsid w:val="7C5077B2"/>
    <w:rsid w:val="7E5E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outlineLvl w:val="0"/>
    </w:pPr>
    <w:rPr>
      <w:kern w:val="44"/>
      <w:sz w:val="28"/>
      <w:szCs w:val="28"/>
    </w:rPr>
  </w:style>
  <w:style w:type="paragraph" w:styleId="4">
    <w:name w:val="heading 2"/>
    <w:basedOn w:val="1"/>
    <w:next w:val="1"/>
    <w:link w:val="25"/>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5">
    <w:name w:val="Normal Indent"/>
    <w:basedOn w:val="1"/>
    <w:next w:val="1"/>
    <w:qFormat/>
    <w:uiPriority w:val="0"/>
    <w:pPr>
      <w:ind w:firstLine="420"/>
    </w:pPr>
    <w:rPr>
      <w:rFonts w:ascii="Times New Roman" w:hAnsi="Times New Roman"/>
      <w:szCs w:val="20"/>
    </w:rPr>
  </w:style>
  <w:style w:type="paragraph" w:styleId="6">
    <w:name w:val="annotation text"/>
    <w:basedOn w:val="1"/>
    <w:qFormat/>
    <w:uiPriority w:val="0"/>
    <w:pPr>
      <w:spacing w:line="360" w:lineRule="auto"/>
      <w:ind w:firstLine="523" w:firstLineChars="218"/>
      <w:jc w:val="left"/>
    </w:pPr>
    <w:rPr>
      <w:rFonts w:ascii="宋体" w:hAnsi="宋体"/>
      <w:sz w:val="24"/>
      <w:szCs w:val="24"/>
    </w:rPr>
  </w:style>
  <w:style w:type="paragraph" w:styleId="7">
    <w:name w:val="Body Text Indent"/>
    <w:basedOn w:val="1"/>
    <w:next w:val="8"/>
    <w:qFormat/>
    <w:uiPriority w:val="0"/>
    <w:pPr>
      <w:ind w:firstLine="570"/>
    </w:pPr>
    <w:rPr>
      <w:rFonts w:ascii="Times New Roman" w:hAnsi="Times New Roman"/>
      <w:sz w:val="28"/>
      <w:szCs w:val="20"/>
    </w:rPr>
  </w:style>
  <w:style w:type="paragraph" w:styleId="8">
    <w:name w:val="envelope return"/>
    <w:basedOn w:val="1"/>
    <w:qFormat/>
    <w:uiPriority w:val="0"/>
    <w:pPr>
      <w:snapToGrid w:val="0"/>
    </w:pPr>
    <w:rPr>
      <w:rFonts w:ascii="Arial" w:hAnsi="Arial"/>
      <w:szCs w:val="24"/>
    </w:rPr>
  </w:style>
  <w:style w:type="paragraph" w:styleId="9">
    <w:name w:val="Plain Text"/>
    <w:basedOn w:val="1"/>
    <w:next w:val="1"/>
    <w:qFormat/>
    <w:uiPriority w:val="0"/>
    <w:rPr>
      <w:rFonts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Body Text Indent 3"/>
    <w:basedOn w:val="1"/>
    <w:qFormat/>
    <w:uiPriority w:val="0"/>
    <w:pPr>
      <w:spacing w:after="120"/>
      <w:ind w:left="200" w:leftChars="200"/>
    </w:pPr>
    <w:rPr>
      <w:kern w:val="0"/>
      <w:sz w:val="16"/>
      <w:szCs w:val="16"/>
    </w:rPr>
  </w:style>
  <w:style w:type="paragraph" w:styleId="12">
    <w:name w:val="toc 2"/>
    <w:basedOn w:val="1"/>
    <w:next w:val="1"/>
    <w:unhideWhenUsed/>
    <w:qFormat/>
    <w:uiPriority w:val="39"/>
    <w:pPr>
      <w:ind w:left="210"/>
      <w:jc w:val="left"/>
    </w:pPr>
    <w:rPr>
      <w:smallCaps/>
      <w:sz w:val="20"/>
      <w:szCs w:val="20"/>
    </w:rPr>
  </w:style>
  <w:style w:type="paragraph" w:styleId="13">
    <w:name w:val="Body Text 2"/>
    <w:basedOn w:val="1"/>
    <w:qFormat/>
    <w:uiPriority w:val="0"/>
    <w:rPr>
      <w:rFonts w:ascii="宋体" w:hAnsi="宋体"/>
      <w:szCs w:val="24"/>
      <w:u w:val="single"/>
    </w:rPr>
  </w:style>
  <w:style w:type="paragraph" w:styleId="14">
    <w:name w:val="Body Text First Indent"/>
    <w:basedOn w:val="2"/>
    <w:qFormat/>
    <w:uiPriority w:val="0"/>
    <w:pPr>
      <w:ind w:firstLine="420"/>
    </w:pPr>
  </w:style>
  <w:style w:type="character" w:styleId="17">
    <w:name w:val="Strong"/>
    <w:basedOn w:val="16"/>
    <w:qFormat/>
    <w:uiPriority w:val="0"/>
    <w:rPr>
      <w:b/>
    </w:rPr>
  </w:style>
  <w:style w:type="character" w:styleId="18">
    <w:name w:val="page number"/>
    <w:qFormat/>
    <w:uiPriority w:val="0"/>
    <w:rPr>
      <w:rFonts w:cs="Times New Roman"/>
    </w:rPr>
  </w:style>
  <w:style w:type="character" w:styleId="19">
    <w:name w:val="Emphasis"/>
    <w:basedOn w:val="16"/>
    <w:qFormat/>
    <w:uiPriority w:val="0"/>
    <w:rPr>
      <w:i/>
    </w:rPr>
  </w:style>
  <w:style w:type="character" w:styleId="20">
    <w:name w:val="annotation reference"/>
    <w:qFormat/>
    <w:uiPriority w:val="0"/>
    <w:rPr>
      <w:sz w:val="21"/>
      <w:szCs w:val="21"/>
    </w:rPr>
  </w:style>
  <w:style w:type="character" w:customStyle="1" w:styleId="21">
    <w:name w:val="标题 2 字符"/>
    <w:link w:val="4"/>
    <w:qFormat/>
    <w:uiPriority w:val="0"/>
    <w:rPr>
      <w:rFonts w:ascii="Arial" w:hAnsi="Arial"/>
      <w:b/>
      <w:color w:val="000000"/>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发文落款"/>
    <w:basedOn w:val="22"/>
    <w:qFormat/>
    <w:uiPriority w:val="0"/>
    <w:pPr>
      <w:ind w:left="4094" w:right="607" w:firstLine="0"/>
      <w:jc w:val="center"/>
    </w:pPr>
  </w:style>
  <w:style w:type="paragraph" w:customStyle="1" w:styleId="24">
    <w:name w:val="Revision"/>
    <w:hidden/>
    <w:unhideWhenUsed/>
    <w:qFormat/>
    <w:uiPriority w:val="99"/>
    <w:rPr>
      <w:rFonts w:ascii="Calibri" w:hAnsi="Calibri" w:eastAsia="宋体" w:cs="Times New Roman"/>
      <w:kern w:val="2"/>
      <w:sz w:val="21"/>
      <w:szCs w:val="22"/>
      <w:lang w:val="en-US" w:eastAsia="zh-CN" w:bidi="ar-SA"/>
    </w:rPr>
  </w:style>
  <w:style w:type="character" w:customStyle="1" w:styleId="25">
    <w:name w:val="标题 2 Char"/>
    <w:link w:val="4"/>
    <w:qFormat/>
    <w:locked/>
    <w:uiPriority w:val="0"/>
    <w:rPr>
      <w:rFonts w:ascii="Arial" w:hAnsi="Arial" w:eastAsia="黑体"/>
      <w:b/>
      <w:sz w:val="32"/>
      <w:szCs w:val="20"/>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9084</Words>
  <Characters>9488</Characters>
  <Lines>191</Lines>
  <Paragraphs>160</Paragraphs>
  <TotalTime>21</TotalTime>
  <ScaleCrop>false</ScaleCrop>
  <LinksUpToDate>false</LinksUpToDate>
  <CharactersWithSpaces>9953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2025-04-08T09:42:00Z</dcterms:created>
  <dc:creator>admin</dc:creator>
  <cp:lastModifiedBy>adm</cp:lastModifiedBy>
  <cp:lastPrinted>2025-05-05T10:53:00Z</cp:lastPrinted>
  <dcterms:modified xsi:type="dcterms:W3CDTF">2025-07-30T08:33:51Z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EBC35FAC530C4DFCA0A12FAEB13BFBF7_13</vt:lpwstr>
  </property>
  <property fmtid="{D5CDD505-2E9C-101B-9397-08002B2CF9AE}" pid="4" name="KSOTemplateDocerSaveRecord">
    <vt:lpwstr>eyJoZGlkIjoiZmFhMDdlODY2ZWM5MWI2NjVmNTUzZjBjZWFhZWJkZGEiLCJ1c2VySWQiOiIyNTMwMjUyMTEifQ==</vt:lpwstr>
  </property>
</Properties>
</file>