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right="271" w:rightChars="113"/>
        <w:rPr>
          <w:rFonts w:hint="default"/>
          <w:color w:val="auto"/>
          <w:sz w:val="20"/>
          <w:highlight w:val="none"/>
          <w:lang w:val="en-US"/>
        </w:rPr>
      </w:pPr>
      <w:r>
        <w:rPr>
          <w:rFonts w:hint="eastAsia" w:eastAsia="宋体"/>
          <w:color w:val="auto"/>
          <w:sz w:val="20"/>
          <w:highlight w:val="none"/>
          <w:lang w:eastAsia="zh-CN"/>
        </w:rPr>
        <w:drawing>
          <wp:anchor distT="0" distB="0" distL="114300" distR="114300" simplePos="0" relativeHeight="251682816" behindDoc="0" locked="0" layoutInCell="1" allowOverlap="1">
            <wp:simplePos x="0" y="0"/>
            <wp:positionH relativeFrom="column">
              <wp:posOffset>-948055</wp:posOffset>
            </wp:positionH>
            <wp:positionV relativeFrom="paragraph">
              <wp:posOffset>-944880</wp:posOffset>
            </wp:positionV>
            <wp:extent cx="7622540" cy="10776585"/>
            <wp:effectExtent l="0" t="0" r="9525" b="7620"/>
            <wp:wrapNone/>
            <wp:docPr id="1" name="图片 1" descr="招标文件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文件封面_00"/>
                    <pic:cNvPicPr>
                      <a:picLocks noChangeAspect="1"/>
                    </pic:cNvPicPr>
                  </pic:nvPicPr>
                  <pic:blipFill>
                    <a:blip r:embed="rId7"/>
                    <a:stretch>
                      <a:fillRect/>
                    </a:stretch>
                  </pic:blipFill>
                  <pic:spPr>
                    <a:xfrm>
                      <a:off x="0" y="0"/>
                      <a:ext cx="7622540" cy="10776585"/>
                    </a:xfrm>
                    <a:prstGeom prst="rect">
                      <a:avLst/>
                    </a:prstGeom>
                  </pic:spPr>
                </pic:pic>
              </a:graphicData>
            </a:graphic>
          </wp:anchor>
        </w:drawing>
      </w:r>
      <w:r>
        <w:rPr>
          <w:rFonts w:hint="eastAsia"/>
          <w:color w:val="auto"/>
          <w:sz w:val="20"/>
          <w:highlight w:val="none"/>
          <w:lang w:val="en-US" w:eastAsia="zh-CN"/>
        </w:rPr>
        <w:t xml:space="preserve"> </w:t>
      </w:r>
    </w:p>
    <w:p>
      <w:pPr>
        <w:pStyle w:val="11"/>
        <w:ind w:right="271" w:rightChars="113"/>
        <w:rPr>
          <w:color w:val="auto"/>
          <w:sz w:val="20"/>
          <w:highlight w:val="none"/>
        </w:rPr>
      </w:pPr>
    </w:p>
    <w:p>
      <w:pPr>
        <w:pStyle w:val="11"/>
        <w:ind w:right="271" w:rightChars="113"/>
        <w:rPr>
          <w:color w:val="auto"/>
          <w:sz w:val="20"/>
          <w:highlight w:val="none"/>
        </w:rPr>
      </w:pPr>
    </w:p>
    <w:p>
      <w:pPr>
        <w:pStyle w:val="11"/>
        <w:ind w:right="271" w:rightChars="113"/>
        <w:rPr>
          <w:color w:val="auto"/>
          <w:sz w:val="20"/>
          <w:highlight w:val="none"/>
        </w:rPr>
      </w:pPr>
    </w:p>
    <w:p>
      <w:pPr>
        <w:pStyle w:val="11"/>
        <w:ind w:right="271" w:rightChars="113"/>
        <w:rPr>
          <w:color w:val="auto"/>
          <w:sz w:val="20"/>
          <w:highlight w:val="none"/>
        </w:rPr>
      </w:pPr>
    </w:p>
    <w:p>
      <w:pPr>
        <w:pStyle w:val="11"/>
        <w:tabs>
          <w:tab w:val="left" w:pos="2382"/>
        </w:tabs>
        <w:ind w:right="271" w:rightChars="113"/>
        <w:rPr>
          <w:rFonts w:hint="eastAsia" w:eastAsia="宋体"/>
          <w:color w:val="auto"/>
          <w:sz w:val="20"/>
          <w:highlight w:val="none"/>
          <w:lang w:eastAsia="zh-CN"/>
        </w:rPr>
      </w:pPr>
      <w:r>
        <w:rPr>
          <w:color w:val="auto"/>
          <w:sz w:val="20"/>
          <w:highlight w:val="none"/>
        </w:rPr>
        <w:tab/>
      </w:r>
    </w:p>
    <w:p>
      <w:pPr>
        <w:pStyle w:val="11"/>
        <w:ind w:right="271" w:rightChars="113"/>
        <w:rPr>
          <w:color w:val="auto"/>
          <w:sz w:val="20"/>
          <w:highlight w:val="none"/>
        </w:rPr>
      </w:pPr>
    </w:p>
    <w:p>
      <w:pPr>
        <w:pStyle w:val="11"/>
        <w:ind w:right="271" w:rightChars="113"/>
        <w:rPr>
          <w:color w:val="auto"/>
          <w:sz w:val="20"/>
          <w:highlight w:val="none"/>
        </w:rPr>
      </w:pPr>
    </w:p>
    <w:p>
      <w:pPr>
        <w:spacing w:before="180" w:line="360" w:lineRule="auto"/>
        <w:ind w:right="144" w:rightChars="60"/>
        <w:jc w:val="center"/>
        <w:outlineLvl w:val="0"/>
        <w:rPr>
          <w:b/>
          <w:bCs/>
          <w:color w:val="auto"/>
          <w:sz w:val="52"/>
          <w:szCs w:val="52"/>
          <w:highlight w:val="none"/>
        </w:rPr>
      </w:pPr>
      <w:r>
        <w:rPr>
          <w:rFonts w:hint="eastAsia"/>
          <w:b/>
          <w:bCs/>
          <w:color w:val="auto"/>
          <w:sz w:val="52"/>
          <w:szCs w:val="52"/>
          <w:highlight w:val="none"/>
          <w:lang w:eastAsia="zh-CN"/>
        </w:rPr>
        <w:t>江门市悦兴置业有限公司悦璟苑小区项目全过程工程咨询服务（工程监理、工程造价咨询）</w:t>
      </w:r>
    </w:p>
    <w:p>
      <w:pPr>
        <w:pStyle w:val="11"/>
        <w:ind w:right="271" w:rightChars="113"/>
        <w:rPr>
          <w:color w:val="auto"/>
          <w:sz w:val="36"/>
          <w:highlight w:val="none"/>
        </w:rPr>
      </w:pPr>
    </w:p>
    <w:p>
      <w:pPr>
        <w:pStyle w:val="11"/>
        <w:ind w:right="271" w:rightChars="113"/>
        <w:rPr>
          <w:color w:val="auto"/>
          <w:sz w:val="36"/>
          <w:highlight w:val="none"/>
        </w:rPr>
      </w:pPr>
    </w:p>
    <w:p>
      <w:pPr>
        <w:pStyle w:val="11"/>
        <w:spacing w:before="2"/>
        <w:ind w:right="271" w:rightChars="113"/>
        <w:rPr>
          <w:color w:val="auto"/>
          <w:sz w:val="32"/>
          <w:highlight w:val="none"/>
        </w:rPr>
      </w:pPr>
    </w:p>
    <w:p>
      <w:pPr>
        <w:pStyle w:val="11"/>
        <w:spacing w:before="2"/>
        <w:ind w:right="271" w:rightChars="113"/>
        <w:rPr>
          <w:color w:val="auto"/>
          <w:sz w:val="32"/>
          <w:highlight w:val="none"/>
        </w:rPr>
      </w:pPr>
    </w:p>
    <w:p>
      <w:pPr>
        <w:pStyle w:val="3"/>
        <w:ind w:right="271" w:rightChars="113"/>
        <w:rPr>
          <w:color w:val="auto"/>
          <w:highlight w:val="none"/>
        </w:rPr>
      </w:pPr>
    </w:p>
    <w:p>
      <w:pPr>
        <w:pStyle w:val="3"/>
        <w:ind w:right="271" w:rightChars="113"/>
        <w:jc w:val="center"/>
        <w:rPr>
          <w:color w:val="auto"/>
          <w:highlight w:val="none"/>
        </w:rPr>
      </w:pPr>
      <w:bookmarkStart w:id="0" w:name="_Toc31280"/>
      <w:bookmarkStart w:id="1" w:name="_Toc16597"/>
      <w:bookmarkStart w:id="2" w:name="_Toc31046"/>
      <w:bookmarkStart w:id="3" w:name="_Toc1475"/>
      <w:bookmarkStart w:id="4" w:name="_Toc10583"/>
      <w:bookmarkStart w:id="5" w:name="_Toc24764"/>
      <w:r>
        <w:rPr>
          <w:color w:val="auto"/>
          <w:highlight w:val="none"/>
        </w:rPr>
        <w:t>招标文件</w:t>
      </w:r>
      <w:bookmarkEnd w:id="0"/>
      <w:bookmarkEnd w:id="1"/>
      <w:bookmarkEnd w:id="2"/>
      <w:bookmarkEnd w:id="3"/>
      <w:bookmarkEnd w:id="4"/>
      <w:bookmarkEnd w:id="5"/>
    </w:p>
    <w:p>
      <w:pPr>
        <w:pStyle w:val="11"/>
        <w:ind w:right="271" w:rightChars="113"/>
        <w:rPr>
          <w:color w:val="auto"/>
          <w:sz w:val="72"/>
          <w:highlight w:val="none"/>
        </w:rPr>
      </w:pPr>
    </w:p>
    <w:p>
      <w:pPr>
        <w:pStyle w:val="11"/>
        <w:spacing w:before="2"/>
        <w:ind w:left="0" w:leftChars="0" w:right="271" w:rightChars="113" w:firstLine="0" w:firstLineChars="0"/>
        <w:rPr>
          <w:color w:val="auto"/>
          <w:sz w:val="87"/>
          <w:highlight w:val="none"/>
        </w:rPr>
      </w:pPr>
    </w:p>
    <w:p>
      <w:pPr>
        <w:spacing w:before="1" w:line="480" w:lineRule="auto"/>
        <w:ind w:left="1596" w:leftChars="665" w:right="271" w:rightChars="113" w:firstLine="547" w:firstLineChars="171"/>
        <w:rPr>
          <w:rFonts w:hint="eastAsia" w:eastAsia="宋体"/>
          <w:color w:val="auto"/>
          <w:sz w:val="32"/>
          <w:highlight w:val="none"/>
          <w:lang w:eastAsia="zh-CN"/>
        </w:rPr>
      </w:pPr>
      <w:r>
        <w:rPr>
          <w:color w:val="auto"/>
          <w:sz w:val="32"/>
          <w:highlight w:val="none"/>
        </w:rPr>
        <w:t>招标单位</w:t>
      </w:r>
      <w:r>
        <w:rPr>
          <w:rFonts w:hint="eastAsia"/>
          <w:color w:val="auto"/>
          <w:sz w:val="32"/>
          <w:highlight w:val="none"/>
        </w:rPr>
        <w:t>：</w:t>
      </w:r>
      <w:r>
        <w:rPr>
          <w:rFonts w:hint="eastAsia"/>
          <w:color w:val="auto"/>
          <w:sz w:val="32"/>
          <w:highlight w:val="none"/>
          <w:lang w:eastAsia="zh-CN"/>
        </w:rPr>
        <w:t>江门市悦兴置业有限公司</w:t>
      </w:r>
    </w:p>
    <w:p>
      <w:pPr>
        <w:spacing w:before="1" w:line="480" w:lineRule="auto"/>
        <w:ind w:left="1596" w:leftChars="665" w:right="271" w:rightChars="113" w:firstLine="547" w:firstLineChars="171"/>
        <w:rPr>
          <w:color w:val="auto"/>
          <w:sz w:val="32"/>
          <w:highlight w:val="none"/>
        </w:rPr>
      </w:pPr>
      <w:r>
        <w:rPr>
          <w:color w:val="auto"/>
          <w:sz w:val="32"/>
          <w:highlight w:val="none"/>
        </w:rPr>
        <w:t>招标代理：</w:t>
      </w:r>
      <w:r>
        <w:rPr>
          <w:rFonts w:hint="eastAsia"/>
          <w:color w:val="auto"/>
          <w:sz w:val="32"/>
          <w:highlight w:val="none"/>
        </w:rPr>
        <w:t>广东万诚工程造价咨询有限公司</w:t>
      </w:r>
    </w:p>
    <w:p>
      <w:pPr>
        <w:spacing w:before="1" w:line="480" w:lineRule="auto"/>
        <w:ind w:left="1596" w:leftChars="665" w:right="271" w:rightChars="113" w:firstLine="547" w:firstLineChars="171"/>
        <w:rPr>
          <w:rFonts w:hint="eastAsia" w:eastAsia="宋体"/>
          <w:color w:val="auto"/>
          <w:sz w:val="32"/>
          <w:highlight w:val="none"/>
          <w:lang w:eastAsia="zh-CN"/>
        </w:rPr>
      </w:pPr>
      <w:r>
        <w:rPr>
          <w:color w:val="auto"/>
          <w:sz w:val="32"/>
          <w:highlight w:val="none"/>
        </w:rPr>
        <w:t>编制时间：</w:t>
      </w:r>
      <w:r>
        <w:rPr>
          <w:rFonts w:hint="eastAsia"/>
          <w:color w:val="auto"/>
          <w:sz w:val="32"/>
          <w:highlight w:val="none"/>
          <w:lang w:eastAsia="zh-CN"/>
        </w:rPr>
        <w:t>2022年12月</w:t>
      </w:r>
    </w:p>
    <w:p>
      <w:pPr>
        <w:jc w:val="center"/>
        <w:rPr>
          <w:color w:val="auto"/>
          <w:highlight w:val="none"/>
        </w:rPr>
      </w:pPr>
      <w:r>
        <w:rPr>
          <w:color w:val="auto"/>
          <w:highlight w:val="none"/>
        </w:rPr>
        <w:br w:type="page"/>
      </w:r>
    </w:p>
    <w:p>
      <w:pPr>
        <w:rPr>
          <w:color w:val="auto"/>
          <w:highlight w:val="none"/>
        </w:rPr>
      </w:pPr>
    </w:p>
    <w:p>
      <w:pPr>
        <w:pStyle w:val="32"/>
        <w:jc w:val="center"/>
        <w:rPr>
          <w:rFonts w:ascii="宋体" w:hAnsi="宋体" w:eastAsia="宋体"/>
          <w:b/>
          <w:bCs/>
          <w:color w:val="auto"/>
          <w:highlight w:val="none"/>
        </w:rPr>
      </w:pPr>
      <w:r>
        <w:rPr>
          <w:rFonts w:hint="eastAsia" w:ascii="宋体" w:hAnsi="宋体" w:eastAsia="宋体"/>
          <w:b/>
          <w:bCs/>
          <w:color w:val="auto"/>
          <w:highlight w:val="none"/>
        </w:rPr>
        <w:t>目</w:t>
      </w:r>
      <w:r>
        <w:rPr>
          <w:rFonts w:ascii="宋体" w:hAnsi="宋体" w:eastAsia="宋体"/>
          <w:b/>
          <w:bCs/>
          <w:color w:val="auto"/>
          <w:highlight w:val="none"/>
        </w:rPr>
        <w:tab/>
      </w:r>
      <w:r>
        <w:rPr>
          <w:rFonts w:hint="eastAsia" w:ascii="宋体" w:hAnsi="宋体" w:eastAsia="宋体"/>
          <w:b/>
          <w:bCs/>
          <w:color w:val="auto"/>
          <w:highlight w:val="none"/>
        </w:rPr>
        <w:t>录</w:t>
      </w:r>
    </w:p>
    <w:p>
      <w:pPr>
        <w:pStyle w:val="19"/>
        <w:spacing w:line="480" w:lineRule="auto"/>
        <w:rPr>
          <w:rFonts w:cs="宋体"/>
          <w:color w:val="auto"/>
          <w:kern w:val="2"/>
          <w:sz w:val="21"/>
          <w:szCs w:val="22"/>
          <w:highlight w:val="none"/>
        </w:rPr>
      </w:pPr>
      <w:r>
        <w:rPr>
          <w:color w:val="auto"/>
          <w:sz w:val="21"/>
          <w:szCs w:val="21"/>
          <w:highlight w:val="none"/>
        </w:rPr>
        <w:fldChar w:fldCharType="begin"/>
      </w:r>
      <w:r>
        <w:rPr>
          <w:color w:val="auto"/>
          <w:sz w:val="21"/>
          <w:szCs w:val="21"/>
          <w:highlight w:val="none"/>
        </w:rPr>
        <w:instrText xml:space="preserve"> TOC \o "1-2" \h \z \u </w:instrText>
      </w:r>
      <w:r>
        <w:rPr>
          <w:color w:val="auto"/>
          <w:sz w:val="21"/>
          <w:szCs w:val="21"/>
          <w:highlight w:val="none"/>
        </w:rPr>
        <w:fldChar w:fldCharType="separate"/>
      </w:r>
      <w:r>
        <w:rPr>
          <w:color w:val="auto"/>
          <w:highlight w:val="none"/>
        </w:rPr>
        <w:fldChar w:fldCharType="begin"/>
      </w:r>
      <w:r>
        <w:rPr>
          <w:color w:val="auto"/>
          <w:highlight w:val="none"/>
        </w:rPr>
        <w:instrText xml:space="preserve"> HYPERLINK \l "_Toc99970087" </w:instrText>
      </w:r>
      <w:r>
        <w:rPr>
          <w:color w:val="auto"/>
          <w:highlight w:val="none"/>
        </w:rPr>
        <w:fldChar w:fldCharType="separate"/>
      </w:r>
      <w:r>
        <w:rPr>
          <w:rStyle w:val="27"/>
          <w:color w:val="auto"/>
          <w:highlight w:val="none"/>
        </w:rPr>
        <w:t>第一章</w:t>
      </w:r>
      <w:r>
        <w:rPr>
          <w:rFonts w:cs="宋体"/>
          <w:color w:val="auto"/>
          <w:kern w:val="2"/>
          <w:sz w:val="21"/>
          <w:szCs w:val="22"/>
          <w:highlight w:val="none"/>
        </w:rPr>
        <w:tab/>
      </w:r>
      <w:r>
        <w:rPr>
          <w:rStyle w:val="27"/>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_Toc99970087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pPr>
        <w:pStyle w:val="19"/>
        <w:spacing w:line="480" w:lineRule="auto"/>
        <w:rPr>
          <w:rFonts w:cs="宋体"/>
          <w:color w:val="auto"/>
          <w:kern w:val="2"/>
          <w:sz w:val="21"/>
          <w:szCs w:val="22"/>
          <w:highlight w:val="none"/>
        </w:rPr>
      </w:pPr>
      <w:r>
        <w:rPr>
          <w:color w:val="auto"/>
          <w:highlight w:val="none"/>
        </w:rPr>
        <w:fldChar w:fldCharType="begin"/>
      </w:r>
      <w:r>
        <w:rPr>
          <w:color w:val="auto"/>
          <w:highlight w:val="none"/>
        </w:rPr>
        <w:instrText xml:space="preserve"> HYPERLINK \l "_Toc99970089" </w:instrText>
      </w:r>
      <w:r>
        <w:rPr>
          <w:color w:val="auto"/>
          <w:highlight w:val="none"/>
        </w:rPr>
        <w:fldChar w:fldCharType="separate"/>
      </w:r>
      <w:r>
        <w:rPr>
          <w:rStyle w:val="27"/>
          <w:color w:val="auto"/>
          <w:highlight w:val="none"/>
        </w:rPr>
        <w:t>第二章</w:t>
      </w:r>
      <w:r>
        <w:rPr>
          <w:rFonts w:cs="宋体"/>
          <w:color w:val="auto"/>
          <w:kern w:val="2"/>
          <w:sz w:val="21"/>
          <w:szCs w:val="22"/>
          <w:highlight w:val="none"/>
        </w:rPr>
        <w:tab/>
      </w:r>
      <w:r>
        <w:rPr>
          <w:rStyle w:val="27"/>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_Toc99970089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9"/>
        <w:spacing w:line="480" w:lineRule="auto"/>
        <w:rPr>
          <w:rFonts w:cs="宋体"/>
          <w:color w:val="auto"/>
          <w:kern w:val="2"/>
          <w:sz w:val="21"/>
          <w:szCs w:val="22"/>
          <w:highlight w:val="none"/>
        </w:rPr>
      </w:pPr>
      <w:r>
        <w:rPr>
          <w:color w:val="auto"/>
          <w:highlight w:val="none"/>
        </w:rPr>
        <w:fldChar w:fldCharType="begin"/>
      </w:r>
      <w:r>
        <w:rPr>
          <w:color w:val="auto"/>
          <w:highlight w:val="none"/>
        </w:rPr>
        <w:instrText xml:space="preserve"> HYPERLINK \l "_Toc99970090" </w:instrText>
      </w:r>
      <w:r>
        <w:rPr>
          <w:color w:val="auto"/>
          <w:highlight w:val="none"/>
        </w:rPr>
        <w:fldChar w:fldCharType="separate"/>
      </w:r>
      <w:r>
        <w:rPr>
          <w:rStyle w:val="27"/>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_Toc99970090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9"/>
        <w:spacing w:line="480" w:lineRule="auto"/>
        <w:rPr>
          <w:rFonts w:hint="eastAsia" w:eastAsia="宋体" w:cs="宋体"/>
          <w:color w:val="auto"/>
          <w:kern w:val="2"/>
          <w:sz w:val="21"/>
          <w:szCs w:val="22"/>
          <w:highlight w:val="none"/>
          <w:lang w:eastAsia="zh-CN"/>
        </w:rPr>
      </w:pPr>
      <w:r>
        <w:rPr>
          <w:color w:val="auto"/>
          <w:highlight w:val="none"/>
        </w:rPr>
        <w:fldChar w:fldCharType="begin"/>
      </w:r>
      <w:r>
        <w:rPr>
          <w:color w:val="auto"/>
          <w:highlight w:val="none"/>
        </w:rPr>
        <w:instrText xml:space="preserve"> HYPERLINK \l "_Toc99970106" </w:instrText>
      </w:r>
      <w:r>
        <w:rPr>
          <w:color w:val="auto"/>
          <w:highlight w:val="none"/>
        </w:rPr>
        <w:fldChar w:fldCharType="separate"/>
      </w:r>
      <w:r>
        <w:rPr>
          <w:rStyle w:val="27"/>
          <w:color w:val="auto"/>
          <w:highlight w:val="none"/>
        </w:rPr>
        <w:t>第三章</w:t>
      </w:r>
      <w:r>
        <w:rPr>
          <w:rFonts w:cs="宋体"/>
          <w:color w:val="auto"/>
          <w:kern w:val="2"/>
          <w:sz w:val="21"/>
          <w:szCs w:val="22"/>
          <w:highlight w:val="none"/>
        </w:rPr>
        <w:tab/>
      </w:r>
      <w:r>
        <w:rPr>
          <w:rStyle w:val="27"/>
          <w:color w:val="auto"/>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_Toc99970106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r>
        <w:rPr>
          <w:rFonts w:hint="eastAsia"/>
          <w:color w:val="auto"/>
          <w:highlight w:val="none"/>
          <w:lang w:val="en-US" w:eastAsia="zh-CN"/>
        </w:rPr>
        <w:t>8</w:t>
      </w:r>
    </w:p>
    <w:p>
      <w:pPr>
        <w:pStyle w:val="19"/>
        <w:spacing w:line="480" w:lineRule="auto"/>
        <w:rPr>
          <w:rFonts w:cs="宋体"/>
          <w:color w:val="auto"/>
          <w:kern w:val="2"/>
          <w:sz w:val="21"/>
          <w:szCs w:val="22"/>
          <w:highlight w:val="none"/>
        </w:rPr>
      </w:pPr>
      <w:r>
        <w:rPr>
          <w:color w:val="auto"/>
          <w:highlight w:val="none"/>
        </w:rPr>
        <w:fldChar w:fldCharType="begin"/>
      </w:r>
      <w:r>
        <w:rPr>
          <w:color w:val="auto"/>
          <w:highlight w:val="none"/>
        </w:rPr>
        <w:instrText xml:space="preserve"> HYPERLINK \l "_Toc99970107" </w:instrText>
      </w:r>
      <w:r>
        <w:rPr>
          <w:color w:val="auto"/>
          <w:highlight w:val="none"/>
        </w:rPr>
        <w:fldChar w:fldCharType="separate"/>
      </w:r>
      <w:r>
        <w:rPr>
          <w:rStyle w:val="27"/>
          <w:color w:val="auto"/>
          <w:highlight w:val="none"/>
        </w:rPr>
        <w:t>第四章</w:t>
      </w:r>
      <w:r>
        <w:rPr>
          <w:rFonts w:cs="宋体"/>
          <w:color w:val="auto"/>
          <w:kern w:val="2"/>
          <w:sz w:val="21"/>
          <w:szCs w:val="22"/>
          <w:highlight w:val="none"/>
        </w:rPr>
        <w:tab/>
      </w:r>
      <w:r>
        <w:rPr>
          <w:rStyle w:val="27"/>
          <w:color w:val="auto"/>
          <w:highlight w:val="none"/>
        </w:rPr>
        <w:t>合同条款</w:t>
      </w:r>
      <w:r>
        <w:rPr>
          <w:color w:val="auto"/>
          <w:highlight w:val="none"/>
        </w:rPr>
        <w:tab/>
      </w:r>
      <w:r>
        <w:rPr>
          <w:color w:val="auto"/>
          <w:highlight w:val="none"/>
        </w:rPr>
        <w:fldChar w:fldCharType="begin"/>
      </w:r>
      <w:r>
        <w:rPr>
          <w:color w:val="auto"/>
          <w:highlight w:val="none"/>
        </w:rPr>
        <w:instrText xml:space="preserve"> PAGEREF _Toc99970107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spacing w:line="480" w:lineRule="auto"/>
        <w:rPr>
          <w:rFonts w:hAnsi="Calibri" w:cs="宋体"/>
          <w:color w:val="auto"/>
          <w:kern w:val="2"/>
          <w:sz w:val="21"/>
          <w:szCs w:val="22"/>
          <w:highlight w:val="none"/>
        </w:rPr>
      </w:pPr>
      <w:r>
        <w:rPr>
          <w:color w:val="auto"/>
          <w:highlight w:val="none"/>
        </w:rPr>
        <w:fldChar w:fldCharType="begin"/>
      </w:r>
      <w:r>
        <w:rPr>
          <w:color w:val="auto"/>
          <w:highlight w:val="none"/>
        </w:rPr>
        <w:instrText xml:space="preserve"> HYPERLINK \l "_Toc99970159" </w:instrText>
      </w:r>
      <w:r>
        <w:rPr>
          <w:color w:val="auto"/>
          <w:highlight w:val="none"/>
        </w:rPr>
        <w:fldChar w:fldCharType="separate"/>
      </w:r>
      <w:r>
        <w:rPr>
          <w:rStyle w:val="27"/>
          <w:color w:val="auto"/>
          <w:highlight w:val="none"/>
        </w:rPr>
        <w:t>第</w:t>
      </w:r>
      <w:r>
        <w:rPr>
          <w:rStyle w:val="27"/>
          <w:rFonts w:hint="eastAsia"/>
          <w:color w:val="auto"/>
          <w:highlight w:val="none"/>
        </w:rPr>
        <w:t>五</w:t>
      </w:r>
      <w:r>
        <w:rPr>
          <w:rStyle w:val="27"/>
          <w:color w:val="auto"/>
          <w:highlight w:val="none"/>
        </w:rPr>
        <w:t>章</w:t>
      </w:r>
      <w:r>
        <w:rPr>
          <w:rFonts w:cs="宋体"/>
          <w:color w:val="auto"/>
          <w:kern w:val="2"/>
          <w:sz w:val="21"/>
          <w:szCs w:val="22"/>
          <w:highlight w:val="none"/>
        </w:rPr>
        <w:tab/>
      </w:r>
      <w:r>
        <w:rPr>
          <w:rStyle w:val="27"/>
          <w:color w:val="auto"/>
          <w:highlight w:val="none"/>
        </w:rPr>
        <w:t>投标文件格式</w:t>
      </w:r>
      <w:r>
        <w:rPr>
          <w:color w:val="auto"/>
          <w:highlight w:val="none"/>
        </w:rPr>
        <w:tab/>
      </w:r>
      <w:r>
        <w:rPr>
          <w:color w:val="auto"/>
          <w:highlight w:val="none"/>
        </w:rPr>
        <w:fldChar w:fldCharType="end"/>
      </w:r>
      <w:r>
        <w:rPr>
          <w:rFonts w:hint="eastAsia"/>
          <w:color w:val="auto"/>
          <w:highlight w:val="none"/>
        </w:rPr>
        <w:t>70</w:t>
      </w:r>
    </w:p>
    <w:p>
      <w:pPr>
        <w:pStyle w:val="11"/>
        <w:kinsoku w:val="0"/>
        <w:overflowPunct w:val="0"/>
        <w:spacing w:before="0" w:line="480" w:lineRule="auto"/>
        <w:ind w:left="0"/>
        <w:rPr>
          <w:rFonts w:hAnsi="宋体" w:cs="Times New Roman"/>
          <w:color w:val="auto"/>
          <w:highlight w:val="none"/>
        </w:rPr>
        <w:sectPr>
          <w:footerReference r:id="rId3" w:type="default"/>
          <w:pgSz w:w="11904" w:h="16840"/>
          <w:pgMar w:top="1430" w:right="1440" w:bottom="1440" w:left="1440" w:header="720" w:footer="998" w:gutter="0"/>
          <w:pgNumType w:fmt="upperRoman" w:start="1"/>
          <w:cols w:space="720" w:num="1"/>
        </w:sectPr>
      </w:pPr>
      <w:r>
        <w:rPr>
          <w:rFonts w:hAnsi="宋体" w:cs="Times New Roman"/>
          <w:smallCaps/>
          <w:color w:val="auto"/>
          <w:sz w:val="21"/>
          <w:szCs w:val="21"/>
          <w:highlight w:val="none"/>
        </w:rPr>
        <w:fldChar w:fldCharType="end"/>
      </w:r>
      <w:r>
        <w:rPr>
          <w:rFonts w:hAnsi="宋体" w:cs="Times New Roman"/>
          <w:color w:val="auto"/>
          <w:highlight w:val="none"/>
        </w:rPr>
        <w:br w:type="page"/>
      </w:r>
    </w:p>
    <w:p>
      <w:pPr>
        <w:pStyle w:val="11"/>
        <w:kinsoku w:val="0"/>
        <w:overflowPunct w:val="0"/>
        <w:spacing w:before="0"/>
        <w:ind w:left="0"/>
        <w:rPr>
          <w:rFonts w:hAnsi="宋体"/>
          <w:color w:val="auto"/>
          <w:sz w:val="48"/>
          <w:szCs w:val="48"/>
          <w:highlight w:val="none"/>
        </w:rPr>
      </w:pPr>
    </w:p>
    <w:p>
      <w:pPr>
        <w:pStyle w:val="4"/>
        <w:jc w:val="center"/>
        <w:rPr>
          <w:rFonts w:hAnsi="宋体"/>
          <w:color w:val="auto"/>
          <w:highlight w:val="none"/>
        </w:rPr>
      </w:pPr>
      <w:bookmarkStart w:id="6" w:name="第一章__招标公告"/>
      <w:bookmarkEnd w:id="6"/>
      <w:bookmarkStart w:id="7" w:name="bookmark0"/>
      <w:bookmarkEnd w:id="7"/>
      <w:bookmarkStart w:id="8" w:name="_Toc71855550"/>
      <w:bookmarkStart w:id="9" w:name="_Toc103022604"/>
      <w:bookmarkStart w:id="10" w:name="_Toc71855205"/>
      <w:bookmarkStart w:id="11" w:name="_Toc102907714"/>
      <w:bookmarkStart w:id="12" w:name="_Toc6097"/>
      <w:bookmarkStart w:id="13" w:name="_Toc99970087"/>
      <w:bookmarkStart w:id="14" w:name="_Toc71854892"/>
      <w:bookmarkStart w:id="15" w:name="_Toc71854288"/>
      <w:r>
        <w:rPr>
          <w:rFonts w:hint="eastAsia" w:hAnsi="宋体"/>
          <w:color w:val="auto"/>
          <w:highlight w:val="none"/>
        </w:rPr>
        <w:t>第一章</w:t>
      </w:r>
      <w:r>
        <w:rPr>
          <w:rFonts w:hAnsi="宋体"/>
          <w:color w:val="auto"/>
          <w:highlight w:val="none"/>
        </w:rPr>
        <w:tab/>
      </w:r>
      <w:r>
        <w:rPr>
          <w:rFonts w:hint="eastAsia" w:hAnsi="宋体"/>
          <w:color w:val="auto"/>
          <w:highlight w:val="none"/>
        </w:rPr>
        <w:t>招标公告</w:t>
      </w:r>
      <w:bookmarkEnd w:id="8"/>
      <w:bookmarkEnd w:id="9"/>
      <w:bookmarkEnd w:id="10"/>
      <w:bookmarkEnd w:id="11"/>
      <w:bookmarkEnd w:id="12"/>
      <w:bookmarkEnd w:id="13"/>
      <w:bookmarkEnd w:id="14"/>
      <w:bookmarkEnd w:id="15"/>
    </w:p>
    <w:p>
      <w:pPr>
        <w:pStyle w:val="4"/>
        <w:spacing w:line="360" w:lineRule="auto"/>
        <w:jc w:val="center"/>
        <w:rPr>
          <w:rFonts w:hAnsi="宋体"/>
          <w:color w:val="auto"/>
          <w:sz w:val="30"/>
          <w:szCs w:val="30"/>
          <w:highlight w:val="none"/>
        </w:rPr>
      </w:pPr>
      <w:r>
        <w:rPr>
          <w:rFonts w:hAnsi="宋体"/>
          <w:color w:val="auto"/>
          <w:highlight w:val="none"/>
        </w:rPr>
        <w:br w:type="page"/>
      </w:r>
      <w:bookmarkStart w:id="16" w:name="_Toc99970088"/>
      <w:bookmarkStart w:id="17" w:name="_Toc71855206"/>
      <w:bookmarkStart w:id="18" w:name="_Toc102907715"/>
      <w:bookmarkStart w:id="19" w:name="_Toc71854289"/>
      <w:bookmarkStart w:id="20" w:name="_Toc71854893"/>
      <w:bookmarkStart w:id="21" w:name="_Toc103022605"/>
      <w:bookmarkStart w:id="22" w:name="_Toc71855551"/>
      <w:bookmarkStart w:id="23" w:name="_Hlk102988255"/>
      <w:bookmarkStart w:id="24" w:name="_Hlk71904184"/>
      <w:bookmarkStart w:id="25" w:name="_Hlk102988945"/>
      <w:r>
        <w:rPr>
          <w:rFonts w:hint="eastAsia" w:hAnsi="宋体"/>
          <w:b/>
          <w:bCs/>
          <w:color w:val="auto"/>
          <w:sz w:val="30"/>
          <w:szCs w:val="30"/>
          <w:highlight w:val="none"/>
          <w:lang w:eastAsia="zh-CN"/>
        </w:rPr>
        <w:t>江门市悦兴置业有限公司悦璟苑小区项目全过程工程咨询服务（工程监理、工程造价咨询）</w:t>
      </w:r>
      <w:r>
        <w:rPr>
          <w:rFonts w:hint="eastAsia" w:hAnsi="宋体"/>
          <w:b/>
          <w:bCs/>
          <w:color w:val="auto"/>
          <w:sz w:val="30"/>
          <w:szCs w:val="30"/>
          <w:highlight w:val="none"/>
        </w:rPr>
        <w:t>招标公告</w:t>
      </w:r>
      <w:bookmarkEnd w:id="16"/>
      <w:bookmarkEnd w:id="17"/>
      <w:bookmarkEnd w:id="18"/>
      <w:bookmarkEnd w:id="19"/>
      <w:bookmarkEnd w:id="20"/>
      <w:bookmarkEnd w:id="21"/>
      <w:bookmarkEnd w:id="22"/>
    </w:p>
    <w:p>
      <w:pPr>
        <w:pStyle w:val="5"/>
        <w:spacing w:line="360" w:lineRule="auto"/>
        <w:rPr>
          <w:rFonts w:hint="eastAsia" w:asciiTheme="minorEastAsia" w:hAnsiTheme="minorEastAsia" w:eastAsiaTheme="minorEastAsia" w:cstheme="minorEastAsia"/>
          <w:bCs w:val="0"/>
          <w:color w:val="auto"/>
          <w:sz w:val="22"/>
          <w:szCs w:val="22"/>
          <w:highlight w:val="none"/>
        </w:rPr>
      </w:pPr>
      <w:bookmarkStart w:id="26" w:name="_Toc71855552"/>
      <w:bookmarkStart w:id="27" w:name="_Toc71854290"/>
      <w:bookmarkStart w:id="28" w:name="_Toc102907716"/>
      <w:bookmarkStart w:id="29" w:name="_Toc103022606"/>
      <w:bookmarkStart w:id="30" w:name="_Toc71855207"/>
      <w:bookmarkStart w:id="31" w:name="_Toc71854894"/>
      <w:r>
        <w:rPr>
          <w:rFonts w:hint="eastAsia" w:asciiTheme="minorEastAsia" w:hAnsiTheme="minorEastAsia" w:eastAsiaTheme="minorEastAsia" w:cstheme="minorEastAsia"/>
          <w:bCs w:val="0"/>
          <w:color w:val="auto"/>
          <w:sz w:val="22"/>
          <w:szCs w:val="22"/>
          <w:highlight w:val="none"/>
        </w:rPr>
        <w:t>一、招标条件</w:t>
      </w:r>
      <w:bookmarkEnd w:id="26"/>
      <w:bookmarkEnd w:id="27"/>
      <w:bookmarkEnd w:id="28"/>
      <w:bookmarkEnd w:id="29"/>
      <w:bookmarkEnd w:id="30"/>
      <w:bookmarkEnd w:id="31"/>
    </w:p>
    <w:p>
      <w:pPr>
        <w:spacing w:line="360" w:lineRule="auto"/>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本招标项目</w:t>
      </w:r>
      <w:r>
        <w:rPr>
          <w:rFonts w:hint="eastAsia" w:asciiTheme="minorEastAsia" w:hAnsiTheme="minorEastAsia" w:eastAsiaTheme="minorEastAsia" w:cstheme="minorEastAsia"/>
          <w:b/>
          <w:bCs/>
          <w:color w:val="auto"/>
          <w:kern w:val="2"/>
          <w:sz w:val="22"/>
          <w:szCs w:val="22"/>
          <w:highlight w:val="none"/>
          <w:u w:val="single"/>
          <w:lang w:eastAsia="zh-CN"/>
        </w:rPr>
        <w:t>江门市悦兴置业有限公司悦璟苑小区项目</w:t>
      </w:r>
      <w:r>
        <w:rPr>
          <w:rFonts w:hint="eastAsia" w:asciiTheme="minorEastAsia" w:hAnsiTheme="minorEastAsia" w:eastAsiaTheme="minorEastAsia" w:cstheme="minorEastAsia"/>
          <w:color w:val="auto"/>
          <w:sz w:val="22"/>
          <w:szCs w:val="22"/>
          <w:highlight w:val="none"/>
        </w:rPr>
        <w:t>已由</w:t>
      </w:r>
      <w:r>
        <w:rPr>
          <w:rFonts w:hint="eastAsia" w:asciiTheme="minorEastAsia" w:hAnsiTheme="minorEastAsia" w:eastAsiaTheme="minorEastAsia" w:cstheme="minorEastAsia"/>
          <w:b/>
          <w:bCs/>
          <w:color w:val="auto"/>
          <w:kern w:val="2"/>
          <w:sz w:val="22"/>
          <w:szCs w:val="22"/>
          <w:highlight w:val="none"/>
          <w:u w:val="single"/>
          <w:lang w:eastAsia="zh-CN"/>
        </w:rPr>
        <w:t>江海区发展和改革局</w:t>
      </w:r>
      <w:r>
        <w:rPr>
          <w:rFonts w:hint="eastAsia" w:asciiTheme="minorEastAsia" w:hAnsiTheme="minorEastAsia" w:eastAsiaTheme="minorEastAsia" w:cstheme="minorEastAsia"/>
          <w:color w:val="auto"/>
          <w:sz w:val="22"/>
          <w:szCs w:val="22"/>
          <w:highlight w:val="none"/>
        </w:rPr>
        <w:t>以</w:t>
      </w:r>
      <w:r>
        <w:rPr>
          <w:rFonts w:hint="eastAsia" w:asciiTheme="minorEastAsia" w:hAnsiTheme="minorEastAsia" w:eastAsiaTheme="minorEastAsia" w:cstheme="minorEastAsia"/>
          <w:b/>
          <w:bCs/>
          <w:color w:val="auto"/>
          <w:kern w:val="2"/>
          <w:sz w:val="22"/>
          <w:szCs w:val="22"/>
          <w:highlight w:val="none"/>
          <w:u w:val="single"/>
          <w:lang w:eastAsia="zh-CN"/>
        </w:rPr>
        <w:t>2210-440704-04-01-166087</w:t>
      </w:r>
      <w:r>
        <w:rPr>
          <w:rFonts w:hint="eastAsia" w:asciiTheme="minorEastAsia" w:hAnsiTheme="minorEastAsia" w:eastAsiaTheme="minorEastAsia" w:cstheme="minorEastAsia"/>
          <w:color w:val="auto"/>
          <w:kern w:val="2"/>
          <w:sz w:val="22"/>
          <w:szCs w:val="22"/>
          <w:highlight w:val="none"/>
          <w:u w:val="single"/>
        </w:rPr>
        <w:t xml:space="preserve"> </w:t>
      </w:r>
      <w:r>
        <w:rPr>
          <w:rFonts w:hint="eastAsia" w:asciiTheme="minorEastAsia" w:hAnsiTheme="minorEastAsia" w:eastAsiaTheme="minorEastAsia" w:cstheme="minorEastAsia"/>
          <w:color w:val="auto"/>
          <w:sz w:val="22"/>
          <w:szCs w:val="22"/>
          <w:highlight w:val="none"/>
        </w:rPr>
        <w:t>批准建设，项目业主为</w:t>
      </w:r>
      <w:r>
        <w:rPr>
          <w:rFonts w:hint="eastAsia" w:asciiTheme="minorEastAsia" w:hAnsiTheme="minorEastAsia" w:eastAsiaTheme="minorEastAsia" w:cstheme="minorEastAsia"/>
          <w:b/>
          <w:bCs/>
          <w:color w:val="auto"/>
          <w:kern w:val="2"/>
          <w:sz w:val="22"/>
          <w:szCs w:val="22"/>
          <w:highlight w:val="none"/>
          <w:u w:val="single"/>
          <w:lang w:eastAsia="zh-CN"/>
        </w:rPr>
        <w:t>江门市悦兴置业有限公司</w:t>
      </w:r>
      <w:r>
        <w:rPr>
          <w:rFonts w:hint="eastAsia" w:asciiTheme="minorEastAsia" w:hAnsiTheme="minorEastAsia" w:eastAsiaTheme="minorEastAsia" w:cstheme="minorEastAsia"/>
          <w:color w:val="auto"/>
          <w:sz w:val="22"/>
          <w:szCs w:val="22"/>
          <w:highlight w:val="none"/>
        </w:rPr>
        <w:t>，建设资金来自</w:t>
      </w:r>
      <w:r>
        <w:rPr>
          <w:rFonts w:hint="eastAsia" w:asciiTheme="minorEastAsia" w:hAnsiTheme="minorEastAsia" w:eastAsiaTheme="minorEastAsia" w:cstheme="minorEastAsia"/>
          <w:b/>
          <w:bCs/>
          <w:color w:val="auto"/>
          <w:kern w:val="2"/>
          <w:sz w:val="22"/>
          <w:szCs w:val="22"/>
          <w:highlight w:val="none"/>
          <w:u w:val="single"/>
          <w:lang w:eastAsia="zh-CN"/>
        </w:rPr>
        <w:t>自筹资金</w:t>
      </w:r>
      <w:r>
        <w:rPr>
          <w:rFonts w:hint="eastAsia" w:asciiTheme="minorEastAsia" w:hAnsiTheme="minorEastAsia" w:eastAsiaTheme="minorEastAsia" w:cstheme="minorEastAsia"/>
          <w:color w:val="auto"/>
          <w:sz w:val="22"/>
          <w:szCs w:val="22"/>
          <w:highlight w:val="none"/>
        </w:rPr>
        <w:t>，出资比例为100%，招标人为</w:t>
      </w:r>
      <w:r>
        <w:rPr>
          <w:rFonts w:hint="eastAsia" w:asciiTheme="minorEastAsia" w:hAnsiTheme="minorEastAsia" w:eastAsiaTheme="minorEastAsia" w:cstheme="minorEastAsia"/>
          <w:b/>
          <w:bCs/>
          <w:color w:val="auto"/>
          <w:kern w:val="2"/>
          <w:sz w:val="22"/>
          <w:szCs w:val="22"/>
          <w:highlight w:val="none"/>
          <w:u w:val="single"/>
          <w:lang w:eastAsia="zh-CN"/>
        </w:rPr>
        <w:t>江门市悦兴置业有限公司</w:t>
      </w:r>
      <w:r>
        <w:rPr>
          <w:rFonts w:hint="eastAsia" w:asciiTheme="minorEastAsia" w:hAnsiTheme="minorEastAsia" w:eastAsiaTheme="minorEastAsia" w:cstheme="minorEastAsia"/>
          <w:color w:val="auto"/>
          <w:sz w:val="22"/>
          <w:szCs w:val="22"/>
          <w:highlight w:val="none"/>
        </w:rPr>
        <w:t>。根据《住房城乡建设部关于开展全过程工程咨询试点工作的通知》（建市〔2017〕101 号）和广东省住房和城乡建设厅关于印发《广东省全过程工程咨询试点工作实施方案》的通知（粤建市〔2017〕167 号）和《国家发展改革委住房城乡建设部关于推进全过程工程咨询服务发展的指导意见》（发改投资规〔2019〕515 号），积极响应国家和省推行全过程工程咨询的建设模式，现对该项目的</w:t>
      </w:r>
      <w:r>
        <w:rPr>
          <w:rFonts w:hint="eastAsia" w:asciiTheme="minorEastAsia" w:hAnsiTheme="minorEastAsia" w:eastAsiaTheme="minorEastAsia" w:cstheme="minorEastAsia"/>
          <w:b/>
          <w:bCs/>
          <w:color w:val="auto"/>
          <w:kern w:val="2"/>
          <w:sz w:val="22"/>
          <w:szCs w:val="22"/>
          <w:highlight w:val="none"/>
          <w:u w:val="single"/>
        </w:rPr>
        <w:t>全过程工程咨询服务</w:t>
      </w:r>
      <w:r>
        <w:rPr>
          <w:rFonts w:hint="eastAsia" w:asciiTheme="minorEastAsia" w:hAnsiTheme="minorEastAsia" w:eastAsiaTheme="minorEastAsia" w:cstheme="minorEastAsia"/>
          <w:color w:val="auto"/>
          <w:sz w:val="22"/>
          <w:szCs w:val="22"/>
          <w:highlight w:val="none"/>
        </w:rPr>
        <w:t>进行公开招标。</w:t>
      </w:r>
      <w:bookmarkStart w:id="32" w:name="_Toc71854895"/>
      <w:bookmarkStart w:id="33" w:name="_Toc102907717"/>
      <w:bookmarkStart w:id="34" w:name="_Toc103022607"/>
      <w:bookmarkStart w:id="35" w:name="_Toc71854291"/>
      <w:bookmarkStart w:id="36" w:name="_Toc71855208"/>
      <w:bookmarkStart w:id="37" w:name="_Toc71855553"/>
    </w:p>
    <w:p>
      <w:pPr>
        <w:pStyle w:val="5"/>
        <w:spacing w:line="360" w:lineRule="auto"/>
        <w:rPr>
          <w:rFonts w:hint="eastAsia" w:asciiTheme="minorEastAsia" w:hAnsiTheme="minorEastAsia" w:eastAsiaTheme="minorEastAsia" w:cstheme="minorEastAsia"/>
          <w:bCs w:val="0"/>
          <w:color w:val="auto"/>
          <w:sz w:val="22"/>
          <w:szCs w:val="22"/>
          <w:highlight w:val="none"/>
        </w:rPr>
      </w:pPr>
      <w:r>
        <w:rPr>
          <w:rFonts w:hint="eastAsia" w:asciiTheme="minorEastAsia" w:hAnsiTheme="minorEastAsia" w:eastAsiaTheme="minorEastAsia" w:cstheme="minorEastAsia"/>
          <w:bCs w:val="0"/>
          <w:color w:val="auto"/>
          <w:sz w:val="22"/>
          <w:szCs w:val="22"/>
          <w:highlight w:val="none"/>
        </w:rPr>
        <w:t>二、项目概况与招标范围</w:t>
      </w:r>
      <w:bookmarkEnd w:id="32"/>
      <w:bookmarkEnd w:id="33"/>
      <w:bookmarkEnd w:id="34"/>
      <w:bookmarkEnd w:id="35"/>
      <w:bookmarkEnd w:id="36"/>
      <w:bookmarkEnd w:id="37"/>
      <w:r>
        <w:rPr>
          <w:rFonts w:hint="eastAsia" w:asciiTheme="minorEastAsia" w:hAnsiTheme="minorEastAsia" w:eastAsiaTheme="minorEastAsia" w:cstheme="minorEastAsia"/>
          <w:bCs w:val="0"/>
          <w:color w:val="auto"/>
          <w:sz w:val="22"/>
          <w:szCs w:val="22"/>
          <w:highlight w:val="none"/>
        </w:rPr>
        <w:t xml:space="preserve"> </w:t>
      </w:r>
    </w:p>
    <w:p>
      <w:pPr>
        <w:spacing w:line="360" w:lineRule="auto"/>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2.1 项目名称：</w:t>
      </w:r>
      <w:r>
        <w:rPr>
          <w:rFonts w:hint="eastAsia" w:asciiTheme="minorEastAsia" w:hAnsiTheme="minorEastAsia" w:eastAsiaTheme="minorEastAsia" w:cstheme="minorEastAsia"/>
          <w:color w:val="auto"/>
          <w:sz w:val="22"/>
          <w:szCs w:val="22"/>
          <w:highlight w:val="none"/>
          <w:u w:val="single"/>
          <w:lang w:eastAsia="zh-CN"/>
        </w:rPr>
        <w:t>江门市悦兴置业有限公司悦璟苑小区项目全过程工程咨询服务（工程监理、工程造价咨询）</w:t>
      </w:r>
    </w:p>
    <w:p>
      <w:pPr>
        <w:pStyle w:val="8"/>
        <w:spacing w:line="360" w:lineRule="auto"/>
        <w:ind w:left="0" w:leftChars="0" w:firstLine="440" w:firstLineChars="200"/>
        <w:rPr>
          <w:rFonts w:hint="eastAsia" w:asciiTheme="minorEastAsia" w:hAnsiTheme="minorEastAsia" w:eastAsiaTheme="minorEastAsia" w:cstheme="minorEastAsia"/>
          <w:strike/>
          <w:color w:val="auto"/>
          <w:sz w:val="22"/>
          <w:szCs w:val="22"/>
          <w:highlight w:val="none"/>
        </w:rPr>
      </w:pPr>
      <w:r>
        <w:rPr>
          <w:rFonts w:hint="eastAsia" w:asciiTheme="minorEastAsia" w:hAnsiTheme="minorEastAsia" w:eastAsiaTheme="minorEastAsia" w:cstheme="minorEastAsia"/>
          <w:color w:val="auto"/>
          <w:sz w:val="22"/>
          <w:szCs w:val="22"/>
          <w:highlight w:val="none"/>
        </w:rPr>
        <w:t>2.2 项目概况：</w:t>
      </w:r>
      <w:r>
        <w:rPr>
          <w:rFonts w:hint="eastAsia" w:asciiTheme="minorEastAsia" w:hAnsiTheme="minorEastAsia" w:eastAsiaTheme="minorEastAsia" w:cstheme="minorEastAsia"/>
          <w:color w:val="auto"/>
          <w:sz w:val="22"/>
          <w:szCs w:val="22"/>
          <w:highlight w:val="none"/>
          <w:u w:val="single"/>
          <w:lang w:eastAsia="zh-CN"/>
        </w:rPr>
        <w:t>项目总建筑面积为47341.33㎡。其中，住宅总建筑面积为 33220.00㎡；商业建筑总建筑面积为885㎡；配套公共设施总建筑面积为1147㎡(含物业管理用房、社区服务中心、配电房、泵房、消防控制室、人防报警室等)，不计容建筑面积12089.33㎡(含住宅架空层和地下室建筑)，配套停车位360个（其中地上34个，地下326个）</w:t>
      </w:r>
      <w:r>
        <w:rPr>
          <w:rFonts w:hint="eastAsia" w:asciiTheme="minorEastAsia" w:hAnsiTheme="minorEastAsia" w:eastAsiaTheme="minorEastAsia" w:cstheme="minorEastAsia"/>
          <w:color w:val="auto"/>
          <w:sz w:val="22"/>
          <w:szCs w:val="22"/>
          <w:highlight w:val="none"/>
          <w:u w:val="single"/>
        </w:rPr>
        <w:t>。项目总投资约</w:t>
      </w:r>
      <w:r>
        <w:rPr>
          <w:rFonts w:hint="eastAsia" w:asciiTheme="minorEastAsia" w:hAnsiTheme="minorEastAsia" w:eastAsiaTheme="minorEastAsia" w:cstheme="minorEastAsia"/>
          <w:color w:val="auto"/>
          <w:sz w:val="22"/>
          <w:szCs w:val="22"/>
          <w:highlight w:val="none"/>
          <w:u w:val="single"/>
          <w:lang w:val="en-US" w:eastAsia="zh-CN"/>
        </w:rPr>
        <w:t>42856.56</w:t>
      </w:r>
      <w:r>
        <w:rPr>
          <w:rFonts w:hint="eastAsia" w:asciiTheme="minorEastAsia" w:hAnsiTheme="minorEastAsia" w:eastAsiaTheme="minorEastAsia" w:cstheme="minorEastAsia"/>
          <w:color w:val="auto"/>
          <w:sz w:val="22"/>
          <w:szCs w:val="22"/>
          <w:highlight w:val="none"/>
          <w:u w:val="single"/>
        </w:rPr>
        <w:t>万元，其中建安费约16744.91万元。</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Theme="minorEastAsia" w:hAnsiTheme="minorEastAsia" w:eastAsiaTheme="minorEastAsia" w:cstheme="minorEastAsia"/>
          <w:color w:val="auto"/>
          <w:sz w:val="22"/>
          <w:szCs w:val="22"/>
          <w:highlight w:val="none"/>
          <w:u w:val="single"/>
        </w:rPr>
      </w:pPr>
      <w:r>
        <w:rPr>
          <w:rFonts w:hint="eastAsia" w:asciiTheme="minorEastAsia" w:hAnsiTheme="minorEastAsia" w:eastAsiaTheme="minorEastAsia" w:cstheme="minorEastAsia"/>
          <w:color w:val="auto"/>
          <w:sz w:val="22"/>
          <w:szCs w:val="22"/>
          <w:highlight w:val="none"/>
        </w:rPr>
        <w:t>2.3 招标范围：</w:t>
      </w:r>
      <w:r>
        <w:rPr>
          <w:rFonts w:hint="eastAsia" w:asciiTheme="minorEastAsia" w:hAnsiTheme="minorEastAsia" w:eastAsiaTheme="minorEastAsia" w:cstheme="minorEastAsia"/>
          <w:color w:val="auto"/>
          <w:sz w:val="22"/>
          <w:szCs w:val="22"/>
          <w:highlight w:val="none"/>
          <w:u w:val="single"/>
        </w:rPr>
        <w:t>（1）工程监理：包括但不限于本项目准备阶段、施工准备阶段、施工阶段、设备阶段、竣工结算阶段及工程质量保修阶段的质量控制、安全生产监督管理、投资控制、进度控制、合同管理、信息管理、组织协调等监理工作以及缺陷责任期内的监理服务和相关专业技术咨询服务</w:t>
      </w:r>
      <w:r>
        <w:rPr>
          <w:rFonts w:hint="eastAsia" w:asciiTheme="minorEastAsia" w:hAnsiTheme="minorEastAsia" w:eastAsiaTheme="minorEastAsia" w:cstheme="minorEastAsia"/>
          <w:color w:val="auto"/>
          <w:sz w:val="22"/>
          <w:szCs w:val="22"/>
          <w:highlight w:val="none"/>
        </w:rPr>
        <w:t>。</w:t>
      </w:r>
    </w:p>
    <w:p>
      <w:pPr>
        <w:spacing w:line="360" w:lineRule="auto"/>
        <w:ind w:firstLine="440" w:firstLineChars="200"/>
        <w:rPr>
          <w:rFonts w:hint="eastAsia" w:asciiTheme="minorEastAsia" w:hAnsiTheme="minorEastAsia" w:eastAsiaTheme="minorEastAsia" w:cstheme="minorEastAsia"/>
          <w:color w:val="auto"/>
          <w:sz w:val="22"/>
          <w:szCs w:val="22"/>
          <w:highlight w:val="none"/>
          <w:u w:val="single"/>
        </w:rPr>
      </w:pPr>
      <w:r>
        <w:rPr>
          <w:rFonts w:hint="eastAsia" w:asciiTheme="minorEastAsia" w:hAnsiTheme="minorEastAsia" w:eastAsiaTheme="minorEastAsia" w:cstheme="minorEastAsia"/>
          <w:color w:val="auto"/>
          <w:sz w:val="22"/>
          <w:szCs w:val="22"/>
          <w:highlight w:val="none"/>
          <w:u w:val="single"/>
        </w:rPr>
        <w:t>（2）全过程造价咨询：</w:t>
      </w:r>
      <w:r>
        <w:rPr>
          <w:rFonts w:hint="eastAsia" w:asciiTheme="minorEastAsia" w:hAnsiTheme="minorEastAsia" w:eastAsiaTheme="minorEastAsia" w:cstheme="minorEastAsia"/>
          <w:b w:val="0"/>
          <w:bCs w:val="0"/>
          <w:color w:val="auto"/>
          <w:sz w:val="22"/>
          <w:szCs w:val="22"/>
          <w:highlight w:val="none"/>
          <w:u w:val="single"/>
        </w:rPr>
        <w:t>工作内容包括但不限于：1）投资控制；2）</w:t>
      </w:r>
      <w:r>
        <w:rPr>
          <w:rFonts w:hint="eastAsia" w:asciiTheme="minorEastAsia" w:hAnsiTheme="minorEastAsia" w:eastAsiaTheme="minorEastAsia" w:cstheme="minorEastAsia"/>
          <w:b w:val="0"/>
          <w:bCs w:val="0"/>
          <w:color w:val="auto"/>
          <w:sz w:val="22"/>
          <w:szCs w:val="22"/>
          <w:highlight w:val="none"/>
          <w:u w:val="single"/>
          <w:lang w:eastAsia="zh-CN"/>
        </w:rPr>
        <w:t>设计概算审核（</w:t>
      </w:r>
      <w:r>
        <w:rPr>
          <w:rFonts w:hint="eastAsia" w:asciiTheme="minorEastAsia" w:hAnsiTheme="minorEastAsia" w:eastAsiaTheme="minorEastAsia" w:cstheme="minorEastAsia"/>
          <w:b w:val="0"/>
          <w:bCs w:val="0"/>
          <w:color w:val="auto"/>
          <w:sz w:val="22"/>
          <w:szCs w:val="22"/>
          <w:highlight w:val="none"/>
          <w:u w:val="single"/>
          <w:lang w:val="en-US" w:eastAsia="zh-CN"/>
        </w:rPr>
        <w:t>编制）</w:t>
      </w:r>
      <w:r>
        <w:rPr>
          <w:rFonts w:hint="eastAsia" w:asciiTheme="minorEastAsia" w:hAnsiTheme="minorEastAsia" w:eastAsiaTheme="minorEastAsia" w:cstheme="minorEastAsia"/>
          <w:b w:val="0"/>
          <w:bCs w:val="0"/>
          <w:color w:val="auto"/>
          <w:sz w:val="22"/>
          <w:szCs w:val="22"/>
          <w:highlight w:val="none"/>
          <w:u w:val="single"/>
          <w:lang w:eastAsia="zh-CN"/>
        </w:rPr>
        <w:t>与调整；</w:t>
      </w:r>
      <w:r>
        <w:rPr>
          <w:rFonts w:hint="eastAsia" w:asciiTheme="minorEastAsia" w:hAnsiTheme="minorEastAsia" w:eastAsiaTheme="minorEastAsia" w:cstheme="minorEastAsia"/>
          <w:b w:val="0"/>
          <w:bCs w:val="0"/>
          <w:color w:val="auto"/>
          <w:sz w:val="22"/>
          <w:szCs w:val="22"/>
          <w:highlight w:val="none"/>
          <w:u w:val="single"/>
          <w:lang w:val="en-US" w:eastAsia="zh-CN"/>
        </w:rPr>
        <w:t>3</w:t>
      </w:r>
      <w:r>
        <w:rPr>
          <w:rFonts w:hint="eastAsia" w:asciiTheme="minorEastAsia" w:hAnsiTheme="minorEastAsia" w:eastAsiaTheme="minorEastAsia" w:cstheme="minorEastAsia"/>
          <w:b w:val="0"/>
          <w:bCs w:val="0"/>
          <w:color w:val="auto"/>
          <w:sz w:val="22"/>
          <w:szCs w:val="22"/>
          <w:highlight w:val="none"/>
          <w:u w:val="single"/>
        </w:rPr>
        <w:t>）施工图预算审核</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lang w:val="en-US" w:eastAsia="zh-CN"/>
        </w:rPr>
        <w:t>编制）</w:t>
      </w:r>
      <w:r>
        <w:rPr>
          <w:rFonts w:hint="eastAsia" w:asciiTheme="minorEastAsia" w:hAnsiTheme="minorEastAsia" w:eastAsiaTheme="minorEastAsia" w:cstheme="minorEastAsia"/>
          <w:b w:val="0"/>
          <w:bCs w:val="0"/>
          <w:color w:val="auto"/>
          <w:sz w:val="22"/>
          <w:szCs w:val="22"/>
          <w:highlight w:val="none"/>
          <w:u w:val="single"/>
        </w:rPr>
        <w:t>；</w:t>
      </w:r>
      <w:r>
        <w:rPr>
          <w:rFonts w:hint="eastAsia" w:asciiTheme="minorEastAsia" w:hAnsiTheme="minorEastAsia" w:eastAsiaTheme="minorEastAsia" w:cstheme="minorEastAsia"/>
          <w:b w:val="0"/>
          <w:bCs w:val="0"/>
          <w:color w:val="auto"/>
          <w:sz w:val="22"/>
          <w:szCs w:val="22"/>
          <w:highlight w:val="none"/>
          <w:u w:val="single"/>
          <w:lang w:val="en-US" w:eastAsia="zh-CN"/>
        </w:rPr>
        <w:t>4</w:t>
      </w:r>
      <w:r>
        <w:rPr>
          <w:rFonts w:hint="eastAsia" w:asciiTheme="minorEastAsia" w:hAnsiTheme="minorEastAsia" w:eastAsiaTheme="minorEastAsia" w:cstheme="minorEastAsia"/>
          <w:b w:val="0"/>
          <w:bCs w:val="0"/>
          <w:color w:val="auto"/>
          <w:sz w:val="22"/>
          <w:szCs w:val="22"/>
          <w:highlight w:val="none"/>
          <w:u w:val="single"/>
        </w:rPr>
        <w:t>）招标</w:t>
      </w:r>
      <w:r>
        <w:rPr>
          <w:rFonts w:hint="eastAsia" w:asciiTheme="minorEastAsia" w:hAnsiTheme="minorEastAsia" w:eastAsiaTheme="minorEastAsia" w:cstheme="minorEastAsia"/>
          <w:b w:val="0"/>
          <w:bCs w:val="0"/>
          <w:color w:val="auto"/>
          <w:sz w:val="22"/>
          <w:szCs w:val="22"/>
          <w:highlight w:val="none"/>
          <w:u w:val="single"/>
          <w:lang w:eastAsia="zh-CN"/>
        </w:rPr>
        <w:t>工程量</w:t>
      </w:r>
      <w:r>
        <w:rPr>
          <w:rFonts w:hint="eastAsia" w:asciiTheme="minorEastAsia" w:hAnsiTheme="minorEastAsia" w:eastAsiaTheme="minorEastAsia" w:cstheme="minorEastAsia"/>
          <w:b w:val="0"/>
          <w:bCs w:val="0"/>
          <w:color w:val="auto"/>
          <w:sz w:val="22"/>
          <w:szCs w:val="22"/>
          <w:highlight w:val="none"/>
          <w:u w:val="single"/>
        </w:rPr>
        <w:t>清单</w:t>
      </w:r>
      <w:r>
        <w:rPr>
          <w:rFonts w:hint="eastAsia" w:asciiTheme="minorEastAsia" w:hAnsiTheme="minorEastAsia" w:eastAsiaTheme="minorEastAsia" w:cstheme="minorEastAsia"/>
          <w:b w:val="0"/>
          <w:bCs w:val="0"/>
          <w:color w:val="auto"/>
          <w:sz w:val="22"/>
          <w:szCs w:val="22"/>
          <w:highlight w:val="none"/>
          <w:u w:val="single"/>
          <w:lang w:val="en-US" w:eastAsia="zh-CN"/>
        </w:rPr>
        <w:t>编制</w:t>
      </w:r>
      <w:r>
        <w:rPr>
          <w:rFonts w:hint="eastAsia" w:asciiTheme="minorEastAsia" w:hAnsiTheme="minorEastAsia" w:eastAsiaTheme="minorEastAsia" w:cstheme="minorEastAsia"/>
          <w:b w:val="0"/>
          <w:bCs w:val="0"/>
          <w:color w:val="auto"/>
          <w:sz w:val="22"/>
          <w:szCs w:val="22"/>
          <w:highlight w:val="none"/>
          <w:u w:val="single"/>
        </w:rPr>
        <w:t>和招标控制价</w:t>
      </w:r>
      <w:r>
        <w:rPr>
          <w:rFonts w:hint="eastAsia" w:asciiTheme="minorEastAsia" w:hAnsiTheme="minorEastAsia" w:eastAsiaTheme="minorEastAsia" w:cstheme="minorEastAsia"/>
          <w:b w:val="0"/>
          <w:bCs w:val="0"/>
          <w:color w:val="auto"/>
          <w:sz w:val="22"/>
          <w:szCs w:val="22"/>
          <w:highlight w:val="none"/>
          <w:u w:val="single"/>
          <w:lang w:val="en-US" w:eastAsia="zh-CN"/>
        </w:rPr>
        <w:t>编制与</w:t>
      </w:r>
      <w:r>
        <w:rPr>
          <w:rFonts w:hint="eastAsia" w:asciiTheme="minorEastAsia" w:hAnsiTheme="minorEastAsia" w:eastAsiaTheme="minorEastAsia" w:cstheme="minorEastAsia"/>
          <w:b w:val="0"/>
          <w:bCs w:val="0"/>
          <w:color w:val="auto"/>
          <w:sz w:val="22"/>
          <w:szCs w:val="22"/>
          <w:highlight w:val="none"/>
          <w:u w:val="single"/>
          <w:lang w:eastAsia="zh-CN"/>
        </w:rPr>
        <w:t>审查</w:t>
      </w:r>
      <w:r>
        <w:rPr>
          <w:rFonts w:hint="eastAsia" w:asciiTheme="minorEastAsia" w:hAnsiTheme="minorEastAsia" w:eastAsiaTheme="minorEastAsia" w:cstheme="minorEastAsia"/>
          <w:b w:val="0"/>
          <w:bCs w:val="0"/>
          <w:color w:val="auto"/>
          <w:sz w:val="22"/>
          <w:szCs w:val="22"/>
          <w:highlight w:val="none"/>
          <w:u w:val="single"/>
        </w:rPr>
        <w:t>；</w:t>
      </w:r>
      <w:r>
        <w:rPr>
          <w:rFonts w:hint="eastAsia" w:asciiTheme="minorEastAsia" w:hAnsiTheme="minorEastAsia" w:eastAsiaTheme="minorEastAsia" w:cstheme="minorEastAsia"/>
          <w:b w:val="0"/>
          <w:bCs w:val="0"/>
          <w:color w:val="auto"/>
          <w:sz w:val="22"/>
          <w:szCs w:val="22"/>
          <w:highlight w:val="none"/>
          <w:u w:val="single"/>
          <w:lang w:val="en-US" w:eastAsia="zh-CN"/>
        </w:rPr>
        <w:t>5</w:t>
      </w:r>
      <w:r>
        <w:rPr>
          <w:rFonts w:hint="eastAsia" w:asciiTheme="minorEastAsia" w:hAnsiTheme="minorEastAsia" w:eastAsiaTheme="minorEastAsia" w:cstheme="minorEastAsia"/>
          <w:b w:val="0"/>
          <w:bCs w:val="0"/>
          <w:color w:val="auto"/>
          <w:sz w:val="22"/>
          <w:szCs w:val="22"/>
          <w:highlight w:val="none"/>
          <w:u w:val="single"/>
        </w:rPr>
        <w:t>）</w:t>
      </w:r>
      <w:r>
        <w:rPr>
          <w:rFonts w:hint="eastAsia" w:asciiTheme="minorEastAsia" w:hAnsiTheme="minorEastAsia" w:eastAsiaTheme="minorEastAsia" w:cstheme="minorEastAsia"/>
          <w:b w:val="0"/>
          <w:bCs w:val="0"/>
          <w:color w:val="auto"/>
          <w:sz w:val="22"/>
          <w:szCs w:val="22"/>
          <w:highlight w:val="none"/>
          <w:u w:val="single"/>
          <w:lang w:val="en-US" w:eastAsia="zh-CN"/>
        </w:rPr>
        <w:t>协助委托人拟定施工合同及其他各类合同的相关造价条款；6</w:t>
      </w:r>
      <w:r>
        <w:rPr>
          <w:rFonts w:hint="eastAsia" w:asciiTheme="minorEastAsia" w:hAnsiTheme="minorEastAsia" w:eastAsiaTheme="minorEastAsia" w:cstheme="minorEastAsia"/>
          <w:b w:val="0"/>
          <w:bCs w:val="0"/>
          <w:color w:val="auto"/>
          <w:sz w:val="22"/>
          <w:szCs w:val="22"/>
          <w:highlight w:val="none"/>
          <w:u w:val="single"/>
        </w:rPr>
        <w:t>）</w:t>
      </w:r>
      <w:r>
        <w:rPr>
          <w:rFonts w:hint="eastAsia" w:asciiTheme="minorEastAsia" w:hAnsiTheme="minorEastAsia" w:eastAsiaTheme="minorEastAsia" w:cstheme="minorEastAsia"/>
          <w:b w:val="0"/>
          <w:bCs w:val="0"/>
          <w:color w:val="auto"/>
          <w:sz w:val="22"/>
          <w:szCs w:val="22"/>
          <w:highlight w:val="none"/>
          <w:u w:val="single"/>
          <w:lang w:eastAsia="zh-CN"/>
        </w:rPr>
        <w:t>进度款、工程款</w:t>
      </w:r>
      <w:r>
        <w:rPr>
          <w:rFonts w:hint="eastAsia" w:asciiTheme="minorEastAsia" w:hAnsiTheme="minorEastAsia" w:eastAsiaTheme="minorEastAsia" w:cstheme="minorEastAsia"/>
          <w:b w:val="0"/>
          <w:bCs w:val="0"/>
          <w:color w:val="auto"/>
          <w:sz w:val="22"/>
          <w:szCs w:val="22"/>
          <w:highlight w:val="none"/>
          <w:u w:val="single"/>
        </w:rPr>
        <w:t>支付审核；</w:t>
      </w:r>
      <w:r>
        <w:rPr>
          <w:rFonts w:hint="eastAsia" w:asciiTheme="minorEastAsia" w:hAnsiTheme="minorEastAsia" w:eastAsiaTheme="minorEastAsia" w:cstheme="minorEastAsia"/>
          <w:b w:val="0"/>
          <w:bCs w:val="0"/>
          <w:color w:val="auto"/>
          <w:sz w:val="22"/>
          <w:szCs w:val="22"/>
          <w:highlight w:val="none"/>
          <w:u w:val="single"/>
          <w:lang w:val="en-US" w:eastAsia="zh-CN"/>
        </w:rPr>
        <w:t>7</w:t>
      </w:r>
      <w:r>
        <w:rPr>
          <w:rFonts w:hint="eastAsia" w:asciiTheme="minorEastAsia" w:hAnsiTheme="minorEastAsia" w:eastAsiaTheme="minorEastAsia" w:cstheme="minorEastAsia"/>
          <w:b w:val="0"/>
          <w:bCs w:val="0"/>
          <w:color w:val="auto"/>
          <w:sz w:val="22"/>
          <w:szCs w:val="22"/>
          <w:highlight w:val="none"/>
          <w:u w:val="single"/>
        </w:rPr>
        <w:t>）主材单价、综合单价、合同变更费用审核；</w:t>
      </w:r>
      <w:r>
        <w:rPr>
          <w:rFonts w:hint="eastAsia" w:asciiTheme="minorEastAsia" w:hAnsiTheme="minorEastAsia" w:eastAsiaTheme="minorEastAsia" w:cstheme="minorEastAsia"/>
          <w:b w:val="0"/>
          <w:bCs w:val="0"/>
          <w:color w:val="auto"/>
          <w:sz w:val="22"/>
          <w:szCs w:val="22"/>
          <w:highlight w:val="none"/>
          <w:u w:val="single"/>
          <w:lang w:val="en-US" w:eastAsia="zh-CN"/>
        </w:rPr>
        <w:t>8</w:t>
      </w:r>
      <w:r>
        <w:rPr>
          <w:rFonts w:hint="eastAsia" w:asciiTheme="minorEastAsia" w:hAnsiTheme="minorEastAsia" w:eastAsiaTheme="minorEastAsia" w:cstheme="minorEastAsia"/>
          <w:b w:val="0"/>
          <w:bCs w:val="0"/>
          <w:color w:val="auto"/>
          <w:sz w:val="22"/>
          <w:szCs w:val="22"/>
          <w:highlight w:val="none"/>
          <w:u w:val="single"/>
        </w:rPr>
        <w:t>）</w:t>
      </w:r>
      <w:r>
        <w:rPr>
          <w:rFonts w:hint="eastAsia" w:asciiTheme="minorEastAsia" w:hAnsiTheme="minorEastAsia" w:eastAsiaTheme="minorEastAsia" w:cstheme="minorEastAsia"/>
          <w:b w:val="0"/>
          <w:bCs w:val="0"/>
          <w:color w:val="auto"/>
          <w:sz w:val="22"/>
          <w:szCs w:val="22"/>
          <w:highlight w:val="none"/>
          <w:u w:val="single"/>
          <w:lang w:eastAsia="zh-CN"/>
        </w:rPr>
        <w:t>勘察费、</w:t>
      </w:r>
      <w:r>
        <w:rPr>
          <w:rFonts w:hint="eastAsia" w:asciiTheme="minorEastAsia" w:hAnsiTheme="minorEastAsia" w:eastAsiaTheme="minorEastAsia" w:cstheme="minorEastAsia"/>
          <w:b w:val="0"/>
          <w:bCs w:val="0"/>
          <w:color w:val="auto"/>
          <w:sz w:val="22"/>
          <w:szCs w:val="22"/>
          <w:highlight w:val="none"/>
          <w:u w:val="single"/>
          <w:lang w:val="en-US" w:eastAsia="zh-CN"/>
        </w:rPr>
        <w:t>设计费、监理费、</w:t>
      </w:r>
      <w:r>
        <w:rPr>
          <w:rFonts w:hint="eastAsia" w:asciiTheme="minorEastAsia" w:hAnsiTheme="minorEastAsia" w:eastAsiaTheme="minorEastAsia" w:cstheme="minorEastAsia"/>
          <w:b w:val="0"/>
          <w:bCs w:val="0"/>
          <w:color w:val="auto"/>
          <w:sz w:val="22"/>
          <w:szCs w:val="22"/>
          <w:highlight w:val="none"/>
          <w:u w:val="single"/>
          <w:lang w:eastAsia="zh-CN"/>
        </w:rPr>
        <w:t>基坑监测、白蚁防治、消防检测、节能检测、节能（绿建）</w:t>
      </w:r>
      <w:r>
        <w:rPr>
          <w:rFonts w:hint="eastAsia" w:asciiTheme="minorEastAsia" w:hAnsiTheme="minorEastAsia" w:eastAsiaTheme="minorEastAsia" w:cstheme="minorEastAsia"/>
          <w:b w:val="0"/>
          <w:bCs w:val="0"/>
          <w:color w:val="auto"/>
          <w:sz w:val="22"/>
          <w:szCs w:val="22"/>
          <w:highlight w:val="none"/>
          <w:u w:val="single"/>
        </w:rPr>
        <w:t>检测</w:t>
      </w:r>
      <w:r>
        <w:rPr>
          <w:rFonts w:hint="eastAsia" w:asciiTheme="minorEastAsia" w:hAnsiTheme="minorEastAsia" w:eastAsiaTheme="minorEastAsia" w:cstheme="minorEastAsia"/>
          <w:b w:val="0"/>
          <w:bCs w:val="0"/>
          <w:color w:val="auto"/>
          <w:sz w:val="22"/>
          <w:szCs w:val="22"/>
          <w:highlight w:val="none"/>
          <w:u w:val="single"/>
          <w:lang w:eastAsia="zh-CN"/>
        </w:rPr>
        <w:t>、人防</w:t>
      </w:r>
      <w:r>
        <w:rPr>
          <w:rFonts w:hint="eastAsia" w:asciiTheme="minorEastAsia" w:hAnsiTheme="minorEastAsia" w:eastAsiaTheme="minorEastAsia" w:cstheme="minorEastAsia"/>
          <w:b w:val="0"/>
          <w:bCs w:val="0"/>
          <w:color w:val="auto"/>
          <w:sz w:val="22"/>
          <w:szCs w:val="22"/>
          <w:highlight w:val="none"/>
          <w:u w:val="single"/>
        </w:rPr>
        <w:t>检测</w:t>
      </w:r>
      <w:r>
        <w:rPr>
          <w:rFonts w:hint="eastAsia" w:asciiTheme="minorEastAsia" w:hAnsiTheme="minorEastAsia" w:eastAsiaTheme="minorEastAsia" w:cstheme="minorEastAsia"/>
          <w:b w:val="0"/>
          <w:bCs w:val="0"/>
          <w:color w:val="auto"/>
          <w:sz w:val="22"/>
          <w:szCs w:val="22"/>
          <w:highlight w:val="none"/>
          <w:u w:val="single"/>
          <w:lang w:eastAsia="zh-CN"/>
        </w:rPr>
        <w:t>、质量检测</w:t>
      </w:r>
      <w:r>
        <w:rPr>
          <w:rFonts w:hint="eastAsia" w:asciiTheme="minorEastAsia" w:hAnsiTheme="minorEastAsia" w:eastAsiaTheme="minorEastAsia" w:cstheme="minorEastAsia"/>
          <w:b w:val="0"/>
          <w:bCs w:val="0"/>
          <w:color w:val="auto"/>
          <w:sz w:val="22"/>
          <w:szCs w:val="22"/>
          <w:highlight w:val="none"/>
          <w:u w:val="single"/>
        </w:rPr>
        <w:t>等</w:t>
      </w:r>
      <w:r>
        <w:rPr>
          <w:rFonts w:hint="eastAsia" w:asciiTheme="minorEastAsia" w:hAnsiTheme="minorEastAsia" w:eastAsiaTheme="minorEastAsia" w:cstheme="minorEastAsia"/>
          <w:b w:val="0"/>
          <w:bCs w:val="0"/>
          <w:color w:val="auto"/>
          <w:sz w:val="22"/>
          <w:szCs w:val="22"/>
          <w:highlight w:val="none"/>
          <w:u w:val="single"/>
          <w:lang w:eastAsia="zh-CN"/>
        </w:rPr>
        <w:t>第三方检验检测、监测、服务</w:t>
      </w:r>
      <w:r>
        <w:rPr>
          <w:rFonts w:hint="eastAsia" w:asciiTheme="minorEastAsia" w:hAnsiTheme="minorEastAsia" w:eastAsiaTheme="minorEastAsia" w:cstheme="minorEastAsia"/>
          <w:b w:val="0"/>
          <w:bCs w:val="0"/>
          <w:color w:val="auto"/>
          <w:sz w:val="22"/>
          <w:szCs w:val="22"/>
          <w:highlight w:val="none"/>
          <w:u w:val="single"/>
        </w:rPr>
        <w:t>费用审核；</w:t>
      </w:r>
      <w:r>
        <w:rPr>
          <w:rFonts w:hint="eastAsia" w:asciiTheme="minorEastAsia" w:hAnsiTheme="minorEastAsia" w:eastAsiaTheme="minorEastAsia" w:cstheme="minorEastAsia"/>
          <w:b w:val="0"/>
          <w:bCs w:val="0"/>
          <w:color w:val="auto"/>
          <w:sz w:val="22"/>
          <w:szCs w:val="22"/>
          <w:highlight w:val="none"/>
          <w:u w:val="single"/>
          <w:lang w:val="en-US" w:eastAsia="zh-CN"/>
        </w:rPr>
        <w:t>9</w:t>
      </w:r>
      <w:r>
        <w:rPr>
          <w:rFonts w:hint="eastAsia" w:asciiTheme="minorEastAsia" w:hAnsiTheme="minorEastAsia" w:eastAsiaTheme="minorEastAsia" w:cstheme="minorEastAsia"/>
          <w:b w:val="0"/>
          <w:bCs w:val="0"/>
          <w:color w:val="auto"/>
          <w:sz w:val="22"/>
          <w:szCs w:val="22"/>
          <w:highlight w:val="none"/>
          <w:u w:val="single"/>
        </w:rPr>
        <w:t>）图纸设计变更会签、材料设备看样定板会签；</w:t>
      </w:r>
      <w:r>
        <w:rPr>
          <w:rFonts w:hint="eastAsia" w:asciiTheme="minorEastAsia" w:hAnsiTheme="minorEastAsia" w:eastAsiaTheme="minorEastAsia" w:cstheme="minorEastAsia"/>
          <w:b w:val="0"/>
          <w:bCs w:val="0"/>
          <w:color w:val="auto"/>
          <w:sz w:val="22"/>
          <w:szCs w:val="22"/>
          <w:highlight w:val="none"/>
          <w:u w:val="single"/>
          <w:lang w:val="en-US" w:eastAsia="zh-CN"/>
        </w:rPr>
        <w:t>10</w:t>
      </w:r>
      <w:r>
        <w:rPr>
          <w:rFonts w:hint="eastAsia" w:asciiTheme="minorEastAsia" w:hAnsiTheme="minorEastAsia" w:eastAsiaTheme="minorEastAsia" w:cstheme="minorEastAsia"/>
          <w:b w:val="0"/>
          <w:bCs w:val="0"/>
          <w:color w:val="auto"/>
          <w:sz w:val="22"/>
          <w:szCs w:val="22"/>
          <w:highlight w:val="none"/>
          <w:u w:val="single"/>
        </w:rPr>
        <w:t>）现场签证、</w:t>
      </w:r>
      <w:r>
        <w:rPr>
          <w:rFonts w:hint="eastAsia" w:asciiTheme="minorEastAsia" w:hAnsiTheme="minorEastAsia" w:eastAsiaTheme="minorEastAsia" w:cstheme="minorEastAsia"/>
          <w:b w:val="0"/>
          <w:bCs w:val="0"/>
          <w:color w:val="auto"/>
          <w:sz w:val="22"/>
          <w:szCs w:val="22"/>
          <w:highlight w:val="none"/>
          <w:u w:val="single"/>
          <w:lang w:val="en-US" w:eastAsia="zh-CN"/>
        </w:rPr>
        <w:t>工程变更的工程量和造价预算的编制或审核</w:t>
      </w:r>
      <w:r>
        <w:rPr>
          <w:rFonts w:hint="eastAsia" w:asciiTheme="minorEastAsia" w:hAnsiTheme="minorEastAsia" w:eastAsiaTheme="minorEastAsia" w:cstheme="minorEastAsia"/>
          <w:b w:val="0"/>
          <w:bCs w:val="0"/>
          <w:color w:val="auto"/>
          <w:sz w:val="22"/>
          <w:szCs w:val="22"/>
          <w:highlight w:val="none"/>
          <w:u w:val="single"/>
        </w:rPr>
        <w:t>，确认变更价款</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lang w:val="en-US" w:eastAsia="zh-CN"/>
        </w:rPr>
        <w:t>11）参与</w:t>
      </w:r>
      <w:r>
        <w:rPr>
          <w:rFonts w:hint="eastAsia" w:asciiTheme="minorEastAsia" w:hAnsiTheme="minorEastAsia" w:eastAsiaTheme="minorEastAsia" w:cstheme="minorEastAsia"/>
          <w:b w:val="0"/>
          <w:bCs w:val="0"/>
          <w:color w:val="auto"/>
          <w:sz w:val="22"/>
          <w:szCs w:val="22"/>
          <w:highlight w:val="none"/>
          <w:u w:val="single"/>
        </w:rPr>
        <w:t>材料设备</w:t>
      </w:r>
      <w:r>
        <w:rPr>
          <w:rFonts w:hint="eastAsia" w:asciiTheme="minorEastAsia" w:hAnsiTheme="minorEastAsia" w:eastAsiaTheme="minorEastAsia" w:cstheme="minorEastAsia"/>
          <w:b w:val="0"/>
          <w:bCs w:val="0"/>
          <w:color w:val="auto"/>
          <w:sz w:val="22"/>
          <w:szCs w:val="22"/>
          <w:highlight w:val="none"/>
          <w:u w:val="single"/>
          <w:lang w:eastAsia="zh-CN"/>
        </w:rPr>
        <w:t>品牌选定、</w:t>
      </w:r>
      <w:r>
        <w:rPr>
          <w:rFonts w:hint="eastAsia" w:asciiTheme="minorEastAsia" w:hAnsiTheme="minorEastAsia" w:eastAsiaTheme="minorEastAsia" w:cstheme="minorEastAsia"/>
          <w:b w:val="0"/>
          <w:bCs w:val="0"/>
          <w:color w:val="auto"/>
          <w:sz w:val="22"/>
          <w:szCs w:val="22"/>
          <w:highlight w:val="none"/>
          <w:u w:val="single"/>
        </w:rPr>
        <w:t>询价与核价</w:t>
      </w:r>
      <w:r>
        <w:rPr>
          <w:rFonts w:hint="eastAsia" w:asciiTheme="minorEastAsia" w:hAnsiTheme="minorEastAsia" w:eastAsiaTheme="minorEastAsia" w:cstheme="minorEastAsia"/>
          <w:b w:val="0"/>
          <w:bCs w:val="0"/>
          <w:color w:val="auto"/>
          <w:sz w:val="22"/>
          <w:szCs w:val="22"/>
          <w:highlight w:val="none"/>
          <w:u w:val="single"/>
          <w:lang w:eastAsia="zh-CN"/>
        </w:rPr>
        <w:t>工作；</w:t>
      </w:r>
      <w:r>
        <w:rPr>
          <w:rFonts w:hint="eastAsia" w:asciiTheme="minorEastAsia" w:hAnsiTheme="minorEastAsia" w:eastAsiaTheme="minorEastAsia" w:cstheme="minorEastAsia"/>
          <w:b w:val="0"/>
          <w:bCs w:val="0"/>
          <w:color w:val="auto"/>
          <w:sz w:val="22"/>
          <w:szCs w:val="22"/>
          <w:highlight w:val="none"/>
          <w:u w:val="single"/>
          <w:lang w:val="en-US" w:eastAsia="zh-CN"/>
        </w:rPr>
        <w:t>12）项目新增工程预算编制、审核</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lang w:val="en-US" w:eastAsia="zh-CN"/>
        </w:rPr>
        <w:t>13）</w:t>
      </w:r>
      <w:r>
        <w:rPr>
          <w:rFonts w:hint="eastAsia" w:asciiTheme="minorEastAsia" w:hAnsiTheme="minorEastAsia" w:eastAsiaTheme="minorEastAsia" w:cstheme="minorEastAsia"/>
          <w:b w:val="0"/>
          <w:bCs w:val="0"/>
          <w:color w:val="auto"/>
          <w:sz w:val="22"/>
          <w:szCs w:val="22"/>
          <w:highlight w:val="none"/>
          <w:u w:val="single"/>
        </w:rPr>
        <w:t>工程索赔审核</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lang w:val="en-US" w:eastAsia="zh-CN"/>
        </w:rPr>
        <w:t>14</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rPr>
        <w:t>结算审核</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lang w:val="en-US" w:eastAsia="zh-CN"/>
        </w:rPr>
        <w:t>编制）</w:t>
      </w:r>
      <w:r>
        <w:rPr>
          <w:rFonts w:hint="eastAsia" w:asciiTheme="minorEastAsia" w:hAnsiTheme="minorEastAsia" w:eastAsiaTheme="minorEastAsia" w:cstheme="minorEastAsia"/>
          <w:b w:val="0"/>
          <w:bCs w:val="0"/>
          <w:color w:val="auto"/>
          <w:sz w:val="22"/>
          <w:szCs w:val="22"/>
          <w:highlight w:val="none"/>
          <w:u w:val="single"/>
        </w:rPr>
        <w:t>；</w:t>
      </w:r>
      <w:r>
        <w:rPr>
          <w:rFonts w:hint="eastAsia" w:asciiTheme="minorEastAsia" w:hAnsiTheme="minorEastAsia" w:eastAsiaTheme="minorEastAsia" w:cstheme="minorEastAsia"/>
          <w:b w:val="0"/>
          <w:bCs w:val="0"/>
          <w:color w:val="auto"/>
          <w:sz w:val="22"/>
          <w:szCs w:val="22"/>
          <w:highlight w:val="none"/>
          <w:u w:val="single"/>
          <w:lang w:val="en-US" w:eastAsia="zh-CN"/>
        </w:rPr>
        <w:t>15）计算和审核标准工期</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lang w:val="en-US" w:eastAsia="zh-CN"/>
        </w:rPr>
        <w:t>16）项目相关资料的整理归档和移交工作</w:t>
      </w:r>
      <w:r>
        <w:rPr>
          <w:rFonts w:hint="eastAsia" w:asciiTheme="minorEastAsia" w:hAnsiTheme="minorEastAsia" w:eastAsiaTheme="minorEastAsia" w:cstheme="minorEastAsia"/>
          <w:b w:val="0"/>
          <w:bCs w:val="0"/>
          <w:color w:val="auto"/>
          <w:sz w:val="22"/>
          <w:szCs w:val="22"/>
          <w:highlight w:val="none"/>
          <w:u w:val="single"/>
          <w:lang w:eastAsia="zh-CN"/>
        </w:rPr>
        <w:t>；</w:t>
      </w:r>
      <w:r>
        <w:rPr>
          <w:rFonts w:hint="eastAsia" w:asciiTheme="minorEastAsia" w:hAnsiTheme="minorEastAsia" w:eastAsiaTheme="minorEastAsia" w:cstheme="minorEastAsia"/>
          <w:b w:val="0"/>
          <w:bCs w:val="0"/>
          <w:color w:val="auto"/>
          <w:sz w:val="22"/>
          <w:szCs w:val="22"/>
          <w:highlight w:val="none"/>
          <w:u w:val="single"/>
          <w:lang w:val="en-US" w:eastAsia="zh-CN"/>
        </w:rPr>
        <w:t>17）建设单位委托的其他工作。合同签订前委托人已完成的工作除外</w:t>
      </w:r>
      <w:r>
        <w:rPr>
          <w:rFonts w:hint="eastAsia" w:asciiTheme="minorEastAsia" w:hAnsiTheme="minorEastAsia" w:eastAsiaTheme="minorEastAsia" w:cstheme="minorEastAsia"/>
          <w:b w:val="0"/>
          <w:bCs w:val="0"/>
          <w:color w:val="auto"/>
          <w:sz w:val="22"/>
          <w:szCs w:val="22"/>
          <w:highlight w:val="none"/>
          <w:u w:val="single"/>
          <w:lang w:eastAsia="zh-CN"/>
        </w:rPr>
        <w:t>。（详见本合同第四部分的造价咨询任务大纲）</w:t>
      </w:r>
      <w:r>
        <w:rPr>
          <w:rFonts w:hint="eastAsia" w:asciiTheme="minorEastAsia" w:hAnsiTheme="minorEastAsia" w:eastAsiaTheme="minorEastAsia" w:cstheme="minorEastAsia"/>
          <w:color w:val="auto"/>
          <w:sz w:val="22"/>
          <w:szCs w:val="22"/>
          <w:highlight w:val="none"/>
        </w:rPr>
        <w:t>。</w:t>
      </w:r>
    </w:p>
    <w:p>
      <w:pPr>
        <w:spacing w:line="360" w:lineRule="auto"/>
        <w:ind w:firstLine="440" w:firstLineChars="200"/>
        <w:rPr>
          <w:rFonts w:hint="eastAsia" w:asciiTheme="minorEastAsia" w:hAnsiTheme="minorEastAsia" w:eastAsiaTheme="minorEastAsia" w:cstheme="minorEastAsia"/>
          <w:color w:val="auto"/>
          <w:sz w:val="22"/>
          <w:szCs w:val="22"/>
          <w:highlight w:val="none"/>
          <w:u w:val="single"/>
        </w:rPr>
      </w:pPr>
      <w:r>
        <w:rPr>
          <w:rFonts w:hint="eastAsia" w:asciiTheme="minorEastAsia" w:hAnsiTheme="minorEastAsia" w:eastAsiaTheme="minorEastAsia" w:cstheme="minorEastAsia"/>
          <w:color w:val="auto"/>
          <w:sz w:val="22"/>
          <w:szCs w:val="22"/>
          <w:highlight w:val="none"/>
        </w:rPr>
        <w:t>2.4 本项目全过程工程咨询服务招标控制价：</w:t>
      </w:r>
      <w:r>
        <w:rPr>
          <w:rFonts w:hint="eastAsia" w:asciiTheme="minorEastAsia" w:hAnsiTheme="minorEastAsia" w:eastAsiaTheme="minorEastAsia" w:cstheme="minorEastAsia"/>
          <w:color w:val="auto"/>
          <w:sz w:val="22"/>
          <w:szCs w:val="22"/>
          <w:highlight w:val="none"/>
          <w:u w:val="single"/>
          <w:lang w:val="en-US" w:eastAsia="zh-CN"/>
        </w:rPr>
        <w:t>282.16</w:t>
      </w:r>
      <w:r>
        <w:rPr>
          <w:rFonts w:hint="eastAsia" w:asciiTheme="minorEastAsia" w:hAnsiTheme="minorEastAsia" w:eastAsiaTheme="minorEastAsia" w:cstheme="minorEastAsia"/>
          <w:color w:val="auto"/>
          <w:sz w:val="22"/>
          <w:szCs w:val="22"/>
          <w:highlight w:val="none"/>
          <w:u w:val="single"/>
        </w:rPr>
        <w:t>万元</w:t>
      </w:r>
      <w:r>
        <w:rPr>
          <w:rFonts w:hint="eastAsia" w:asciiTheme="minorEastAsia" w:hAnsiTheme="minorEastAsia" w:eastAsiaTheme="minorEastAsia" w:cstheme="minorEastAsia"/>
          <w:color w:val="auto"/>
          <w:sz w:val="22"/>
          <w:szCs w:val="22"/>
          <w:highlight w:val="none"/>
          <w:u w:val="single"/>
          <w:lang w:eastAsia="zh-CN"/>
        </w:rPr>
        <w:t>。</w:t>
      </w:r>
    </w:p>
    <w:p>
      <w:pPr>
        <w:spacing w:line="360" w:lineRule="auto"/>
        <w:ind w:firstLine="440" w:firstLineChars="200"/>
        <w:rPr>
          <w:rFonts w:hint="eastAsia" w:asciiTheme="minorEastAsia" w:hAnsiTheme="minorEastAsia" w:eastAsiaTheme="minorEastAsia" w:cstheme="minorEastAsia"/>
          <w:color w:val="auto"/>
          <w:sz w:val="22"/>
          <w:szCs w:val="22"/>
          <w:highlight w:val="none"/>
          <w:u w:val="single"/>
        </w:rPr>
      </w:pPr>
      <w:r>
        <w:rPr>
          <w:rFonts w:hint="eastAsia" w:asciiTheme="minorEastAsia" w:hAnsiTheme="minorEastAsia" w:eastAsiaTheme="minorEastAsia" w:cstheme="minorEastAsia"/>
          <w:color w:val="auto"/>
          <w:sz w:val="22"/>
          <w:szCs w:val="22"/>
          <w:highlight w:val="none"/>
        </w:rPr>
        <w:t>2.5 服务期：</w:t>
      </w:r>
      <w:r>
        <w:rPr>
          <w:rFonts w:hint="eastAsia" w:ascii="宋体" w:hAnsi="宋体" w:eastAsia="宋体"/>
          <w:color w:val="auto"/>
          <w:sz w:val="21"/>
          <w:szCs w:val="21"/>
          <w:highlight w:val="none"/>
          <w:u w:val="single"/>
          <w:lang w:eastAsia="zh-CN"/>
        </w:rPr>
        <w:t>从全过程工程咨询服务合同签订之日起，至项目完成所有验收、结算手续，并正式移交建设方，以及二年缺陷责任期满止。</w:t>
      </w:r>
    </w:p>
    <w:p>
      <w:pPr>
        <w:spacing w:line="360" w:lineRule="auto"/>
        <w:ind w:firstLine="440" w:firstLineChars="200"/>
        <w:rPr>
          <w:rFonts w:hint="eastAsia" w:asciiTheme="minorEastAsia" w:hAnsiTheme="minorEastAsia" w:eastAsiaTheme="minorEastAsia" w:cstheme="minorEastAsia"/>
          <w:color w:val="auto"/>
          <w:sz w:val="22"/>
          <w:szCs w:val="22"/>
          <w:highlight w:val="none"/>
        </w:rPr>
      </w:pPr>
      <w:bookmarkStart w:id="38" w:name="_Toc102907718"/>
      <w:bookmarkStart w:id="39" w:name="_Toc71855554"/>
      <w:bookmarkStart w:id="40" w:name="_Toc71854292"/>
      <w:bookmarkStart w:id="41" w:name="_Toc103022608"/>
      <w:bookmarkStart w:id="42" w:name="_Toc71854896"/>
      <w:bookmarkStart w:id="43" w:name="_Toc71855209"/>
      <w:r>
        <w:rPr>
          <w:rFonts w:hint="eastAsia" w:asciiTheme="minorEastAsia" w:hAnsiTheme="minorEastAsia" w:eastAsiaTheme="minorEastAsia" w:cstheme="minorEastAsia"/>
          <w:color w:val="auto"/>
          <w:sz w:val="22"/>
          <w:szCs w:val="22"/>
          <w:highlight w:val="none"/>
        </w:rPr>
        <w:t>2.6 质量服务要求：</w:t>
      </w:r>
    </w:p>
    <w:p>
      <w:pPr>
        <w:spacing w:line="360" w:lineRule="auto"/>
        <w:ind w:firstLine="440" w:firstLineChars="200"/>
        <w:rPr>
          <w:rFonts w:hint="eastAsia" w:asciiTheme="minorEastAsia" w:hAnsiTheme="minorEastAsia" w:eastAsiaTheme="minorEastAsia" w:cstheme="minorEastAsia"/>
          <w:color w:val="auto"/>
          <w:sz w:val="22"/>
          <w:szCs w:val="22"/>
          <w:highlight w:val="none"/>
          <w:u w:val="single"/>
        </w:rPr>
      </w:pPr>
      <w:r>
        <w:rPr>
          <w:rFonts w:hint="eastAsia" w:asciiTheme="minorEastAsia" w:hAnsiTheme="minorEastAsia" w:eastAsiaTheme="minorEastAsia" w:cstheme="minorEastAsia"/>
          <w:color w:val="auto"/>
          <w:sz w:val="22"/>
          <w:szCs w:val="22"/>
          <w:highlight w:val="none"/>
        </w:rPr>
        <w:t>（1）监理质量要求：</w:t>
      </w:r>
      <w:r>
        <w:rPr>
          <w:rFonts w:hint="eastAsia" w:asciiTheme="minorEastAsia" w:hAnsiTheme="minorEastAsia" w:eastAsiaTheme="minorEastAsia" w:cstheme="minorEastAsia"/>
          <w:color w:val="auto"/>
          <w:sz w:val="22"/>
          <w:szCs w:val="22"/>
          <w:highlight w:val="none"/>
          <w:u w:val="single"/>
        </w:rPr>
        <w:t>符合建设工程监理规范的规定；</w:t>
      </w:r>
    </w:p>
    <w:p>
      <w:pPr>
        <w:spacing w:line="360" w:lineRule="auto"/>
        <w:ind w:firstLine="440" w:firstLineChars="200"/>
        <w:rPr>
          <w:rFonts w:hint="eastAsia" w:asciiTheme="minorEastAsia" w:hAnsiTheme="minorEastAsia" w:eastAsiaTheme="minorEastAsia" w:cstheme="minorEastAsia"/>
          <w:color w:val="auto"/>
          <w:sz w:val="22"/>
          <w:szCs w:val="22"/>
          <w:highlight w:val="none"/>
          <w:u w:val="single"/>
        </w:rPr>
      </w:pPr>
      <w:r>
        <w:rPr>
          <w:rFonts w:hint="eastAsia" w:asciiTheme="minorEastAsia" w:hAnsiTheme="minorEastAsia" w:eastAsiaTheme="minorEastAsia" w:cstheme="minorEastAsia"/>
          <w:color w:val="auto"/>
          <w:sz w:val="22"/>
          <w:szCs w:val="22"/>
          <w:highlight w:val="none"/>
        </w:rPr>
        <w:t>（2）全过程造价咨询质量要求：</w:t>
      </w:r>
      <w:r>
        <w:rPr>
          <w:rFonts w:hint="eastAsia" w:asciiTheme="minorEastAsia" w:hAnsiTheme="minorEastAsia" w:eastAsiaTheme="minorEastAsia" w:cstheme="minorEastAsia"/>
          <w:color w:val="auto"/>
          <w:sz w:val="22"/>
          <w:szCs w:val="22"/>
          <w:highlight w:val="none"/>
          <w:u w:val="single"/>
        </w:rPr>
        <w:t>严格按照国家、广东省、江门市或行业现行的相关标准、规范、计价依据提供真实、准确、可靠的全过程造价咨询服务。</w:t>
      </w:r>
    </w:p>
    <w:p>
      <w:pPr>
        <w:pStyle w:val="5"/>
        <w:spacing w:line="360" w:lineRule="auto"/>
        <w:rPr>
          <w:rFonts w:hint="eastAsia" w:asciiTheme="minorEastAsia" w:hAnsiTheme="minorEastAsia" w:eastAsiaTheme="minorEastAsia" w:cstheme="minorEastAsia"/>
          <w:bCs w:val="0"/>
          <w:color w:val="auto"/>
          <w:sz w:val="22"/>
          <w:szCs w:val="22"/>
          <w:highlight w:val="none"/>
        </w:rPr>
      </w:pPr>
      <w:r>
        <w:rPr>
          <w:rFonts w:hint="eastAsia" w:asciiTheme="minorEastAsia" w:hAnsiTheme="minorEastAsia" w:eastAsiaTheme="minorEastAsia" w:cstheme="minorEastAsia"/>
          <w:bCs w:val="0"/>
          <w:color w:val="auto"/>
          <w:sz w:val="22"/>
          <w:szCs w:val="22"/>
          <w:highlight w:val="none"/>
        </w:rPr>
        <w:t>三、投标人资格要求</w:t>
      </w:r>
      <w:bookmarkEnd w:id="38"/>
      <w:bookmarkEnd w:id="39"/>
      <w:bookmarkEnd w:id="40"/>
      <w:bookmarkEnd w:id="41"/>
      <w:bookmarkEnd w:id="42"/>
      <w:bookmarkEnd w:id="43"/>
      <w:r>
        <w:rPr>
          <w:rFonts w:hint="eastAsia" w:asciiTheme="minorEastAsia" w:hAnsiTheme="minorEastAsia" w:eastAsiaTheme="minorEastAsia" w:cstheme="minorEastAsia"/>
          <w:bCs w:val="0"/>
          <w:color w:val="auto"/>
          <w:sz w:val="22"/>
          <w:szCs w:val="22"/>
          <w:highlight w:val="none"/>
        </w:rPr>
        <w:t xml:space="preserve"> </w:t>
      </w:r>
    </w:p>
    <w:p>
      <w:pPr>
        <w:spacing w:line="360" w:lineRule="auto"/>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投标人应具备承担本工程项目全过程工程咨询服务的资质条件、能力和信誉，具体要求如下：</w:t>
      </w:r>
    </w:p>
    <w:p>
      <w:pPr>
        <w:spacing w:line="360" w:lineRule="auto"/>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 xml:space="preserve">3.1 投标人具备独立法人资格，持有事业单位登记管理部门核发的事业单位法人证书或工商行政管理部门核发的企业法人营业执照，且在有效限内； </w:t>
      </w:r>
    </w:p>
    <w:p>
      <w:pPr>
        <w:tabs>
          <w:tab w:val="left" w:pos="480"/>
        </w:tabs>
        <w:spacing w:line="360" w:lineRule="auto"/>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3.2 投标人须具有工程监理综合资质或房屋建筑工程监理乙级（或以上）资质。</w:t>
      </w:r>
    </w:p>
    <w:p>
      <w:pPr>
        <w:pStyle w:val="33"/>
        <w:tabs>
          <w:tab w:val="left" w:pos="1202"/>
        </w:tabs>
        <w:spacing w:line="360" w:lineRule="auto"/>
        <w:ind w:firstLine="440" w:firstLineChars="200"/>
        <w:rPr>
          <w:rFonts w:hint="eastAsia" w:asciiTheme="minorEastAsia" w:hAnsiTheme="minorEastAsia" w:eastAsiaTheme="minorEastAsia" w:cstheme="minorEastAsia"/>
          <w:color w:val="auto"/>
          <w:spacing w:val="-1"/>
          <w:sz w:val="22"/>
          <w:szCs w:val="22"/>
          <w:highlight w:val="none"/>
        </w:rPr>
      </w:pPr>
      <w:r>
        <w:rPr>
          <w:rFonts w:hint="eastAsia" w:asciiTheme="minorEastAsia" w:hAnsiTheme="minorEastAsia" w:eastAsiaTheme="minorEastAsia" w:cstheme="minorEastAsia"/>
          <w:color w:val="auto"/>
          <w:sz w:val="22"/>
          <w:szCs w:val="22"/>
          <w:highlight w:val="none"/>
        </w:rPr>
        <w:t xml:space="preserve">3.3 </w:t>
      </w:r>
      <w:r>
        <w:rPr>
          <w:rFonts w:hint="eastAsia" w:asciiTheme="minorEastAsia" w:hAnsiTheme="minorEastAsia" w:eastAsiaTheme="minorEastAsia" w:cstheme="minorEastAsia"/>
          <w:color w:val="auto"/>
          <w:spacing w:val="-1"/>
          <w:sz w:val="22"/>
          <w:szCs w:val="22"/>
          <w:highlight w:val="none"/>
        </w:rPr>
        <w:t>投标人拟派出的团队人员：</w:t>
      </w:r>
    </w:p>
    <w:p>
      <w:pPr>
        <w:pStyle w:val="33"/>
        <w:tabs>
          <w:tab w:val="left" w:pos="1202"/>
        </w:tabs>
        <w:spacing w:line="360" w:lineRule="auto"/>
        <w:ind w:firstLine="436" w:firstLineChars="200"/>
        <w:rPr>
          <w:rFonts w:hint="eastAsia" w:asciiTheme="minorEastAsia" w:hAnsiTheme="minorEastAsia" w:eastAsiaTheme="minorEastAsia" w:cstheme="minorEastAsia"/>
          <w:color w:val="auto"/>
          <w:spacing w:val="-1"/>
          <w:sz w:val="22"/>
          <w:szCs w:val="22"/>
          <w:highlight w:val="none"/>
        </w:rPr>
      </w:pPr>
      <w:r>
        <w:rPr>
          <w:rFonts w:hint="eastAsia" w:asciiTheme="minorEastAsia" w:hAnsiTheme="minorEastAsia" w:eastAsiaTheme="minorEastAsia" w:cstheme="minorEastAsia"/>
          <w:color w:val="auto"/>
          <w:spacing w:val="-1"/>
          <w:sz w:val="22"/>
          <w:szCs w:val="22"/>
          <w:highlight w:val="none"/>
          <w:lang w:val="en-US" w:eastAsia="zh-CN"/>
        </w:rPr>
        <w:t>①</w:t>
      </w:r>
      <w:r>
        <w:rPr>
          <w:rFonts w:hint="eastAsia" w:asciiTheme="minorEastAsia" w:hAnsiTheme="minorEastAsia" w:eastAsiaTheme="minorEastAsia" w:cstheme="minorEastAsia"/>
          <w:color w:val="auto"/>
          <w:spacing w:val="-1"/>
          <w:sz w:val="22"/>
          <w:szCs w:val="22"/>
          <w:highlight w:val="none"/>
        </w:rPr>
        <w:t>项目</w:t>
      </w:r>
      <w:r>
        <w:rPr>
          <w:rFonts w:hint="eastAsia" w:asciiTheme="minorEastAsia" w:hAnsiTheme="minorEastAsia" w:eastAsiaTheme="minorEastAsia" w:cstheme="minorEastAsia"/>
          <w:color w:val="auto"/>
          <w:spacing w:val="-1"/>
          <w:sz w:val="22"/>
          <w:szCs w:val="22"/>
          <w:highlight w:val="none"/>
          <w:lang w:val="en-US" w:eastAsia="zh-CN"/>
        </w:rPr>
        <w:t>负责人</w:t>
      </w:r>
      <w:r>
        <w:rPr>
          <w:rFonts w:hint="eastAsia" w:asciiTheme="minorEastAsia" w:hAnsiTheme="minorEastAsia" w:eastAsiaTheme="minorEastAsia" w:cstheme="minorEastAsia"/>
          <w:color w:val="auto"/>
          <w:spacing w:val="-1"/>
          <w:sz w:val="22"/>
          <w:szCs w:val="22"/>
          <w:highlight w:val="none"/>
        </w:rPr>
        <w:t>(总监理工程师)具备房屋建筑工程注册监理工程师资格；</w:t>
      </w:r>
    </w:p>
    <w:p>
      <w:pPr>
        <w:pStyle w:val="33"/>
        <w:tabs>
          <w:tab w:val="left" w:pos="1202"/>
        </w:tabs>
        <w:spacing w:line="360" w:lineRule="auto"/>
        <w:ind w:firstLine="436" w:firstLineChars="200"/>
        <w:rPr>
          <w:rFonts w:hint="eastAsia" w:asciiTheme="minorEastAsia" w:hAnsiTheme="minorEastAsia" w:eastAsiaTheme="minorEastAsia" w:cstheme="minorEastAsia"/>
          <w:color w:val="auto"/>
          <w:spacing w:val="-1"/>
          <w:sz w:val="22"/>
          <w:szCs w:val="22"/>
          <w:highlight w:val="none"/>
        </w:rPr>
      </w:pPr>
      <w:r>
        <w:rPr>
          <w:rFonts w:hint="eastAsia" w:asciiTheme="minorEastAsia" w:hAnsiTheme="minorEastAsia" w:eastAsiaTheme="minorEastAsia" w:cstheme="minorEastAsia"/>
          <w:color w:val="auto"/>
          <w:spacing w:val="-1"/>
          <w:sz w:val="22"/>
          <w:szCs w:val="22"/>
          <w:highlight w:val="none"/>
          <w:lang w:val="en-US" w:eastAsia="zh-CN"/>
        </w:rPr>
        <w:t>②</w:t>
      </w:r>
      <w:r>
        <w:rPr>
          <w:rFonts w:hint="eastAsia" w:asciiTheme="minorEastAsia" w:hAnsiTheme="minorEastAsia" w:eastAsiaTheme="minorEastAsia" w:cstheme="minorEastAsia"/>
          <w:color w:val="auto"/>
          <w:spacing w:val="-1"/>
          <w:sz w:val="22"/>
          <w:szCs w:val="22"/>
          <w:highlight w:val="none"/>
        </w:rPr>
        <w:t>项目造价咨询负责人具备一级注册造价工程师资格【2019年前（含2019）获得造价工程师证书且尚未换证的则提供注册造价工程师证书】。</w:t>
      </w:r>
    </w:p>
    <w:p>
      <w:pPr>
        <w:pStyle w:val="33"/>
        <w:tabs>
          <w:tab w:val="left" w:pos="1202"/>
        </w:tabs>
        <w:spacing w:line="360" w:lineRule="auto"/>
        <w:ind w:firstLine="436" w:firstLineChars="200"/>
        <w:rPr>
          <w:rFonts w:hint="eastAsia" w:asciiTheme="minorEastAsia" w:hAnsiTheme="minorEastAsia" w:eastAsiaTheme="minorEastAsia" w:cstheme="minorEastAsia"/>
          <w:color w:val="auto"/>
          <w:spacing w:val="-1"/>
          <w:sz w:val="22"/>
          <w:szCs w:val="22"/>
          <w:highlight w:val="none"/>
        </w:rPr>
      </w:pPr>
      <w:r>
        <w:rPr>
          <w:rFonts w:hint="eastAsia" w:asciiTheme="minorEastAsia" w:hAnsiTheme="minorEastAsia" w:eastAsiaTheme="minorEastAsia" w:cstheme="minorEastAsia"/>
          <w:color w:val="auto"/>
          <w:spacing w:val="-1"/>
          <w:sz w:val="22"/>
          <w:szCs w:val="22"/>
          <w:highlight w:val="none"/>
        </w:rPr>
        <w:t>注：上达人员均为本单位在职人员且不得为同一人。须提供投标截止前半年（2022年</w:t>
      </w:r>
      <w:r>
        <w:rPr>
          <w:rFonts w:hint="eastAsia" w:asciiTheme="minorEastAsia" w:hAnsiTheme="minorEastAsia" w:eastAsiaTheme="minorEastAsia" w:cstheme="minorEastAsia"/>
          <w:color w:val="auto"/>
          <w:spacing w:val="-1"/>
          <w:sz w:val="22"/>
          <w:szCs w:val="22"/>
          <w:highlight w:val="none"/>
          <w:lang w:val="en-US" w:eastAsia="zh-CN"/>
        </w:rPr>
        <w:t>5</w:t>
      </w:r>
      <w:r>
        <w:rPr>
          <w:rFonts w:hint="eastAsia" w:asciiTheme="minorEastAsia" w:hAnsiTheme="minorEastAsia" w:eastAsiaTheme="minorEastAsia" w:cstheme="minorEastAsia"/>
          <w:color w:val="auto"/>
          <w:spacing w:val="-1"/>
          <w:sz w:val="22"/>
          <w:szCs w:val="22"/>
          <w:highlight w:val="none"/>
        </w:rPr>
        <w:t>月至2022年</w:t>
      </w:r>
      <w:r>
        <w:rPr>
          <w:rFonts w:hint="eastAsia" w:asciiTheme="minorEastAsia" w:hAnsiTheme="minorEastAsia" w:eastAsiaTheme="minorEastAsia" w:cstheme="minorEastAsia"/>
          <w:color w:val="auto"/>
          <w:spacing w:val="-1"/>
          <w:sz w:val="22"/>
          <w:szCs w:val="22"/>
          <w:highlight w:val="none"/>
          <w:lang w:val="en-US" w:eastAsia="zh-CN"/>
        </w:rPr>
        <w:t>11</w:t>
      </w:r>
      <w:r>
        <w:rPr>
          <w:rFonts w:hint="eastAsia" w:asciiTheme="minorEastAsia" w:hAnsiTheme="minorEastAsia" w:eastAsiaTheme="minorEastAsia" w:cstheme="minorEastAsia"/>
          <w:color w:val="auto"/>
          <w:spacing w:val="-1"/>
          <w:sz w:val="22"/>
          <w:szCs w:val="22"/>
          <w:highlight w:val="none"/>
        </w:rPr>
        <w:t>月）有效的社保证明材料。</w:t>
      </w:r>
    </w:p>
    <w:p>
      <w:pPr>
        <w:pStyle w:val="11"/>
        <w:spacing w:line="360" w:lineRule="auto"/>
        <w:ind w:left="0" w:right="-26" w:firstLine="58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3.4 单位负责人为同一人或者存在控股、管理关系的不同单位，不得参加同一标段投标或者未划分标段的同一招标项目投标，须提供《投标申请人声明》（格式自拟），否则按否决其投标处理。</w:t>
      </w:r>
    </w:p>
    <w:p>
      <w:pPr>
        <w:pStyle w:val="11"/>
        <w:spacing w:line="360" w:lineRule="auto"/>
        <w:ind w:left="0" w:right="-26" w:firstLine="58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3.5 投标人未被列入“信用中国”网站（www.creditchina.gov.cn）“失信被执行人”、“重大税务违法失信主体”中的记录名单内。</w:t>
      </w:r>
    </w:p>
    <w:p>
      <w:pPr>
        <w:pStyle w:val="11"/>
        <w:spacing w:line="360" w:lineRule="auto"/>
        <w:ind w:left="0" w:right="-26" w:firstLine="58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3.6 根据《江门市住房和城乡建设局关于江门市建筑业企业信用管理办法》的相关规定，投标人须是被列入“江门市建筑业企业信用管理信息系统”信用等级为C级或以上的企业。</w:t>
      </w:r>
    </w:p>
    <w:p>
      <w:pPr>
        <w:pStyle w:val="11"/>
        <w:spacing w:line="360" w:lineRule="auto"/>
        <w:ind w:left="0" w:right="-26" w:firstLine="58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3.7 取得香港工程建设咨询从业资格的企业和执业资格的专业人士，按照《广东省住房和城乡建设厅 关于印发香港工程咨询企业和专业人士在粤港澳大湾区内地城市开业执业试点管理暂行办法的通知》规定备案，且备案信息已在广东省建设信息网公布，可以在我市范围内开业执业，为市场主体直接提供服务。经备案的香港企业和香港专业人士应当在备案的业务范围内开业执业。</w:t>
      </w:r>
    </w:p>
    <w:p>
      <w:pPr>
        <w:pStyle w:val="11"/>
        <w:spacing w:line="360" w:lineRule="auto"/>
        <w:ind w:left="0" w:right="-26" w:firstLine="580"/>
        <w:rPr>
          <w:rFonts w:hint="eastAsia" w:asciiTheme="minorEastAsia" w:hAnsiTheme="minorEastAsia" w:eastAsiaTheme="minorEastAsia" w:cstheme="minorEastAsia"/>
          <w:color w:val="auto"/>
          <w:sz w:val="22"/>
          <w:szCs w:val="22"/>
          <w:highlight w:val="none"/>
        </w:rPr>
      </w:pPr>
      <w:bookmarkStart w:id="44" w:name="_Toc103022610"/>
      <w:bookmarkStart w:id="45" w:name="_Toc71855211"/>
      <w:bookmarkStart w:id="46" w:name="_Toc71854898"/>
      <w:bookmarkStart w:id="47" w:name="_Toc71855556"/>
      <w:bookmarkStart w:id="48" w:name="_Toc71854294"/>
      <w:bookmarkStart w:id="49" w:name="_Toc102907720"/>
      <w:r>
        <w:rPr>
          <w:rFonts w:hint="eastAsia" w:asciiTheme="minorEastAsia" w:hAnsiTheme="minorEastAsia" w:eastAsiaTheme="minorEastAsia" w:cstheme="minorEastAsia"/>
          <w:color w:val="auto"/>
          <w:sz w:val="22"/>
          <w:szCs w:val="22"/>
          <w:highlight w:val="none"/>
        </w:rPr>
        <w:t>3.8 投标人必须在广州交易集团有限公司（广州公共资源交易中心）办理企业信息登记（包括企业及人员信息）和项目负责人信息登记。企业信息登记和项目负责人信息登记，详见广州交易集团有限公司（广州公共资源交易中心）网站服务指南。</w:t>
      </w:r>
    </w:p>
    <w:p>
      <w:pPr>
        <w:pStyle w:val="11"/>
        <w:spacing w:line="360" w:lineRule="auto"/>
        <w:ind w:left="0" w:right="-26" w:firstLine="58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3.9 本次招标不接受联合体、分公司投标。</w:t>
      </w:r>
    </w:p>
    <w:p>
      <w:pPr>
        <w:pStyle w:val="5"/>
        <w:numPr>
          <w:ilvl w:val="0"/>
          <w:numId w:val="5"/>
        </w:numPr>
        <w:spacing w:line="360" w:lineRule="auto"/>
        <w:rPr>
          <w:rFonts w:hint="eastAsia" w:asciiTheme="minorEastAsia" w:hAnsiTheme="minorEastAsia" w:eastAsiaTheme="minorEastAsia" w:cstheme="minorEastAsia"/>
          <w:bCs w:val="0"/>
          <w:color w:val="auto"/>
          <w:sz w:val="22"/>
          <w:szCs w:val="22"/>
          <w:highlight w:val="none"/>
        </w:rPr>
      </w:pPr>
      <w:r>
        <w:rPr>
          <w:rFonts w:hint="eastAsia" w:asciiTheme="minorEastAsia" w:hAnsiTheme="minorEastAsia" w:eastAsiaTheme="minorEastAsia" w:cstheme="minorEastAsia"/>
          <w:bCs w:val="0"/>
          <w:color w:val="auto"/>
          <w:sz w:val="22"/>
          <w:szCs w:val="22"/>
          <w:highlight w:val="none"/>
        </w:rPr>
        <w:t>招标文件的获取</w:t>
      </w:r>
      <w:bookmarkEnd w:id="44"/>
      <w:bookmarkEnd w:id="45"/>
      <w:bookmarkEnd w:id="46"/>
      <w:bookmarkEnd w:id="47"/>
      <w:bookmarkEnd w:id="48"/>
      <w:bookmarkEnd w:id="49"/>
    </w:p>
    <w:p>
      <w:pPr>
        <w:spacing w:line="498" w:lineRule="exact"/>
        <w:ind w:firstLine="440" w:firstLineChars="200"/>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color w:val="auto"/>
          <w:sz w:val="22"/>
          <w:szCs w:val="22"/>
          <w:highlight w:val="none"/>
        </w:rPr>
        <w:t>获取电子招标文件、</w:t>
      </w:r>
      <w:r>
        <w:rPr>
          <w:rFonts w:hint="eastAsia" w:asciiTheme="minorEastAsia" w:hAnsiTheme="minorEastAsia" w:eastAsiaTheme="minorEastAsia" w:cstheme="minorEastAsia"/>
          <w:color w:val="auto"/>
          <w:sz w:val="22"/>
          <w:szCs w:val="22"/>
          <w:highlight w:val="none"/>
          <w:lang w:val="en-US" w:eastAsia="zh-CN"/>
        </w:rPr>
        <w:t>提出澄清要求</w:t>
      </w:r>
      <w:r>
        <w:rPr>
          <w:rFonts w:hint="eastAsia" w:asciiTheme="minorEastAsia" w:hAnsiTheme="minorEastAsia" w:eastAsiaTheme="minorEastAsia" w:cstheme="minorEastAsia"/>
          <w:color w:val="auto"/>
          <w:sz w:val="22"/>
          <w:szCs w:val="22"/>
          <w:highlight w:val="none"/>
        </w:rPr>
        <w:t>均通过电子交易系统网上办理，具体操作办法详见广州公共资源交易中心建设工程交易平台用户操作手册[房建市政-工程总承包-投标人-交易系统]。</w:t>
      </w:r>
    </w:p>
    <w:p>
      <w:pPr>
        <w:spacing w:line="500" w:lineRule="atLeast"/>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五、</w:t>
      </w:r>
      <w:bookmarkStart w:id="50" w:name="_bookmark9"/>
      <w:bookmarkEnd w:id="50"/>
      <w:r>
        <w:rPr>
          <w:rFonts w:hint="eastAsia" w:asciiTheme="minorEastAsia" w:hAnsiTheme="minorEastAsia" w:eastAsiaTheme="minorEastAsia" w:cstheme="minorEastAsia"/>
          <w:b/>
          <w:color w:val="auto"/>
          <w:sz w:val="22"/>
          <w:szCs w:val="22"/>
          <w:highlight w:val="none"/>
        </w:rPr>
        <w:t>确定投标人的办法</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5.1 本项目采用资格后审方式，采用综合评估法评标。</w:t>
      </w:r>
    </w:p>
    <w:p>
      <w:pPr>
        <w:snapToGrid w:val="0"/>
        <w:spacing w:line="500" w:lineRule="atLeast"/>
        <w:ind w:firstLine="440" w:firstLineChars="200"/>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color w:val="auto"/>
          <w:sz w:val="22"/>
          <w:szCs w:val="22"/>
          <w:highlight w:val="none"/>
        </w:rPr>
        <w:t>5.2 若符合条件的投标登记人在规定时间内不足3名或提交投标文件的投标人不足3名或经评委评审有效投标人不足3名时，招标人将重新组织招标。</w:t>
      </w:r>
    </w:p>
    <w:p>
      <w:pPr>
        <w:snapToGrid w:val="0"/>
        <w:spacing w:line="500" w:lineRule="atLeast"/>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六、投标文件的递交</w:t>
      </w:r>
    </w:p>
    <w:p>
      <w:pPr>
        <w:pStyle w:val="7"/>
        <w:tabs>
          <w:tab w:val="left" w:pos="1051"/>
        </w:tabs>
        <w:snapToGrid w:val="0"/>
        <w:spacing w:before="2" w:line="490" w:lineRule="exact"/>
        <w:ind w:right="271" w:rightChars="113" w:firstLine="428"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pacing w:val="-3"/>
          <w:sz w:val="22"/>
          <w:szCs w:val="22"/>
          <w:highlight w:val="none"/>
        </w:rPr>
        <w:t>6.1 投标文件递交的截止时间（投标截止时间）：</w:t>
      </w:r>
      <w:r>
        <w:rPr>
          <w:rFonts w:hint="eastAsia" w:asciiTheme="minorEastAsia" w:hAnsiTheme="minorEastAsia" w:eastAsiaTheme="minorEastAsia" w:cstheme="minorEastAsia"/>
          <w:color w:val="auto"/>
          <w:spacing w:val="1"/>
          <w:sz w:val="22"/>
          <w:szCs w:val="22"/>
          <w:highlight w:val="none"/>
          <w:u w:val="single"/>
        </w:rPr>
        <w:t xml:space="preserve"> </w:t>
      </w:r>
      <w:r>
        <w:rPr>
          <w:rFonts w:hint="eastAsia" w:asciiTheme="minorEastAsia" w:hAnsiTheme="minorEastAsia" w:eastAsiaTheme="minorEastAsia" w:cstheme="minorEastAsia"/>
          <w:color w:val="auto"/>
          <w:sz w:val="22"/>
          <w:szCs w:val="22"/>
          <w:highlight w:val="none"/>
          <w:u w:val="single"/>
        </w:rPr>
        <w:t>202</w:t>
      </w:r>
      <w:r>
        <w:rPr>
          <w:rFonts w:hint="eastAsia" w:asciiTheme="minorEastAsia" w:hAnsiTheme="minorEastAsia" w:eastAsiaTheme="minorEastAsia" w:cstheme="minorEastAsia"/>
          <w:color w:val="auto"/>
          <w:sz w:val="22"/>
          <w:szCs w:val="22"/>
          <w:highlight w:val="none"/>
          <w:u w:val="single"/>
          <w:lang w:val="en-US" w:eastAsia="zh-CN"/>
        </w:rPr>
        <w:t>3</w:t>
      </w:r>
      <w:r>
        <w:rPr>
          <w:rFonts w:hint="eastAsia" w:asciiTheme="minorEastAsia" w:hAnsiTheme="minorEastAsia" w:eastAsiaTheme="minorEastAsia" w:cstheme="minorEastAsia"/>
          <w:color w:val="auto"/>
          <w:sz w:val="22"/>
          <w:szCs w:val="22"/>
          <w:highlight w:val="none"/>
          <w:u w:val="single"/>
        </w:rPr>
        <w:t xml:space="preserve"> </w:t>
      </w:r>
      <w:r>
        <w:rPr>
          <w:rFonts w:hint="eastAsia" w:asciiTheme="minorEastAsia" w:hAnsiTheme="minorEastAsia" w:eastAsiaTheme="minorEastAsia" w:cstheme="minorEastAsia"/>
          <w:color w:val="auto"/>
          <w:spacing w:val="-19"/>
          <w:sz w:val="22"/>
          <w:szCs w:val="22"/>
          <w:highlight w:val="none"/>
        </w:rPr>
        <w:t xml:space="preserve"> 年</w:t>
      </w:r>
      <w:r>
        <w:rPr>
          <w:rFonts w:hint="eastAsia" w:asciiTheme="minorEastAsia" w:hAnsiTheme="minorEastAsia" w:eastAsiaTheme="minorEastAsia" w:cstheme="minorEastAsia"/>
          <w:color w:val="auto"/>
          <w:spacing w:val="-19"/>
          <w:sz w:val="22"/>
          <w:szCs w:val="22"/>
          <w:highlight w:val="none"/>
          <w:u w:val="single"/>
          <w:lang w:val="en-US" w:eastAsia="zh-CN"/>
        </w:rPr>
        <w:t xml:space="preserve"> 1</w:t>
      </w:r>
      <w:r>
        <w:rPr>
          <w:rFonts w:hint="eastAsia" w:asciiTheme="minorEastAsia" w:hAnsiTheme="minorEastAsia" w:eastAsiaTheme="minorEastAsia" w:cstheme="minorEastAsia"/>
          <w:color w:val="auto"/>
          <w:spacing w:val="-28"/>
          <w:sz w:val="22"/>
          <w:szCs w:val="22"/>
          <w:highlight w:val="none"/>
          <w:u w:val="single"/>
        </w:rPr>
        <w:t xml:space="preserve"> </w:t>
      </w:r>
      <w:r>
        <w:rPr>
          <w:rFonts w:hint="eastAsia" w:asciiTheme="minorEastAsia" w:hAnsiTheme="minorEastAsia" w:eastAsiaTheme="minorEastAsia" w:cstheme="minorEastAsia"/>
          <w:color w:val="auto"/>
          <w:spacing w:val="-28"/>
          <w:sz w:val="22"/>
          <w:szCs w:val="22"/>
          <w:highlight w:val="none"/>
        </w:rPr>
        <w:t>月</w:t>
      </w:r>
      <w:r>
        <w:rPr>
          <w:rFonts w:hint="eastAsia" w:asciiTheme="minorEastAsia" w:hAnsiTheme="minorEastAsia" w:eastAsiaTheme="minorEastAsia" w:cstheme="minorEastAsia"/>
          <w:color w:val="auto"/>
          <w:spacing w:val="1"/>
          <w:sz w:val="22"/>
          <w:szCs w:val="22"/>
          <w:highlight w:val="none"/>
          <w:u w:val="single"/>
          <w:lang w:val="en-US" w:eastAsia="zh-CN"/>
        </w:rPr>
        <w:t xml:space="preserve"> 10 </w:t>
      </w:r>
      <w:r>
        <w:rPr>
          <w:rFonts w:hint="eastAsia" w:asciiTheme="minorEastAsia" w:hAnsiTheme="minorEastAsia" w:eastAsiaTheme="minorEastAsia" w:cstheme="minorEastAsia"/>
          <w:color w:val="auto"/>
          <w:spacing w:val="-27"/>
          <w:sz w:val="22"/>
          <w:szCs w:val="22"/>
          <w:highlight w:val="none"/>
        </w:rPr>
        <w:t>日</w:t>
      </w:r>
      <w:r>
        <w:rPr>
          <w:rFonts w:hint="eastAsia" w:asciiTheme="minorEastAsia" w:hAnsiTheme="minorEastAsia" w:eastAsiaTheme="minorEastAsia" w:cstheme="minorEastAsia"/>
          <w:color w:val="auto"/>
          <w:spacing w:val="1"/>
          <w:sz w:val="22"/>
          <w:szCs w:val="22"/>
          <w:highlight w:val="none"/>
          <w:u w:val="single"/>
          <w:lang w:val="en-US" w:eastAsia="zh-CN"/>
        </w:rPr>
        <w:t xml:space="preserve"> 9 </w:t>
      </w:r>
      <w:r>
        <w:rPr>
          <w:rFonts w:hint="eastAsia" w:asciiTheme="minorEastAsia" w:hAnsiTheme="minorEastAsia" w:eastAsiaTheme="minorEastAsia" w:cstheme="minorEastAsia"/>
          <w:color w:val="auto"/>
          <w:spacing w:val="-1"/>
          <w:sz w:val="22"/>
          <w:szCs w:val="22"/>
          <w:highlight w:val="none"/>
        </w:rPr>
        <w:t>时</w:t>
      </w:r>
      <w:r>
        <w:rPr>
          <w:rFonts w:hint="eastAsia" w:asciiTheme="minorEastAsia" w:hAnsiTheme="minorEastAsia" w:eastAsiaTheme="minorEastAsia" w:cstheme="minorEastAsia"/>
          <w:color w:val="auto"/>
          <w:spacing w:val="-2"/>
          <w:sz w:val="22"/>
          <w:szCs w:val="22"/>
          <w:highlight w:val="none"/>
          <w:u w:val="single"/>
          <w:lang w:val="en-US" w:eastAsia="zh-CN"/>
        </w:rPr>
        <w:t xml:space="preserve"> 30 </w:t>
      </w:r>
      <w:r>
        <w:rPr>
          <w:rFonts w:hint="eastAsia" w:asciiTheme="minorEastAsia" w:hAnsiTheme="minorEastAsia" w:eastAsiaTheme="minorEastAsia" w:cstheme="minorEastAsia"/>
          <w:color w:val="auto"/>
          <w:spacing w:val="-17"/>
          <w:sz w:val="22"/>
          <w:szCs w:val="22"/>
          <w:highlight w:val="none"/>
        </w:rPr>
        <w:t>分。</w:t>
      </w:r>
    </w:p>
    <w:p>
      <w:pPr>
        <w:pStyle w:val="7"/>
        <w:tabs>
          <w:tab w:val="left" w:pos="1051"/>
        </w:tabs>
        <w:snapToGrid w:val="0"/>
        <w:spacing w:before="2" w:line="490" w:lineRule="exact"/>
        <w:ind w:right="271" w:rightChars="113" w:firstLine="428" w:firstLineChars="200"/>
        <w:rPr>
          <w:rFonts w:hint="eastAsia" w:asciiTheme="minorEastAsia" w:hAnsiTheme="minorEastAsia" w:eastAsiaTheme="minorEastAsia" w:cstheme="minorEastAsia"/>
          <w:color w:val="auto"/>
          <w:spacing w:val="-3"/>
          <w:sz w:val="22"/>
          <w:szCs w:val="22"/>
          <w:highlight w:val="none"/>
        </w:rPr>
      </w:pPr>
      <w:r>
        <w:rPr>
          <w:rFonts w:hint="eastAsia" w:asciiTheme="minorEastAsia" w:hAnsiTheme="minorEastAsia" w:eastAsiaTheme="minorEastAsia" w:cstheme="minorEastAsia"/>
          <w:color w:val="auto"/>
          <w:spacing w:val="-3"/>
          <w:sz w:val="22"/>
          <w:szCs w:val="22"/>
          <w:highlight w:val="none"/>
        </w:rPr>
        <w:t>6.2 投标文件递交地址：投标人应于投标截止时间前将投标文件密封送达广州交易集团有限公司（广州公共资源交易中心）</w:t>
      </w:r>
      <w:r>
        <w:rPr>
          <w:rFonts w:hint="eastAsia" w:asciiTheme="minorEastAsia" w:hAnsiTheme="minorEastAsia" w:eastAsiaTheme="minorEastAsia" w:cstheme="minorEastAsia"/>
          <w:color w:val="auto"/>
          <w:spacing w:val="-3"/>
          <w:sz w:val="22"/>
          <w:szCs w:val="22"/>
          <w:highlight w:val="none"/>
          <w:u w:val="single"/>
          <w:lang w:val="en-US" w:eastAsia="zh-CN"/>
        </w:rPr>
        <w:t xml:space="preserve"> 02</w:t>
      </w:r>
      <w:r>
        <w:rPr>
          <w:rFonts w:hint="eastAsia" w:asciiTheme="minorEastAsia" w:hAnsiTheme="minorEastAsia" w:eastAsiaTheme="minorEastAsia" w:cstheme="minorEastAsia"/>
          <w:color w:val="auto"/>
          <w:spacing w:val="-3"/>
          <w:sz w:val="22"/>
          <w:szCs w:val="22"/>
          <w:highlight w:val="none"/>
          <w:u w:val="single"/>
        </w:rPr>
        <w:t xml:space="preserve"> </w:t>
      </w:r>
      <w:r>
        <w:rPr>
          <w:rFonts w:hint="eastAsia" w:asciiTheme="minorEastAsia" w:hAnsiTheme="minorEastAsia" w:eastAsiaTheme="minorEastAsia" w:cstheme="minorEastAsia"/>
          <w:color w:val="auto"/>
          <w:spacing w:val="-3"/>
          <w:sz w:val="22"/>
          <w:szCs w:val="22"/>
          <w:highlight w:val="none"/>
        </w:rPr>
        <w:t>号</w:t>
      </w:r>
      <w:bookmarkStart w:id="576" w:name="_GoBack"/>
      <w:bookmarkEnd w:id="576"/>
      <w:r>
        <w:rPr>
          <w:rFonts w:hint="eastAsia" w:asciiTheme="minorEastAsia" w:hAnsiTheme="minorEastAsia" w:eastAsiaTheme="minorEastAsia" w:cstheme="minorEastAsia"/>
          <w:color w:val="auto"/>
          <w:spacing w:val="-3"/>
          <w:sz w:val="22"/>
          <w:szCs w:val="22"/>
          <w:highlight w:val="none"/>
        </w:rPr>
        <w:t>开标室，具体以交标当天大屏幕显示的开标室为准。（地址：广州市天河区天润路333号）</w:t>
      </w:r>
    </w:p>
    <w:p>
      <w:pPr>
        <w:pStyle w:val="7"/>
        <w:tabs>
          <w:tab w:val="left" w:pos="1051"/>
        </w:tabs>
        <w:snapToGrid w:val="0"/>
        <w:spacing w:before="2" w:line="490" w:lineRule="exact"/>
        <w:ind w:right="271" w:rightChars="113" w:firstLine="214" w:firstLineChars="100"/>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color w:val="auto"/>
          <w:spacing w:val="-3"/>
          <w:sz w:val="22"/>
          <w:szCs w:val="22"/>
          <w:highlight w:val="none"/>
        </w:rPr>
        <w:t xml:space="preserve">  6.3 逾期送达的或未送达指定地点的投标文件 ，招标人或招标代理机构不予受理。</w:t>
      </w:r>
    </w:p>
    <w:p>
      <w:pPr>
        <w:snapToGrid w:val="0"/>
        <w:spacing w:line="500" w:lineRule="atLeast"/>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七、发布公告的媒介</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 xml:space="preserve">本次招标公告同时在广东省招标投标监管网http://zbtb.gd.gov.cn/login、广州交易集团有限公司（广州公共资源交易中心）网http://www.gzggzy.cn/上发布。招标公告的修改、补充，在广东省招标投标监管网和广州交易集团有限公司（广州公共资源交易中心）上发布。如媒体发布公告不一致者，以广东省招标投标监管网为准。  </w:t>
      </w:r>
    </w:p>
    <w:p>
      <w:pPr>
        <w:numPr>
          <w:ilvl w:val="0"/>
          <w:numId w:val="6"/>
        </w:numPr>
        <w:snapToGrid w:val="0"/>
        <w:spacing w:line="500" w:lineRule="atLeast"/>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异议与投诉</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根据《中华人民共和国招标投标法实施条例》第二十二条，潜在投标人或其他利害关系人认为本公告及招标文件的内容违法违规或不公平、不公正，损害其利益的，可以向招标人提出异议（异议应当在投标截止时间10日前提出）。对招标人答复不满意或者招标人未在规定的时间内作出答复的，可以自知道或应当知道之日起10日内向</w:t>
      </w:r>
      <w:r>
        <w:rPr>
          <w:rFonts w:hint="eastAsia" w:asciiTheme="minorEastAsia" w:hAnsiTheme="minorEastAsia" w:eastAsiaTheme="minorEastAsia" w:cstheme="minorEastAsia"/>
          <w:color w:val="auto"/>
          <w:spacing w:val="-3"/>
          <w:sz w:val="22"/>
          <w:szCs w:val="22"/>
          <w:highlight w:val="none"/>
          <w:u w:val="single"/>
          <w:lang w:eastAsia="zh-CN"/>
        </w:rPr>
        <w:t>江门市和兴置业发展有限公司</w:t>
      </w:r>
      <w:r>
        <w:rPr>
          <w:rFonts w:hint="eastAsia" w:asciiTheme="minorEastAsia" w:hAnsiTheme="minorEastAsia" w:eastAsiaTheme="minorEastAsia" w:cstheme="minorEastAsia"/>
          <w:color w:val="auto"/>
          <w:spacing w:val="-3"/>
          <w:sz w:val="22"/>
          <w:szCs w:val="22"/>
          <w:highlight w:val="none"/>
        </w:rPr>
        <w:t>实名投诉，电话：</w:t>
      </w:r>
      <w:r>
        <w:rPr>
          <w:rFonts w:hint="eastAsia" w:asciiTheme="minorEastAsia" w:hAnsiTheme="minorEastAsia" w:eastAsiaTheme="minorEastAsia" w:cstheme="minorEastAsia"/>
          <w:color w:val="auto"/>
          <w:spacing w:val="-3"/>
          <w:sz w:val="22"/>
          <w:szCs w:val="22"/>
          <w:highlight w:val="none"/>
          <w:u w:val="single"/>
        </w:rPr>
        <w:t>0750-3429868</w:t>
      </w:r>
      <w:r>
        <w:rPr>
          <w:rFonts w:hint="eastAsia" w:asciiTheme="minorEastAsia" w:hAnsiTheme="minorEastAsia" w:eastAsiaTheme="minorEastAsia" w:cstheme="minorEastAsia"/>
          <w:color w:val="auto"/>
          <w:spacing w:val="-3"/>
          <w:sz w:val="22"/>
          <w:szCs w:val="22"/>
          <w:highlight w:val="none"/>
        </w:rPr>
        <w:t>。</w:t>
      </w:r>
      <w:r>
        <w:rPr>
          <w:rFonts w:hint="eastAsia" w:asciiTheme="minorEastAsia" w:hAnsiTheme="minorEastAsia" w:eastAsiaTheme="minorEastAsia" w:cstheme="minorEastAsia"/>
          <w:color w:val="auto"/>
          <w:sz w:val="22"/>
          <w:szCs w:val="22"/>
          <w:highlight w:val="none"/>
        </w:rPr>
        <w:t xml:space="preserve"> (具体要求依照《工程建设项目招标投标活动投诉处理办法》）潜在投标人或其他利害关系人应当充分重视异议、投诉提出的时限，避免异议权、投诉权因时效原因而灭失。 </w:t>
      </w:r>
      <w:bookmarkStart w:id="51" w:name="_Toc71855559"/>
      <w:bookmarkStart w:id="52" w:name="_Toc103022613"/>
      <w:bookmarkStart w:id="53" w:name="_Toc71854297"/>
      <w:bookmarkStart w:id="54" w:name="_Toc71854901"/>
      <w:bookmarkStart w:id="55" w:name="_Toc71855214"/>
      <w:bookmarkStart w:id="56" w:name="_Toc102907723"/>
    </w:p>
    <w:p>
      <w:pPr>
        <w:numPr>
          <w:ilvl w:val="0"/>
          <w:numId w:val="6"/>
        </w:numPr>
        <w:snapToGrid w:val="0"/>
        <w:spacing w:line="500" w:lineRule="atLeast"/>
        <w:rPr>
          <w:rFonts w:hint="eastAsia" w:asciiTheme="minorEastAsia" w:hAnsiTheme="minorEastAsia" w:eastAsiaTheme="minorEastAsia" w:cstheme="minorEastAsia"/>
          <w:b/>
          <w:color w:val="auto"/>
          <w:sz w:val="22"/>
          <w:szCs w:val="22"/>
          <w:highlight w:val="none"/>
        </w:rPr>
      </w:pPr>
      <w:r>
        <w:rPr>
          <w:rFonts w:hint="eastAsia" w:asciiTheme="minorEastAsia" w:hAnsiTheme="minorEastAsia" w:eastAsiaTheme="minorEastAsia" w:cstheme="minorEastAsia"/>
          <w:b/>
          <w:color w:val="auto"/>
          <w:sz w:val="22"/>
          <w:szCs w:val="22"/>
          <w:highlight w:val="none"/>
        </w:rPr>
        <w:t>联系方式</w:t>
      </w:r>
      <w:bookmarkEnd w:id="23"/>
      <w:bookmarkEnd w:id="51"/>
      <w:bookmarkEnd w:id="52"/>
      <w:bookmarkEnd w:id="53"/>
      <w:bookmarkEnd w:id="54"/>
      <w:bookmarkEnd w:id="55"/>
      <w:bookmarkEnd w:id="56"/>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9.1 招标人</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名称：</w:t>
      </w:r>
      <w:r>
        <w:rPr>
          <w:rFonts w:hint="eastAsia" w:asciiTheme="minorEastAsia" w:hAnsiTheme="minorEastAsia" w:eastAsiaTheme="minorEastAsia" w:cstheme="minorEastAsia"/>
          <w:color w:val="auto"/>
          <w:sz w:val="22"/>
          <w:szCs w:val="22"/>
          <w:highlight w:val="none"/>
          <w:lang w:eastAsia="zh-CN"/>
        </w:rPr>
        <w:t>江门市悦兴置业有限公司</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 xml:space="preserve">联系人：余工 </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联系方式：0750-3430505</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9.2 招标代理机构</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名称：广东万诚工程造价咨询有限公司</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联系人：林施彤</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联系方式：13729078993</w:t>
      </w:r>
    </w:p>
    <w:p>
      <w:pPr>
        <w:snapToGrid w:val="0"/>
        <w:spacing w:line="500" w:lineRule="atLeast"/>
        <w:ind w:firstLine="440" w:firstLineChars="200"/>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电子邮箱：zjvczhaobiao@163.com</w:t>
      </w:r>
    </w:p>
    <w:p>
      <w:pPr>
        <w:pStyle w:val="2"/>
        <w:rPr>
          <w:rFonts w:hint="eastAsia" w:asciiTheme="minorEastAsia" w:hAnsiTheme="minorEastAsia" w:eastAsiaTheme="minorEastAsia" w:cstheme="minorEastAsia"/>
          <w:color w:val="auto"/>
          <w:sz w:val="22"/>
          <w:szCs w:val="22"/>
          <w:highlight w:val="none"/>
        </w:rPr>
      </w:pPr>
    </w:p>
    <w:p>
      <w:pPr>
        <w:ind w:firstLine="440" w:firstLineChars="200"/>
        <w:rPr>
          <w:rFonts w:hint="eastAsia" w:asciiTheme="minorEastAsia" w:hAnsiTheme="minorEastAsia" w:eastAsiaTheme="minorEastAsia" w:cstheme="minorEastAsia"/>
          <w:color w:val="auto"/>
          <w:sz w:val="22"/>
          <w:szCs w:val="22"/>
          <w:highlight w:val="none"/>
        </w:rPr>
      </w:pPr>
    </w:p>
    <w:p>
      <w:pPr>
        <w:snapToGrid w:val="0"/>
        <w:spacing w:line="500" w:lineRule="atLeast"/>
        <w:ind w:firstLine="440" w:firstLineChars="200"/>
        <w:jc w:val="center"/>
        <w:rPr>
          <w:rFonts w:hint="eastAsia" w:asciiTheme="minorEastAsia" w:hAnsiTheme="minorEastAsia" w:eastAsiaTheme="minorEastAsia" w:cstheme="minorEastAsia"/>
          <w:color w:val="auto"/>
          <w:sz w:val="22"/>
          <w:szCs w:val="22"/>
          <w:highlight w:val="none"/>
          <w:lang w:eastAsia="zh-CN"/>
        </w:rPr>
      </w:pPr>
      <w:r>
        <w:rPr>
          <w:rFonts w:hint="eastAsia" w:asciiTheme="minorEastAsia" w:hAnsiTheme="minorEastAsia" w:eastAsiaTheme="minorEastAsia" w:cstheme="minorEastAsia"/>
          <w:color w:val="auto"/>
          <w:sz w:val="22"/>
          <w:szCs w:val="22"/>
          <w:highlight w:val="none"/>
        </w:rPr>
        <w:t xml:space="preserve">                       招标人：</w:t>
      </w:r>
      <w:r>
        <w:rPr>
          <w:rFonts w:hint="eastAsia" w:asciiTheme="minorEastAsia" w:hAnsiTheme="minorEastAsia" w:eastAsiaTheme="minorEastAsia" w:cstheme="minorEastAsia"/>
          <w:color w:val="auto"/>
          <w:sz w:val="22"/>
          <w:szCs w:val="22"/>
          <w:highlight w:val="none"/>
          <w:lang w:eastAsia="zh-CN"/>
        </w:rPr>
        <w:t>江门市悦兴置业有限公司</w:t>
      </w:r>
    </w:p>
    <w:p>
      <w:pPr>
        <w:snapToGrid w:val="0"/>
        <w:spacing w:line="500" w:lineRule="atLeast"/>
        <w:ind w:firstLine="440" w:firstLineChars="20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 xml:space="preserve">                         招标代理机构：广东万诚工程造价咨询有限公司</w:t>
      </w:r>
    </w:p>
    <w:p>
      <w:pPr>
        <w:snapToGrid w:val="0"/>
        <w:spacing w:line="500" w:lineRule="atLeast"/>
        <w:ind w:firstLine="440" w:firstLineChars="200"/>
        <w:jc w:val="center"/>
        <w:rPr>
          <w:rFonts w:hint="eastAsia" w:asciiTheme="minorEastAsia" w:hAnsiTheme="minorEastAsia" w:eastAsiaTheme="minorEastAsia" w:cstheme="minorEastAsia"/>
          <w:color w:val="auto"/>
          <w:sz w:val="22"/>
          <w:szCs w:val="22"/>
          <w:highlight w:val="none"/>
        </w:rPr>
      </w:pPr>
      <w:r>
        <w:rPr>
          <w:rFonts w:hint="eastAsia" w:asciiTheme="minorEastAsia" w:hAnsiTheme="minorEastAsia" w:eastAsiaTheme="minorEastAsia" w:cstheme="minorEastAsia"/>
          <w:color w:val="auto"/>
          <w:sz w:val="22"/>
          <w:szCs w:val="22"/>
          <w:highlight w:val="none"/>
        </w:rPr>
        <w:t xml:space="preserve">                     2022年</w:t>
      </w:r>
      <w:r>
        <w:rPr>
          <w:rFonts w:hint="eastAsia" w:asciiTheme="minorEastAsia" w:hAnsiTheme="minorEastAsia" w:eastAsiaTheme="minorEastAsia" w:cstheme="minorEastAsia"/>
          <w:color w:val="auto"/>
          <w:sz w:val="22"/>
          <w:szCs w:val="22"/>
          <w:highlight w:val="none"/>
          <w:lang w:val="en-US" w:eastAsia="zh-CN"/>
        </w:rPr>
        <w:t>12</w:t>
      </w:r>
      <w:r>
        <w:rPr>
          <w:rFonts w:hint="eastAsia" w:asciiTheme="minorEastAsia" w:hAnsiTheme="minorEastAsia" w:eastAsiaTheme="minorEastAsia" w:cstheme="minorEastAsia"/>
          <w:color w:val="auto"/>
          <w:sz w:val="22"/>
          <w:szCs w:val="22"/>
          <w:highlight w:val="none"/>
        </w:rPr>
        <w:t>月</w:t>
      </w:r>
      <w:r>
        <w:rPr>
          <w:rFonts w:hint="eastAsia" w:asciiTheme="minorEastAsia" w:hAnsiTheme="minorEastAsia" w:eastAsiaTheme="minorEastAsia" w:cstheme="minorEastAsia"/>
          <w:color w:val="auto"/>
          <w:sz w:val="22"/>
          <w:szCs w:val="22"/>
          <w:highlight w:val="none"/>
          <w:lang w:val="en-US" w:eastAsia="zh-CN"/>
        </w:rPr>
        <w:t>20</w:t>
      </w:r>
      <w:r>
        <w:rPr>
          <w:rFonts w:hint="eastAsia" w:asciiTheme="minorEastAsia" w:hAnsiTheme="minorEastAsia" w:eastAsiaTheme="minorEastAsia" w:cstheme="minorEastAsia"/>
          <w:color w:val="auto"/>
          <w:sz w:val="22"/>
          <w:szCs w:val="22"/>
          <w:highlight w:val="none"/>
        </w:rPr>
        <w:t>日</w:t>
      </w:r>
    </w:p>
    <w:p>
      <w:pPr>
        <w:pStyle w:val="2"/>
        <w:rPr>
          <w:rFonts w:ascii="宋体" w:hAnsi="宋体" w:eastAsia="宋体" w:cs="宋体"/>
          <w:color w:val="auto"/>
          <w:sz w:val="22"/>
          <w:szCs w:val="22"/>
          <w:highlight w:val="none"/>
        </w:rPr>
      </w:pPr>
    </w:p>
    <w:p>
      <w:pPr>
        <w:rPr>
          <w:b/>
          <w:color w:val="auto"/>
          <w:sz w:val="32"/>
          <w:szCs w:val="32"/>
          <w:highlight w:val="none"/>
        </w:rPr>
      </w:pPr>
      <w:r>
        <w:rPr>
          <w:rFonts w:hint="eastAsia"/>
          <w:b/>
          <w:color w:val="auto"/>
          <w:sz w:val="32"/>
          <w:szCs w:val="32"/>
          <w:highlight w:val="none"/>
        </w:rPr>
        <w:br w:type="page"/>
      </w:r>
    </w:p>
    <w:bookmarkEnd w:id="24"/>
    <w:bookmarkEnd w:id="25"/>
    <w:p>
      <w:pPr>
        <w:rPr>
          <w:rFonts w:hAnsi="宋体"/>
          <w:strike/>
          <w:color w:val="auto"/>
          <w:highlight w:val="none"/>
        </w:rPr>
      </w:pPr>
      <w:bookmarkStart w:id="57" w:name="_Toc71854903"/>
      <w:bookmarkStart w:id="58" w:name="_Toc102907725"/>
      <w:bookmarkStart w:id="59" w:name="_Toc103022614"/>
      <w:bookmarkStart w:id="60" w:name="_Toc99970089"/>
      <w:bookmarkStart w:id="61" w:name="_Toc71855216"/>
      <w:bookmarkStart w:id="62" w:name="_Toc71854299"/>
      <w:bookmarkStart w:id="63" w:name="_Toc71855561"/>
    </w:p>
    <w:p>
      <w:pPr>
        <w:pStyle w:val="4"/>
        <w:tabs>
          <w:tab w:val="left" w:pos="4058"/>
        </w:tabs>
        <w:kinsoku w:val="0"/>
        <w:overflowPunct w:val="0"/>
        <w:spacing w:line="580" w:lineRule="exact"/>
        <w:ind w:left="2138"/>
        <w:rPr>
          <w:rFonts w:hAnsi="宋体"/>
          <w:color w:val="auto"/>
          <w:highlight w:val="none"/>
        </w:rPr>
      </w:pPr>
      <w:bookmarkStart w:id="64" w:name="_Toc6066"/>
      <w:r>
        <w:rPr>
          <w:rFonts w:hint="eastAsia" w:hAnsi="宋体"/>
          <w:color w:val="auto"/>
          <w:highlight w:val="none"/>
        </w:rPr>
        <w:t>第二章</w:t>
      </w:r>
      <w:r>
        <w:rPr>
          <w:rFonts w:hAnsi="宋体"/>
          <w:color w:val="auto"/>
          <w:highlight w:val="none"/>
        </w:rPr>
        <w:tab/>
      </w:r>
      <w:r>
        <w:rPr>
          <w:rFonts w:hint="eastAsia" w:hAnsi="宋体"/>
          <w:color w:val="auto"/>
          <w:highlight w:val="none"/>
        </w:rPr>
        <w:t>投标人须知</w:t>
      </w:r>
      <w:bookmarkEnd w:id="57"/>
      <w:bookmarkEnd w:id="58"/>
      <w:bookmarkEnd w:id="59"/>
      <w:bookmarkEnd w:id="60"/>
      <w:bookmarkEnd w:id="61"/>
      <w:bookmarkEnd w:id="62"/>
      <w:bookmarkEnd w:id="63"/>
      <w:bookmarkEnd w:id="64"/>
    </w:p>
    <w:p>
      <w:pPr>
        <w:rPr>
          <w:rFonts w:ascii="宋体" w:hAnsi="宋体"/>
          <w:color w:val="auto"/>
          <w:highlight w:val="none"/>
        </w:rPr>
      </w:pPr>
    </w:p>
    <w:p>
      <w:pPr>
        <w:spacing w:line="366" w:lineRule="exact"/>
        <w:jc w:val="center"/>
        <w:outlineLvl w:val="1"/>
        <w:rPr>
          <w:rFonts w:ascii="宋体" w:hAnsi="宋体"/>
          <w:b/>
          <w:color w:val="auto"/>
          <w:sz w:val="32"/>
          <w:highlight w:val="none"/>
        </w:rPr>
      </w:pPr>
      <w:bookmarkStart w:id="65" w:name="_Toc71376928"/>
      <w:bookmarkStart w:id="66" w:name="_Toc71855562"/>
      <w:bookmarkStart w:id="67" w:name="_Toc99970090"/>
      <w:bookmarkStart w:id="68" w:name="_Toc71854904"/>
      <w:bookmarkStart w:id="69" w:name="_Toc102907726"/>
      <w:bookmarkStart w:id="70" w:name="_Toc71854300"/>
      <w:bookmarkStart w:id="71" w:name="_Toc103022615"/>
      <w:bookmarkStart w:id="72" w:name="_Toc71855217"/>
      <w:r>
        <w:rPr>
          <w:rFonts w:hint="eastAsia" w:ascii="宋体" w:hAnsi="宋体"/>
          <w:b/>
          <w:color w:val="auto"/>
          <w:sz w:val="32"/>
          <w:highlight w:val="none"/>
        </w:rPr>
        <w:t>投标人须知前附表</w:t>
      </w:r>
      <w:bookmarkEnd w:id="65"/>
      <w:bookmarkEnd w:id="66"/>
      <w:bookmarkEnd w:id="67"/>
      <w:bookmarkEnd w:id="68"/>
      <w:bookmarkEnd w:id="69"/>
      <w:bookmarkEnd w:id="70"/>
      <w:bookmarkEnd w:id="71"/>
      <w:bookmarkEnd w:id="72"/>
    </w:p>
    <w:p>
      <w:pPr>
        <w:rPr>
          <w:rFonts w:ascii="宋体" w:hAnsi="宋体"/>
          <w:color w:val="auto"/>
          <w:highlight w:val="none"/>
        </w:rPr>
      </w:pPr>
    </w:p>
    <w:tbl>
      <w:tblPr>
        <w:tblStyle w:val="23"/>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9"/>
        <w:gridCol w:w="2311"/>
        <w:gridCol w:w="5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blHeader/>
        </w:trPr>
        <w:tc>
          <w:tcPr>
            <w:tcW w:w="979" w:type="dxa"/>
            <w:vAlign w:val="center"/>
          </w:tcPr>
          <w:p>
            <w:pPr>
              <w:spacing w:line="420" w:lineRule="exact"/>
              <w:jc w:val="both"/>
              <w:rPr>
                <w:rFonts w:ascii="宋体" w:hAnsi="宋体"/>
                <w:b/>
                <w:bCs/>
                <w:color w:val="auto"/>
                <w:sz w:val="21"/>
                <w:szCs w:val="21"/>
                <w:highlight w:val="none"/>
              </w:rPr>
            </w:pPr>
            <w:r>
              <w:rPr>
                <w:rFonts w:hint="eastAsia" w:ascii="宋体" w:hAnsi="宋体"/>
                <w:b/>
                <w:bCs/>
                <w:color w:val="auto"/>
                <w:sz w:val="21"/>
                <w:szCs w:val="21"/>
                <w:highlight w:val="none"/>
              </w:rPr>
              <w:t>条款号</w:t>
            </w:r>
          </w:p>
        </w:tc>
        <w:tc>
          <w:tcPr>
            <w:tcW w:w="2311" w:type="dxa"/>
            <w:vAlign w:val="center"/>
          </w:tcPr>
          <w:p>
            <w:pPr>
              <w:spacing w:line="420" w:lineRule="exact"/>
              <w:jc w:val="both"/>
              <w:rPr>
                <w:rFonts w:ascii="宋体" w:hAnsi="宋体"/>
                <w:b/>
                <w:bCs/>
                <w:color w:val="auto"/>
                <w:sz w:val="21"/>
                <w:szCs w:val="21"/>
                <w:highlight w:val="none"/>
              </w:rPr>
            </w:pPr>
            <w:r>
              <w:rPr>
                <w:rFonts w:hint="eastAsia" w:ascii="宋体" w:hAnsi="宋体"/>
                <w:b/>
                <w:bCs/>
                <w:color w:val="auto"/>
                <w:sz w:val="21"/>
                <w:szCs w:val="21"/>
                <w:highlight w:val="none"/>
              </w:rPr>
              <w:t>条款名称</w:t>
            </w:r>
          </w:p>
        </w:tc>
        <w:tc>
          <w:tcPr>
            <w:tcW w:w="5782" w:type="dxa"/>
            <w:vAlign w:val="center"/>
          </w:tcPr>
          <w:p>
            <w:pPr>
              <w:spacing w:line="420" w:lineRule="exact"/>
              <w:jc w:val="both"/>
              <w:rPr>
                <w:rFonts w:ascii="宋体" w:hAnsi="宋体"/>
                <w:b/>
                <w:bCs/>
                <w:color w:val="auto"/>
                <w:sz w:val="21"/>
                <w:szCs w:val="21"/>
                <w:highlight w:val="none"/>
              </w:rPr>
            </w:pPr>
            <w:r>
              <w:rPr>
                <w:rFonts w:hint="eastAsia" w:ascii="宋体" w:hAnsi="宋体"/>
                <w:b/>
                <w:bCs/>
                <w:color w:val="auto"/>
                <w:sz w:val="21"/>
                <w:szCs w:val="21"/>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招标人</w:t>
            </w:r>
          </w:p>
        </w:tc>
        <w:tc>
          <w:tcPr>
            <w:tcW w:w="5782" w:type="dxa"/>
            <w:vAlign w:val="center"/>
          </w:tcPr>
          <w:p>
            <w:pPr>
              <w:spacing w:line="420" w:lineRule="exac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名称：</w:t>
            </w:r>
            <w:r>
              <w:rPr>
                <w:rFonts w:hint="eastAsia" w:ascii="宋体" w:hAnsi="宋体"/>
                <w:color w:val="auto"/>
                <w:sz w:val="21"/>
                <w:szCs w:val="21"/>
                <w:highlight w:val="none"/>
                <w:lang w:eastAsia="zh-CN"/>
              </w:rPr>
              <w:t>江门市悦兴置业有限公司</w:t>
            </w:r>
          </w:p>
          <w:p>
            <w:pPr>
              <w:spacing w:line="420" w:lineRule="exac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联系人：</w:t>
            </w:r>
            <w:r>
              <w:rPr>
                <w:rFonts w:hint="eastAsia" w:ascii="宋体" w:hAnsi="宋体"/>
                <w:color w:val="auto"/>
                <w:sz w:val="21"/>
                <w:szCs w:val="21"/>
                <w:highlight w:val="none"/>
                <w:lang w:eastAsia="zh-CN"/>
              </w:rPr>
              <w:t>余工</w:t>
            </w:r>
          </w:p>
          <w:p>
            <w:pPr>
              <w:spacing w:line="420" w:lineRule="exact"/>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电话：</w:t>
            </w:r>
            <w:r>
              <w:rPr>
                <w:rFonts w:hint="eastAsia" w:ascii="宋体" w:hAnsi="宋体"/>
                <w:color w:val="auto"/>
                <w:sz w:val="21"/>
                <w:szCs w:val="21"/>
                <w:highlight w:val="none"/>
                <w:lang w:eastAsia="zh-CN"/>
              </w:rPr>
              <w:t>0750-3430505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1.1.3</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招标代理机构</w:t>
            </w:r>
          </w:p>
        </w:tc>
        <w:tc>
          <w:tcPr>
            <w:tcW w:w="5782" w:type="dxa"/>
            <w:vAlign w:val="center"/>
          </w:tcPr>
          <w:p>
            <w:pPr>
              <w:spacing w:line="420" w:lineRule="exact"/>
              <w:rPr>
                <w:rFonts w:ascii="宋体" w:hAnsi="宋体"/>
                <w:color w:val="auto"/>
                <w:sz w:val="21"/>
                <w:szCs w:val="21"/>
                <w:highlight w:val="none"/>
              </w:rPr>
            </w:pPr>
            <w:r>
              <w:rPr>
                <w:rFonts w:hint="eastAsia" w:ascii="宋体" w:hAnsi="宋体"/>
                <w:color w:val="auto"/>
                <w:sz w:val="21"/>
                <w:szCs w:val="21"/>
                <w:highlight w:val="none"/>
              </w:rPr>
              <w:t>名称：广东万诚工程造价咨询有限公司</w:t>
            </w:r>
          </w:p>
          <w:p>
            <w:pPr>
              <w:spacing w:line="420" w:lineRule="exact"/>
              <w:rPr>
                <w:rFonts w:ascii="宋体" w:hAnsi="宋体"/>
                <w:color w:val="auto"/>
                <w:sz w:val="21"/>
                <w:szCs w:val="21"/>
                <w:highlight w:val="none"/>
              </w:rPr>
            </w:pPr>
            <w:r>
              <w:rPr>
                <w:rFonts w:hint="eastAsia" w:ascii="宋体" w:hAnsi="宋体"/>
                <w:color w:val="auto"/>
                <w:sz w:val="21"/>
                <w:szCs w:val="21"/>
                <w:highlight w:val="none"/>
              </w:rPr>
              <w:t>联系人：林施彤</w:t>
            </w:r>
          </w:p>
          <w:p>
            <w:pPr>
              <w:spacing w:line="420" w:lineRule="exact"/>
              <w:rPr>
                <w:rFonts w:ascii="宋体" w:hAnsi="宋体"/>
                <w:color w:val="auto"/>
                <w:sz w:val="21"/>
                <w:szCs w:val="21"/>
                <w:highlight w:val="none"/>
              </w:rPr>
            </w:pPr>
            <w:r>
              <w:rPr>
                <w:rFonts w:hint="eastAsia" w:ascii="宋体" w:hAnsi="宋体"/>
                <w:color w:val="auto"/>
                <w:sz w:val="21"/>
                <w:szCs w:val="21"/>
                <w:highlight w:val="none"/>
              </w:rPr>
              <w:t>电话：13729078993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1.1.4</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招标项目名称</w:t>
            </w:r>
          </w:p>
        </w:tc>
        <w:tc>
          <w:tcPr>
            <w:tcW w:w="5782" w:type="dxa"/>
            <w:vAlign w:val="center"/>
          </w:tcPr>
          <w:p>
            <w:pPr>
              <w:spacing w:line="420" w:lineRule="exact"/>
              <w:rPr>
                <w:rFonts w:ascii="宋体" w:hAnsi="宋体"/>
                <w:color w:val="auto"/>
                <w:sz w:val="21"/>
                <w:szCs w:val="21"/>
                <w:highlight w:val="none"/>
              </w:rPr>
            </w:pPr>
            <w:r>
              <w:rPr>
                <w:rFonts w:hint="eastAsia" w:ascii="宋体" w:hAnsi="宋体"/>
                <w:color w:val="auto"/>
                <w:sz w:val="21"/>
                <w:szCs w:val="21"/>
                <w:highlight w:val="none"/>
                <w:lang w:eastAsia="zh-CN"/>
              </w:rPr>
              <w:t>江门市悦兴置业有限公司悦璟苑小区项目全过程工程咨询服务（工程监理、工程造价咨询）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1.1.5</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项目建设地点</w:t>
            </w:r>
          </w:p>
        </w:tc>
        <w:tc>
          <w:tcPr>
            <w:tcW w:w="5782" w:type="dxa"/>
            <w:vAlign w:val="center"/>
          </w:tcPr>
          <w:p>
            <w:pPr>
              <w:spacing w:line="420" w:lineRule="exact"/>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eastAsia="zh-CN"/>
              </w:rPr>
              <w:t>江门市江海区金瓯路与东海路交叉口西南侧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1.1.6</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项目建设规模</w:t>
            </w:r>
          </w:p>
        </w:tc>
        <w:tc>
          <w:tcPr>
            <w:tcW w:w="5782" w:type="dxa"/>
            <w:vAlign w:val="center"/>
          </w:tcPr>
          <w:p>
            <w:pPr>
              <w:spacing w:line="420" w:lineRule="exact"/>
              <w:rPr>
                <w:rFonts w:ascii="宋体" w:hAnsi="宋体"/>
                <w:color w:val="auto"/>
                <w:sz w:val="21"/>
                <w:szCs w:val="21"/>
                <w:highlight w:val="none"/>
              </w:rPr>
            </w:pPr>
            <w:r>
              <w:rPr>
                <w:rFonts w:hint="eastAsia" w:ascii="宋体" w:hAnsi="宋体"/>
                <w:color w:val="auto"/>
                <w:sz w:val="21"/>
                <w:szCs w:val="21"/>
                <w:highlight w:val="none"/>
                <w:lang w:eastAsia="zh-CN"/>
              </w:rPr>
              <w:t>项目总建筑面积为47341.33㎡。其中，住宅总建筑面积为 33220.00㎡；商业建筑总建筑面积为885㎡；配套公共设施总建筑面积为1147㎡(含物业管理用房、社区服务中心、配电房、泵房、消防控制室、人防报警室等)，不计容建筑面积12089.33㎡(含住宅架空层和地下室建筑)，配套停车位360个（其中地上34个，地下326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1.1.8</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项目总投资</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约</w:t>
            </w:r>
            <w:r>
              <w:rPr>
                <w:rFonts w:hint="eastAsia" w:ascii="宋体" w:hAnsi="宋体"/>
                <w:color w:val="auto"/>
                <w:sz w:val="21"/>
                <w:szCs w:val="21"/>
                <w:highlight w:val="none"/>
                <w:lang w:eastAsia="zh-CN"/>
              </w:rPr>
              <w:t>42856.56</w:t>
            </w:r>
            <w:r>
              <w:rPr>
                <w:rFonts w:hint="eastAsia" w:ascii="宋体" w:hAnsi="宋体"/>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1.2.1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资金来源及比例</w:t>
            </w:r>
          </w:p>
        </w:tc>
        <w:tc>
          <w:tcPr>
            <w:tcW w:w="5782" w:type="dxa"/>
            <w:vAlign w:val="center"/>
          </w:tcPr>
          <w:p>
            <w:pPr>
              <w:spacing w:line="420" w:lineRule="exact"/>
              <w:jc w:val="both"/>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1.2.2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资金落实情况</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资金已落实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1.3.1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招标范围</w:t>
            </w:r>
          </w:p>
        </w:tc>
        <w:tc>
          <w:tcPr>
            <w:tcW w:w="5782" w:type="dxa"/>
            <w:vAlign w:val="center"/>
          </w:tcPr>
          <w:p>
            <w:pPr>
              <w:snapToGrid w:val="0"/>
              <w:spacing w:line="420" w:lineRule="exact"/>
              <w:jc w:val="both"/>
              <w:rPr>
                <w:rFonts w:hint="eastAsia" w:ascii="宋体" w:hAnsi="宋体"/>
                <w:color w:val="auto"/>
                <w:sz w:val="21"/>
                <w:szCs w:val="21"/>
                <w:highlight w:val="none"/>
              </w:rPr>
            </w:pPr>
            <w:r>
              <w:rPr>
                <w:rFonts w:hint="eastAsia" w:ascii="宋体" w:hAnsi="宋体"/>
                <w:color w:val="auto"/>
                <w:sz w:val="21"/>
                <w:szCs w:val="21"/>
                <w:highlight w:val="none"/>
              </w:rPr>
              <w:t>（1）工程监理：包括但不限于本项目准备阶段、施工准备阶段、施工阶段、设备阶段、竣工结算阶段及工程质量保修阶段的质量控制、安全生产监督管理、投资控制、进度控制、合同管理、信息管理、组织协调等监理工作以及缺陷责任期内的监理服务和相关专业技术咨询服务。</w:t>
            </w:r>
          </w:p>
          <w:p>
            <w:pPr>
              <w:snapToGrid w:val="0"/>
              <w:spacing w:line="420" w:lineRule="exact"/>
              <w:jc w:val="both"/>
              <w:rPr>
                <w:rFonts w:ascii="宋体" w:hAnsi="宋体"/>
                <w:color w:val="auto"/>
                <w:sz w:val="21"/>
                <w:szCs w:val="21"/>
                <w:highlight w:val="none"/>
              </w:rPr>
            </w:pPr>
            <w:r>
              <w:rPr>
                <w:rFonts w:hint="eastAsia" w:ascii="宋体" w:hAnsi="宋体"/>
                <w:color w:val="auto"/>
                <w:sz w:val="21"/>
                <w:szCs w:val="21"/>
                <w:highlight w:val="none"/>
              </w:rPr>
              <w:t>（2）全过程造价咨询：工作内容包括但不限于：1）投资控制；2）设计概算审核（编制）与调整；3）施工图预算审核（编制）；4）招标工程量清单编制和招标控制价编制与审查；5）协助委托人拟定施工合同及其他各类合同的相关造价条款；6）进度款、工程款支付审核；7）主材单价、综合单价、合同变更费用审核；8）勘察费、设计费、监理费、基坑监测、白蚁防治、消防检测、节能检测、节能（绿建）检测、人防检测、质量检测等第三方检验检测、监测、服务费用审核；9）图纸设计变更会签、材料设备看样定板会签；10）现场签证、工程变更的工程量和造价预算的编制或审核，确认变更价款；11）参与材料设备品牌选定、询价与核价工作；12）项目新增工程预算编制、审核；13）工程索赔审核；14）结算审核（编制）；15）计算和审核标准工期；</w:t>
            </w:r>
            <w:r>
              <w:rPr>
                <w:rFonts w:hint="eastAsia" w:ascii="宋体" w:hAnsi="宋体"/>
                <w:color w:val="auto"/>
                <w:sz w:val="21"/>
                <w:szCs w:val="21"/>
                <w:highlight w:val="none"/>
                <w:lang w:val="en-US" w:eastAsia="zh-CN"/>
              </w:rPr>
              <w:t>16</w:t>
            </w:r>
            <w:r>
              <w:rPr>
                <w:rFonts w:hint="eastAsia" w:ascii="宋体" w:hAnsi="宋体"/>
                <w:color w:val="auto"/>
                <w:sz w:val="21"/>
                <w:szCs w:val="21"/>
                <w:highlight w:val="none"/>
              </w:rPr>
              <w:t>）项目相关资料的整理归档和移交工作；1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）建设单位委托的其他工作。合同签订前委托人已完成的工作除外。（详见本合同第四部分的造价咨询任务大纲）。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1.3.2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全过程工程咨询服务期限</w:t>
            </w:r>
          </w:p>
        </w:tc>
        <w:tc>
          <w:tcPr>
            <w:tcW w:w="5782" w:type="dxa"/>
            <w:vAlign w:val="center"/>
          </w:tcPr>
          <w:p>
            <w:pPr>
              <w:spacing w:line="42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从全过程工程咨询服务合同签订之日起，至项目完成所有验收、结算手续，并正式移交建设方，以及二年缺陷责任期满止。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trPr>
        <w:tc>
          <w:tcPr>
            <w:tcW w:w="979"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1.3.3</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质量标准</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1.4.1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投标人资质条件、能力、信誉</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1.4.2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是否接受联合体投标</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☑不接受</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□接受，应满足下列要求：详见《招标公告》。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1.4.3</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投标人不得存在的其他情形</w:t>
            </w:r>
          </w:p>
        </w:tc>
        <w:tc>
          <w:tcPr>
            <w:tcW w:w="5782" w:type="dxa"/>
            <w:vAlign w:val="center"/>
          </w:tcPr>
          <w:p>
            <w:pPr>
              <w:spacing w:line="420" w:lineRule="exact"/>
              <w:ind w:firstLine="210" w:firstLineChars="100"/>
              <w:jc w:val="both"/>
              <w:rPr>
                <w:rFonts w:ascii="宋体" w:hAnsi="宋体"/>
                <w:color w:val="auto"/>
                <w:sz w:val="21"/>
                <w:szCs w:val="21"/>
                <w:highlight w:val="none"/>
              </w:rPr>
            </w:pPr>
            <w:r>
              <w:rPr>
                <w:rFonts w:ascii="宋体" w:hAnsi="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8"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1.9.1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踏勘现场</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☑不组织，由投标人自行踏勘。</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组织，踏勘时间：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1.10.1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投标预备会</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☑不召开</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召开，召开时间：</w:t>
            </w:r>
            <w:r>
              <w:rPr>
                <w:rFonts w:ascii="宋体" w:hAnsi="宋体"/>
                <w:color w:val="auto"/>
                <w:sz w:val="21"/>
                <w:szCs w:val="21"/>
                <w:highlight w:val="none"/>
              </w:rPr>
              <w:t>/</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召开地点：</w:t>
            </w:r>
            <w:r>
              <w:rPr>
                <w:rFonts w:ascii="宋体" w:hAnsi="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1.10.2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投标人在投标预备会前提出问题</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本项目不召开投标预备会。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1.12.1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实质性要求和条件</w:t>
            </w:r>
          </w:p>
        </w:tc>
        <w:tc>
          <w:tcPr>
            <w:tcW w:w="5782"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w:t>
            </w:r>
            <w:r>
              <w:rPr>
                <w:rFonts w:hint="eastAsia" w:ascii="宋体" w:hAnsi="宋体"/>
                <w:color w:val="auto"/>
                <w:sz w:val="21"/>
                <w:szCs w:val="21"/>
                <w:highlight w:val="none"/>
              </w:rPr>
              <w:t>第三章</w:t>
            </w:r>
            <w:r>
              <w:rPr>
                <w:rFonts w:ascii="宋体" w:hAnsi="宋体"/>
                <w:color w:val="auto"/>
                <w:sz w:val="21"/>
                <w:szCs w:val="21"/>
                <w:highlight w:val="none"/>
              </w:rPr>
              <w:t>“</w:t>
            </w:r>
            <w:r>
              <w:rPr>
                <w:rFonts w:hint="eastAsia" w:ascii="宋体" w:hAnsi="宋体"/>
                <w:color w:val="auto"/>
                <w:sz w:val="21"/>
                <w:szCs w:val="21"/>
                <w:highlight w:val="none"/>
              </w:rPr>
              <w:t>评标办法</w:t>
            </w:r>
            <w:r>
              <w:rPr>
                <w:rFonts w:ascii="宋体" w:hAnsi="宋体"/>
                <w:color w:val="auto"/>
                <w:sz w:val="21"/>
                <w:szCs w:val="21"/>
                <w:highlight w:val="none"/>
              </w:rPr>
              <w:t>”</w:t>
            </w:r>
            <w:r>
              <w:rPr>
                <w:rFonts w:hint="eastAsia" w:ascii="宋体" w:hAnsi="宋体"/>
                <w:color w:val="auto"/>
                <w:sz w:val="21"/>
                <w:szCs w:val="21"/>
                <w:highlight w:val="none"/>
              </w:rPr>
              <w:t>初步评审标准。</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rPr>
              <w:t>招标人不能接受的其他条件。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1.12.3</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偏差</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☑不允许</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允许，偏差范围：</w:t>
            </w:r>
            <w:r>
              <w:rPr>
                <w:rFonts w:ascii="宋体" w:hAnsi="宋体"/>
                <w:color w:val="auto"/>
                <w:sz w:val="21"/>
                <w:szCs w:val="21"/>
                <w:highlight w:val="none"/>
              </w:rPr>
              <w:t>/</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偏差幅度：</w:t>
            </w:r>
            <w:r>
              <w:rPr>
                <w:rFonts w:ascii="宋体" w:hAnsi="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79" w:type="dxa"/>
          </w:tcPr>
          <w:p>
            <w:pPr>
              <w:spacing w:line="420" w:lineRule="exact"/>
              <w:jc w:val="both"/>
              <w:rPr>
                <w:rFonts w:ascii="宋体" w:hAnsi="宋体"/>
                <w:color w:val="auto"/>
                <w:sz w:val="21"/>
                <w:szCs w:val="21"/>
                <w:highlight w:val="none"/>
              </w:rPr>
            </w:pPr>
            <w:r>
              <w:rPr>
                <w:rFonts w:ascii="宋体" w:hAnsi="宋体"/>
                <w:color w:val="auto"/>
                <w:sz w:val="21"/>
                <w:szCs w:val="21"/>
                <w:highlight w:val="none"/>
              </w:rPr>
              <w:t>2.1</w:t>
            </w:r>
          </w:p>
        </w:tc>
        <w:tc>
          <w:tcPr>
            <w:tcW w:w="2311" w:type="dxa"/>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构成招标文件的其他资料</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答疑纪要、澄清文件等。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979" w:type="dxa"/>
          </w:tcPr>
          <w:p>
            <w:pPr>
              <w:spacing w:line="420" w:lineRule="exact"/>
              <w:jc w:val="both"/>
              <w:rPr>
                <w:rFonts w:ascii="宋体" w:hAnsi="宋体"/>
                <w:color w:val="auto"/>
                <w:sz w:val="21"/>
                <w:szCs w:val="21"/>
                <w:highlight w:val="none"/>
              </w:rPr>
            </w:pPr>
            <w:r>
              <w:rPr>
                <w:rFonts w:ascii="宋体" w:hAnsi="宋体"/>
                <w:color w:val="auto"/>
                <w:sz w:val="21"/>
                <w:szCs w:val="21"/>
                <w:highlight w:val="none"/>
              </w:rPr>
              <w:t>2.2.1</w:t>
            </w:r>
          </w:p>
        </w:tc>
        <w:tc>
          <w:tcPr>
            <w:tcW w:w="2311" w:type="dxa"/>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投标人要求澄清招标文件</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2022年</w:t>
            </w:r>
            <w:r>
              <w:rPr>
                <w:rFonts w:hint="eastAsia" w:ascii="宋体" w:hAnsi="宋体"/>
                <w:color w:val="auto"/>
                <w:sz w:val="21"/>
                <w:szCs w:val="21"/>
                <w:highlight w:val="none"/>
                <w:lang w:val="en-US" w:eastAsia="zh-CN"/>
              </w:rPr>
              <w:t>12</w:t>
            </w:r>
            <w:r>
              <w:rPr>
                <w:rFonts w:hint="eastAsia" w:ascii="宋体" w:hAnsi="宋体"/>
                <w:color w:val="auto"/>
                <w:sz w:val="21"/>
                <w:szCs w:val="21"/>
                <w:highlight w:val="none"/>
              </w:rPr>
              <w:t>月</w:t>
            </w:r>
            <w:r>
              <w:rPr>
                <w:rFonts w:hint="eastAsia" w:ascii="宋体" w:hAnsi="宋体"/>
                <w:color w:val="auto"/>
                <w:sz w:val="21"/>
                <w:szCs w:val="21"/>
                <w:highlight w:val="none"/>
                <w:lang w:val="en-US" w:eastAsia="zh-CN"/>
              </w:rPr>
              <w:t>25</w:t>
            </w:r>
            <w:r>
              <w:rPr>
                <w:rFonts w:hint="eastAsia" w:ascii="宋体" w:hAnsi="宋体"/>
                <w:color w:val="auto"/>
                <w:sz w:val="21"/>
                <w:szCs w:val="21"/>
                <w:highlight w:val="none"/>
              </w:rPr>
              <w:t>日</w:t>
            </w:r>
            <w:r>
              <w:rPr>
                <w:rFonts w:hint="eastAsia" w:ascii="宋体" w:hAnsi="宋体"/>
                <w:color w:val="auto"/>
                <w:sz w:val="21"/>
                <w:szCs w:val="21"/>
                <w:highlight w:val="none"/>
                <w:lang w:val="en-US" w:eastAsia="zh-CN"/>
              </w:rPr>
              <w:t>00</w:t>
            </w:r>
            <w:r>
              <w:rPr>
                <w:rFonts w:hint="eastAsia" w:ascii="宋体" w:hAnsi="宋体"/>
                <w:color w:val="auto"/>
                <w:sz w:val="21"/>
                <w:szCs w:val="21"/>
                <w:highlight w:val="none"/>
              </w:rPr>
              <w:t>时。</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通过</w:t>
            </w:r>
            <w:r>
              <w:rPr>
                <w:rFonts w:hint="eastAsia" w:ascii="宋体" w:hAnsi="宋体" w:cs="宋体"/>
                <w:color w:val="auto"/>
                <w:sz w:val="21"/>
                <w:szCs w:val="21"/>
                <w:highlight w:val="none"/>
              </w:rPr>
              <w:t>广州交易集团有限公司（广州公共资源交易中心）电子交易系统网</w:t>
            </w:r>
            <w:r>
              <w:rPr>
                <w:rFonts w:hint="eastAsia" w:ascii="宋体" w:hAnsi="宋体" w:cs="宋体"/>
                <w:color w:val="auto"/>
                <w:sz w:val="21"/>
                <w:szCs w:val="21"/>
                <w:highlight w:val="none"/>
                <w:lang w:val="en-US" w:eastAsia="zh-CN"/>
              </w:rPr>
              <w:t>上</w:t>
            </w:r>
            <w:r>
              <w:rPr>
                <w:rFonts w:hint="eastAsia" w:ascii="宋体" w:hAnsi="宋体"/>
                <w:color w:val="auto"/>
                <w:sz w:val="21"/>
                <w:szCs w:val="21"/>
                <w:highlight w:val="none"/>
              </w:rPr>
              <w:t>提出。</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否则视为没有疑问，由此造成的后果由投标人负责。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979" w:type="dxa"/>
          </w:tcPr>
          <w:p>
            <w:pPr>
              <w:spacing w:line="420" w:lineRule="exact"/>
              <w:jc w:val="both"/>
              <w:rPr>
                <w:rFonts w:ascii="宋体" w:hAnsi="宋体"/>
                <w:color w:val="auto"/>
                <w:sz w:val="21"/>
                <w:szCs w:val="21"/>
                <w:highlight w:val="none"/>
              </w:rPr>
            </w:pPr>
            <w:r>
              <w:rPr>
                <w:rFonts w:ascii="宋体" w:hAnsi="宋体"/>
                <w:color w:val="auto"/>
                <w:sz w:val="21"/>
                <w:szCs w:val="21"/>
                <w:highlight w:val="none"/>
              </w:rPr>
              <w:t>2.2.2</w:t>
            </w:r>
          </w:p>
        </w:tc>
        <w:tc>
          <w:tcPr>
            <w:tcW w:w="2311" w:type="dxa"/>
          </w:tcPr>
          <w:p>
            <w:pPr>
              <w:spacing w:line="420" w:lineRule="exact"/>
              <w:jc w:val="both"/>
              <w:rPr>
                <w:rFonts w:hint="eastAsia" w:ascii="宋体" w:hAnsi="宋体"/>
                <w:color w:val="auto"/>
                <w:sz w:val="21"/>
                <w:szCs w:val="21"/>
                <w:highlight w:val="none"/>
              </w:rPr>
            </w:pPr>
            <w:r>
              <w:rPr>
                <w:rFonts w:hint="eastAsia" w:ascii="宋体" w:hAnsi="宋体"/>
                <w:color w:val="auto"/>
                <w:sz w:val="21"/>
                <w:szCs w:val="21"/>
                <w:highlight w:val="none"/>
              </w:rPr>
              <w:t>招标文件澄清发出</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的形式</w:t>
            </w:r>
          </w:p>
        </w:tc>
        <w:tc>
          <w:tcPr>
            <w:tcW w:w="5782" w:type="dxa"/>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投标截止15日前，</w:t>
            </w:r>
            <w:r>
              <w:rPr>
                <w:rFonts w:hint="eastAsia" w:ascii="宋体" w:hAnsi="宋体" w:cs="宋体"/>
                <w:color w:val="auto"/>
                <w:sz w:val="21"/>
                <w:szCs w:val="21"/>
                <w:highlight w:val="none"/>
              </w:rPr>
              <w:t>在广州交易集团有限公司（广州公共资源交易中心）网站、广东省招标投标监管网发布将视作已告知所有投标人。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79" w:type="dxa"/>
          </w:tcPr>
          <w:p>
            <w:pPr>
              <w:spacing w:line="420" w:lineRule="exact"/>
              <w:jc w:val="both"/>
              <w:rPr>
                <w:rFonts w:ascii="宋体" w:hAnsi="宋体"/>
                <w:color w:val="auto"/>
                <w:sz w:val="21"/>
                <w:szCs w:val="21"/>
                <w:highlight w:val="none"/>
              </w:rPr>
            </w:pPr>
            <w:r>
              <w:rPr>
                <w:rFonts w:ascii="宋体" w:hAnsi="宋体"/>
                <w:color w:val="auto"/>
                <w:sz w:val="21"/>
                <w:szCs w:val="21"/>
                <w:highlight w:val="none"/>
              </w:rPr>
              <w:t>2.2.3</w:t>
            </w:r>
          </w:p>
        </w:tc>
        <w:tc>
          <w:tcPr>
            <w:tcW w:w="2311" w:type="dxa"/>
          </w:tcPr>
          <w:p>
            <w:pPr>
              <w:spacing w:line="420" w:lineRule="exact"/>
              <w:jc w:val="both"/>
              <w:rPr>
                <w:rFonts w:hint="eastAsia" w:ascii="宋体" w:hAnsi="宋体"/>
                <w:color w:val="auto"/>
                <w:sz w:val="21"/>
                <w:szCs w:val="21"/>
                <w:highlight w:val="none"/>
              </w:rPr>
            </w:pPr>
            <w:r>
              <w:rPr>
                <w:rFonts w:hint="eastAsia" w:ascii="宋体" w:hAnsi="宋体"/>
                <w:color w:val="auto"/>
                <w:sz w:val="21"/>
                <w:szCs w:val="21"/>
                <w:highlight w:val="none"/>
              </w:rPr>
              <w:t>投标人确认收到招</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标文件澄清</w:t>
            </w:r>
          </w:p>
        </w:tc>
        <w:tc>
          <w:tcPr>
            <w:tcW w:w="5782" w:type="dxa"/>
          </w:tcPr>
          <w:p>
            <w:pPr>
              <w:spacing w:line="420" w:lineRule="exact"/>
              <w:jc w:val="both"/>
              <w:rPr>
                <w:rFonts w:ascii="宋体" w:hAnsi="宋体"/>
                <w:color w:val="auto"/>
                <w:sz w:val="21"/>
                <w:szCs w:val="21"/>
                <w:highlight w:val="none"/>
              </w:rPr>
            </w:pPr>
            <w:r>
              <w:rPr>
                <w:rFonts w:hint="eastAsia" w:ascii="宋体" w:hAnsi="宋体" w:cs="宋体"/>
                <w:color w:val="auto"/>
                <w:sz w:val="21"/>
                <w:szCs w:val="21"/>
                <w:highlight w:val="none"/>
              </w:rPr>
              <w:t>在广州交易集团有限公司（广州公共资源交易中心）网站、广东省招标投标监管网发布将视作已告知所有投标人。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2.3.1</w:t>
            </w:r>
          </w:p>
        </w:tc>
        <w:tc>
          <w:tcPr>
            <w:tcW w:w="2311" w:type="dxa"/>
            <w:vAlign w:val="center"/>
          </w:tcPr>
          <w:p>
            <w:pPr>
              <w:spacing w:line="420" w:lineRule="exact"/>
              <w:jc w:val="both"/>
              <w:rPr>
                <w:rFonts w:hint="eastAsia" w:ascii="宋体" w:hAnsi="宋体"/>
                <w:color w:val="auto"/>
                <w:sz w:val="21"/>
                <w:szCs w:val="21"/>
                <w:highlight w:val="none"/>
              </w:rPr>
            </w:pPr>
            <w:r>
              <w:rPr>
                <w:rFonts w:hint="eastAsia" w:ascii="宋体" w:hAnsi="宋体"/>
                <w:color w:val="auto"/>
                <w:sz w:val="21"/>
                <w:szCs w:val="21"/>
                <w:highlight w:val="none"/>
              </w:rPr>
              <w:t>招标文件修改发出的</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形式</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s="宋体"/>
                <w:color w:val="auto"/>
                <w:sz w:val="21"/>
                <w:szCs w:val="21"/>
                <w:highlight w:val="none"/>
              </w:rPr>
              <w:t>在广州交易集团有限公司（广州公共资源交易中心）网站、广东省招标投标监管网发布将视作已告知所有投标人。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2.3.2</w:t>
            </w:r>
          </w:p>
        </w:tc>
        <w:tc>
          <w:tcPr>
            <w:tcW w:w="2311" w:type="dxa"/>
            <w:vAlign w:val="center"/>
          </w:tcPr>
          <w:p>
            <w:pPr>
              <w:spacing w:line="420" w:lineRule="exact"/>
              <w:jc w:val="both"/>
              <w:rPr>
                <w:rFonts w:hint="eastAsia" w:ascii="宋体" w:hAnsi="宋体"/>
                <w:color w:val="auto"/>
                <w:sz w:val="21"/>
                <w:szCs w:val="21"/>
                <w:highlight w:val="none"/>
              </w:rPr>
            </w:pPr>
            <w:r>
              <w:rPr>
                <w:rFonts w:hint="eastAsia" w:ascii="宋体" w:hAnsi="宋体"/>
                <w:color w:val="auto"/>
                <w:sz w:val="21"/>
                <w:szCs w:val="21"/>
                <w:highlight w:val="none"/>
              </w:rPr>
              <w:t>投标人确认收到招标</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文件修改</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s="宋体"/>
                <w:color w:val="auto"/>
                <w:sz w:val="21"/>
                <w:szCs w:val="21"/>
                <w:highlight w:val="none"/>
              </w:rPr>
              <w:t>在广州交易集团有限公司（广州公共资源交易中心）网站、广东省招标投标监管网发布将视作已告知所有投标人。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3.1.1</w:t>
            </w:r>
          </w:p>
        </w:tc>
        <w:tc>
          <w:tcPr>
            <w:tcW w:w="2311" w:type="dxa"/>
            <w:vAlign w:val="center"/>
          </w:tcPr>
          <w:p>
            <w:pPr>
              <w:spacing w:line="420" w:lineRule="exact"/>
              <w:jc w:val="both"/>
              <w:rPr>
                <w:rFonts w:hint="eastAsia" w:ascii="宋体" w:hAnsi="宋体"/>
                <w:color w:val="auto"/>
                <w:sz w:val="21"/>
                <w:szCs w:val="21"/>
                <w:highlight w:val="none"/>
              </w:rPr>
            </w:pPr>
            <w:r>
              <w:rPr>
                <w:rFonts w:hint="eastAsia" w:ascii="宋体" w:hAnsi="宋体"/>
                <w:color w:val="auto"/>
                <w:sz w:val="21"/>
                <w:szCs w:val="21"/>
                <w:highlight w:val="none"/>
              </w:rPr>
              <w:t>构成投标文件的其他</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资料</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满足项目评审需要。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3.2.1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增值税税金的计算方法</w:t>
            </w:r>
          </w:p>
        </w:tc>
        <w:tc>
          <w:tcPr>
            <w:tcW w:w="5782"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3"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3.2.3</w:t>
            </w:r>
          </w:p>
        </w:tc>
        <w:tc>
          <w:tcPr>
            <w:tcW w:w="2311" w:type="dxa"/>
            <w:vAlign w:val="center"/>
          </w:tcPr>
          <w:p>
            <w:pPr>
              <w:spacing w:line="420" w:lineRule="exact"/>
              <w:jc w:val="both"/>
              <w:rPr>
                <w:rFonts w:ascii="宋体" w:hAnsi="宋体" w:cs="宋体"/>
                <w:color w:val="auto"/>
                <w:sz w:val="21"/>
                <w:szCs w:val="21"/>
                <w:highlight w:val="none"/>
              </w:rPr>
            </w:pPr>
            <w:r>
              <w:rPr>
                <w:rFonts w:hint="eastAsia" w:ascii="宋体" w:hAnsi="宋体" w:cs="宋体"/>
                <w:color w:val="auto"/>
                <w:sz w:val="21"/>
                <w:szCs w:val="21"/>
                <w:highlight w:val="none"/>
              </w:rPr>
              <w:t>报价要求</w:t>
            </w:r>
          </w:p>
        </w:tc>
        <w:tc>
          <w:tcPr>
            <w:tcW w:w="5782" w:type="dxa"/>
            <w:vAlign w:val="center"/>
          </w:tcPr>
          <w:p>
            <w:pPr>
              <w:spacing w:line="420" w:lineRule="exact"/>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投标人根据实际情况自报服务费：服务费为以总建筑面积为基数综合单价包干，暂定合同总价。最终以竣工验收备案的总建筑面积进行结算。</w:t>
            </w:r>
          </w:p>
          <w:p>
            <w:pPr>
              <w:spacing w:line="420" w:lineRule="exact"/>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注：（1）投标人投标报价是确定中标通知书的中标价的依据。中标人投标单价将作为签订的本项目合同价和办理工程结算的依据。</w:t>
            </w:r>
          </w:p>
          <w:p>
            <w:pPr>
              <w:spacing w:line="420" w:lineRule="exact"/>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（2）本项目监理费奖励和附加报酬按合同条款执行。 </w:t>
            </w:r>
          </w:p>
          <w:p>
            <w:pPr>
              <w:spacing w:line="420" w:lineRule="exact"/>
              <w:jc w:val="both"/>
              <w:rPr>
                <w:rFonts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最终以招标人审定为准。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3.2.4</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最高投标限价（招标控制价）</w:t>
            </w:r>
          </w:p>
        </w:tc>
        <w:tc>
          <w:tcPr>
            <w:tcW w:w="5782"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无</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☑有，</w:t>
            </w:r>
            <w:r>
              <w:rPr>
                <w:color w:val="auto"/>
                <w:sz w:val="21"/>
                <w:szCs w:val="21"/>
                <w:highlight w:val="none"/>
              </w:rPr>
              <w:t>最高投标限价</w:t>
            </w:r>
            <w:r>
              <w:rPr>
                <w:rFonts w:hint="eastAsia" w:ascii="宋体" w:hAnsi="宋体" w:cs="宋体"/>
                <w:color w:val="auto"/>
                <w:sz w:val="21"/>
                <w:szCs w:val="21"/>
                <w:highlight w:val="none"/>
                <w:u w:val="single"/>
                <w:lang w:val="en-US" w:eastAsia="zh-CN"/>
              </w:rPr>
              <w:t>282.16</w:t>
            </w:r>
            <w:r>
              <w:rPr>
                <w:color w:val="auto"/>
                <w:sz w:val="21"/>
                <w:szCs w:val="21"/>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2"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3.2.5</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投标报价的其他要求</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投标人必须详细审阅全部招标文件及相关文件</w:t>
            </w:r>
            <w:r>
              <w:rPr>
                <w:rFonts w:ascii="宋体" w:hAnsi="宋体"/>
                <w:color w:val="auto"/>
                <w:sz w:val="21"/>
                <w:szCs w:val="21"/>
                <w:highlight w:val="none"/>
              </w:rPr>
              <w:t>,</w:t>
            </w:r>
            <w:r>
              <w:rPr>
                <w:rFonts w:hint="eastAsia" w:ascii="宋体" w:hAnsi="宋体"/>
                <w:color w:val="auto"/>
                <w:sz w:val="21"/>
                <w:szCs w:val="21"/>
                <w:highlight w:val="none"/>
              </w:rPr>
              <w:t>充分考虑职责和义务</w:t>
            </w:r>
            <w:r>
              <w:rPr>
                <w:rFonts w:ascii="宋体" w:hAnsi="宋体"/>
                <w:color w:val="auto"/>
                <w:sz w:val="21"/>
                <w:szCs w:val="21"/>
                <w:highlight w:val="none"/>
              </w:rPr>
              <w:t>,</w:t>
            </w:r>
            <w:r>
              <w:rPr>
                <w:rFonts w:hint="eastAsia" w:ascii="宋体" w:hAnsi="宋体"/>
                <w:color w:val="auto"/>
                <w:sz w:val="21"/>
                <w:szCs w:val="21"/>
                <w:highlight w:val="none"/>
              </w:rPr>
              <w:t>全面地理解招标文件对投标报价的要求</w:t>
            </w:r>
            <w:r>
              <w:rPr>
                <w:rFonts w:ascii="宋体" w:hAnsi="宋体"/>
                <w:color w:val="auto"/>
                <w:sz w:val="21"/>
                <w:szCs w:val="21"/>
                <w:highlight w:val="none"/>
              </w:rPr>
              <w:t>,</w:t>
            </w:r>
            <w:r>
              <w:rPr>
                <w:rFonts w:hint="eastAsia" w:ascii="宋体" w:hAnsi="宋体"/>
                <w:color w:val="auto"/>
                <w:sz w:val="21"/>
                <w:szCs w:val="21"/>
                <w:highlight w:val="none"/>
              </w:rPr>
              <w:t>并按招标人提出的条件及内容进行报价。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3.3.1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投标有效期</w:t>
            </w:r>
          </w:p>
        </w:tc>
        <w:tc>
          <w:tcPr>
            <w:tcW w:w="5782"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120</w:t>
            </w:r>
            <w:r>
              <w:rPr>
                <w:rFonts w:hint="eastAsia" w:ascii="宋体" w:hAnsi="宋体"/>
                <w:color w:val="auto"/>
                <w:sz w:val="21"/>
                <w:szCs w:val="21"/>
                <w:highlight w:val="none"/>
              </w:rPr>
              <w:t>日历天（从投标截止之日计起）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4"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3.4.1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投标保证金</w:t>
            </w:r>
          </w:p>
        </w:tc>
        <w:tc>
          <w:tcPr>
            <w:tcW w:w="5782" w:type="dxa"/>
            <w:vAlign w:val="center"/>
          </w:tcPr>
          <w:p>
            <w:pPr>
              <w:widowControl/>
              <w:adjustRightInd/>
              <w:snapToGrid w:val="0"/>
              <w:spacing w:line="420" w:lineRule="exact"/>
              <w:ind w:right="125" w:rightChars="52" w:firstLine="210" w:firstLineChars="100"/>
              <w:rPr>
                <w:rFonts w:ascii="宋体" w:hAnsi="宋体"/>
                <w:b/>
                <w:color w:val="auto"/>
                <w:sz w:val="21"/>
                <w:szCs w:val="21"/>
                <w:highlight w:val="none"/>
              </w:rPr>
            </w:pPr>
            <w:r>
              <w:rPr>
                <w:rFonts w:ascii="宋体" w:hAnsi="宋体"/>
                <w:color w:val="auto"/>
                <w:sz w:val="21"/>
                <w:szCs w:val="21"/>
                <w:highlight w:val="none"/>
              </w:rPr>
              <w:t>投标保证金的金额：</w:t>
            </w:r>
            <w:r>
              <w:rPr>
                <w:rFonts w:ascii="宋体" w:hAnsi="宋体"/>
                <w:b/>
                <w:color w:val="auto"/>
                <w:sz w:val="21"/>
                <w:szCs w:val="21"/>
                <w:highlight w:val="none"/>
              </w:rPr>
              <w:t>人民币</w:t>
            </w:r>
            <w:r>
              <w:rPr>
                <w:rFonts w:ascii="宋体" w:hAnsi="宋体"/>
                <w:b/>
                <w:color w:val="auto"/>
                <w:sz w:val="21"/>
                <w:szCs w:val="21"/>
                <w:highlight w:val="none"/>
                <w:u w:val="single"/>
              </w:rPr>
              <w:t xml:space="preserve"> </w:t>
            </w:r>
            <w:r>
              <w:rPr>
                <w:rFonts w:hint="eastAsia" w:ascii="宋体" w:hAnsi="宋体"/>
                <w:b/>
                <w:color w:val="auto"/>
                <w:sz w:val="21"/>
                <w:szCs w:val="21"/>
                <w:highlight w:val="none"/>
                <w:u w:val="single"/>
              </w:rPr>
              <w:t xml:space="preserve">贰 </w:t>
            </w:r>
            <w:r>
              <w:rPr>
                <w:rFonts w:ascii="宋体" w:hAnsi="宋体"/>
                <w:b/>
                <w:color w:val="auto"/>
                <w:sz w:val="21"/>
                <w:szCs w:val="21"/>
                <w:highlight w:val="none"/>
              </w:rPr>
              <w:t>万元</w:t>
            </w:r>
            <w:r>
              <w:rPr>
                <w:rFonts w:hint="eastAsia" w:ascii="宋体" w:hAnsi="宋体"/>
                <w:b/>
                <w:color w:val="auto"/>
                <w:sz w:val="21"/>
                <w:szCs w:val="21"/>
                <w:highlight w:val="none"/>
              </w:rPr>
              <w:t>；</w:t>
            </w:r>
          </w:p>
          <w:p>
            <w:pPr>
              <w:pStyle w:val="45"/>
              <w:snapToGrid w:val="0"/>
              <w:spacing w:line="420" w:lineRule="exact"/>
              <w:ind w:right="125" w:rightChars="52" w:firstLine="210" w:firstLineChars="100"/>
              <w:rPr>
                <w:color w:val="auto"/>
                <w:sz w:val="21"/>
                <w:szCs w:val="21"/>
                <w:highlight w:val="none"/>
              </w:rPr>
            </w:pPr>
            <w:r>
              <w:rPr>
                <w:rFonts w:hint="eastAsia"/>
                <w:color w:val="auto"/>
                <w:sz w:val="21"/>
                <w:szCs w:val="21"/>
                <w:highlight w:val="none"/>
              </w:rPr>
              <w:t>投标保证金的形式：银行汇款或银行保函或工程保证保险；</w:t>
            </w:r>
          </w:p>
          <w:p>
            <w:pPr>
              <w:pStyle w:val="45"/>
              <w:snapToGrid w:val="0"/>
              <w:spacing w:line="420" w:lineRule="exact"/>
              <w:ind w:right="125" w:rightChars="52" w:firstLine="210" w:firstLineChars="100"/>
              <w:rPr>
                <w:color w:val="auto"/>
                <w:sz w:val="21"/>
                <w:szCs w:val="21"/>
                <w:highlight w:val="none"/>
              </w:rPr>
            </w:pPr>
            <w:r>
              <w:rPr>
                <w:rFonts w:hint="eastAsia"/>
                <w:color w:val="auto"/>
                <w:sz w:val="21"/>
                <w:szCs w:val="21"/>
                <w:highlight w:val="none"/>
              </w:rPr>
              <w:t>银行汇款：必须从投标人基本帐户将投标保证金一次性转入或汇入招标人指定的代收帐户。</w:t>
            </w:r>
          </w:p>
          <w:p>
            <w:pPr>
              <w:pStyle w:val="45"/>
              <w:snapToGrid w:val="0"/>
              <w:spacing w:line="420" w:lineRule="exact"/>
              <w:ind w:right="125" w:rightChars="52" w:firstLine="211" w:firstLineChars="100"/>
              <w:rPr>
                <w:b/>
                <w:bCs/>
                <w:color w:val="auto"/>
                <w:sz w:val="21"/>
                <w:szCs w:val="21"/>
                <w:highlight w:val="none"/>
              </w:rPr>
            </w:pPr>
            <w:r>
              <w:rPr>
                <w:rFonts w:hint="eastAsia"/>
                <w:b/>
                <w:bCs/>
                <w:color w:val="auto"/>
                <w:sz w:val="21"/>
                <w:szCs w:val="21"/>
                <w:highlight w:val="none"/>
              </w:rPr>
              <w:t>保证金汇款账户：</w:t>
            </w:r>
          </w:p>
          <w:p>
            <w:pPr>
              <w:pStyle w:val="45"/>
              <w:snapToGrid w:val="0"/>
              <w:spacing w:line="420" w:lineRule="exact"/>
              <w:ind w:right="125" w:rightChars="52" w:firstLine="210" w:firstLineChars="100"/>
              <w:rPr>
                <w:color w:val="auto"/>
                <w:sz w:val="21"/>
                <w:szCs w:val="21"/>
                <w:highlight w:val="none"/>
              </w:rPr>
            </w:pPr>
            <w:r>
              <w:rPr>
                <w:rFonts w:hint="eastAsia"/>
                <w:color w:val="auto"/>
                <w:sz w:val="21"/>
                <w:szCs w:val="21"/>
                <w:highlight w:val="none"/>
              </w:rPr>
              <w:t>开户名：广东万诚工程造价咨询有限公司；</w:t>
            </w:r>
          </w:p>
          <w:p>
            <w:pPr>
              <w:pStyle w:val="45"/>
              <w:snapToGrid w:val="0"/>
              <w:spacing w:line="420" w:lineRule="exact"/>
              <w:ind w:right="125" w:rightChars="52" w:firstLine="210" w:firstLineChars="100"/>
              <w:rPr>
                <w:color w:val="auto"/>
                <w:sz w:val="21"/>
                <w:szCs w:val="21"/>
                <w:highlight w:val="none"/>
              </w:rPr>
            </w:pPr>
            <w:r>
              <w:rPr>
                <w:rFonts w:hint="eastAsia"/>
                <w:color w:val="auto"/>
                <w:sz w:val="21"/>
                <w:szCs w:val="21"/>
                <w:highlight w:val="none"/>
              </w:rPr>
              <w:t>开户银行:广发银行股份有限公司湛江岭南支行</w:t>
            </w:r>
          </w:p>
          <w:p>
            <w:pPr>
              <w:pStyle w:val="45"/>
              <w:snapToGrid w:val="0"/>
              <w:spacing w:line="420" w:lineRule="exact"/>
              <w:ind w:right="125" w:rightChars="52" w:firstLine="210" w:firstLineChars="100"/>
              <w:rPr>
                <w:color w:val="auto"/>
                <w:sz w:val="21"/>
                <w:szCs w:val="21"/>
                <w:highlight w:val="none"/>
              </w:rPr>
            </w:pPr>
            <w:r>
              <w:rPr>
                <w:rFonts w:hint="eastAsia"/>
                <w:color w:val="auto"/>
                <w:sz w:val="21"/>
                <w:szCs w:val="21"/>
                <w:highlight w:val="none"/>
              </w:rPr>
              <w:t>账号为：9550880017933600148</w:t>
            </w:r>
          </w:p>
          <w:p>
            <w:pPr>
              <w:pStyle w:val="45"/>
              <w:snapToGrid w:val="0"/>
              <w:spacing w:line="420" w:lineRule="exact"/>
              <w:ind w:right="125" w:rightChars="52" w:firstLine="210" w:firstLineChars="100"/>
              <w:rPr>
                <w:color w:val="auto"/>
                <w:sz w:val="21"/>
                <w:szCs w:val="21"/>
                <w:highlight w:val="none"/>
              </w:rPr>
            </w:pPr>
            <w:r>
              <w:rPr>
                <w:rFonts w:hint="eastAsia"/>
                <w:color w:val="auto"/>
                <w:sz w:val="21"/>
                <w:szCs w:val="21"/>
                <w:highlight w:val="none"/>
              </w:rPr>
              <w:t>该投标保证金必须在投标截止时间前汇到招标人指定专用帐户，否则作废标处理。该投标保证金的银行汇款凭证必须注明 悦璟苑小区项目全过程工程咨询服务（可缩写），否则，可能导致无法确认该笔投标保证金的用途，一切因此造成的后果由投标申请人自负。该银行汇款凭证复印件、开户许可证复印件是投标文件的一个组成部分，应放入投标文件中。</w:t>
            </w:r>
          </w:p>
          <w:p>
            <w:pPr>
              <w:pStyle w:val="45"/>
              <w:snapToGrid w:val="0"/>
              <w:spacing w:line="420" w:lineRule="exact"/>
              <w:ind w:right="125" w:rightChars="52" w:firstLine="211" w:firstLineChars="100"/>
              <w:rPr>
                <w:color w:val="auto"/>
                <w:sz w:val="21"/>
                <w:szCs w:val="21"/>
                <w:highlight w:val="none"/>
              </w:rPr>
            </w:pPr>
            <w:r>
              <w:rPr>
                <w:rFonts w:hint="eastAsia"/>
                <w:b/>
                <w:bCs/>
                <w:color w:val="auto"/>
                <w:sz w:val="21"/>
                <w:szCs w:val="21"/>
                <w:highlight w:val="none"/>
              </w:rPr>
              <w:t>银行保函：</w:t>
            </w:r>
            <w:r>
              <w:rPr>
                <w:rFonts w:hint="eastAsia"/>
                <w:color w:val="auto"/>
                <w:sz w:val="21"/>
                <w:szCs w:val="21"/>
                <w:highlight w:val="none"/>
              </w:rPr>
              <w:t>开具保函的单位必须是商业银行，样式参考见招标文件第七章格式“四、投标保证金”。在投标文件中提供</w:t>
            </w:r>
            <w:r>
              <w:rPr>
                <w:rFonts w:hint="eastAsia"/>
                <w:b/>
                <w:bCs/>
                <w:color w:val="auto"/>
                <w:sz w:val="21"/>
                <w:szCs w:val="21"/>
                <w:highlight w:val="none"/>
              </w:rPr>
              <w:t>银行保函</w:t>
            </w:r>
            <w:r>
              <w:rPr>
                <w:rFonts w:hint="eastAsia"/>
                <w:color w:val="auto"/>
                <w:sz w:val="21"/>
                <w:szCs w:val="21"/>
                <w:highlight w:val="none"/>
              </w:rPr>
              <w:t>复印件，并提供由开具保函的银行提供从投标人基本账户转账划付资金的收款凭证或收费凭证（凭证须有对应的保函编号，并有银行加盖的业务印章）。采用银行保函方式的投标人须将投标保函原件的彩色扫描件在投标截止时间前上传到电子邮箱：zjvczhaobiao@163.com 。</w:t>
            </w:r>
          </w:p>
          <w:p>
            <w:pPr>
              <w:pStyle w:val="45"/>
              <w:snapToGrid w:val="0"/>
              <w:spacing w:line="420" w:lineRule="exact"/>
              <w:ind w:right="125" w:rightChars="52" w:firstLine="211" w:firstLineChars="100"/>
              <w:rPr>
                <w:rFonts w:ascii="宋体" w:hAnsi="宋体"/>
                <w:color w:val="auto"/>
                <w:spacing w:val="-8"/>
                <w:sz w:val="21"/>
                <w:szCs w:val="21"/>
                <w:highlight w:val="none"/>
              </w:rPr>
            </w:pPr>
            <w:r>
              <w:rPr>
                <w:rFonts w:hint="eastAsia"/>
                <w:b/>
                <w:bCs/>
                <w:color w:val="auto"/>
                <w:sz w:val="21"/>
                <w:szCs w:val="21"/>
                <w:highlight w:val="none"/>
              </w:rPr>
              <w:t>工程保证保险：</w:t>
            </w:r>
            <w:r>
              <w:rPr>
                <w:rFonts w:hint="eastAsia" w:ascii="宋体" w:hAnsi="宋体"/>
                <w:color w:val="auto"/>
                <w:spacing w:val="-8"/>
                <w:sz w:val="21"/>
                <w:szCs w:val="21"/>
                <w:highlight w:val="none"/>
              </w:rPr>
              <w:t>采用工程保证保险的，具体要求按江门市《关于在全市房屋建筑和市政基础设施工程开展建设工程保证保险有关工作的通知（联合发文）（江建函【</w:t>
            </w:r>
            <w:r>
              <w:rPr>
                <w:rFonts w:ascii="宋体" w:hAnsi="宋体"/>
                <w:color w:val="auto"/>
                <w:spacing w:val="-8"/>
                <w:sz w:val="21"/>
                <w:szCs w:val="21"/>
                <w:highlight w:val="none"/>
              </w:rPr>
              <w:t>2018】1343）》的通知执行。</w:t>
            </w:r>
            <w:r>
              <w:rPr>
                <w:rFonts w:hint="eastAsia"/>
                <w:color w:val="auto"/>
                <w:sz w:val="21"/>
                <w:szCs w:val="21"/>
                <w:highlight w:val="none"/>
              </w:rPr>
              <w:t>样式参考见招标文件第七章格式“四、投标保证金”，在投标文件中提供投标保证保险保单复印件，并提供由开具保证保险的保险公司提供的从投标人基本账户转账划付资金的收款凭证或收费凭证（凭证须有对应的保证保险编号，并有保险公司印章）。采用工程保证保险方式的投标人须将工程保证保险原件的彩色扫描件在投标截止时间前上传到电子邮箱：zjvczhaobiao@163.com。</w:t>
            </w:r>
          </w:p>
          <w:p>
            <w:pPr>
              <w:pStyle w:val="45"/>
              <w:snapToGrid w:val="0"/>
              <w:spacing w:line="420" w:lineRule="exact"/>
              <w:ind w:right="125" w:rightChars="52" w:firstLine="195" w:firstLineChars="100"/>
              <w:rPr>
                <w:rFonts w:ascii="宋体" w:hAnsi="宋体"/>
                <w:color w:val="auto"/>
                <w:sz w:val="21"/>
                <w:szCs w:val="21"/>
                <w:highlight w:val="none"/>
              </w:rPr>
            </w:pPr>
            <w:r>
              <w:rPr>
                <w:rFonts w:ascii="宋体" w:hAnsi="宋体"/>
                <w:b/>
                <w:bCs/>
                <w:color w:val="auto"/>
                <w:spacing w:val="-8"/>
                <w:sz w:val="21"/>
                <w:szCs w:val="21"/>
                <w:highlight w:val="none"/>
              </w:rPr>
              <w:t>投标保证金退还：</w:t>
            </w:r>
            <w:r>
              <w:rPr>
                <w:rFonts w:ascii="宋体" w:hAnsi="宋体"/>
                <w:color w:val="auto"/>
                <w:spacing w:val="-8"/>
                <w:sz w:val="21"/>
                <w:szCs w:val="21"/>
                <w:highlight w:val="none"/>
              </w:rPr>
              <w:t>按照本招标文件</w:t>
            </w:r>
            <w:r>
              <w:rPr>
                <w:rFonts w:ascii="宋体" w:hAnsi="宋体"/>
                <w:color w:val="auto"/>
                <w:spacing w:val="-5"/>
                <w:sz w:val="21"/>
                <w:szCs w:val="21"/>
                <w:highlight w:val="none"/>
              </w:rPr>
              <w:t>规定退还投标保证金。</w:t>
            </w:r>
          </w:p>
          <w:p>
            <w:pPr>
              <w:pStyle w:val="45"/>
              <w:snapToGrid w:val="0"/>
              <w:spacing w:line="420" w:lineRule="exact"/>
              <w:ind w:right="125" w:rightChars="52" w:firstLine="210" w:firstLineChars="100"/>
              <w:rPr>
                <w:rFonts w:ascii="宋体" w:hAnsi="宋体"/>
                <w:color w:val="auto"/>
                <w:sz w:val="21"/>
                <w:szCs w:val="21"/>
                <w:highlight w:val="none"/>
              </w:rPr>
            </w:pPr>
            <w:r>
              <w:rPr>
                <w:rFonts w:ascii="宋体" w:hAnsi="宋体"/>
                <w:color w:val="auto"/>
                <w:sz w:val="21"/>
                <w:szCs w:val="21"/>
                <w:highlight w:val="none"/>
              </w:rPr>
              <w:t>如投标申请人出现下列情况，将被没收投标保证金：</w:t>
            </w:r>
          </w:p>
          <w:p>
            <w:pPr>
              <w:pStyle w:val="45"/>
              <w:snapToGrid w:val="0"/>
              <w:spacing w:line="420" w:lineRule="exact"/>
              <w:ind w:left="108" w:right="125" w:rightChars="52" w:firstLine="210" w:firstLineChars="100"/>
              <w:rPr>
                <w:rFonts w:ascii="宋体" w:hAnsi="宋体"/>
                <w:color w:val="auto"/>
                <w:sz w:val="21"/>
                <w:szCs w:val="21"/>
                <w:highlight w:val="none"/>
              </w:rPr>
            </w:pPr>
            <w:r>
              <w:rPr>
                <w:rFonts w:ascii="宋体" w:hAnsi="宋体"/>
                <w:color w:val="auto"/>
                <w:sz w:val="21"/>
                <w:szCs w:val="21"/>
                <w:highlight w:val="none"/>
              </w:rPr>
              <w:t>1、投标申请人在有效期内撤回或修改其投标文件</w:t>
            </w:r>
            <w:r>
              <w:rPr>
                <w:rFonts w:hint="eastAsia" w:ascii="宋体" w:hAnsi="宋体"/>
                <w:color w:val="auto"/>
                <w:sz w:val="21"/>
                <w:szCs w:val="21"/>
                <w:highlight w:val="none"/>
              </w:rPr>
              <w:t>。</w:t>
            </w:r>
          </w:p>
          <w:p>
            <w:pPr>
              <w:pStyle w:val="45"/>
              <w:snapToGrid w:val="0"/>
              <w:spacing w:line="420" w:lineRule="exact"/>
              <w:ind w:left="108" w:right="271" w:rightChars="113" w:firstLine="210" w:firstLineChars="100"/>
              <w:rPr>
                <w:rFonts w:ascii="宋体" w:hAnsi="宋体"/>
                <w:color w:val="auto"/>
                <w:sz w:val="21"/>
                <w:szCs w:val="21"/>
                <w:highlight w:val="none"/>
              </w:rPr>
            </w:pPr>
            <w:r>
              <w:rPr>
                <w:rFonts w:ascii="宋体" w:hAnsi="宋体"/>
                <w:color w:val="auto"/>
                <w:sz w:val="21"/>
                <w:szCs w:val="21"/>
                <w:highlight w:val="none"/>
              </w:rPr>
              <w:t>2、投标申请人在招投标过程中有违反招标投标法律法规行为的。</w:t>
            </w:r>
          </w:p>
          <w:p>
            <w:pPr>
              <w:pStyle w:val="45"/>
              <w:snapToGrid w:val="0"/>
              <w:spacing w:line="420" w:lineRule="exact"/>
              <w:ind w:left="108" w:right="271" w:rightChars="113" w:firstLine="210" w:firstLineChars="100"/>
              <w:rPr>
                <w:rFonts w:ascii="宋体" w:hAnsi="宋体"/>
                <w:color w:val="auto"/>
                <w:sz w:val="21"/>
                <w:szCs w:val="21"/>
                <w:highlight w:val="none"/>
              </w:rPr>
            </w:pPr>
            <w:r>
              <w:rPr>
                <w:rFonts w:ascii="宋体" w:hAnsi="宋体"/>
                <w:color w:val="auto"/>
                <w:sz w:val="21"/>
                <w:szCs w:val="21"/>
                <w:highlight w:val="none"/>
              </w:rPr>
              <w:t>3、中标人在收到中标通知书后，无正当理由拒签合同协议书的。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3.4.4</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其他可以不予退还投标保证金的情形</w:t>
            </w:r>
          </w:p>
        </w:tc>
        <w:tc>
          <w:tcPr>
            <w:tcW w:w="5782"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3.5</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资格审查资料的特殊要求</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☑无</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□有，具体要求：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3.6.1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是否允许递交备选投标方案</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☑不允许</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979" w:type="dxa"/>
            <w:vAlign w:val="center"/>
          </w:tcPr>
          <w:p>
            <w:pPr>
              <w:pStyle w:val="45"/>
              <w:widowControl/>
              <w:adjustRightInd/>
              <w:snapToGrid w:val="0"/>
              <w:spacing w:line="420" w:lineRule="exact"/>
              <w:ind w:left="108" w:right="125" w:rightChars="52" w:firstLine="210" w:firstLineChars="100"/>
              <w:rPr>
                <w:rFonts w:ascii="宋体" w:hAnsi="宋体"/>
                <w:color w:val="auto"/>
                <w:sz w:val="21"/>
                <w:szCs w:val="21"/>
                <w:highlight w:val="none"/>
              </w:rPr>
            </w:pPr>
            <w:r>
              <w:rPr>
                <w:rFonts w:ascii="宋体" w:hAnsi="宋体"/>
                <w:color w:val="auto"/>
                <w:sz w:val="21"/>
                <w:szCs w:val="21"/>
                <w:highlight w:val="none"/>
              </w:rPr>
              <w:t>3.7.3</w:t>
            </w:r>
          </w:p>
        </w:tc>
        <w:tc>
          <w:tcPr>
            <w:tcW w:w="2311" w:type="dxa"/>
            <w:vAlign w:val="center"/>
          </w:tcPr>
          <w:p>
            <w:pPr>
              <w:pStyle w:val="45"/>
              <w:widowControl/>
              <w:adjustRightInd/>
              <w:snapToGrid w:val="0"/>
              <w:spacing w:line="420" w:lineRule="exact"/>
              <w:ind w:right="125" w:rightChars="52"/>
              <w:rPr>
                <w:rFonts w:ascii="宋体" w:hAnsi="宋体"/>
                <w:color w:val="auto"/>
                <w:sz w:val="21"/>
                <w:szCs w:val="21"/>
                <w:highlight w:val="none"/>
              </w:rPr>
            </w:pPr>
            <w:r>
              <w:rPr>
                <w:rFonts w:hint="eastAsia" w:ascii="宋体" w:hAnsi="宋体"/>
                <w:color w:val="auto"/>
                <w:sz w:val="21"/>
                <w:szCs w:val="21"/>
                <w:highlight w:val="none"/>
              </w:rPr>
              <w:t>投标文件所附证书证件要求</w:t>
            </w:r>
          </w:p>
        </w:tc>
        <w:tc>
          <w:tcPr>
            <w:tcW w:w="5782" w:type="dxa"/>
            <w:vAlign w:val="center"/>
          </w:tcPr>
          <w:p>
            <w:pPr>
              <w:pStyle w:val="45"/>
              <w:widowControl/>
              <w:adjustRightInd/>
              <w:snapToGrid w:val="0"/>
              <w:spacing w:line="420" w:lineRule="exact"/>
              <w:ind w:right="125" w:rightChars="52"/>
              <w:rPr>
                <w:rFonts w:ascii="宋体" w:hAnsi="宋体"/>
                <w:color w:val="auto"/>
                <w:sz w:val="21"/>
                <w:szCs w:val="21"/>
                <w:highlight w:val="none"/>
              </w:rPr>
            </w:pPr>
            <w:r>
              <w:rPr>
                <w:rFonts w:hint="eastAsia" w:ascii="宋体" w:hAnsi="宋体"/>
                <w:color w:val="auto"/>
                <w:sz w:val="21"/>
                <w:szCs w:val="21"/>
                <w:highlight w:val="none"/>
              </w:rPr>
              <w:t>投标文件所附证书证件需原件复印件或扫描件。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979" w:type="dxa"/>
            <w:vAlign w:val="center"/>
          </w:tcPr>
          <w:p>
            <w:pPr>
              <w:pStyle w:val="45"/>
              <w:widowControl/>
              <w:adjustRightInd/>
              <w:snapToGrid w:val="0"/>
              <w:spacing w:line="420" w:lineRule="exact"/>
              <w:ind w:left="108" w:right="125" w:rightChars="52" w:firstLine="210" w:firstLineChars="100"/>
              <w:rPr>
                <w:rFonts w:ascii="宋体" w:hAnsi="宋体"/>
                <w:color w:val="auto"/>
                <w:sz w:val="21"/>
                <w:szCs w:val="21"/>
                <w:highlight w:val="none"/>
              </w:rPr>
            </w:pPr>
            <w:r>
              <w:rPr>
                <w:rFonts w:ascii="宋体" w:hAnsi="宋体"/>
                <w:color w:val="auto"/>
                <w:sz w:val="21"/>
                <w:szCs w:val="21"/>
                <w:highlight w:val="none"/>
              </w:rPr>
              <w:t>3.7.3</w:t>
            </w:r>
          </w:p>
        </w:tc>
        <w:tc>
          <w:tcPr>
            <w:tcW w:w="2311" w:type="dxa"/>
            <w:vAlign w:val="center"/>
          </w:tcPr>
          <w:p>
            <w:pPr>
              <w:pStyle w:val="45"/>
              <w:widowControl/>
              <w:adjustRightInd/>
              <w:snapToGrid w:val="0"/>
              <w:spacing w:line="420" w:lineRule="exact"/>
              <w:ind w:right="125" w:rightChars="52"/>
              <w:rPr>
                <w:rFonts w:ascii="宋体" w:hAnsi="宋体"/>
                <w:color w:val="auto"/>
                <w:sz w:val="21"/>
                <w:szCs w:val="21"/>
                <w:highlight w:val="none"/>
              </w:rPr>
            </w:pPr>
            <w:r>
              <w:rPr>
                <w:rFonts w:hint="eastAsia" w:ascii="宋体" w:hAnsi="宋体"/>
                <w:color w:val="auto"/>
                <w:sz w:val="21"/>
                <w:szCs w:val="21"/>
                <w:highlight w:val="none"/>
              </w:rPr>
              <w:t>投标文件签字或盖章要求</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在有要求签字或盖章的地方，均应签字或盖章（正本中为复印件的须加盖公章）。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4.1.1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投标文件的密封与标记</w:t>
            </w:r>
          </w:p>
        </w:tc>
        <w:tc>
          <w:tcPr>
            <w:tcW w:w="5782" w:type="dxa"/>
            <w:vAlign w:val="center"/>
          </w:tcPr>
          <w:p>
            <w:pPr>
              <w:pStyle w:val="45"/>
              <w:snapToGrid w:val="0"/>
              <w:spacing w:line="420" w:lineRule="exact"/>
              <w:ind w:right="125" w:rightChars="52" w:firstLine="194" w:firstLineChars="100"/>
              <w:rPr>
                <w:rFonts w:ascii="宋体" w:hAnsi="宋体"/>
                <w:color w:val="auto"/>
                <w:spacing w:val="-8"/>
                <w:sz w:val="21"/>
                <w:szCs w:val="21"/>
                <w:highlight w:val="none"/>
              </w:rPr>
            </w:pPr>
            <w:r>
              <w:rPr>
                <w:rFonts w:hint="eastAsia" w:ascii="宋体" w:hAnsi="宋体"/>
                <w:color w:val="auto"/>
                <w:spacing w:val="-8"/>
                <w:sz w:val="21"/>
                <w:szCs w:val="21"/>
                <w:highlight w:val="none"/>
              </w:rPr>
              <w:t>1.为方便开标时唱标，投标人应将《</w:t>
            </w:r>
            <w:bookmarkStart w:id="73" w:name="_Hlk71358909"/>
            <w:r>
              <w:rPr>
                <w:rFonts w:hint="eastAsia" w:ascii="宋体" w:hAnsi="宋体"/>
                <w:color w:val="auto"/>
                <w:spacing w:val="-8"/>
                <w:sz w:val="21"/>
                <w:szCs w:val="21"/>
                <w:highlight w:val="none"/>
              </w:rPr>
              <w:t>投标一览表</w:t>
            </w:r>
            <w:bookmarkEnd w:id="73"/>
            <w:r>
              <w:rPr>
                <w:rFonts w:hint="eastAsia" w:ascii="宋体" w:hAnsi="宋体"/>
                <w:color w:val="auto"/>
                <w:spacing w:val="-8"/>
                <w:sz w:val="21"/>
                <w:szCs w:val="21"/>
                <w:highlight w:val="none"/>
              </w:rPr>
              <w:t>》一份单独密封提交，并在信封上清晰标明“开标信封”字样。</w:t>
            </w:r>
            <w:bookmarkStart w:id="74" w:name="_Hlk71622920"/>
            <w:r>
              <w:rPr>
                <w:rFonts w:hint="eastAsia" w:ascii="宋体" w:hAnsi="宋体"/>
                <w:color w:val="auto"/>
                <w:spacing w:val="-8"/>
                <w:sz w:val="21"/>
                <w:szCs w:val="21"/>
                <w:highlight w:val="none"/>
              </w:rPr>
              <w:t>投标文件的正本、副本、电子投标文件，均应密封在同一密封包中。若上述资料确实无法密封在同一密封包中，则可按实际情况分开密封，但须在密封包装上标明密封内容。</w:t>
            </w:r>
          </w:p>
          <w:bookmarkEnd w:id="74"/>
          <w:p>
            <w:pPr>
              <w:pStyle w:val="45"/>
              <w:snapToGrid w:val="0"/>
              <w:spacing w:line="420" w:lineRule="exact"/>
              <w:ind w:right="125" w:rightChars="52" w:firstLine="194" w:firstLineChars="100"/>
              <w:rPr>
                <w:rFonts w:ascii="宋体" w:hAnsi="宋体"/>
                <w:color w:val="auto"/>
                <w:sz w:val="21"/>
                <w:szCs w:val="21"/>
                <w:highlight w:val="none"/>
              </w:rPr>
            </w:pPr>
            <w:r>
              <w:rPr>
                <w:rFonts w:hint="eastAsia" w:ascii="宋体" w:hAnsi="宋体"/>
                <w:color w:val="auto"/>
                <w:spacing w:val="-8"/>
                <w:sz w:val="21"/>
                <w:szCs w:val="21"/>
                <w:highlight w:val="none"/>
              </w:rPr>
              <w:t>2.纸质投标文件提供正本一份，副本四份，电子投标文件（</w:t>
            </w:r>
            <w:r>
              <w:rPr>
                <w:rFonts w:hint="eastAsia" w:ascii="宋体" w:hAnsi="宋体"/>
                <w:color w:val="auto"/>
                <w:spacing w:val="-8"/>
                <w:sz w:val="21"/>
                <w:szCs w:val="21"/>
                <w:highlight w:val="none"/>
                <w:lang w:val="en-US" w:eastAsia="zh-CN"/>
              </w:rPr>
              <w:t>U盘</w:t>
            </w:r>
            <w:r>
              <w:rPr>
                <w:rFonts w:hint="eastAsia" w:ascii="宋体" w:hAnsi="宋体"/>
                <w:color w:val="auto"/>
                <w:spacing w:val="-8"/>
                <w:sz w:val="21"/>
                <w:szCs w:val="21"/>
                <w:highlight w:val="none"/>
              </w:rPr>
              <w:t>）一份。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1"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4.1.2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封套上应载明的信息</w:t>
            </w:r>
          </w:p>
        </w:tc>
        <w:tc>
          <w:tcPr>
            <w:tcW w:w="5782" w:type="dxa"/>
            <w:vAlign w:val="center"/>
          </w:tcPr>
          <w:p>
            <w:pPr>
              <w:spacing w:line="420" w:lineRule="exact"/>
              <w:jc w:val="both"/>
              <w:rPr>
                <w:rFonts w:ascii="宋体" w:hAnsi="宋体"/>
                <w:color w:val="auto"/>
                <w:sz w:val="21"/>
                <w:szCs w:val="21"/>
                <w:highlight w:val="none"/>
                <w:u w:val="single"/>
              </w:rPr>
            </w:pPr>
            <w:r>
              <w:rPr>
                <w:rFonts w:hint="eastAsia" w:ascii="宋体" w:hAnsi="宋体"/>
                <w:color w:val="auto"/>
                <w:sz w:val="21"/>
                <w:szCs w:val="21"/>
                <w:highlight w:val="none"/>
              </w:rPr>
              <w:t>信封或外包装上应当注明项目名称和“在</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rPr>
              <w:t>年</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月</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rPr>
              <w:t>日</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时</w:t>
            </w:r>
            <w:r>
              <w:rPr>
                <w:rFonts w:hint="eastAsia" w:ascii="宋体" w:hAnsi="宋体"/>
                <w:color w:val="auto"/>
                <w:sz w:val="21"/>
                <w:szCs w:val="21"/>
                <w:highlight w:val="none"/>
                <w:u w:val="single"/>
              </w:rPr>
              <w:t xml:space="preserve"> </w:t>
            </w:r>
            <w:r>
              <w:rPr>
                <w:rFonts w:ascii="宋体" w:hAnsi="宋体"/>
                <w:color w:val="auto"/>
                <w:sz w:val="21"/>
                <w:szCs w:val="21"/>
                <w:highlight w:val="none"/>
                <w:u w:val="single"/>
              </w:rPr>
              <w:t xml:space="preserve">  </w:t>
            </w:r>
            <w:r>
              <w:rPr>
                <w:rFonts w:hint="eastAsia" w:ascii="宋体" w:hAnsi="宋体"/>
                <w:color w:val="auto"/>
                <w:sz w:val="21"/>
                <w:szCs w:val="21"/>
                <w:highlight w:val="none"/>
              </w:rPr>
              <w:t>分（招标文件中规定的开标日期和时点）之前不得启封”的字样，封口处应加盖投标人公章或者由投标人的法定代表人或者其委托代理人签字。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trPr>
        <w:tc>
          <w:tcPr>
            <w:tcW w:w="979"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4</w:t>
            </w:r>
            <w:r>
              <w:rPr>
                <w:rFonts w:ascii="宋体" w:hAnsi="宋体"/>
                <w:color w:val="auto"/>
                <w:sz w:val="21"/>
                <w:szCs w:val="21"/>
                <w:highlight w:val="none"/>
              </w:rPr>
              <w:t>.2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投标文件的递交</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1.投标文件一份正本，四份副本；投标文件封面应注明正本、副本；副本可为正本复印件，正副本不一致时， 以正本为准。</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2.电子标书（</w:t>
            </w:r>
            <w:r>
              <w:rPr>
                <w:rFonts w:hint="eastAsia" w:ascii="宋体" w:hAnsi="宋体"/>
                <w:color w:val="auto"/>
                <w:sz w:val="21"/>
                <w:szCs w:val="21"/>
                <w:highlight w:val="none"/>
                <w:lang w:val="en-US" w:eastAsia="zh-CN"/>
              </w:rPr>
              <w:t>U盘</w:t>
            </w:r>
            <w:r>
              <w:rPr>
                <w:rFonts w:hint="eastAsia" w:ascii="宋体" w:hAnsi="宋体"/>
                <w:color w:val="auto"/>
                <w:sz w:val="21"/>
                <w:szCs w:val="21"/>
                <w:highlight w:val="none"/>
              </w:rPr>
              <w:t>）：投标人须将投标文件商务部分 Word 版、投标文件技术部分 Word 版一并打包储存于光盘，不加密。随同投标文件一起提交。若出现因递交的电子文件（</w:t>
            </w:r>
            <w:r>
              <w:rPr>
                <w:rFonts w:hint="eastAsia" w:ascii="宋体" w:hAnsi="宋体"/>
                <w:color w:val="auto"/>
                <w:sz w:val="21"/>
                <w:szCs w:val="21"/>
                <w:highlight w:val="none"/>
                <w:lang w:val="en-US" w:eastAsia="zh-CN"/>
              </w:rPr>
              <w:t>U盘</w:t>
            </w:r>
            <w:r>
              <w:rPr>
                <w:rFonts w:hint="eastAsia" w:ascii="宋体" w:hAnsi="宋体"/>
                <w:color w:val="auto"/>
                <w:sz w:val="21"/>
                <w:szCs w:val="21"/>
                <w:highlight w:val="none"/>
              </w:rPr>
              <w:t>）损坏而无法读取其内容，后果由投标人自负（开标结束后投标文件不退还）；</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3.未按以上要求递交投标文件的投标人，投标无效，其后果由投标人自负。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4.2.1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投标截止时间</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截止时间：详见招标公告-日程安排</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地点：广州交易集团有限公司（广州公共资源交易中心）（广州市天河区天润路 333号）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4.2.3</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投标文件是否退还</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☑否</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79" w:type="dxa"/>
          </w:tcPr>
          <w:p>
            <w:pPr>
              <w:spacing w:line="420" w:lineRule="exact"/>
              <w:jc w:val="both"/>
              <w:rPr>
                <w:rFonts w:ascii="宋体" w:hAnsi="宋体"/>
                <w:color w:val="auto"/>
                <w:sz w:val="21"/>
                <w:szCs w:val="21"/>
                <w:highlight w:val="none"/>
              </w:rPr>
            </w:pPr>
            <w:r>
              <w:rPr>
                <w:rFonts w:ascii="宋体" w:hAnsi="宋体"/>
                <w:color w:val="auto"/>
                <w:sz w:val="21"/>
                <w:szCs w:val="21"/>
                <w:highlight w:val="none"/>
              </w:rPr>
              <w:t>5.1</w:t>
            </w:r>
          </w:p>
        </w:tc>
        <w:tc>
          <w:tcPr>
            <w:tcW w:w="2311" w:type="dxa"/>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开标时间和地点</w:t>
            </w:r>
          </w:p>
        </w:tc>
        <w:tc>
          <w:tcPr>
            <w:tcW w:w="5782" w:type="dxa"/>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开标时间：详见招标公告-日程安排</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地点：广州交易集团有限公司（广州公共资源交易中心）（广州市天河区天润路 333号）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979" w:type="dxa"/>
          </w:tcPr>
          <w:p>
            <w:pPr>
              <w:spacing w:line="420" w:lineRule="exact"/>
              <w:jc w:val="both"/>
              <w:rPr>
                <w:rFonts w:ascii="宋体" w:hAnsi="宋体"/>
                <w:color w:val="auto"/>
                <w:sz w:val="21"/>
                <w:szCs w:val="21"/>
                <w:highlight w:val="none"/>
              </w:rPr>
            </w:pPr>
            <w:r>
              <w:rPr>
                <w:rFonts w:ascii="宋体" w:hAnsi="宋体"/>
                <w:color w:val="auto"/>
                <w:sz w:val="21"/>
                <w:szCs w:val="21"/>
                <w:highlight w:val="none"/>
              </w:rPr>
              <w:t>6.1.1</w:t>
            </w:r>
          </w:p>
        </w:tc>
        <w:tc>
          <w:tcPr>
            <w:tcW w:w="2311" w:type="dxa"/>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评标委员会的组建</w:t>
            </w:r>
          </w:p>
        </w:tc>
        <w:tc>
          <w:tcPr>
            <w:tcW w:w="5782" w:type="dxa"/>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评标委员会构成：</w:t>
            </w:r>
            <w:r>
              <w:rPr>
                <w:rFonts w:ascii="宋体" w:hAnsi="宋体"/>
                <w:color w:val="auto"/>
                <w:sz w:val="21"/>
                <w:szCs w:val="21"/>
                <w:highlight w:val="none"/>
              </w:rPr>
              <w:t>7</w:t>
            </w:r>
            <w:r>
              <w:rPr>
                <w:rFonts w:hint="eastAsia" w:ascii="宋体" w:hAnsi="宋体"/>
                <w:color w:val="auto"/>
                <w:sz w:val="21"/>
                <w:szCs w:val="21"/>
                <w:highlight w:val="none"/>
              </w:rPr>
              <w:t>人，</w:t>
            </w:r>
            <w:r>
              <w:rPr>
                <w:rFonts w:hint="eastAsia"/>
                <w:color w:val="auto"/>
                <w:sz w:val="21"/>
                <w:highlight w:val="none"/>
              </w:rPr>
              <w:t>从法定的专家库中随机抽取。其中招标人代表 2人，专家5人。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979" w:type="dxa"/>
            <w:vAlign w:val="center"/>
          </w:tcPr>
          <w:p>
            <w:pPr>
              <w:spacing w:line="420" w:lineRule="exact"/>
              <w:rPr>
                <w:rFonts w:ascii="宋体" w:hAnsi="宋体"/>
                <w:color w:val="auto"/>
                <w:sz w:val="21"/>
                <w:szCs w:val="21"/>
                <w:highlight w:val="none"/>
              </w:rPr>
            </w:pPr>
            <w:r>
              <w:rPr>
                <w:rFonts w:ascii="宋体" w:hAnsi="宋体"/>
                <w:color w:val="auto"/>
                <w:sz w:val="21"/>
                <w:szCs w:val="21"/>
                <w:highlight w:val="none"/>
              </w:rPr>
              <w:t>6.3.2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评标委员会推荐中标候选人的人数</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推荐中标候选人</w:t>
            </w:r>
            <w:r>
              <w:rPr>
                <w:rFonts w:ascii="宋体" w:hAnsi="宋体"/>
                <w:color w:val="auto"/>
                <w:sz w:val="21"/>
                <w:szCs w:val="21"/>
                <w:highlight w:val="none"/>
              </w:rPr>
              <w:t xml:space="preserve"> 3 </w:t>
            </w:r>
            <w:r>
              <w:rPr>
                <w:rFonts w:hint="eastAsia" w:ascii="宋体" w:hAnsi="宋体"/>
                <w:color w:val="auto"/>
                <w:sz w:val="21"/>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8"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7.1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中标候选人公示媒介及期限</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公示媒介：广东省招标投标监管网、广州交易集团有限公司（广州公共资源交易中心）网</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公示期限：</w:t>
            </w:r>
            <w:r>
              <w:rPr>
                <w:rFonts w:ascii="宋体" w:hAnsi="宋体"/>
                <w:color w:val="auto"/>
                <w:sz w:val="21"/>
                <w:szCs w:val="21"/>
                <w:highlight w:val="none"/>
                <w:u w:val="single"/>
              </w:rPr>
              <w:t xml:space="preserve"> 3 </w:t>
            </w:r>
            <w:r>
              <w:rPr>
                <w:rFonts w:hint="eastAsia" w:ascii="宋体" w:hAnsi="宋体"/>
                <w:color w:val="auto"/>
                <w:sz w:val="21"/>
                <w:szCs w:val="21"/>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7.4</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是否授权评标委员会确定中标人</w:t>
            </w:r>
          </w:p>
        </w:tc>
        <w:tc>
          <w:tcPr>
            <w:tcW w:w="5782"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是</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fldChar w:fldCharType="begin"/>
            </w:r>
            <w:r>
              <w:rPr>
                <w:rFonts w:ascii="宋体" w:hAnsi="宋体"/>
                <w:color w:val="auto"/>
                <w:sz w:val="21"/>
                <w:szCs w:val="21"/>
                <w:highlight w:val="none"/>
              </w:rPr>
              <w:instrText xml:space="preserve"> eq \o\ac(</w:instrText>
            </w:r>
            <w:r>
              <w:rPr>
                <w:rFonts w:hint="eastAsia" w:ascii="宋体" w:hAnsi="宋体"/>
                <w:color w:val="auto"/>
                <w:sz w:val="21"/>
                <w:szCs w:val="21"/>
                <w:highlight w:val="none"/>
              </w:rPr>
              <w:instrText xml:space="preserve">□</w:instrText>
            </w:r>
            <w:r>
              <w:rPr>
                <w:rFonts w:ascii="宋体" w:hAnsi="宋体"/>
                <w:color w:val="auto"/>
                <w:sz w:val="21"/>
                <w:szCs w:val="21"/>
                <w:highlight w:val="none"/>
              </w:rPr>
              <w:instrText xml:space="preserve">,</w:instrText>
            </w:r>
            <w:r>
              <w:rPr>
                <w:rFonts w:hint="eastAsia" w:ascii="宋体" w:hAnsi="宋体"/>
                <w:color w:val="auto"/>
                <w:sz w:val="21"/>
                <w:szCs w:val="21"/>
                <w:highlight w:val="none"/>
              </w:rPr>
              <w:instrText xml:space="preserve">√</w:instrText>
            </w:r>
            <w:r>
              <w:rPr>
                <w:rFonts w:ascii="宋体" w:hAnsi="宋体"/>
                <w:color w:val="auto"/>
                <w:sz w:val="21"/>
                <w:szCs w:val="21"/>
                <w:highlight w:val="none"/>
              </w:rPr>
              <w:instrText xml:space="preserve">)</w:instrText>
            </w:r>
            <w:r>
              <w:rPr>
                <w:rFonts w:ascii="宋体" w:hAnsi="宋体"/>
                <w:color w:val="auto"/>
                <w:sz w:val="21"/>
                <w:szCs w:val="21"/>
                <w:highlight w:val="none"/>
              </w:rPr>
              <w:fldChar w:fldCharType="end"/>
            </w:r>
            <w:r>
              <w:rPr>
                <w:rFonts w:hint="eastAsia" w:ascii="宋体" w:hAnsi="宋体"/>
                <w:color w:val="auto"/>
                <w:sz w:val="21"/>
                <w:szCs w:val="21"/>
                <w:highlight w:val="none"/>
              </w:rPr>
              <w:t>否，评标委员会推荐前</w:t>
            </w:r>
            <w:r>
              <w:rPr>
                <w:rFonts w:ascii="宋体" w:hAnsi="宋体"/>
                <w:color w:val="auto"/>
                <w:sz w:val="21"/>
                <w:szCs w:val="21"/>
                <w:highlight w:val="none"/>
              </w:rPr>
              <w:t>3</w:t>
            </w:r>
            <w:r>
              <w:rPr>
                <w:rFonts w:hint="eastAsia" w:ascii="宋体" w:hAnsi="宋体"/>
                <w:color w:val="auto"/>
                <w:sz w:val="21"/>
                <w:szCs w:val="21"/>
                <w:highlight w:val="none"/>
              </w:rPr>
              <w:t>名中标候选人。</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补充说明：</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1</w:t>
            </w:r>
            <w:r>
              <w:rPr>
                <w:rFonts w:hint="eastAsia" w:ascii="宋体" w:hAnsi="宋体"/>
                <w:color w:val="auto"/>
                <w:sz w:val="21"/>
                <w:szCs w:val="21"/>
                <w:highlight w:val="none"/>
              </w:rPr>
              <w:t>）依法必须进行公开招标的项目，招标人应当确定排名第一的中标候选人为中标人。</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w:t>
            </w:r>
            <w:r>
              <w:rPr>
                <w:rFonts w:ascii="宋体" w:hAnsi="宋体"/>
                <w:color w:val="auto"/>
                <w:sz w:val="21"/>
                <w:szCs w:val="21"/>
                <w:highlight w:val="none"/>
              </w:rPr>
              <w:t>2</w:t>
            </w:r>
            <w:r>
              <w:rPr>
                <w:rFonts w:hint="eastAsia" w:ascii="宋体" w:hAnsi="宋体"/>
                <w:color w:val="auto"/>
                <w:sz w:val="21"/>
                <w:szCs w:val="21"/>
                <w:highlight w:val="none"/>
              </w:rPr>
              <w:t>）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7.6.1</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履约保证金</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是否要求中标人提交履约保证金：</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fldChar w:fldCharType="begin"/>
            </w:r>
            <w:r>
              <w:rPr>
                <w:rFonts w:ascii="宋体" w:hAnsi="宋体"/>
                <w:color w:val="auto"/>
                <w:sz w:val="21"/>
                <w:szCs w:val="21"/>
                <w:highlight w:val="none"/>
              </w:rPr>
              <w:instrText xml:space="preserve"> eq \o\ac(</w:instrText>
            </w:r>
            <w:r>
              <w:rPr>
                <w:rFonts w:hint="eastAsia" w:ascii="宋体" w:hAnsi="宋体"/>
                <w:color w:val="auto"/>
                <w:sz w:val="21"/>
                <w:szCs w:val="21"/>
                <w:highlight w:val="none"/>
              </w:rPr>
              <w:instrText xml:space="preserve">□</w:instrText>
            </w:r>
            <w:r>
              <w:rPr>
                <w:rFonts w:ascii="宋体" w:hAnsi="宋体"/>
                <w:color w:val="auto"/>
                <w:sz w:val="21"/>
                <w:szCs w:val="21"/>
                <w:highlight w:val="none"/>
              </w:rPr>
              <w:instrText xml:space="preserve">,</w:instrText>
            </w:r>
            <w:r>
              <w:rPr>
                <w:rFonts w:hint="eastAsia" w:ascii="宋体" w:hAnsi="宋体"/>
                <w:color w:val="auto"/>
                <w:sz w:val="21"/>
                <w:szCs w:val="21"/>
                <w:highlight w:val="none"/>
              </w:rPr>
              <w:instrText xml:space="preserve">√</w:instrText>
            </w:r>
            <w:r>
              <w:rPr>
                <w:rFonts w:ascii="宋体" w:hAnsi="宋体"/>
                <w:color w:val="auto"/>
                <w:sz w:val="21"/>
                <w:szCs w:val="21"/>
                <w:highlight w:val="none"/>
              </w:rPr>
              <w:instrText xml:space="preserve">)</w:instrText>
            </w:r>
            <w:r>
              <w:rPr>
                <w:rFonts w:ascii="宋体" w:hAnsi="宋体"/>
                <w:color w:val="auto"/>
                <w:sz w:val="21"/>
                <w:szCs w:val="21"/>
                <w:highlight w:val="none"/>
              </w:rPr>
              <w:fldChar w:fldCharType="end"/>
            </w:r>
            <w:r>
              <w:rPr>
                <w:rFonts w:hint="eastAsia" w:ascii="宋体" w:hAnsi="宋体"/>
                <w:color w:val="auto"/>
                <w:sz w:val="21"/>
                <w:szCs w:val="21"/>
                <w:highlight w:val="none"/>
              </w:rPr>
              <w:t>要求，履约保证金的形式：可采用银行转账、支票、投标保函、投标保证保险的形式。</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履约保证金的金额：中标人提供的履约担保金额为中标合同金额的</w:t>
            </w:r>
            <w:r>
              <w:rPr>
                <w:rFonts w:ascii="宋体" w:hAnsi="宋体"/>
                <w:color w:val="auto"/>
                <w:sz w:val="21"/>
                <w:szCs w:val="21"/>
                <w:highlight w:val="none"/>
              </w:rPr>
              <w:t>5</w:t>
            </w:r>
            <w:r>
              <w:rPr>
                <w:rFonts w:hint="eastAsia" w:ascii="宋体" w:hAnsi="宋体"/>
                <w:color w:val="auto"/>
                <w:sz w:val="21"/>
                <w:szCs w:val="21"/>
                <w:highlight w:val="none"/>
              </w:rPr>
              <w:t>%；</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履约保证金提交时限：在中标之后，签订合同前。</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中标人应按中标价的5%向招标人提供履约担保。如采用银行转账形式提供，在中标通知书发出后签订合同前由投标人转入发包人指定的账户，并凭银行出具的资金转入有效证明到发包人财务处领取履约保证金收款收据，如果中标人的履约担保是以银行保函的形式提供，则该银行保函应由在中国注册的商业银行或担保公司开具并符合要求，如中标人提供虚假银行保函或未经招标人同意前提下不符合前述要求，招标人将取消其中标资格，并追究法律责任。</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9</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是否采用电子招标投标</w:t>
            </w:r>
          </w:p>
        </w:tc>
        <w:tc>
          <w:tcPr>
            <w:tcW w:w="5782"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fldChar w:fldCharType="begin"/>
            </w:r>
            <w:r>
              <w:rPr>
                <w:rFonts w:ascii="宋体" w:hAnsi="宋体"/>
                <w:color w:val="auto"/>
                <w:sz w:val="21"/>
                <w:szCs w:val="21"/>
                <w:highlight w:val="none"/>
              </w:rPr>
              <w:instrText xml:space="preserve"> eq \o\ac(</w:instrText>
            </w:r>
            <w:r>
              <w:rPr>
                <w:rFonts w:hint="eastAsia" w:ascii="宋体" w:hAnsi="宋体"/>
                <w:color w:val="auto"/>
                <w:sz w:val="21"/>
                <w:szCs w:val="21"/>
                <w:highlight w:val="none"/>
              </w:rPr>
              <w:instrText xml:space="preserve">□</w:instrText>
            </w:r>
            <w:r>
              <w:rPr>
                <w:rFonts w:ascii="宋体" w:hAnsi="宋体"/>
                <w:color w:val="auto"/>
                <w:sz w:val="21"/>
                <w:szCs w:val="21"/>
                <w:highlight w:val="none"/>
              </w:rPr>
              <w:instrText xml:space="preserve">,</w:instrText>
            </w:r>
            <w:r>
              <w:rPr>
                <w:rFonts w:hint="eastAsia" w:ascii="宋体" w:hAnsi="宋体"/>
                <w:color w:val="auto"/>
                <w:sz w:val="21"/>
                <w:szCs w:val="21"/>
                <w:highlight w:val="none"/>
              </w:rPr>
              <w:instrText xml:space="preserve">√</w:instrText>
            </w:r>
            <w:r>
              <w:rPr>
                <w:rFonts w:ascii="宋体" w:hAnsi="宋体"/>
                <w:color w:val="auto"/>
                <w:sz w:val="21"/>
                <w:szCs w:val="21"/>
                <w:highlight w:val="none"/>
              </w:rPr>
              <w:instrText xml:space="preserve">)</w:instrText>
            </w:r>
            <w:r>
              <w:rPr>
                <w:rFonts w:ascii="宋体" w:hAnsi="宋体"/>
                <w:color w:val="auto"/>
                <w:sz w:val="21"/>
                <w:szCs w:val="21"/>
                <w:highlight w:val="none"/>
              </w:rPr>
              <w:fldChar w:fldCharType="end"/>
            </w:r>
            <w:r>
              <w:rPr>
                <w:rFonts w:hint="eastAsia" w:ascii="宋体" w:hAnsi="宋体"/>
                <w:color w:val="auto"/>
                <w:sz w:val="21"/>
                <w:szCs w:val="21"/>
                <w:highlight w:val="none"/>
              </w:rPr>
              <w:t>否</w:t>
            </w:r>
          </w:p>
          <w:p>
            <w:pPr>
              <w:spacing w:line="420" w:lineRule="exact"/>
              <w:jc w:val="both"/>
              <w:rPr>
                <w:rFonts w:ascii="宋体" w:hAnsi="宋体"/>
                <w:color w:val="auto"/>
                <w:sz w:val="21"/>
                <w:szCs w:val="21"/>
                <w:highlight w:val="none"/>
              </w:rPr>
            </w:pPr>
            <w:r>
              <w:rPr>
                <w:rFonts w:ascii="宋体" w:hAnsi="宋体"/>
                <w:color w:val="auto"/>
                <w:sz w:val="21"/>
                <w:szCs w:val="21"/>
                <w:highlight w:val="none"/>
              </w:rPr>
              <w:t>□</w:t>
            </w:r>
            <w:r>
              <w:rPr>
                <w:rFonts w:hint="eastAsia" w:ascii="宋体" w:hAnsi="宋体"/>
                <w:color w:val="auto"/>
                <w:sz w:val="21"/>
                <w:szCs w:val="21"/>
                <w:highlight w:val="none"/>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10</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需要补充的其他内容</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7"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10.2</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招标失败的情形</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本项目采用资格后审方式。满足资格审查合格条件的投标人不足3名或经评审有效的投标人不足3名或按要求递交投标文件的投标人不足3名时为招标失败。招标人分析招标失败原因，修正招标方案，重新组织招标。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7" w:hRule="atLeast"/>
        </w:trPr>
        <w:tc>
          <w:tcPr>
            <w:tcW w:w="979" w:type="dxa"/>
            <w:vAlign w:val="center"/>
          </w:tcPr>
          <w:p>
            <w:pPr>
              <w:spacing w:line="420" w:lineRule="exact"/>
              <w:jc w:val="both"/>
              <w:rPr>
                <w:rFonts w:ascii="宋体" w:hAnsi="宋体"/>
                <w:color w:val="auto"/>
                <w:sz w:val="21"/>
                <w:szCs w:val="21"/>
                <w:highlight w:val="none"/>
              </w:rPr>
            </w:pPr>
            <w:r>
              <w:rPr>
                <w:rFonts w:ascii="宋体" w:hAnsi="宋体"/>
                <w:color w:val="auto"/>
                <w:sz w:val="21"/>
                <w:szCs w:val="21"/>
                <w:highlight w:val="none"/>
              </w:rPr>
              <w:t>10.3</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第一中标候选人放弃中标资格情形</w:t>
            </w:r>
          </w:p>
        </w:tc>
        <w:tc>
          <w:tcPr>
            <w:tcW w:w="5782"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979" w:type="dxa"/>
            <w:vAlign w:val="center"/>
          </w:tcPr>
          <w:p>
            <w:pPr>
              <w:widowControl/>
              <w:spacing w:line="420" w:lineRule="exact"/>
              <w:rPr>
                <w:rFonts w:ascii="宋体" w:hAnsi="宋体"/>
                <w:color w:val="auto"/>
                <w:sz w:val="21"/>
                <w:szCs w:val="21"/>
                <w:highlight w:val="none"/>
              </w:rPr>
            </w:pPr>
            <w:r>
              <w:rPr>
                <w:rFonts w:hint="eastAsia" w:ascii="宋体" w:hAnsi="宋体" w:cs="宋体"/>
                <w:color w:val="auto"/>
                <w:sz w:val="21"/>
                <w:szCs w:val="21"/>
                <w:highlight w:val="none"/>
              </w:rPr>
              <w:t xml:space="preserve">10.4 </w:t>
            </w:r>
          </w:p>
        </w:tc>
        <w:tc>
          <w:tcPr>
            <w:tcW w:w="2311" w:type="dxa"/>
            <w:vAlign w:val="center"/>
          </w:tcPr>
          <w:p>
            <w:pPr>
              <w:widowControl/>
              <w:spacing w:line="420" w:lineRule="exact"/>
              <w:rPr>
                <w:rFonts w:ascii="宋体" w:hAnsi="宋体"/>
                <w:color w:val="auto"/>
                <w:sz w:val="21"/>
                <w:szCs w:val="21"/>
                <w:highlight w:val="none"/>
              </w:rPr>
            </w:pPr>
            <w:r>
              <w:rPr>
                <w:rFonts w:hint="eastAsia" w:ascii="宋体" w:hAnsi="宋体" w:cs="宋体"/>
                <w:color w:val="auto"/>
                <w:sz w:val="21"/>
                <w:szCs w:val="21"/>
                <w:highlight w:val="none"/>
              </w:rPr>
              <w:t>工程咨询费计算方法</w:t>
            </w:r>
          </w:p>
        </w:tc>
        <w:tc>
          <w:tcPr>
            <w:tcW w:w="5782" w:type="dxa"/>
            <w:vAlign w:val="center"/>
          </w:tcPr>
          <w:p>
            <w:pPr>
              <w:widowControl/>
              <w:spacing w:line="420" w:lineRule="exact"/>
              <w:rPr>
                <w:rFonts w:hint="eastAsia" w:ascii="宋体" w:hAnsi="宋体"/>
                <w:color w:val="auto"/>
                <w:sz w:val="21"/>
                <w:szCs w:val="21"/>
                <w:highlight w:val="none"/>
              </w:rPr>
            </w:pPr>
            <w:r>
              <w:rPr>
                <w:rFonts w:hint="eastAsia" w:ascii="宋体" w:hAnsi="宋体"/>
                <w:color w:val="auto"/>
                <w:sz w:val="21"/>
                <w:szCs w:val="21"/>
                <w:highlight w:val="none"/>
              </w:rPr>
              <w:t>工程监理：监理服务</w:t>
            </w:r>
            <w:r>
              <w:rPr>
                <w:rFonts w:hint="eastAsia" w:ascii="宋体" w:hAnsi="宋体"/>
                <w:color w:val="auto"/>
                <w:sz w:val="21"/>
                <w:szCs w:val="21"/>
                <w:highlight w:val="none"/>
                <w:lang w:val="en-US" w:eastAsia="zh-CN"/>
              </w:rPr>
              <w:t>结算价</w:t>
            </w:r>
            <w:r>
              <w:rPr>
                <w:rFonts w:hint="eastAsia" w:ascii="宋体" w:hAnsi="宋体"/>
                <w:color w:val="auto"/>
                <w:sz w:val="21"/>
                <w:szCs w:val="21"/>
                <w:highlight w:val="none"/>
              </w:rPr>
              <w:t>=总建筑面积×</w:t>
            </w:r>
            <w:r>
              <w:rPr>
                <w:rFonts w:hint="eastAsia" w:ascii="宋体" w:hAnsi="宋体"/>
                <w:color w:val="auto"/>
                <w:sz w:val="21"/>
                <w:szCs w:val="21"/>
                <w:highlight w:val="none"/>
                <w:lang w:val="en-US" w:eastAsia="zh-CN"/>
              </w:rPr>
              <w:t>监理服务费中标</w:t>
            </w:r>
            <w:r>
              <w:rPr>
                <w:rFonts w:hint="eastAsia" w:ascii="宋体" w:hAnsi="宋体"/>
                <w:color w:val="auto"/>
                <w:sz w:val="21"/>
                <w:szCs w:val="21"/>
                <w:highlight w:val="none"/>
              </w:rPr>
              <w:t>综合单价</w:t>
            </w:r>
          </w:p>
          <w:p>
            <w:pPr>
              <w:widowControl/>
              <w:spacing w:line="420" w:lineRule="exact"/>
              <w:rPr>
                <w:rFonts w:ascii="宋体" w:hAnsi="宋体"/>
                <w:color w:val="auto"/>
                <w:sz w:val="21"/>
                <w:szCs w:val="21"/>
                <w:highlight w:val="none"/>
              </w:rPr>
            </w:pPr>
            <w:r>
              <w:rPr>
                <w:rFonts w:hint="eastAsia" w:ascii="宋体" w:hAnsi="宋体"/>
                <w:color w:val="auto"/>
                <w:sz w:val="21"/>
                <w:szCs w:val="21"/>
                <w:highlight w:val="none"/>
              </w:rPr>
              <w:t>工程造价咨询：造价咨询服务结算价=总建筑面积×</w:t>
            </w:r>
            <w:r>
              <w:rPr>
                <w:rFonts w:hint="eastAsia" w:ascii="宋体" w:hAnsi="宋体"/>
                <w:color w:val="auto"/>
                <w:sz w:val="21"/>
                <w:szCs w:val="21"/>
                <w:highlight w:val="none"/>
                <w:lang w:val="en-US" w:eastAsia="zh-CN"/>
              </w:rPr>
              <w:t>造价咨询中标</w:t>
            </w:r>
            <w:r>
              <w:rPr>
                <w:rFonts w:hint="eastAsia" w:ascii="宋体" w:hAnsi="宋体"/>
                <w:color w:val="auto"/>
                <w:sz w:val="21"/>
                <w:szCs w:val="21"/>
                <w:highlight w:val="none"/>
              </w:rPr>
              <w:t>综合单价-服务考核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0" w:hRule="atLeast"/>
        </w:trPr>
        <w:tc>
          <w:tcPr>
            <w:tcW w:w="979"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1</w:t>
            </w:r>
            <w:r>
              <w:rPr>
                <w:rFonts w:ascii="宋体" w:hAnsi="宋体"/>
                <w:color w:val="auto"/>
                <w:sz w:val="21"/>
                <w:szCs w:val="21"/>
                <w:highlight w:val="none"/>
              </w:rPr>
              <w:t>0</w:t>
            </w:r>
            <w:r>
              <w:rPr>
                <w:rFonts w:hint="eastAsia" w:ascii="宋体" w:hAnsi="宋体"/>
                <w:color w:val="auto"/>
                <w:sz w:val="21"/>
                <w:szCs w:val="21"/>
                <w:highlight w:val="none"/>
              </w:rPr>
              <w:t>.5</w:t>
            </w:r>
          </w:p>
        </w:tc>
        <w:tc>
          <w:tcPr>
            <w:tcW w:w="2311" w:type="dxa"/>
            <w:vAlign w:val="center"/>
          </w:tcPr>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其他事项</w:t>
            </w:r>
          </w:p>
        </w:tc>
        <w:tc>
          <w:tcPr>
            <w:tcW w:w="5782" w:type="dxa"/>
            <w:vAlign w:val="center"/>
          </w:tcPr>
          <w:p>
            <w:pPr>
              <w:pStyle w:val="45"/>
              <w:snapToGrid w:val="0"/>
              <w:spacing w:line="420" w:lineRule="exact"/>
              <w:ind w:right="271" w:rightChars="113"/>
              <w:jc w:val="both"/>
              <w:rPr>
                <w:rFonts w:ascii="宋体" w:hAnsi="宋体"/>
                <w:color w:val="auto"/>
                <w:sz w:val="21"/>
                <w:szCs w:val="21"/>
                <w:highlight w:val="none"/>
              </w:rPr>
            </w:pPr>
            <w:r>
              <w:rPr>
                <w:rFonts w:hint="eastAsia" w:ascii="宋体" w:hAnsi="宋体"/>
                <w:color w:val="auto"/>
                <w:sz w:val="21"/>
                <w:szCs w:val="21"/>
                <w:highlight w:val="none"/>
              </w:rPr>
              <w:t>1、本次招标代理服务费参照《招标代理服务收费管理暂行办法》（国家计委计价格[2002]1980号文）的标准，招标代理服务费及评审费用由中标人在领取中标通知书时向招标代理机构一次性交纳。</w:t>
            </w:r>
          </w:p>
          <w:p>
            <w:pPr>
              <w:spacing w:line="420" w:lineRule="exact"/>
              <w:jc w:val="both"/>
              <w:rPr>
                <w:rFonts w:ascii="宋体" w:hAnsi="宋体"/>
                <w:color w:val="auto"/>
                <w:sz w:val="21"/>
                <w:szCs w:val="21"/>
                <w:highlight w:val="none"/>
              </w:rPr>
            </w:pPr>
            <w:r>
              <w:rPr>
                <w:rFonts w:hint="eastAsia" w:ascii="宋体" w:hAnsi="宋体"/>
                <w:color w:val="auto"/>
                <w:sz w:val="21"/>
                <w:szCs w:val="21"/>
                <w:highlight w:val="none"/>
              </w:rPr>
              <w:t>2、本项目交易服务费由中标人按广州交易集团有限公司（广州公共资源交易中心）的要求支付。</w:t>
            </w:r>
          </w:p>
        </w:tc>
      </w:tr>
    </w:tbl>
    <w:p>
      <w:pPr>
        <w:widowControl/>
        <w:numPr>
          <w:ilvl w:val="0"/>
          <w:numId w:val="7"/>
        </w:numPr>
        <w:tabs>
          <w:tab w:val="left" w:pos="760"/>
        </w:tabs>
        <w:autoSpaceDE/>
        <w:autoSpaceDN/>
        <w:adjustRightInd/>
        <w:spacing w:line="360" w:lineRule="auto"/>
        <w:ind w:firstLine="480" w:firstLineChars="200"/>
        <w:outlineLvl w:val="1"/>
        <w:rPr>
          <w:rFonts w:ascii="宋体" w:hAnsi="宋体"/>
          <w:b/>
          <w:color w:val="auto"/>
          <w:highlight w:val="none"/>
        </w:rPr>
      </w:pPr>
      <w:r>
        <w:rPr>
          <w:rFonts w:ascii="宋体" w:hAnsi="宋体"/>
          <w:color w:val="auto"/>
          <w:highlight w:val="none"/>
        </w:rPr>
        <w:br w:type="page"/>
      </w:r>
      <w:bookmarkStart w:id="75" w:name="_Toc71855563"/>
      <w:bookmarkStart w:id="76" w:name="_Toc71854301"/>
      <w:bookmarkStart w:id="77" w:name="_Toc99970091"/>
      <w:bookmarkStart w:id="78" w:name="_Toc71376929"/>
      <w:bookmarkStart w:id="79" w:name="_Toc103022616"/>
      <w:bookmarkStart w:id="80" w:name="_Toc71854905"/>
      <w:bookmarkStart w:id="81" w:name="_Toc71855218"/>
      <w:bookmarkStart w:id="82" w:name="_Toc102907727"/>
      <w:r>
        <w:rPr>
          <w:rFonts w:hint="eastAsia" w:ascii="宋体" w:hAnsi="宋体"/>
          <w:b/>
          <w:color w:val="auto"/>
          <w:highlight w:val="none"/>
        </w:rPr>
        <w:t>总则</w:t>
      </w:r>
      <w:bookmarkEnd w:id="75"/>
      <w:bookmarkEnd w:id="76"/>
      <w:bookmarkEnd w:id="77"/>
      <w:bookmarkEnd w:id="78"/>
      <w:bookmarkEnd w:id="79"/>
      <w:bookmarkEnd w:id="80"/>
      <w:bookmarkEnd w:id="81"/>
      <w:bookmarkEnd w:id="82"/>
    </w:p>
    <w:p>
      <w:pPr>
        <w:spacing w:line="360" w:lineRule="auto"/>
        <w:ind w:firstLine="440" w:firstLineChars="200"/>
        <w:outlineLvl w:val="2"/>
        <w:rPr>
          <w:rFonts w:ascii="宋体" w:hAnsi="宋体"/>
          <w:color w:val="auto"/>
          <w:sz w:val="22"/>
          <w:szCs w:val="22"/>
          <w:highlight w:val="none"/>
        </w:rPr>
      </w:pPr>
      <w:bookmarkStart w:id="83" w:name="_Toc71855219"/>
      <w:bookmarkStart w:id="84" w:name="_Toc71854302"/>
      <w:bookmarkStart w:id="85" w:name="_Toc103022617"/>
      <w:bookmarkStart w:id="86" w:name="_Toc71855564"/>
      <w:bookmarkStart w:id="87" w:name="_Toc102907728"/>
      <w:bookmarkStart w:id="88" w:name="_Toc71854906"/>
      <w:r>
        <w:rPr>
          <w:rFonts w:ascii="宋体" w:hAnsi="宋体"/>
          <w:color w:val="auto"/>
          <w:sz w:val="22"/>
          <w:szCs w:val="22"/>
          <w:highlight w:val="none"/>
        </w:rPr>
        <w:t xml:space="preserve">1.1 </w:t>
      </w:r>
      <w:r>
        <w:rPr>
          <w:rFonts w:hint="eastAsia" w:ascii="宋体" w:hAnsi="宋体"/>
          <w:color w:val="auto"/>
          <w:sz w:val="22"/>
          <w:szCs w:val="22"/>
          <w:highlight w:val="none"/>
        </w:rPr>
        <w:t>招标项目概况</w:t>
      </w:r>
      <w:bookmarkEnd w:id="83"/>
      <w:bookmarkEnd w:id="84"/>
      <w:bookmarkEnd w:id="85"/>
      <w:bookmarkEnd w:id="86"/>
      <w:bookmarkEnd w:id="87"/>
      <w:bookmarkEnd w:id="88"/>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1.1.1 </w:t>
      </w:r>
      <w:r>
        <w:rPr>
          <w:rFonts w:hint="eastAsia" w:ascii="宋体" w:hAnsi="宋体"/>
          <w:color w:val="auto"/>
          <w:sz w:val="22"/>
          <w:szCs w:val="22"/>
          <w:highlight w:val="none"/>
        </w:rPr>
        <w:t>根据《中华人民共和国招标投标法》、《中华人民共和国招标投标法实施条例》等有关法律、法规和规章的规定，本招标项目已具备招标条件，现对该项目进行招标。</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1.1.2 </w:t>
      </w:r>
      <w:r>
        <w:rPr>
          <w:rFonts w:hint="eastAsia" w:ascii="宋体" w:hAnsi="宋体"/>
          <w:color w:val="auto"/>
          <w:sz w:val="22"/>
          <w:szCs w:val="22"/>
          <w:highlight w:val="none"/>
        </w:rPr>
        <w:t>招标人：见投标人须知前附表。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1.1.3 </w:t>
      </w:r>
      <w:r>
        <w:rPr>
          <w:rFonts w:hint="eastAsia" w:ascii="宋体" w:hAnsi="宋体"/>
          <w:color w:val="auto"/>
          <w:sz w:val="22"/>
          <w:szCs w:val="22"/>
          <w:highlight w:val="none"/>
        </w:rPr>
        <w:t>招标代理机构：见投标人须知前附表。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1.1.4 </w:t>
      </w:r>
      <w:r>
        <w:rPr>
          <w:rFonts w:hint="eastAsia" w:ascii="宋体" w:hAnsi="宋体"/>
          <w:color w:val="auto"/>
          <w:sz w:val="22"/>
          <w:szCs w:val="22"/>
          <w:highlight w:val="none"/>
        </w:rPr>
        <w:t>招标项目名称：见投标人须知前附表。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1.1.5 </w:t>
      </w:r>
      <w:r>
        <w:rPr>
          <w:rFonts w:hint="eastAsia" w:ascii="宋体" w:hAnsi="宋体"/>
          <w:color w:val="auto"/>
          <w:sz w:val="22"/>
          <w:szCs w:val="22"/>
          <w:highlight w:val="none"/>
        </w:rPr>
        <w:t>项目建设地点：见投标人须知前附表。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1.1.6 </w:t>
      </w:r>
      <w:r>
        <w:rPr>
          <w:rFonts w:hint="eastAsia" w:ascii="宋体" w:hAnsi="宋体"/>
          <w:color w:val="auto"/>
          <w:sz w:val="22"/>
          <w:szCs w:val="22"/>
          <w:highlight w:val="none"/>
        </w:rPr>
        <w:t>项目建设规模：见投标人须知前附表。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1.1.7 </w:t>
      </w:r>
      <w:r>
        <w:rPr>
          <w:rFonts w:hint="eastAsia" w:ascii="宋体" w:hAnsi="宋体"/>
          <w:color w:val="auto"/>
          <w:sz w:val="22"/>
          <w:szCs w:val="22"/>
          <w:highlight w:val="none"/>
        </w:rPr>
        <w:t>工程项目施工预计开工日期和建设周期：见投标人须知前附表。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1.1.8 </w:t>
      </w:r>
      <w:r>
        <w:rPr>
          <w:rFonts w:hint="eastAsia" w:ascii="宋体" w:hAnsi="宋体"/>
          <w:color w:val="auto"/>
          <w:sz w:val="22"/>
          <w:szCs w:val="22"/>
          <w:highlight w:val="none"/>
        </w:rPr>
        <w:t>项目总投资：见投标人须知前附表。</w:t>
      </w:r>
    </w:p>
    <w:p>
      <w:pPr>
        <w:spacing w:line="360" w:lineRule="auto"/>
        <w:ind w:firstLine="440" w:firstLineChars="200"/>
        <w:jc w:val="both"/>
        <w:outlineLvl w:val="2"/>
        <w:rPr>
          <w:rFonts w:ascii="宋体" w:hAnsi="宋体"/>
          <w:color w:val="auto"/>
          <w:sz w:val="22"/>
          <w:szCs w:val="22"/>
          <w:highlight w:val="none"/>
        </w:rPr>
      </w:pPr>
      <w:bookmarkStart w:id="89" w:name="_Toc71854303"/>
      <w:bookmarkStart w:id="90" w:name="_Toc103022618"/>
      <w:bookmarkStart w:id="91" w:name="_Toc102907729"/>
      <w:bookmarkStart w:id="92" w:name="_Toc71854907"/>
      <w:bookmarkStart w:id="93" w:name="_Toc71855220"/>
      <w:bookmarkStart w:id="94" w:name="_Toc71855565"/>
      <w:r>
        <w:rPr>
          <w:rFonts w:ascii="宋体" w:hAnsi="宋体"/>
          <w:color w:val="auto"/>
          <w:sz w:val="22"/>
          <w:szCs w:val="22"/>
          <w:highlight w:val="none"/>
        </w:rPr>
        <w:t xml:space="preserve">1.2 </w:t>
      </w:r>
      <w:r>
        <w:rPr>
          <w:rFonts w:hint="eastAsia" w:ascii="宋体" w:hAnsi="宋体"/>
          <w:color w:val="auto"/>
          <w:sz w:val="22"/>
          <w:szCs w:val="22"/>
          <w:highlight w:val="none"/>
        </w:rPr>
        <w:t>招标项目的资金来源和落实情况</w:t>
      </w:r>
      <w:bookmarkEnd w:id="89"/>
      <w:bookmarkEnd w:id="90"/>
      <w:bookmarkEnd w:id="91"/>
      <w:bookmarkEnd w:id="92"/>
      <w:bookmarkEnd w:id="93"/>
      <w:bookmarkEnd w:id="94"/>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1.2.1 </w:t>
      </w:r>
      <w:r>
        <w:rPr>
          <w:rFonts w:hint="eastAsia" w:ascii="宋体" w:hAnsi="宋体"/>
          <w:color w:val="auto"/>
          <w:sz w:val="22"/>
          <w:szCs w:val="22"/>
          <w:highlight w:val="none"/>
        </w:rPr>
        <w:t>资金来源及比例：见投标人须知前附表。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1.2.2 </w:t>
      </w:r>
      <w:r>
        <w:rPr>
          <w:rFonts w:hint="eastAsia" w:ascii="宋体" w:hAnsi="宋体"/>
          <w:color w:val="auto"/>
          <w:sz w:val="22"/>
          <w:szCs w:val="22"/>
          <w:highlight w:val="none"/>
        </w:rPr>
        <w:t>资金落实情况：见投标人须知前附表。</w:t>
      </w:r>
    </w:p>
    <w:p>
      <w:pPr>
        <w:spacing w:line="360" w:lineRule="auto"/>
        <w:ind w:firstLine="440" w:firstLineChars="200"/>
        <w:jc w:val="both"/>
        <w:outlineLvl w:val="2"/>
        <w:rPr>
          <w:rFonts w:ascii="宋体" w:hAnsi="宋体"/>
          <w:color w:val="auto"/>
          <w:sz w:val="22"/>
          <w:szCs w:val="22"/>
          <w:highlight w:val="none"/>
        </w:rPr>
      </w:pPr>
      <w:bookmarkStart w:id="95" w:name="_Toc71855221"/>
      <w:bookmarkStart w:id="96" w:name="_Toc71854908"/>
      <w:bookmarkStart w:id="97" w:name="_Toc102907730"/>
      <w:bookmarkStart w:id="98" w:name="_Toc103022619"/>
      <w:bookmarkStart w:id="99" w:name="_Toc71855566"/>
      <w:bookmarkStart w:id="100" w:name="_Toc71854304"/>
      <w:r>
        <w:rPr>
          <w:rFonts w:ascii="宋体" w:hAnsi="宋体"/>
          <w:color w:val="auto"/>
          <w:sz w:val="22"/>
          <w:szCs w:val="22"/>
          <w:highlight w:val="none"/>
        </w:rPr>
        <w:t xml:space="preserve">1.3 </w:t>
      </w:r>
      <w:r>
        <w:rPr>
          <w:rFonts w:hint="eastAsia" w:ascii="宋体" w:hAnsi="宋体"/>
          <w:color w:val="auto"/>
          <w:sz w:val="22"/>
          <w:szCs w:val="22"/>
          <w:highlight w:val="none"/>
        </w:rPr>
        <w:t>招标范围、服务期限和质量标准</w:t>
      </w:r>
      <w:bookmarkEnd w:id="95"/>
      <w:bookmarkEnd w:id="96"/>
      <w:bookmarkEnd w:id="97"/>
      <w:bookmarkEnd w:id="98"/>
      <w:bookmarkEnd w:id="99"/>
      <w:bookmarkEnd w:id="100"/>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1.3.1 </w:t>
      </w:r>
      <w:r>
        <w:rPr>
          <w:rFonts w:hint="eastAsia" w:ascii="宋体" w:hAnsi="宋体"/>
          <w:color w:val="auto"/>
          <w:sz w:val="22"/>
          <w:szCs w:val="22"/>
          <w:highlight w:val="none"/>
        </w:rPr>
        <w:t>招标范围：见投标人须知前附表。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1.3.2 </w:t>
      </w:r>
      <w:r>
        <w:rPr>
          <w:rFonts w:hint="eastAsia" w:ascii="宋体" w:hAnsi="宋体"/>
          <w:color w:val="auto"/>
          <w:sz w:val="22"/>
          <w:szCs w:val="22"/>
          <w:highlight w:val="none"/>
        </w:rPr>
        <w:t>服务期限：见投标人须知前附表。</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1.3.3 </w:t>
      </w:r>
      <w:r>
        <w:rPr>
          <w:rFonts w:hint="eastAsia" w:ascii="宋体" w:hAnsi="宋体"/>
          <w:color w:val="auto"/>
          <w:sz w:val="22"/>
          <w:szCs w:val="22"/>
          <w:highlight w:val="none"/>
        </w:rPr>
        <w:t>质量标准：见投标人须知前附表。</w:t>
      </w:r>
    </w:p>
    <w:p>
      <w:pPr>
        <w:spacing w:line="360" w:lineRule="auto"/>
        <w:ind w:firstLine="440" w:firstLineChars="200"/>
        <w:jc w:val="both"/>
        <w:outlineLvl w:val="2"/>
        <w:rPr>
          <w:rFonts w:ascii="宋体" w:hAnsi="宋体"/>
          <w:color w:val="auto"/>
          <w:sz w:val="22"/>
          <w:szCs w:val="22"/>
          <w:highlight w:val="none"/>
        </w:rPr>
      </w:pPr>
      <w:bookmarkStart w:id="101" w:name="_Toc103022620"/>
      <w:bookmarkStart w:id="102" w:name="_Toc102907731"/>
      <w:bookmarkStart w:id="103" w:name="_Toc71854305"/>
      <w:bookmarkStart w:id="104" w:name="_Toc71855567"/>
      <w:bookmarkStart w:id="105" w:name="_Toc71855222"/>
      <w:bookmarkStart w:id="106" w:name="_Toc71854909"/>
      <w:r>
        <w:rPr>
          <w:rFonts w:ascii="宋体" w:hAnsi="宋体"/>
          <w:color w:val="auto"/>
          <w:sz w:val="22"/>
          <w:szCs w:val="22"/>
          <w:highlight w:val="none"/>
        </w:rPr>
        <w:t xml:space="preserve">1.4 </w:t>
      </w:r>
      <w:r>
        <w:rPr>
          <w:rFonts w:hint="eastAsia" w:ascii="宋体" w:hAnsi="宋体"/>
          <w:color w:val="auto"/>
          <w:sz w:val="22"/>
          <w:szCs w:val="22"/>
          <w:highlight w:val="none"/>
        </w:rPr>
        <w:t>投标人资格要求</w:t>
      </w:r>
      <w:bookmarkEnd w:id="101"/>
      <w:bookmarkEnd w:id="102"/>
      <w:bookmarkEnd w:id="103"/>
      <w:bookmarkEnd w:id="104"/>
      <w:bookmarkEnd w:id="105"/>
      <w:bookmarkEnd w:id="106"/>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1.4.1 </w:t>
      </w:r>
      <w:r>
        <w:rPr>
          <w:rFonts w:hint="eastAsia" w:ascii="宋体" w:hAnsi="宋体"/>
          <w:color w:val="auto"/>
          <w:sz w:val="22"/>
          <w:szCs w:val="22"/>
          <w:highlight w:val="none"/>
        </w:rPr>
        <w:t>投标人应具备承担本招标项目资质条件、能力和信誉：见</w:t>
      </w:r>
      <w:r>
        <w:rPr>
          <w:rFonts w:hint="eastAsia" w:ascii="宋体" w:hAnsi="宋体"/>
          <w:color w:val="auto"/>
          <w:sz w:val="22"/>
          <w:szCs w:val="22"/>
          <w:highlight w:val="none"/>
          <w:lang w:val="en-US" w:eastAsia="zh-CN"/>
        </w:rPr>
        <w:t>招标公告</w:t>
      </w:r>
      <w:r>
        <w:rPr>
          <w:rFonts w:hint="eastAsia" w:ascii="宋体" w:hAnsi="宋体"/>
          <w:color w:val="auto"/>
          <w:sz w:val="22"/>
          <w:szCs w:val="22"/>
          <w:highlight w:val="none"/>
        </w:rPr>
        <w:t>；</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1.4.2 </w:t>
      </w:r>
      <w:r>
        <w:rPr>
          <w:rFonts w:hint="eastAsia" w:ascii="宋体" w:hAnsi="宋体"/>
          <w:color w:val="auto"/>
          <w:sz w:val="22"/>
          <w:szCs w:val="22"/>
          <w:highlight w:val="none"/>
        </w:rPr>
        <w:t>投标人须知前附表规定接受联合体投标的，联合体除应符合本章第</w:t>
      </w:r>
      <w:r>
        <w:rPr>
          <w:rFonts w:ascii="宋体" w:hAnsi="宋体"/>
          <w:color w:val="auto"/>
          <w:sz w:val="22"/>
          <w:szCs w:val="22"/>
          <w:highlight w:val="none"/>
        </w:rPr>
        <w:t xml:space="preserve"> 1.4.1 </w:t>
      </w:r>
      <w:r>
        <w:rPr>
          <w:rFonts w:hint="eastAsia" w:ascii="宋体" w:hAnsi="宋体"/>
          <w:color w:val="auto"/>
          <w:sz w:val="22"/>
          <w:szCs w:val="22"/>
          <w:highlight w:val="none"/>
        </w:rPr>
        <w:t>项和投标人须知前附表的要求外，还应遵守以下规定：</w:t>
      </w:r>
    </w:p>
    <w:p>
      <w:pPr>
        <w:spacing w:line="360" w:lineRule="auto"/>
        <w:ind w:firstLine="440" w:firstLineChars="200"/>
        <w:jc w:val="both"/>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）联合体各方应按招标文件提供的格式签订联合体协议书，明确联合体主办方和各方权利义务，并承诺就中标项目向招标人承担连带责任；</w:t>
      </w:r>
    </w:p>
    <w:p>
      <w:pPr>
        <w:spacing w:line="360" w:lineRule="auto"/>
        <w:ind w:firstLine="440" w:firstLineChars="200"/>
        <w:jc w:val="both"/>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）由同一专业的单位组成的联合体，按照资质等级较低的单位确定资质等级；</w:t>
      </w:r>
    </w:p>
    <w:p>
      <w:pPr>
        <w:spacing w:line="360" w:lineRule="auto"/>
        <w:ind w:firstLine="440" w:firstLineChars="200"/>
        <w:jc w:val="both"/>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olor w:val="auto"/>
          <w:sz w:val="22"/>
          <w:szCs w:val="22"/>
          <w:highlight w:val="none"/>
        </w:rPr>
        <w:t>）联合体各方不得再以自己名义单独或参加其他联合体在本招标项目中投标，否则各相关投标均无效。</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1.4.3 </w:t>
      </w:r>
      <w:r>
        <w:rPr>
          <w:rFonts w:hint="eastAsia" w:ascii="宋体" w:hAnsi="宋体"/>
          <w:color w:val="auto"/>
          <w:sz w:val="22"/>
          <w:szCs w:val="22"/>
          <w:highlight w:val="none"/>
        </w:rPr>
        <w:t>投标人不得存在下列情形之一：</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）为招标人不具有独立法人资格的附属机构（单位）；</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）与招标人存在利害关系且可能影响招标公正性；</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olor w:val="auto"/>
          <w:sz w:val="22"/>
          <w:szCs w:val="22"/>
          <w:highlight w:val="none"/>
        </w:rPr>
        <w:t>）与本招标项目的其他投标人为同一个单位负责人；</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4</w:t>
      </w:r>
      <w:r>
        <w:rPr>
          <w:rFonts w:hint="eastAsia" w:ascii="宋体" w:hAnsi="宋体"/>
          <w:color w:val="auto"/>
          <w:sz w:val="22"/>
          <w:szCs w:val="22"/>
          <w:highlight w:val="none"/>
        </w:rPr>
        <w:t>）与本招标项目的其他投标人存在控股、管理关系；</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5</w:t>
      </w:r>
      <w:r>
        <w:rPr>
          <w:rFonts w:hint="eastAsia" w:ascii="宋体" w:hAnsi="宋体"/>
          <w:color w:val="auto"/>
          <w:sz w:val="22"/>
          <w:szCs w:val="22"/>
          <w:highlight w:val="none"/>
        </w:rPr>
        <w:t>）为本招标项目的代建人；</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6</w:t>
      </w:r>
      <w:r>
        <w:rPr>
          <w:rFonts w:hint="eastAsia" w:ascii="宋体" w:hAnsi="宋体"/>
          <w:color w:val="auto"/>
          <w:sz w:val="22"/>
          <w:szCs w:val="22"/>
          <w:highlight w:val="none"/>
        </w:rPr>
        <w:t>）为本招标项目的招标代理机构；</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7</w:t>
      </w:r>
      <w:r>
        <w:rPr>
          <w:rFonts w:hint="eastAsia" w:ascii="宋体" w:hAnsi="宋体"/>
          <w:color w:val="auto"/>
          <w:sz w:val="22"/>
          <w:szCs w:val="22"/>
          <w:highlight w:val="none"/>
        </w:rPr>
        <w:t>）与本招标项目的代建人或招标代理机构同为一个法定代表人；</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8</w:t>
      </w:r>
      <w:r>
        <w:rPr>
          <w:rFonts w:hint="eastAsia" w:ascii="宋体" w:hAnsi="宋体"/>
          <w:color w:val="auto"/>
          <w:sz w:val="22"/>
          <w:szCs w:val="22"/>
          <w:highlight w:val="none"/>
        </w:rPr>
        <w:t>）与本招标项目的代建人或招标代理机构存在控股或参股关系；</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9</w:t>
      </w:r>
      <w:r>
        <w:rPr>
          <w:rFonts w:hint="eastAsia" w:ascii="宋体" w:hAnsi="宋体"/>
          <w:color w:val="auto"/>
          <w:sz w:val="22"/>
          <w:szCs w:val="22"/>
          <w:highlight w:val="none"/>
        </w:rPr>
        <w:t>）被依法暂停或者取消投标资格；</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10</w:t>
      </w:r>
      <w:r>
        <w:rPr>
          <w:rFonts w:hint="eastAsia" w:ascii="宋体" w:hAnsi="宋体"/>
          <w:color w:val="auto"/>
          <w:sz w:val="22"/>
          <w:szCs w:val="22"/>
          <w:highlight w:val="none"/>
        </w:rPr>
        <w:t>）被责令停产停业、暂扣或者吊销许可证、暂扣或者吊销执照；</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11</w:t>
      </w:r>
      <w:r>
        <w:rPr>
          <w:rFonts w:hint="eastAsia" w:ascii="宋体" w:hAnsi="宋体"/>
          <w:color w:val="auto"/>
          <w:sz w:val="22"/>
          <w:szCs w:val="22"/>
          <w:highlight w:val="none"/>
        </w:rPr>
        <w:t>）进入清算程序，或被宣告破产，或其他丧失履约能力的情形；</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12</w:t>
      </w:r>
      <w:r>
        <w:rPr>
          <w:rFonts w:hint="eastAsia" w:ascii="宋体" w:hAnsi="宋体"/>
          <w:color w:val="auto"/>
          <w:sz w:val="22"/>
          <w:szCs w:val="22"/>
          <w:highlight w:val="none"/>
        </w:rPr>
        <w:t>）在最近三年内发生重大设计质量问题（以相关行业主管部门的行政处罚决定或司法</w:t>
      </w:r>
      <w:r>
        <w:rPr>
          <w:rFonts w:ascii="宋体" w:hAnsi="宋体"/>
          <w:color w:val="auto"/>
          <w:sz w:val="22"/>
          <w:szCs w:val="22"/>
          <w:highlight w:val="none"/>
        </w:rPr>
        <w:t xml:space="preserve"> </w:t>
      </w:r>
      <w:r>
        <w:rPr>
          <w:rFonts w:hint="eastAsia" w:ascii="宋体" w:hAnsi="宋体"/>
          <w:color w:val="auto"/>
          <w:sz w:val="22"/>
          <w:szCs w:val="22"/>
          <w:highlight w:val="none"/>
        </w:rPr>
        <w:t>机关出具的有关法律文书为准）；</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13</w:t>
      </w:r>
      <w:r>
        <w:rPr>
          <w:rFonts w:hint="eastAsia" w:ascii="宋体" w:hAnsi="宋体"/>
          <w:color w:val="auto"/>
          <w:sz w:val="22"/>
          <w:szCs w:val="22"/>
          <w:highlight w:val="none"/>
        </w:rPr>
        <w:t>）法律法规或投标人须知前附表规定的其他情形。</w:t>
      </w:r>
    </w:p>
    <w:p>
      <w:pPr>
        <w:spacing w:line="360" w:lineRule="auto"/>
        <w:ind w:firstLine="440" w:firstLineChars="200"/>
        <w:outlineLvl w:val="2"/>
        <w:rPr>
          <w:rFonts w:ascii="宋体" w:hAnsi="宋体"/>
          <w:color w:val="auto"/>
          <w:sz w:val="22"/>
          <w:szCs w:val="22"/>
          <w:highlight w:val="none"/>
        </w:rPr>
      </w:pPr>
      <w:bookmarkStart w:id="107" w:name="_Toc71854306"/>
      <w:bookmarkStart w:id="108" w:name="_Toc71854910"/>
      <w:bookmarkStart w:id="109" w:name="_Toc71855223"/>
      <w:bookmarkStart w:id="110" w:name="_Toc102907732"/>
      <w:bookmarkStart w:id="111" w:name="_Toc71855568"/>
      <w:bookmarkStart w:id="112" w:name="_Toc103022621"/>
      <w:r>
        <w:rPr>
          <w:rFonts w:ascii="宋体" w:hAnsi="宋体"/>
          <w:color w:val="auto"/>
          <w:sz w:val="22"/>
          <w:szCs w:val="22"/>
          <w:highlight w:val="none"/>
        </w:rPr>
        <w:t xml:space="preserve">1.5 </w:t>
      </w:r>
      <w:r>
        <w:rPr>
          <w:rFonts w:hint="eastAsia" w:ascii="宋体" w:hAnsi="宋体" w:cs="黑体"/>
          <w:color w:val="auto"/>
          <w:sz w:val="22"/>
          <w:szCs w:val="22"/>
          <w:highlight w:val="none"/>
        </w:rPr>
        <w:t>费用承担</w:t>
      </w:r>
      <w:bookmarkEnd w:id="107"/>
      <w:bookmarkEnd w:id="108"/>
      <w:bookmarkEnd w:id="109"/>
      <w:bookmarkEnd w:id="110"/>
      <w:bookmarkEnd w:id="111"/>
      <w:bookmarkEnd w:id="112"/>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投标人准备和参加投标活动发生的费用自理。</w:t>
      </w:r>
    </w:p>
    <w:p>
      <w:pPr>
        <w:spacing w:line="360" w:lineRule="auto"/>
        <w:ind w:firstLine="440" w:firstLineChars="200"/>
        <w:outlineLvl w:val="2"/>
        <w:rPr>
          <w:rFonts w:ascii="宋体" w:hAnsi="宋体"/>
          <w:color w:val="auto"/>
          <w:sz w:val="22"/>
          <w:szCs w:val="22"/>
          <w:highlight w:val="none"/>
        </w:rPr>
      </w:pPr>
      <w:bookmarkStart w:id="113" w:name="_Toc71855569"/>
      <w:bookmarkStart w:id="114" w:name="_Toc71854911"/>
      <w:bookmarkStart w:id="115" w:name="_Toc71854307"/>
      <w:bookmarkStart w:id="116" w:name="_Toc103022622"/>
      <w:bookmarkStart w:id="117" w:name="_Toc102907733"/>
      <w:bookmarkStart w:id="118" w:name="_Toc71855224"/>
      <w:r>
        <w:rPr>
          <w:rFonts w:ascii="宋体" w:hAnsi="宋体"/>
          <w:color w:val="auto"/>
          <w:sz w:val="22"/>
          <w:szCs w:val="22"/>
          <w:highlight w:val="none"/>
        </w:rPr>
        <w:t xml:space="preserve">1.6 </w:t>
      </w:r>
      <w:r>
        <w:rPr>
          <w:rFonts w:hint="eastAsia" w:ascii="宋体" w:hAnsi="宋体" w:cs="黑体"/>
          <w:color w:val="auto"/>
          <w:sz w:val="22"/>
          <w:szCs w:val="22"/>
          <w:highlight w:val="none"/>
        </w:rPr>
        <w:t>保密</w:t>
      </w:r>
      <w:bookmarkEnd w:id="113"/>
      <w:bookmarkEnd w:id="114"/>
      <w:bookmarkEnd w:id="115"/>
      <w:bookmarkEnd w:id="116"/>
      <w:bookmarkEnd w:id="117"/>
      <w:bookmarkEnd w:id="118"/>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参与招标投标活动的各方应对招标文件和投标文件中的商业和技术等秘密保密，否则应承担相应的法律责任。</w:t>
      </w:r>
    </w:p>
    <w:p>
      <w:pPr>
        <w:spacing w:line="360" w:lineRule="auto"/>
        <w:ind w:firstLine="440" w:firstLineChars="200"/>
        <w:outlineLvl w:val="2"/>
        <w:rPr>
          <w:rFonts w:ascii="宋体" w:hAnsi="宋体"/>
          <w:color w:val="auto"/>
          <w:sz w:val="22"/>
          <w:szCs w:val="22"/>
          <w:highlight w:val="none"/>
        </w:rPr>
      </w:pPr>
      <w:bookmarkStart w:id="119" w:name="_Toc102907734"/>
      <w:bookmarkStart w:id="120" w:name="_Toc71855225"/>
      <w:bookmarkStart w:id="121" w:name="_Toc71854912"/>
      <w:bookmarkStart w:id="122" w:name="_Toc71854308"/>
      <w:bookmarkStart w:id="123" w:name="_Toc103022623"/>
      <w:bookmarkStart w:id="124" w:name="_Toc71855570"/>
      <w:r>
        <w:rPr>
          <w:rFonts w:ascii="宋体" w:hAnsi="宋体"/>
          <w:color w:val="auto"/>
          <w:sz w:val="22"/>
          <w:szCs w:val="22"/>
          <w:highlight w:val="none"/>
        </w:rPr>
        <w:t xml:space="preserve">1.7 </w:t>
      </w:r>
      <w:r>
        <w:rPr>
          <w:rFonts w:hint="eastAsia" w:ascii="宋体" w:hAnsi="宋体"/>
          <w:color w:val="auto"/>
          <w:sz w:val="22"/>
          <w:szCs w:val="22"/>
          <w:highlight w:val="none"/>
        </w:rPr>
        <w:t>语言文字</w:t>
      </w:r>
      <w:bookmarkEnd w:id="119"/>
      <w:bookmarkEnd w:id="120"/>
      <w:bookmarkEnd w:id="121"/>
      <w:bookmarkEnd w:id="122"/>
      <w:bookmarkEnd w:id="123"/>
      <w:bookmarkEnd w:id="124"/>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招标投标文件使用的语言文字为中文。专用术语使用外文的，应附有中文注释。</w:t>
      </w:r>
    </w:p>
    <w:p>
      <w:pPr>
        <w:spacing w:line="360" w:lineRule="auto"/>
        <w:ind w:firstLine="440" w:firstLineChars="200"/>
        <w:outlineLvl w:val="2"/>
        <w:rPr>
          <w:rFonts w:ascii="宋体" w:hAnsi="宋体"/>
          <w:color w:val="auto"/>
          <w:sz w:val="22"/>
          <w:szCs w:val="22"/>
          <w:highlight w:val="none"/>
        </w:rPr>
      </w:pPr>
      <w:bookmarkStart w:id="125" w:name="_Toc102907735"/>
      <w:bookmarkStart w:id="126" w:name="_Toc71855571"/>
      <w:bookmarkStart w:id="127" w:name="_Toc71855226"/>
      <w:bookmarkStart w:id="128" w:name="_Toc71854913"/>
      <w:bookmarkStart w:id="129" w:name="_Toc71854309"/>
      <w:bookmarkStart w:id="130" w:name="_Toc103022624"/>
      <w:r>
        <w:rPr>
          <w:rFonts w:ascii="宋体" w:hAnsi="宋体"/>
          <w:color w:val="auto"/>
          <w:sz w:val="22"/>
          <w:szCs w:val="22"/>
          <w:highlight w:val="none"/>
        </w:rPr>
        <w:t xml:space="preserve">1.8 </w:t>
      </w:r>
      <w:r>
        <w:rPr>
          <w:rFonts w:hint="eastAsia" w:ascii="宋体" w:hAnsi="宋体"/>
          <w:color w:val="auto"/>
          <w:sz w:val="22"/>
          <w:szCs w:val="22"/>
          <w:highlight w:val="none"/>
        </w:rPr>
        <w:t>计量单位</w:t>
      </w:r>
      <w:bookmarkEnd w:id="125"/>
      <w:bookmarkEnd w:id="126"/>
      <w:bookmarkEnd w:id="127"/>
      <w:bookmarkEnd w:id="128"/>
      <w:bookmarkEnd w:id="129"/>
      <w:bookmarkEnd w:id="130"/>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所有计量均采用中华人民共和国法定计量单位。</w:t>
      </w:r>
    </w:p>
    <w:p>
      <w:pPr>
        <w:spacing w:line="360" w:lineRule="auto"/>
        <w:ind w:firstLine="440" w:firstLineChars="200"/>
        <w:outlineLvl w:val="2"/>
        <w:rPr>
          <w:rFonts w:ascii="宋体" w:hAnsi="宋体"/>
          <w:color w:val="auto"/>
          <w:sz w:val="22"/>
          <w:szCs w:val="22"/>
          <w:highlight w:val="none"/>
        </w:rPr>
      </w:pPr>
      <w:bookmarkStart w:id="131" w:name="_Toc102907736"/>
      <w:bookmarkStart w:id="132" w:name="_Toc71855572"/>
      <w:bookmarkStart w:id="133" w:name="_Toc71855227"/>
      <w:bookmarkStart w:id="134" w:name="_Toc71854310"/>
      <w:bookmarkStart w:id="135" w:name="_Toc71854914"/>
      <w:bookmarkStart w:id="136" w:name="_Toc103022625"/>
      <w:r>
        <w:rPr>
          <w:rFonts w:ascii="宋体" w:hAnsi="宋体"/>
          <w:color w:val="auto"/>
          <w:sz w:val="22"/>
          <w:szCs w:val="22"/>
          <w:highlight w:val="none"/>
        </w:rPr>
        <w:t xml:space="preserve">1.9 </w:t>
      </w:r>
      <w:r>
        <w:rPr>
          <w:rFonts w:hint="eastAsia" w:ascii="宋体" w:hAnsi="宋体"/>
          <w:color w:val="auto"/>
          <w:sz w:val="22"/>
          <w:szCs w:val="22"/>
          <w:highlight w:val="none"/>
        </w:rPr>
        <w:t>踏勘现场</w:t>
      </w:r>
      <w:bookmarkEnd w:id="131"/>
      <w:bookmarkEnd w:id="132"/>
      <w:bookmarkEnd w:id="133"/>
      <w:bookmarkEnd w:id="134"/>
      <w:bookmarkEnd w:id="135"/>
      <w:bookmarkEnd w:id="136"/>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1.9.1 </w:t>
      </w:r>
      <w:r>
        <w:rPr>
          <w:rFonts w:hint="eastAsia" w:ascii="宋体" w:hAnsi="宋体"/>
          <w:color w:val="auto"/>
          <w:sz w:val="22"/>
          <w:szCs w:val="22"/>
          <w:highlight w:val="none"/>
        </w:rPr>
        <w:t>投标人须知前附表规定组织踏勘现场的，招标人按投标人须知前附表规定的时间、地点组织投标人踏勘项目现场。部分投标人未按时参加踏勘现场的，不影响踏勘现场的正常进行。</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1.9.2 </w:t>
      </w:r>
      <w:r>
        <w:rPr>
          <w:rFonts w:hint="eastAsia" w:ascii="宋体" w:hAnsi="宋体"/>
          <w:color w:val="auto"/>
          <w:sz w:val="22"/>
          <w:szCs w:val="22"/>
          <w:highlight w:val="none"/>
        </w:rPr>
        <w:t>投标人踏勘现场发生的费用自理。</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1.9.3 </w:t>
      </w:r>
      <w:r>
        <w:rPr>
          <w:rFonts w:hint="eastAsia" w:ascii="宋体" w:hAnsi="宋体"/>
          <w:color w:val="auto"/>
          <w:sz w:val="22"/>
          <w:szCs w:val="22"/>
          <w:highlight w:val="none"/>
        </w:rPr>
        <w:t>除招标人的原因外，投标人自行负责在踏勘现场中所发生的人员伤亡和财产损失。</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1.9.4 </w:t>
      </w:r>
      <w:r>
        <w:rPr>
          <w:rFonts w:hint="eastAsia" w:ascii="宋体" w:hAnsi="宋体"/>
          <w:color w:val="auto"/>
          <w:sz w:val="22"/>
          <w:szCs w:val="22"/>
          <w:highlight w:val="none"/>
        </w:rPr>
        <w:t>招标人在踏勘现场中介绍的工程场地和相关的周边环境情况，供投标人在编制投标文件时参考，招标人不对投标人据此作出的判断和决策负责。</w:t>
      </w:r>
    </w:p>
    <w:p>
      <w:pPr>
        <w:spacing w:line="360" w:lineRule="auto"/>
        <w:ind w:firstLine="440" w:firstLineChars="200"/>
        <w:outlineLvl w:val="2"/>
        <w:rPr>
          <w:rFonts w:ascii="宋体" w:hAnsi="宋体"/>
          <w:color w:val="auto"/>
          <w:sz w:val="22"/>
          <w:szCs w:val="22"/>
          <w:highlight w:val="none"/>
        </w:rPr>
      </w:pPr>
      <w:bookmarkStart w:id="137" w:name="_Toc71854915"/>
      <w:bookmarkStart w:id="138" w:name="_Toc71855228"/>
      <w:bookmarkStart w:id="139" w:name="_Toc103022626"/>
      <w:bookmarkStart w:id="140" w:name="_Toc71854311"/>
      <w:bookmarkStart w:id="141" w:name="_Toc102907737"/>
      <w:bookmarkStart w:id="142" w:name="_Toc71855573"/>
      <w:r>
        <w:rPr>
          <w:rFonts w:ascii="宋体" w:hAnsi="宋体"/>
          <w:color w:val="auto"/>
          <w:sz w:val="22"/>
          <w:szCs w:val="22"/>
          <w:highlight w:val="none"/>
        </w:rPr>
        <w:t xml:space="preserve">1.10 </w:t>
      </w:r>
      <w:r>
        <w:rPr>
          <w:rFonts w:hint="eastAsia" w:ascii="宋体" w:hAnsi="宋体"/>
          <w:color w:val="auto"/>
          <w:sz w:val="22"/>
          <w:szCs w:val="22"/>
          <w:highlight w:val="none"/>
        </w:rPr>
        <w:t>投标预备会</w:t>
      </w:r>
      <w:bookmarkEnd w:id="137"/>
      <w:bookmarkEnd w:id="138"/>
      <w:bookmarkEnd w:id="139"/>
      <w:bookmarkEnd w:id="140"/>
      <w:bookmarkEnd w:id="141"/>
      <w:bookmarkEnd w:id="142"/>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1.10.1 </w:t>
      </w:r>
      <w:r>
        <w:rPr>
          <w:rFonts w:hint="eastAsia" w:ascii="宋体" w:hAnsi="宋体"/>
          <w:color w:val="auto"/>
          <w:sz w:val="22"/>
          <w:szCs w:val="22"/>
          <w:highlight w:val="none"/>
        </w:rPr>
        <w:t>投标人须知前附表规定召开投标预备会的，招标人按投标人须知前附表规定的时间和地点召开投标预备会，澄清投标人提出的问题。</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1.10.2 </w:t>
      </w:r>
      <w:r>
        <w:rPr>
          <w:rFonts w:hint="eastAsia" w:ascii="宋体" w:hAnsi="宋体"/>
          <w:color w:val="auto"/>
          <w:sz w:val="22"/>
          <w:szCs w:val="22"/>
          <w:highlight w:val="none"/>
        </w:rPr>
        <w:t>投标人应按投标人须知前附表规定的时间和形式将提出的问题送达招标人，以便招标人在会议期间澄清。</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1.10.3 </w:t>
      </w:r>
      <w:r>
        <w:rPr>
          <w:rFonts w:hint="eastAsia" w:ascii="宋体" w:hAnsi="宋体"/>
          <w:color w:val="auto"/>
          <w:sz w:val="22"/>
          <w:szCs w:val="22"/>
          <w:highlight w:val="none"/>
        </w:rPr>
        <w:t>投标预备会后，招标人将对投标人所提问题的澄清，以投标人须知前附表规定的形式通知所有购买招标文件的投标人。该澄清内容为招标文件的组成部分。</w:t>
      </w:r>
    </w:p>
    <w:p>
      <w:pPr>
        <w:spacing w:line="360" w:lineRule="auto"/>
        <w:ind w:firstLine="442" w:firstLineChars="200"/>
        <w:outlineLvl w:val="2"/>
        <w:rPr>
          <w:rFonts w:ascii="宋体" w:hAnsi="宋体"/>
          <w:b/>
          <w:color w:val="auto"/>
          <w:sz w:val="22"/>
          <w:szCs w:val="22"/>
          <w:highlight w:val="none"/>
        </w:rPr>
      </w:pPr>
      <w:bookmarkStart w:id="143" w:name="page24"/>
      <w:bookmarkEnd w:id="143"/>
      <w:bookmarkStart w:id="144" w:name="_Toc102907738"/>
      <w:bookmarkStart w:id="145" w:name="_Toc103022627"/>
      <w:bookmarkStart w:id="146" w:name="_Toc71854916"/>
      <w:bookmarkStart w:id="147" w:name="_Toc71855574"/>
      <w:bookmarkStart w:id="148" w:name="_Toc71854312"/>
      <w:bookmarkStart w:id="149" w:name="_Toc71855229"/>
      <w:r>
        <w:rPr>
          <w:rFonts w:ascii="宋体" w:hAnsi="宋体"/>
          <w:b/>
          <w:color w:val="auto"/>
          <w:sz w:val="22"/>
          <w:szCs w:val="22"/>
          <w:highlight w:val="none"/>
        </w:rPr>
        <w:t>1.11</w:t>
      </w:r>
      <w:r>
        <w:rPr>
          <w:rFonts w:hint="eastAsia" w:ascii="宋体" w:hAnsi="宋体"/>
          <w:b/>
          <w:color w:val="auto"/>
          <w:sz w:val="22"/>
          <w:szCs w:val="22"/>
          <w:highlight w:val="none"/>
        </w:rPr>
        <w:t>专项服务转委托</w:t>
      </w:r>
      <w:bookmarkEnd w:id="144"/>
      <w:bookmarkEnd w:id="145"/>
      <w:bookmarkEnd w:id="146"/>
      <w:bookmarkEnd w:id="147"/>
      <w:bookmarkEnd w:id="148"/>
      <w:bookmarkEnd w:id="149"/>
    </w:p>
    <w:p>
      <w:pPr>
        <w:spacing w:line="360" w:lineRule="auto"/>
        <w:ind w:firstLine="432" w:firstLineChars="200"/>
        <w:rPr>
          <w:rFonts w:ascii="宋体" w:hAnsi="宋体"/>
          <w:color w:val="auto"/>
          <w:spacing w:val="-2"/>
          <w:sz w:val="22"/>
          <w:szCs w:val="22"/>
          <w:highlight w:val="none"/>
        </w:rPr>
      </w:pPr>
      <w:bookmarkStart w:id="150" w:name="_Hlk71464793"/>
      <w:r>
        <w:rPr>
          <w:rFonts w:hint="eastAsia" w:ascii="宋体" w:hAnsi="宋体"/>
          <w:color w:val="auto"/>
          <w:spacing w:val="-2"/>
          <w:sz w:val="22"/>
          <w:szCs w:val="22"/>
          <w:highlight w:val="none"/>
        </w:rPr>
        <w:t>招标人有权根据项目的实际情况增加和减少工作内容。投标人资质承包范围不能涵盖或不具备相应能力</w:t>
      </w:r>
      <w:r>
        <w:rPr>
          <w:rFonts w:ascii="宋体" w:hAnsi="宋体"/>
          <w:color w:val="auto"/>
          <w:spacing w:val="-2"/>
          <w:sz w:val="22"/>
          <w:szCs w:val="22"/>
          <w:highlight w:val="none"/>
        </w:rPr>
        <w:t>(</w:t>
      </w:r>
      <w:r>
        <w:rPr>
          <w:rFonts w:hint="eastAsia" w:ascii="宋体" w:hAnsi="宋体"/>
          <w:color w:val="auto"/>
          <w:spacing w:val="-2"/>
          <w:sz w:val="22"/>
          <w:szCs w:val="22"/>
          <w:highlight w:val="none"/>
        </w:rPr>
        <w:t>该能力须保证进度和质量且须获得招标人认可</w:t>
      </w:r>
      <w:r>
        <w:rPr>
          <w:rFonts w:ascii="宋体" w:hAnsi="宋体"/>
          <w:color w:val="auto"/>
          <w:spacing w:val="-2"/>
          <w:sz w:val="22"/>
          <w:szCs w:val="22"/>
          <w:highlight w:val="none"/>
        </w:rPr>
        <w:t>)</w:t>
      </w:r>
      <w:r>
        <w:rPr>
          <w:rFonts w:hint="eastAsia" w:ascii="宋体" w:hAnsi="宋体"/>
          <w:color w:val="auto"/>
          <w:spacing w:val="-2"/>
          <w:sz w:val="22"/>
          <w:szCs w:val="22"/>
          <w:highlight w:val="none"/>
        </w:rPr>
        <w:t>的部分专业项目，在保证整个工程项目完整性的前提下，按照合同约定或经建设单位同意，将约定的部分咨询业务择优转委托给具有相应资质或能力的企业，投标人应对转委托企业的委托业务承担连带责任。</w:t>
      </w:r>
    </w:p>
    <w:bookmarkEnd w:id="150"/>
    <w:p>
      <w:pPr>
        <w:spacing w:line="360" w:lineRule="auto"/>
        <w:ind w:firstLine="440" w:firstLineChars="200"/>
        <w:outlineLvl w:val="2"/>
        <w:rPr>
          <w:rFonts w:ascii="宋体" w:hAnsi="宋体"/>
          <w:color w:val="auto"/>
          <w:sz w:val="22"/>
          <w:szCs w:val="22"/>
          <w:highlight w:val="none"/>
        </w:rPr>
      </w:pPr>
      <w:bookmarkStart w:id="151" w:name="_Toc71854917"/>
      <w:bookmarkStart w:id="152" w:name="_Toc71854313"/>
      <w:bookmarkStart w:id="153" w:name="_Toc103022628"/>
      <w:bookmarkStart w:id="154" w:name="_Toc71855230"/>
      <w:bookmarkStart w:id="155" w:name="_Toc71855575"/>
      <w:bookmarkStart w:id="156" w:name="_Toc102907739"/>
      <w:r>
        <w:rPr>
          <w:rFonts w:ascii="宋体" w:hAnsi="宋体"/>
          <w:color w:val="auto"/>
          <w:sz w:val="22"/>
          <w:szCs w:val="22"/>
          <w:highlight w:val="none"/>
        </w:rPr>
        <w:t xml:space="preserve">1.12 </w:t>
      </w:r>
      <w:r>
        <w:rPr>
          <w:rFonts w:hint="eastAsia" w:ascii="宋体" w:hAnsi="宋体"/>
          <w:color w:val="auto"/>
          <w:sz w:val="22"/>
          <w:szCs w:val="22"/>
          <w:highlight w:val="none"/>
        </w:rPr>
        <w:t>响应和偏差</w:t>
      </w:r>
      <w:bookmarkEnd w:id="151"/>
      <w:bookmarkEnd w:id="152"/>
      <w:bookmarkEnd w:id="153"/>
      <w:bookmarkEnd w:id="154"/>
      <w:bookmarkEnd w:id="155"/>
      <w:bookmarkEnd w:id="156"/>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1.12.1 </w:t>
      </w:r>
      <w:r>
        <w:rPr>
          <w:rFonts w:hint="eastAsia" w:ascii="宋体" w:hAnsi="宋体"/>
          <w:color w:val="auto"/>
          <w:sz w:val="22"/>
          <w:szCs w:val="22"/>
          <w:highlight w:val="none"/>
        </w:rPr>
        <w:t>投标文件应当对招标文件的实质性要求和条件作出满足性或更有利于招标人的响应，否则，投标人的投标将被否决。实质性要求和条件见投标人须知前附表。</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1.12.2 </w:t>
      </w:r>
      <w:r>
        <w:rPr>
          <w:rFonts w:hint="eastAsia" w:ascii="宋体" w:hAnsi="宋体"/>
          <w:color w:val="auto"/>
          <w:sz w:val="22"/>
          <w:szCs w:val="22"/>
          <w:highlight w:val="none"/>
        </w:rPr>
        <w:t>投标人应根据招标文件的要求提供投标服务技术方案等内容以对招标文件作出响应。</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1.12.3 </w:t>
      </w:r>
      <w:r>
        <w:rPr>
          <w:rFonts w:hint="eastAsia" w:ascii="宋体" w:hAnsi="宋体"/>
          <w:color w:val="auto"/>
          <w:sz w:val="22"/>
          <w:szCs w:val="22"/>
          <w:highlight w:val="none"/>
        </w:rPr>
        <w:t>投标人须知前附表允许投标文件偏离招标文件某些要求的，偏差应当符合招标文件规定的偏差范围和幅度。</w:t>
      </w:r>
    </w:p>
    <w:p>
      <w:pPr>
        <w:widowControl/>
        <w:numPr>
          <w:ilvl w:val="0"/>
          <w:numId w:val="8"/>
        </w:numPr>
        <w:tabs>
          <w:tab w:val="left" w:pos="760"/>
        </w:tabs>
        <w:autoSpaceDE/>
        <w:autoSpaceDN/>
        <w:adjustRightInd/>
        <w:spacing w:line="360" w:lineRule="auto"/>
        <w:ind w:firstLine="442" w:firstLineChars="200"/>
        <w:outlineLvl w:val="1"/>
        <w:rPr>
          <w:rFonts w:ascii="宋体" w:hAnsi="宋体"/>
          <w:b/>
          <w:color w:val="auto"/>
          <w:sz w:val="22"/>
          <w:szCs w:val="22"/>
          <w:highlight w:val="none"/>
        </w:rPr>
      </w:pPr>
      <w:bookmarkStart w:id="157" w:name="_Toc71854314"/>
      <w:bookmarkStart w:id="158" w:name="_Toc103022629"/>
      <w:bookmarkStart w:id="159" w:name="_Toc71855576"/>
      <w:bookmarkStart w:id="160" w:name="_Toc71376930"/>
      <w:bookmarkStart w:id="161" w:name="_Toc99970092"/>
      <w:bookmarkStart w:id="162" w:name="_Toc71854918"/>
      <w:bookmarkStart w:id="163" w:name="_Toc71855231"/>
      <w:bookmarkStart w:id="164" w:name="_Toc102907740"/>
      <w:r>
        <w:rPr>
          <w:rFonts w:hint="eastAsia" w:ascii="宋体" w:hAnsi="宋体"/>
          <w:b/>
          <w:color w:val="auto"/>
          <w:sz w:val="22"/>
          <w:szCs w:val="22"/>
          <w:highlight w:val="none"/>
        </w:rPr>
        <w:t>招标文件</w:t>
      </w:r>
      <w:bookmarkEnd w:id="157"/>
      <w:bookmarkEnd w:id="158"/>
      <w:bookmarkEnd w:id="159"/>
      <w:bookmarkEnd w:id="160"/>
      <w:bookmarkEnd w:id="161"/>
      <w:bookmarkEnd w:id="162"/>
      <w:bookmarkEnd w:id="163"/>
      <w:bookmarkEnd w:id="164"/>
    </w:p>
    <w:p>
      <w:pPr>
        <w:spacing w:line="360" w:lineRule="auto"/>
        <w:ind w:firstLine="440" w:firstLineChars="200"/>
        <w:outlineLvl w:val="2"/>
        <w:rPr>
          <w:rFonts w:ascii="宋体" w:hAnsi="宋体"/>
          <w:color w:val="auto"/>
          <w:sz w:val="22"/>
          <w:szCs w:val="22"/>
          <w:highlight w:val="none"/>
        </w:rPr>
      </w:pPr>
      <w:bookmarkStart w:id="165" w:name="_Toc71855577"/>
      <w:bookmarkStart w:id="166" w:name="_Toc103022630"/>
      <w:bookmarkStart w:id="167" w:name="_Toc71854315"/>
      <w:bookmarkStart w:id="168" w:name="_Toc102907741"/>
      <w:bookmarkStart w:id="169" w:name="_Toc71854919"/>
      <w:bookmarkStart w:id="170" w:name="_Toc71855232"/>
      <w:r>
        <w:rPr>
          <w:rFonts w:ascii="宋体" w:hAnsi="宋体"/>
          <w:color w:val="auto"/>
          <w:sz w:val="22"/>
          <w:szCs w:val="22"/>
          <w:highlight w:val="none"/>
        </w:rPr>
        <w:t xml:space="preserve">2.1 </w:t>
      </w:r>
      <w:r>
        <w:rPr>
          <w:rFonts w:hint="eastAsia" w:ascii="宋体" w:hAnsi="宋体"/>
          <w:color w:val="auto"/>
          <w:sz w:val="22"/>
          <w:szCs w:val="22"/>
          <w:highlight w:val="none"/>
        </w:rPr>
        <w:t>招标文件的组成</w:t>
      </w:r>
      <w:bookmarkEnd w:id="165"/>
      <w:bookmarkEnd w:id="166"/>
      <w:bookmarkEnd w:id="167"/>
      <w:bookmarkEnd w:id="168"/>
      <w:bookmarkEnd w:id="169"/>
      <w:bookmarkEnd w:id="170"/>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本招标文件包括：</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）招标公告（或投标邀请书）；</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）投标人须知；</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olor w:val="auto"/>
          <w:sz w:val="22"/>
          <w:szCs w:val="22"/>
          <w:highlight w:val="none"/>
        </w:rPr>
        <w:t>）评标办法；</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4</w:t>
      </w:r>
      <w:r>
        <w:rPr>
          <w:rFonts w:hint="eastAsia" w:ascii="宋体" w:hAnsi="宋体"/>
          <w:color w:val="auto"/>
          <w:sz w:val="22"/>
          <w:szCs w:val="22"/>
          <w:highlight w:val="none"/>
        </w:rPr>
        <w:t>）合同条款；</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5</w:t>
      </w:r>
      <w:r>
        <w:rPr>
          <w:rFonts w:hint="eastAsia" w:ascii="宋体" w:hAnsi="宋体"/>
          <w:color w:val="auto"/>
          <w:sz w:val="22"/>
          <w:szCs w:val="22"/>
          <w:highlight w:val="none"/>
        </w:rPr>
        <w:t>）用户需求书；</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6</w:t>
      </w:r>
      <w:r>
        <w:rPr>
          <w:rFonts w:hint="eastAsia" w:ascii="宋体" w:hAnsi="宋体"/>
          <w:color w:val="auto"/>
          <w:sz w:val="22"/>
          <w:szCs w:val="22"/>
          <w:highlight w:val="none"/>
        </w:rPr>
        <w:t>）投标文件格式；</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7</w:t>
      </w:r>
      <w:r>
        <w:rPr>
          <w:rFonts w:hint="eastAsia" w:ascii="宋体" w:hAnsi="宋体"/>
          <w:color w:val="auto"/>
          <w:sz w:val="22"/>
          <w:szCs w:val="22"/>
          <w:highlight w:val="none"/>
        </w:rPr>
        <w:t>）投标人须知前附表规定的其他资料。</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根据本章第</w:t>
      </w:r>
      <w:r>
        <w:rPr>
          <w:rFonts w:ascii="宋体" w:hAnsi="宋体"/>
          <w:color w:val="auto"/>
          <w:sz w:val="22"/>
          <w:szCs w:val="22"/>
          <w:highlight w:val="none"/>
        </w:rPr>
        <w:t xml:space="preserve"> 1.10 </w:t>
      </w:r>
      <w:r>
        <w:rPr>
          <w:rFonts w:hint="eastAsia" w:ascii="宋体" w:hAnsi="宋体"/>
          <w:color w:val="auto"/>
          <w:sz w:val="22"/>
          <w:szCs w:val="22"/>
          <w:highlight w:val="none"/>
        </w:rPr>
        <w:t>款、第</w:t>
      </w:r>
      <w:r>
        <w:rPr>
          <w:rFonts w:ascii="宋体" w:hAnsi="宋体"/>
          <w:color w:val="auto"/>
          <w:sz w:val="22"/>
          <w:szCs w:val="22"/>
          <w:highlight w:val="none"/>
        </w:rPr>
        <w:t xml:space="preserve"> 2.2 </w:t>
      </w:r>
      <w:r>
        <w:rPr>
          <w:rFonts w:hint="eastAsia" w:ascii="宋体" w:hAnsi="宋体"/>
          <w:color w:val="auto"/>
          <w:sz w:val="22"/>
          <w:szCs w:val="22"/>
          <w:highlight w:val="none"/>
        </w:rPr>
        <w:t>款和第</w:t>
      </w:r>
      <w:r>
        <w:rPr>
          <w:rFonts w:ascii="宋体" w:hAnsi="宋体"/>
          <w:color w:val="auto"/>
          <w:sz w:val="22"/>
          <w:szCs w:val="22"/>
          <w:highlight w:val="none"/>
        </w:rPr>
        <w:t xml:space="preserve"> 2.3 </w:t>
      </w:r>
      <w:r>
        <w:rPr>
          <w:rFonts w:hint="eastAsia" w:ascii="宋体" w:hAnsi="宋体"/>
          <w:color w:val="auto"/>
          <w:sz w:val="22"/>
          <w:szCs w:val="22"/>
          <w:highlight w:val="none"/>
        </w:rPr>
        <w:t>款对招标文件所作的澄清、修改，构成招标文件的组成部分。</w:t>
      </w:r>
    </w:p>
    <w:p>
      <w:pPr>
        <w:tabs>
          <w:tab w:val="left" w:pos="426"/>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2.2 </w:t>
      </w:r>
      <w:r>
        <w:rPr>
          <w:rFonts w:hint="eastAsia" w:ascii="宋体" w:hAnsi="宋体"/>
          <w:color w:val="auto"/>
          <w:sz w:val="22"/>
          <w:szCs w:val="22"/>
          <w:highlight w:val="none"/>
        </w:rPr>
        <w:t>招标文件的澄清</w:t>
      </w:r>
    </w:p>
    <w:p>
      <w:pPr>
        <w:tabs>
          <w:tab w:val="left" w:pos="426"/>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2.2.1 </w:t>
      </w:r>
      <w:r>
        <w:rPr>
          <w:rFonts w:hint="eastAsia" w:ascii="宋体" w:hAnsi="宋体"/>
          <w:color w:val="auto"/>
          <w:sz w:val="22"/>
          <w:szCs w:val="22"/>
          <w:highlight w:val="none"/>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tabs>
          <w:tab w:val="left" w:pos="426"/>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2.2.2 </w:t>
      </w:r>
      <w:r>
        <w:rPr>
          <w:rFonts w:hint="eastAsia" w:ascii="宋体" w:hAnsi="宋体"/>
          <w:color w:val="auto"/>
          <w:sz w:val="22"/>
          <w:szCs w:val="22"/>
          <w:highlight w:val="none"/>
        </w:rPr>
        <w:t>招标文件的澄清以投标人须知前附表规定的形式发给所有投标人，但不指明澄清问题的来源。澄清发出的时间距本章第</w:t>
      </w:r>
      <w:r>
        <w:rPr>
          <w:rFonts w:ascii="宋体" w:hAnsi="宋体"/>
          <w:color w:val="auto"/>
          <w:sz w:val="22"/>
          <w:szCs w:val="22"/>
          <w:highlight w:val="none"/>
        </w:rPr>
        <w:t xml:space="preserve"> 4.2.1 </w:t>
      </w:r>
      <w:r>
        <w:rPr>
          <w:rFonts w:hint="eastAsia" w:ascii="宋体" w:hAnsi="宋体"/>
          <w:color w:val="auto"/>
          <w:sz w:val="22"/>
          <w:szCs w:val="22"/>
          <w:highlight w:val="none"/>
        </w:rPr>
        <w:t>项规定的投标截止时间不足</w:t>
      </w:r>
      <w:r>
        <w:rPr>
          <w:rFonts w:ascii="宋体" w:hAnsi="宋体"/>
          <w:color w:val="auto"/>
          <w:sz w:val="22"/>
          <w:szCs w:val="22"/>
          <w:highlight w:val="none"/>
        </w:rPr>
        <w:t xml:space="preserve"> 15 </w:t>
      </w:r>
      <w:r>
        <w:rPr>
          <w:rFonts w:hint="eastAsia" w:ascii="宋体" w:hAnsi="宋体"/>
          <w:color w:val="auto"/>
          <w:sz w:val="22"/>
          <w:szCs w:val="22"/>
          <w:highlight w:val="none"/>
        </w:rPr>
        <w:t>日的，</w:t>
      </w:r>
      <w:bookmarkStart w:id="171" w:name="page25"/>
      <w:bookmarkEnd w:id="171"/>
      <w:r>
        <w:rPr>
          <w:rFonts w:hint="eastAsia" w:ascii="宋体" w:hAnsi="宋体"/>
          <w:color w:val="auto"/>
          <w:sz w:val="22"/>
          <w:szCs w:val="22"/>
          <w:highlight w:val="none"/>
        </w:rPr>
        <w:t>并且澄清内容可能影响投标文件编制的，将相应延长投标截止时间。</w:t>
      </w:r>
    </w:p>
    <w:p>
      <w:pPr>
        <w:tabs>
          <w:tab w:val="left" w:pos="426"/>
        </w:tabs>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2.2.3 </w:t>
      </w:r>
      <w:r>
        <w:rPr>
          <w:rFonts w:hint="eastAsia" w:ascii="宋体" w:hAnsi="宋体"/>
          <w:color w:val="auto"/>
          <w:sz w:val="22"/>
          <w:szCs w:val="22"/>
          <w:highlight w:val="none"/>
        </w:rPr>
        <w:t>投标人在收到澄清后，应按投标人须知前附表规定的时间和形式通知招标人，确认已收到该澄清。</w:t>
      </w:r>
    </w:p>
    <w:p>
      <w:pPr>
        <w:tabs>
          <w:tab w:val="left" w:pos="426"/>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2.2.4 </w:t>
      </w:r>
      <w:r>
        <w:rPr>
          <w:rFonts w:hint="eastAsia" w:ascii="宋体" w:hAnsi="宋体"/>
          <w:color w:val="auto"/>
          <w:sz w:val="22"/>
          <w:szCs w:val="22"/>
          <w:highlight w:val="none"/>
        </w:rPr>
        <w:t>除非招标人认为确有必要答复，否则，招标人有权拒绝回复投标人在本章第</w:t>
      </w:r>
      <w:r>
        <w:rPr>
          <w:rFonts w:ascii="宋体" w:hAnsi="宋体"/>
          <w:color w:val="auto"/>
          <w:sz w:val="22"/>
          <w:szCs w:val="22"/>
          <w:highlight w:val="none"/>
        </w:rPr>
        <w:t xml:space="preserve"> 2.2.1 </w:t>
      </w:r>
      <w:r>
        <w:rPr>
          <w:rFonts w:hint="eastAsia" w:ascii="宋体" w:hAnsi="宋体"/>
          <w:color w:val="auto"/>
          <w:sz w:val="22"/>
          <w:szCs w:val="22"/>
          <w:highlight w:val="none"/>
        </w:rPr>
        <w:t>项规定的时间后的任何澄清要求。</w:t>
      </w:r>
    </w:p>
    <w:p>
      <w:pPr>
        <w:spacing w:line="360" w:lineRule="auto"/>
        <w:ind w:firstLine="440" w:firstLineChars="200"/>
        <w:outlineLvl w:val="2"/>
        <w:rPr>
          <w:rFonts w:ascii="宋体" w:hAnsi="宋体"/>
          <w:color w:val="auto"/>
          <w:sz w:val="22"/>
          <w:szCs w:val="22"/>
          <w:highlight w:val="none"/>
        </w:rPr>
      </w:pPr>
      <w:bookmarkStart w:id="172" w:name="_Toc102907742"/>
      <w:bookmarkStart w:id="173" w:name="_Toc71854316"/>
      <w:bookmarkStart w:id="174" w:name="_Toc103022631"/>
      <w:bookmarkStart w:id="175" w:name="_Toc71855578"/>
      <w:bookmarkStart w:id="176" w:name="_Toc71854920"/>
      <w:bookmarkStart w:id="177" w:name="_Toc71855233"/>
      <w:r>
        <w:rPr>
          <w:rFonts w:ascii="宋体" w:hAnsi="宋体"/>
          <w:color w:val="auto"/>
          <w:sz w:val="22"/>
          <w:szCs w:val="22"/>
          <w:highlight w:val="none"/>
        </w:rPr>
        <w:t xml:space="preserve">2.3 </w:t>
      </w:r>
      <w:r>
        <w:rPr>
          <w:rFonts w:hint="eastAsia" w:ascii="宋体" w:hAnsi="宋体"/>
          <w:color w:val="auto"/>
          <w:sz w:val="22"/>
          <w:szCs w:val="22"/>
          <w:highlight w:val="none"/>
        </w:rPr>
        <w:t>招标文件的修改</w:t>
      </w:r>
      <w:bookmarkEnd w:id="172"/>
      <w:bookmarkEnd w:id="173"/>
      <w:bookmarkEnd w:id="174"/>
      <w:bookmarkEnd w:id="175"/>
      <w:bookmarkEnd w:id="176"/>
      <w:bookmarkEnd w:id="177"/>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2.3.1 </w:t>
      </w:r>
      <w:r>
        <w:rPr>
          <w:rFonts w:hint="eastAsia" w:ascii="宋体" w:hAnsi="宋体"/>
          <w:color w:val="auto"/>
          <w:sz w:val="22"/>
          <w:szCs w:val="22"/>
          <w:highlight w:val="none"/>
        </w:rPr>
        <w:t>招标人以投标人须知前附表规定的形式修改招标文件，并通知所有已购买招标文件的投标人。修改招标文件的时间距本章第</w:t>
      </w:r>
      <w:r>
        <w:rPr>
          <w:rFonts w:ascii="宋体" w:hAnsi="宋体"/>
          <w:color w:val="auto"/>
          <w:sz w:val="22"/>
          <w:szCs w:val="22"/>
          <w:highlight w:val="none"/>
        </w:rPr>
        <w:t xml:space="preserve"> 4.2.1 </w:t>
      </w:r>
      <w:r>
        <w:rPr>
          <w:rFonts w:hint="eastAsia" w:ascii="宋体" w:hAnsi="宋体"/>
          <w:color w:val="auto"/>
          <w:sz w:val="22"/>
          <w:szCs w:val="22"/>
          <w:highlight w:val="none"/>
        </w:rPr>
        <w:t>项规定的投标截止时间</w:t>
      </w:r>
      <w:r>
        <w:rPr>
          <w:rFonts w:hint="eastAsia" w:ascii="宋体" w:hAnsi="宋体"/>
          <w:b/>
          <w:bCs/>
          <w:color w:val="auto"/>
          <w:sz w:val="22"/>
          <w:szCs w:val="22"/>
          <w:highlight w:val="none"/>
        </w:rPr>
        <w:t>不足</w:t>
      </w:r>
      <w:r>
        <w:rPr>
          <w:rFonts w:ascii="宋体" w:hAnsi="宋体"/>
          <w:b/>
          <w:bCs/>
          <w:color w:val="auto"/>
          <w:sz w:val="22"/>
          <w:szCs w:val="22"/>
          <w:highlight w:val="none"/>
        </w:rPr>
        <w:t>15</w:t>
      </w:r>
      <w:r>
        <w:rPr>
          <w:rFonts w:hint="eastAsia" w:ascii="宋体" w:hAnsi="宋体"/>
          <w:b/>
          <w:bCs/>
          <w:color w:val="auto"/>
          <w:sz w:val="22"/>
          <w:szCs w:val="22"/>
          <w:highlight w:val="none"/>
        </w:rPr>
        <w:t>日</w:t>
      </w:r>
      <w:r>
        <w:rPr>
          <w:rFonts w:hint="eastAsia" w:ascii="宋体" w:hAnsi="宋体"/>
          <w:color w:val="auto"/>
          <w:sz w:val="22"/>
          <w:szCs w:val="22"/>
          <w:highlight w:val="none"/>
        </w:rPr>
        <w:t>的，并且修改内容可能影响投标文件编制的，将相应延长投标截止时间。</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2.3.2 </w:t>
      </w:r>
      <w:r>
        <w:rPr>
          <w:rFonts w:hint="eastAsia" w:ascii="宋体" w:hAnsi="宋体"/>
          <w:color w:val="auto"/>
          <w:sz w:val="22"/>
          <w:szCs w:val="22"/>
          <w:highlight w:val="none"/>
        </w:rPr>
        <w:t>招标文件的澄清或修改在广州市公共资源交易中心网站发布。招标文件的澄清或修改一经在广州市公共资源交易中心网站发布，视作已发放给所有投标人。</w:t>
      </w:r>
    </w:p>
    <w:p>
      <w:pPr>
        <w:spacing w:line="360" w:lineRule="auto"/>
        <w:ind w:firstLine="440" w:firstLineChars="200"/>
        <w:jc w:val="both"/>
        <w:rPr>
          <w:rFonts w:ascii="宋体" w:hAnsi="宋体"/>
          <w:color w:val="auto"/>
          <w:sz w:val="22"/>
          <w:szCs w:val="22"/>
          <w:highlight w:val="none"/>
        </w:rPr>
      </w:pPr>
      <w:r>
        <w:rPr>
          <w:rFonts w:ascii="宋体" w:hAnsi="宋体"/>
          <w:color w:val="auto"/>
          <w:sz w:val="22"/>
          <w:szCs w:val="22"/>
          <w:highlight w:val="none"/>
        </w:rPr>
        <w:t xml:space="preserve">2.4 </w:t>
      </w:r>
      <w:r>
        <w:rPr>
          <w:rFonts w:hint="eastAsia" w:ascii="宋体" w:hAnsi="宋体"/>
          <w:color w:val="auto"/>
          <w:sz w:val="22"/>
          <w:szCs w:val="22"/>
          <w:highlight w:val="none"/>
        </w:rPr>
        <w:t>招标文件的异议</w:t>
      </w:r>
    </w:p>
    <w:p>
      <w:pPr>
        <w:spacing w:line="360" w:lineRule="auto"/>
        <w:ind w:firstLine="440" w:firstLineChars="200"/>
        <w:jc w:val="both"/>
        <w:rPr>
          <w:rFonts w:ascii="宋体" w:hAnsi="宋体"/>
          <w:color w:val="auto"/>
          <w:sz w:val="22"/>
          <w:szCs w:val="22"/>
          <w:highlight w:val="none"/>
        </w:rPr>
      </w:pPr>
      <w:r>
        <w:rPr>
          <w:rFonts w:hint="eastAsia" w:ascii="宋体" w:hAnsi="宋体"/>
          <w:color w:val="auto"/>
          <w:sz w:val="22"/>
          <w:szCs w:val="22"/>
          <w:highlight w:val="none"/>
        </w:rPr>
        <w:t>投标人或者其他利害关系人对招标文件有异议的，应当在投标截止时间</w:t>
      </w:r>
      <w:r>
        <w:rPr>
          <w:rFonts w:ascii="宋体" w:hAnsi="宋体"/>
          <w:color w:val="auto"/>
          <w:sz w:val="22"/>
          <w:szCs w:val="22"/>
          <w:highlight w:val="none"/>
        </w:rPr>
        <w:t xml:space="preserve"> 10 </w:t>
      </w:r>
      <w:r>
        <w:rPr>
          <w:rFonts w:hint="eastAsia" w:ascii="宋体" w:hAnsi="宋体"/>
          <w:color w:val="auto"/>
          <w:sz w:val="22"/>
          <w:szCs w:val="22"/>
          <w:highlight w:val="none"/>
        </w:rPr>
        <w:t>日前以书面形式提出。招标人将在收到异议之日起</w:t>
      </w:r>
      <w:r>
        <w:rPr>
          <w:rFonts w:ascii="宋体" w:hAnsi="宋体"/>
          <w:color w:val="auto"/>
          <w:sz w:val="22"/>
          <w:szCs w:val="22"/>
          <w:highlight w:val="none"/>
        </w:rPr>
        <w:t xml:space="preserve"> 3 </w:t>
      </w:r>
      <w:r>
        <w:rPr>
          <w:rFonts w:hint="eastAsia" w:ascii="宋体" w:hAnsi="宋体"/>
          <w:color w:val="auto"/>
          <w:sz w:val="22"/>
          <w:szCs w:val="22"/>
          <w:highlight w:val="none"/>
        </w:rPr>
        <w:t>日内作出答复；作出答复前，将暂停招标投标活动。</w:t>
      </w:r>
    </w:p>
    <w:p>
      <w:pPr>
        <w:widowControl/>
        <w:numPr>
          <w:ilvl w:val="0"/>
          <w:numId w:val="8"/>
        </w:numPr>
        <w:tabs>
          <w:tab w:val="left" w:pos="760"/>
        </w:tabs>
        <w:autoSpaceDE/>
        <w:autoSpaceDN/>
        <w:adjustRightInd/>
        <w:spacing w:line="360" w:lineRule="auto"/>
        <w:ind w:firstLine="442" w:firstLineChars="200"/>
        <w:outlineLvl w:val="1"/>
        <w:rPr>
          <w:rFonts w:ascii="宋体" w:hAnsi="宋体"/>
          <w:b/>
          <w:color w:val="auto"/>
          <w:sz w:val="22"/>
          <w:szCs w:val="22"/>
          <w:highlight w:val="none"/>
        </w:rPr>
      </w:pPr>
      <w:bookmarkStart w:id="178" w:name="_Toc102907743"/>
      <w:bookmarkStart w:id="179" w:name="_Toc99970093"/>
      <w:bookmarkStart w:id="180" w:name="_Toc71855579"/>
      <w:bookmarkStart w:id="181" w:name="_Toc103022632"/>
      <w:bookmarkStart w:id="182" w:name="_Toc71376931"/>
      <w:bookmarkStart w:id="183" w:name="_Toc71854317"/>
      <w:bookmarkStart w:id="184" w:name="_Toc71855234"/>
      <w:bookmarkStart w:id="185" w:name="_Toc71854921"/>
      <w:r>
        <w:rPr>
          <w:rFonts w:hint="eastAsia" w:ascii="宋体" w:hAnsi="宋体"/>
          <w:b/>
          <w:color w:val="auto"/>
          <w:sz w:val="22"/>
          <w:szCs w:val="22"/>
          <w:highlight w:val="none"/>
        </w:rPr>
        <w:t>投标文件</w:t>
      </w:r>
      <w:bookmarkEnd w:id="178"/>
      <w:bookmarkEnd w:id="179"/>
      <w:bookmarkEnd w:id="180"/>
      <w:bookmarkEnd w:id="181"/>
      <w:bookmarkEnd w:id="182"/>
      <w:bookmarkEnd w:id="183"/>
      <w:bookmarkEnd w:id="184"/>
      <w:bookmarkEnd w:id="185"/>
    </w:p>
    <w:p>
      <w:pPr>
        <w:spacing w:line="360" w:lineRule="auto"/>
        <w:ind w:firstLine="440" w:firstLineChars="200"/>
        <w:outlineLvl w:val="2"/>
        <w:rPr>
          <w:rFonts w:ascii="宋体" w:hAnsi="宋体"/>
          <w:color w:val="auto"/>
          <w:sz w:val="22"/>
          <w:szCs w:val="22"/>
          <w:highlight w:val="none"/>
        </w:rPr>
      </w:pPr>
      <w:bookmarkStart w:id="186" w:name="_Toc71855235"/>
      <w:bookmarkStart w:id="187" w:name="_Toc71854318"/>
      <w:bookmarkStart w:id="188" w:name="_Toc71855580"/>
      <w:bookmarkStart w:id="189" w:name="_Toc102907744"/>
      <w:bookmarkStart w:id="190" w:name="_Toc103022633"/>
      <w:bookmarkStart w:id="191" w:name="_Toc71854922"/>
      <w:r>
        <w:rPr>
          <w:rFonts w:ascii="宋体" w:hAnsi="宋体"/>
          <w:color w:val="auto"/>
          <w:sz w:val="22"/>
          <w:szCs w:val="22"/>
          <w:highlight w:val="none"/>
        </w:rPr>
        <w:t xml:space="preserve">3.1 </w:t>
      </w:r>
      <w:r>
        <w:rPr>
          <w:rFonts w:hint="eastAsia" w:ascii="宋体" w:hAnsi="宋体"/>
          <w:color w:val="auto"/>
          <w:sz w:val="22"/>
          <w:szCs w:val="22"/>
          <w:highlight w:val="none"/>
        </w:rPr>
        <w:t>投标文件的组成</w:t>
      </w:r>
      <w:bookmarkEnd w:id="186"/>
      <w:bookmarkEnd w:id="187"/>
      <w:bookmarkEnd w:id="188"/>
      <w:bookmarkEnd w:id="189"/>
      <w:bookmarkEnd w:id="190"/>
      <w:bookmarkEnd w:id="191"/>
      <w:r>
        <w:rPr>
          <w:rFonts w:ascii="宋体" w:hAnsi="宋体"/>
          <w:color w:val="auto"/>
          <w:sz w:val="22"/>
          <w:szCs w:val="22"/>
          <w:highlight w:val="none"/>
        </w:rPr>
        <w:t xml:space="preserve"> </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3.1.1 </w:t>
      </w:r>
      <w:r>
        <w:rPr>
          <w:rFonts w:hint="eastAsia" w:ascii="宋体" w:hAnsi="宋体"/>
          <w:color w:val="auto"/>
          <w:sz w:val="22"/>
          <w:szCs w:val="22"/>
          <w:highlight w:val="none"/>
        </w:rPr>
        <w:t>投标文件应包括下列内容：</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）投标函及投标函附录</w:t>
      </w:r>
      <w:r>
        <w:rPr>
          <w:rFonts w:ascii="宋体" w:hAnsi="宋体"/>
          <w:color w:val="auto"/>
          <w:sz w:val="22"/>
          <w:szCs w:val="22"/>
          <w:highlight w:val="none"/>
        </w:rPr>
        <w:t xml:space="preserve"> </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）投标人投标保证金</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olor w:val="auto"/>
          <w:sz w:val="22"/>
          <w:szCs w:val="22"/>
          <w:highlight w:val="none"/>
        </w:rPr>
        <w:t>）投标人法定代表人身份证明、授权委托书（如有）</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4</w:t>
      </w:r>
      <w:r>
        <w:rPr>
          <w:rFonts w:hint="eastAsia" w:ascii="宋体" w:hAnsi="宋体"/>
          <w:color w:val="auto"/>
          <w:sz w:val="22"/>
          <w:szCs w:val="22"/>
          <w:highlight w:val="none"/>
        </w:rPr>
        <w:t>）投标一览表</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5</w:t>
      </w:r>
      <w:r>
        <w:rPr>
          <w:rFonts w:hint="eastAsia" w:ascii="宋体" w:hAnsi="宋体"/>
          <w:color w:val="auto"/>
          <w:sz w:val="22"/>
          <w:szCs w:val="22"/>
          <w:highlight w:val="none"/>
        </w:rPr>
        <w:t>）资格审查资料</w:t>
      </w:r>
      <w:r>
        <w:rPr>
          <w:rFonts w:ascii="宋体" w:hAnsi="宋体"/>
          <w:color w:val="auto"/>
          <w:sz w:val="22"/>
          <w:szCs w:val="22"/>
          <w:highlight w:val="none"/>
        </w:rPr>
        <w:t xml:space="preserve"> </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6</w:t>
      </w:r>
      <w:r>
        <w:rPr>
          <w:rFonts w:hint="eastAsia" w:ascii="宋体" w:hAnsi="宋体"/>
          <w:color w:val="auto"/>
          <w:sz w:val="22"/>
          <w:szCs w:val="22"/>
          <w:highlight w:val="none"/>
        </w:rPr>
        <w:t>）技术方案</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7</w:t>
      </w:r>
      <w:r>
        <w:rPr>
          <w:rFonts w:hint="eastAsia" w:ascii="宋体" w:hAnsi="宋体"/>
          <w:color w:val="auto"/>
          <w:sz w:val="22"/>
          <w:szCs w:val="22"/>
          <w:highlight w:val="none"/>
        </w:rPr>
        <w:t>）其他资料</w:t>
      </w:r>
    </w:p>
    <w:p>
      <w:pPr>
        <w:spacing w:line="360" w:lineRule="auto"/>
        <w:ind w:firstLine="440" w:firstLineChars="200"/>
        <w:rPr>
          <w:rFonts w:ascii="宋体" w:hAnsi="宋体"/>
          <w:color w:val="auto"/>
          <w:sz w:val="22"/>
          <w:szCs w:val="22"/>
          <w:highlight w:val="none"/>
        </w:rPr>
      </w:pPr>
      <w:bookmarkStart w:id="192" w:name="page26"/>
      <w:bookmarkEnd w:id="192"/>
      <w:r>
        <w:rPr>
          <w:rFonts w:ascii="宋体" w:hAnsi="宋体"/>
          <w:color w:val="auto"/>
          <w:sz w:val="22"/>
          <w:szCs w:val="22"/>
          <w:highlight w:val="none"/>
        </w:rPr>
        <w:t xml:space="preserve">3.1.2 </w:t>
      </w:r>
      <w:r>
        <w:rPr>
          <w:rFonts w:hint="eastAsia" w:ascii="宋体" w:hAnsi="宋体"/>
          <w:color w:val="auto"/>
          <w:sz w:val="22"/>
          <w:szCs w:val="22"/>
          <w:highlight w:val="none"/>
        </w:rPr>
        <w:t>投标人须知前附表规定不接受联合体投标的，或投标人没有组成联合体的，投标文件不包括联合体协议书。</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3.2 </w:t>
      </w:r>
      <w:r>
        <w:rPr>
          <w:rFonts w:hint="eastAsia" w:ascii="宋体" w:hAnsi="宋体"/>
          <w:color w:val="auto"/>
          <w:sz w:val="22"/>
          <w:szCs w:val="22"/>
          <w:highlight w:val="none"/>
        </w:rPr>
        <w:t>投标报价</w:t>
      </w:r>
    </w:p>
    <w:p>
      <w:pPr>
        <w:tabs>
          <w:tab w:val="left" w:pos="284"/>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3.2.1 </w:t>
      </w:r>
      <w:r>
        <w:rPr>
          <w:rFonts w:hint="eastAsia" w:ascii="宋体" w:hAnsi="宋体"/>
          <w:color w:val="auto"/>
          <w:sz w:val="22"/>
          <w:szCs w:val="22"/>
          <w:highlight w:val="none"/>
        </w:rPr>
        <w:t>投标报价应包括国家规定的增值税税金，除投标人须知前附表另有规定外，增值税税金按一般计税方法计算。投标人应按第五章“投标文件格式”的要求在投标函中在投标一览表中进行报价。</w:t>
      </w:r>
    </w:p>
    <w:p>
      <w:pPr>
        <w:tabs>
          <w:tab w:val="left" w:pos="284"/>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3.2.2 </w:t>
      </w:r>
      <w:r>
        <w:rPr>
          <w:rFonts w:hint="eastAsia" w:ascii="宋体" w:hAnsi="宋体"/>
          <w:color w:val="auto"/>
          <w:sz w:val="22"/>
          <w:szCs w:val="22"/>
          <w:highlight w:val="none"/>
        </w:rPr>
        <w:t>投标人应充分了解该项目的总体情况以及影响投标报价的其他要素。</w:t>
      </w:r>
    </w:p>
    <w:p>
      <w:pPr>
        <w:tabs>
          <w:tab w:val="left" w:pos="284"/>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3.2.3 </w:t>
      </w:r>
      <w:r>
        <w:rPr>
          <w:rFonts w:hint="eastAsia" w:ascii="宋体" w:hAnsi="宋体"/>
          <w:color w:val="auto"/>
          <w:sz w:val="22"/>
          <w:szCs w:val="22"/>
          <w:highlight w:val="none"/>
        </w:rPr>
        <w:t>本项目的报价方式见投标人须知前附表。投标人在投标截止时间前修改投标函中的投标报价总额，同时修改投标文件“投标一览表”中的相应报价。此修改须符合本章第</w:t>
      </w:r>
      <w:r>
        <w:rPr>
          <w:rFonts w:ascii="宋体" w:hAnsi="宋体"/>
          <w:color w:val="auto"/>
          <w:sz w:val="22"/>
          <w:szCs w:val="22"/>
          <w:highlight w:val="none"/>
        </w:rPr>
        <w:t xml:space="preserve"> 4.3 </w:t>
      </w:r>
      <w:r>
        <w:rPr>
          <w:rFonts w:hint="eastAsia" w:ascii="宋体" w:hAnsi="宋体"/>
          <w:color w:val="auto"/>
          <w:sz w:val="22"/>
          <w:szCs w:val="22"/>
          <w:highlight w:val="none"/>
        </w:rPr>
        <w:t>款的有关要求。</w:t>
      </w:r>
    </w:p>
    <w:p>
      <w:pPr>
        <w:tabs>
          <w:tab w:val="left" w:pos="284"/>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3.2.4 </w:t>
      </w:r>
      <w:r>
        <w:rPr>
          <w:rFonts w:hint="eastAsia" w:ascii="宋体" w:hAnsi="宋体"/>
          <w:color w:val="auto"/>
          <w:sz w:val="22"/>
          <w:szCs w:val="22"/>
          <w:highlight w:val="none"/>
        </w:rPr>
        <w:t>招标人设有最高投标限价的，投标人的投标报价不得超过最高投标限价，最高投标限价在投标人须知前附表中载明。</w:t>
      </w:r>
    </w:p>
    <w:p>
      <w:pPr>
        <w:tabs>
          <w:tab w:val="left" w:pos="284"/>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3.2.5 </w:t>
      </w:r>
      <w:r>
        <w:rPr>
          <w:rFonts w:hint="eastAsia" w:ascii="宋体" w:hAnsi="宋体"/>
          <w:color w:val="auto"/>
          <w:sz w:val="22"/>
          <w:szCs w:val="22"/>
          <w:highlight w:val="none"/>
        </w:rPr>
        <w:t>投标报价的其他要求见投标人须知前附表。</w:t>
      </w:r>
    </w:p>
    <w:p>
      <w:pPr>
        <w:spacing w:line="360" w:lineRule="auto"/>
        <w:ind w:firstLine="440" w:firstLineChars="200"/>
        <w:outlineLvl w:val="2"/>
        <w:rPr>
          <w:rFonts w:ascii="宋体" w:hAnsi="宋体"/>
          <w:color w:val="auto"/>
          <w:sz w:val="22"/>
          <w:szCs w:val="22"/>
          <w:highlight w:val="none"/>
        </w:rPr>
      </w:pPr>
      <w:bookmarkStart w:id="193" w:name="_Toc71854319"/>
      <w:bookmarkStart w:id="194" w:name="_Toc71855581"/>
      <w:bookmarkStart w:id="195" w:name="_Toc71854923"/>
      <w:bookmarkStart w:id="196" w:name="_Toc103022634"/>
      <w:bookmarkStart w:id="197" w:name="_Toc102907745"/>
      <w:bookmarkStart w:id="198" w:name="_Toc71855236"/>
      <w:r>
        <w:rPr>
          <w:rFonts w:ascii="宋体" w:hAnsi="宋体"/>
          <w:color w:val="auto"/>
          <w:sz w:val="22"/>
          <w:szCs w:val="22"/>
          <w:highlight w:val="none"/>
        </w:rPr>
        <w:t xml:space="preserve">3.3 </w:t>
      </w:r>
      <w:r>
        <w:rPr>
          <w:rFonts w:hint="eastAsia" w:ascii="宋体" w:hAnsi="宋体"/>
          <w:color w:val="auto"/>
          <w:sz w:val="22"/>
          <w:szCs w:val="22"/>
          <w:highlight w:val="none"/>
        </w:rPr>
        <w:t>投标有效期</w:t>
      </w:r>
      <w:bookmarkEnd w:id="193"/>
      <w:bookmarkEnd w:id="194"/>
      <w:bookmarkEnd w:id="195"/>
      <w:bookmarkEnd w:id="196"/>
      <w:bookmarkEnd w:id="197"/>
      <w:bookmarkEnd w:id="198"/>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3.3.1 </w:t>
      </w:r>
      <w:r>
        <w:rPr>
          <w:rFonts w:hint="eastAsia" w:ascii="宋体" w:hAnsi="宋体"/>
          <w:color w:val="auto"/>
          <w:sz w:val="22"/>
          <w:szCs w:val="22"/>
          <w:highlight w:val="none"/>
        </w:rPr>
        <w:t>除投标人须知前附表另有规定外，</w:t>
      </w:r>
      <w:r>
        <w:rPr>
          <w:rFonts w:hint="eastAsia" w:ascii="宋体" w:hAnsi="宋体"/>
          <w:b/>
          <w:bCs/>
          <w:color w:val="auto"/>
          <w:sz w:val="22"/>
          <w:szCs w:val="22"/>
          <w:highlight w:val="none"/>
        </w:rPr>
        <w:t>投标有效期为</w:t>
      </w:r>
      <w:r>
        <w:rPr>
          <w:rFonts w:ascii="宋体" w:hAnsi="宋体"/>
          <w:b/>
          <w:bCs/>
          <w:color w:val="auto"/>
          <w:sz w:val="22"/>
          <w:szCs w:val="22"/>
          <w:highlight w:val="none"/>
        </w:rPr>
        <w:t xml:space="preserve"> 120</w:t>
      </w:r>
      <w:r>
        <w:rPr>
          <w:rFonts w:hint="eastAsia" w:ascii="宋体" w:hAnsi="宋体"/>
          <w:b/>
          <w:bCs/>
          <w:color w:val="auto"/>
          <w:sz w:val="22"/>
          <w:szCs w:val="22"/>
          <w:highlight w:val="none"/>
        </w:rPr>
        <w:t>天</w:t>
      </w:r>
      <w:r>
        <w:rPr>
          <w:rFonts w:hint="eastAsia" w:ascii="宋体" w:hAnsi="宋体"/>
          <w:color w:val="auto"/>
          <w:sz w:val="22"/>
          <w:szCs w:val="22"/>
          <w:highlight w:val="none"/>
        </w:rPr>
        <w:t>。</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3.3.2 </w:t>
      </w:r>
      <w:r>
        <w:rPr>
          <w:rFonts w:hint="eastAsia" w:ascii="宋体" w:hAnsi="宋体"/>
          <w:color w:val="auto"/>
          <w:sz w:val="22"/>
          <w:szCs w:val="22"/>
          <w:highlight w:val="none"/>
        </w:rPr>
        <w:t>在投标有效期内，投标人撤销投标文件的，应承担招标文件和法律规定的责任。</w:t>
      </w:r>
    </w:p>
    <w:p>
      <w:pPr>
        <w:spacing w:line="360" w:lineRule="auto"/>
        <w:ind w:firstLine="440" w:firstLineChars="200"/>
        <w:outlineLvl w:val="2"/>
        <w:rPr>
          <w:rFonts w:ascii="宋体" w:hAnsi="宋体"/>
          <w:color w:val="auto"/>
          <w:sz w:val="22"/>
          <w:szCs w:val="22"/>
          <w:highlight w:val="none"/>
        </w:rPr>
      </w:pPr>
      <w:bookmarkStart w:id="199" w:name="_Toc71854320"/>
      <w:bookmarkStart w:id="200" w:name="_Toc71854924"/>
      <w:bookmarkStart w:id="201" w:name="_Toc103022635"/>
      <w:bookmarkStart w:id="202" w:name="_Toc71855582"/>
      <w:bookmarkStart w:id="203" w:name="_Toc102907746"/>
      <w:bookmarkStart w:id="204" w:name="_Toc71855237"/>
      <w:r>
        <w:rPr>
          <w:rFonts w:ascii="宋体" w:hAnsi="宋体"/>
          <w:color w:val="auto"/>
          <w:sz w:val="22"/>
          <w:szCs w:val="22"/>
          <w:highlight w:val="none"/>
        </w:rPr>
        <w:t xml:space="preserve">3.4 </w:t>
      </w:r>
      <w:r>
        <w:rPr>
          <w:rFonts w:hint="eastAsia" w:ascii="宋体" w:hAnsi="宋体"/>
          <w:color w:val="auto"/>
          <w:sz w:val="22"/>
          <w:szCs w:val="22"/>
          <w:highlight w:val="none"/>
        </w:rPr>
        <w:t>投标保证金</w:t>
      </w:r>
      <w:bookmarkEnd w:id="199"/>
      <w:bookmarkEnd w:id="200"/>
      <w:bookmarkEnd w:id="201"/>
      <w:bookmarkEnd w:id="202"/>
      <w:bookmarkEnd w:id="203"/>
      <w:bookmarkEnd w:id="204"/>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3.4.1 </w:t>
      </w:r>
      <w:r>
        <w:rPr>
          <w:rFonts w:hint="eastAsia" w:ascii="宋体" w:hAnsi="宋体"/>
          <w:color w:val="auto"/>
          <w:sz w:val="22"/>
          <w:szCs w:val="22"/>
          <w:highlight w:val="none"/>
        </w:rPr>
        <w:t>投标人在递交投标文件的同时，应按投标人须知前附表规定的金额、形式递交投标保证金，并作为其投标文件的组成部分。如接受联合体投标的，其投标保证金可以由主办方递交，并应符合投标人须知前附表的规定。</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3.4.2 </w:t>
      </w:r>
      <w:r>
        <w:rPr>
          <w:rFonts w:hint="eastAsia" w:ascii="宋体" w:hAnsi="宋体"/>
          <w:color w:val="auto"/>
          <w:sz w:val="22"/>
          <w:szCs w:val="22"/>
          <w:highlight w:val="none"/>
        </w:rPr>
        <w:t>投标人不按本章第</w:t>
      </w:r>
      <w:r>
        <w:rPr>
          <w:rFonts w:ascii="宋体" w:hAnsi="宋体"/>
          <w:color w:val="auto"/>
          <w:sz w:val="22"/>
          <w:szCs w:val="22"/>
          <w:highlight w:val="none"/>
        </w:rPr>
        <w:t xml:space="preserve"> 3.4.1 </w:t>
      </w:r>
      <w:r>
        <w:rPr>
          <w:rFonts w:hint="eastAsia" w:ascii="宋体" w:hAnsi="宋体"/>
          <w:color w:val="auto"/>
          <w:sz w:val="22"/>
          <w:szCs w:val="22"/>
          <w:highlight w:val="none"/>
        </w:rPr>
        <w:t>项要求提交投标保证金的，评标委员会将否决其投标。</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3.4.3</w:t>
      </w:r>
      <w:r>
        <w:rPr>
          <w:rFonts w:hint="eastAsia" w:ascii="宋体" w:hAnsi="宋体"/>
          <w:color w:val="auto"/>
          <w:sz w:val="22"/>
          <w:szCs w:val="22"/>
          <w:highlight w:val="none"/>
        </w:rPr>
        <w:t>招标人根据有关规定完成保证金的收取和退还工作。</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3.4.4 </w:t>
      </w:r>
      <w:r>
        <w:rPr>
          <w:rFonts w:hint="eastAsia" w:ascii="宋体" w:hAnsi="宋体"/>
          <w:color w:val="auto"/>
          <w:sz w:val="22"/>
          <w:szCs w:val="22"/>
          <w:highlight w:val="none"/>
        </w:rPr>
        <w:t>如有下列情况之一的，将不予退还投标保证金：</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）投标人在投标有效期内撤销投标文件；</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）中标人在收到中标通知书后，无正当理由不与招标人订立合同，在签订合同时向招标人提出附加条件，或者不按照招标文件要求提交履约保证金；</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olor w:val="auto"/>
          <w:sz w:val="22"/>
          <w:szCs w:val="22"/>
          <w:highlight w:val="none"/>
        </w:rPr>
        <w:t>）发生投标人须知前附表规定的其他可以不予退还投标保证金的情形。</w:t>
      </w:r>
    </w:p>
    <w:p>
      <w:pPr>
        <w:spacing w:line="360" w:lineRule="auto"/>
        <w:ind w:firstLine="440" w:firstLineChars="200"/>
        <w:outlineLvl w:val="2"/>
        <w:rPr>
          <w:rFonts w:ascii="宋体" w:hAnsi="宋体"/>
          <w:color w:val="auto"/>
          <w:sz w:val="22"/>
          <w:szCs w:val="22"/>
          <w:highlight w:val="none"/>
        </w:rPr>
      </w:pPr>
      <w:bookmarkStart w:id="205" w:name="_Toc71855238"/>
      <w:bookmarkStart w:id="206" w:name="_Toc103022636"/>
      <w:bookmarkStart w:id="207" w:name="_Toc71854925"/>
      <w:bookmarkStart w:id="208" w:name="_Toc71854321"/>
      <w:bookmarkStart w:id="209" w:name="_Toc71855583"/>
      <w:bookmarkStart w:id="210" w:name="_Toc102907747"/>
      <w:r>
        <w:rPr>
          <w:rFonts w:ascii="宋体" w:hAnsi="宋体"/>
          <w:color w:val="auto"/>
          <w:sz w:val="22"/>
          <w:szCs w:val="22"/>
          <w:highlight w:val="none"/>
        </w:rPr>
        <w:t xml:space="preserve">3.5 </w:t>
      </w:r>
      <w:r>
        <w:rPr>
          <w:rFonts w:hint="eastAsia" w:ascii="宋体" w:hAnsi="宋体"/>
          <w:color w:val="auto"/>
          <w:sz w:val="22"/>
          <w:szCs w:val="22"/>
          <w:highlight w:val="none"/>
        </w:rPr>
        <w:t>资格审查资料</w:t>
      </w:r>
      <w:bookmarkEnd w:id="205"/>
      <w:bookmarkEnd w:id="206"/>
      <w:bookmarkEnd w:id="207"/>
      <w:bookmarkEnd w:id="208"/>
      <w:bookmarkEnd w:id="209"/>
      <w:bookmarkEnd w:id="210"/>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见</w:t>
      </w:r>
      <w:r>
        <w:rPr>
          <w:rFonts w:hint="eastAsia" w:ascii="宋体" w:hAnsi="宋体"/>
          <w:color w:val="auto"/>
          <w:sz w:val="22"/>
          <w:szCs w:val="22"/>
          <w:highlight w:val="none"/>
          <w:lang w:val="en-US" w:eastAsia="zh-CN"/>
        </w:rPr>
        <w:t>招标公告</w:t>
      </w:r>
      <w:r>
        <w:rPr>
          <w:rFonts w:hint="eastAsia" w:ascii="宋体" w:hAnsi="宋体"/>
          <w:color w:val="auto"/>
          <w:sz w:val="22"/>
          <w:szCs w:val="22"/>
          <w:highlight w:val="none"/>
        </w:rPr>
        <w:t>。</w:t>
      </w:r>
    </w:p>
    <w:p>
      <w:pPr>
        <w:spacing w:line="360" w:lineRule="auto"/>
        <w:ind w:firstLine="440" w:firstLineChars="200"/>
        <w:outlineLvl w:val="2"/>
        <w:rPr>
          <w:rFonts w:ascii="宋体" w:hAnsi="宋体"/>
          <w:color w:val="auto"/>
          <w:sz w:val="22"/>
          <w:szCs w:val="22"/>
          <w:highlight w:val="none"/>
        </w:rPr>
      </w:pPr>
      <w:bookmarkStart w:id="211" w:name="_Toc103022637"/>
      <w:bookmarkStart w:id="212" w:name="_Toc102907748"/>
      <w:bookmarkStart w:id="213" w:name="_Toc71855584"/>
      <w:bookmarkStart w:id="214" w:name="_Toc71854926"/>
      <w:bookmarkStart w:id="215" w:name="_Toc71855239"/>
      <w:bookmarkStart w:id="216" w:name="_Toc71854322"/>
      <w:r>
        <w:rPr>
          <w:rFonts w:ascii="宋体" w:hAnsi="宋体"/>
          <w:color w:val="auto"/>
          <w:sz w:val="22"/>
          <w:szCs w:val="22"/>
          <w:highlight w:val="none"/>
        </w:rPr>
        <w:t xml:space="preserve">3.6 </w:t>
      </w:r>
      <w:r>
        <w:rPr>
          <w:rFonts w:hint="eastAsia" w:ascii="宋体" w:hAnsi="宋体"/>
          <w:color w:val="auto"/>
          <w:sz w:val="22"/>
          <w:szCs w:val="22"/>
          <w:highlight w:val="none"/>
        </w:rPr>
        <w:t>备选投标方案</w:t>
      </w:r>
      <w:bookmarkEnd w:id="211"/>
      <w:bookmarkEnd w:id="212"/>
      <w:bookmarkEnd w:id="213"/>
      <w:bookmarkEnd w:id="214"/>
      <w:bookmarkEnd w:id="215"/>
      <w:bookmarkEnd w:id="216"/>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投标人不得递交备选投标方案，否则其投标将被否决。</w:t>
      </w:r>
    </w:p>
    <w:p>
      <w:pPr>
        <w:spacing w:line="360" w:lineRule="auto"/>
        <w:ind w:firstLine="440" w:firstLineChars="200"/>
        <w:outlineLvl w:val="2"/>
        <w:rPr>
          <w:rFonts w:ascii="宋体" w:hAnsi="宋体"/>
          <w:color w:val="auto"/>
          <w:sz w:val="22"/>
          <w:szCs w:val="22"/>
          <w:highlight w:val="none"/>
        </w:rPr>
      </w:pPr>
      <w:bookmarkStart w:id="217" w:name="_Toc71854927"/>
      <w:bookmarkStart w:id="218" w:name="_Toc71854323"/>
      <w:bookmarkStart w:id="219" w:name="_Toc102907749"/>
      <w:bookmarkStart w:id="220" w:name="_Toc103022638"/>
      <w:bookmarkStart w:id="221" w:name="_Toc71855585"/>
      <w:bookmarkStart w:id="222" w:name="_Toc71855240"/>
      <w:r>
        <w:rPr>
          <w:rFonts w:ascii="宋体" w:hAnsi="宋体"/>
          <w:color w:val="auto"/>
          <w:sz w:val="22"/>
          <w:szCs w:val="22"/>
          <w:highlight w:val="none"/>
        </w:rPr>
        <w:t xml:space="preserve">3.7 </w:t>
      </w:r>
      <w:r>
        <w:rPr>
          <w:rFonts w:hint="eastAsia" w:ascii="宋体" w:hAnsi="宋体"/>
          <w:color w:val="auto"/>
          <w:sz w:val="22"/>
          <w:szCs w:val="22"/>
          <w:highlight w:val="none"/>
        </w:rPr>
        <w:t>投标文件的编制</w:t>
      </w:r>
      <w:bookmarkEnd w:id="217"/>
      <w:bookmarkEnd w:id="218"/>
      <w:bookmarkEnd w:id="219"/>
      <w:bookmarkEnd w:id="220"/>
      <w:bookmarkEnd w:id="221"/>
      <w:bookmarkEnd w:id="222"/>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3.7.1 </w:t>
      </w:r>
      <w:r>
        <w:rPr>
          <w:rFonts w:hint="eastAsia" w:ascii="宋体" w:hAnsi="宋体"/>
          <w:color w:val="auto"/>
          <w:sz w:val="22"/>
          <w:szCs w:val="22"/>
          <w:highlight w:val="none"/>
        </w:rPr>
        <w:t>投标文件应按第五章“投标文件格式”进行编写，如有必要，可以增加附页，作为投标文件的组成部分。其中，投标函附录在满足招标文件实质性要求的基础上，可以提出比招标文件要求更有利于招标人的承诺。</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3.7.2 </w:t>
      </w:r>
      <w:r>
        <w:rPr>
          <w:rFonts w:hint="eastAsia" w:ascii="宋体" w:hAnsi="宋体"/>
          <w:color w:val="auto"/>
          <w:sz w:val="22"/>
          <w:szCs w:val="22"/>
          <w:highlight w:val="none"/>
        </w:rPr>
        <w:t>投标文件应当对招标文件有关该项目服务期限、投标有效期、委托人要求、招标范围等实质性内容作出响应。</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3.7.3 </w:t>
      </w:r>
      <w:r>
        <w:rPr>
          <w:rFonts w:hint="eastAsia" w:ascii="宋体" w:hAnsi="宋体"/>
          <w:color w:val="auto"/>
          <w:sz w:val="22"/>
          <w:szCs w:val="22"/>
          <w:highlight w:val="none"/>
        </w:rPr>
        <w:t>投标文件应用不褪色的材料书写或打印，并由投标人的法定代表人或其委托代理人签字或盖单位章。委托代理人签字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pPr>
        <w:widowControl/>
        <w:numPr>
          <w:ilvl w:val="0"/>
          <w:numId w:val="9"/>
        </w:numPr>
        <w:tabs>
          <w:tab w:val="left" w:pos="760"/>
        </w:tabs>
        <w:autoSpaceDE/>
        <w:autoSpaceDN/>
        <w:adjustRightInd/>
        <w:spacing w:line="360" w:lineRule="auto"/>
        <w:ind w:firstLine="442" w:firstLineChars="200"/>
        <w:outlineLvl w:val="1"/>
        <w:rPr>
          <w:rFonts w:ascii="宋体" w:hAnsi="宋体"/>
          <w:b/>
          <w:color w:val="auto"/>
          <w:sz w:val="22"/>
          <w:szCs w:val="22"/>
          <w:highlight w:val="none"/>
        </w:rPr>
      </w:pPr>
      <w:bookmarkStart w:id="223" w:name="_Toc99970094"/>
      <w:bookmarkStart w:id="224" w:name="_Toc103022639"/>
      <w:bookmarkStart w:id="225" w:name="_Toc71854324"/>
      <w:bookmarkStart w:id="226" w:name="_Toc71854928"/>
      <w:bookmarkStart w:id="227" w:name="_Toc71376932"/>
      <w:bookmarkStart w:id="228" w:name="_Toc71855586"/>
      <w:bookmarkStart w:id="229" w:name="_Toc102907750"/>
      <w:bookmarkStart w:id="230" w:name="_Toc71855241"/>
      <w:r>
        <w:rPr>
          <w:rFonts w:hint="eastAsia" w:ascii="宋体" w:hAnsi="宋体"/>
          <w:b/>
          <w:color w:val="auto"/>
          <w:sz w:val="22"/>
          <w:szCs w:val="22"/>
          <w:highlight w:val="none"/>
        </w:rPr>
        <w:t>投标</w:t>
      </w:r>
      <w:bookmarkEnd w:id="223"/>
      <w:bookmarkEnd w:id="224"/>
      <w:bookmarkEnd w:id="225"/>
      <w:bookmarkEnd w:id="226"/>
      <w:bookmarkEnd w:id="227"/>
      <w:bookmarkEnd w:id="228"/>
      <w:bookmarkEnd w:id="229"/>
      <w:bookmarkEnd w:id="230"/>
    </w:p>
    <w:p>
      <w:pPr>
        <w:spacing w:line="360" w:lineRule="auto"/>
        <w:ind w:firstLine="440" w:firstLineChars="200"/>
        <w:outlineLvl w:val="2"/>
        <w:rPr>
          <w:rFonts w:ascii="宋体" w:hAnsi="宋体"/>
          <w:color w:val="auto"/>
          <w:sz w:val="22"/>
          <w:szCs w:val="22"/>
          <w:highlight w:val="none"/>
        </w:rPr>
      </w:pPr>
      <w:bookmarkStart w:id="231" w:name="_Toc71854929"/>
      <w:bookmarkStart w:id="232" w:name="_Toc102907751"/>
      <w:bookmarkStart w:id="233" w:name="_Toc71855242"/>
      <w:bookmarkStart w:id="234" w:name="_Toc103022640"/>
      <w:bookmarkStart w:id="235" w:name="_Toc71855587"/>
      <w:bookmarkStart w:id="236" w:name="_Toc71854325"/>
      <w:r>
        <w:rPr>
          <w:rFonts w:ascii="宋体" w:hAnsi="宋体"/>
          <w:color w:val="auto"/>
          <w:sz w:val="22"/>
          <w:szCs w:val="22"/>
          <w:highlight w:val="none"/>
        </w:rPr>
        <w:t xml:space="preserve">4.1 </w:t>
      </w:r>
      <w:r>
        <w:rPr>
          <w:rFonts w:hint="eastAsia" w:ascii="宋体" w:hAnsi="宋体"/>
          <w:color w:val="auto"/>
          <w:sz w:val="22"/>
          <w:szCs w:val="22"/>
          <w:highlight w:val="none"/>
        </w:rPr>
        <w:t>投标文件的密封和标记</w:t>
      </w:r>
      <w:bookmarkEnd w:id="231"/>
      <w:bookmarkEnd w:id="232"/>
      <w:bookmarkEnd w:id="233"/>
      <w:bookmarkEnd w:id="234"/>
      <w:bookmarkEnd w:id="235"/>
      <w:bookmarkEnd w:id="236"/>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4.1.1</w:t>
      </w:r>
      <w:r>
        <w:rPr>
          <w:rFonts w:hint="eastAsia" w:ascii="宋体" w:hAnsi="宋体"/>
          <w:color w:val="auto"/>
          <w:sz w:val="22"/>
          <w:szCs w:val="22"/>
          <w:highlight w:val="none"/>
        </w:rPr>
        <w:t>为方便开标时唱标，投标人应将《投标一览表》一份单独密封提交，并在信封上清晰标明“开标信封”字样。投标文件的正本、副本，均应密封在同一密封包中。若上述资料确实无法密封在同一密封包中，则可按实际情况分开密封，但须在密封包装上标明密封内容。</w:t>
      </w:r>
    </w:p>
    <w:p>
      <w:pPr>
        <w:spacing w:line="360" w:lineRule="auto"/>
        <w:ind w:firstLine="440" w:firstLineChars="200"/>
        <w:jc w:val="both"/>
        <w:rPr>
          <w:rFonts w:ascii="宋体" w:hAnsi="宋体"/>
          <w:color w:val="auto"/>
          <w:sz w:val="22"/>
          <w:szCs w:val="22"/>
          <w:highlight w:val="none"/>
          <w:u w:val="single"/>
        </w:rPr>
      </w:pPr>
      <w:r>
        <w:rPr>
          <w:rFonts w:ascii="宋体" w:hAnsi="宋体"/>
          <w:color w:val="auto"/>
          <w:sz w:val="22"/>
          <w:szCs w:val="22"/>
          <w:highlight w:val="none"/>
        </w:rPr>
        <w:t>4.1.2</w:t>
      </w:r>
      <w:r>
        <w:rPr>
          <w:rFonts w:hint="eastAsia" w:ascii="宋体" w:hAnsi="宋体"/>
          <w:color w:val="auto"/>
          <w:sz w:val="22"/>
          <w:szCs w:val="22"/>
          <w:highlight w:val="none"/>
        </w:rPr>
        <w:t>信封或外包装上应当注明项目名称和“在</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rPr>
        <w:t>年</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月</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rPr>
        <w:t>日</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时</w:t>
      </w:r>
      <w:r>
        <w:rPr>
          <w:rFonts w:hint="eastAsia" w:ascii="宋体" w:hAnsi="宋体"/>
          <w:color w:val="auto"/>
          <w:sz w:val="22"/>
          <w:szCs w:val="22"/>
          <w:highlight w:val="none"/>
          <w:u w:val="single"/>
        </w:rPr>
        <w:t xml:space="preserve"> </w:t>
      </w:r>
      <w:r>
        <w:rPr>
          <w:rFonts w:ascii="宋体" w:hAnsi="宋体"/>
          <w:color w:val="auto"/>
          <w:sz w:val="22"/>
          <w:szCs w:val="22"/>
          <w:highlight w:val="none"/>
          <w:u w:val="single"/>
        </w:rPr>
        <w:t xml:space="preserve">  </w:t>
      </w:r>
      <w:r>
        <w:rPr>
          <w:rFonts w:hint="eastAsia" w:ascii="宋体" w:hAnsi="宋体"/>
          <w:color w:val="auto"/>
          <w:sz w:val="22"/>
          <w:szCs w:val="22"/>
          <w:highlight w:val="none"/>
        </w:rPr>
        <w:t>分（招标文件中规定的开标日期和时点）之前不得启封”的字样，封口处应加盖投标人公章或者由投标人的法定代表人或者其委托代理人签字。</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4.1.3 </w:t>
      </w:r>
      <w:r>
        <w:rPr>
          <w:rFonts w:hint="eastAsia" w:ascii="宋体" w:hAnsi="宋体"/>
          <w:color w:val="auto"/>
          <w:sz w:val="22"/>
          <w:szCs w:val="22"/>
          <w:highlight w:val="none"/>
        </w:rPr>
        <w:t>未按本章第</w:t>
      </w:r>
      <w:r>
        <w:rPr>
          <w:rFonts w:ascii="宋体" w:hAnsi="宋体"/>
          <w:color w:val="auto"/>
          <w:sz w:val="22"/>
          <w:szCs w:val="22"/>
          <w:highlight w:val="none"/>
        </w:rPr>
        <w:t>4.1.1</w:t>
      </w:r>
      <w:r>
        <w:rPr>
          <w:rFonts w:hint="eastAsia" w:ascii="宋体" w:hAnsi="宋体"/>
          <w:color w:val="auto"/>
          <w:sz w:val="22"/>
          <w:szCs w:val="22"/>
          <w:highlight w:val="none"/>
        </w:rPr>
        <w:t>项或第</w:t>
      </w:r>
      <w:r>
        <w:rPr>
          <w:rFonts w:ascii="宋体" w:hAnsi="宋体"/>
          <w:color w:val="auto"/>
          <w:sz w:val="22"/>
          <w:szCs w:val="22"/>
          <w:highlight w:val="none"/>
        </w:rPr>
        <w:t>4.1.2</w:t>
      </w:r>
      <w:r>
        <w:rPr>
          <w:rFonts w:hint="eastAsia" w:ascii="宋体" w:hAnsi="宋体"/>
          <w:color w:val="auto"/>
          <w:sz w:val="22"/>
          <w:szCs w:val="22"/>
          <w:highlight w:val="none"/>
        </w:rPr>
        <w:t>项要求密封和加写标记的投标文件，招标人不予受理。</w:t>
      </w:r>
    </w:p>
    <w:p>
      <w:pPr>
        <w:spacing w:line="360" w:lineRule="auto"/>
        <w:ind w:firstLine="440" w:firstLineChars="200"/>
        <w:outlineLvl w:val="2"/>
        <w:rPr>
          <w:rFonts w:ascii="宋体" w:hAnsi="宋体"/>
          <w:color w:val="auto"/>
          <w:sz w:val="22"/>
          <w:szCs w:val="22"/>
          <w:highlight w:val="none"/>
        </w:rPr>
      </w:pPr>
      <w:bookmarkStart w:id="237" w:name="_Toc102907752"/>
      <w:bookmarkStart w:id="238" w:name="_Toc103022641"/>
      <w:bookmarkStart w:id="239" w:name="_Toc71855243"/>
      <w:bookmarkStart w:id="240" w:name="_Toc71855588"/>
      <w:bookmarkStart w:id="241" w:name="_Toc71854326"/>
      <w:bookmarkStart w:id="242" w:name="_Toc71854930"/>
      <w:r>
        <w:rPr>
          <w:rFonts w:ascii="宋体" w:hAnsi="宋体"/>
          <w:color w:val="auto"/>
          <w:sz w:val="22"/>
          <w:szCs w:val="22"/>
          <w:highlight w:val="none"/>
        </w:rPr>
        <w:t xml:space="preserve">4.2 </w:t>
      </w:r>
      <w:r>
        <w:rPr>
          <w:rFonts w:hint="eastAsia" w:ascii="宋体" w:hAnsi="宋体"/>
          <w:color w:val="auto"/>
          <w:sz w:val="22"/>
          <w:szCs w:val="22"/>
          <w:highlight w:val="none"/>
        </w:rPr>
        <w:t>投标文件的递交</w:t>
      </w:r>
      <w:bookmarkEnd w:id="237"/>
      <w:bookmarkEnd w:id="238"/>
      <w:bookmarkEnd w:id="239"/>
      <w:bookmarkEnd w:id="240"/>
      <w:bookmarkEnd w:id="241"/>
      <w:bookmarkEnd w:id="242"/>
    </w:p>
    <w:p>
      <w:pPr>
        <w:spacing w:line="360" w:lineRule="auto"/>
        <w:ind w:firstLine="440" w:firstLineChars="200"/>
        <w:outlineLvl w:val="2"/>
        <w:rPr>
          <w:rFonts w:ascii="宋体" w:hAnsi="宋体"/>
          <w:color w:val="auto"/>
          <w:sz w:val="22"/>
          <w:szCs w:val="22"/>
          <w:highlight w:val="none"/>
        </w:rPr>
      </w:pPr>
      <w:bookmarkStart w:id="243" w:name="_Toc71854931"/>
      <w:bookmarkStart w:id="244" w:name="_Toc71855244"/>
      <w:bookmarkStart w:id="245" w:name="_Toc102907753"/>
      <w:bookmarkStart w:id="246" w:name="_Toc103022642"/>
      <w:bookmarkStart w:id="247" w:name="_Toc71854327"/>
      <w:bookmarkStart w:id="248" w:name="_Toc71855589"/>
      <w:r>
        <w:rPr>
          <w:rFonts w:ascii="宋体" w:hAnsi="宋体"/>
          <w:color w:val="auto"/>
          <w:sz w:val="22"/>
          <w:szCs w:val="22"/>
          <w:highlight w:val="none"/>
        </w:rPr>
        <w:t xml:space="preserve">4.2.1 </w:t>
      </w:r>
      <w:r>
        <w:rPr>
          <w:rFonts w:hint="eastAsia" w:ascii="宋体" w:hAnsi="宋体"/>
          <w:color w:val="auto"/>
          <w:sz w:val="22"/>
          <w:szCs w:val="22"/>
          <w:highlight w:val="none"/>
        </w:rPr>
        <w:t>投标人应在本章投标人须知前附表第</w:t>
      </w:r>
      <w:r>
        <w:rPr>
          <w:rFonts w:ascii="宋体" w:hAnsi="宋体"/>
          <w:color w:val="auto"/>
          <w:sz w:val="22"/>
          <w:szCs w:val="22"/>
          <w:highlight w:val="none"/>
        </w:rPr>
        <w:t>5.1</w:t>
      </w:r>
      <w:r>
        <w:rPr>
          <w:rFonts w:hint="eastAsia" w:ascii="宋体" w:hAnsi="宋体"/>
          <w:color w:val="auto"/>
          <w:sz w:val="22"/>
          <w:szCs w:val="22"/>
          <w:highlight w:val="none"/>
        </w:rPr>
        <w:t>项规定的投标截止时间前递交投标文件。</w:t>
      </w:r>
      <w:bookmarkEnd w:id="243"/>
      <w:bookmarkEnd w:id="244"/>
      <w:bookmarkEnd w:id="245"/>
      <w:bookmarkEnd w:id="246"/>
      <w:bookmarkEnd w:id="247"/>
      <w:bookmarkEnd w:id="248"/>
    </w:p>
    <w:p>
      <w:pPr>
        <w:spacing w:line="360" w:lineRule="auto"/>
        <w:ind w:firstLine="440" w:firstLineChars="200"/>
        <w:outlineLvl w:val="2"/>
        <w:rPr>
          <w:rFonts w:ascii="宋体" w:hAnsi="宋体"/>
          <w:color w:val="auto"/>
          <w:sz w:val="22"/>
          <w:szCs w:val="22"/>
          <w:highlight w:val="none"/>
        </w:rPr>
      </w:pPr>
      <w:bookmarkStart w:id="249" w:name="_Toc71854932"/>
      <w:bookmarkStart w:id="250" w:name="_Toc103022643"/>
      <w:bookmarkStart w:id="251" w:name="_Toc71855245"/>
      <w:bookmarkStart w:id="252" w:name="_Toc71855590"/>
      <w:bookmarkStart w:id="253" w:name="_Toc71854328"/>
      <w:bookmarkStart w:id="254" w:name="_Toc102907754"/>
      <w:r>
        <w:rPr>
          <w:rFonts w:ascii="宋体" w:hAnsi="宋体"/>
          <w:color w:val="auto"/>
          <w:sz w:val="22"/>
          <w:szCs w:val="22"/>
          <w:highlight w:val="none"/>
        </w:rPr>
        <w:t xml:space="preserve">4.2.2 </w:t>
      </w:r>
      <w:r>
        <w:rPr>
          <w:rFonts w:hint="eastAsia" w:ascii="宋体" w:hAnsi="宋体"/>
          <w:color w:val="auto"/>
          <w:sz w:val="22"/>
          <w:szCs w:val="22"/>
          <w:highlight w:val="none"/>
        </w:rPr>
        <w:t>投标人递交投标文件的地点：见投标人须知前附表。</w:t>
      </w:r>
      <w:bookmarkEnd w:id="249"/>
      <w:bookmarkEnd w:id="250"/>
      <w:bookmarkEnd w:id="251"/>
      <w:bookmarkEnd w:id="252"/>
      <w:bookmarkEnd w:id="253"/>
      <w:bookmarkEnd w:id="254"/>
    </w:p>
    <w:p>
      <w:pPr>
        <w:spacing w:line="360" w:lineRule="auto"/>
        <w:ind w:firstLine="440" w:firstLineChars="200"/>
        <w:outlineLvl w:val="2"/>
        <w:rPr>
          <w:rFonts w:ascii="宋体" w:hAnsi="宋体"/>
          <w:color w:val="auto"/>
          <w:sz w:val="22"/>
          <w:szCs w:val="22"/>
          <w:highlight w:val="none"/>
        </w:rPr>
      </w:pPr>
      <w:bookmarkStart w:id="255" w:name="_Toc102907755"/>
      <w:bookmarkStart w:id="256" w:name="_Toc71854933"/>
      <w:bookmarkStart w:id="257" w:name="_Toc71855246"/>
      <w:bookmarkStart w:id="258" w:name="_Toc71855591"/>
      <w:bookmarkStart w:id="259" w:name="_Toc71854329"/>
      <w:bookmarkStart w:id="260" w:name="_Toc103022644"/>
      <w:r>
        <w:rPr>
          <w:rFonts w:ascii="宋体" w:hAnsi="宋体"/>
          <w:color w:val="auto"/>
          <w:sz w:val="22"/>
          <w:szCs w:val="22"/>
          <w:highlight w:val="none"/>
        </w:rPr>
        <w:t xml:space="preserve">4.2.3 </w:t>
      </w:r>
      <w:r>
        <w:rPr>
          <w:rFonts w:hint="eastAsia" w:ascii="宋体" w:hAnsi="宋体"/>
          <w:color w:val="auto"/>
          <w:sz w:val="22"/>
          <w:szCs w:val="22"/>
          <w:highlight w:val="none"/>
        </w:rPr>
        <w:t>除投标人须知前附表另有规定外，投标人所递交的投标文件不予退还。</w:t>
      </w:r>
      <w:bookmarkEnd w:id="255"/>
      <w:bookmarkEnd w:id="256"/>
      <w:bookmarkEnd w:id="257"/>
      <w:bookmarkEnd w:id="258"/>
      <w:bookmarkEnd w:id="259"/>
      <w:bookmarkEnd w:id="260"/>
    </w:p>
    <w:p>
      <w:pPr>
        <w:spacing w:line="360" w:lineRule="auto"/>
        <w:ind w:firstLine="440" w:firstLineChars="200"/>
        <w:outlineLvl w:val="2"/>
        <w:rPr>
          <w:rFonts w:ascii="宋体" w:hAnsi="宋体"/>
          <w:color w:val="auto"/>
          <w:sz w:val="22"/>
          <w:szCs w:val="22"/>
          <w:highlight w:val="none"/>
        </w:rPr>
      </w:pPr>
      <w:bookmarkStart w:id="261" w:name="_Toc71854330"/>
      <w:bookmarkStart w:id="262" w:name="_Toc71855592"/>
      <w:bookmarkStart w:id="263" w:name="_Toc71854934"/>
      <w:bookmarkStart w:id="264" w:name="_Toc103022645"/>
      <w:bookmarkStart w:id="265" w:name="_Toc102907756"/>
      <w:bookmarkStart w:id="266" w:name="_Toc71855247"/>
      <w:r>
        <w:rPr>
          <w:rFonts w:ascii="宋体" w:hAnsi="宋体"/>
          <w:color w:val="auto"/>
          <w:sz w:val="22"/>
          <w:szCs w:val="22"/>
          <w:highlight w:val="none"/>
        </w:rPr>
        <w:t xml:space="preserve">4.2.4 </w:t>
      </w:r>
      <w:r>
        <w:rPr>
          <w:rFonts w:hint="eastAsia" w:ascii="宋体" w:hAnsi="宋体"/>
          <w:color w:val="auto"/>
          <w:sz w:val="22"/>
          <w:szCs w:val="22"/>
          <w:highlight w:val="none"/>
        </w:rPr>
        <w:t>招标人收到投标文件后，向投标人出具签收凭证。</w:t>
      </w:r>
      <w:bookmarkEnd w:id="261"/>
      <w:bookmarkEnd w:id="262"/>
      <w:bookmarkEnd w:id="263"/>
      <w:bookmarkEnd w:id="264"/>
      <w:bookmarkEnd w:id="265"/>
      <w:bookmarkEnd w:id="266"/>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4.2.5 </w:t>
      </w:r>
      <w:r>
        <w:rPr>
          <w:rFonts w:hint="eastAsia" w:ascii="宋体" w:hAnsi="宋体"/>
          <w:color w:val="auto"/>
          <w:sz w:val="22"/>
          <w:szCs w:val="22"/>
          <w:highlight w:val="none"/>
        </w:rPr>
        <w:t>逾期送达的或者未送达指定地点的投标文件，招标人不予受理。</w:t>
      </w:r>
    </w:p>
    <w:p>
      <w:pPr>
        <w:spacing w:line="360" w:lineRule="auto"/>
        <w:ind w:firstLine="440" w:firstLineChars="200"/>
        <w:outlineLvl w:val="2"/>
        <w:rPr>
          <w:rFonts w:ascii="宋体" w:hAnsi="宋体"/>
          <w:color w:val="auto"/>
          <w:sz w:val="22"/>
          <w:szCs w:val="22"/>
          <w:highlight w:val="none"/>
        </w:rPr>
      </w:pPr>
      <w:bookmarkStart w:id="267" w:name="page30"/>
      <w:bookmarkEnd w:id="267"/>
      <w:bookmarkStart w:id="268" w:name="_Toc71854331"/>
      <w:bookmarkStart w:id="269" w:name="_Toc71855593"/>
      <w:bookmarkStart w:id="270" w:name="_Toc71855248"/>
      <w:bookmarkStart w:id="271" w:name="_Toc103022646"/>
      <w:bookmarkStart w:id="272" w:name="_Toc102907757"/>
      <w:bookmarkStart w:id="273" w:name="_Toc71854935"/>
      <w:r>
        <w:rPr>
          <w:rFonts w:ascii="宋体" w:hAnsi="宋体"/>
          <w:color w:val="auto"/>
          <w:sz w:val="22"/>
          <w:szCs w:val="22"/>
          <w:highlight w:val="none"/>
        </w:rPr>
        <w:t xml:space="preserve">4.3 </w:t>
      </w:r>
      <w:r>
        <w:rPr>
          <w:rFonts w:hint="eastAsia" w:ascii="宋体" w:hAnsi="宋体"/>
          <w:color w:val="auto"/>
          <w:sz w:val="22"/>
          <w:szCs w:val="22"/>
          <w:highlight w:val="none"/>
        </w:rPr>
        <w:t>投标文件的修改与撤回但应以书面形式通知招标人。</w:t>
      </w:r>
      <w:bookmarkEnd w:id="268"/>
      <w:bookmarkEnd w:id="269"/>
      <w:bookmarkEnd w:id="270"/>
      <w:bookmarkEnd w:id="271"/>
      <w:bookmarkEnd w:id="272"/>
      <w:bookmarkEnd w:id="273"/>
    </w:p>
    <w:p>
      <w:pPr>
        <w:spacing w:line="360" w:lineRule="auto"/>
        <w:ind w:firstLine="440" w:firstLineChars="200"/>
        <w:outlineLvl w:val="2"/>
        <w:rPr>
          <w:rFonts w:ascii="宋体" w:hAnsi="宋体"/>
          <w:color w:val="auto"/>
          <w:sz w:val="22"/>
          <w:szCs w:val="22"/>
          <w:highlight w:val="none"/>
        </w:rPr>
      </w:pPr>
      <w:bookmarkStart w:id="274" w:name="_Toc71855249"/>
      <w:bookmarkStart w:id="275" w:name="_Toc102907758"/>
      <w:bookmarkStart w:id="276" w:name="_Toc71855594"/>
      <w:bookmarkStart w:id="277" w:name="_Toc103022647"/>
      <w:bookmarkStart w:id="278" w:name="_Toc71854936"/>
      <w:bookmarkStart w:id="279" w:name="_Toc71854332"/>
      <w:r>
        <w:rPr>
          <w:rFonts w:ascii="宋体" w:hAnsi="宋体"/>
          <w:color w:val="auto"/>
          <w:sz w:val="22"/>
          <w:szCs w:val="22"/>
          <w:highlight w:val="none"/>
        </w:rPr>
        <w:t xml:space="preserve">4.3.2 </w:t>
      </w:r>
      <w:r>
        <w:rPr>
          <w:rFonts w:hint="eastAsia" w:ascii="宋体" w:hAnsi="宋体"/>
          <w:color w:val="auto"/>
          <w:sz w:val="22"/>
          <w:szCs w:val="22"/>
          <w:highlight w:val="none"/>
        </w:rPr>
        <w:t>投标人修改或撤回已递交投标文件的书面通知应按照本章第</w:t>
      </w:r>
      <w:r>
        <w:rPr>
          <w:rFonts w:ascii="宋体" w:hAnsi="宋体"/>
          <w:color w:val="auto"/>
          <w:sz w:val="22"/>
          <w:szCs w:val="22"/>
          <w:highlight w:val="none"/>
        </w:rPr>
        <w:t>3.7.3</w:t>
      </w:r>
      <w:r>
        <w:rPr>
          <w:rFonts w:hint="eastAsia" w:ascii="宋体" w:hAnsi="宋体"/>
          <w:color w:val="auto"/>
          <w:sz w:val="22"/>
          <w:szCs w:val="22"/>
          <w:highlight w:val="none"/>
        </w:rPr>
        <w:t>项的要求签字或盖章。招标人收到书面通知后，向投标人出具签收凭证。</w:t>
      </w:r>
      <w:bookmarkEnd w:id="274"/>
      <w:bookmarkEnd w:id="275"/>
      <w:bookmarkEnd w:id="276"/>
      <w:bookmarkEnd w:id="277"/>
      <w:bookmarkEnd w:id="278"/>
      <w:bookmarkEnd w:id="279"/>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4.3.3 </w:t>
      </w:r>
      <w:r>
        <w:rPr>
          <w:rFonts w:hint="eastAsia" w:ascii="宋体" w:hAnsi="宋体"/>
          <w:color w:val="auto"/>
          <w:sz w:val="22"/>
          <w:szCs w:val="22"/>
          <w:highlight w:val="none"/>
        </w:rPr>
        <w:t>修改的内容为投标文件的组成部分。修改的投标文件应按照本章第</w:t>
      </w:r>
      <w:r>
        <w:rPr>
          <w:rFonts w:ascii="宋体" w:hAnsi="宋体"/>
          <w:color w:val="auto"/>
          <w:sz w:val="22"/>
          <w:szCs w:val="22"/>
          <w:highlight w:val="none"/>
        </w:rPr>
        <w:t>3</w:t>
      </w:r>
      <w:r>
        <w:rPr>
          <w:rFonts w:hint="eastAsia" w:ascii="宋体" w:hAnsi="宋体"/>
          <w:color w:val="auto"/>
          <w:sz w:val="22"/>
          <w:szCs w:val="22"/>
          <w:highlight w:val="none"/>
        </w:rPr>
        <w:t>条、第</w:t>
      </w:r>
      <w:r>
        <w:rPr>
          <w:rFonts w:ascii="宋体" w:hAnsi="宋体"/>
          <w:color w:val="auto"/>
          <w:sz w:val="22"/>
          <w:szCs w:val="22"/>
          <w:highlight w:val="none"/>
        </w:rPr>
        <w:t>4</w:t>
      </w:r>
      <w:r>
        <w:rPr>
          <w:rFonts w:hint="eastAsia" w:ascii="宋体" w:hAnsi="宋体"/>
          <w:color w:val="auto"/>
          <w:sz w:val="22"/>
          <w:szCs w:val="22"/>
          <w:highlight w:val="none"/>
        </w:rPr>
        <w:t>条规定进行编制、密封、标记和递交，并标明“修改”字样。</w:t>
      </w:r>
    </w:p>
    <w:p>
      <w:pPr>
        <w:widowControl/>
        <w:numPr>
          <w:ilvl w:val="0"/>
          <w:numId w:val="10"/>
        </w:numPr>
        <w:tabs>
          <w:tab w:val="left" w:pos="760"/>
        </w:tabs>
        <w:autoSpaceDE/>
        <w:autoSpaceDN/>
        <w:adjustRightInd/>
        <w:spacing w:line="360" w:lineRule="auto"/>
        <w:ind w:firstLine="442" w:firstLineChars="200"/>
        <w:outlineLvl w:val="1"/>
        <w:rPr>
          <w:rFonts w:ascii="宋体" w:hAnsi="宋体"/>
          <w:b/>
          <w:color w:val="auto"/>
          <w:sz w:val="22"/>
          <w:szCs w:val="22"/>
          <w:highlight w:val="none"/>
        </w:rPr>
      </w:pPr>
      <w:bookmarkStart w:id="280" w:name="_Toc71855595"/>
      <w:bookmarkStart w:id="281" w:name="_Toc99970095"/>
      <w:bookmarkStart w:id="282" w:name="_Toc71854333"/>
      <w:bookmarkStart w:id="283" w:name="_Toc71376933"/>
      <w:bookmarkStart w:id="284" w:name="_Toc103022648"/>
      <w:bookmarkStart w:id="285" w:name="_Toc71855250"/>
      <w:bookmarkStart w:id="286" w:name="_Toc71854937"/>
      <w:bookmarkStart w:id="287" w:name="_Toc102907759"/>
      <w:r>
        <w:rPr>
          <w:rFonts w:hint="eastAsia" w:ascii="宋体" w:hAnsi="宋体"/>
          <w:b/>
          <w:color w:val="auto"/>
          <w:sz w:val="22"/>
          <w:szCs w:val="22"/>
          <w:highlight w:val="none"/>
        </w:rPr>
        <w:t>开标</w:t>
      </w:r>
      <w:bookmarkEnd w:id="280"/>
      <w:bookmarkEnd w:id="281"/>
      <w:bookmarkEnd w:id="282"/>
      <w:bookmarkEnd w:id="283"/>
      <w:bookmarkEnd w:id="284"/>
      <w:bookmarkEnd w:id="285"/>
      <w:bookmarkEnd w:id="286"/>
      <w:bookmarkEnd w:id="287"/>
    </w:p>
    <w:p>
      <w:pPr>
        <w:spacing w:line="360" w:lineRule="auto"/>
        <w:ind w:firstLine="440" w:firstLineChars="200"/>
        <w:outlineLvl w:val="2"/>
        <w:rPr>
          <w:rFonts w:ascii="宋体" w:hAnsi="宋体"/>
          <w:color w:val="auto"/>
          <w:sz w:val="22"/>
          <w:szCs w:val="22"/>
          <w:highlight w:val="none"/>
        </w:rPr>
      </w:pPr>
      <w:bookmarkStart w:id="288" w:name="_Toc71854334"/>
      <w:bookmarkStart w:id="289" w:name="_Toc71855596"/>
      <w:bookmarkStart w:id="290" w:name="_Toc71854938"/>
      <w:bookmarkStart w:id="291" w:name="_Toc102907760"/>
      <w:bookmarkStart w:id="292" w:name="_Toc103022649"/>
      <w:bookmarkStart w:id="293" w:name="_Toc71855251"/>
      <w:r>
        <w:rPr>
          <w:rFonts w:ascii="宋体" w:hAnsi="宋体"/>
          <w:color w:val="auto"/>
          <w:sz w:val="22"/>
          <w:szCs w:val="22"/>
          <w:highlight w:val="none"/>
        </w:rPr>
        <w:t xml:space="preserve">5.1 </w:t>
      </w:r>
      <w:r>
        <w:rPr>
          <w:rFonts w:hint="eastAsia" w:ascii="宋体" w:hAnsi="宋体"/>
          <w:color w:val="auto"/>
          <w:sz w:val="22"/>
          <w:szCs w:val="22"/>
          <w:highlight w:val="none"/>
        </w:rPr>
        <w:t>开标时间和地点</w:t>
      </w:r>
      <w:bookmarkEnd w:id="288"/>
      <w:bookmarkEnd w:id="289"/>
      <w:bookmarkEnd w:id="290"/>
      <w:bookmarkEnd w:id="291"/>
      <w:bookmarkEnd w:id="292"/>
      <w:bookmarkEnd w:id="293"/>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招标人在本章投标人须知前附表第</w:t>
      </w:r>
      <w:r>
        <w:rPr>
          <w:rFonts w:ascii="宋体" w:hAnsi="宋体"/>
          <w:color w:val="auto"/>
          <w:sz w:val="22"/>
          <w:szCs w:val="22"/>
          <w:highlight w:val="none"/>
        </w:rPr>
        <w:t>5.1</w:t>
      </w:r>
      <w:r>
        <w:rPr>
          <w:rFonts w:hint="eastAsia" w:ascii="宋体" w:hAnsi="宋体"/>
          <w:color w:val="auto"/>
          <w:sz w:val="22"/>
          <w:szCs w:val="22"/>
          <w:highlight w:val="none"/>
        </w:rPr>
        <w:t>项规定的投标截止时间（开标时间）和投标人须知前附表规定的地点公开开标，并邀请所有投标人的法定代表人或其委托代理人准时参加。</w:t>
      </w:r>
    </w:p>
    <w:p>
      <w:pPr>
        <w:spacing w:line="360" w:lineRule="auto"/>
        <w:ind w:firstLine="440" w:firstLineChars="200"/>
        <w:outlineLvl w:val="2"/>
        <w:rPr>
          <w:rFonts w:ascii="宋体" w:hAnsi="宋体"/>
          <w:color w:val="auto"/>
          <w:sz w:val="22"/>
          <w:szCs w:val="22"/>
          <w:highlight w:val="none"/>
        </w:rPr>
      </w:pPr>
      <w:bookmarkStart w:id="294" w:name="_Toc71854939"/>
      <w:bookmarkStart w:id="295" w:name="_Toc102907761"/>
      <w:bookmarkStart w:id="296" w:name="_Toc71854335"/>
      <w:bookmarkStart w:id="297" w:name="_Toc103022650"/>
      <w:bookmarkStart w:id="298" w:name="_Toc71855597"/>
      <w:bookmarkStart w:id="299" w:name="_Toc71855252"/>
      <w:r>
        <w:rPr>
          <w:rFonts w:ascii="宋体" w:hAnsi="宋体"/>
          <w:color w:val="auto"/>
          <w:sz w:val="22"/>
          <w:szCs w:val="22"/>
          <w:highlight w:val="none"/>
        </w:rPr>
        <w:t xml:space="preserve">5.2 </w:t>
      </w:r>
      <w:r>
        <w:rPr>
          <w:rFonts w:hint="eastAsia" w:ascii="宋体" w:hAnsi="宋体"/>
          <w:color w:val="auto"/>
          <w:sz w:val="22"/>
          <w:szCs w:val="22"/>
          <w:highlight w:val="none"/>
        </w:rPr>
        <w:t>开标程序</w:t>
      </w:r>
      <w:bookmarkEnd w:id="294"/>
      <w:bookmarkEnd w:id="295"/>
      <w:bookmarkEnd w:id="296"/>
      <w:bookmarkEnd w:id="297"/>
      <w:bookmarkEnd w:id="298"/>
      <w:bookmarkEnd w:id="299"/>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主持人按下列程序进行开标：</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）宣布开标纪律；</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）公布在投标截止时间前递交投标文件的投标人名称，并点名确认投标人是否派人到场；</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olor w:val="auto"/>
          <w:sz w:val="22"/>
          <w:szCs w:val="22"/>
          <w:highlight w:val="none"/>
        </w:rPr>
        <w:t>）宣布开标人、唱标人、记录人、监标人等有关人员姓名；</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4</w:t>
      </w:r>
      <w:r>
        <w:rPr>
          <w:rFonts w:hint="eastAsia" w:ascii="宋体" w:hAnsi="宋体"/>
          <w:color w:val="auto"/>
          <w:sz w:val="22"/>
          <w:szCs w:val="22"/>
          <w:highlight w:val="none"/>
        </w:rPr>
        <w:t>）按照投标人须知前附表规定检查投标文件的密封情况；</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5</w:t>
      </w:r>
      <w:r>
        <w:rPr>
          <w:rFonts w:hint="eastAsia" w:ascii="宋体" w:hAnsi="宋体"/>
          <w:color w:val="auto"/>
          <w:sz w:val="22"/>
          <w:szCs w:val="22"/>
          <w:highlight w:val="none"/>
        </w:rPr>
        <w:t>）宣布按递交投标文件的先后顺序进行开标；</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6</w:t>
      </w:r>
      <w:r>
        <w:rPr>
          <w:rFonts w:hint="eastAsia" w:ascii="宋体" w:hAnsi="宋体"/>
          <w:color w:val="auto"/>
          <w:sz w:val="22"/>
          <w:szCs w:val="22"/>
          <w:highlight w:val="none"/>
        </w:rPr>
        <w:t>）设有标底的，公布标底；</w:t>
      </w:r>
      <w:r>
        <w:rPr>
          <w:rFonts w:ascii="宋体" w:hAnsi="宋体"/>
          <w:color w:val="auto"/>
          <w:sz w:val="22"/>
          <w:szCs w:val="22"/>
          <w:highlight w:val="none"/>
        </w:rPr>
        <w:t xml:space="preserve"> </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7</w:t>
      </w:r>
      <w:r>
        <w:rPr>
          <w:rFonts w:hint="eastAsia" w:ascii="宋体" w:hAnsi="宋体"/>
          <w:color w:val="auto"/>
          <w:sz w:val="22"/>
          <w:szCs w:val="22"/>
          <w:highlight w:val="none"/>
        </w:rPr>
        <w:t>）按照宣布的开标顺序当众开标，公布投标人名称、标段名称、投标保证金的递交情况、投标报价、质量</w:t>
      </w:r>
      <w:r>
        <w:rPr>
          <w:rFonts w:hint="eastAsia"/>
          <w:color w:val="auto"/>
          <w:sz w:val="22"/>
          <w:szCs w:val="22"/>
          <w:highlight w:val="none"/>
        </w:rPr>
        <w:t>要求</w:t>
      </w:r>
      <w:r>
        <w:rPr>
          <w:rFonts w:hint="eastAsia" w:ascii="宋体" w:hAnsi="宋体"/>
          <w:color w:val="auto"/>
          <w:sz w:val="22"/>
          <w:szCs w:val="22"/>
          <w:highlight w:val="none"/>
        </w:rPr>
        <w:t>、服务期限及其他内容，并记录在案；</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8</w:t>
      </w:r>
      <w:r>
        <w:rPr>
          <w:rFonts w:hint="eastAsia" w:ascii="宋体" w:hAnsi="宋体"/>
          <w:color w:val="auto"/>
          <w:sz w:val="22"/>
          <w:szCs w:val="22"/>
          <w:highlight w:val="none"/>
        </w:rPr>
        <w:t>）投标人代表、招标人代表、监标人、记录人等有关人员在开标记录上签字确认；</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9</w:t>
      </w:r>
      <w:r>
        <w:rPr>
          <w:rFonts w:hint="eastAsia" w:ascii="宋体" w:hAnsi="宋体"/>
          <w:color w:val="auto"/>
          <w:sz w:val="22"/>
          <w:szCs w:val="22"/>
          <w:highlight w:val="none"/>
        </w:rPr>
        <w:t>）开标结束。</w:t>
      </w:r>
      <w:bookmarkStart w:id="300" w:name="page31"/>
      <w:bookmarkEnd w:id="300"/>
    </w:p>
    <w:p>
      <w:pPr>
        <w:widowControl/>
        <w:numPr>
          <w:ilvl w:val="0"/>
          <w:numId w:val="11"/>
        </w:numPr>
        <w:tabs>
          <w:tab w:val="left" w:pos="760"/>
        </w:tabs>
        <w:autoSpaceDE/>
        <w:autoSpaceDN/>
        <w:adjustRightInd/>
        <w:spacing w:line="360" w:lineRule="auto"/>
        <w:ind w:firstLine="442" w:firstLineChars="200"/>
        <w:outlineLvl w:val="1"/>
        <w:rPr>
          <w:rFonts w:ascii="宋体" w:hAnsi="宋体"/>
          <w:b/>
          <w:color w:val="auto"/>
          <w:sz w:val="22"/>
          <w:szCs w:val="22"/>
          <w:highlight w:val="none"/>
        </w:rPr>
      </w:pPr>
      <w:bookmarkStart w:id="301" w:name="_Toc71855253"/>
      <w:bookmarkStart w:id="302" w:name="_Toc71855598"/>
      <w:bookmarkStart w:id="303" w:name="_Toc102907762"/>
      <w:bookmarkStart w:id="304" w:name="_Toc71376934"/>
      <w:bookmarkStart w:id="305" w:name="_Toc71854940"/>
      <w:bookmarkStart w:id="306" w:name="_Toc99970096"/>
      <w:bookmarkStart w:id="307" w:name="_Toc103022651"/>
      <w:bookmarkStart w:id="308" w:name="_Toc71854336"/>
      <w:r>
        <w:rPr>
          <w:rFonts w:hint="eastAsia" w:ascii="宋体" w:hAnsi="宋体"/>
          <w:b/>
          <w:color w:val="auto"/>
          <w:sz w:val="22"/>
          <w:szCs w:val="22"/>
          <w:highlight w:val="none"/>
        </w:rPr>
        <w:t>评标</w:t>
      </w:r>
      <w:bookmarkEnd w:id="301"/>
      <w:bookmarkEnd w:id="302"/>
      <w:bookmarkEnd w:id="303"/>
      <w:bookmarkEnd w:id="304"/>
      <w:bookmarkEnd w:id="305"/>
      <w:bookmarkEnd w:id="306"/>
      <w:bookmarkEnd w:id="307"/>
      <w:bookmarkEnd w:id="308"/>
    </w:p>
    <w:p>
      <w:pPr>
        <w:spacing w:line="360" w:lineRule="auto"/>
        <w:ind w:firstLine="440" w:firstLineChars="200"/>
        <w:outlineLvl w:val="2"/>
        <w:rPr>
          <w:rFonts w:ascii="宋体" w:hAnsi="宋体"/>
          <w:color w:val="auto"/>
          <w:sz w:val="22"/>
          <w:szCs w:val="22"/>
          <w:highlight w:val="none"/>
        </w:rPr>
      </w:pPr>
      <w:bookmarkStart w:id="309" w:name="_Toc71854337"/>
      <w:bookmarkStart w:id="310" w:name="_Toc102907763"/>
      <w:bookmarkStart w:id="311" w:name="_Toc103022652"/>
      <w:bookmarkStart w:id="312" w:name="_Toc71855254"/>
      <w:bookmarkStart w:id="313" w:name="_Toc71854941"/>
      <w:bookmarkStart w:id="314" w:name="_Toc71855599"/>
      <w:r>
        <w:rPr>
          <w:rFonts w:ascii="宋体" w:hAnsi="宋体"/>
          <w:color w:val="auto"/>
          <w:sz w:val="22"/>
          <w:szCs w:val="22"/>
          <w:highlight w:val="none"/>
        </w:rPr>
        <w:t xml:space="preserve">6.1 </w:t>
      </w:r>
      <w:r>
        <w:rPr>
          <w:rFonts w:hint="eastAsia" w:ascii="宋体" w:hAnsi="宋体"/>
          <w:color w:val="auto"/>
          <w:sz w:val="22"/>
          <w:szCs w:val="22"/>
          <w:highlight w:val="none"/>
        </w:rPr>
        <w:t>评标委员会</w:t>
      </w:r>
      <w:bookmarkEnd w:id="309"/>
      <w:bookmarkEnd w:id="310"/>
      <w:bookmarkEnd w:id="311"/>
      <w:bookmarkEnd w:id="312"/>
      <w:bookmarkEnd w:id="313"/>
      <w:bookmarkEnd w:id="314"/>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6.1.1 </w:t>
      </w:r>
      <w:r>
        <w:rPr>
          <w:rFonts w:hint="eastAsia" w:ascii="宋体" w:hAnsi="宋体"/>
          <w:color w:val="auto"/>
          <w:sz w:val="22"/>
          <w:szCs w:val="22"/>
          <w:highlight w:val="none"/>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6.1.2 </w:t>
      </w:r>
      <w:r>
        <w:rPr>
          <w:rFonts w:hint="eastAsia" w:ascii="宋体" w:hAnsi="宋体"/>
          <w:color w:val="auto"/>
          <w:sz w:val="22"/>
          <w:szCs w:val="22"/>
          <w:highlight w:val="none"/>
        </w:rPr>
        <w:t>评标委员会成员有下列情形之一的，应当回避：</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1</w:t>
      </w:r>
      <w:r>
        <w:rPr>
          <w:rFonts w:hint="eastAsia" w:ascii="宋体" w:hAnsi="宋体"/>
          <w:color w:val="auto"/>
          <w:sz w:val="22"/>
          <w:szCs w:val="22"/>
          <w:highlight w:val="none"/>
        </w:rPr>
        <w:t>）投标人或投标人主要负责人的近亲属；</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2</w:t>
      </w:r>
      <w:r>
        <w:rPr>
          <w:rFonts w:hint="eastAsia" w:ascii="宋体" w:hAnsi="宋体"/>
          <w:color w:val="auto"/>
          <w:sz w:val="22"/>
          <w:szCs w:val="22"/>
          <w:highlight w:val="none"/>
        </w:rPr>
        <w:t>）项目主管部门或者行政监督部门的人员；</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3</w:t>
      </w:r>
      <w:r>
        <w:rPr>
          <w:rFonts w:hint="eastAsia" w:ascii="宋体" w:hAnsi="宋体"/>
          <w:color w:val="auto"/>
          <w:sz w:val="22"/>
          <w:szCs w:val="22"/>
          <w:highlight w:val="none"/>
        </w:rPr>
        <w:t>）与投标人有经济利益关系，可能影响对投标公正评审的；</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4</w:t>
      </w:r>
      <w:r>
        <w:rPr>
          <w:rFonts w:hint="eastAsia" w:ascii="宋体" w:hAnsi="宋体"/>
          <w:color w:val="auto"/>
          <w:sz w:val="22"/>
          <w:szCs w:val="22"/>
          <w:highlight w:val="none"/>
        </w:rPr>
        <w:t>）曾因在招标、评标以及其他与招标投标有关活动中从事违法行为而受过行政处罚或刑事处罚的；</w:t>
      </w:r>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w:t>
      </w:r>
      <w:r>
        <w:rPr>
          <w:rFonts w:ascii="宋体" w:hAnsi="宋体"/>
          <w:color w:val="auto"/>
          <w:sz w:val="22"/>
          <w:szCs w:val="22"/>
          <w:highlight w:val="none"/>
        </w:rPr>
        <w:t>5</w:t>
      </w:r>
      <w:r>
        <w:rPr>
          <w:rFonts w:hint="eastAsia" w:ascii="宋体" w:hAnsi="宋体"/>
          <w:color w:val="auto"/>
          <w:sz w:val="22"/>
          <w:szCs w:val="22"/>
          <w:highlight w:val="none"/>
        </w:rPr>
        <w:t>）与投标人有其他利害关系。</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6.1.3 </w:t>
      </w:r>
      <w:r>
        <w:rPr>
          <w:rFonts w:hint="eastAsia" w:ascii="宋体" w:hAnsi="宋体"/>
          <w:color w:val="auto"/>
          <w:sz w:val="22"/>
          <w:szCs w:val="22"/>
          <w:highlight w:val="none"/>
        </w:rPr>
        <w:t>评标过程中，评标委员会成员有回避事由、擅离职守或者因健康等原因不能继续评标的，招标人有权更换。被更换的评标委员会成员作出的评审结论无效，由更换后的评标委员会成员重新进行评审。</w:t>
      </w:r>
    </w:p>
    <w:p>
      <w:pPr>
        <w:spacing w:line="360" w:lineRule="auto"/>
        <w:ind w:firstLine="440" w:firstLineChars="200"/>
        <w:outlineLvl w:val="2"/>
        <w:rPr>
          <w:rFonts w:ascii="宋体" w:hAnsi="宋体"/>
          <w:color w:val="auto"/>
          <w:sz w:val="22"/>
          <w:szCs w:val="22"/>
          <w:highlight w:val="none"/>
        </w:rPr>
      </w:pPr>
      <w:bookmarkStart w:id="315" w:name="_Toc102907764"/>
      <w:bookmarkStart w:id="316" w:name="_Toc71855255"/>
      <w:bookmarkStart w:id="317" w:name="_Toc71854338"/>
      <w:bookmarkStart w:id="318" w:name="_Toc103022653"/>
      <w:bookmarkStart w:id="319" w:name="_Toc71854942"/>
      <w:bookmarkStart w:id="320" w:name="_Toc71855600"/>
      <w:r>
        <w:rPr>
          <w:rFonts w:ascii="宋体" w:hAnsi="宋体"/>
          <w:color w:val="auto"/>
          <w:sz w:val="22"/>
          <w:szCs w:val="22"/>
          <w:highlight w:val="none"/>
        </w:rPr>
        <w:t xml:space="preserve">6.2 </w:t>
      </w:r>
      <w:r>
        <w:rPr>
          <w:rFonts w:hint="eastAsia" w:ascii="宋体" w:hAnsi="宋体"/>
          <w:color w:val="auto"/>
          <w:sz w:val="22"/>
          <w:szCs w:val="22"/>
          <w:highlight w:val="none"/>
        </w:rPr>
        <w:t>评标原则</w:t>
      </w:r>
      <w:bookmarkEnd w:id="315"/>
      <w:bookmarkEnd w:id="316"/>
      <w:bookmarkEnd w:id="317"/>
      <w:bookmarkEnd w:id="318"/>
      <w:bookmarkEnd w:id="319"/>
      <w:bookmarkEnd w:id="320"/>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评标活动遵循公平、公正、科学和择优的原则。</w:t>
      </w:r>
    </w:p>
    <w:p>
      <w:pPr>
        <w:spacing w:line="360" w:lineRule="auto"/>
        <w:ind w:firstLine="440" w:firstLineChars="200"/>
        <w:outlineLvl w:val="2"/>
        <w:rPr>
          <w:rFonts w:ascii="宋体" w:hAnsi="宋体"/>
          <w:color w:val="auto"/>
          <w:sz w:val="22"/>
          <w:szCs w:val="22"/>
          <w:highlight w:val="none"/>
        </w:rPr>
      </w:pPr>
      <w:bookmarkStart w:id="321" w:name="page32"/>
      <w:bookmarkEnd w:id="321"/>
      <w:bookmarkStart w:id="322" w:name="_Toc71855601"/>
      <w:bookmarkStart w:id="323" w:name="_Toc103022654"/>
      <w:bookmarkStart w:id="324" w:name="_Toc71854339"/>
      <w:bookmarkStart w:id="325" w:name="_Toc71855256"/>
      <w:bookmarkStart w:id="326" w:name="_Toc102907765"/>
      <w:bookmarkStart w:id="327" w:name="_Toc71854943"/>
      <w:r>
        <w:rPr>
          <w:rFonts w:ascii="宋体" w:hAnsi="宋体"/>
          <w:color w:val="auto"/>
          <w:sz w:val="22"/>
          <w:szCs w:val="22"/>
          <w:highlight w:val="none"/>
        </w:rPr>
        <w:t xml:space="preserve">6.3 </w:t>
      </w:r>
      <w:r>
        <w:rPr>
          <w:rFonts w:hint="eastAsia" w:ascii="宋体" w:hAnsi="宋体"/>
          <w:color w:val="auto"/>
          <w:sz w:val="22"/>
          <w:szCs w:val="22"/>
          <w:highlight w:val="none"/>
        </w:rPr>
        <w:t>评标</w:t>
      </w:r>
      <w:bookmarkEnd w:id="322"/>
      <w:bookmarkEnd w:id="323"/>
      <w:bookmarkEnd w:id="324"/>
      <w:bookmarkEnd w:id="325"/>
      <w:bookmarkEnd w:id="326"/>
      <w:bookmarkEnd w:id="327"/>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6.3.1 </w:t>
      </w:r>
      <w:r>
        <w:rPr>
          <w:rFonts w:hint="eastAsia" w:ascii="宋体" w:hAnsi="宋体"/>
          <w:color w:val="auto"/>
          <w:sz w:val="22"/>
          <w:szCs w:val="22"/>
          <w:highlight w:val="none"/>
        </w:rPr>
        <w:t>评标委员会按照第三章“评标办法”规定的方法、评审因素、标准和程序对投标文件进行评审。第三章</w:t>
      </w:r>
      <w:r>
        <w:rPr>
          <w:rFonts w:ascii="宋体" w:hAnsi="宋体"/>
          <w:color w:val="auto"/>
          <w:sz w:val="22"/>
          <w:szCs w:val="22"/>
          <w:highlight w:val="none"/>
        </w:rPr>
        <w:t>“</w:t>
      </w:r>
      <w:r>
        <w:rPr>
          <w:rFonts w:hint="eastAsia" w:ascii="宋体" w:hAnsi="宋体"/>
          <w:color w:val="auto"/>
          <w:sz w:val="22"/>
          <w:szCs w:val="22"/>
          <w:highlight w:val="none"/>
        </w:rPr>
        <w:t>评标办法</w:t>
      </w:r>
      <w:r>
        <w:rPr>
          <w:rFonts w:ascii="宋体" w:hAnsi="宋体"/>
          <w:color w:val="auto"/>
          <w:sz w:val="22"/>
          <w:szCs w:val="22"/>
          <w:highlight w:val="none"/>
        </w:rPr>
        <w:t>”</w:t>
      </w:r>
      <w:r>
        <w:rPr>
          <w:rFonts w:hint="eastAsia" w:ascii="宋体" w:hAnsi="宋体"/>
          <w:color w:val="auto"/>
          <w:sz w:val="22"/>
          <w:szCs w:val="22"/>
          <w:highlight w:val="none"/>
        </w:rPr>
        <w:t>没有规定的方法、评审因素和标准，不作为评标依据。</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6.3.2 </w:t>
      </w:r>
      <w:r>
        <w:rPr>
          <w:rFonts w:hint="eastAsia" w:ascii="宋体" w:hAnsi="宋体"/>
          <w:color w:val="auto"/>
          <w:sz w:val="22"/>
          <w:szCs w:val="22"/>
          <w:highlight w:val="none"/>
        </w:rPr>
        <w:t>评标完成后，评标委员会应当向招标人提交书面评标报告和中标候选人名单。评标委员会推荐中标候选人的人数见投标人须知前附表。</w:t>
      </w:r>
    </w:p>
    <w:p>
      <w:pPr>
        <w:spacing w:line="360" w:lineRule="auto"/>
        <w:ind w:firstLine="440" w:firstLineChars="200"/>
        <w:rPr>
          <w:rFonts w:ascii="宋体" w:hAnsi="宋体"/>
          <w:color w:val="auto"/>
          <w:sz w:val="22"/>
          <w:szCs w:val="22"/>
          <w:highlight w:val="none"/>
        </w:rPr>
      </w:pPr>
    </w:p>
    <w:p>
      <w:pPr>
        <w:widowControl/>
        <w:numPr>
          <w:ilvl w:val="0"/>
          <w:numId w:val="12"/>
        </w:numPr>
        <w:tabs>
          <w:tab w:val="left" w:pos="760"/>
        </w:tabs>
        <w:autoSpaceDE/>
        <w:autoSpaceDN/>
        <w:adjustRightInd/>
        <w:spacing w:line="360" w:lineRule="auto"/>
        <w:ind w:firstLine="442" w:firstLineChars="200"/>
        <w:outlineLvl w:val="1"/>
        <w:rPr>
          <w:rFonts w:ascii="宋体" w:hAnsi="宋体"/>
          <w:b/>
          <w:color w:val="auto"/>
          <w:sz w:val="22"/>
          <w:szCs w:val="22"/>
          <w:highlight w:val="none"/>
        </w:rPr>
      </w:pPr>
      <w:bookmarkStart w:id="328" w:name="_Toc71854944"/>
      <w:bookmarkStart w:id="329" w:name="_Toc99970097"/>
      <w:bookmarkStart w:id="330" w:name="_Toc71855602"/>
      <w:bookmarkStart w:id="331" w:name="_Toc103022655"/>
      <w:bookmarkStart w:id="332" w:name="_Toc71376935"/>
      <w:bookmarkStart w:id="333" w:name="_Toc71855257"/>
      <w:bookmarkStart w:id="334" w:name="_Toc102907766"/>
      <w:bookmarkStart w:id="335" w:name="_Toc71854340"/>
      <w:r>
        <w:rPr>
          <w:rFonts w:hint="eastAsia" w:ascii="宋体" w:hAnsi="宋体"/>
          <w:b/>
          <w:color w:val="auto"/>
          <w:sz w:val="22"/>
          <w:szCs w:val="22"/>
          <w:highlight w:val="none"/>
        </w:rPr>
        <w:t>合同授予</w:t>
      </w:r>
      <w:bookmarkEnd w:id="328"/>
      <w:bookmarkEnd w:id="329"/>
      <w:bookmarkEnd w:id="330"/>
      <w:bookmarkEnd w:id="331"/>
      <w:bookmarkEnd w:id="332"/>
      <w:bookmarkEnd w:id="333"/>
      <w:bookmarkEnd w:id="334"/>
      <w:bookmarkEnd w:id="335"/>
    </w:p>
    <w:p>
      <w:pPr>
        <w:spacing w:line="360" w:lineRule="auto"/>
        <w:ind w:firstLine="440" w:firstLineChars="200"/>
        <w:outlineLvl w:val="2"/>
        <w:rPr>
          <w:rFonts w:ascii="宋体" w:hAnsi="宋体"/>
          <w:color w:val="auto"/>
          <w:sz w:val="22"/>
          <w:szCs w:val="22"/>
          <w:highlight w:val="none"/>
        </w:rPr>
      </w:pPr>
      <w:bookmarkStart w:id="336" w:name="_Toc71855603"/>
      <w:bookmarkStart w:id="337" w:name="_Toc102907767"/>
      <w:bookmarkStart w:id="338" w:name="_Toc71855258"/>
      <w:bookmarkStart w:id="339" w:name="_Toc103022656"/>
      <w:bookmarkStart w:id="340" w:name="_Toc71854341"/>
      <w:bookmarkStart w:id="341" w:name="_Toc71854945"/>
      <w:r>
        <w:rPr>
          <w:rFonts w:ascii="宋体" w:hAnsi="宋体"/>
          <w:color w:val="auto"/>
          <w:sz w:val="22"/>
          <w:szCs w:val="22"/>
          <w:highlight w:val="none"/>
        </w:rPr>
        <w:t xml:space="preserve">7.1 </w:t>
      </w:r>
      <w:r>
        <w:rPr>
          <w:rFonts w:hint="eastAsia" w:ascii="宋体" w:hAnsi="宋体"/>
          <w:color w:val="auto"/>
          <w:sz w:val="22"/>
          <w:szCs w:val="22"/>
          <w:highlight w:val="none"/>
        </w:rPr>
        <w:t>中标候选人公示</w:t>
      </w:r>
      <w:bookmarkEnd w:id="336"/>
      <w:bookmarkEnd w:id="337"/>
      <w:bookmarkEnd w:id="338"/>
      <w:bookmarkEnd w:id="339"/>
      <w:bookmarkEnd w:id="340"/>
      <w:bookmarkEnd w:id="341"/>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招标人在收到评标报告之日起</w:t>
      </w:r>
      <w:r>
        <w:rPr>
          <w:rFonts w:ascii="宋体" w:hAnsi="宋体"/>
          <w:color w:val="auto"/>
          <w:sz w:val="22"/>
          <w:szCs w:val="22"/>
          <w:highlight w:val="none"/>
        </w:rPr>
        <w:t>3</w:t>
      </w:r>
      <w:r>
        <w:rPr>
          <w:rFonts w:hint="eastAsia" w:ascii="宋体" w:hAnsi="宋体"/>
          <w:color w:val="auto"/>
          <w:sz w:val="22"/>
          <w:szCs w:val="22"/>
          <w:highlight w:val="none"/>
        </w:rPr>
        <w:t>日内，按照投标人须知前附表规定的公示媒介和期限公示中标候选人，公示期不得少于</w:t>
      </w:r>
      <w:r>
        <w:rPr>
          <w:rFonts w:ascii="宋体" w:hAnsi="宋体"/>
          <w:color w:val="auto"/>
          <w:sz w:val="22"/>
          <w:szCs w:val="22"/>
          <w:highlight w:val="none"/>
        </w:rPr>
        <w:t>3</w:t>
      </w:r>
      <w:r>
        <w:rPr>
          <w:rFonts w:hint="eastAsia" w:ascii="宋体" w:hAnsi="宋体"/>
          <w:color w:val="auto"/>
          <w:sz w:val="22"/>
          <w:szCs w:val="22"/>
          <w:highlight w:val="none"/>
        </w:rPr>
        <w:t>日。</w:t>
      </w:r>
    </w:p>
    <w:p>
      <w:pPr>
        <w:spacing w:line="360" w:lineRule="auto"/>
        <w:ind w:firstLine="440" w:firstLineChars="200"/>
        <w:outlineLvl w:val="2"/>
        <w:rPr>
          <w:rFonts w:ascii="宋体" w:hAnsi="宋体"/>
          <w:color w:val="auto"/>
          <w:sz w:val="22"/>
          <w:szCs w:val="22"/>
          <w:highlight w:val="none"/>
        </w:rPr>
      </w:pPr>
      <w:bookmarkStart w:id="342" w:name="_Toc71855604"/>
      <w:bookmarkStart w:id="343" w:name="_Toc71854946"/>
      <w:bookmarkStart w:id="344" w:name="_Toc71855259"/>
      <w:bookmarkStart w:id="345" w:name="_Toc103022657"/>
      <w:bookmarkStart w:id="346" w:name="_Toc71854342"/>
      <w:bookmarkStart w:id="347" w:name="_Toc102907768"/>
      <w:r>
        <w:rPr>
          <w:rFonts w:ascii="宋体" w:hAnsi="宋体"/>
          <w:color w:val="auto"/>
          <w:sz w:val="22"/>
          <w:szCs w:val="22"/>
          <w:highlight w:val="none"/>
        </w:rPr>
        <w:t xml:space="preserve">7.2 </w:t>
      </w:r>
      <w:r>
        <w:rPr>
          <w:rFonts w:hint="eastAsia" w:ascii="宋体" w:hAnsi="宋体"/>
          <w:color w:val="auto"/>
          <w:sz w:val="22"/>
          <w:szCs w:val="22"/>
          <w:highlight w:val="none"/>
        </w:rPr>
        <w:t>评标结果异议</w:t>
      </w:r>
      <w:bookmarkEnd w:id="342"/>
      <w:bookmarkEnd w:id="343"/>
      <w:bookmarkEnd w:id="344"/>
      <w:bookmarkEnd w:id="345"/>
      <w:bookmarkEnd w:id="346"/>
      <w:bookmarkEnd w:id="347"/>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投标人或者其他利害关系人对评标结果有异议的，应当在中标候选人公示期间提出。招标人将在收到异议之日起</w:t>
      </w:r>
      <w:r>
        <w:rPr>
          <w:rFonts w:ascii="宋体" w:hAnsi="宋体"/>
          <w:color w:val="auto"/>
          <w:sz w:val="22"/>
          <w:szCs w:val="22"/>
          <w:highlight w:val="none"/>
        </w:rPr>
        <w:t xml:space="preserve"> 3 </w:t>
      </w:r>
      <w:r>
        <w:rPr>
          <w:rFonts w:hint="eastAsia" w:ascii="宋体" w:hAnsi="宋体"/>
          <w:color w:val="auto"/>
          <w:sz w:val="22"/>
          <w:szCs w:val="22"/>
          <w:highlight w:val="none"/>
        </w:rPr>
        <w:t>日内作出答复；作出答复前，将暂停招标投标活动。</w:t>
      </w:r>
    </w:p>
    <w:p>
      <w:pPr>
        <w:spacing w:line="360" w:lineRule="auto"/>
        <w:ind w:firstLine="440" w:firstLineChars="200"/>
        <w:outlineLvl w:val="2"/>
        <w:rPr>
          <w:rFonts w:ascii="宋体" w:hAnsi="宋体"/>
          <w:color w:val="auto"/>
          <w:sz w:val="22"/>
          <w:szCs w:val="22"/>
          <w:highlight w:val="none"/>
        </w:rPr>
      </w:pPr>
      <w:bookmarkStart w:id="348" w:name="_Toc102907769"/>
      <w:bookmarkStart w:id="349" w:name="_Toc71855605"/>
      <w:bookmarkStart w:id="350" w:name="_Toc71855260"/>
      <w:bookmarkStart w:id="351" w:name="_Toc103022658"/>
      <w:bookmarkStart w:id="352" w:name="_Toc71854343"/>
      <w:bookmarkStart w:id="353" w:name="_Toc71854947"/>
      <w:r>
        <w:rPr>
          <w:rFonts w:ascii="宋体" w:hAnsi="宋体"/>
          <w:color w:val="auto"/>
          <w:sz w:val="22"/>
          <w:szCs w:val="22"/>
          <w:highlight w:val="none"/>
        </w:rPr>
        <w:t xml:space="preserve">7.3 </w:t>
      </w:r>
      <w:r>
        <w:rPr>
          <w:rFonts w:hint="eastAsia" w:ascii="宋体" w:hAnsi="宋体"/>
          <w:color w:val="auto"/>
          <w:sz w:val="22"/>
          <w:szCs w:val="22"/>
          <w:highlight w:val="none"/>
        </w:rPr>
        <w:t>中标候选人履约能力审查</w:t>
      </w:r>
      <w:bookmarkEnd w:id="348"/>
      <w:bookmarkEnd w:id="349"/>
      <w:bookmarkEnd w:id="350"/>
      <w:bookmarkEnd w:id="351"/>
      <w:bookmarkEnd w:id="352"/>
      <w:bookmarkEnd w:id="353"/>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spacing w:line="360" w:lineRule="auto"/>
        <w:ind w:firstLine="440" w:firstLineChars="200"/>
        <w:outlineLvl w:val="2"/>
        <w:rPr>
          <w:rFonts w:ascii="宋体" w:hAnsi="宋体"/>
          <w:color w:val="auto"/>
          <w:sz w:val="22"/>
          <w:szCs w:val="22"/>
          <w:highlight w:val="none"/>
        </w:rPr>
      </w:pPr>
      <w:bookmarkStart w:id="354" w:name="_Toc102907770"/>
      <w:bookmarkStart w:id="355" w:name="_Toc71855606"/>
      <w:bookmarkStart w:id="356" w:name="_Toc71855261"/>
      <w:bookmarkStart w:id="357" w:name="_Toc103022659"/>
      <w:bookmarkStart w:id="358" w:name="_Toc71854344"/>
      <w:bookmarkStart w:id="359" w:name="_Toc71854948"/>
      <w:r>
        <w:rPr>
          <w:rFonts w:ascii="宋体" w:hAnsi="宋体"/>
          <w:color w:val="auto"/>
          <w:sz w:val="22"/>
          <w:szCs w:val="22"/>
          <w:highlight w:val="none"/>
        </w:rPr>
        <w:t xml:space="preserve">7.4 </w:t>
      </w:r>
      <w:r>
        <w:rPr>
          <w:rFonts w:hint="eastAsia" w:ascii="宋体" w:hAnsi="宋体"/>
          <w:color w:val="auto"/>
          <w:sz w:val="22"/>
          <w:szCs w:val="22"/>
          <w:highlight w:val="none"/>
        </w:rPr>
        <w:t>定标</w:t>
      </w:r>
      <w:bookmarkEnd w:id="354"/>
      <w:bookmarkEnd w:id="355"/>
      <w:bookmarkEnd w:id="356"/>
      <w:bookmarkEnd w:id="357"/>
      <w:bookmarkEnd w:id="358"/>
      <w:bookmarkEnd w:id="359"/>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按照投标人须知前附表的规定，招标人或招标人授权的评标委员会依法确定中标人。</w:t>
      </w:r>
    </w:p>
    <w:p>
      <w:pPr>
        <w:spacing w:line="360" w:lineRule="auto"/>
        <w:ind w:firstLine="440" w:firstLineChars="200"/>
        <w:outlineLvl w:val="2"/>
        <w:rPr>
          <w:rFonts w:ascii="宋体" w:hAnsi="宋体"/>
          <w:color w:val="auto"/>
          <w:sz w:val="22"/>
          <w:szCs w:val="22"/>
          <w:highlight w:val="none"/>
        </w:rPr>
      </w:pPr>
      <w:bookmarkStart w:id="360" w:name="_Toc103022660"/>
      <w:bookmarkStart w:id="361" w:name="_Toc71854949"/>
      <w:bookmarkStart w:id="362" w:name="_Toc71855262"/>
      <w:bookmarkStart w:id="363" w:name="_Toc102907771"/>
      <w:bookmarkStart w:id="364" w:name="_Toc71854345"/>
      <w:bookmarkStart w:id="365" w:name="_Toc71855607"/>
      <w:r>
        <w:rPr>
          <w:rFonts w:ascii="宋体" w:hAnsi="宋体"/>
          <w:color w:val="auto"/>
          <w:sz w:val="22"/>
          <w:szCs w:val="22"/>
          <w:highlight w:val="none"/>
        </w:rPr>
        <w:t xml:space="preserve">7.5 </w:t>
      </w:r>
      <w:r>
        <w:rPr>
          <w:rFonts w:hint="eastAsia" w:ascii="宋体" w:hAnsi="宋体"/>
          <w:color w:val="auto"/>
          <w:sz w:val="22"/>
          <w:szCs w:val="22"/>
          <w:highlight w:val="none"/>
        </w:rPr>
        <w:t>中标通知</w:t>
      </w:r>
      <w:bookmarkEnd w:id="360"/>
      <w:bookmarkEnd w:id="361"/>
      <w:bookmarkEnd w:id="362"/>
      <w:bookmarkEnd w:id="363"/>
      <w:bookmarkEnd w:id="364"/>
      <w:bookmarkEnd w:id="365"/>
    </w:p>
    <w:p>
      <w:pPr>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在本章第</w:t>
      </w:r>
      <w:r>
        <w:rPr>
          <w:rFonts w:ascii="宋体" w:hAnsi="宋体"/>
          <w:color w:val="auto"/>
          <w:sz w:val="22"/>
          <w:szCs w:val="22"/>
          <w:highlight w:val="none"/>
        </w:rPr>
        <w:t xml:space="preserve"> 3.3 </w:t>
      </w:r>
      <w:r>
        <w:rPr>
          <w:rFonts w:hint="eastAsia" w:ascii="宋体" w:hAnsi="宋体"/>
          <w:color w:val="auto"/>
          <w:sz w:val="22"/>
          <w:szCs w:val="22"/>
          <w:highlight w:val="none"/>
        </w:rPr>
        <w:t>款规定的投标有效期内，招标人以书面形式向中标人发出中标通知书，同时将中标结果通知未中标的投标人。</w:t>
      </w:r>
    </w:p>
    <w:p>
      <w:pPr>
        <w:spacing w:line="360" w:lineRule="auto"/>
        <w:ind w:firstLine="440" w:firstLineChars="200"/>
        <w:outlineLvl w:val="2"/>
        <w:rPr>
          <w:rFonts w:ascii="宋体" w:hAnsi="宋体"/>
          <w:color w:val="auto"/>
          <w:sz w:val="22"/>
          <w:szCs w:val="22"/>
          <w:highlight w:val="none"/>
        </w:rPr>
      </w:pPr>
      <w:bookmarkStart w:id="366" w:name="_Toc71854346"/>
      <w:bookmarkStart w:id="367" w:name="_Toc102907772"/>
      <w:bookmarkStart w:id="368" w:name="_Toc103022661"/>
      <w:bookmarkStart w:id="369" w:name="_Toc71855263"/>
      <w:bookmarkStart w:id="370" w:name="_Toc71854950"/>
      <w:bookmarkStart w:id="371" w:name="_Toc71855608"/>
      <w:r>
        <w:rPr>
          <w:rFonts w:ascii="宋体" w:hAnsi="宋体"/>
          <w:color w:val="auto"/>
          <w:sz w:val="22"/>
          <w:szCs w:val="22"/>
          <w:highlight w:val="none"/>
        </w:rPr>
        <w:t xml:space="preserve">7.6 </w:t>
      </w:r>
      <w:r>
        <w:rPr>
          <w:rFonts w:hint="eastAsia" w:ascii="宋体" w:hAnsi="宋体"/>
          <w:color w:val="auto"/>
          <w:sz w:val="22"/>
          <w:szCs w:val="22"/>
          <w:highlight w:val="none"/>
        </w:rPr>
        <w:t>履约保证金</w:t>
      </w:r>
      <w:bookmarkEnd w:id="366"/>
      <w:bookmarkEnd w:id="367"/>
      <w:bookmarkEnd w:id="368"/>
      <w:bookmarkEnd w:id="369"/>
      <w:bookmarkEnd w:id="370"/>
      <w:bookmarkEnd w:id="371"/>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7.6.1 </w:t>
      </w:r>
      <w:r>
        <w:rPr>
          <w:rFonts w:hint="eastAsia" w:ascii="宋体" w:hAnsi="宋体"/>
          <w:color w:val="auto"/>
          <w:sz w:val="22"/>
          <w:szCs w:val="22"/>
          <w:highlight w:val="none"/>
        </w:rPr>
        <w:t>在签订合同前，中标人应按投标人须知前附表规定的形式、金额和招标文件第四章“合</w:t>
      </w:r>
      <w:bookmarkStart w:id="372" w:name="page33"/>
      <w:bookmarkEnd w:id="372"/>
      <w:r>
        <w:rPr>
          <w:rFonts w:hint="eastAsia" w:ascii="宋体" w:hAnsi="宋体"/>
          <w:color w:val="auto"/>
          <w:sz w:val="22"/>
          <w:szCs w:val="22"/>
          <w:highlight w:val="none"/>
        </w:rPr>
        <w:t>同条款及格式”规定的或者事先经过招标人书面认可的履约保证金格式向招标人提交履约保证金。除投标人须知前附表另有规定外，履约保证金为中标合同金额的</w:t>
      </w:r>
      <w:r>
        <w:rPr>
          <w:rFonts w:ascii="宋体" w:hAnsi="宋体"/>
          <w:color w:val="auto"/>
          <w:sz w:val="22"/>
          <w:szCs w:val="22"/>
          <w:highlight w:val="none"/>
        </w:rPr>
        <w:t>5</w:t>
      </w:r>
      <w:r>
        <w:rPr>
          <w:rFonts w:hint="eastAsia" w:ascii="宋体" w:hAnsi="宋体"/>
          <w:color w:val="auto"/>
          <w:sz w:val="22"/>
          <w:szCs w:val="22"/>
          <w:highlight w:val="none"/>
        </w:rPr>
        <w:t>%。</w:t>
      </w:r>
    </w:p>
    <w:p>
      <w:pPr>
        <w:spacing w:line="360" w:lineRule="auto"/>
        <w:ind w:firstLine="440" w:firstLineChars="200"/>
        <w:outlineLvl w:val="2"/>
        <w:rPr>
          <w:rFonts w:ascii="宋体" w:hAnsi="宋体"/>
          <w:color w:val="auto"/>
          <w:sz w:val="22"/>
          <w:szCs w:val="22"/>
          <w:highlight w:val="none"/>
        </w:rPr>
      </w:pPr>
      <w:bookmarkStart w:id="373" w:name="_Toc102907773"/>
      <w:bookmarkStart w:id="374" w:name="_Toc71854951"/>
      <w:bookmarkStart w:id="375" w:name="_Toc71855264"/>
      <w:bookmarkStart w:id="376" w:name="_Toc103022662"/>
      <w:bookmarkStart w:id="377" w:name="_Toc71854347"/>
      <w:bookmarkStart w:id="378" w:name="_Toc71855609"/>
      <w:r>
        <w:rPr>
          <w:rFonts w:ascii="宋体" w:hAnsi="宋体"/>
          <w:color w:val="auto"/>
          <w:sz w:val="22"/>
          <w:szCs w:val="22"/>
          <w:highlight w:val="none"/>
        </w:rPr>
        <w:t xml:space="preserve">7.7 </w:t>
      </w:r>
      <w:r>
        <w:rPr>
          <w:rFonts w:hint="eastAsia" w:ascii="宋体" w:hAnsi="宋体"/>
          <w:color w:val="auto"/>
          <w:sz w:val="22"/>
          <w:szCs w:val="22"/>
          <w:highlight w:val="none"/>
        </w:rPr>
        <w:t>签订合同</w:t>
      </w:r>
      <w:bookmarkEnd w:id="373"/>
      <w:bookmarkEnd w:id="374"/>
      <w:bookmarkEnd w:id="375"/>
      <w:bookmarkEnd w:id="376"/>
      <w:bookmarkEnd w:id="377"/>
      <w:bookmarkEnd w:id="378"/>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7.7.1 </w:t>
      </w:r>
      <w:r>
        <w:rPr>
          <w:rFonts w:hint="eastAsia" w:ascii="宋体" w:hAnsi="宋体"/>
          <w:color w:val="auto"/>
          <w:sz w:val="22"/>
          <w:szCs w:val="22"/>
          <w:highlight w:val="none"/>
        </w:rPr>
        <w:t>招标人和中标人应当在中标通知书发出之日起</w:t>
      </w:r>
      <w:r>
        <w:rPr>
          <w:rFonts w:ascii="宋体" w:hAnsi="宋体"/>
          <w:color w:val="auto"/>
          <w:sz w:val="22"/>
          <w:szCs w:val="22"/>
          <w:highlight w:val="none"/>
        </w:rPr>
        <w:t>30</w:t>
      </w:r>
      <w:r>
        <w:rPr>
          <w:rFonts w:hint="eastAsia" w:ascii="宋体" w:hAnsi="宋体"/>
          <w:color w:val="auto"/>
          <w:sz w:val="22"/>
          <w:szCs w:val="22"/>
          <w:highlight w:val="none"/>
        </w:rPr>
        <w:t>日内，根据招标文件和中标人的投标文件订立书面合同。中标人无正当理由拒签合同，在签订合同时向招标人提出附加条件，或者不按照招标文件要求提交履约保证金的，招标人有权取消其中标资格，中标人还应当予以赔偿。</w:t>
      </w:r>
    </w:p>
    <w:p>
      <w:pPr>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7.7.2 </w:t>
      </w:r>
      <w:r>
        <w:rPr>
          <w:rFonts w:hint="eastAsia" w:ascii="宋体" w:hAnsi="宋体"/>
          <w:color w:val="auto"/>
          <w:sz w:val="22"/>
          <w:szCs w:val="22"/>
          <w:highlight w:val="none"/>
        </w:rPr>
        <w:t>发出中标通知书后，招标人无正当理由拒签合同，或者在签订合同时向中标人提出附加条件的，给中标人造成损失的，还应当赔偿损失。</w:t>
      </w:r>
    </w:p>
    <w:p>
      <w:pPr>
        <w:spacing w:line="360" w:lineRule="auto"/>
        <w:ind w:firstLine="442" w:firstLineChars="200"/>
        <w:outlineLvl w:val="1"/>
        <w:rPr>
          <w:rFonts w:ascii="宋体" w:hAnsi="宋体"/>
          <w:b/>
          <w:color w:val="auto"/>
          <w:sz w:val="22"/>
          <w:szCs w:val="22"/>
          <w:highlight w:val="none"/>
        </w:rPr>
      </w:pPr>
      <w:bookmarkStart w:id="379" w:name="_Toc103022663"/>
      <w:bookmarkStart w:id="380" w:name="_Toc102907774"/>
      <w:bookmarkStart w:id="381" w:name="_Toc71854348"/>
      <w:bookmarkStart w:id="382" w:name="_Toc99970098"/>
      <w:bookmarkStart w:id="383" w:name="_Toc71854952"/>
      <w:bookmarkStart w:id="384" w:name="_Toc71855610"/>
      <w:bookmarkStart w:id="385" w:name="_Toc71376936"/>
      <w:bookmarkStart w:id="386" w:name="_Toc71855265"/>
      <w:r>
        <w:rPr>
          <w:rFonts w:ascii="宋体" w:hAnsi="宋体"/>
          <w:b/>
          <w:color w:val="auto"/>
          <w:sz w:val="22"/>
          <w:szCs w:val="22"/>
          <w:highlight w:val="none"/>
        </w:rPr>
        <w:t>8.</w:t>
      </w:r>
      <w:r>
        <w:rPr>
          <w:rFonts w:hint="eastAsia" w:ascii="宋体" w:hAnsi="宋体"/>
          <w:b/>
          <w:color w:val="auto"/>
          <w:sz w:val="22"/>
          <w:szCs w:val="22"/>
          <w:highlight w:val="none"/>
        </w:rPr>
        <w:t>纪律和监督</w:t>
      </w:r>
      <w:bookmarkEnd w:id="379"/>
      <w:bookmarkEnd w:id="380"/>
      <w:bookmarkEnd w:id="381"/>
      <w:bookmarkEnd w:id="382"/>
      <w:bookmarkEnd w:id="383"/>
      <w:bookmarkEnd w:id="384"/>
      <w:bookmarkEnd w:id="385"/>
      <w:bookmarkEnd w:id="386"/>
    </w:p>
    <w:p>
      <w:pPr>
        <w:spacing w:line="360" w:lineRule="auto"/>
        <w:ind w:firstLine="440" w:firstLineChars="200"/>
        <w:outlineLvl w:val="2"/>
        <w:rPr>
          <w:rFonts w:ascii="宋体" w:hAnsi="宋体"/>
          <w:color w:val="auto"/>
          <w:sz w:val="22"/>
          <w:szCs w:val="22"/>
          <w:highlight w:val="none"/>
        </w:rPr>
      </w:pPr>
      <w:bookmarkStart w:id="387" w:name="_Toc102907775"/>
      <w:bookmarkStart w:id="388" w:name="_Toc71854953"/>
      <w:bookmarkStart w:id="389" w:name="_Toc71855611"/>
      <w:bookmarkStart w:id="390" w:name="_Toc71855266"/>
      <w:bookmarkStart w:id="391" w:name="_Toc71854349"/>
      <w:bookmarkStart w:id="392" w:name="_Toc103022664"/>
      <w:r>
        <w:rPr>
          <w:rFonts w:ascii="宋体" w:hAnsi="宋体"/>
          <w:color w:val="auto"/>
          <w:sz w:val="22"/>
          <w:szCs w:val="22"/>
          <w:highlight w:val="none"/>
        </w:rPr>
        <w:t xml:space="preserve">8.1 </w:t>
      </w:r>
      <w:r>
        <w:rPr>
          <w:rFonts w:hint="eastAsia" w:ascii="宋体" w:hAnsi="宋体"/>
          <w:color w:val="auto"/>
          <w:sz w:val="22"/>
          <w:szCs w:val="22"/>
          <w:highlight w:val="none"/>
        </w:rPr>
        <w:t>对招标人的纪律要求</w:t>
      </w:r>
      <w:bookmarkEnd w:id="387"/>
      <w:bookmarkEnd w:id="388"/>
      <w:bookmarkEnd w:id="389"/>
      <w:bookmarkEnd w:id="390"/>
      <w:bookmarkEnd w:id="391"/>
      <w:bookmarkEnd w:id="392"/>
    </w:p>
    <w:p>
      <w:pPr>
        <w:tabs>
          <w:tab w:val="left" w:pos="426"/>
        </w:tabs>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招标人不得泄露招标投标活动中应当保密的情况和资料，不得与投标人串通损害国家利益、社会公共利益或者他人合法权益。</w:t>
      </w:r>
    </w:p>
    <w:p>
      <w:pPr>
        <w:spacing w:line="360" w:lineRule="auto"/>
        <w:ind w:firstLine="440" w:firstLineChars="200"/>
        <w:outlineLvl w:val="2"/>
        <w:rPr>
          <w:rFonts w:ascii="宋体" w:hAnsi="宋体"/>
          <w:color w:val="auto"/>
          <w:sz w:val="22"/>
          <w:szCs w:val="22"/>
          <w:highlight w:val="none"/>
        </w:rPr>
      </w:pPr>
      <w:bookmarkStart w:id="393" w:name="_Toc71855267"/>
      <w:bookmarkStart w:id="394" w:name="_Toc102907776"/>
      <w:bookmarkStart w:id="395" w:name="_Toc71854350"/>
      <w:bookmarkStart w:id="396" w:name="_Toc71854954"/>
      <w:bookmarkStart w:id="397" w:name="_Toc71855612"/>
      <w:bookmarkStart w:id="398" w:name="_Toc103022665"/>
      <w:r>
        <w:rPr>
          <w:rFonts w:ascii="宋体" w:hAnsi="宋体"/>
          <w:color w:val="auto"/>
          <w:sz w:val="22"/>
          <w:szCs w:val="22"/>
          <w:highlight w:val="none"/>
        </w:rPr>
        <w:t xml:space="preserve">8.2 </w:t>
      </w:r>
      <w:r>
        <w:rPr>
          <w:rFonts w:hint="eastAsia" w:ascii="宋体" w:hAnsi="宋体"/>
          <w:color w:val="auto"/>
          <w:sz w:val="22"/>
          <w:szCs w:val="22"/>
          <w:highlight w:val="none"/>
        </w:rPr>
        <w:t>对投标人的纪律要求</w:t>
      </w:r>
      <w:bookmarkEnd w:id="393"/>
      <w:bookmarkEnd w:id="394"/>
      <w:bookmarkEnd w:id="395"/>
      <w:bookmarkEnd w:id="396"/>
      <w:bookmarkEnd w:id="397"/>
      <w:bookmarkEnd w:id="398"/>
    </w:p>
    <w:p>
      <w:pPr>
        <w:tabs>
          <w:tab w:val="left" w:pos="426"/>
        </w:tabs>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spacing w:line="360" w:lineRule="auto"/>
        <w:ind w:firstLine="440" w:firstLineChars="200"/>
        <w:outlineLvl w:val="2"/>
        <w:rPr>
          <w:rFonts w:ascii="宋体" w:hAnsi="宋体"/>
          <w:color w:val="auto"/>
          <w:sz w:val="22"/>
          <w:szCs w:val="22"/>
          <w:highlight w:val="none"/>
        </w:rPr>
      </w:pPr>
      <w:bookmarkStart w:id="399" w:name="_Toc71855613"/>
      <w:bookmarkStart w:id="400" w:name="_Toc71854351"/>
      <w:bookmarkStart w:id="401" w:name="_Toc71855268"/>
      <w:bookmarkStart w:id="402" w:name="_Toc103022666"/>
      <w:bookmarkStart w:id="403" w:name="_Toc102907777"/>
      <w:bookmarkStart w:id="404" w:name="_Toc71854955"/>
      <w:r>
        <w:rPr>
          <w:rFonts w:ascii="宋体" w:hAnsi="宋体"/>
          <w:color w:val="auto"/>
          <w:sz w:val="22"/>
          <w:szCs w:val="22"/>
          <w:highlight w:val="none"/>
        </w:rPr>
        <w:t xml:space="preserve">8.3 </w:t>
      </w:r>
      <w:r>
        <w:rPr>
          <w:rFonts w:hint="eastAsia" w:ascii="宋体" w:hAnsi="宋体"/>
          <w:color w:val="auto"/>
          <w:sz w:val="22"/>
          <w:szCs w:val="22"/>
          <w:highlight w:val="none"/>
        </w:rPr>
        <w:t>对评标委员会成员的纪律要求</w:t>
      </w:r>
      <w:bookmarkEnd w:id="399"/>
      <w:bookmarkEnd w:id="400"/>
      <w:bookmarkEnd w:id="401"/>
      <w:bookmarkEnd w:id="402"/>
      <w:bookmarkEnd w:id="403"/>
      <w:bookmarkEnd w:id="404"/>
    </w:p>
    <w:p>
      <w:pPr>
        <w:tabs>
          <w:tab w:val="left" w:pos="426"/>
        </w:tabs>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w:t>
      </w:r>
      <w:bookmarkStart w:id="405" w:name="page34"/>
      <w:bookmarkEnd w:id="405"/>
      <w:r>
        <w:rPr>
          <w:rFonts w:hint="eastAsia" w:ascii="宋体" w:hAnsi="宋体"/>
          <w:color w:val="auto"/>
          <w:sz w:val="22"/>
          <w:szCs w:val="22"/>
          <w:highlight w:val="none"/>
        </w:rPr>
        <w:t>三章“评标办法”没有规定的评审因素和标准进行评标。</w:t>
      </w:r>
    </w:p>
    <w:p>
      <w:pPr>
        <w:spacing w:line="360" w:lineRule="auto"/>
        <w:ind w:firstLine="440" w:firstLineChars="200"/>
        <w:outlineLvl w:val="2"/>
        <w:rPr>
          <w:rFonts w:ascii="宋体" w:hAnsi="宋体"/>
          <w:color w:val="auto"/>
          <w:sz w:val="22"/>
          <w:szCs w:val="22"/>
          <w:highlight w:val="none"/>
        </w:rPr>
      </w:pPr>
      <w:bookmarkStart w:id="406" w:name="_Toc103022667"/>
      <w:bookmarkStart w:id="407" w:name="_Toc71855269"/>
      <w:bookmarkStart w:id="408" w:name="_Toc71854352"/>
      <w:bookmarkStart w:id="409" w:name="_Toc71855614"/>
      <w:bookmarkStart w:id="410" w:name="_Toc102907778"/>
      <w:bookmarkStart w:id="411" w:name="_Toc71854956"/>
      <w:r>
        <w:rPr>
          <w:rFonts w:ascii="宋体" w:hAnsi="宋体"/>
          <w:color w:val="auto"/>
          <w:sz w:val="22"/>
          <w:szCs w:val="22"/>
          <w:highlight w:val="none"/>
        </w:rPr>
        <w:t xml:space="preserve">8.4 </w:t>
      </w:r>
      <w:r>
        <w:rPr>
          <w:rFonts w:hint="eastAsia" w:ascii="宋体" w:hAnsi="宋体"/>
          <w:color w:val="auto"/>
          <w:sz w:val="22"/>
          <w:szCs w:val="22"/>
          <w:highlight w:val="none"/>
        </w:rPr>
        <w:t>对与评标活动有关的工作人员的纪律要求</w:t>
      </w:r>
      <w:bookmarkEnd w:id="406"/>
      <w:bookmarkEnd w:id="407"/>
      <w:bookmarkEnd w:id="408"/>
      <w:bookmarkEnd w:id="409"/>
      <w:bookmarkEnd w:id="410"/>
      <w:bookmarkEnd w:id="411"/>
    </w:p>
    <w:p>
      <w:pPr>
        <w:tabs>
          <w:tab w:val="left" w:pos="426"/>
        </w:tabs>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pacing w:line="360" w:lineRule="auto"/>
        <w:ind w:firstLine="440" w:firstLineChars="200"/>
        <w:outlineLvl w:val="2"/>
        <w:rPr>
          <w:rFonts w:ascii="宋体" w:hAnsi="宋体"/>
          <w:color w:val="auto"/>
          <w:sz w:val="22"/>
          <w:szCs w:val="22"/>
          <w:highlight w:val="none"/>
        </w:rPr>
      </w:pPr>
      <w:bookmarkStart w:id="412" w:name="_Toc71855615"/>
      <w:bookmarkStart w:id="413" w:name="_Toc103022668"/>
      <w:bookmarkStart w:id="414" w:name="_Toc71854353"/>
      <w:bookmarkStart w:id="415" w:name="_Toc71854957"/>
      <w:bookmarkStart w:id="416" w:name="_Toc102907779"/>
      <w:bookmarkStart w:id="417" w:name="_Toc71855270"/>
      <w:r>
        <w:rPr>
          <w:rFonts w:ascii="宋体" w:hAnsi="宋体"/>
          <w:color w:val="auto"/>
          <w:sz w:val="22"/>
          <w:szCs w:val="22"/>
          <w:highlight w:val="none"/>
        </w:rPr>
        <w:t xml:space="preserve">8.5 </w:t>
      </w:r>
      <w:r>
        <w:rPr>
          <w:rFonts w:hint="eastAsia" w:ascii="宋体" w:hAnsi="宋体"/>
          <w:color w:val="auto"/>
          <w:sz w:val="22"/>
          <w:szCs w:val="22"/>
          <w:highlight w:val="none"/>
        </w:rPr>
        <w:t>投诉</w:t>
      </w:r>
      <w:bookmarkEnd w:id="412"/>
      <w:bookmarkEnd w:id="413"/>
      <w:bookmarkEnd w:id="414"/>
      <w:bookmarkEnd w:id="415"/>
      <w:bookmarkEnd w:id="416"/>
      <w:bookmarkEnd w:id="417"/>
    </w:p>
    <w:p>
      <w:pPr>
        <w:tabs>
          <w:tab w:val="left" w:pos="426"/>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8.5.1 </w:t>
      </w:r>
      <w:r>
        <w:rPr>
          <w:rFonts w:hint="eastAsia" w:ascii="宋体" w:hAnsi="宋体"/>
          <w:color w:val="auto"/>
          <w:sz w:val="22"/>
          <w:szCs w:val="22"/>
          <w:highlight w:val="none"/>
        </w:rPr>
        <w:t>投标人或者其他利害关系人认为招标投标活动不符合法律、行政法规规定的，可以自知道或者应当知道之日起</w:t>
      </w:r>
      <w:r>
        <w:rPr>
          <w:rFonts w:ascii="宋体" w:hAnsi="宋体"/>
          <w:color w:val="auto"/>
          <w:sz w:val="22"/>
          <w:szCs w:val="22"/>
          <w:highlight w:val="none"/>
        </w:rPr>
        <w:t xml:space="preserve"> 10 </w:t>
      </w:r>
      <w:r>
        <w:rPr>
          <w:rFonts w:hint="eastAsia" w:ascii="宋体" w:hAnsi="宋体"/>
          <w:color w:val="auto"/>
          <w:sz w:val="22"/>
          <w:szCs w:val="22"/>
          <w:highlight w:val="none"/>
        </w:rPr>
        <w:t>日内向有关行政监督部门投诉。投诉应当有明确的请求和必要的证明材料。</w:t>
      </w:r>
    </w:p>
    <w:p>
      <w:pPr>
        <w:tabs>
          <w:tab w:val="left" w:pos="426"/>
        </w:tabs>
        <w:spacing w:line="360" w:lineRule="auto"/>
        <w:ind w:firstLine="440" w:firstLineChars="200"/>
        <w:rPr>
          <w:rFonts w:ascii="宋体" w:hAnsi="宋体"/>
          <w:color w:val="auto"/>
          <w:sz w:val="22"/>
          <w:szCs w:val="22"/>
          <w:highlight w:val="none"/>
        </w:rPr>
      </w:pPr>
      <w:r>
        <w:rPr>
          <w:rFonts w:ascii="宋体" w:hAnsi="宋体"/>
          <w:color w:val="auto"/>
          <w:sz w:val="22"/>
          <w:szCs w:val="22"/>
          <w:highlight w:val="none"/>
        </w:rPr>
        <w:t xml:space="preserve">8.5.2 </w:t>
      </w:r>
      <w:r>
        <w:rPr>
          <w:rFonts w:hint="eastAsia" w:ascii="宋体" w:hAnsi="宋体"/>
          <w:color w:val="auto"/>
          <w:sz w:val="22"/>
          <w:szCs w:val="22"/>
          <w:highlight w:val="none"/>
        </w:rPr>
        <w:t>投标人或者其他利害关系人对招标文件、开标和评标结果提出投诉的，应当按照投标人须知第</w:t>
      </w:r>
      <w:r>
        <w:rPr>
          <w:rFonts w:ascii="宋体" w:hAnsi="宋体"/>
          <w:color w:val="auto"/>
          <w:sz w:val="22"/>
          <w:szCs w:val="22"/>
          <w:highlight w:val="none"/>
        </w:rPr>
        <w:t xml:space="preserve"> 2.4 </w:t>
      </w:r>
      <w:r>
        <w:rPr>
          <w:rFonts w:hint="eastAsia" w:ascii="宋体" w:hAnsi="宋体"/>
          <w:color w:val="auto"/>
          <w:sz w:val="22"/>
          <w:szCs w:val="22"/>
          <w:highlight w:val="none"/>
        </w:rPr>
        <w:t>款、第</w:t>
      </w:r>
      <w:r>
        <w:rPr>
          <w:rFonts w:ascii="宋体" w:hAnsi="宋体"/>
          <w:color w:val="auto"/>
          <w:sz w:val="22"/>
          <w:szCs w:val="22"/>
          <w:highlight w:val="none"/>
        </w:rPr>
        <w:t xml:space="preserve"> 5.3 </w:t>
      </w:r>
      <w:r>
        <w:rPr>
          <w:rFonts w:hint="eastAsia" w:ascii="宋体" w:hAnsi="宋体"/>
          <w:color w:val="auto"/>
          <w:sz w:val="22"/>
          <w:szCs w:val="22"/>
          <w:highlight w:val="none"/>
        </w:rPr>
        <w:t>款和第</w:t>
      </w:r>
      <w:r>
        <w:rPr>
          <w:rFonts w:ascii="宋体" w:hAnsi="宋体"/>
          <w:color w:val="auto"/>
          <w:sz w:val="22"/>
          <w:szCs w:val="22"/>
          <w:highlight w:val="none"/>
        </w:rPr>
        <w:t xml:space="preserve"> 7.2 </w:t>
      </w:r>
      <w:r>
        <w:rPr>
          <w:rFonts w:hint="eastAsia" w:ascii="宋体" w:hAnsi="宋体"/>
          <w:color w:val="auto"/>
          <w:sz w:val="22"/>
          <w:szCs w:val="22"/>
          <w:highlight w:val="none"/>
        </w:rPr>
        <w:t>款的规定先向招标人提出异议。异议答复期间不计算在第</w:t>
      </w:r>
      <w:r>
        <w:rPr>
          <w:rFonts w:ascii="宋体" w:hAnsi="宋体"/>
          <w:color w:val="auto"/>
          <w:sz w:val="22"/>
          <w:szCs w:val="22"/>
          <w:highlight w:val="none"/>
        </w:rPr>
        <w:t>8.5.1</w:t>
      </w:r>
      <w:r>
        <w:rPr>
          <w:rFonts w:hint="eastAsia" w:ascii="宋体" w:hAnsi="宋体"/>
          <w:color w:val="auto"/>
          <w:sz w:val="22"/>
          <w:szCs w:val="22"/>
          <w:highlight w:val="none"/>
        </w:rPr>
        <w:t>项规定的期限内。</w:t>
      </w:r>
    </w:p>
    <w:p>
      <w:pPr>
        <w:tabs>
          <w:tab w:val="left" w:pos="426"/>
        </w:tabs>
        <w:spacing w:line="360" w:lineRule="auto"/>
        <w:ind w:firstLine="440" w:firstLineChars="200"/>
        <w:rPr>
          <w:rFonts w:ascii="宋体" w:hAnsi="宋体"/>
          <w:color w:val="auto"/>
          <w:sz w:val="22"/>
          <w:szCs w:val="22"/>
          <w:highlight w:val="none"/>
        </w:rPr>
      </w:pPr>
    </w:p>
    <w:p>
      <w:pPr>
        <w:widowControl/>
        <w:numPr>
          <w:ilvl w:val="0"/>
          <w:numId w:val="13"/>
        </w:numPr>
        <w:tabs>
          <w:tab w:val="left" w:pos="760"/>
        </w:tabs>
        <w:autoSpaceDE/>
        <w:autoSpaceDN/>
        <w:adjustRightInd/>
        <w:spacing w:line="360" w:lineRule="auto"/>
        <w:ind w:firstLine="442" w:firstLineChars="200"/>
        <w:outlineLvl w:val="1"/>
        <w:rPr>
          <w:rFonts w:ascii="宋体" w:hAnsi="宋体"/>
          <w:b/>
          <w:color w:val="auto"/>
          <w:sz w:val="22"/>
          <w:szCs w:val="22"/>
          <w:highlight w:val="none"/>
        </w:rPr>
      </w:pPr>
      <w:bookmarkStart w:id="418" w:name="_Toc71376937"/>
      <w:bookmarkStart w:id="419" w:name="_Toc71854958"/>
      <w:bookmarkStart w:id="420" w:name="_Toc99970099"/>
      <w:bookmarkStart w:id="421" w:name="_Toc71855616"/>
      <w:bookmarkStart w:id="422" w:name="_Toc103022669"/>
      <w:bookmarkStart w:id="423" w:name="_Toc71855271"/>
      <w:bookmarkStart w:id="424" w:name="_Toc102907780"/>
      <w:bookmarkStart w:id="425" w:name="_Toc71854354"/>
      <w:r>
        <w:rPr>
          <w:rFonts w:hint="eastAsia" w:ascii="宋体" w:hAnsi="宋体"/>
          <w:b/>
          <w:color w:val="auto"/>
          <w:sz w:val="22"/>
          <w:szCs w:val="22"/>
          <w:highlight w:val="none"/>
        </w:rPr>
        <w:t>是否采用电子招标投标</w:t>
      </w:r>
      <w:bookmarkEnd w:id="418"/>
      <w:bookmarkEnd w:id="419"/>
      <w:bookmarkEnd w:id="420"/>
      <w:bookmarkEnd w:id="421"/>
      <w:bookmarkEnd w:id="422"/>
      <w:bookmarkEnd w:id="423"/>
      <w:bookmarkEnd w:id="424"/>
      <w:bookmarkEnd w:id="425"/>
    </w:p>
    <w:p>
      <w:pPr>
        <w:tabs>
          <w:tab w:val="left" w:pos="426"/>
        </w:tabs>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本招标项目是否采用电子招标投标方式，见投标人须知前附表。</w:t>
      </w:r>
    </w:p>
    <w:p>
      <w:pPr>
        <w:spacing w:line="360" w:lineRule="auto"/>
        <w:ind w:firstLine="440" w:firstLineChars="200"/>
        <w:rPr>
          <w:rFonts w:ascii="宋体" w:hAnsi="宋体"/>
          <w:color w:val="auto"/>
          <w:sz w:val="22"/>
          <w:szCs w:val="22"/>
          <w:highlight w:val="none"/>
        </w:rPr>
      </w:pPr>
    </w:p>
    <w:p>
      <w:pPr>
        <w:tabs>
          <w:tab w:val="left" w:pos="760"/>
        </w:tabs>
        <w:spacing w:line="360" w:lineRule="auto"/>
        <w:ind w:firstLine="442" w:firstLineChars="200"/>
        <w:outlineLvl w:val="1"/>
        <w:rPr>
          <w:rFonts w:ascii="宋体" w:hAnsi="宋体"/>
          <w:b/>
          <w:color w:val="auto"/>
          <w:sz w:val="22"/>
          <w:szCs w:val="22"/>
          <w:highlight w:val="none"/>
        </w:rPr>
      </w:pPr>
      <w:bookmarkStart w:id="426" w:name="_Toc71854355"/>
      <w:bookmarkStart w:id="427" w:name="_Toc71376938"/>
      <w:bookmarkStart w:id="428" w:name="_Toc103022670"/>
      <w:bookmarkStart w:id="429" w:name="_Toc102907781"/>
      <w:bookmarkStart w:id="430" w:name="_Toc71855617"/>
      <w:bookmarkStart w:id="431" w:name="_Toc71854959"/>
      <w:bookmarkStart w:id="432" w:name="_Toc99970100"/>
      <w:bookmarkStart w:id="433" w:name="_Toc71855272"/>
      <w:r>
        <w:rPr>
          <w:rFonts w:ascii="宋体" w:hAnsi="宋体"/>
          <w:b/>
          <w:color w:val="auto"/>
          <w:sz w:val="22"/>
          <w:szCs w:val="22"/>
          <w:highlight w:val="none"/>
        </w:rPr>
        <w:t xml:space="preserve">10. </w:t>
      </w:r>
      <w:r>
        <w:rPr>
          <w:rFonts w:hint="eastAsia" w:ascii="宋体" w:hAnsi="宋体"/>
          <w:b/>
          <w:color w:val="auto"/>
          <w:sz w:val="22"/>
          <w:szCs w:val="22"/>
          <w:highlight w:val="none"/>
        </w:rPr>
        <w:t>需要补充的其他内容</w:t>
      </w:r>
      <w:bookmarkEnd w:id="426"/>
      <w:bookmarkEnd w:id="427"/>
      <w:bookmarkEnd w:id="428"/>
      <w:bookmarkEnd w:id="429"/>
      <w:bookmarkEnd w:id="430"/>
      <w:bookmarkEnd w:id="431"/>
      <w:bookmarkEnd w:id="432"/>
      <w:bookmarkEnd w:id="433"/>
    </w:p>
    <w:p>
      <w:pPr>
        <w:tabs>
          <w:tab w:val="left" w:pos="426"/>
        </w:tabs>
        <w:spacing w:line="360"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需要补充的其他内容：见投标人须知前附表。</w:t>
      </w:r>
    </w:p>
    <w:p>
      <w:pPr>
        <w:rPr>
          <w:rFonts w:ascii="宋体" w:hAnsi="宋体"/>
          <w:color w:val="auto"/>
          <w:sz w:val="22"/>
          <w:szCs w:val="22"/>
          <w:highlight w:val="none"/>
        </w:rPr>
      </w:pPr>
      <w:bookmarkStart w:id="434" w:name="_Toc71855619"/>
      <w:bookmarkStart w:id="435" w:name="_Toc71855274"/>
      <w:bookmarkStart w:id="436" w:name="_Toc99970102"/>
      <w:bookmarkStart w:id="437" w:name="_Toc103022672"/>
      <w:bookmarkStart w:id="438" w:name="_Toc71854357"/>
      <w:bookmarkStart w:id="439" w:name="_Toc71376940"/>
      <w:bookmarkStart w:id="440" w:name="_Toc71854961"/>
      <w:bookmarkStart w:id="441" w:name="_Toc102907783"/>
      <w:r>
        <w:rPr>
          <w:rFonts w:hint="eastAsia" w:ascii="宋体" w:hAnsi="宋体"/>
          <w:color w:val="auto"/>
          <w:sz w:val="22"/>
          <w:szCs w:val="22"/>
          <w:highlight w:val="none"/>
        </w:rPr>
        <w:br w:type="page"/>
      </w:r>
    </w:p>
    <w:p>
      <w:pPr>
        <w:spacing w:line="325" w:lineRule="exact"/>
        <w:outlineLvl w:val="0"/>
        <w:rPr>
          <w:rFonts w:ascii="宋体" w:hAnsi="宋体"/>
          <w:color w:val="auto"/>
          <w:sz w:val="28"/>
          <w:highlight w:val="none"/>
        </w:rPr>
      </w:pPr>
      <w:bookmarkStart w:id="442" w:name="_Toc10990"/>
      <w:r>
        <w:rPr>
          <w:rFonts w:hint="eastAsia" w:ascii="宋体" w:hAnsi="宋体"/>
          <w:color w:val="auto"/>
          <w:sz w:val="28"/>
          <w:highlight w:val="none"/>
        </w:rPr>
        <w:t>附件一：问题澄清通知</w:t>
      </w:r>
      <w:bookmarkEnd w:id="434"/>
      <w:bookmarkEnd w:id="435"/>
      <w:bookmarkEnd w:id="436"/>
      <w:bookmarkEnd w:id="437"/>
      <w:bookmarkEnd w:id="438"/>
      <w:bookmarkEnd w:id="439"/>
      <w:bookmarkEnd w:id="440"/>
      <w:bookmarkEnd w:id="441"/>
      <w:bookmarkEnd w:id="442"/>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73" w:lineRule="exact"/>
        <w:rPr>
          <w:rFonts w:ascii="宋体" w:hAnsi="宋体"/>
          <w:color w:val="auto"/>
          <w:highlight w:val="none"/>
        </w:rPr>
      </w:pPr>
    </w:p>
    <w:p>
      <w:pPr>
        <w:spacing w:line="320" w:lineRule="exact"/>
        <w:jc w:val="center"/>
        <w:rPr>
          <w:rFonts w:ascii="宋体" w:hAnsi="宋体"/>
          <w:color w:val="auto"/>
          <w:sz w:val="28"/>
          <w:highlight w:val="none"/>
        </w:rPr>
      </w:pPr>
      <w:r>
        <w:rPr>
          <w:rFonts w:hint="eastAsia" w:ascii="宋体" w:hAnsi="宋体"/>
          <w:color w:val="auto"/>
          <w:sz w:val="28"/>
          <w:highlight w:val="none"/>
        </w:rPr>
        <w:t>问题澄清通知</w:t>
      </w:r>
    </w:p>
    <w:p>
      <w:pPr>
        <w:spacing w:line="192" w:lineRule="exact"/>
        <w:rPr>
          <w:rFonts w:ascii="宋体" w:hAnsi="宋体"/>
          <w:color w:val="auto"/>
          <w:highlight w:val="none"/>
        </w:rPr>
      </w:pPr>
    </w:p>
    <w:p>
      <w:pPr>
        <w:tabs>
          <w:tab w:val="left" w:pos="6020"/>
        </w:tabs>
        <w:spacing w:line="240" w:lineRule="exact"/>
        <w:ind w:left="3100"/>
        <w:rPr>
          <w:rFonts w:ascii="宋体" w:hAnsi="宋体"/>
          <w:color w:val="auto"/>
          <w:sz w:val="21"/>
          <w:highlight w:val="none"/>
        </w:rPr>
      </w:pPr>
      <w:r>
        <w:rPr>
          <w:rFonts w:hint="eastAsia" w:ascii="宋体" w:hAnsi="宋体"/>
          <w:color w:val="auto"/>
          <w:sz w:val="21"/>
          <w:highlight w:val="none"/>
        </w:rPr>
        <w:t>（编号：</w:t>
      </w:r>
      <w:r>
        <w:rPr>
          <w:rFonts w:ascii="宋体" w:hAnsi="宋体"/>
          <w:color w:val="auto"/>
          <w:highlight w:val="none"/>
        </w:rPr>
        <w:tab/>
      </w:r>
      <w:r>
        <w:rPr>
          <w:rFonts w:hint="eastAsia" w:ascii="宋体" w:hAnsi="宋体"/>
          <w:color w:val="auto"/>
          <w:sz w:val="21"/>
          <w:highlight w:val="none"/>
        </w:rPr>
        <w:t>）</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59264" behindDoc="1" locked="0" layoutInCell="0" allowOverlap="1">
                <wp:simplePos x="0" y="0"/>
                <wp:positionH relativeFrom="column">
                  <wp:posOffset>2505710</wp:posOffset>
                </wp:positionH>
                <wp:positionV relativeFrom="paragraph">
                  <wp:posOffset>6350</wp:posOffset>
                </wp:positionV>
                <wp:extent cx="1330960" cy="0"/>
                <wp:effectExtent l="0" t="0" r="0" b="0"/>
                <wp:wrapNone/>
                <wp:docPr id="1026" name="直线 45"/>
                <wp:cNvGraphicFramePr/>
                <a:graphic xmlns:a="http://schemas.openxmlformats.org/drawingml/2006/main">
                  <a:graphicData uri="http://schemas.microsoft.com/office/word/2010/wordprocessingShape">
                    <wps:wsp>
                      <wps:cNvCnPr/>
                      <wps:spPr>
                        <a:xfrm>
                          <a:off x="0" y="0"/>
                          <a:ext cx="1330960" cy="0"/>
                        </a:xfrm>
                        <a:prstGeom prst="line">
                          <a:avLst/>
                        </a:prstGeom>
                        <a:ln w="9144" cap="flat" cmpd="sng">
                          <a:solidFill>
                            <a:srgbClr val="000000"/>
                          </a:solidFill>
                          <a:prstDash val="solid"/>
                          <a:round/>
                        </a:ln>
                      </wps:spPr>
                      <wps:bodyPr/>
                    </wps:wsp>
                  </a:graphicData>
                </a:graphic>
              </wp:anchor>
            </w:drawing>
          </mc:Choice>
          <mc:Fallback>
            <w:pict>
              <v:line id="直线 45" o:spid="_x0000_s1026" o:spt="20" style="position:absolute;left:0pt;margin-left:197.3pt;margin-top:0.5pt;height:0pt;width:104.8pt;z-index:-251657216;mso-width-relative:page;mso-height-relative:page;" filled="f" stroked="t" coordsize="21600,21600" o:allowincell="f" o:gfxdata="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2Tb+zTAAAABwEAAA8AAAAAAAAAAQAgAAAAIgAAAGRycy9kb3ducmV2&#10;LnhtbFBLAQIUABQAAAAIAIdO4kA52lqDyAEAAIkDAAAOAAAAAAAAAAEAIAAAACIBAABkcnMvZTJv&#10;RG9jLnhtbFBLBQYAAAAABgAGAFkBAABcBQAAAAA=&#10;">
                <v:fill on="f" focussize="0,0"/>
                <v:stroke weight="0.72pt" color="#000000" joinstyle="round"/>
                <v:imagedata o:title=""/>
                <o:lock v:ext="edit" aspectratio="f"/>
              </v:line>
            </w:pict>
          </mc:Fallback>
        </mc:AlternateConten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19" w:lineRule="exact"/>
        <w:rPr>
          <w:rFonts w:ascii="宋体" w:hAnsi="宋体"/>
          <w:color w:val="auto"/>
          <w:highlight w:val="none"/>
        </w:rPr>
      </w:pPr>
    </w:p>
    <w:p>
      <w:pPr>
        <w:spacing w:line="240" w:lineRule="exact"/>
        <w:ind w:left="2560"/>
        <w:rPr>
          <w:rFonts w:ascii="宋体" w:hAnsi="宋体"/>
          <w:color w:val="auto"/>
          <w:sz w:val="21"/>
          <w:highlight w:val="none"/>
        </w:rPr>
      </w:pPr>
      <w:r>
        <w:rPr>
          <w:rFonts w:hint="eastAsia" w:ascii="宋体" w:hAnsi="宋体"/>
          <w:color w:val="auto"/>
          <w:sz w:val="21"/>
          <w:highlight w:val="none"/>
        </w:rPr>
        <w:t>（投标人名称）：</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60288" behindDoc="1" locked="0" layoutInCell="0" allowOverlap="1">
                <wp:simplePos x="0" y="0"/>
                <wp:positionH relativeFrom="column">
                  <wp:posOffset>228600</wp:posOffset>
                </wp:positionH>
                <wp:positionV relativeFrom="paragraph">
                  <wp:posOffset>635</wp:posOffset>
                </wp:positionV>
                <wp:extent cx="1400810" cy="0"/>
                <wp:effectExtent l="0" t="0" r="0" b="0"/>
                <wp:wrapNone/>
                <wp:docPr id="1027" name="直线 46"/>
                <wp:cNvGraphicFramePr/>
                <a:graphic xmlns:a="http://schemas.openxmlformats.org/drawingml/2006/main">
                  <a:graphicData uri="http://schemas.microsoft.com/office/word/2010/wordprocessingShape">
                    <wps:wsp>
                      <wps:cNvCnPr/>
                      <wps:spPr>
                        <a:xfrm>
                          <a:off x="0" y="0"/>
                          <a:ext cx="1400809" cy="0"/>
                        </a:xfrm>
                        <a:prstGeom prst="line">
                          <a:avLst/>
                        </a:prstGeom>
                        <a:ln w="6400" cap="flat" cmpd="sng">
                          <a:solidFill>
                            <a:srgbClr val="000000"/>
                          </a:solidFill>
                          <a:prstDash val="solid"/>
                          <a:round/>
                        </a:ln>
                      </wps:spPr>
                      <wps:bodyPr/>
                    </wps:wsp>
                  </a:graphicData>
                </a:graphic>
              </wp:anchor>
            </w:drawing>
          </mc:Choice>
          <mc:Fallback>
            <w:pict>
              <v:line id="直线 46" o:spid="_x0000_s1026" o:spt="20" style="position:absolute;left:0pt;margin-left:18pt;margin-top:0.05pt;height:0pt;width:110.3pt;z-index:-251656192;mso-width-relative:page;mso-height-relative:page;" filled="f" stroked="t" coordsize="21600,21600" o:allowincell="f" o:gfxdata="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xiVGDSAAAABAEAAA8AAAAAAAAAAQAgAAAAIgAAAGRycy9kb3ducmV2Lnht&#10;bFBLAQIUABQAAAAIAIdO4kAc/CJCxgEAAIkDAAAOAAAAAAAAAAEAIAAAACEBAABkcnMvZTJvRG9j&#10;LnhtbFBLBQYAAAAABgAGAFkBAABZBQAAAAA=&#10;">
                <v:fill on="f" focussize="0,0"/>
                <v:stroke weight="0.503937007874016pt" color="#000000" joinstyle="round"/>
                <v:imagedata o:title=""/>
                <o:lock v:ext="edit" aspectratio="f"/>
              </v:line>
            </w:pict>
          </mc:Fallback>
        </mc:AlternateConten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54" w:lineRule="exact"/>
        <w:rPr>
          <w:rFonts w:ascii="宋体" w:hAnsi="宋体"/>
          <w:color w:val="auto"/>
          <w:highlight w:val="none"/>
        </w:rPr>
      </w:pPr>
    </w:p>
    <w:p>
      <w:pPr>
        <w:spacing w:line="324" w:lineRule="exact"/>
        <w:ind w:left="360" w:right="360" w:firstLine="422"/>
        <w:rPr>
          <w:rFonts w:ascii="宋体" w:hAnsi="宋体"/>
          <w:color w:val="auto"/>
          <w:sz w:val="21"/>
          <w:highlight w:val="none"/>
        </w:rPr>
      </w:pPr>
      <w:r>
        <w:rPr>
          <w:rFonts w:hint="eastAsia" w:ascii="宋体" w:hAnsi="宋体"/>
          <w:color w:val="auto"/>
          <w:sz w:val="21"/>
          <w:highlight w:val="none"/>
        </w:rPr>
        <w:t>评标委员会对你方的投标文件进行了仔细的审查，现需你方对下列问题以书面形式予以澄清、说明或补正：</w: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55" w:lineRule="exact"/>
        <w:rPr>
          <w:rFonts w:ascii="宋体" w:hAnsi="宋体"/>
          <w:color w:val="auto"/>
          <w:highlight w:val="none"/>
        </w:rPr>
      </w:pPr>
    </w:p>
    <w:p>
      <w:pPr>
        <w:spacing w:line="240" w:lineRule="atLeast"/>
        <w:ind w:left="780"/>
        <w:rPr>
          <w:rFonts w:ascii="宋体" w:hAnsi="宋体"/>
          <w:color w:val="auto"/>
          <w:sz w:val="21"/>
          <w:highlight w:val="none"/>
        </w:rPr>
      </w:pPr>
      <w:r>
        <w:rPr>
          <w:rFonts w:ascii="宋体" w:hAnsi="宋体"/>
          <w:color w:val="auto"/>
          <w:sz w:val="21"/>
          <w:highlight w:val="none"/>
        </w:rPr>
        <w:t>1.</w:t>
      </w:r>
    </w:p>
    <w:p>
      <w:pPr>
        <w:spacing w:line="198" w:lineRule="exact"/>
        <w:rPr>
          <w:rFonts w:ascii="宋体" w:hAnsi="宋体"/>
          <w:color w:val="auto"/>
          <w:highlight w:val="none"/>
        </w:rPr>
      </w:pPr>
    </w:p>
    <w:p>
      <w:pPr>
        <w:spacing w:line="240" w:lineRule="atLeast"/>
        <w:ind w:left="780"/>
        <w:rPr>
          <w:rFonts w:ascii="宋体" w:hAnsi="宋体"/>
          <w:color w:val="auto"/>
          <w:sz w:val="21"/>
          <w:highlight w:val="none"/>
        </w:rPr>
      </w:pPr>
      <w:r>
        <w:rPr>
          <w:rFonts w:ascii="宋体" w:hAnsi="宋体"/>
          <w:color w:val="auto"/>
          <w:sz w:val="21"/>
          <w:highlight w:val="none"/>
        </w:rPr>
        <w:t>2.</w:t>
      </w:r>
    </w:p>
    <w:p>
      <w:pPr>
        <w:spacing w:line="201" w:lineRule="exact"/>
        <w:rPr>
          <w:rFonts w:ascii="宋体" w:hAnsi="宋体"/>
          <w:color w:val="auto"/>
          <w:highlight w:val="none"/>
        </w:rPr>
      </w:pPr>
    </w:p>
    <w:p>
      <w:pPr>
        <w:spacing w:line="240" w:lineRule="atLeast"/>
        <w:ind w:left="880"/>
        <w:rPr>
          <w:rFonts w:ascii="宋体" w:hAnsi="宋体"/>
          <w:color w:val="auto"/>
          <w:sz w:val="21"/>
          <w:highlight w:val="none"/>
        </w:rPr>
      </w:pPr>
      <w:r>
        <w:rPr>
          <w:rFonts w:ascii="宋体" w:hAnsi="宋体"/>
          <w:color w:val="auto"/>
          <w:sz w:val="21"/>
          <w:highlight w:val="none"/>
        </w:rPr>
        <w:t>......</w: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23" w:lineRule="exact"/>
        <w:rPr>
          <w:rFonts w:ascii="宋体" w:hAnsi="宋体"/>
          <w:color w:val="auto"/>
          <w:highlight w:val="none"/>
        </w:rPr>
      </w:pPr>
    </w:p>
    <w:p>
      <w:pPr>
        <w:tabs>
          <w:tab w:val="left" w:pos="4840"/>
          <w:tab w:val="left" w:pos="5780"/>
          <w:tab w:val="left" w:pos="6740"/>
          <w:tab w:val="left" w:pos="7680"/>
        </w:tabs>
        <w:spacing w:line="240" w:lineRule="exact"/>
        <w:ind w:left="760"/>
        <w:rPr>
          <w:rFonts w:ascii="宋体" w:hAnsi="宋体"/>
          <w:color w:val="auto"/>
          <w:highlight w:val="none"/>
        </w:rPr>
      </w:pPr>
      <w:r>
        <w:rPr>
          <w:rFonts w:hint="eastAsia" w:ascii="宋体" w:hAnsi="宋体"/>
          <w:color w:val="auto"/>
          <w:sz w:val="21"/>
          <w:highlight w:val="none"/>
        </w:rPr>
        <w:t>请将上述问题的澄清、说明或补正于</w:t>
      </w:r>
      <w:r>
        <w:rPr>
          <w:rFonts w:ascii="宋体" w:hAnsi="宋体"/>
          <w:color w:val="auto"/>
          <w:highlight w:val="none"/>
        </w:rPr>
        <w:tab/>
      </w:r>
      <w:r>
        <w:rPr>
          <w:rFonts w:hint="eastAsia" w:ascii="宋体" w:hAnsi="宋体"/>
          <w:color w:val="auto"/>
          <w:sz w:val="21"/>
          <w:highlight w:val="none"/>
        </w:rPr>
        <w:t>年</w:t>
      </w:r>
      <w:r>
        <w:rPr>
          <w:rFonts w:ascii="宋体" w:hAnsi="宋体"/>
          <w:color w:val="auto"/>
          <w:highlight w:val="none"/>
        </w:rPr>
        <w:tab/>
      </w:r>
      <w:r>
        <w:rPr>
          <w:rFonts w:hint="eastAsia" w:ascii="宋体" w:hAnsi="宋体"/>
          <w:color w:val="auto"/>
          <w:sz w:val="21"/>
          <w:highlight w:val="none"/>
        </w:rPr>
        <w:t>月</w:t>
      </w:r>
      <w:r>
        <w:rPr>
          <w:rFonts w:ascii="宋体" w:hAnsi="宋体"/>
          <w:color w:val="auto"/>
          <w:highlight w:val="none"/>
        </w:rPr>
        <w:tab/>
      </w:r>
      <w:r>
        <w:rPr>
          <w:rFonts w:hint="eastAsia" w:ascii="宋体" w:hAnsi="宋体"/>
          <w:color w:val="auto"/>
          <w:sz w:val="21"/>
          <w:highlight w:val="none"/>
        </w:rPr>
        <w:t>日</w:t>
      </w:r>
      <w:r>
        <w:rPr>
          <w:rFonts w:ascii="宋体" w:hAnsi="宋体"/>
          <w:color w:val="auto"/>
          <w:highlight w:val="none"/>
        </w:rPr>
        <w:tab/>
      </w:r>
      <w:r>
        <w:rPr>
          <w:rFonts w:hint="eastAsia" w:ascii="宋体" w:hAnsi="宋体"/>
          <w:color w:val="auto"/>
          <w:highlight w:val="none"/>
        </w:rPr>
        <w:t>时前递交至</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61312" behindDoc="1" locked="0" layoutInCell="0" allowOverlap="1">
                <wp:simplePos x="0" y="0"/>
                <wp:positionH relativeFrom="column">
                  <wp:posOffset>2621915</wp:posOffset>
                </wp:positionH>
                <wp:positionV relativeFrom="paragraph">
                  <wp:posOffset>0</wp:posOffset>
                </wp:positionV>
                <wp:extent cx="466090" cy="0"/>
                <wp:effectExtent l="0" t="0" r="0" b="0"/>
                <wp:wrapNone/>
                <wp:docPr id="1028" name="直线 47"/>
                <wp:cNvGraphicFramePr/>
                <a:graphic xmlns:a="http://schemas.openxmlformats.org/drawingml/2006/main">
                  <a:graphicData uri="http://schemas.microsoft.com/office/word/2010/wordprocessingShape">
                    <wps:wsp>
                      <wps:cNvCnPr/>
                      <wps:spPr>
                        <a:xfrm>
                          <a:off x="0" y="0"/>
                          <a:ext cx="466089" cy="0"/>
                        </a:xfrm>
                        <a:prstGeom prst="line">
                          <a:avLst/>
                        </a:prstGeom>
                        <a:ln w="6095" cap="flat" cmpd="sng">
                          <a:solidFill>
                            <a:srgbClr val="000000"/>
                          </a:solidFill>
                          <a:prstDash val="solid"/>
                          <a:round/>
                        </a:ln>
                      </wps:spPr>
                      <wps:bodyPr/>
                    </wps:wsp>
                  </a:graphicData>
                </a:graphic>
              </wp:anchor>
            </w:drawing>
          </mc:Choice>
          <mc:Fallback>
            <w:pict>
              <v:line id="直线 47" o:spid="_x0000_s1026" o:spt="20" style="position:absolute;left:0pt;margin-left:206.45pt;margin-top:0pt;height:0pt;width:36.7pt;z-index:-251655168;mso-width-relative:page;mso-height-relative:page;" filled="f" stroked="t" coordsize="21600,21600" o:allowincell="f" o:gfxdata="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kX6y0gAAAAUBAAAPAAAAAAAAAAEAIAAAACIAAABkcnMvZG93bnJldi54&#10;bWxQSwECFAAUAAAACACHTuJAAw16oscBAACIAwAADgAAAAAAAAABACAAAAAhAQAAZHJzL2Uyb0Rv&#10;Yy54bWxQSwUGAAAAAAYABgBZAQAAWgU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62336" behindDoc="1" locked="0" layoutInCell="0" allowOverlap="1">
                <wp:simplePos x="0" y="0"/>
                <wp:positionH relativeFrom="column">
                  <wp:posOffset>3221990</wp:posOffset>
                </wp:positionH>
                <wp:positionV relativeFrom="paragraph">
                  <wp:posOffset>0</wp:posOffset>
                </wp:positionV>
                <wp:extent cx="466725" cy="0"/>
                <wp:effectExtent l="0" t="0" r="0" b="0"/>
                <wp:wrapNone/>
                <wp:docPr id="1029" name="直线 48"/>
                <wp:cNvGraphicFramePr/>
                <a:graphic xmlns:a="http://schemas.openxmlformats.org/drawingml/2006/main">
                  <a:graphicData uri="http://schemas.microsoft.com/office/word/2010/wordprocessingShape">
                    <wps:wsp>
                      <wps:cNvCnPr/>
                      <wps:spPr>
                        <a:xfrm>
                          <a:off x="0" y="0"/>
                          <a:ext cx="466725" cy="0"/>
                        </a:xfrm>
                        <a:prstGeom prst="line">
                          <a:avLst/>
                        </a:prstGeom>
                        <a:ln w="6095" cap="flat" cmpd="sng">
                          <a:solidFill>
                            <a:srgbClr val="000000"/>
                          </a:solidFill>
                          <a:prstDash val="solid"/>
                          <a:round/>
                        </a:ln>
                      </wps:spPr>
                      <wps:bodyPr/>
                    </wps:wsp>
                  </a:graphicData>
                </a:graphic>
              </wp:anchor>
            </w:drawing>
          </mc:Choice>
          <mc:Fallback>
            <w:pict>
              <v:line id="直线 48" o:spid="_x0000_s1026" o:spt="20" style="position:absolute;left:0pt;margin-left:253.7pt;margin-top:0pt;height:0pt;width:36.75pt;z-index:-251654144;mso-width-relative:page;mso-height-relative:page;" filled="f" stroked="t" coordsize="21600,21600" o:allowincell="f" o:gfxdata="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E8t0gAAAAUBAAAPAAAAAAAAAAEAIAAAACIAAABkcnMvZG93bnJldi54&#10;bWxQSwECFAAUAAAACACHTuJAatAU7ccBAACIAwAADgAAAAAAAAABACAAAAAhAQAAZHJzL2Uyb0Rv&#10;Yy54bWxQSwUGAAAAAAYABgBZAQAAWgU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63360" behindDoc="1" locked="0" layoutInCell="0" allowOverlap="1">
                <wp:simplePos x="0" y="0"/>
                <wp:positionH relativeFrom="column">
                  <wp:posOffset>3822065</wp:posOffset>
                </wp:positionH>
                <wp:positionV relativeFrom="paragraph">
                  <wp:posOffset>0</wp:posOffset>
                </wp:positionV>
                <wp:extent cx="466725" cy="0"/>
                <wp:effectExtent l="0" t="0" r="0" b="0"/>
                <wp:wrapNone/>
                <wp:docPr id="1030" name="直线 49"/>
                <wp:cNvGraphicFramePr/>
                <a:graphic xmlns:a="http://schemas.openxmlformats.org/drawingml/2006/main">
                  <a:graphicData uri="http://schemas.microsoft.com/office/word/2010/wordprocessingShape">
                    <wps:wsp>
                      <wps:cNvCnPr/>
                      <wps:spPr>
                        <a:xfrm>
                          <a:off x="0" y="0"/>
                          <a:ext cx="466725" cy="0"/>
                        </a:xfrm>
                        <a:prstGeom prst="line">
                          <a:avLst/>
                        </a:prstGeom>
                        <a:ln w="6095" cap="flat" cmpd="sng">
                          <a:solidFill>
                            <a:srgbClr val="000000"/>
                          </a:solidFill>
                          <a:prstDash val="solid"/>
                          <a:round/>
                        </a:ln>
                      </wps:spPr>
                      <wps:bodyPr/>
                    </wps:wsp>
                  </a:graphicData>
                </a:graphic>
              </wp:anchor>
            </w:drawing>
          </mc:Choice>
          <mc:Fallback>
            <w:pict>
              <v:line id="直线 49" o:spid="_x0000_s1026" o:spt="20" style="position:absolute;left:0pt;margin-left:300.95pt;margin-top:0pt;height:0pt;width:36.75pt;z-index:-251653120;mso-width-relative:page;mso-height-relative:page;" filled="f" stroked="t" coordsize="21600,21600" o:allowincell="f" o:gfxdata="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TQSUdEAAAAFAQAADwAAAAAAAAABACAAAAAiAAAAZHJzL2Rvd25yZXYueG1s&#10;UEsBAhQAFAAAAAgAh07iQCboTr7GAQAAiAMAAA4AAAAAAAAAAQAgAAAAIAEAAGRycy9lMm9Eb2Mu&#10;eG1sUEsFBgAAAAAGAAYAWQEAAFgFA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64384" behindDoc="1" locked="0" layoutInCell="0" allowOverlap="1">
                <wp:simplePos x="0" y="0"/>
                <wp:positionH relativeFrom="column">
                  <wp:posOffset>4421505</wp:posOffset>
                </wp:positionH>
                <wp:positionV relativeFrom="paragraph">
                  <wp:posOffset>0</wp:posOffset>
                </wp:positionV>
                <wp:extent cx="466725" cy="0"/>
                <wp:effectExtent l="0" t="0" r="0" b="0"/>
                <wp:wrapNone/>
                <wp:docPr id="1031" name="直线 50"/>
                <wp:cNvGraphicFramePr/>
                <a:graphic xmlns:a="http://schemas.openxmlformats.org/drawingml/2006/main">
                  <a:graphicData uri="http://schemas.microsoft.com/office/word/2010/wordprocessingShape">
                    <wps:wsp>
                      <wps:cNvCnPr/>
                      <wps:spPr>
                        <a:xfrm>
                          <a:off x="0" y="0"/>
                          <a:ext cx="466725" cy="0"/>
                        </a:xfrm>
                        <a:prstGeom prst="line">
                          <a:avLst/>
                        </a:prstGeom>
                        <a:ln w="6095" cap="flat" cmpd="sng">
                          <a:solidFill>
                            <a:srgbClr val="000000"/>
                          </a:solidFill>
                          <a:prstDash val="solid"/>
                          <a:round/>
                        </a:ln>
                      </wps:spPr>
                      <wps:bodyPr/>
                    </wps:wsp>
                  </a:graphicData>
                </a:graphic>
              </wp:anchor>
            </w:drawing>
          </mc:Choice>
          <mc:Fallback>
            <w:pict>
              <v:line id="直线 50" o:spid="_x0000_s1026" o:spt="20" style="position:absolute;left:0pt;margin-left:348.15pt;margin-top:0pt;height:0pt;width:36.75pt;z-index:-251652096;mso-width-relative:page;mso-height-relative:page;" filled="f" stroked="t" coordsize="21600,21600" o:allowincell="f" o:gfxdata="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vw00QAAAAUBAAAPAAAAAAAAAAEAIAAAACIAAABkcnMvZG93bnJldi54bWxQ&#10;SwECFAAUAAAACACHTuJAxfYxq8UBAACIAwAADgAAAAAAAAABACAAAAAgAQAAZHJzL2Uyb0RvYy54&#10;bWxQSwUGAAAAAAYABgBZAQAAVwUAAAAA&#10;">
                <v:fill on="f" focussize="0,0"/>
                <v:stroke weight="0.47992125984252pt" color="#000000" joinstyle="round"/>
                <v:imagedata o:title=""/>
                <o:lock v:ext="edit" aspectratio="f"/>
              </v:line>
            </w:pict>
          </mc:Fallback>
        </mc:AlternateContent>
      </w:r>
    </w:p>
    <w:p>
      <w:pPr>
        <w:spacing w:line="182" w:lineRule="exact"/>
        <w:rPr>
          <w:rFonts w:ascii="宋体" w:hAnsi="宋体"/>
          <w:color w:val="auto"/>
          <w:highlight w:val="none"/>
        </w:rPr>
      </w:pPr>
    </w:p>
    <w:p>
      <w:pPr>
        <w:tabs>
          <w:tab w:val="left" w:pos="7540"/>
        </w:tabs>
        <w:spacing w:line="240" w:lineRule="exact"/>
        <w:ind w:left="3300"/>
        <w:jc w:val="both"/>
        <w:rPr>
          <w:rFonts w:ascii="宋体" w:hAnsi="宋体"/>
          <w:color w:val="auto"/>
          <w:sz w:val="21"/>
          <w:highlight w:val="none"/>
        </w:rPr>
      </w:pPr>
      <w:r>
        <w:rPr>
          <w:rFonts w:hint="eastAsia" w:ascii="宋体" w:hAnsi="宋体"/>
          <w:color w:val="auto"/>
          <w:sz w:val="21"/>
          <w:highlight w:val="none"/>
        </w:rPr>
        <w:t>（详细地址）或传真至</w:t>
      </w:r>
      <w:r>
        <w:rPr>
          <w:rFonts w:ascii="宋体" w:hAnsi="宋体"/>
          <w:color w:val="auto"/>
          <w:highlight w:val="none"/>
        </w:rPr>
        <w:tab/>
      </w:r>
      <w:r>
        <w:rPr>
          <w:rFonts w:hint="eastAsia" w:ascii="宋体" w:hAnsi="宋体"/>
          <w:color w:val="auto"/>
          <w:sz w:val="21"/>
          <w:highlight w:val="none"/>
        </w:rPr>
        <w:t>（传真号码）或</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65408" behindDoc="1" locked="0" layoutInCell="0" allowOverlap="1">
                <wp:simplePos x="0" y="0"/>
                <wp:positionH relativeFrom="column">
                  <wp:posOffset>228600</wp:posOffset>
                </wp:positionH>
                <wp:positionV relativeFrom="paragraph">
                  <wp:posOffset>0</wp:posOffset>
                </wp:positionV>
                <wp:extent cx="1866900" cy="0"/>
                <wp:effectExtent l="0" t="0" r="0" b="0"/>
                <wp:wrapNone/>
                <wp:docPr id="1032" name="直线 51"/>
                <wp:cNvGraphicFramePr/>
                <a:graphic xmlns:a="http://schemas.openxmlformats.org/drawingml/2006/main">
                  <a:graphicData uri="http://schemas.microsoft.com/office/word/2010/wordprocessingShape">
                    <wps:wsp>
                      <wps:cNvCnPr/>
                      <wps:spPr>
                        <a:xfrm>
                          <a:off x="0" y="0"/>
                          <a:ext cx="1866900" cy="0"/>
                        </a:xfrm>
                        <a:prstGeom prst="line">
                          <a:avLst/>
                        </a:prstGeom>
                        <a:ln w="6096" cap="flat" cmpd="sng">
                          <a:solidFill>
                            <a:srgbClr val="000000"/>
                          </a:solidFill>
                          <a:prstDash val="solid"/>
                          <a:round/>
                        </a:ln>
                      </wps:spPr>
                      <wps:bodyPr/>
                    </wps:wsp>
                  </a:graphicData>
                </a:graphic>
              </wp:anchor>
            </w:drawing>
          </mc:Choice>
          <mc:Fallback>
            <w:pict>
              <v:line id="直线 51" o:spid="_x0000_s1026" o:spt="20" style="position:absolute;left:0pt;margin-left:18pt;margin-top:0pt;height:0pt;width:147pt;z-index:-251651072;mso-width-relative:page;mso-height-relative:page;" filled="f" stroked="t" coordsize="21600,21600" o:allowincell="f" o:gfxdata="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2fGAHUAAAABAEAAA8AAAAAAAAAAQAgAAAAIgAAAGRycy9kb3ducmV2&#10;LnhtbFBLAQIUABQAAAAIAIdO4kDmRWRFxwEAAIkDAAAOAAAAAAAAAAEAIAAAACMBAABkcnMvZTJv&#10;RG9jLnhtbFBLBQYAAAAABgAGAFkBAABcBQAAAAA=&#10;">
                <v:fill on="f" focussize="0,0"/>
                <v:stroke weight="0.48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66432" behindDoc="1" locked="0" layoutInCell="0" allowOverlap="1">
                <wp:simplePos x="0" y="0"/>
                <wp:positionH relativeFrom="column">
                  <wp:posOffset>3414395</wp:posOffset>
                </wp:positionH>
                <wp:positionV relativeFrom="paragraph">
                  <wp:posOffset>0</wp:posOffset>
                </wp:positionV>
                <wp:extent cx="1398905" cy="0"/>
                <wp:effectExtent l="0" t="0" r="0" b="0"/>
                <wp:wrapNone/>
                <wp:docPr id="1033" name="直线 52"/>
                <wp:cNvGraphicFramePr/>
                <a:graphic xmlns:a="http://schemas.openxmlformats.org/drawingml/2006/main">
                  <a:graphicData uri="http://schemas.microsoft.com/office/word/2010/wordprocessingShape">
                    <wps:wsp>
                      <wps:cNvCnPr/>
                      <wps:spPr>
                        <a:xfrm>
                          <a:off x="0" y="0"/>
                          <a:ext cx="1398904" cy="0"/>
                        </a:xfrm>
                        <a:prstGeom prst="line">
                          <a:avLst/>
                        </a:prstGeom>
                        <a:ln w="6096" cap="flat" cmpd="sng">
                          <a:solidFill>
                            <a:srgbClr val="000000"/>
                          </a:solidFill>
                          <a:prstDash val="solid"/>
                          <a:round/>
                        </a:ln>
                      </wps:spPr>
                      <wps:bodyPr/>
                    </wps:wsp>
                  </a:graphicData>
                </a:graphic>
              </wp:anchor>
            </w:drawing>
          </mc:Choice>
          <mc:Fallback>
            <w:pict>
              <v:line id="直线 52" o:spid="_x0000_s1026" o:spt="20" style="position:absolute;left:0pt;margin-left:268.85pt;margin-top:0pt;height:0pt;width:110.15pt;z-index:-251650048;mso-width-relative:page;mso-height-relative:page;" filled="f" stroked="t" coordsize="21600,21600" o:allowincell="f" o:gfxdata="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AqmZtUAAAAFAQAADwAAAAAAAAABACAAAAAiAAAAZHJzL2Rvd25y&#10;ZXYueG1sUEsBAhQAFAAAAAgAh07iQCW0IhnIAQAAiQMAAA4AAAAAAAAAAQAgAAAAJAEAAGRycy9l&#10;Mm9Eb2MueG1sUEsFBgAAAAAGAAYAWQEAAF4FAAAAAA==&#10;">
                <v:fill on="f" focussize="0,0"/>
                <v:stroke weight="0.48pt" color="#000000" joinstyle="round"/>
                <v:imagedata o:title=""/>
                <o:lock v:ext="edit" aspectratio="f"/>
              </v:line>
            </w:pict>
          </mc:Fallback>
        </mc:AlternateContent>
      </w:r>
    </w:p>
    <w:p>
      <w:pPr>
        <w:spacing w:line="180" w:lineRule="exact"/>
        <w:rPr>
          <w:rFonts w:ascii="宋体" w:hAnsi="宋体"/>
          <w:color w:val="auto"/>
          <w:highlight w:val="none"/>
        </w:rPr>
      </w:pPr>
    </w:p>
    <w:p>
      <w:pPr>
        <w:tabs>
          <w:tab w:val="left" w:pos="7380"/>
          <w:tab w:val="left" w:pos="8320"/>
        </w:tabs>
        <w:spacing w:line="240" w:lineRule="exact"/>
        <w:ind w:left="360"/>
        <w:rPr>
          <w:rFonts w:ascii="宋体" w:hAnsi="宋体"/>
          <w:color w:val="auto"/>
          <w:sz w:val="21"/>
          <w:highlight w:val="none"/>
        </w:rPr>
      </w:pPr>
      <w:r>
        <w:rPr>
          <w:rFonts w:hint="eastAsia" w:ascii="宋体" w:hAnsi="宋体"/>
          <w:color w:val="auto"/>
          <w:sz w:val="21"/>
          <w:highlight w:val="none"/>
        </w:rPr>
        <w:t>通过下载招标文件的电子招标交易平台上传。采用传真方式的，应在</w:t>
      </w:r>
      <w:r>
        <w:rPr>
          <w:rFonts w:ascii="宋体" w:hAnsi="宋体"/>
          <w:color w:val="auto"/>
          <w:highlight w:val="none"/>
        </w:rPr>
        <w:tab/>
      </w:r>
      <w:r>
        <w:rPr>
          <w:rFonts w:hint="eastAsia" w:ascii="宋体" w:hAnsi="宋体"/>
          <w:color w:val="auto"/>
          <w:sz w:val="21"/>
          <w:highlight w:val="none"/>
        </w:rPr>
        <w:t>年</w:t>
      </w:r>
      <w:r>
        <w:rPr>
          <w:rFonts w:ascii="宋体" w:hAnsi="宋体"/>
          <w:color w:val="auto"/>
          <w:highlight w:val="none"/>
        </w:rPr>
        <w:tab/>
      </w:r>
      <w:r>
        <w:rPr>
          <w:rFonts w:hint="eastAsia" w:ascii="宋体" w:hAnsi="宋体"/>
          <w:color w:val="auto"/>
          <w:sz w:val="21"/>
          <w:highlight w:val="none"/>
        </w:rPr>
        <w:t>月</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67456" behindDoc="1" locked="0" layoutInCell="0" allowOverlap="1">
                <wp:simplePos x="0" y="0"/>
                <wp:positionH relativeFrom="column">
                  <wp:posOffset>4232910</wp:posOffset>
                </wp:positionH>
                <wp:positionV relativeFrom="paragraph">
                  <wp:posOffset>0</wp:posOffset>
                </wp:positionV>
                <wp:extent cx="464820" cy="0"/>
                <wp:effectExtent l="0" t="0" r="0" b="0"/>
                <wp:wrapNone/>
                <wp:docPr id="1034" name="直线 53"/>
                <wp:cNvGraphicFramePr/>
                <a:graphic xmlns:a="http://schemas.openxmlformats.org/drawingml/2006/main">
                  <a:graphicData uri="http://schemas.microsoft.com/office/word/2010/wordprocessingShape">
                    <wps:wsp>
                      <wps:cNvCnPr/>
                      <wps:spPr>
                        <a:xfrm>
                          <a:off x="0" y="0"/>
                          <a:ext cx="464820" cy="0"/>
                        </a:xfrm>
                        <a:prstGeom prst="line">
                          <a:avLst/>
                        </a:prstGeom>
                        <a:ln w="6096" cap="flat" cmpd="sng">
                          <a:solidFill>
                            <a:srgbClr val="000000"/>
                          </a:solidFill>
                          <a:prstDash val="solid"/>
                          <a:round/>
                        </a:ln>
                      </wps:spPr>
                      <wps:bodyPr/>
                    </wps:wsp>
                  </a:graphicData>
                </a:graphic>
              </wp:anchor>
            </w:drawing>
          </mc:Choice>
          <mc:Fallback>
            <w:pict>
              <v:line id="直线 53" o:spid="_x0000_s1026" o:spt="20" style="position:absolute;left:0pt;margin-left:333.3pt;margin-top:0pt;height:0pt;width:36.6pt;z-index:-251649024;mso-width-relative:page;mso-height-relative:page;" filled="f" stroked="t" coordsize="21600,21600" o:allowincell="f" o:gfxdata="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3mwtfUAAAABQEAAA8AAAAAAAAAAQAgAAAAIgAAAGRycy9kb3ducmV2&#10;LnhtbFBLAQIUABQAAAAIAIdO4kCJkA89xwEAAIgDAAAOAAAAAAAAAAEAIAAAACMBAABkcnMvZTJv&#10;RG9jLnhtbFBLBQYAAAAABgAGAFkBAABcBQAAAAA=&#10;">
                <v:fill on="f" focussize="0,0"/>
                <v:stroke weight="0.48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68480" behindDoc="1" locked="0" layoutInCell="0" allowOverlap="1">
                <wp:simplePos x="0" y="0"/>
                <wp:positionH relativeFrom="column">
                  <wp:posOffset>4831715</wp:posOffset>
                </wp:positionH>
                <wp:positionV relativeFrom="paragraph">
                  <wp:posOffset>0</wp:posOffset>
                </wp:positionV>
                <wp:extent cx="466725" cy="0"/>
                <wp:effectExtent l="0" t="0" r="0" b="0"/>
                <wp:wrapNone/>
                <wp:docPr id="1035" name="直线 54"/>
                <wp:cNvGraphicFramePr/>
                <a:graphic xmlns:a="http://schemas.openxmlformats.org/drawingml/2006/main">
                  <a:graphicData uri="http://schemas.microsoft.com/office/word/2010/wordprocessingShape">
                    <wps:wsp>
                      <wps:cNvCnPr/>
                      <wps:spPr>
                        <a:xfrm>
                          <a:off x="0" y="0"/>
                          <a:ext cx="466725" cy="0"/>
                        </a:xfrm>
                        <a:prstGeom prst="line">
                          <a:avLst/>
                        </a:prstGeom>
                        <a:ln w="6096" cap="flat" cmpd="sng">
                          <a:solidFill>
                            <a:srgbClr val="000000"/>
                          </a:solidFill>
                          <a:prstDash val="solid"/>
                          <a:round/>
                        </a:ln>
                      </wps:spPr>
                      <wps:bodyPr/>
                    </wps:wsp>
                  </a:graphicData>
                </a:graphic>
              </wp:anchor>
            </w:drawing>
          </mc:Choice>
          <mc:Fallback>
            <w:pict>
              <v:line id="直线 54" o:spid="_x0000_s1026" o:spt="20" style="position:absolute;left:0pt;margin-left:380.45pt;margin-top:0pt;height:0pt;width:36.75pt;z-index:-251648000;mso-width-relative:page;mso-height-relative:page;" filled="f" stroked="t" coordsize="21600,21600" o:allowincell="f" o:gfxdata="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Z1M1L1QAAAAUBAAAPAAAAAAAAAAEAIAAAACIAAABkcnMvZG93bnJl&#10;di54bWxQSwECFAAUAAAACACHTuJABNTcpMcBAACIAwAADgAAAAAAAAABACAAAAAkAQAAZHJzL2Uy&#10;b0RvYy54bWxQSwUGAAAAAAYABgBZAQAAXQUAAAAA&#10;">
                <v:fill on="f" focussize="0,0"/>
                <v:stroke weight="0.48pt" color="#000000" joinstyle="round"/>
                <v:imagedata o:title=""/>
                <o:lock v:ext="edit" aspectratio="f"/>
              </v:line>
            </w:pict>
          </mc:Fallback>
        </mc:AlternateContent>
      </w:r>
    </w:p>
    <w:p>
      <w:pPr>
        <w:spacing w:line="180" w:lineRule="exact"/>
        <w:rPr>
          <w:rFonts w:ascii="宋体" w:hAnsi="宋体"/>
          <w:color w:val="auto"/>
          <w:highlight w:val="none"/>
        </w:rPr>
      </w:pPr>
    </w:p>
    <w:p>
      <w:pPr>
        <w:tabs>
          <w:tab w:val="left" w:pos="2020"/>
          <w:tab w:val="left" w:pos="5900"/>
        </w:tabs>
        <w:spacing w:line="240" w:lineRule="exact"/>
        <w:ind w:left="1100"/>
        <w:rPr>
          <w:rFonts w:ascii="宋体" w:hAnsi="宋体"/>
          <w:color w:val="auto"/>
          <w:sz w:val="19"/>
          <w:highlight w:val="none"/>
        </w:rPr>
      </w:pPr>
      <w:r>
        <w:rPr>
          <w:rFonts w:hint="eastAsia" w:ascii="宋体" w:hAnsi="宋体"/>
          <w:color w:val="auto"/>
          <w:sz w:val="21"/>
          <w:highlight w:val="none"/>
        </w:rPr>
        <w:t>日</w:t>
      </w:r>
      <w:r>
        <w:rPr>
          <w:rFonts w:ascii="宋体" w:hAnsi="宋体"/>
          <w:color w:val="auto"/>
          <w:highlight w:val="none"/>
        </w:rPr>
        <w:tab/>
      </w:r>
      <w:r>
        <w:rPr>
          <w:rFonts w:hint="eastAsia" w:ascii="宋体" w:hAnsi="宋体"/>
          <w:color w:val="auto"/>
          <w:sz w:val="21"/>
          <w:highlight w:val="none"/>
        </w:rPr>
        <w:t>时前将原件递交至</w:t>
      </w:r>
      <w:r>
        <w:rPr>
          <w:rFonts w:ascii="宋体" w:hAnsi="宋体"/>
          <w:color w:val="auto"/>
          <w:highlight w:val="none"/>
        </w:rPr>
        <w:tab/>
      </w:r>
      <w:r>
        <w:rPr>
          <w:rFonts w:hint="eastAsia" w:ascii="宋体" w:hAnsi="宋体"/>
          <w:color w:val="auto"/>
          <w:sz w:val="19"/>
          <w:highlight w:val="none"/>
        </w:rPr>
        <w:t>（详细地址）。</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69504" behindDoc="1" locked="0" layoutInCell="0" allowOverlap="1">
                <wp:simplePos x="0" y="0"/>
                <wp:positionH relativeFrom="column">
                  <wp:posOffset>228600</wp:posOffset>
                </wp:positionH>
                <wp:positionV relativeFrom="paragraph">
                  <wp:posOffset>0</wp:posOffset>
                </wp:positionV>
                <wp:extent cx="467995" cy="0"/>
                <wp:effectExtent l="0" t="0" r="0" b="0"/>
                <wp:wrapNone/>
                <wp:docPr id="1036" name="直线 55"/>
                <wp:cNvGraphicFramePr/>
                <a:graphic xmlns:a="http://schemas.openxmlformats.org/drawingml/2006/main">
                  <a:graphicData uri="http://schemas.microsoft.com/office/word/2010/wordprocessingShape">
                    <wps:wsp>
                      <wps:cNvCnPr/>
                      <wps:spPr>
                        <a:xfrm>
                          <a:off x="0" y="0"/>
                          <a:ext cx="467994" cy="0"/>
                        </a:xfrm>
                        <a:prstGeom prst="line">
                          <a:avLst/>
                        </a:prstGeom>
                        <a:ln w="6095" cap="flat" cmpd="sng">
                          <a:solidFill>
                            <a:srgbClr val="000000"/>
                          </a:solidFill>
                          <a:prstDash val="solid"/>
                          <a:round/>
                        </a:ln>
                      </wps:spPr>
                      <wps:bodyPr/>
                    </wps:wsp>
                  </a:graphicData>
                </a:graphic>
              </wp:anchor>
            </w:drawing>
          </mc:Choice>
          <mc:Fallback>
            <w:pict>
              <v:line id="直线 55" o:spid="_x0000_s1026" o:spt="20" style="position:absolute;left:0pt;margin-left:18pt;margin-top:0pt;height:0pt;width:36.85pt;z-index:-251646976;mso-width-relative:page;mso-height-relative:page;" filled="f" stroked="t" coordsize="21600,21600" o:allowincell="f" o:gfxdata="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qOwq0QAAAAQBAAAPAAAAAAAAAAEAIAAAACIAAABkcnMvZG93bnJldi54&#10;bWxQSwECFAAUAAAACACHTuJAYEZlgsgBAACIAwAADgAAAAAAAAABACAAAAAgAQAAZHJzL2Uyb0Rv&#10;Yy54bWxQSwUGAAAAAAYABgBZAQAAWgU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70528" behindDoc="1" locked="0" layoutInCell="0" allowOverlap="1">
                <wp:simplePos x="0" y="0"/>
                <wp:positionH relativeFrom="column">
                  <wp:posOffset>830580</wp:posOffset>
                </wp:positionH>
                <wp:positionV relativeFrom="paragraph">
                  <wp:posOffset>0</wp:posOffset>
                </wp:positionV>
                <wp:extent cx="466090" cy="0"/>
                <wp:effectExtent l="0" t="0" r="0" b="0"/>
                <wp:wrapNone/>
                <wp:docPr id="1037" name="直线 56"/>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round/>
                        </a:ln>
                      </wps:spPr>
                      <wps:bodyPr/>
                    </wps:wsp>
                  </a:graphicData>
                </a:graphic>
              </wp:anchor>
            </w:drawing>
          </mc:Choice>
          <mc:Fallback>
            <w:pict>
              <v:line id="直线 56" o:spid="_x0000_s1026" o:spt="20" style="position:absolute;left:0pt;margin-left:65.4pt;margin-top:0pt;height:0pt;width:36.7pt;z-index:-251645952;mso-width-relative:page;mso-height-relative:page;" filled="f" stroked="t" coordsize="21600,21600" o:allowincell="f" o:gfxdata="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A7R40AAAAAUBAAAPAAAAAAAAAAEAIAAAACIAAABkcnMvZG93bnJldi54bWxQ&#10;SwECFAAUAAAACACHTuJARFyVOcYBAACIAwAADgAAAAAAAAABACAAAAAfAQAAZHJzL2Uyb0RvYy54&#10;bWxQSwUGAAAAAAYABgBZAQAAVwU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71552" behindDoc="1" locked="0" layoutInCell="0" allowOverlap="1">
                <wp:simplePos x="0" y="0"/>
                <wp:positionH relativeFrom="column">
                  <wp:posOffset>2364105</wp:posOffset>
                </wp:positionH>
                <wp:positionV relativeFrom="paragraph">
                  <wp:posOffset>0</wp:posOffset>
                </wp:positionV>
                <wp:extent cx="1400810" cy="0"/>
                <wp:effectExtent l="0" t="0" r="0" b="0"/>
                <wp:wrapNone/>
                <wp:docPr id="1038" name="直线 57"/>
                <wp:cNvGraphicFramePr/>
                <a:graphic xmlns:a="http://schemas.openxmlformats.org/drawingml/2006/main">
                  <a:graphicData uri="http://schemas.microsoft.com/office/word/2010/wordprocessingShape">
                    <wps:wsp>
                      <wps:cNvCnPr/>
                      <wps:spPr>
                        <a:xfrm>
                          <a:off x="0" y="0"/>
                          <a:ext cx="1400809" cy="0"/>
                        </a:xfrm>
                        <a:prstGeom prst="line">
                          <a:avLst/>
                        </a:prstGeom>
                        <a:ln w="6095" cap="flat" cmpd="sng">
                          <a:solidFill>
                            <a:srgbClr val="000000"/>
                          </a:solidFill>
                          <a:prstDash val="solid"/>
                          <a:round/>
                        </a:ln>
                      </wps:spPr>
                      <wps:bodyPr/>
                    </wps:wsp>
                  </a:graphicData>
                </a:graphic>
              </wp:anchor>
            </w:drawing>
          </mc:Choice>
          <mc:Fallback>
            <w:pict>
              <v:line id="直线 57" o:spid="_x0000_s1026" o:spt="20" style="position:absolute;left:0pt;margin-left:186.15pt;margin-top:0pt;height:0pt;width:110.3pt;z-index:-251644928;mso-width-relative:page;mso-height-relative:page;" filled="f" stroked="t" coordsize="21600,21600" o:allowincell="f" o:gfxdata="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dIytIAAAAFAQAADwAAAAAAAAABACAAAAAiAAAAZHJzL2Rvd25yZXYu&#10;eG1sUEsBAhQAFAAAAAgAh07iQGZuBXPIAQAAiQMAAA4AAAAAAAAAAQAgAAAAIQEAAGRycy9lMm9E&#10;b2MueG1sUEsFBgAAAAAGAAYAWQEAAFsFAAAAAA==&#10;">
                <v:fill on="f" focussize="0,0"/>
                <v:stroke weight="0.47992125984252pt" color="#000000" joinstyle="round"/>
                <v:imagedata o:title=""/>
                <o:lock v:ext="edit" aspectratio="f"/>
              </v:line>
            </w:pict>
          </mc:Fallback>
        </mc:AlternateConten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61" w:lineRule="exact"/>
        <w:rPr>
          <w:rFonts w:ascii="宋体" w:hAnsi="宋体"/>
          <w:color w:val="auto"/>
          <w:highlight w:val="none"/>
        </w:rPr>
      </w:pPr>
    </w:p>
    <w:p>
      <w:pPr>
        <w:tabs>
          <w:tab w:val="left" w:pos="7280"/>
        </w:tabs>
        <w:spacing w:line="240" w:lineRule="exact"/>
        <w:ind w:left="2460"/>
        <w:rPr>
          <w:rFonts w:ascii="宋体" w:hAnsi="宋体"/>
          <w:color w:val="auto"/>
          <w:sz w:val="21"/>
          <w:highlight w:val="none"/>
        </w:rPr>
      </w:pPr>
      <w:r>
        <w:rPr>
          <w:rFonts w:hint="eastAsia" w:ascii="宋体" w:hAnsi="宋体"/>
          <w:color w:val="auto"/>
          <w:sz w:val="21"/>
          <w:highlight w:val="none"/>
        </w:rPr>
        <w:t>评标委员会授权的招标人或招标代理机构：</w:t>
      </w:r>
      <w:r>
        <w:rPr>
          <w:rFonts w:ascii="宋体" w:hAnsi="宋体"/>
          <w:color w:val="auto"/>
          <w:highlight w:val="none"/>
        </w:rPr>
        <w:tab/>
      </w:r>
      <w:r>
        <w:rPr>
          <w:rFonts w:hint="eastAsia" w:ascii="宋体" w:hAnsi="宋体"/>
          <w:color w:val="auto"/>
          <w:sz w:val="21"/>
          <w:highlight w:val="none"/>
        </w:rPr>
        <w:t>（签字或盖章）</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71552" behindDoc="1" locked="0" layoutInCell="0" allowOverlap="1">
                <wp:simplePos x="0" y="0"/>
                <wp:positionH relativeFrom="column">
                  <wp:posOffset>4098925</wp:posOffset>
                </wp:positionH>
                <wp:positionV relativeFrom="paragraph">
                  <wp:posOffset>6350</wp:posOffset>
                </wp:positionV>
                <wp:extent cx="531495" cy="0"/>
                <wp:effectExtent l="0" t="0" r="0" b="0"/>
                <wp:wrapNone/>
                <wp:docPr id="1039" name="直线 58"/>
                <wp:cNvGraphicFramePr/>
                <a:graphic xmlns:a="http://schemas.openxmlformats.org/drawingml/2006/main">
                  <a:graphicData uri="http://schemas.microsoft.com/office/word/2010/wordprocessingShape">
                    <wps:wsp>
                      <wps:cNvCnPr/>
                      <wps:spPr>
                        <a:xfrm>
                          <a:off x="0" y="0"/>
                          <a:ext cx="531495" cy="0"/>
                        </a:xfrm>
                        <a:prstGeom prst="line">
                          <a:avLst/>
                        </a:prstGeom>
                        <a:ln w="9143" cap="flat" cmpd="sng">
                          <a:solidFill>
                            <a:srgbClr val="000000"/>
                          </a:solidFill>
                          <a:prstDash val="solid"/>
                          <a:round/>
                        </a:ln>
                      </wps:spPr>
                      <wps:bodyPr/>
                    </wps:wsp>
                  </a:graphicData>
                </a:graphic>
              </wp:anchor>
            </w:drawing>
          </mc:Choice>
          <mc:Fallback>
            <w:pict>
              <v:line id="直线 58" o:spid="_x0000_s1026" o:spt="20" style="position:absolute;left:0pt;margin-left:322.75pt;margin-top:0.5pt;height:0pt;width:41.85pt;z-index:-251644928;mso-width-relative:page;mso-height-relative:page;" filled="f" stroked="t" coordsize="21600,21600" o:allowincell="f" o:gfxdata="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9NsnNUAAAAHAQAADwAAAAAAAAABACAAAAAiAAAAZHJzL2Rvd25y&#10;ZXYueG1sUEsBAhQAFAAAAAgAh07iQPyTKEnIAQAAiAMAAA4AAAAAAAAAAQAgAAAAJAEAAGRycy9l&#10;Mm9Eb2MueG1sUEsFBgAAAAAGAAYAWQEAAF4FAAAAAA==&#10;">
                <v:fill on="f" focussize="0,0"/>
                <v:stroke weight="0.71992125984252pt" color="#000000" joinstyle="round"/>
                <v:imagedata o:title=""/>
                <o:lock v:ext="edit" aspectratio="f"/>
              </v:line>
            </w:pict>
          </mc:Fallback>
        </mc:AlternateConten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21" w:lineRule="exact"/>
        <w:rPr>
          <w:rFonts w:ascii="宋体" w:hAnsi="宋体"/>
          <w:color w:val="auto"/>
          <w:highlight w:val="none"/>
        </w:rPr>
      </w:pPr>
    </w:p>
    <w:p>
      <w:pPr>
        <w:tabs>
          <w:tab w:val="left" w:pos="6980"/>
          <w:tab w:val="left" w:pos="7940"/>
        </w:tabs>
        <w:spacing w:line="240" w:lineRule="exact"/>
        <w:ind w:left="6060"/>
        <w:rPr>
          <w:rFonts w:ascii="宋体" w:hAnsi="宋体"/>
          <w:color w:val="auto"/>
          <w:highlight w:val="none"/>
        </w:rPr>
      </w:pPr>
      <w:r>
        <w:rPr>
          <w:rFonts w:hint="eastAsia" w:ascii="宋体" w:hAnsi="宋体"/>
          <w:color w:val="auto"/>
          <w:sz w:val="21"/>
          <w:highlight w:val="none"/>
        </w:rPr>
        <w:t>年</w:t>
      </w:r>
      <w:r>
        <w:rPr>
          <w:rFonts w:ascii="宋体" w:hAnsi="宋体"/>
          <w:color w:val="auto"/>
          <w:highlight w:val="none"/>
        </w:rPr>
        <w:tab/>
      </w:r>
      <w:r>
        <w:rPr>
          <w:rFonts w:hint="eastAsia" w:ascii="宋体" w:hAnsi="宋体"/>
          <w:color w:val="auto"/>
          <w:sz w:val="21"/>
          <w:highlight w:val="none"/>
        </w:rPr>
        <w:t>月</w:t>
      </w:r>
      <w:r>
        <w:rPr>
          <w:rFonts w:ascii="宋体" w:hAnsi="宋体"/>
          <w:color w:val="auto"/>
          <w:highlight w:val="none"/>
        </w:rPr>
        <w:tab/>
      </w:r>
      <w:r>
        <w:rPr>
          <w:rFonts w:hint="eastAsia" w:ascii="宋体" w:hAnsi="宋体"/>
          <w:color w:val="auto"/>
          <w:highlight w:val="none"/>
        </w:rPr>
        <w:t>日</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72576" behindDoc="1" locked="0" layoutInCell="0" allowOverlap="1">
                <wp:simplePos x="0" y="0"/>
                <wp:positionH relativeFrom="column">
                  <wp:posOffset>3314700</wp:posOffset>
                </wp:positionH>
                <wp:positionV relativeFrom="paragraph">
                  <wp:posOffset>0</wp:posOffset>
                </wp:positionV>
                <wp:extent cx="535305" cy="0"/>
                <wp:effectExtent l="0" t="0" r="0" b="0"/>
                <wp:wrapNone/>
                <wp:docPr id="1040" name="直线 59"/>
                <wp:cNvGraphicFramePr/>
                <a:graphic xmlns:a="http://schemas.openxmlformats.org/drawingml/2006/main">
                  <a:graphicData uri="http://schemas.microsoft.com/office/word/2010/wordprocessingShape">
                    <wps:wsp>
                      <wps:cNvCnPr/>
                      <wps:spPr>
                        <a:xfrm>
                          <a:off x="0" y="0"/>
                          <a:ext cx="535304" cy="0"/>
                        </a:xfrm>
                        <a:prstGeom prst="line">
                          <a:avLst/>
                        </a:prstGeom>
                        <a:ln w="6095" cap="flat" cmpd="sng">
                          <a:solidFill>
                            <a:srgbClr val="000000"/>
                          </a:solidFill>
                          <a:prstDash val="solid"/>
                          <a:round/>
                        </a:ln>
                      </wps:spPr>
                      <wps:bodyPr/>
                    </wps:wsp>
                  </a:graphicData>
                </a:graphic>
              </wp:anchor>
            </w:drawing>
          </mc:Choice>
          <mc:Fallback>
            <w:pict>
              <v:line id="直线 59" o:spid="_x0000_s1026" o:spt="20" style="position:absolute;left:0pt;margin-left:261pt;margin-top:0pt;height:0pt;width:42.15pt;z-index:-251643904;mso-width-relative:page;mso-height-relative:page;" filled="f" stroked="t" coordsize="21600,21600" o:allowincell="f" o:gfxdata="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3dOI2dMAAAAFAQAADwAAAAAAAAABACAAAAAiAAAAZHJzL2Rvd25yZXYu&#10;eG1sUEsBAhQAFAAAAAgAh07iQMcbXNTHAQAAiAMAAA4AAAAAAAAAAQAgAAAAIgEAAGRycy9lMm9E&#10;b2MueG1sUEsFBgAAAAAGAAYAWQEAAFsFA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73600" behindDoc="1" locked="0" layoutInCell="0" allowOverlap="1">
                <wp:simplePos x="0" y="0"/>
                <wp:positionH relativeFrom="column">
                  <wp:posOffset>3982720</wp:posOffset>
                </wp:positionH>
                <wp:positionV relativeFrom="paragraph">
                  <wp:posOffset>0</wp:posOffset>
                </wp:positionV>
                <wp:extent cx="466725" cy="0"/>
                <wp:effectExtent l="0" t="0" r="0" b="0"/>
                <wp:wrapNone/>
                <wp:docPr id="1041" name="直线 60"/>
                <wp:cNvGraphicFramePr/>
                <a:graphic xmlns:a="http://schemas.openxmlformats.org/drawingml/2006/main">
                  <a:graphicData uri="http://schemas.microsoft.com/office/word/2010/wordprocessingShape">
                    <wps:wsp>
                      <wps:cNvCnPr/>
                      <wps:spPr>
                        <a:xfrm>
                          <a:off x="0" y="0"/>
                          <a:ext cx="466725" cy="0"/>
                        </a:xfrm>
                        <a:prstGeom prst="line">
                          <a:avLst/>
                        </a:prstGeom>
                        <a:ln w="6095" cap="flat" cmpd="sng">
                          <a:solidFill>
                            <a:srgbClr val="000000"/>
                          </a:solidFill>
                          <a:prstDash val="solid"/>
                          <a:round/>
                        </a:ln>
                      </wps:spPr>
                      <wps:bodyPr/>
                    </wps:wsp>
                  </a:graphicData>
                </a:graphic>
              </wp:anchor>
            </w:drawing>
          </mc:Choice>
          <mc:Fallback>
            <w:pict>
              <v:line id="直线 60" o:spid="_x0000_s1026" o:spt="20" style="position:absolute;left:0pt;margin-left:313.6pt;margin-top:0pt;height:0pt;width:36.75pt;z-index:-251642880;mso-width-relative:page;mso-height-relative:page;" filled="f" stroked="t" coordsize="21600,21600" o:allowincell="f" o:gfxdata="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9eOa7QAAAABQEAAA8AAAAAAAAAAQAgAAAAIgAAAGRycy9kb3ducmV2LnhtbFBL&#10;AQIUABQAAAAIAIdO4kBowMxqxQEAAIgDAAAOAAAAAAAAAAEAIAAAAB8BAABkcnMvZTJvRG9jLnht&#10;bFBLBQYAAAAABgAGAFkBAABWBQ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74624" behindDoc="1" locked="0" layoutInCell="0" allowOverlap="1">
                <wp:simplePos x="0" y="0"/>
                <wp:positionH relativeFrom="column">
                  <wp:posOffset>4583430</wp:posOffset>
                </wp:positionH>
                <wp:positionV relativeFrom="paragraph">
                  <wp:posOffset>0</wp:posOffset>
                </wp:positionV>
                <wp:extent cx="466090" cy="0"/>
                <wp:effectExtent l="0" t="0" r="0" b="0"/>
                <wp:wrapNone/>
                <wp:docPr id="1042" name="直线 61"/>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round/>
                        </a:ln>
                      </wps:spPr>
                      <wps:bodyPr/>
                    </wps:wsp>
                  </a:graphicData>
                </a:graphic>
              </wp:anchor>
            </w:drawing>
          </mc:Choice>
          <mc:Fallback>
            <w:pict>
              <v:line id="直线 61" o:spid="_x0000_s1026" o:spt="20" style="position:absolute;left:0pt;margin-left:360.9pt;margin-top:0pt;height:0pt;width:36.7pt;z-index:-251641856;mso-width-relative:page;mso-height-relative:page;" filled="f" stroked="t" coordsize="21600,21600" o:allowincell="f" o:gfxdata="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kXyNNIAAAAFAQAADwAAAAAAAAABACAAAAAiAAAAZHJzL2Rvd25yZXYueG1s&#10;UEsBAhQAFAAAAAgAh07iQDPphvbFAQAAiAMAAA4AAAAAAAAAAQAgAAAAIQEAAGRycy9lMm9Eb2Mu&#10;eG1sUEsFBgAAAAAGAAYAWQEAAFgFAAAAAA==&#10;">
                <v:fill on="f" focussize="0,0"/>
                <v:stroke weight="0.47992125984252pt" color="#000000" joinstyle="round"/>
                <v:imagedata o:title=""/>
                <o:lock v:ext="edit" aspectratio="f"/>
              </v:line>
            </w:pict>
          </mc:Fallback>
        </mc:AlternateConten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r>
        <w:rPr>
          <w:rFonts w:ascii="宋体" w:hAnsi="宋体"/>
          <w:color w:val="auto"/>
          <w:highlight w:val="none"/>
        </w:rPr>
        <w:br w:type="page"/>
      </w:r>
    </w:p>
    <w:p>
      <w:pPr>
        <w:spacing w:line="200" w:lineRule="exact"/>
        <w:rPr>
          <w:rFonts w:ascii="宋体" w:hAnsi="宋体"/>
          <w:color w:val="auto"/>
          <w:highlight w:val="none"/>
        </w:rPr>
      </w:pPr>
    </w:p>
    <w:p>
      <w:pPr>
        <w:spacing w:line="2" w:lineRule="exact"/>
        <w:rPr>
          <w:rFonts w:ascii="宋体" w:hAnsi="宋体"/>
          <w:color w:val="auto"/>
          <w:highlight w:val="none"/>
        </w:rPr>
      </w:pPr>
      <w:bookmarkStart w:id="443" w:name="page37"/>
      <w:bookmarkEnd w:id="443"/>
    </w:p>
    <w:p>
      <w:pPr>
        <w:spacing w:line="320" w:lineRule="exact"/>
        <w:ind w:left="499"/>
        <w:outlineLvl w:val="1"/>
        <w:rPr>
          <w:rFonts w:ascii="宋体" w:hAnsi="宋体"/>
          <w:color w:val="auto"/>
          <w:sz w:val="28"/>
          <w:highlight w:val="none"/>
        </w:rPr>
      </w:pPr>
      <w:bookmarkStart w:id="444" w:name="_Toc71854962"/>
      <w:bookmarkStart w:id="445" w:name="_Toc71855620"/>
      <w:bookmarkStart w:id="446" w:name="_Toc102907784"/>
      <w:bookmarkStart w:id="447" w:name="_Toc99970103"/>
      <w:bookmarkStart w:id="448" w:name="_Toc71376941"/>
      <w:bookmarkStart w:id="449" w:name="_Toc103022673"/>
      <w:bookmarkStart w:id="450" w:name="_Toc71854358"/>
      <w:bookmarkStart w:id="451" w:name="_Toc71855275"/>
      <w:r>
        <w:rPr>
          <w:rFonts w:hint="eastAsia" w:ascii="宋体" w:hAnsi="宋体"/>
          <w:color w:val="auto"/>
          <w:sz w:val="28"/>
          <w:highlight w:val="none"/>
        </w:rPr>
        <w:t>附件二：问题的澄清</w:t>
      </w:r>
      <w:bookmarkEnd w:id="444"/>
      <w:bookmarkEnd w:id="445"/>
      <w:bookmarkEnd w:id="446"/>
      <w:bookmarkEnd w:id="447"/>
      <w:bookmarkEnd w:id="448"/>
      <w:bookmarkEnd w:id="449"/>
      <w:bookmarkEnd w:id="450"/>
      <w:bookmarkEnd w:id="451"/>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1" w:lineRule="exact"/>
        <w:rPr>
          <w:rFonts w:ascii="宋体" w:hAnsi="宋体"/>
          <w:color w:val="auto"/>
          <w:highlight w:val="none"/>
        </w:rPr>
      </w:pPr>
    </w:p>
    <w:p>
      <w:pPr>
        <w:spacing w:line="320" w:lineRule="exact"/>
        <w:jc w:val="center"/>
        <w:rPr>
          <w:rFonts w:ascii="宋体" w:hAnsi="宋体"/>
          <w:color w:val="auto"/>
          <w:sz w:val="28"/>
          <w:highlight w:val="none"/>
        </w:rPr>
      </w:pPr>
      <w:r>
        <w:rPr>
          <w:rFonts w:hint="eastAsia" w:ascii="宋体" w:hAnsi="宋体"/>
          <w:color w:val="auto"/>
          <w:sz w:val="28"/>
          <w:highlight w:val="none"/>
        </w:rPr>
        <w:t>问题的澄清</w:t>
      </w:r>
    </w:p>
    <w:p>
      <w:pPr>
        <w:spacing w:line="149" w:lineRule="exact"/>
        <w:rPr>
          <w:rFonts w:ascii="宋体" w:hAnsi="宋体"/>
          <w:color w:val="auto"/>
          <w:highlight w:val="none"/>
        </w:rPr>
      </w:pPr>
    </w:p>
    <w:p>
      <w:pPr>
        <w:tabs>
          <w:tab w:val="left" w:pos="6180"/>
        </w:tabs>
        <w:spacing w:line="240" w:lineRule="exact"/>
        <w:ind w:left="3820"/>
        <w:rPr>
          <w:rFonts w:ascii="宋体" w:hAnsi="宋体"/>
          <w:color w:val="auto"/>
          <w:sz w:val="21"/>
          <w:highlight w:val="none"/>
        </w:rPr>
      </w:pPr>
      <w:r>
        <w:rPr>
          <w:rFonts w:hint="eastAsia" w:ascii="宋体" w:hAnsi="宋体"/>
          <w:color w:val="auto"/>
          <w:sz w:val="21"/>
          <w:highlight w:val="none"/>
        </w:rPr>
        <w:t>（编号：</w:t>
      </w:r>
      <w:r>
        <w:rPr>
          <w:rFonts w:ascii="宋体" w:hAnsi="宋体"/>
          <w:color w:val="auto"/>
          <w:highlight w:val="none"/>
        </w:rPr>
        <w:tab/>
      </w:r>
      <w:r>
        <w:rPr>
          <w:rFonts w:hint="eastAsia" w:ascii="宋体" w:hAnsi="宋体"/>
          <w:color w:val="auto"/>
          <w:sz w:val="21"/>
          <w:highlight w:val="none"/>
        </w:rPr>
        <w:t>）</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75648" behindDoc="1" locked="0" layoutInCell="0" allowOverlap="1">
                <wp:simplePos x="0" y="0"/>
                <wp:positionH relativeFrom="column">
                  <wp:posOffset>2964815</wp:posOffset>
                </wp:positionH>
                <wp:positionV relativeFrom="paragraph">
                  <wp:posOffset>6350</wp:posOffset>
                </wp:positionV>
                <wp:extent cx="976630" cy="0"/>
                <wp:effectExtent l="0" t="0" r="0" b="0"/>
                <wp:wrapNone/>
                <wp:docPr id="1043" name="直线 62"/>
                <wp:cNvGraphicFramePr/>
                <a:graphic xmlns:a="http://schemas.openxmlformats.org/drawingml/2006/main">
                  <a:graphicData uri="http://schemas.microsoft.com/office/word/2010/wordprocessingShape">
                    <wps:wsp>
                      <wps:cNvCnPr/>
                      <wps:spPr>
                        <a:xfrm>
                          <a:off x="0" y="0"/>
                          <a:ext cx="976629" cy="0"/>
                        </a:xfrm>
                        <a:prstGeom prst="line">
                          <a:avLst/>
                        </a:prstGeom>
                        <a:ln w="9144" cap="flat" cmpd="sng">
                          <a:solidFill>
                            <a:srgbClr val="000000"/>
                          </a:solidFill>
                          <a:prstDash val="solid"/>
                          <a:round/>
                        </a:ln>
                      </wps:spPr>
                      <wps:bodyPr/>
                    </wps:wsp>
                  </a:graphicData>
                </a:graphic>
              </wp:anchor>
            </w:drawing>
          </mc:Choice>
          <mc:Fallback>
            <w:pict>
              <v:line id="直线 62" o:spid="_x0000_s1026" o:spt="20" style="position:absolute;left:0pt;margin-left:233.45pt;margin-top:0.5pt;height:0pt;width:76.9pt;z-index:-251640832;mso-width-relative:page;mso-height-relative:page;" filled="f" stroked="t" coordsize="21600,21600" o:allowincell="f" o:gfxdata="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LwNaV0wAAAAcBAAAPAAAAAAAAAAEAIAAAACIAAABkcnMvZG93bnJldi54&#10;bWxQSwECFAAUAAAACACHTuJAsFdjy8YBAACIAwAADgAAAAAAAAABACAAAAAiAQAAZHJzL2Uyb0Rv&#10;Yy54bWxQSwUGAAAAAAYABgBZAQAAWgUAAAAA&#10;">
                <v:fill on="f" focussize="0,0"/>
                <v:stroke weight="0.72pt" color="#000000" joinstyle="round"/>
                <v:imagedata o:title=""/>
                <o:lock v:ext="edit" aspectratio="f"/>
              </v:line>
            </w:pict>
          </mc:Fallback>
        </mc:AlternateContent>
      </w:r>
    </w:p>
    <w:p>
      <w:pPr>
        <w:spacing w:line="200" w:lineRule="exact"/>
        <w:rPr>
          <w:rFonts w:ascii="宋体" w:hAnsi="宋体"/>
          <w:color w:val="auto"/>
          <w:highlight w:val="none"/>
        </w:rPr>
      </w:pPr>
    </w:p>
    <w:p>
      <w:pPr>
        <w:spacing w:line="376" w:lineRule="exact"/>
        <w:rPr>
          <w:rFonts w:ascii="宋体" w:hAnsi="宋体"/>
          <w:color w:val="auto"/>
          <w:highlight w:val="none"/>
        </w:rPr>
      </w:pPr>
    </w:p>
    <w:p>
      <w:pPr>
        <w:spacing w:line="240" w:lineRule="exact"/>
        <w:ind w:left="360"/>
        <w:rPr>
          <w:rFonts w:ascii="宋体" w:hAnsi="宋体"/>
          <w:color w:val="auto"/>
          <w:sz w:val="21"/>
          <w:highlight w:val="none"/>
        </w:rPr>
      </w:pPr>
      <w:r>
        <w:rPr>
          <w:rFonts w:hint="eastAsia" w:ascii="宋体" w:hAnsi="宋体"/>
          <w:color w:val="auto"/>
          <w:sz w:val="21"/>
          <w:highlight w:val="none"/>
        </w:rPr>
        <w:t>评标委员会：</w: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39" w:lineRule="exact"/>
        <w:rPr>
          <w:rFonts w:ascii="宋体" w:hAnsi="宋体"/>
          <w:color w:val="auto"/>
          <w:highlight w:val="none"/>
        </w:rPr>
      </w:pPr>
    </w:p>
    <w:p>
      <w:pPr>
        <w:tabs>
          <w:tab w:val="left" w:pos="3700"/>
        </w:tabs>
        <w:spacing w:line="240" w:lineRule="exact"/>
        <w:ind w:left="780"/>
        <w:rPr>
          <w:rFonts w:ascii="宋体" w:hAnsi="宋体"/>
          <w:color w:val="auto"/>
          <w:sz w:val="21"/>
          <w:highlight w:val="none"/>
        </w:rPr>
      </w:pPr>
      <w:r>
        <w:rPr>
          <w:rFonts w:hint="eastAsia" w:ascii="宋体" w:hAnsi="宋体"/>
          <w:color w:val="auto"/>
          <w:sz w:val="21"/>
          <w:highlight w:val="none"/>
        </w:rPr>
        <w:t>问题澄清通知（编号：</w:t>
      </w:r>
      <w:r>
        <w:rPr>
          <w:rFonts w:ascii="宋体" w:hAnsi="宋体"/>
          <w:color w:val="auto"/>
          <w:highlight w:val="none"/>
        </w:rPr>
        <w:tab/>
      </w:r>
      <w:r>
        <w:rPr>
          <w:rFonts w:hint="eastAsia" w:ascii="宋体" w:hAnsi="宋体"/>
          <w:color w:val="auto"/>
          <w:sz w:val="21"/>
          <w:highlight w:val="none"/>
        </w:rPr>
        <w:t>）已收悉，现澄清、说明或补正如下：</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76672" behindDoc="1" locked="0" layoutInCell="0" allowOverlap="1">
                <wp:simplePos x="0" y="0"/>
                <wp:positionH relativeFrom="column">
                  <wp:posOffset>1830705</wp:posOffset>
                </wp:positionH>
                <wp:positionV relativeFrom="paragraph">
                  <wp:posOffset>6350</wp:posOffset>
                </wp:positionV>
                <wp:extent cx="531495" cy="0"/>
                <wp:effectExtent l="0" t="0" r="0" b="0"/>
                <wp:wrapNone/>
                <wp:docPr id="1044" name="直线 63"/>
                <wp:cNvGraphicFramePr/>
                <a:graphic xmlns:a="http://schemas.openxmlformats.org/drawingml/2006/main">
                  <a:graphicData uri="http://schemas.microsoft.com/office/word/2010/wordprocessingShape">
                    <wps:wsp>
                      <wps:cNvCnPr/>
                      <wps:spPr>
                        <a:xfrm>
                          <a:off x="0" y="0"/>
                          <a:ext cx="531495" cy="0"/>
                        </a:xfrm>
                        <a:prstGeom prst="line">
                          <a:avLst/>
                        </a:prstGeom>
                        <a:ln w="9144" cap="flat" cmpd="sng">
                          <a:solidFill>
                            <a:srgbClr val="000000"/>
                          </a:solidFill>
                          <a:prstDash val="solid"/>
                          <a:round/>
                        </a:ln>
                      </wps:spPr>
                      <wps:bodyPr/>
                    </wps:wsp>
                  </a:graphicData>
                </a:graphic>
              </wp:anchor>
            </w:drawing>
          </mc:Choice>
          <mc:Fallback>
            <w:pict>
              <v:line id="直线 63" o:spid="_x0000_s1026" o:spt="20" style="position:absolute;left:0pt;margin-left:144.15pt;margin-top:0.5pt;height:0pt;width:41.85pt;z-index:-251639808;mso-width-relative:page;mso-height-relative:page;" filled="f" stroked="t" coordsize="21600,21600" o:allowincell="f" o:gfxdata="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4g3CbUAAAABwEAAA8AAAAAAAAAAQAgAAAAIgAAAGRycy9kb3ducmV2&#10;LnhtbFBLAQIUABQAAAAIAIdO4kAxhhPJxwEAAIgDAAAOAAAAAAAAAAEAIAAAACMBAABkcnMvZTJv&#10;RG9jLnhtbFBLBQYAAAAABgAGAFkBAABcBQAAAAA=&#10;">
                <v:fill on="f" focussize="0,0"/>
                <v:stroke weight="0.72pt" color="#000000" joinstyle="round"/>
                <v:imagedata o:title=""/>
                <o:lock v:ext="edit" aspectratio="f"/>
              </v:line>
            </w:pict>
          </mc:Fallback>
        </mc:AlternateContent>
      </w:r>
    </w:p>
    <w:p>
      <w:pPr>
        <w:spacing w:line="196" w:lineRule="exact"/>
        <w:rPr>
          <w:rFonts w:ascii="宋体" w:hAnsi="宋体"/>
          <w:color w:val="auto"/>
          <w:highlight w:val="none"/>
        </w:rPr>
      </w:pPr>
    </w:p>
    <w:p>
      <w:pPr>
        <w:spacing w:line="240" w:lineRule="atLeast"/>
        <w:ind w:left="1100"/>
        <w:rPr>
          <w:rFonts w:ascii="宋体" w:hAnsi="宋体"/>
          <w:color w:val="auto"/>
          <w:sz w:val="21"/>
          <w:highlight w:val="none"/>
        </w:rPr>
      </w:pPr>
      <w:r>
        <w:rPr>
          <w:rFonts w:ascii="宋体" w:hAnsi="宋体"/>
          <w:color w:val="auto"/>
          <w:sz w:val="21"/>
          <w:highlight w:val="none"/>
        </w:rPr>
        <w:t>1.</w:t>
      </w:r>
    </w:p>
    <w:p>
      <w:pPr>
        <w:spacing w:line="198" w:lineRule="exact"/>
        <w:rPr>
          <w:rFonts w:ascii="宋体" w:hAnsi="宋体"/>
          <w:color w:val="auto"/>
          <w:highlight w:val="none"/>
        </w:rPr>
      </w:pPr>
    </w:p>
    <w:p>
      <w:pPr>
        <w:spacing w:line="240" w:lineRule="atLeast"/>
        <w:ind w:left="1100"/>
        <w:rPr>
          <w:rFonts w:ascii="宋体" w:hAnsi="宋体"/>
          <w:color w:val="auto"/>
          <w:sz w:val="21"/>
          <w:highlight w:val="none"/>
        </w:rPr>
      </w:pPr>
      <w:r>
        <w:rPr>
          <w:rFonts w:ascii="宋体" w:hAnsi="宋体"/>
          <w:color w:val="auto"/>
          <w:sz w:val="21"/>
          <w:highlight w:val="none"/>
        </w:rPr>
        <w:t>2.</w:t>
      </w:r>
    </w:p>
    <w:p>
      <w:pPr>
        <w:spacing w:line="198" w:lineRule="exact"/>
        <w:rPr>
          <w:rFonts w:ascii="宋体" w:hAnsi="宋体"/>
          <w:color w:val="auto"/>
          <w:highlight w:val="none"/>
        </w:rPr>
      </w:pPr>
    </w:p>
    <w:p>
      <w:pPr>
        <w:spacing w:line="240" w:lineRule="atLeast"/>
        <w:ind w:left="1000"/>
        <w:rPr>
          <w:rFonts w:ascii="宋体" w:hAnsi="宋体"/>
          <w:color w:val="auto"/>
          <w:sz w:val="21"/>
          <w:highlight w:val="none"/>
        </w:rPr>
      </w:pPr>
      <w:r>
        <w:rPr>
          <w:rFonts w:ascii="宋体" w:hAnsi="宋体"/>
          <w:color w:val="auto"/>
          <w:sz w:val="21"/>
          <w:highlight w:val="none"/>
        </w:rPr>
        <w:t>.....</w: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306" w:lineRule="exact"/>
        <w:rPr>
          <w:rFonts w:ascii="宋体" w:hAnsi="宋体"/>
          <w:color w:val="auto"/>
          <w:highlight w:val="none"/>
        </w:rPr>
      </w:pPr>
    </w:p>
    <w:p>
      <w:pPr>
        <w:spacing w:line="240" w:lineRule="exact"/>
        <w:ind w:left="780"/>
        <w:rPr>
          <w:rFonts w:ascii="宋体" w:hAnsi="宋体"/>
          <w:color w:val="auto"/>
          <w:sz w:val="21"/>
          <w:highlight w:val="none"/>
        </w:rPr>
      </w:pPr>
      <w:r>
        <w:rPr>
          <w:rFonts w:hint="eastAsia" w:ascii="宋体" w:hAnsi="宋体"/>
          <w:color w:val="auto"/>
          <w:sz w:val="21"/>
          <w:highlight w:val="none"/>
        </w:rPr>
        <w:t>上述问题澄清、说明或补正，不改变我方投标文件的实质性内容，构成我方投标文件的组</w:t>
      </w:r>
    </w:p>
    <w:p>
      <w:pPr>
        <w:spacing w:line="200" w:lineRule="exact"/>
        <w:rPr>
          <w:rFonts w:ascii="宋体" w:hAnsi="宋体"/>
          <w:color w:val="auto"/>
          <w:highlight w:val="none"/>
        </w:rPr>
      </w:pPr>
    </w:p>
    <w:p>
      <w:pPr>
        <w:spacing w:line="240" w:lineRule="exact"/>
        <w:ind w:left="360"/>
        <w:rPr>
          <w:rFonts w:ascii="宋体" w:hAnsi="宋体"/>
          <w:color w:val="auto"/>
          <w:sz w:val="21"/>
          <w:highlight w:val="none"/>
        </w:rPr>
      </w:pPr>
      <w:r>
        <w:rPr>
          <w:rFonts w:hint="eastAsia" w:ascii="宋体" w:hAnsi="宋体"/>
          <w:color w:val="auto"/>
          <w:sz w:val="21"/>
          <w:highlight w:val="none"/>
        </w:rPr>
        <w:t>成部分。</w: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339" w:lineRule="exact"/>
        <w:rPr>
          <w:rFonts w:ascii="宋体" w:hAnsi="宋体"/>
          <w:color w:val="auto"/>
          <w:highlight w:val="none"/>
        </w:rPr>
      </w:pPr>
    </w:p>
    <w:p>
      <w:pPr>
        <w:tabs>
          <w:tab w:val="left" w:pos="7620"/>
        </w:tabs>
        <w:spacing w:line="240" w:lineRule="exact"/>
        <w:ind w:left="3300"/>
        <w:rPr>
          <w:rFonts w:ascii="宋体" w:hAnsi="宋体"/>
          <w:color w:val="auto"/>
          <w:sz w:val="21"/>
          <w:highlight w:val="none"/>
        </w:rPr>
      </w:pPr>
      <w:r>
        <w:rPr>
          <w:rFonts w:hint="eastAsia" w:ascii="宋体" w:hAnsi="宋体"/>
          <w:color w:val="auto"/>
          <w:sz w:val="21"/>
          <w:highlight w:val="none"/>
        </w:rPr>
        <w:t>投标人：</w:t>
      </w:r>
      <w:r>
        <w:rPr>
          <w:rFonts w:ascii="宋体" w:hAnsi="宋体"/>
          <w:color w:val="auto"/>
          <w:highlight w:val="none"/>
        </w:rPr>
        <w:tab/>
      </w:r>
      <w:r>
        <w:rPr>
          <w:rFonts w:hint="eastAsia" w:ascii="宋体" w:hAnsi="宋体"/>
          <w:color w:val="auto"/>
          <w:sz w:val="21"/>
          <w:highlight w:val="none"/>
        </w:rPr>
        <w:t>（盖单位章）</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77696" behindDoc="1" locked="0" layoutInCell="0" allowOverlap="1">
                <wp:simplePos x="0" y="0"/>
                <wp:positionH relativeFrom="column">
                  <wp:posOffset>2632075</wp:posOffset>
                </wp:positionH>
                <wp:positionV relativeFrom="paragraph">
                  <wp:posOffset>6350</wp:posOffset>
                </wp:positionV>
                <wp:extent cx="2220595" cy="0"/>
                <wp:effectExtent l="0" t="0" r="0" b="0"/>
                <wp:wrapNone/>
                <wp:docPr id="1045" name="直线 64"/>
                <wp:cNvGraphicFramePr/>
                <a:graphic xmlns:a="http://schemas.openxmlformats.org/drawingml/2006/main">
                  <a:graphicData uri="http://schemas.microsoft.com/office/word/2010/wordprocessingShape">
                    <wps:wsp>
                      <wps:cNvCnPr/>
                      <wps:spPr>
                        <a:xfrm>
                          <a:off x="0" y="0"/>
                          <a:ext cx="2220595" cy="0"/>
                        </a:xfrm>
                        <a:prstGeom prst="line">
                          <a:avLst/>
                        </a:prstGeom>
                        <a:ln w="9144" cap="flat" cmpd="sng">
                          <a:solidFill>
                            <a:srgbClr val="000000"/>
                          </a:solidFill>
                          <a:prstDash val="solid"/>
                          <a:round/>
                        </a:ln>
                      </wps:spPr>
                      <wps:bodyPr/>
                    </wps:wsp>
                  </a:graphicData>
                </a:graphic>
              </wp:anchor>
            </w:drawing>
          </mc:Choice>
          <mc:Fallback>
            <w:pict>
              <v:line id="直线 64" o:spid="_x0000_s1026" o:spt="20" style="position:absolute;left:0pt;margin-left:207.25pt;margin-top:0.5pt;height:0pt;width:174.85pt;z-index:-251638784;mso-width-relative:page;mso-height-relative:page;" filled="f" stroked="t" coordsize="21600,21600" o:allowincell="f" o:gfxdata="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9/f5NMAAAAHAQAADwAAAAAAAAABACAAAAAiAAAAZHJzL2Rvd25yZXYu&#10;eG1sUEsBAhQAFAAAAAgAh07iQBBfqyzHAQAAiQMAAA4AAAAAAAAAAQAgAAAAIgEAAGRycy9lMm9E&#10;b2MueG1sUEsFBgAAAAAGAAYAWQEAAFsFAAAAAA==&#10;">
                <v:fill on="f" focussize="0,0"/>
                <v:stroke weight="0.72pt" color="#000000" joinstyle="round"/>
                <v:imagedata o:title=""/>
                <o:lock v:ext="edit" aspectratio="f"/>
              </v:line>
            </w:pict>
          </mc:Fallback>
        </mc:AlternateContent>
      </w:r>
    </w:p>
    <w:p>
      <w:pPr>
        <w:spacing w:line="285" w:lineRule="exact"/>
        <w:rPr>
          <w:rFonts w:ascii="宋体" w:hAnsi="宋体"/>
          <w:color w:val="auto"/>
          <w:highlight w:val="none"/>
        </w:rPr>
      </w:pPr>
    </w:p>
    <w:p>
      <w:pPr>
        <w:tabs>
          <w:tab w:val="left" w:pos="6860"/>
        </w:tabs>
        <w:spacing w:line="240" w:lineRule="exact"/>
        <w:ind w:left="3300"/>
        <w:rPr>
          <w:rFonts w:ascii="宋体" w:hAnsi="宋体"/>
          <w:color w:val="auto"/>
          <w:sz w:val="21"/>
          <w:highlight w:val="none"/>
        </w:rPr>
      </w:pPr>
      <w:r>
        <w:rPr>
          <w:rFonts w:hint="eastAsia" w:ascii="宋体" w:hAnsi="宋体"/>
          <w:color w:val="auto"/>
          <w:sz w:val="21"/>
          <w:highlight w:val="none"/>
        </w:rPr>
        <w:t>法定代表人或其委托代理人：</w:t>
      </w:r>
      <w:r>
        <w:rPr>
          <w:rFonts w:ascii="宋体" w:hAnsi="宋体"/>
          <w:color w:val="auto"/>
          <w:highlight w:val="none"/>
        </w:rPr>
        <w:tab/>
      </w:r>
      <w:r>
        <w:rPr>
          <w:rFonts w:hint="eastAsia" w:ascii="宋体" w:hAnsi="宋体"/>
          <w:color w:val="auto"/>
          <w:sz w:val="21"/>
          <w:highlight w:val="none"/>
        </w:rPr>
        <w:t>（签字）</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78720" behindDoc="1" locked="0" layoutInCell="0" allowOverlap="1">
                <wp:simplePos x="0" y="0"/>
                <wp:positionH relativeFrom="column">
                  <wp:posOffset>3830320</wp:posOffset>
                </wp:positionH>
                <wp:positionV relativeFrom="paragraph">
                  <wp:posOffset>0</wp:posOffset>
                </wp:positionV>
                <wp:extent cx="533400" cy="0"/>
                <wp:effectExtent l="0" t="0" r="0" b="0"/>
                <wp:wrapNone/>
                <wp:docPr id="1046" name="直线 65"/>
                <wp:cNvGraphicFramePr/>
                <a:graphic xmlns:a="http://schemas.openxmlformats.org/drawingml/2006/main">
                  <a:graphicData uri="http://schemas.microsoft.com/office/word/2010/wordprocessingShape">
                    <wps:wsp>
                      <wps:cNvCnPr/>
                      <wps:spPr>
                        <a:xfrm>
                          <a:off x="0" y="0"/>
                          <a:ext cx="533400" cy="0"/>
                        </a:xfrm>
                        <a:prstGeom prst="line">
                          <a:avLst/>
                        </a:prstGeom>
                        <a:ln w="6095" cap="flat" cmpd="sng">
                          <a:solidFill>
                            <a:srgbClr val="000000"/>
                          </a:solidFill>
                          <a:prstDash val="solid"/>
                          <a:round/>
                        </a:ln>
                      </wps:spPr>
                      <wps:bodyPr/>
                    </wps:wsp>
                  </a:graphicData>
                </a:graphic>
              </wp:anchor>
            </w:drawing>
          </mc:Choice>
          <mc:Fallback>
            <w:pict>
              <v:line id="直线 65" o:spid="_x0000_s1026" o:spt="20" style="position:absolute;left:0pt;margin-left:301.6pt;margin-top:0pt;height:0pt;width:42pt;z-index:-251637760;mso-width-relative:page;mso-height-relative:page;" filled="f" stroked="t" coordsize="21600,21600" o:allowincell="f" o:gfxdata="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CVRWTRAAAABQEAAA8AAAAAAAAAAQAgAAAAIgAAAGRycy9kb3ducmV2Lnht&#10;bFBLAQIUABQAAAAIAIdO4kBJbHPrxwEAAIgDAAAOAAAAAAAAAAEAIAAAACABAABkcnMvZTJvRG9j&#10;LnhtbFBLBQYAAAAABgAGAFkBAABZBQAAAAA=&#10;">
                <v:fill on="f" focussize="0,0"/>
                <v:stroke weight="0.47992125984252pt" color="#000000" joinstyle="round"/>
                <v:imagedata o:title=""/>
                <o:lock v:ext="edit" aspectratio="f"/>
              </v:line>
            </w:pict>
          </mc:Fallback>
        </mc:AlternateConten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67" w:lineRule="exact"/>
        <w:rPr>
          <w:rFonts w:ascii="宋体" w:hAnsi="宋体"/>
          <w:color w:val="auto"/>
          <w:highlight w:val="none"/>
        </w:rPr>
      </w:pPr>
    </w:p>
    <w:p>
      <w:pPr>
        <w:tabs>
          <w:tab w:val="left" w:pos="7720"/>
          <w:tab w:val="left" w:pos="8780"/>
        </w:tabs>
        <w:spacing w:line="240" w:lineRule="exact"/>
        <w:ind w:left="6700"/>
        <w:jc w:val="both"/>
        <w:rPr>
          <w:rFonts w:ascii="宋体" w:hAnsi="宋体"/>
          <w:color w:val="auto"/>
          <w:highlight w:val="none"/>
        </w:rPr>
      </w:pPr>
      <w:r>
        <w:rPr>
          <w:rFonts w:hint="eastAsia" w:ascii="宋体" w:hAnsi="宋体"/>
          <w:color w:val="auto"/>
          <w:sz w:val="21"/>
          <w:highlight w:val="none"/>
        </w:rPr>
        <w:t>年</w:t>
      </w:r>
      <w:r>
        <w:rPr>
          <w:rFonts w:ascii="宋体" w:hAnsi="宋体"/>
          <w:color w:val="auto"/>
          <w:highlight w:val="none"/>
        </w:rPr>
        <w:tab/>
      </w:r>
      <w:r>
        <w:rPr>
          <w:rFonts w:hint="eastAsia" w:ascii="宋体" w:hAnsi="宋体"/>
          <w:color w:val="auto"/>
          <w:sz w:val="21"/>
          <w:highlight w:val="none"/>
        </w:rPr>
        <w:t>月</w:t>
      </w:r>
      <w:r>
        <w:rPr>
          <w:rFonts w:ascii="宋体" w:hAnsi="宋体"/>
          <w:color w:val="auto"/>
          <w:highlight w:val="none"/>
        </w:rPr>
        <w:tab/>
      </w:r>
      <w:r>
        <w:rPr>
          <w:rFonts w:hint="eastAsia" w:ascii="宋体" w:hAnsi="宋体"/>
          <w:color w:val="auto"/>
          <w:highlight w:val="none"/>
        </w:rPr>
        <w:t>日</w:t>
      </w:r>
    </w:p>
    <w:p>
      <w:pPr>
        <w:spacing w:line="20" w:lineRule="exact"/>
        <w:rPr>
          <w:rFonts w:ascii="宋体" w:hAnsi="宋体"/>
          <w:color w:val="auto"/>
          <w:highlight w:val="none"/>
        </w:rPr>
      </w:pPr>
      <w:r>
        <w:rPr>
          <w:rFonts w:ascii="宋体" w:hAnsi="宋体"/>
          <w:color w:val="auto"/>
          <w:highlight w:val="none"/>
        </w:rPr>
        <mc:AlternateContent>
          <mc:Choice Requires="wps">
            <w:drawing>
              <wp:anchor distT="0" distB="0" distL="0" distR="0" simplePos="0" relativeHeight="251679744" behindDoc="1" locked="0" layoutInCell="0" allowOverlap="1">
                <wp:simplePos x="0" y="0"/>
                <wp:positionH relativeFrom="column">
                  <wp:posOffset>3717925</wp:posOffset>
                </wp:positionH>
                <wp:positionV relativeFrom="paragraph">
                  <wp:posOffset>0</wp:posOffset>
                </wp:positionV>
                <wp:extent cx="533400" cy="0"/>
                <wp:effectExtent l="0" t="0" r="0" b="0"/>
                <wp:wrapNone/>
                <wp:docPr id="1047" name="直线 66"/>
                <wp:cNvGraphicFramePr/>
                <a:graphic xmlns:a="http://schemas.openxmlformats.org/drawingml/2006/main">
                  <a:graphicData uri="http://schemas.microsoft.com/office/word/2010/wordprocessingShape">
                    <wps:wsp>
                      <wps:cNvCnPr/>
                      <wps:spPr>
                        <a:xfrm>
                          <a:off x="0" y="0"/>
                          <a:ext cx="533400" cy="0"/>
                        </a:xfrm>
                        <a:prstGeom prst="line">
                          <a:avLst/>
                        </a:prstGeom>
                        <a:ln w="6095" cap="flat" cmpd="sng">
                          <a:solidFill>
                            <a:srgbClr val="000000"/>
                          </a:solidFill>
                          <a:prstDash val="solid"/>
                          <a:round/>
                        </a:ln>
                      </wps:spPr>
                      <wps:bodyPr/>
                    </wps:wsp>
                  </a:graphicData>
                </a:graphic>
              </wp:anchor>
            </w:drawing>
          </mc:Choice>
          <mc:Fallback>
            <w:pict>
              <v:line id="直线 66" o:spid="_x0000_s1026" o:spt="20" style="position:absolute;left:0pt;margin-left:292.75pt;margin-top:0pt;height:0pt;width:42pt;z-index:-251636736;mso-width-relative:page;mso-height-relative:page;" filled="f" stroked="t" coordsize="21600,21600" o:allowincell="f" o:gfxdata="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CnSZnRAAAABQEAAA8AAAAAAAAAAQAgAAAAIgAAAGRycy9kb3ducmV2Lnht&#10;bFBLAQIUABQAAAAIAIdO4kDIcWhCxwEAAIgDAAAOAAAAAAAAAAEAIAAAACABAABkcnMvZTJvRG9j&#10;LnhtbFBLBQYAAAAABgAGAFkBAABZBQ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80768" behindDoc="1" locked="0" layoutInCell="0" allowOverlap="1">
                <wp:simplePos x="0" y="0"/>
                <wp:positionH relativeFrom="column">
                  <wp:posOffset>4383405</wp:posOffset>
                </wp:positionH>
                <wp:positionV relativeFrom="paragraph">
                  <wp:posOffset>0</wp:posOffset>
                </wp:positionV>
                <wp:extent cx="533400" cy="0"/>
                <wp:effectExtent l="0" t="0" r="0" b="0"/>
                <wp:wrapNone/>
                <wp:docPr id="1048" name="直线 67"/>
                <wp:cNvGraphicFramePr/>
                <a:graphic xmlns:a="http://schemas.openxmlformats.org/drawingml/2006/main">
                  <a:graphicData uri="http://schemas.microsoft.com/office/word/2010/wordprocessingShape">
                    <wps:wsp>
                      <wps:cNvCnPr/>
                      <wps:spPr>
                        <a:xfrm>
                          <a:off x="0" y="0"/>
                          <a:ext cx="533400" cy="0"/>
                        </a:xfrm>
                        <a:prstGeom prst="line">
                          <a:avLst/>
                        </a:prstGeom>
                        <a:ln w="6095" cap="flat" cmpd="sng">
                          <a:solidFill>
                            <a:srgbClr val="000000"/>
                          </a:solidFill>
                          <a:prstDash val="solid"/>
                          <a:round/>
                        </a:ln>
                      </wps:spPr>
                      <wps:bodyPr/>
                    </wps:wsp>
                  </a:graphicData>
                </a:graphic>
              </wp:anchor>
            </w:drawing>
          </mc:Choice>
          <mc:Fallback>
            <w:pict>
              <v:line id="直线 67" o:spid="_x0000_s1026" o:spt="20" style="position:absolute;left:0pt;margin-left:345.15pt;margin-top:0pt;height:0pt;width:42pt;z-index:-251635712;mso-width-relative:page;mso-height-relative:page;" filled="f" stroked="t" coordsize="21600,21600" o:allowincell="f" o:gfxdata="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xDUxtEAAAAFAQAADwAAAAAAAAABACAAAAAiAAAAZHJzL2Rvd25yZXYueG1s&#10;UEsBAhQAFAAAAAgAh07iQDoXUT/GAQAAiAMAAA4AAAAAAAAAAQAgAAAAIAEAAGRycy9lMm9Eb2Mu&#10;eG1sUEsFBgAAAAAGAAYAWQEAAFgFAAAAAA==&#10;">
                <v:fill on="f" focussize="0,0"/>
                <v:stroke weight="0.47992125984252pt" color="#000000" joinstyle="round"/>
                <v:imagedata o:title=""/>
                <o:lock v:ext="edit" aspectratio="f"/>
              </v:line>
            </w:pict>
          </mc:Fallback>
        </mc:AlternateContent>
      </w:r>
      <w:r>
        <w:rPr>
          <w:rFonts w:ascii="宋体" w:hAnsi="宋体"/>
          <w:color w:val="auto"/>
          <w:highlight w:val="none"/>
        </w:rPr>
        <mc:AlternateContent>
          <mc:Choice Requires="wps">
            <w:drawing>
              <wp:anchor distT="0" distB="0" distL="0" distR="0" simplePos="0" relativeHeight="251681792" behindDoc="1" locked="0" layoutInCell="0" allowOverlap="1">
                <wp:simplePos x="0" y="0"/>
                <wp:positionH relativeFrom="column">
                  <wp:posOffset>5051425</wp:posOffset>
                </wp:positionH>
                <wp:positionV relativeFrom="paragraph">
                  <wp:posOffset>0</wp:posOffset>
                </wp:positionV>
                <wp:extent cx="532130" cy="0"/>
                <wp:effectExtent l="0" t="0" r="0" b="0"/>
                <wp:wrapNone/>
                <wp:docPr id="1049" name="直线 68"/>
                <wp:cNvGraphicFramePr/>
                <a:graphic xmlns:a="http://schemas.openxmlformats.org/drawingml/2006/main">
                  <a:graphicData uri="http://schemas.microsoft.com/office/word/2010/wordprocessingShape">
                    <wps:wsp>
                      <wps:cNvCnPr/>
                      <wps:spPr>
                        <a:xfrm>
                          <a:off x="0" y="0"/>
                          <a:ext cx="532129" cy="0"/>
                        </a:xfrm>
                        <a:prstGeom prst="line">
                          <a:avLst/>
                        </a:prstGeom>
                        <a:ln w="6095" cap="flat" cmpd="sng">
                          <a:solidFill>
                            <a:srgbClr val="000000"/>
                          </a:solidFill>
                          <a:prstDash val="solid"/>
                          <a:round/>
                        </a:ln>
                      </wps:spPr>
                      <wps:bodyPr/>
                    </wps:wsp>
                  </a:graphicData>
                </a:graphic>
              </wp:anchor>
            </w:drawing>
          </mc:Choice>
          <mc:Fallback>
            <w:pict>
              <v:line id="直线 68" o:spid="_x0000_s1026" o:spt="20" style="position:absolute;left:0pt;margin-left:397.75pt;margin-top:0pt;height:0pt;width:41.9pt;z-index:-251634688;mso-width-relative:page;mso-height-relative:page;" filled="f" stroked="t" coordsize="21600,21600" o:allowincell="f" o:gfxdata="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pXxO70gAAAAUBAAAPAAAAAAAAAAEAIAAAACIAAABkcnMvZG93bnJldi54&#10;bWxQSwECFAAUAAAACACHTuJA1cGZ4McBAACIAwAADgAAAAAAAAABACAAAAAhAQAAZHJzL2Uyb0Rv&#10;Yy54bWxQSwUGAAAAAAYABgBZAQAAWgUAAAAA&#10;">
                <v:fill on="f" focussize="0,0"/>
                <v:stroke weight="0.47992125984252pt" color="#000000" joinstyle="round"/>
                <v:imagedata o:title=""/>
                <o:lock v:ext="edit" aspectratio="f"/>
              </v:line>
            </w:pict>
          </mc:Fallback>
        </mc:AlternateContent>
      </w: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00" w:lineRule="exact"/>
        <w:rPr>
          <w:rFonts w:ascii="宋体" w:hAnsi="宋体"/>
          <w:color w:val="auto"/>
          <w:highlight w:val="none"/>
        </w:rPr>
      </w:pPr>
    </w:p>
    <w:p>
      <w:pPr>
        <w:spacing w:line="2" w:lineRule="exact"/>
        <w:rPr>
          <w:rFonts w:ascii="宋体" w:hAnsi="宋体"/>
          <w:color w:val="auto"/>
          <w:highlight w:val="none"/>
        </w:rPr>
      </w:pPr>
      <w:bookmarkStart w:id="452" w:name="page38"/>
      <w:bookmarkEnd w:id="452"/>
      <w:r>
        <w:rPr>
          <w:rFonts w:ascii="宋体" w:hAnsi="宋体"/>
          <w:color w:val="auto"/>
          <w:highlight w:val="none"/>
        </w:rPr>
        <w:br w:type="page"/>
      </w:r>
    </w:p>
    <w:p>
      <w:pPr>
        <w:rPr>
          <w:rFonts w:ascii="宋体" w:hAnsi="宋体"/>
          <w:color w:val="auto"/>
          <w:highlight w:val="none"/>
        </w:rPr>
      </w:pPr>
    </w:p>
    <w:p>
      <w:pPr>
        <w:numPr>
          <w:ilvl w:val="0"/>
          <w:numId w:val="14"/>
        </w:numPr>
        <w:jc w:val="center"/>
        <w:outlineLvl w:val="0"/>
        <w:rPr>
          <w:rFonts w:hAnsi="宋体"/>
          <w:color w:val="auto"/>
          <w:sz w:val="32"/>
          <w:szCs w:val="32"/>
          <w:highlight w:val="none"/>
        </w:rPr>
      </w:pPr>
      <w:bookmarkStart w:id="453" w:name="第三章__评标办法（综合评估法）"/>
      <w:bookmarkEnd w:id="453"/>
      <w:bookmarkStart w:id="454" w:name="bookmark2"/>
      <w:bookmarkEnd w:id="454"/>
      <w:bookmarkStart w:id="455" w:name="page39"/>
      <w:bookmarkEnd w:id="455"/>
      <w:bookmarkStart w:id="456" w:name="_Toc71855278"/>
      <w:bookmarkStart w:id="457" w:name="_Toc102907787"/>
      <w:bookmarkStart w:id="458" w:name="_Toc99970106"/>
      <w:bookmarkStart w:id="459" w:name="_Toc103022676"/>
      <w:bookmarkStart w:id="460" w:name="_Toc71855623"/>
      <w:bookmarkStart w:id="461" w:name="_Toc71854965"/>
      <w:bookmarkStart w:id="462" w:name="_Toc8460"/>
      <w:bookmarkStart w:id="463" w:name="_Toc71854361"/>
      <w:r>
        <w:rPr>
          <w:rFonts w:hint="eastAsia" w:hAnsi="宋体"/>
          <w:color w:val="auto"/>
          <w:sz w:val="32"/>
          <w:szCs w:val="32"/>
          <w:highlight w:val="none"/>
        </w:rPr>
        <w:t>评标办法（综合评估法）</w:t>
      </w:r>
      <w:bookmarkEnd w:id="456"/>
      <w:bookmarkEnd w:id="457"/>
      <w:bookmarkEnd w:id="458"/>
      <w:bookmarkEnd w:id="459"/>
      <w:bookmarkEnd w:id="460"/>
      <w:bookmarkEnd w:id="461"/>
      <w:bookmarkEnd w:id="462"/>
      <w:bookmarkEnd w:id="463"/>
    </w:p>
    <w:p>
      <w:pPr>
        <w:pStyle w:val="2"/>
        <w:jc w:val="both"/>
        <w:rPr>
          <w:color w:val="auto"/>
          <w:highlight w:val="none"/>
        </w:rPr>
      </w:pPr>
    </w:p>
    <w:p>
      <w:pPr>
        <w:pStyle w:val="5"/>
        <w:rPr>
          <w:rFonts w:hAnsi="宋体"/>
          <w:color w:val="auto"/>
          <w:sz w:val="24"/>
          <w:szCs w:val="24"/>
          <w:highlight w:val="none"/>
        </w:rPr>
      </w:pPr>
      <w:bookmarkStart w:id="464" w:name="_Toc71854966"/>
      <w:bookmarkStart w:id="465" w:name="_Toc71854362"/>
      <w:bookmarkStart w:id="466" w:name="_Toc103022677"/>
      <w:bookmarkStart w:id="467" w:name="_Toc71855624"/>
      <w:bookmarkStart w:id="468" w:name="_Toc102907788"/>
      <w:bookmarkStart w:id="469" w:name="_Toc71855279"/>
      <w:r>
        <w:rPr>
          <w:rFonts w:hint="eastAsia" w:hAnsi="宋体"/>
          <w:color w:val="auto"/>
          <w:sz w:val="24"/>
          <w:szCs w:val="24"/>
          <w:highlight w:val="none"/>
        </w:rPr>
        <w:t>评标办法前附表</w:t>
      </w:r>
      <w:bookmarkEnd w:id="464"/>
      <w:bookmarkEnd w:id="465"/>
      <w:bookmarkEnd w:id="466"/>
      <w:bookmarkEnd w:id="467"/>
      <w:bookmarkEnd w:id="468"/>
      <w:bookmarkEnd w:id="469"/>
    </w:p>
    <w:tbl>
      <w:tblPr>
        <w:tblStyle w:val="23"/>
        <w:tblW w:w="93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45"/>
        <w:gridCol w:w="681"/>
        <w:gridCol w:w="1779"/>
        <w:gridCol w:w="581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4" w:hRule="atLeast"/>
          <w:tblHeader/>
        </w:trPr>
        <w:tc>
          <w:tcPr>
            <w:tcW w:w="1045" w:type="dxa"/>
            <w:tcBorders>
              <w:tl2br w:val="nil"/>
              <w:tr2bl w:val="nil"/>
            </w:tcBorders>
            <w:vAlign w:val="center"/>
          </w:tcPr>
          <w:p>
            <w:pPr>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条款号</w:t>
            </w:r>
          </w:p>
        </w:tc>
        <w:tc>
          <w:tcPr>
            <w:tcW w:w="2460" w:type="dxa"/>
            <w:gridSpan w:val="2"/>
            <w:tcBorders>
              <w:tl2br w:val="nil"/>
              <w:tr2bl w:val="nil"/>
            </w:tcBorders>
            <w:vAlign w:val="center"/>
          </w:tcPr>
          <w:p>
            <w:pPr>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评审因素</w:t>
            </w:r>
          </w:p>
        </w:tc>
        <w:tc>
          <w:tcPr>
            <w:tcW w:w="5815" w:type="dxa"/>
            <w:tcBorders>
              <w:tl2br w:val="nil"/>
              <w:tr2bl w:val="nil"/>
            </w:tcBorders>
            <w:vAlign w:val="center"/>
          </w:tcPr>
          <w:p>
            <w:pPr>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评审标准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92" w:hRule="atLeast"/>
        </w:trPr>
        <w:tc>
          <w:tcPr>
            <w:tcW w:w="1045" w:type="dxa"/>
            <w:vMerge w:val="restart"/>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2.1.1</w:t>
            </w:r>
          </w:p>
        </w:tc>
        <w:tc>
          <w:tcPr>
            <w:tcW w:w="681" w:type="dxa"/>
            <w:vMerge w:val="restart"/>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形式评审标准</w:t>
            </w: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投标函签字盖章</w:t>
            </w:r>
          </w:p>
        </w:tc>
        <w:tc>
          <w:tcPr>
            <w:tcW w:w="5815" w:type="dxa"/>
            <w:tcBorders>
              <w:tl2br w:val="nil"/>
              <w:tr2bl w:val="nil"/>
            </w:tcBorders>
            <w:vAlign w:val="center"/>
          </w:tcPr>
          <w:p>
            <w:pPr>
              <w:rPr>
                <w:rFonts w:ascii="宋体" w:hAnsi="宋体" w:cs="宋体"/>
                <w:color w:val="auto"/>
                <w:sz w:val="21"/>
                <w:szCs w:val="21"/>
                <w:highlight w:val="none"/>
              </w:rPr>
            </w:pPr>
            <w:r>
              <w:rPr>
                <w:rFonts w:hint="eastAsia" w:ascii="宋体" w:hAnsi="宋体" w:cs="宋体"/>
                <w:color w:val="auto"/>
                <w:sz w:val="21"/>
                <w:szCs w:val="21"/>
                <w:highlight w:val="none"/>
              </w:rPr>
              <w:t>有法定代表人或其委托代理人签字和加盖单位章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2" w:hRule="atLeast"/>
        </w:trPr>
        <w:tc>
          <w:tcPr>
            <w:tcW w:w="1045" w:type="dxa"/>
            <w:vMerge w:val="continue"/>
            <w:tcBorders>
              <w:tl2br w:val="nil"/>
              <w:tr2bl w:val="nil"/>
            </w:tcBorders>
            <w:vAlign w:val="center"/>
          </w:tcPr>
          <w:p>
            <w:pPr>
              <w:jc w:val="center"/>
              <w:rPr>
                <w:rFonts w:ascii="宋体" w:hAnsi="宋体" w:cs="宋体"/>
                <w:color w:val="auto"/>
                <w:sz w:val="21"/>
                <w:szCs w:val="21"/>
                <w:highlight w:val="none"/>
              </w:rPr>
            </w:pPr>
          </w:p>
        </w:tc>
        <w:tc>
          <w:tcPr>
            <w:tcW w:w="681" w:type="dxa"/>
            <w:vMerge w:val="continue"/>
            <w:tcBorders>
              <w:tl2br w:val="nil"/>
              <w:tr2bl w:val="nil"/>
            </w:tcBorders>
            <w:vAlign w:val="center"/>
          </w:tcPr>
          <w:p>
            <w:pPr>
              <w:jc w:val="center"/>
              <w:rPr>
                <w:rFonts w:ascii="宋体" w:hAnsi="宋体" w:cs="宋体"/>
                <w:color w:val="auto"/>
                <w:sz w:val="21"/>
                <w:szCs w:val="21"/>
                <w:highlight w:val="none"/>
              </w:rPr>
            </w:pP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投标文件格式</w:t>
            </w:r>
          </w:p>
        </w:tc>
        <w:tc>
          <w:tcPr>
            <w:tcW w:w="5815" w:type="dxa"/>
            <w:tcBorders>
              <w:tl2br w:val="nil"/>
              <w:tr2bl w:val="nil"/>
            </w:tcBorders>
            <w:vAlign w:val="center"/>
          </w:tcPr>
          <w:p>
            <w:pPr>
              <w:rPr>
                <w:rFonts w:ascii="宋体" w:hAnsi="宋体" w:cs="宋体"/>
                <w:color w:val="auto"/>
                <w:sz w:val="21"/>
                <w:szCs w:val="21"/>
                <w:highlight w:val="none"/>
              </w:rPr>
            </w:pPr>
            <w:r>
              <w:rPr>
                <w:rFonts w:hint="eastAsia" w:ascii="宋体" w:hAnsi="宋体" w:cs="宋体"/>
                <w:color w:val="auto"/>
                <w:sz w:val="21"/>
                <w:szCs w:val="21"/>
                <w:highlight w:val="none"/>
              </w:rPr>
              <w:t>符合第五章“投标文件格式”的要求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2" w:hRule="atLeast"/>
        </w:trPr>
        <w:tc>
          <w:tcPr>
            <w:tcW w:w="1045" w:type="dxa"/>
            <w:vMerge w:val="continue"/>
            <w:tcBorders>
              <w:tl2br w:val="nil"/>
              <w:tr2bl w:val="nil"/>
            </w:tcBorders>
            <w:vAlign w:val="center"/>
          </w:tcPr>
          <w:p>
            <w:pPr>
              <w:jc w:val="center"/>
              <w:rPr>
                <w:rFonts w:ascii="宋体" w:hAnsi="宋体" w:cs="宋体"/>
                <w:color w:val="auto"/>
                <w:sz w:val="21"/>
                <w:szCs w:val="21"/>
                <w:highlight w:val="none"/>
              </w:rPr>
            </w:pPr>
          </w:p>
        </w:tc>
        <w:tc>
          <w:tcPr>
            <w:tcW w:w="681" w:type="dxa"/>
            <w:vMerge w:val="continue"/>
            <w:tcBorders>
              <w:tl2br w:val="nil"/>
              <w:tr2bl w:val="nil"/>
            </w:tcBorders>
            <w:vAlign w:val="center"/>
          </w:tcPr>
          <w:p>
            <w:pPr>
              <w:jc w:val="center"/>
              <w:rPr>
                <w:rFonts w:ascii="宋体" w:hAnsi="宋体" w:cs="宋体"/>
                <w:color w:val="auto"/>
                <w:sz w:val="21"/>
                <w:szCs w:val="21"/>
                <w:highlight w:val="none"/>
              </w:rPr>
            </w:pP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报价唯一</w:t>
            </w:r>
          </w:p>
        </w:tc>
        <w:tc>
          <w:tcPr>
            <w:tcW w:w="5815" w:type="dxa"/>
            <w:tcBorders>
              <w:tl2br w:val="nil"/>
              <w:tr2bl w:val="nil"/>
            </w:tcBorders>
            <w:vAlign w:val="center"/>
          </w:tcPr>
          <w:p>
            <w:pPr>
              <w:rPr>
                <w:rFonts w:ascii="宋体" w:hAnsi="宋体" w:cs="宋体"/>
                <w:color w:val="auto"/>
                <w:sz w:val="21"/>
                <w:szCs w:val="21"/>
                <w:highlight w:val="none"/>
              </w:rPr>
            </w:pPr>
            <w:r>
              <w:rPr>
                <w:rFonts w:hint="eastAsia" w:ascii="宋体" w:hAnsi="宋体" w:cs="宋体"/>
                <w:color w:val="auto"/>
                <w:sz w:val="21"/>
                <w:szCs w:val="21"/>
                <w:highlight w:val="none"/>
              </w:rPr>
              <w:t>只能有一个有效报价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9" w:hRule="atLeast"/>
        </w:trPr>
        <w:tc>
          <w:tcPr>
            <w:tcW w:w="1045" w:type="dxa"/>
            <w:vMerge w:val="restart"/>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2.1.2</w:t>
            </w:r>
          </w:p>
        </w:tc>
        <w:tc>
          <w:tcPr>
            <w:tcW w:w="2460" w:type="dxa"/>
            <w:gridSpan w:val="2"/>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资格评审标准</w:t>
            </w:r>
          </w:p>
        </w:tc>
        <w:tc>
          <w:tcPr>
            <w:tcW w:w="5815" w:type="dxa"/>
            <w:tcBorders>
              <w:tl2br w:val="nil"/>
              <w:tr2bl w:val="nil"/>
            </w:tcBorders>
            <w:vAlign w:val="center"/>
          </w:tcPr>
          <w:p>
            <w:pP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符合第一章“招标公告”第三点投标人资格要求</w:t>
            </w:r>
            <w:r>
              <w:rPr>
                <w:color w:val="auto"/>
                <w:sz w:val="21"/>
                <w:szCs w:val="21"/>
                <w:highlight w:val="none"/>
              </w:rPr>
              <w:t>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2" w:hRule="atLeast"/>
        </w:trPr>
        <w:tc>
          <w:tcPr>
            <w:tcW w:w="1045" w:type="dxa"/>
            <w:vMerge w:val="restart"/>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2.1.3</w:t>
            </w:r>
          </w:p>
        </w:tc>
        <w:tc>
          <w:tcPr>
            <w:tcW w:w="681" w:type="dxa"/>
            <w:vMerge w:val="restart"/>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符合性评审标准</w:t>
            </w: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投标内容</w:t>
            </w:r>
          </w:p>
        </w:tc>
        <w:tc>
          <w:tcPr>
            <w:tcW w:w="5815" w:type="dxa"/>
            <w:tcBorders>
              <w:tl2br w:val="nil"/>
              <w:tr2bl w:val="nil"/>
            </w:tcBorders>
            <w:vAlign w:val="center"/>
          </w:tcPr>
          <w:p>
            <w:pPr>
              <w:widowControl/>
              <w:rPr>
                <w:rFonts w:ascii="宋体" w:hAnsi="宋体" w:cs="宋体"/>
                <w:color w:val="auto"/>
                <w:sz w:val="21"/>
                <w:szCs w:val="21"/>
                <w:highlight w:val="none"/>
              </w:rPr>
            </w:pPr>
            <w:r>
              <w:rPr>
                <w:color w:val="auto"/>
                <w:sz w:val="21"/>
                <w:szCs w:val="21"/>
                <w:highlight w:val="none"/>
              </w:rPr>
              <w:t>符合第二章“投标人须知”第1.3.1项规定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2" w:hRule="atLeast"/>
        </w:trPr>
        <w:tc>
          <w:tcPr>
            <w:tcW w:w="1045" w:type="dxa"/>
            <w:vMerge w:val="continue"/>
            <w:tcBorders>
              <w:tl2br w:val="nil"/>
              <w:tr2bl w:val="nil"/>
            </w:tcBorders>
            <w:vAlign w:val="center"/>
          </w:tcPr>
          <w:p>
            <w:pPr>
              <w:jc w:val="center"/>
              <w:rPr>
                <w:rFonts w:ascii="宋体" w:hAnsi="宋体" w:cs="宋体"/>
                <w:color w:val="auto"/>
                <w:sz w:val="21"/>
                <w:szCs w:val="21"/>
                <w:highlight w:val="none"/>
              </w:rPr>
            </w:pPr>
          </w:p>
        </w:tc>
        <w:tc>
          <w:tcPr>
            <w:tcW w:w="681" w:type="dxa"/>
            <w:vMerge w:val="continue"/>
            <w:tcBorders>
              <w:tl2br w:val="nil"/>
              <w:tr2bl w:val="nil"/>
            </w:tcBorders>
            <w:vAlign w:val="center"/>
          </w:tcPr>
          <w:p>
            <w:pPr>
              <w:jc w:val="center"/>
              <w:rPr>
                <w:rFonts w:ascii="宋体" w:hAnsi="宋体" w:cs="宋体"/>
                <w:color w:val="auto"/>
                <w:sz w:val="21"/>
                <w:szCs w:val="21"/>
                <w:highlight w:val="none"/>
              </w:rPr>
            </w:pP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服务期限</w:t>
            </w:r>
          </w:p>
        </w:tc>
        <w:tc>
          <w:tcPr>
            <w:tcW w:w="5815" w:type="dxa"/>
            <w:tcBorders>
              <w:tl2br w:val="nil"/>
              <w:tr2bl w:val="nil"/>
            </w:tcBorders>
            <w:vAlign w:val="center"/>
          </w:tcPr>
          <w:p>
            <w:pPr>
              <w:widowControl/>
              <w:rPr>
                <w:rFonts w:ascii="宋体" w:hAnsi="宋体" w:cs="宋体"/>
                <w:color w:val="auto"/>
                <w:sz w:val="21"/>
                <w:szCs w:val="21"/>
                <w:highlight w:val="none"/>
              </w:rPr>
            </w:pPr>
            <w:r>
              <w:rPr>
                <w:color w:val="auto"/>
                <w:sz w:val="21"/>
                <w:szCs w:val="21"/>
                <w:highlight w:val="none"/>
              </w:rPr>
              <w:t>符合第二章“投标人须知”第1.3.2项规定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7" w:hRule="atLeast"/>
        </w:trPr>
        <w:tc>
          <w:tcPr>
            <w:tcW w:w="1045" w:type="dxa"/>
            <w:vMerge w:val="continue"/>
            <w:tcBorders>
              <w:tl2br w:val="nil"/>
              <w:tr2bl w:val="nil"/>
            </w:tcBorders>
            <w:vAlign w:val="center"/>
          </w:tcPr>
          <w:p>
            <w:pPr>
              <w:jc w:val="center"/>
              <w:rPr>
                <w:rFonts w:ascii="宋体" w:hAnsi="宋体" w:cs="宋体"/>
                <w:color w:val="auto"/>
                <w:sz w:val="21"/>
                <w:szCs w:val="21"/>
                <w:highlight w:val="none"/>
              </w:rPr>
            </w:pPr>
          </w:p>
        </w:tc>
        <w:tc>
          <w:tcPr>
            <w:tcW w:w="681" w:type="dxa"/>
            <w:vMerge w:val="continue"/>
            <w:tcBorders>
              <w:tl2br w:val="nil"/>
              <w:tr2bl w:val="nil"/>
            </w:tcBorders>
            <w:vAlign w:val="center"/>
          </w:tcPr>
          <w:p>
            <w:pPr>
              <w:jc w:val="center"/>
              <w:rPr>
                <w:rFonts w:ascii="宋体" w:hAnsi="宋体" w:cs="宋体"/>
                <w:color w:val="auto"/>
                <w:sz w:val="21"/>
                <w:szCs w:val="21"/>
                <w:highlight w:val="none"/>
              </w:rPr>
            </w:pP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质量标准</w:t>
            </w:r>
          </w:p>
        </w:tc>
        <w:tc>
          <w:tcPr>
            <w:tcW w:w="5815" w:type="dxa"/>
            <w:tcBorders>
              <w:tl2br w:val="nil"/>
              <w:tr2bl w:val="nil"/>
            </w:tcBorders>
            <w:vAlign w:val="center"/>
          </w:tcPr>
          <w:p>
            <w:pPr>
              <w:widowControl/>
              <w:rPr>
                <w:rFonts w:ascii="宋体" w:hAnsi="宋体" w:cs="宋体"/>
                <w:color w:val="auto"/>
                <w:sz w:val="21"/>
                <w:szCs w:val="21"/>
                <w:highlight w:val="none"/>
              </w:rPr>
            </w:pPr>
            <w:r>
              <w:rPr>
                <w:color w:val="auto"/>
                <w:sz w:val="21"/>
                <w:szCs w:val="21"/>
                <w:highlight w:val="none"/>
              </w:rPr>
              <w:t>符合第二章“投标人须知”第1.3.3项规定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2" w:hRule="atLeast"/>
        </w:trPr>
        <w:tc>
          <w:tcPr>
            <w:tcW w:w="1045" w:type="dxa"/>
            <w:vMerge w:val="continue"/>
            <w:tcBorders>
              <w:tl2br w:val="nil"/>
              <w:tr2bl w:val="nil"/>
            </w:tcBorders>
            <w:vAlign w:val="center"/>
          </w:tcPr>
          <w:p>
            <w:pPr>
              <w:jc w:val="center"/>
              <w:rPr>
                <w:rFonts w:ascii="宋体" w:hAnsi="宋体" w:cs="宋体"/>
                <w:color w:val="auto"/>
                <w:sz w:val="21"/>
                <w:szCs w:val="21"/>
                <w:highlight w:val="none"/>
              </w:rPr>
            </w:pPr>
          </w:p>
        </w:tc>
        <w:tc>
          <w:tcPr>
            <w:tcW w:w="681" w:type="dxa"/>
            <w:vMerge w:val="continue"/>
            <w:tcBorders>
              <w:tl2br w:val="nil"/>
              <w:tr2bl w:val="nil"/>
            </w:tcBorders>
            <w:vAlign w:val="center"/>
          </w:tcPr>
          <w:p>
            <w:pPr>
              <w:jc w:val="center"/>
              <w:rPr>
                <w:rFonts w:ascii="宋体" w:hAnsi="宋体" w:cs="宋体"/>
                <w:color w:val="auto"/>
                <w:sz w:val="21"/>
                <w:szCs w:val="21"/>
                <w:highlight w:val="none"/>
              </w:rPr>
            </w:pP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投标有效期</w:t>
            </w:r>
          </w:p>
        </w:tc>
        <w:tc>
          <w:tcPr>
            <w:tcW w:w="5815" w:type="dxa"/>
            <w:tcBorders>
              <w:tl2br w:val="nil"/>
              <w:tr2bl w:val="nil"/>
            </w:tcBorders>
            <w:vAlign w:val="center"/>
          </w:tcPr>
          <w:p>
            <w:pPr>
              <w:widowControl/>
              <w:rPr>
                <w:rFonts w:ascii="宋体" w:hAnsi="宋体" w:cs="宋体"/>
                <w:color w:val="auto"/>
                <w:sz w:val="21"/>
                <w:szCs w:val="21"/>
                <w:highlight w:val="none"/>
              </w:rPr>
            </w:pPr>
            <w:r>
              <w:rPr>
                <w:color w:val="auto"/>
                <w:sz w:val="21"/>
                <w:szCs w:val="21"/>
                <w:highlight w:val="none"/>
              </w:rPr>
              <w:t>符合第二章“投标人须知”第3.3.</w:t>
            </w:r>
            <w:r>
              <w:rPr>
                <w:rFonts w:hint="eastAsia"/>
                <w:color w:val="auto"/>
                <w:sz w:val="21"/>
                <w:szCs w:val="21"/>
                <w:highlight w:val="none"/>
              </w:rPr>
              <w:t>1</w:t>
            </w:r>
            <w:r>
              <w:rPr>
                <w:color w:val="auto"/>
                <w:sz w:val="21"/>
                <w:szCs w:val="21"/>
                <w:highlight w:val="none"/>
              </w:rPr>
              <w:t>项规定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trPr>
        <w:tc>
          <w:tcPr>
            <w:tcW w:w="1045" w:type="dxa"/>
            <w:vMerge w:val="continue"/>
            <w:tcBorders>
              <w:tl2br w:val="nil"/>
              <w:tr2bl w:val="nil"/>
            </w:tcBorders>
            <w:vAlign w:val="center"/>
          </w:tcPr>
          <w:p>
            <w:pPr>
              <w:jc w:val="center"/>
              <w:rPr>
                <w:rFonts w:ascii="宋体" w:hAnsi="宋体" w:cs="宋体"/>
                <w:color w:val="auto"/>
                <w:sz w:val="21"/>
                <w:szCs w:val="21"/>
                <w:highlight w:val="none"/>
              </w:rPr>
            </w:pPr>
          </w:p>
        </w:tc>
        <w:tc>
          <w:tcPr>
            <w:tcW w:w="681" w:type="dxa"/>
            <w:vMerge w:val="continue"/>
            <w:tcBorders>
              <w:tl2br w:val="nil"/>
              <w:tr2bl w:val="nil"/>
            </w:tcBorders>
            <w:vAlign w:val="center"/>
          </w:tcPr>
          <w:p>
            <w:pPr>
              <w:jc w:val="center"/>
              <w:rPr>
                <w:rFonts w:ascii="宋体" w:hAnsi="宋体" w:cs="宋体"/>
                <w:color w:val="auto"/>
                <w:sz w:val="21"/>
                <w:szCs w:val="21"/>
                <w:highlight w:val="none"/>
              </w:rPr>
            </w:pPr>
          </w:p>
        </w:tc>
        <w:tc>
          <w:tcPr>
            <w:tcW w:w="1779" w:type="dxa"/>
            <w:tcBorders>
              <w:tl2br w:val="nil"/>
              <w:tr2bl w:val="nil"/>
            </w:tcBorders>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投标保证金</w:t>
            </w:r>
          </w:p>
        </w:tc>
        <w:tc>
          <w:tcPr>
            <w:tcW w:w="5815" w:type="dxa"/>
            <w:tcBorders>
              <w:tl2br w:val="nil"/>
              <w:tr2bl w:val="nil"/>
            </w:tcBorders>
            <w:vAlign w:val="center"/>
          </w:tcPr>
          <w:p>
            <w:pPr>
              <w:widowControl/>
              <w:rPr>
                <w:rFonts w:ascii="宋体" w:hAnsi="宋体" w:cs="宋体"/>
                <w:color w:val="auto"/>
                <w:sz w:val="21"/>
                <w:szCs w:val="21"/>
                <w:highlight w:val="none"/>
              </w:rPr>
            </w:pPr>
            <w:r>
              <w:rPr>
                <w:color w:val="auto"/>
                <w:sz w:val="21"/>
                <w:szCs w:val="21"/>
                <w:highlight w:val="none"/>
              </w:rPr>
              <w:t>符合第二章“投标人须知”第3.4.1项规定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9" w:hRule="atLeast"/>
        </w:trPr>
        <w:tc>
          <w:tcPr>
            <w:tcW w:w="1045" w:type="dxa"/>
            <w:tcBorders>
              <w:tl2br w:val="nil"/>
              <w:tr2bl w:val="nil"/>
            </w:tcBorders>
            <w:vAlign w:val="center"/>
          </w:tcPr>
          <w:p>
            <w:pPr>
              <w:spacing w:line="400" w:lineRule="exact"/>
              <w:jc w:val="center"/>
              <w:rPr>
                <w:b/>
                <w:color w:val="auto"/>
                <w:sz w:val="21"/>
                <w:szCs w:val="21"/>
                <w:highlight w:val="none"/>
              </w:rPr>
            </w:pPr>
            <w:r>
              <w:rPr>
                <w:rFonts w:hint="eastAsia"/>
                <w:b/>
                <w:color w:val="auto"/>
                <w:sz w:val="21"/>
                <w:szCs w:val="21"/>
                <w:highlight w:val="none"/>
              </w:rPr>
              <w:t>条款号</w:t>
            </w:r>
          </w:p>
        </w:tc>
        <w:tc>
          <w:tcPr>
            <w:tcW w:w="2460" w:type="dxa"/>
            <w:gridSpan w:val="2"/>
            <w:tcBorders>
              <w:tl2br w:val="nil"/>
              <w:tr2bl w:val="nil"/>
            </w:tcBorders>
            <w:vAlign w:val="center"/>
          </w:tcPr>
          <w:p>
            <w:pPr>
              <w:spacing w:line="400" w:lineRule="exact"/>
              <w:jc w:val="center"/>
              <w:rPr>
                <w:b/>
                <w:color w:val="auto"/>
                <w:sz w:val="21"/>
                <w:szCs w:val="21"/>
                <w:highlight w:val="none"/>
              </w:rPr>
            </w:pPr>
            <w:r>
              <w:rPr>
                <w:rFonts w:hint="eastAsia"/>
                <w:b/>
                <w:color w:val="auto"/>
                <w:sz w:val="21"/>
                <w:szCs w:val="21"/>
                <w:highlight w:val="none"/>
              </w:rPr>
              <w:t>条款内容</w:t>
            </w:r>
          </w:p>
        </w:tc>
        <w:tc>
          <w:tcPr>
            <w:tcW w:w="5815" w:type="dxa"/>
            <w:tcBorders>
              <w:tl2br w:val="nil"/>
              <w:tr2bl w:val="nil"/>
            </w:tcBorders>
            <w:vAlign w:val="center"/>
          </w:tcPr>
          <w:p>
            <w:pPr>
              <w:spacing w:line="400" w:lineRule="exact"/>
              <w:jc w:val="center"/>
              <w:rPr>
                <w:b/>
                <w:color w:val="auto"/>
                <w:sz w:val="21"/>
                <w:szCs w:val="21"/>
                <w:highlight w:val="none"/>
              </w:rPr>
            </w:pPr>
            <w:r>
              <w:rPr>
                <w:rFonts w:hint="eastAsia"/>
                <w:b/>
                <w:color w:val="auto"/>
                <w:sz w:val="21"/>
                <w:szCs w:val="21"/>
                <w:highlight w:val="none"/>
              </w:rPr>
              <w:t>编列内容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6" w:hRule="atLeast"/>
        </w:trPr>
        <w:tc>
          <w:tcPr>
            <w:tcW w:w="1045" w:type="dxa"/>
            <w:tcBorders>
              <w:tl2br w:val="nil"/>
              <w:tr2bl w:val="nil"/>
            </w:tcBorders>
            <w:vAlign w:val="center"/>
          </w:tcPr>
          <w:p>
            <w:pPr>
              <w:spacing w:line="400" w:lineRule="exact"/>
              <w:jc w:val="center"/>
              <w:rPr>
                <w:color w:val="auto"/>
                <w:sz w:val="21"/>
                <w:szCs w:val="21"/>
                <w:highlight w:val="none"/>
              </w:rPr>
            </w:pPr>
            <w:r>
              <w:rPr>
                <w:color w:val="auto"/>
                <w:sz w:val="21"/>
                <w:szCs w:val="21"/>
                <w:highlight w:val="none"/>
              </w:rPr>
              <w:t>2.2.1</w:t>
            </w:r>
          </w:p>
        </w:tc>
        <w:tc>
          <w:tcPr>
            <w:tcW w:w="2460" w:type="dxa"/>
            <w:gridSpan w:val="2"/>
            <w:tcBorders>
              <w:tl2br w:val="nil"/>
              <w:tr2bl w:val="nil"/>
            </w:tcBorders>
            <w:vAlign w:val="center"/>
          </w:tcPr>
          <w:p>
            <w:pPr>
              <w:spacing w:line="400" w:lineRule="exact"/>
              <w:jc w:val="center"/>
              <w:rPr>
                <w:color w:val="auto"/>
                <w:sz w:val="21"/>
                <w:szCs w:val="21"/>
                <w:highlight w:val="none"/>
              </w:rPr>
            </w:pPr>
            <w:r>
              <w:rPr>
                <w:rFonts w:hint="eastAsia"/>
                <w:color w:val="auto"/>
                <w:sz w:val="21"/>
                <w:szCs w:val="21"/>
                <w:highlight w:val="none"/>
              </w:rPr>
              <w:t>分值构成</w:t>
            </w:r>
          </w:p>
          <w:p>
            <w:pPr>
              <w:spacing w:line="400" w:lineRule="exact"/>
              <w:jc w:val="center"/>
              <w:rPr>
                <w:color w:val="auto"/>
                <w:sz w:val="21"/>
                <w:szCs w:val="21"/>
                <w:highlight w:val="none"/>
              </w:rPr>
            </w:pPr>
            <w:r>
              <w:rPr>
                <w:color w:val="auto"/>
                <w:sz w:val="21"/>
                <w:szCs w:val="21"/>
                <w:highlight w:val="none"/>
              </w:rPr>
              <w:t>(</w:t>
            </w:r>
            <w:r>
              <w:rPr>
                <w:rFonts w:hint="eastAsia"/>
                <w:color w:val="auto"/>
                <w:sz w:val="21"/>
                <w:szCs w:val="21"/>
                <w:highlight w:val="none"/>
              </w:rPr>
              <w:t>总分</w:t>
            </w:r>
            <w:r>
              <w:rPr>
                <w:color w:val="auto"/>
                <w:sz w:val="21"/>
                <w:szCs w:val="21"/>
                <w:highlight w:val="none"/>
              </w:rPr>
              <w:t>100</w:t>
            </w:r>
            <w:r>
              <w:rPr>
                <w:rFonts w:hint="eastAsia"/>
                <w:color w:val="auto"/>
                <w:sz w:val="21"/>
                <w:szCs w:val="21"/>
                <w:highlight w:val="none"/>
              </w:rPr>
              <w:t>分</w:t>
            </w:r>
            <w:r>
              <w:rPr>
                <w:color w:val="auto"/>
                <w:sz w:val="21"/>
                <w:szCs w:val="21"/>
                <w:highlight w:val="none"/>
              </w:rPr>
              <w:t>)</w:t>
            </w:r>
          </w:p>
        </w:tc>
        <w:tc>
          <w:tcPr>
            <w:tcW w:w="5815" w:type="dxa"/>
            <w:tcBorders>
              <w:tl2br w:val="nil"/>
              <w:tr2bl w:val="nil"/>
            </w:tcBorders>
            <w:vAlign w:val="center"/>
          </w:tcPr>
          <w:p>
            <w:pPr>
              <w:spacing w:line="400" w:lineRule="exact"/>
              <w:rPr>
                <w:color w:val="auto"/>
                <w:sz w:val="21"/>
                <w:szCs w:val="21"/>
                <w:highlight w:val="none"/>
              </w:rPr>
            </w:pPr>
            <w:r>
              <w:rPr>
                <w:rFonts w:hint="eastAsia"/>
                <w:color w:val="auto"/>
                <w:sz w:val="21"/>
                <w:szCs w:val="21"/>
                <w:highlight w:val="none"/>
              </w:rPr>
              <w:t>商务标：</w:t>
            </w:r>
            <w:r>
              <w:rPr>
                <w:rFonts w:hint="eastAsia"/>
                <w:color w:val="auto"/>
                <w:sz w:val="21"/>
                <w:szCs w:val="21"/>
                <w:highlight w:val="none"/>
                <w:lang w:val="en-US" w:eastAsia="zh-CN"/>
              </w:rPr>
              <w:t>47</w:t>
            </w:r>
            <w:r>
              <w:rPr>
                <w:rFonts w:hint="eastAsia"/>
                <w:color w:val="auto"/>
                <w:sz w:val="21"/>
                <w:szCs w:val="21"/>
                <w:highlight w:val="none"/>
              </w:rPr>
              <w:t xml:space="preserve"> 分</w:t>
            </w:r>
          </w:p>
          <w:p>
            <w:pPr>
              <w:spacing w:line="400" w:lineRule="exact"/>
              <w:rPr>
                <w:color w:val="auto"/>
                <w:sz w:val="21"/>
                <w:szCs w:val="21"/>
                <w:highlight w:val="none"/>
              </w:rPr>
            </w:pPr>
            <w:r>
              <w:rPr>
                <w:rFonts w:hint="eastAsia"/>
                <w:color w:val="auto"/>
                <w:sz w:val="21"/>
                <w:szCs w:val="21"/>
                <w:highlight w:val="none"/>
              </w:rPr>
              <w:t>技术标：30 分</w:t>
            </w:r>
          </w:p>
          <w:p>
            <w:pPr>
              <w:spacing w:line="400" w:lineRule="exact"/>
              <w:rPr>
                <w:color w:val="auto"/>
                <w:sz w:val="21"/>
                <w:szCs w:val="21"/>
                <w:highlight w:val="none"/>
              </w:rPr>
            </w:pPr>
            <w:r>
              <w:rPr>
                <w:rFonts w:hint="eastAsia"/>
                <w:color w:val="auto"/>
                <w:sz w:val="21"/>
                <w:szCs w:val="21"/>
                <w:highlight w:val="none"/>
              </w:rPr>
              <w:t>投标报价：1</w:t>
            </w:r>
            <w:r>
              <w:rPr>
                <w:rFonts w:hint="eastAsia"/>
                <w:color w:val="auto"/>
                <w:sz w:val="21"/>
                <w:szCs w:val="21"/>
                <w:highlight w:val="none"/>
                <w:lang w:val="en-US" w:eastAsia="zh-CN"/>
              </w:rPr>
              <w:t>5</w:t>
            </w:r>
            <w:r>
              <w:rPr>
                <w:rFonts w:hint="eastAsia"/>
                <w:color w:val="auto"/>
                <w:sz w:val="21"/>
                <w:szCs w:val="21"/>
                <w:highlight w:val="none"/>
              </w:rPr>
              <w:t xml:space="preserve"> 分</w:t>
            </w:r>
          </w:p>
          <w:p>
            <w:pPr>
              <w:spacing w:line="400" w:lineRule="exact"/>
              <w:rPr>
                <w:color w:val="auto"/>
                <w:highlight w:val="none"/>
              </w:rPr>
            </w:pPr>
            <w:r>
              <w:rPr>
                <w:rFonts w:hint="eastAsia"/>
                <w:color w:val="auto"/>
                <w:sz w:val="21"/>
                <w:szCs w:val="21"/>
                <w:highlight w:val="none"/>
              </w:rPr>
              <w:t>信用评级：8</w:t>
            </w:r>
            <w:r>
              <w:rPr>
                <w:rFonts w:hint="eastAsia"/>
                <w:color w:val="auto"/>
                <w:sz w:val="21"/>
                <w:szCs w:val="21"/>
                <w:highlight w:val="none"/>
                <w:lang w:val="en-US" w:eastAsia="zh-CN"/>
              </w:rPr>
              <w:t xml:space="preserve"> </w:t>
            </w:r>
            <w:r>
              <w:rPr>
                <w:rFonts w:hint="eastAsia"/>
                <w:color w:val="auto"/>
                <w:sz w:val="21"/>
                <w:szCs w:val="21"/>
                <w:highlight w:val="none"/>
              </w:rPr>
              <w:t>分</w:t>
            </w:r>
          </w:p>
        </w:tc>
      </w:tr>
    </w:tbl>
    <w:p>
      <w:pPr>
        <w:rPr>
          <w:rFonts w:hAnsi="宋体"/>
          <w:color w:val="auto"/>
          <w:highlight w:val="none"/>
        </w:rPr>
      </w:pPr>
      <w:r>
        <w:rPr>
          <w:rFonts w:hint="eastAsia" w:hAnsi="宋体"/>
          <w:color w:val="auto"/>
          <w:highlight w:val="none"/>
        </w:rPr>
        <w:br w:type="page"/>
      </w:r>
    </w:p>
    <w:p>
      <w:pPr>
        <w:spacing w:line="360" w:lineRule="exact"/>
        <w:jc w:val="center"/>
        <w:rPr>
          <w:rFonts w:ascii="宋体" w:hAnsi="宋体"/>
          <w:b/>
          <w:color w:val="auto"/>
          <w:highlight w:val="none"/>
        </w:rPr>
      </w:pPr>
      <w:r>
        <w:rPr>
          <w:rFonts w:hint="eastAsia" w:ascii="宋体" w:hAnsi="宋体"/>
          <w:b/>
          <w:color w:val="auto"/>
          <w:highlight w:val="none"/>
        </w:rPr>
        <w:t>商务标部分（</w:t>
      </w:r>
      <w:r>
        <w:rPr>
          <w:rFonts w:hint="eastAsia" w:ascii="宋体" w:hAnsi="宋体"/>
          <w:b/>
          <w:color w:val="auto"/>
          <w:highlight w:val="none"/>
          <w:lang w:val="en-US" w:eastAsia="zh-CN"/>
        </w:rPr>
        <w:t>47</w:t>
      </w:r>
      <w:r>
        <w:rPr>
          <w:rFonts w:hint="eastAsia" w:ascii="宋体" w:hAnsi="宋体"/>
          <w:b/>
          <w:color w:val="auto"/>
          <w:highlight w:val="none"/>
        </w:rPr>
        <w:t>分）</w:t>
      </w:r>
    </w:p>
    <w:p>
      <w:pPr>
        <w:pStyle w:val="11"/>
        <w:kinsoku w:val="0"/>
        <w:overflowPunct w:val="0"/>
        <w:spacing w:before="2"/>
        <w:ind w:left="0" w:right="1166"/>
        <w:rPr>
          <w:rFonts w:hAnsi="宋体"/>
          <w:color w:val="auto"/>
          <w:highlight w:val="none"/>
        </w:rPr>
      </w:pPr>
    </w:p>
    <w:tbl>
      <w:tblPr>
        <w:tblStyle w:val="23"/>
        <w:tblpPr w:leftFromText="180" w:rightFromText="180" w:vertAnchor="text" w:tblpXSpec="center" w:tblpY="1"/>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372"/>
        <w:gridCol w:w="6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942" w:type="dxa"/>
            <w:vAlign w:val="center"/>
          </w:tcPr>
          <w:p>
            <w:pPr>
              <w:spacing w:line="360" w:lineRule="auto"/>
              <w:jc w:val="center"/>
              <w:rPr>
                <w:rFonts w:ascii="宋体" w:hAnsi="宋体"/>
                <w:b/>
                <w:color w:val="auto"/>
                <w:highlight w:val="none"/>
              </w:rPr>
            </w:pPr>
            <w:bookmarkStart w:id="470" w:name="_Hlk115080519"/>
            <w:r>
              <w:rPr>
                <w:rFonts w:hint="eastAsia" w:ascii="宋体" w:hAnsi="宋体"/>
                <w:b/>
                <w:color w:val="auto"/>
                <w:highlight w:val="none"/>
              </w:rPr>
              <w:t>条款号</w:t>
            </w:r>
          </w:p>
        </w:tc>
        <w:tc>
          <w:tcPr>
            <w:tcW w:w="1372" w:type="dxa"/>
            <w:vAlign w:val="center"/>
          </w:tcPr>
          <w:p>
            <w:pPr>
              <w:spacing w:line="360" w:lineRule="auto"/>
              <w:jc w:val="center"/>
              <w:rPr>
                <w:rFonts w:ascii="宋体" w:hAnsi="宋体"/>
                <w:b/>
                <w:color w:val="auto"/>
                <w:highlight w:val="none"/>
              </w:rPr>
            </w:pPr>
            <w:r>
              <w:rPr>
                <w:rFonts w:hint="eastAsia" w:ascii="宋体" w:hAnsi="宋体"/>
                <w:b/>
                <w:color w:val="auto"/>
                <w:highlight w:val="none"/>
              </w:rPr>
              <w:t>评审内容</w:t>
            </w:r>
          </w:p>
        </w:tc>
        <w:tc>
          <w:tcPr>
            <w:tcW w:w="6915" w:type="dxa"/>
            <w:vAlign w:val="center"/>
          </w:tcPr>
          <w:p>
            <w:pPr>
              <w:spacing w:line="360" w:lineRule="auto"/>
              <w:jc w:val="center"/>
              <w:rPr>
                <w:rFonts w:ascii="宋体" w:hAnsi="宋体"/>
                <w:b/>
                <w:color w:val="auto"/>
                <w:highlight w:val="none"/>
              </w:rPr>
            </w:pPr>
            <w:r>
              <w:rPr>
                <w:rFonts w:hint="eastAsia" w:ascii="宋体" w:hAnsi="宋体"/>
                <w:b/>
                <w:color w:val="auto"/>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9" w:hRule="atLeast"/>
          <w:tblHeader/>
          <w:jc w:val="center"/>
        </w:trPr>
        <w:tc>
          <w:tcPr>
            <w:tcW w:w="942" w:type="dxa"/>
            <w:vMerge w:val="restart"/>
            <w:vAlign w:val="center"/>
          </w:tcPr>
          <w:p>
            <w:pPr>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 xml:space="preserve"> 2.2.2</w:t>
            </w:r>
          </w:p>
        </w:tc>
        <w:tc>
          <w:tcPr>
            <w:tcW w:w="1372" w:type="dxa"/>
            <w:vAlign w:val="center"/>
          </w:tcPr>
          <w:p>
            <w:pPr>
              <w:jc w:val="center"/>
              <w:rPr>
                <w:rFonts w:ascii="宋体" w:hAnsi="宋体"/>
                <w:color w:val="auto"/>
                <w:sz w:val="21"/>
                <w:szCs w:val="21"/>
                <w:highlight w:val="none"/>
              </w:rPr>
            </w:pPr>
            <w:r>
              <w:rPr>
                <w:rFonts w:hint="eastAsia" w:ascii="宋体" w:hAnsi="宋体" w:eastAsia="宋体" w:cs="宋体"/>
                <w:b w:val="0"/>
                <w:bCs w:val="0"/>
                <w:color w:val="auto"/>
                <w:sz w:val="21"/>
                <w:szCs w:val="21"/>
                <w:highlight w:val="none"/>
                <w:lang w:val="en-US" w:eastAsia="zh-CN"/>
              </w:rPr>
              <w:t>项目</w:t>
            </w:r>
            <w:r>
              <w:rPr>
                <w:rFonts w:hint="eastAsia" w:ascii="宋体" w:hAnsi="宋体" w:cs="宋体"/>
                <w:b w:val="0"/>
                <w:bCs w:val="0"/>
                <w:color w:val="auto"/>
                <w:sz w:val="21"/>
                <w:szCs w:val="21"/>
                <w:highlight w:val="none"/>
                <w:lang w:val="en-US" w:eastAsia="zh-CN"/>
              </w:rPr>
              <w:t>负责人</w:t>
            </w:r>
            <w:r>
              <w:rPr>
                <w:rFonts w:hint="eastAsia"/>
                <w:color w:val="auto"/>
                <w:highlight w:val="none"/>
                <w:lang w:val="en-US" w:eastAsia="zh-CN"/>
              </w:rPr>
              <w:t>（总监理工程师）</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12</w:t>
            </w:r>
            <w:r>
              <w:rPr>
                <w:rFonts w:hint="eastAsia" w:ascii="宋体" w:hAnsi="宋体" w:eastAsia="宋体" w:cs="宋体"/>
                <w:b w:val="0"/>
                <w:bCs w:val="0"/>
                <w:color w:val="auto"/>
                <w:sz w:val="21"/>
                <w:szCs w:val="21"/>
                <w:highlight w:val="none"/>
                <w:lang w:val="en-US" w:eastAsia="zh-CN"/>
              </w:rPr>
              <w:t>分）</w:t>
            </w:r>
          </w:p>
        </w:tc>
        <w:tc>
          <w:tcPr>
            <w:tcW w:w="6915" w:type="dxa"/>
          </w:tcPr>
          <w:p>
            <w:pPr>
              <w:pStyle w:val="35"/>
              <w:spacing w:line="440" w:lineRule="exact"/>
              <w:ind w:firstLine="0" w:firstLineChars="0"/>
              <w:rPr>
                <w:rFonts w:hint="eastAsia" w:ascii="宋体" w:hAnsi="宋体"/>
                <w:color w:val="auto"/>
                <w:sz w:val="21"/>
                <w:szCs w:val="21"/>
                <w:highlight w:val="none"/>
              </w:rPr>
            </w:pPr>
            <w:r>
              <w:rPr>
                <w:rFonts w:hint="eastAsia" w:ascii="宋体" w:hAnsi="宋体"/>
                <w:color w:val="auto"/>
                <w:sz w:val="21"/>
                <w:szCs w:val="21"/>
                <w:highlight w:val="none"/>
              </w:rPr>
              <w:t>1、项目负责人（总监理工程师）：</w:t>
            </w:r>
          </w:p>
          <w:p>
            <w:pPr>
              <w:pStyle w:val="35"/>
              <w:spacing w:line="440" w:lineRule="exact"/>
              <w:ind w:firstLine="0" w:firstLineChars="0"/>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①具备地级市或以上“优秀监理工程师或优秀总监理工程师”称号得2分</w:t>
            </w:r>
            <w:r>
              <w:rPr>
                <w:rFonts w:hint="eastAsia" w:ascii="宋体" w:hAnsi="宋体"/>
                <w:color w:val="auto"/>
                <w:sz w:val="21"/>
                <w:szCs w:val="21"/>
                <w:highlight w:val="none"/>
                <w:lang w:eastAsia="zh-CN"/>
              </w:rPr>
              <w:t>。</w:t>
            </w:r>
          </w:p>
          <w:p>
            <w:pPr>
              <w:pStyle w:val="35"/>
              <w:spacing w:line="440" w:lineRule="exact"/>
              <w:ind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②</w:t>
            </w:r>
            <w:r>
              <w:rPr>
                <w:rFonts w:hint="eastAsia" w:ascii="宋体" w:hAnsi="宋体"/>
                <w:color w:val="auto"/>
                <w:sz w:val="21"/>
                <w:szCs w:val="21"/>
                <w:highlight w:val="none"/>
              </w:rPr>
              <w:t>具备高级工程师职称的得2分。</w:t>
            </w:r>
          </w:p>
          <w:p>
            <w:pPr>
              <w:pStyle w:val="35"/>
              <w:spacing w:line="440" w:lineRule="exact"/>
              <w:ind w:firstLine="0" w:firstLineChars="0"/>
              <w:rPr>
                <w:rFonts w:hint="default" w:ascii="宋体" w:hAnsi="宋体"/>
                <w:b/>
                <w:bCs/>
                <w:color w:val="auto"/>
                <w:sz w:val="21"/>
                <w:szCs w:val="21"/>
                <w:highlight w:val="none"/>
                <w:lang w:val="en-US" w:eastAsia="zh-CN"/>
              </w:rPr>
            </w:pPr>
            <w:r>
              <w:rPr>
                <w:rFonts w:hint="eastAsia" w:ascii="宋体" w:hAnsi="宋体"/>
                <w:b/>
                <w:bCs/>
                <w:color w:val="auto"/>
                <w:sz w:val="21"/>
                <w:szCs w:val="21"/>
                <w:highlight w:val="none"/>
                <w:lang w:val="en-US" w:eastAsia="zh-CN"/>
              </w:rPr>
              <w:t>注：</w:t>
            </w:r>
            <w:r>
              <w:rPr>
                <w:rFonts w:hint="eastAsia" w:ascii="宋体" w:hAnsi="宋体"/>
                <w:b/>
                <w:bCs/>
                <w:color w:val="auto"/>
                <w:sz w:val="21"/>
                <w:szCs w:val="21"/>
                <w:highlight w:val="none"/>
              </w:rPr>
              <w:t>本小项最多得4分。提供职称证、获奖证书并加盖投标人公章</w:t>
            </w:r>
            <w:r>
              <w:rPr>
                <w:rFonts w:hint="eastAsia" w:ascii="宋体" w:hAnsi="宋体"/>
                <w:b/>
                <w:bCs/>
                <w:color w:val="auto"/>
                <w:sz w:val="21"/>
                <w:szCs w:val="21"/>
                <w:highlight w:val="none"/>
                <w:lang w:eastAsia="zh-CN"/>
              </w:rPr>
              <w:t>，</w:t>
            </w:r>
            <w:r>
              <w:rPr>
                <w:rFonts w:hint="eastAsia" w:ascii="宋体" w:hAnsi="宋体" w:eastAsia="宋体" w:cs="宋体"/>
                <w:b/>
                <w:bCs/>
                <w:color w:val="auto"/>
                <w:kern w:val="0"/>
                <w:sz w:val="21"/>
                <w:szCs w:val="21"/>
                <w:highlight w:val="none"/>
                <w:lang w:val="en-US" w:eastAsia="zh-CN"/>
              </w:rPr>
              <w:t>否则不得分</w:t>
            </w:r>
            <w:r>
              <w:rPr>
                <w:rFonts w:hint="eastAsia" w:ascii="宋体" w:hAnsi="宋体" w:eastAsia="宋体" w:cs="宋体"/>
                <w:b/>
                <w:bCs/>
                <w:color w:val="auto"/>
                <w:sz w:val="21"/>
                <w:szCs w:val="21"/>
                <w:highlight w:val="none"/>
                <w:lang w:val="en-US" w:eastAsia="zh-CN"/>
              </w:rPr>
              <w:t>。</w:t>
            </w:r>
          </w:p>
          <w:p>
            <w:pPr>
              <w:pStyle w:val="35"/>
              <w:spacing w:line="440" w:lineRule="exact"/>
              <w:ind w:firstLine="0" w:firstLineChars="0"/>
              <w:rPr>
                <w:rFonts w:hint="eastAsia" w:ascii="宋体" w:hAnsi="宋体"/>
                <w:color w:val="auto"/>
                <w:sz w:val="21"/>
                <w:szCs w:val="21"/>
                <w:highlight w:val="none"/>
                <w:lang w:val="en-US" w:eastAsia="zh-CN"/>
              </w:rPr>
            </w:pPr>
          </w:p>
          <w:p>
            <w:pPr>
              <w:pStyle w:val="35"/>
              <w:numPr>
                <w:ilvl w:val="0"/>
                <w:numId w:val="15"/>
              </w:numPr>
              <w:spacing w:line="440" w:lineRule="exact"/>
              <w:ind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近五年</w:t>
            </w:r>
            <w:r>
              <w:rPr>
                <w:rFonts w:hint="eastAsia" w:ascii="宋体" w:hAnsi="宋体" w:eastAsia="宋体" w:cs="宋体"/>
                <w:b w:val="0"/>
                <w:bCs w:val="0"/>
                <w:color w:val="auto"/>
                <w:sz w:val="21"/>
                <w:szCs w:val="21"/>
                <w:highlight w:val="none"/>
              </w:rPr>
              <w:t>（从</w:t>
            </w:r>
            <w:r>
              <w:rPr>
                <w:rFonts w:hint="eastAsia" w:ascii="宋体" w:hAnsi="宋体" w:eastAsia="宋体" w:cs="宋体"/>
                <w:b w:val="0"/>
                <w:bCs w:val="0"/>
                <w:color w:val="auto"/>
                <w:sz w:val="21"/>
                <w:szCs w:val="21"/>
                <w:highlight w:val="none"/>
                <w:lang w:val="en-US" w:eastAsia="zh-CN"/>
              </w:rPr>
              <w:t>201</w:t>
            </w: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kern w:val="0"/>
                <w:sz w:val="21"/>
                <w:szCs w:val="21"/>
                <w:highlight w:val="none"/>
              </w:rPr>
              <w:t>年</w:t>
            </w:r>
            <w:r>
              <w:rPr>
                <w:rFonts w:hint="eastAsia" w:ascii="宋体" w:hAnsi="宋体" w:cs="宋体"/>
                <w:b w:val="0"/>
                <w:bCs w:val="0"/>
                <w:color w:val="auto"/>
                <w:kern w:val="0"/>
                <w:sz w:val="21"/>
                <w:szCs w:val="21"/>
                <w:highlight w:val="none"/>
                <w:lang w:val="en-US" w:eastAsia="zh-CN"/>
              </w:rPr>
              <w:t>12</w:t>
            </w:r>
            <w:r>
              <w:rPr>
                <w:rFonts w:hint="eastAsia" w:ascii="宋体" w:hAnsi="宋体" w:eastAsia="宋体" w:cs="宋体"/>
                <w:b w:val="0"/>
                <w:bCs w:val="0"/>
                <w:color w:val="auto"/>
                <w:kern w:val="0"/>
                <w:sz w:val="21"/>
                <w:szCs w:val="21"/>
                <w:highlight w:val="none"/>
              </w:rPr>
              <w:t>月</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日至今</w:t>
            </w:r>
            <w:r>
              <w:rPr>
                <w:rFonts w:hint="eastAsia" w:ascii="宋体" w:hAnsi="宋体" w:eastAsia="宋体" w:cs="宋体"/>
                <w:b w:val="0"/>
                <w:bCs w:val="0"/>
                <w:color w:val="auto"/>
                <w:sz w:val="21"/>
                <w:szCs w:val="21"/>
                <w:highlight w:val="none"/>
              </w:rPr>
              <w:t>）</w:t>
            </w:r>
            <w:r>
              <w:rPr>
                <w:rFonts w:hint="eastAsia" w:ascii="宋体" w:hAnsi="宋体"/>
                <w:color w:val="auto"/>
                <w:sz w:val="21"/>
                <w:szCs w:val="21"/>
                <w:highlight w:val="none"/>
              </w:rPr>
              <w:t>，项目负责人担任</w:t>
            </w:r>
            <w:r>
              <w:rPr>
                <w:rFonts w:hint="eastAsia" w:ascii="宋体" w:hAnsi="宋体"/>
                <w:b w:val="0"/>
                <w:bCs w:val="0"/>
                <w:color w:val="auto"/>
                <w:sz w:val="21"/>
                <w:szCs w:val="21"/>
                <w:highlight w:val="none"/>
              </w:rPr>
              <w:t>总监监理的房屋建筑工程曾获</w:t>
            </w:r>
            <w:r>
              <w:rPr>
                <w:rFonts w:hint="eastAsia" w:ascii="宋体" w:hAnsi="宋体"/>
                <w:b w:val="0"/>
                <w:bCs w:val="0"/>
                <w:color w:val="auto"/>
                <w:sz w:val="21"/>
                <w:szCs w:val="21"/>
                <w:highlight w:val="none"/>
                <w:lang w:eastAsia="zh-CN"/>
              </w:rPr>
              <w:t>：</w:t>
            </w:r>
            <w:r>
              <w:rPr>
                <w:rFonts w:hint="eastAsia" w:ascii="宋体" w:hAnsi="宋体"/>
                <w:b w:val="0"/>
                <w:bCs w:val="0"/>
                <w:color w:val="auto"/>
                <w:sz w:val="21"/>
                <w:szCs w:val="21"/>
                <w:highlight w:val="none"/>
                <w:lang w:val="en-US" w:eastAsia="zh-CN"/>
              </w:rPr>
              <w:t>①</w:t>
            </w:r>
            <w:r>
              <w:rPr>
                <w:rFonts w:hint="eastAsia" w:ascii="宋体" w:hAnsi="宋体"/>
                <w:b w:val="0"/>
                <w:bCs w:val="0"/>
                <w:color w:val="auto"/>
                <w:sz w:val="21"/>
                <w:szCs w:val="21"/>
                <w:highlight w:val="none"/>
              </w:rPr>
              <w:t>国家级工程建设类奖项的每项得2分，最</w:t>
            </w:r>
            <w:r>
              <w:rPr>
                <w:rFonts w:hint="eastAsia" w:ascii="宋体" w:hAnsi="宋体"/>
                <w:color w:val="auto"/>
                <w:sz w:val="21"/>
                <w:szCs w:val="21"/>
                <w:highlight w:val="none"/>
              </w:rPr>
              <w:t>多得4分；</w:t>
            </w:r>
          </w:p>
          <w:p>
            <w:pPr>
              <w:pStyle w:val="35"/>
              <w:numPr>
                <w:ilvl w:val="0"/>
                <w:numId w:val="0"/>
              </w:numPr>
              <w:spacing w:line="440" w:lineRule="exact"/>
              <w:rPr>
                <w:rFonts w:hint="eastAsia" w:ascii="宋体" w:hAnsi="宋体"/>
                <w:color w:val="auto"/>
                <w:sz w:val="21"/>
                <w:szCs w:val="21"/>
                <w:highlight w:val="none"/>
              </w:rPr>
            </w:pPr>
            <w:r>
              <w:rPr>
                <w:rFonts w:hint="eastAsia" w:ascii="宋体" w:hAnsi="宋体"/>
                <w:color w:val="auto"/>
                <w:sz w:val="21"/>
                <w:szCs w:val="21"/>
                <w:highlight w:val="none"/>
                <w:lang w:val="en-US" w:eastAsia="zh-CN"/>
              </w:rPr>
              <w:t>②</w:t>
            </w:r>
            <w:r>
              <w:rPr>
                <w:rFonts w:hint="eastAsia" w:ascii="宋体" w:hAnsi="宋体"/>
                <w:color w:val="auto"/>
                <w:sz w:val="21"/>
                <w:szCs w:val="21"/>
                <w:highlight w:val="none"/>
              </w:rPr>
              <w:t>省级工程建设类奖项的每项得1.5分，最多得3分；</w:t>
            </w:r>
          </w:p>
          <w:p>
            <w:pPr>
              <w:pStyle w:val="35"/>
              <w:numPr>
                <w:ilvl w:val="0"/>
                <w:numId w:val="0"/>
              </w:numPr>
              <w:spacing w:line="440" w:lineRule="exact"/>
              <w:rPr>
                <w:rFonts w:hint="eastAsia" w:ascii="宋体" w:hAnsi="宋体"/>
                <w:color w:val="auto"/>
                <w:sz w:val="21"/>
                <w:szCs w:val="21"/>
                <w:highlight w:val="none"/>
              </w:rPr>
            </w:pPr>
            <w:r>
              <w:rPr>
                <w:rFonts w:hint="eastAsia" w:ascii="宋体" w:hAnsi="宋体"/>
                <w:color w:val="auto"/>
                <w:sz w:val="21"/>
                <w:szCs w:val="21"/>
                <w:highlight w:val="none"/>
                <w:lang w:val="en-US" w:eastAsia="zh-CN"/>
              </w:rPr>
              <w:t>③</w:t>
            </w:r>
            <w:r>
              <w:rPr>
                <w:rFonts w:hint="eastAsia" w:ascii="宋体" w:hAnsi="宋体"/>
                <w:color w:val="auto"/>
                <w:sz w:val="21"/>
                <w:szCs w:val="21"/>
                <w:highlight w:val="none"/>
              </w:rPr>
              <w:t>获地市级工程建设类奖项的每项得1分，最多得2分。</w:t>
            </w:r>
          </w:p>
          <w:p>
            <w:pPr>
              <w:pStyle w:val="35"/>
              <w:numPr>
                <w:ilvl w:val="0"/>
                <w:numId w:val="0"/>
              </w:numPr>
              <w:spacing w:line="440" w:lineRule="exact"/>
              <w:rPr>
                <w:rFonts w:hint="eastAsia" w:ascii="宋体" w:hAnsi="宋体" w:eastAsia="宋体"/>
                <w:b/>
                <w:bCs/>
                <w:color w:val="auto"/>
                <w:sz w:val="21"/>
                <w:szCs w:val="21"/>
                <w:highlight w:val="none"/>
                <w:lang w:eastAsia="zh-CN"/>
              </w:rPr>
            </w:pPr>
            <w:r>
              <w:rPr>
                <w:rFonts w:hint="eastAsia" w:ascii="宋体" w:hAnsi="宋体"/>
                <w:b/>
                <w:bCs/>
                <w:color w:val="auto"/>
                <w:sz w:val="21"/>
                <w:szCs w:val="21"/>
                <w:highlight w:val="none"/>
                <w:lang w:val="en-US" w:eastAsia="zh-CN"/>
              </w:rPr>
              <w:t>注：</w:t>
            </w:r>
            <w:r>
              <w:rPr>
                <w:rFonts w:hint="eastAsia" w:ascii="宋体" w:hAnsi="宋体"/>
                <w:b/>
                <w:bCs/>
                <w:color w:val="auto"/>
                <w:sz w:val="21"/>
                <w:szCs w:val="21"/>
                <w:highlight w:val="none"/>
              </w:rPr>
              <w:t>本小项最多得4分。同一项目业绩多次获奖不累计，并且以获奖最高级别为准。</w:t>
            </w:r>
            <w:r>
              <w:rPr>
                <w:rFonts w:hint="eastAsia" w:eastAsia="宋体" w:cs="宋体"/>
                <w:b/>
                <w:bCs/>
                <w:color w:val="auto"/>
                <w:sz w:val="21"/>
                <w:szCs w:val="21"/>
                <w:highlight w:val="none"/>
                <w:lang w:val="en-US" w:eastAsia="zh-CN"/>
              </w:rPr>
              <w:t>提供</w:t>
            </w:r>
            <w:r>
              <w:rPr>
                <w:rFonts w:hint="eastAsia" w:eastAsia="宋体" w:cs="宋体"/>
                <w:b/>
                <w:bCs/>
                <w:color w:val="auto"/>
                <w:sz w:val="21"/>
                <w:szCs w:val="21"/>
                <w:highlight w:val="none"/>
              </w:rPr>
              <w:t>获奖证明资料，以国家、省级、市级人民政府或行业建设主管部门或经民政部门批准成立的相关行业协会颁发的获奖证书或获奖正式文件为准</w:t>
            </w:r>
            <w:r>
              <w:rPr>
                <w:rFonts w:hint="eastAsia" w:eastAsia="宋体" w:cs="宋体"/>
                <w:b/>
                <w:bCs/>
                <w:color w:val="auto"/>
                <w:sz w:val="21"/>
                <w:szCs w:val="21"/>
                <w:highlight w:val="none"/>
                <w:lang w:eastAsia="zh-CN"/>
              </w:rPr>
              <w:t>，</w:t>
            </w:r>
            <w:r>
              <w:rPr>
                <w:rFonts w:hint="eastAsia" w:eastAsia="宋体" w:cs="宋体"/>
                <w:b/>
                <w:bCs/>
                <w:color w:val="auto"/>
                <w:sz w:val="21"/>
                <w:szCs w:val="21"/>
                <w:highlight w:val="none"/>
                <w:lang w:val="en-US" w:eastAsia="zh-CN"/>
              </w:rPr>
              <w:t>不提供不得分</w:t>
            </w:r>
            <w:r>
              <w:rPr>
                <w:rFonts w:hint="eastAsia" w:eastAsia="宋体" w:cs="宋体"/>
                <w:b/>
                <w:bCs/>
                <w:color w:val="auto"/>
                <w:sz w:val="21"/>
                <w:szCs w:val="21"/>
                <w:highlight w:val="none"/>
              </w:rPr>
              <w:t>。</w:t>
            </w:r>
          </w:p>
          <w:p>
            <w:pPr>
              <w:pStyle w:val="35"/>
              <w:spacing w:line="440" w:lineRule="exact"/>
              <w:ind w:firstLine="0" w:firstLineChars="0"/>
              <w:rPr>
                <w:rFonts w:hint="eastAsia" w:ascii="宋体" w:hAnsi="宋体"/>
                <w:color w:val="auto"/>
                <w:sz w:val="21"/>
                <w:szCs w:val="21"/>
                <w:highlight w:val="none"/>
                <w:lang w:val="en-US" w:eastAsia="zh-CN"/>
              </w:rPr>
            </w:pPr>
          </w:p>
          <w:p>
            <w:pPr>
              <w:pStyle w:val="35"/>
              <w:spacing w:line="440" w:lineRule="exact"/>
              <w:ind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3、近五年</w:t>
            </w:r>
            <w:r>
              <w:rPr>
                <w:rFonts w:hint="eastAsia" w:ascii="宋体" w:hAnsi="宋体" w:eastAsia="宋体" w:cs="宋体"/>
                <w:b w:val="0"/>
                <w:bCs w:val="0"/>
                <w:color w:val="auto"/>
                <w:sz w:val="21"/>
                <w:szCs w:val="21"/>
                <w:highlight w:val="none"/>
              </w:rPr>
              <w:t>（从</w:t>
            </w:r>
            <w:r>
              <w:rPr>
                <w:rFonts w:hint="eastAsia" w:ascii="宋体" w:hAnsi="宋体" w:eastAsia="宋体" w:cs="宋体"/>
                <w:b w:val="0"/>
                <w:bCs w:val="0"/>
                <w:color w:val="auto"/>
                <w:sz w:val="21"/>
                <w:szCs w:val="21"/>
                <w:highlight w:val="none"/>
                <w:lang w:val="en-US" w:eastAsia="zh-CN"/>
              </w:rPr>
              <w:t>201</w:t>
            </w: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kern w:val="0"/>
                <w:sz w:val="21"/>
                <w:szCs w:val="21"/>
                <w:highlight w:val="none"/>
              </w:rPr>
              <w:t>年</w:t>
            </w:r>
            <w:r>
              <w:rPr>
                <w:rFonts w:hint="eastAsia" w:ascii="宋体" w:hAnsi="宋体" w:cs="宋体"/>
                <w:b w:val="0"/>
                <w:bCs w:val="0"/>
                <w:color w:val="auto"/>
                <w:kern w:val="0"/>
                <w:sz w:val="21"/>
                <w:szCs w:val="21"/>
                <w:highlight w:val="none"/>
                <w:lang w:val="en-US" w:eastAsia="zh-CN"/>
              </w:rPr>
              <w:t>12</w:t>
            </w:r>
            <w:r>
              <w:rPr>
                <w:rFonts w:hint="eastAsia" w:ascii="宋体" w:hAnsi="宋体" w:eastAsia="宋体" w:cs="宋体"/>
                <w:b w:val="0"/>
                <w:bCs w:val="0"/>
                <w:color w:val="auto"/>
                <w:kern w:val="0"/>
                <w:sz w:val="21"/>
                <w:szCs w:val="21"/>
                <w:highlight w:val="none"/>
              </w:rPr>
              <w:t>月</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日至今</w:t>
            </w:r>
            <w:r>
              <w:rPr>
                <w:rFonts w:hint="eastAsia" w:ascii="宋体" w:hAnsi="宋体" w:eastAsia="宋体" w:cs="宋体"/>
                <w:b w:val="0"/>
                <w:bCs w:val="0"/>
                <w:color w:val="auto"/>
                <w:sz w:val="21"/>
                <w:szCs w:val="21"/>
                <w:highlight w:val="none"/>
              </w:rPr>
              <w:t>）</w:t>
            </w:r>
            <w:r>
              <w:rPr>
                <w:rFonts w:hint="eastAsia" w:ascii="宋体" w:hAnsi="宋体"/>
                <w:color w:val="auto"/>
                <w:sz w:val="21"/>
                <w:szCs w:val="21"/>
                <w:highlight w:val="none"/>
              </w:rPr>
              <w:t xml:space="preserve">，项目负责人担任总监的工程，在新技术运用方面有突出经验的、符合以下条件的得分： </w:t>
            </w:r>
          </w:p>
          <w:p>
            <w:pPr>
              <w:pStyle w:val="35"/>
              <w:spacing w:line="440" w:lineRule="exact"/>
              <w:ind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①</w:t>
            </w:r>
            <w:r>
              <w:rPr>
                <w:rFonts w:hint="eastAsia" w:ascii="宋体" w:hAnsi="宋体"/>
                <w:color w:val="auto"/>
                <w:sz w:val="21"/>
                <w:szCs w:val="21"/>
                <w:highlight w:val="none"/>
              </w:rPr>
              <w:t>推行绿色施工，完成过的项目中获得</w:t>
            </w:r>
            <w:r>
              <w:rPr>
                <w:rFonts w:hint="eastAsia" w:ascii="宋体" w:hAnsi="宋体"/>
                <w:color w:val="auto"/>
                <w:sz w:val="21"/>
                <w:szCs w:val="21"/>
                <w:highlight w:val="none"/>
                <w:lang w:val="en-US" w:eastAsia="zh-CN"/>
              </w:rPr>
              <w:t>国家级</w:t>
            </w:r>
            <w:r>
              <w:rPr>
                <w:rFonts w:hint="eastAsia" w:ascii="宋体" w:hAnsi="宋体"/>
                <w:color w:val="auto"/>
                <w:sz w:val="21"/>
                <w:szCs w:val="21"/>
                <w:highlight w:val="none"/>
              </w:rPr>
              <w:t>“建筑业绿色施工示范工程”称号，且评审达到优良水平的得4分。</w:t>
            </w:r>
          </w:p>
          <w:p>
            <w:pPr>
              <w:pStyle w:val="35"/>
              <w:spacing w:line="440" w:lineRule="exact"/>
              <w:ind w:firstLine="0" w:firstLineChars="0"/>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②</w:t>
            </w:r>
            <w:r>
              <w:rPr>
                <w:rFonts w:hint="eastAsia" w:ascii="宋体" w:hAnsi="宋体"/>
                <w:color w:val="auto"/>
                <w:sz w:val="21"/>
                <w:szCs w:val="21"/>
                <w:highlight w:val="none"/>
              </w:rPr>
              <w:t>获得省级“建筑业绿色施工示范工程”称号，且评审达到优良水平的得</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分。</w:t>
            </w:r>
          </w:p>
          <w:p>
            <w:pPr>
              <w:pStyle w:val="35"/>
              <w:spacing w:line="440" w:lineRule="exact"/>
              <w:ind w:firstLine="0" w:firstLineChars="0"/>
              <w:rPr>
                <w:rFonts w:hint="eastAsia" w:ascii="宋体" w:hAnsi="宋体"/>
                <w:color w:val="auto"/>
                <w:sz w:val="21"/>
                <w:szCs w:val="21"/>
                <w:highlight w:val="none"/>
              </w:rPr>
            </w:pPr>
            <w:r>
              <w:rPr>
                <w:rFonts w:hint="eastAsia" w:ascii="宋体" w:hAnsi="宋体"/>
                <w:color w:val="auto"/>
                <w:sz w:val="21"/>
                <w:szCs w:val="21"/>
                <w:highlight w:val="none"/>
                <w:lang w:val="en-US" w:eastAsia="zh-CN"/>
              </w:rPr>
              <w:t>③</w:t>
            </w:r>
            <w:r>
              <w:rPr>
                <w:rFonts w:hint="eastAsia" w:ascii="宋体" w:hAnsi="宋体"/>
                <w:color w:val="auto"/>
                <w:sz w:val="21"/>
                <w:szCs w:val="21"/>
                <w:highlight w:val="none"/>
              </w:rPr>
              <w:t>获得地市级“建筑业绿色施工示范工程”称号，且评审达到优良水平的得 2 分。</w:t>
            </w:r>
          </w:p>
          <w:p>
            <w:pPr>
              <w:pStyle w:val="35"/>
              <w:spacing w:line="440" w:lineRule="exact"/>
              <w:ind w:firstLine="0" w:firstLineChars="0"/>
              <w:rPr>
                <w:rFonts w:ascii="宋体" w:hAnsi="宋体"/>
                <w:color w:val="auto"/>
                <w:sz w:val="21"/>
                <w:szCs w:val="21"/>
                <w:highlight w:val="none"/>
              </w:rPr>
            </w:pPr>
            <w:r>
              <w:rPr>
                <w:rFonts w:hint="eastAsia" w:ascii="宋体" w:hAnsi="宋体"/>
                <w:b/>
                <w:bCs/>
                <w:color w:val="auto"/>
                <w:sz w:val="21"/>
                <w:szCs w:val="21"/>
                <w:highlight w:val="none"/>
              </w:rPr>
              <w:t>注：</w:t>
            </w:r>
            <w:r>
              <w:rPr>
                <w:rFonts w:hint="eastAsia" w:ascii="宋体" w:hAnsi="宋体" w:eastAsia="宋体" w:cs="宋体"/>
                <w:b/>
                <w:bCs/>
                <w:color w:val="auto"/>
                <w:sz w:val="21"/>
                <w:szCs w:val="21"/>
                <w:highlight w:val="none"/>
                <w:lang w:val="zh-CN"/>
              </w:rPr>
              <w:t>本项最多计算</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val="zh-CN"/>
              </w:rPr>
              <w:t>个奖项，</w:t>
            </w:r>
            <w:r>
              <w:rPr>
                <w:rFonts w:hint="eastAsia" w:ascii="宋体" w:hAnsi="宋体"/>
                <w:b/>
                <w:bCs/>
                <w:color w:val="auto"/>
                <w:sz w:val="21"/>
                <w:szCs w:val="21"/>
                <w:highlight w:val="none"/>
                <w:lang w:eastAsia="zh-CN"/>
              </w:rPr>
              <w:t>最</w:t>
            </w:r>
            <w:r>
              <w:rPr>
                <w:rFonts w:hint="eastAsia" w:ascii="宋体" w:hAnsi="宋体"/>
                <w:b/>
                <w:bCs/>
                <w:color w:val="auto"/>
                <w:sz w:val="21"/>
                <w:szCs w:val="21"/>
                <w:highlight w:val="none"/>
                <w:lang w:val="en-US" w:eastAsia="zh-CN"/>
              </w:rPr>
              <w:t>高</w:t>
            </w:r>
            <w:r>
              <w:rPr>
                <w:rFonts w:hint="eastAsia" w:ascii="宋体" w:hAnsi="宋体"/>
                <w:b/>
                <w:bCs/>
                <w:color w:val="auto"/>
                <w:sz w:val="21"/>
                <w:szCs w:val="21"/>
                <w:highlight w:val="none"/>
                <w:lang w:eastAsia="zh-CN"/>
              </w:rPr>
              <w:t>得4分。</w:t>
            </w:r>
            <w:r>
              <w:rPr>
                <w:rFonts w:hint="eastAsia" w:ascii="宋体" w:hAnsi="宋体" w:eastAsia="宋体" w:cs="宋体"/>
                <w:b/>
                <w:bCs/>
                <w:color w:val="auto"/>
                <w:sz w:val="21"/>
                <w:szCs w:val="21"/>
                <w:highlight w:val="none"/>
                <w:lang w:val="en-US" w:eastAsia="zh-CN"/>
              </w:rPr>
              <w:t>提供获奖证书或颁奖文件的复印件，或颁奖单位官网截图</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提供有效的查询网址</w:t>
            </w:r>
            <w:r>
              <w:rPr>
                <w:rFonts w:hint="eastAsia" w:ascii="宋体" w:hAnsi="宋体" w:cs="宋体"/>
                <w:b/>
                <w:bCs/>
                <w:color w:val="auto"/>
                <w:sz w:val="21"/>
                <w:szCs w:val="21"/>
                <w:highlight w:val="none"/>
                <w:lang w:val="en-US" w:eastAsia="zh-CN"/>
              </w:rPr>
              <w:t>进行</w:t>
            </w:r>
            <w:r>
              <w:rPr>
                <w:rFonts w:hint="eastAsia" w:ascii="宋体" w:hAnsi="宋体" w:cs="宋体"/>
                <w:b/>
                <w:bCs/>
                <w:color w:val="auto"/>
                <w:sz w:val="21"/>
                <w:szCs w:val="21"/>
                <w:highlight w:val="none"/>
              </w:rPr>
              <w:t>查实</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，同时提供</w:t>
            </w:r>
            <w:r>
              <w:rPr>
                <w:rStyle w:val="60"/>
                <w:rFonts w:hint="eastAsia" w:ascii="宋体" w:hAnsi="宋体" w:eastAsia="宋体" w:cs="宋体"/>
                <w:b/>
                <w:bCs/>
                <w:color w:val="auto"/>
                <w:sz w:val="21"/>
                <w:szCs w:val="21"/>
                <w:highlight w:val="none"/>
              </w:rPr>
              <w:t>监理</w:t>
            </w:r>
            <w:r>
              <w:rPr>
                <w:rFonts w:hint="eastAsia" w:ascii="宋体" w:hAnsi="宋体" w:eastAsia="宋体" w:cs="宋体"/>
                <w:b/>
                <w:bCs/>
                <w:color w:val="auto"/>
                <w:sz w:val="21"/>
                <w:szCs w:val="21"/>
                <w:highlight w:val="none"/>
                <w:lang w:val="en-US" w:eastAsia="zh-CN"/>
              </w:rPr>
              <w:t>合同复印件或</w:t>
            </w:r>
            <w:r>
              <w:rPr>
                <w:rStyle w:val="60"/>
                <w:rFonts w:hint="eastAsia" w:ascii="宋体" w:hAnsi="宋体" w:eastAsia="宋体" w:cs="宋体"/>
                <w:b/>
                <w:bCs/>
                <w:color w:val="auto"/>
                <w:sz w:val="21"/>
                <w:szCs w:val="21"/>
                <w:highlight w:val="none"/>
              </w:rPr>
              <w:t>竣工验收备案表（或竣工验收报告）</w:t>
            </w:r>
            <w:r>
              <w:rPr>
                <w:rStyle w:val="60"/>
                <w:rFonts w:hint="eastAsia" w:ascii="宋体" w:hAnsi="宋体" w:eastAsia="宋体" w:cs="宋体"/>
                <w:b/>
                <w:bCs/>
                <w:color w:val="auto"/>
                <w:sz w:val="21"/>
                <w:szCs w:val="21"/>
                <w:highlight w:val="none"/>
                <w:lang w:val="en-US" w:eastAsia="zh-CN"/>
              </w:rPr>
              <w:t>复印件</w:t>
            </w:r>
            <w:r>
              <w:rPr>
                <w:rFonts w:hint="eastAsia" w:ascii="宋体" w:hAnsi="宋体" w:eastAsia="宋体" w:cs="宋体"/>
                <w:b/>
                <w:bCs/>
                <w:color w:val="auto"/>
                <w:sz w:val="21"/>
                <w:szCs w:val="21"/>
                <w:highlight w:val="none"/>
                <w:lang w:val="en-US" w:eastAsia="zh-CN"/>
              </w:rPr>
              <w:t>（须体现工程名称、投标人名称及</w:t>
            </w:r>
            <w:r>
              <w:rPr>
                <w:rFonts w:hint="eastAsia" w:ascii="宋体" w:hAnsi="宋体" w:eastAsia="宋体" w:cs="宋体"/>
                <w:b/>
                <w:bCs/>
                <w:color w:val="auto"/>
                <w:sz w:val="21"/>
                <w:szCs w:val="21"/>
                <w:highlight w:val="none"/>
              </w:rPr>
              <w:t>总监理工程师</w:t>
            </w:r>
            <w:r>
              <w:rPr>
                <w:rFonts w:hint="eastAsia" w:ascii="宋体" w:hAnsi="宋体" w:eastAsia="宋体" w:cs="宋体"/>
                <w:b/>
                <w:bCs/>
                <w:color w:val="auto"/>
                <w:sz w:val="21"/>
                <w:szCs w:val="21"/>
                <w:highlight w:val="none"/>
                <w:lang w:val="en-US" w:eastAsia="zh-CN"/>
              </w:rPr>
              <w:t>身份）；</w:t>
            </w:r>
            <w:r>
              <w:rPr>
                <w:rFonts w:hint="eastAsia" w:ascii="宋体" w:hAnsi="宋体" w:eastAsia="宋体" w:cs="宋体"/>
                <w:b/>
                <w:bCs/>
                <w:color w:val="auto"/>
                <w:kern w:val="2"/>
                <w:sz w:val="21"/>
                <w:szCs w:val="21"/>
                <w:highlight w:val="none"/>
                <w:lang w:val="en-US" w:eastAsia="zh-CN" w:bidi="ar-SA"/>
              </w:rPr>
              <w:t>证明文件须加盖公章，</w:t>
            </w:r>
            <w:r>
              <w:rPr>
                <w:rFonts w:hint="eastAsia" w:ascii="宋体" w:hAnsi="宋体" w:eastAsia="宋体" w:cs="宋体"/>
                <w:b/>
                <w:bCs/>
                <w:color w:val="auto"/>
                <w:kern w:val="0"/>
                <w:sz w:val="21"/>
                <w:szCs w:val="21"/>
                <w:highlight w:val="none"/>
                <w:lang w:val="en-US" w:eastAsia="zh-CN"/>
              </w:rPr>
              <w:t>否则不得分</w:t>
            </w:r>
            <w:r>
              <w:rPr>
                <w:rFonts w:hint="eastAsia" w:ascii="宋体" w:hAnsi="宋体" w:eastAsia="宋体" w:cs="宋体"/>
                <w:b/>
                <w:b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blHeader/>
          <w:jc w:val="center"/>
        </w:trPr>
        <w:tc>
          <w:tcPr>
            <w:tcW w:w="942" w:type="dxa"/>
            <w:vMerge w:val="continue"/>
            <w:vAlign w:val="center"/>
          </w:tcPr>
          <w:p>
            <w:pPr>
              <w:spacing w:line="360" w:lineRule="auto"/>
              <w:jc w:val="center"/>
              <w:rPr>
                <w:rFonts w:ascii="宋体" w:hAnsi="宋体"/>
                <w:color w:val="auto"/>
                <w:sz w:val="21"/>
                <w:szCs w:val="21"/>
                <w:highlight w:val="none"/>
              </w:rPr>
            </w:pPr>
          </w:p>
        </w:tc>
        <w:tc>
          <w:tcPr>
            <w:tcW w:w="1372" w:type="dxa"/>
            <w:vAlign w:val="center"/>
          </w:tcPr>
          <w:p>
            <w:pPr>
              <w:spacing w:line="360" w:lineRule="auto"/>
              <w:jc w:val="center"/>
              <w:rPr>
                <w:rFonts w:ascii="宋体" w:hAnsi="宋体"/>
                <w:color w:val="auto"/>
                <w:sz w:val="21"/>
                <w:szCs w:val="21"/>
                <w:highlight w:val="none"/>
              </w:rPr>
            </w:pPr>
            <w:r>
              <w:rPr>
                <w:rFonts w:hint="eastAsia" w:ascii="宋体" w:hAnsi="宋体" w:cs="宋体"/>
                <w:color w:val="auto"/>
                <w:sz w:val="21"/>
                <w:szCs w:val="21"/>
                <w:highlight w:val="none"/>
              </w:rPr>
              <w:t>造价咨询项目</w:t>
            </w:r>
            <w:r>
              <w:rPr>
                <w:rFonts w:hint="eastAsia" w:ascii="宋体" w:hAnsi="宋体" w:cs="宋体"/>
                <w:color w:val="auto"/>
                <w:sz w:val="21"/>
                <w:szCs w:val="21"/>
                <w:highlight w:val="none"/>
                <w:lang w:val="en-US" w:eastAsia="zh-CN"/>
              </w:rPr>
              <w:t>负责人</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6915" w:type="dxa"/>
            <w:vAlign w:val="center"/>
          </w:tcPr>
          <w:p>
            <w:pPr>
              <w:pStyle w:val="35"/>
              <w:spacing w:line="360" w:lineRule="auto"/>
              <w:ind w:firstLine="0" w:firstLineChars="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造价咨询项目负责人：具有住建部颁发的注册造价工程师（土建或安装专业）或一级造价工程师（土木建筑工程或安装专业）注册证书，且在本单位注册执业，得</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分；在此基础上同时具有高级职称的加1分。本项最高得</w:t>
            </w:r>
            <w:r>
              <w:rPr>
                <w:rFonts w:hint="eastAsia" w:ascii="宋体" w:hAnsi="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分。</w:t>
            </w:r>
          </w:p>
          <w:p>
            <w:pPr>
              <w:pStyle w:val="35"/>
              <w:spacing w:line="360" w:lineRule="auto"/>
              <w:ind w:firstLine="0" w:firstLineChars="0"/>
              <w:rPr>
                <w:color w:val="auto"/>
                <w:highlight w:val="none"/>
              </w:rPr>
            </w:pPr>
            <w:r>
              <w:rPr>
                <w:rFonts w:hint="eastAsia" w:ascii="宋体" w:hAnsi="宋体" w:eastAsia="宋体" w:cs="Times New Roman"/>
                <w:b/>
                <w:bCs/>
                <w:color w:val="auto"/>
                <w:sz w:val="21"/>
                <w:szCs w:val="21"/>
                <w:highlight w:val="none"/>
              </w:rPr>
              <w:t>注：</w:t>
            </w:r>
            <w:r>
              <w:rPr>
                <w:rFonts w:hint="eastAsia" w:ascii="宋体" w:hAnsi="宋体" w:eastAsia="宋体" w:cs="宋体"/>
                <w:b/>
                <w:bCs/>
                <w:color w:val="auto"/>
                <w:sz w:val="21"/>
                <w:szCs w:val="21"/>
                <w:highlight w:val="none"/>
                <w:lang w:val="en-US" w:eastAsia="zh-CN"/>
              </w:rPr>
              <w:t>本项最高得</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rPr>
              <w:t>分</w:t>
            </w:r>
            <w:r>
              <w:rPr>
                <w:rFonts w:hint="eastAsia" w:ascii="宋体" w:hAnsi="宋体" w:cs="宋体"/>
                <w:b/>
                <w:bCs/>
                <w:color w:val="auto"/>
                <w:sz w:val="21"/>
                <w:szCs w:val="21"/>
                <w:highlight w:val="none"/>
                <w:lang w:val="en-US" w:eastAsia="zh-CN"/>
              </w:rPr>
              <w:t>，</w:t>
            </w:r>
            <w:r>
              <w:rPr>
                <w:rFonts w:hint="eastAsia" w:ascii="宋体" w:hAnsi="宋体" w:eastAsia="宋体" w:cs="Times New Roman"/>
                <w:b/>
                <w:bCs/>
                <w:color w:val="auto"/>
                <w:sz w:val="21"/>
                <w:szCs w:val="21"/>
                <w:highlight w:val="none"/>
              </w:rPr>
              <w:t>须附职称证、注册证书并加盖投标人公章。无提供或提供的证明资料不齐全的，相应项目不得分。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8" w:hRule="atLeast"/>
          <w:tblHeader/>
          <w:jc w:val="center"/>
        </w:trPr>
        <w:tc>
          <w:tcPr>
            <w:tcW w:w="942" w:type="dxa"/>
            <w:vMerge w:val="continue"/>
            <w:vAlign w:val="center"/>
          </w:tcPr>
          <w:p>
            <w:pPr>
              <w:spacing w:line="360" w:lineRule="auto"/>
              <w:jc w:val="center"/>
              <w:rPr>
                <w:rFonts w:ascii="宋体" w:hAnsi="宋体"/>
                <w:color w:val="auto"/>
                <w:sz w:val="21"/>
                <w:szCs w:val="21"/>
                <w:highlight w:val="none"/>
              </w:rPr>
            </w:pPr>
          </w:p>
        </w:tc>
        <w:tc>
          <w:tcPr>
            <w:tcW w:w="1372" w:type="dxa"/>
            <w:vAlign w:val="center"/>
          </w:tcPr>
          <w:p>
            <w:pPr>
              <w:spacing w:line="360" w:lineRule="auto"/>
              <w:ind w:right="120" w:rightChars="50"/>
              <w:jc w:val="center"/>
              <w:rPr>
                <w:rFonts w:ascii="宋体" w:hAnsi="宋体"/>
                <w:color w:val="auto"/>
                <w:sz w:val="21"/>
                <w:szCs w:val="21"/>
                <w:highlight w:val="none"/>
              </w:rPr>
            </w:pPr>
            <w:r>
              <w:rPr>
                <w:rFonts w:hint="eastAsia" w:ascii="宋体" w:hAnsi="宋体" w:eastAsia="宋体" w:cs="宋体"/>
                <w:b w:val="0"/>
                <w:bCs w:val="0"/>
                <w:color w:val="auto"/>
                <w:sz w:val="21"/>
                <w:szCs w:val="21"/>
                <w:highlight w:val="none"/>
              </w:rPr>
              <w:t>企业</w:t>
            </w:r>
            <w:r>
              <w:rPr>
                <w:rFonts w:hint="eastAsia" w:ascii="宋体" w:hAnsi="宋体" w:eastAsia="宋体" w:cs="宋体"/>
                <w:b w:val="0"/>
                <w:bCs w:val="0"/>
                <w:color w:val="auto"/>
                <w:sz w:val="21"/>
                <w:szCs w:val="21"/>
                <w:highlight w:val="none"/>
                <w:lang w:val="en-US" w:eastAsia="zh-CN"/>
              </w:rPr>
              <w:t>业绩及业绩获奖（</w:t>
            </w:r>
            <w:r>
              <w:rPr>
                <w:rFonts w:hint="eastAsia" w:ascii="宋体" w:hAnsi="宋体" w:cs="宋体"/>
                <w:b w:val="0"/>
                <w:bCs w:val="0"/>
                <w:color w:val="auto"/>
                <w:sz w:val="21"/>
                <w:szCs w:val="21"/>
                <w:highlight w:val="none"/>
                <w:lang w:val="en-US" w:eastAsia="zh-CN"/>
              </w:rPr>
              <w:t>17</w:t>
            </w:r>
            <w:r>
              <w:rPr>
                <w:rFonts w:hint="eastAsia" w:ascii="宋体" w:hAnsi="宋体" w:eastAsia="宋体" w:cs="宋体"/>
                <w:b w:val="0"/>
                <w:bCs w:val="0"/>
                <w:color w:val="auto"/>
                <w:sz w:val="21"/>
                <w:szCs w:val="21"/>
                <w:highlight w:val="none"/>
                <w:lang w:val="en-US" w:eastAsia="zh-CN"/>
              </w:rPr>
              <w:t>分）</w:t>
            </w:r>
          </w:p>
        </w:tc>
        <w:tc>
          <w:tcPr>
            <w:tcW w:w="6915" w:type="dxa"/>
            <w:vAlign w:val="center"/>
          </w:tcPr>
          <w:p>
            <w:pPr>
              <w:numPr>
                <w:ilvl w:val="0"/>
                <w:numId w:val="0"/>
              </w:numPr>
              <w:adjustRightInd/>
              <w:snapToGrid/>
              <w:spacing w:line="360" w:lineRule="auto"/>
              <w:ind w:right="0" w:right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u w:val="none"/>
              </w:rPr>
              <w:t>投标人</w:t>
            </w:r>
            <w:r>
              <w:rPr>
                <w:rFonts w:hint="eastAsia" w:ascii="宋体" w:hAnsi="宋体" w:eastAsia="宋体" w:cs="宋体"/>
                <w:b w:val="0"/>
                <w:bCs w:val="0"/>
                <w:color w:val="auto"/>
                <w:sz w:val="21"/>
                <w:szCs w:val="21"/>
                <w:highlight w:val="none"/>
              </w:rPr>
              <w:t>近</w:t>
            </w:r>
            <w:r>
              <w:rPr>
                <w:rFonts w:hint="eastAsia" w:ascii="宋体" w:hAnsi="宋体" w:eastAsia="宋体" w:cs="宋体"/>
                <w:b w:val="0"/>
                <w:bCs w:val="0"/>
                <w:color w:val="auto"/>
                <w:sz w:val="21"/>
                <w:szCs w:val="21"/>
                <w:highlight w:val="none"/>
                <w:lang w:val="en-US" w:eastAsia="zh-CN"/>
              </w:rPr>
              <w:t>五</w:t>
            </w:r>
            <w:r>
              <w:rPr>
                <w:rFonts w:hint="eastAsia" w:ascii="宋体" w:hAnsi="宋体" w:eastAsia="宋体" w:cs="宋体"/>
                <w:b w:val="0"/>
                <w:bCs w:val="0"/>
                <w:color w:val="auto"/>
                <w:sz w:val="21"/>
                <w:szCs w:val="21"/>
                <w:highlight w:val="none"/>
              </w:rPr>
              <w:t>年（从</w:t>
            </w:r>
            <w:r>
              <w:rPr>
                <w:rFonts w:hint="eastAsia" w:ascii="宋体" w:hAnsi="宋体" w:eastAsia="宋体" w:cs="宋体"/>
                <w:b w:val="0"/>
                <w:bCs w:val="0"/>
                <w:color w:val="auto"/>
                <w:sz w:val="21"/>
                <w:szCs w:val="21"/>
                <w:highlight w:val="none"/>
                <w:lang w:val="en-US" w:eastAsia="zh-CN"/>
              </w:rPr>
              <w:t>201</w:t>
            </w: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kern w:val="0"/>
                <w:sz w:val="21"/>
                <w:szCs w:val="21"/>
                <w:highlight w:val="none"/>
              </w:rPr>
              <w:t>年</w:t>
            </w:r>
            <w:r>
              <w:rPr>
                <w:rFonts w:hint="eastAsia" w:ascii="宋体" w:hAnsi="宋体" w:cs="宋体"/>
                <w:b w:val="0"/>
                <w:bCs w:val="0"/>
                <w:color w:val="auto"/>
                <w:kern w:val="0"/>
                <w:sz w:val="21"/>
                <w:szCs w:val="21"/>
                <w:highlight w:val="none"/>
                <w:lang w:val="en-US" w:eastAsia="zh-CN"/>
              </w:rPr>
              <w:t>12</w:t>
            </w:r>
            <w:r>
              <w:rPr>
                <w:rFonts w:hint="eastAsia" w:ascii="宋体" w:hAnsi="宋体" w:eastAsia="宋体" w:cs="宋体"/>
                <w:b w:val="0"/>
                <w:bCs w:val="0"/>
                <w:color w:val="auto"/>
                <w:kern w:val="0"/>
                <w:sz w:val="21"/>
                <w:szCs w:val="21"/>
                <w:highlight w:val="none"/>
              </w:rPr>
              <w:t>月</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日至今</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投标人承接过</w:t>
            </w:r>
            <w:r>
              <w:rPr>
                <w:rFonts w:hint="eastAsia" w:ascii="宋体" w:hAnsi="宋体" w:cs="宋体"/>
                <w:b w:val="0"/>
                <w:bCs w:val="0"/>
                <w:color w:val="auto"/>
                <w:sz w:val="21"/>
                <w:szCs w:val="21"/>
                <w:highlight w:val="none"/>
                <w:lang w:val="en-US" w:eastAsia="zh-CN"/>
              </w:rPr>
              <w:t>建安费</w:t>
            </w:r>
            <w:r>
              <w:rPr>
                <w:rFonts w:hint="eastAsia" w:ascii="宋体" w:hAnsi="宋体" w:eastAsia="宋体" w:cs="宋体"/>
                <w:b w:val="0"/>
                <w:bCs w:val="0"/>
                <w:color w:val="auto"/>
                <w:sz w:val="21"/>
                <w:szCs w:val="21"/>
                <w:highlight w:val="none"/>
                <w:lang w:val="en-US" w:eastAsia="zh-CN"/>
              </w:rPr>
              <w:t>不小于1亿的全过程咨询服务业绩的每个得2分，满分为8分；</w:t>
            </w:r>
          </w:p>
          <w:p>
            <w:pPr>
              <w:numPr>
                <w:ilvl w:val="0"/>
                <w:numId w:val="0"/>
              </w:numPr>
              <w:adjustRightInd/>
              <w:snapToGrid/>
              <w:spacing w:line="360" w:lineRule="auto"/>
              <w:ind w:right="0" w:rightChars="0"/>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备注：（1）</w:t>
            </w:r>
            <w:r>
              <w:rPr>
                <w:rFonts w:hint="eastAsia" w:ascii="宋体" w:hAnsi="宋体" w:eastAsia="宋体" w:cs="宋体"/>
                <w:b/>
                <w:bCs/>
                <w:color w:val="auto"/>
                <w:sz w:val="21"/>
                <w:szCs w:val="21"/>
                <w:highlight w:val="none"/>
                <w:lang w:val="en-US" w:eastAsia="zh-CN"/>
              </w:rPr>
              <w:t>本项最高得8分。全过程咨询服务</w:t>
            </w:r>
            <w:r>
              <w:rPr>
                <w:rFonts w:hint="eastAsia" w:ascii="宋体" w:hAnsi="宋体" w:cs="宋体"/>
                <w:b/>
                <w:bCs/>
                <w:color w:val="auto"/>
                <w:sz w:val="21"/>
                <w:szCs w:val="21"/>
                <w:highlight w:val="none"/>
                <w:lang w:val="en-US" w:eastAsia="zh-CN"/>
              </w:rPr>
              <w:t>业绩需同时包含监理及全过程造价服务；</w:t>
            </w:r>
          </w:p>
          <w:p>
            <w:pPr>
              <w:numPr>
                <w:ilvl w:val="0"/>
                <w:numId w:val="0"/>
              </w:numPr>
              <w:adjustRightInd/>
              <w:snapToGrid/>
              <w:spacing w:line="360" w:lineRule="auto"/>
              <w:ind w:right="0" w:rightChars="0"/>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提供合同关键页（含签订合同双方的单位名称、合同项目名称、签订合同双方的落款盖章、签订日期等关键页）的复印件或扫描件并加盖投标人公章。提供的资料需有能反映总规模的证明材料。无提供或提供的证明资料不齐全的，相应项目不得分。</w:t>
            </w:r>
          </w:p>
          <w:p>
            <w:pPr>
              <w:numPr>
                <w:ilvl w:val="0"/>
                <w:numId w:val="0"/>
              </w:numPr>
              <w:spacing w:line="360" w:lineRule="auto"/>
              <w:jc w:val="left"/>
              <w:rPr>
                <w:rFonts w:hint="eastAsia" w:ascii="宋体" w:hAnsi="宋体" w:eastAsia="宋体" w:cs="宋体"/>
                <w:b w:val="0"/>
                <w:bCs w:val="0"/>
                <w:color w:val="auto"/>
                <w:sz w:val="21"/>
                <w:szCs w:val="21"/>
                <w:highlight w:val="none"/>
                <w:u w:val="none"/>
                <w:lang w:val="en-US" w:eastAsia="zh-CN"/>
              </w:rPr>
            </w:pPr>
          </w:p>
          <w:p>
            <w:pPr>
              <w:numPr>
                <w:ilvl w:val="0"/>
                <w:numId w:val="0"/>
              </w:numPr>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none"/>
                <w:lang w:val="en-US" w:eastAsia="zh-CN"/>
              </w:rPr>
              <w:t>二、</w:t>
            </w:r>
            <w:r>
              <w:rPr>
                <w:rFonts w:hint="eastAsia" w:ascii="宋体" w:hAnsi="宋体" w:eastAsia="宋体" w:cs="宋体"/>
                <w:b w:val="0"/>
                <w:bCs w:val="0"/>
                <w:color w:val="auto"/>
                <w:sz w:val="21"/>
                <w:szCs w:val="21"/>
                <w:highlight w:val="none"/>
                <w:u w:val="none"/>
              </w:rPr>
              <w:t>投标人</w:t>
            </w:r>
            <w:r>
              <w:rPr>
                <w:rFonts w:hint="eastAsia" w:ascii="宋体" w:hAnsi="宋体" w:eastAsia="宋体" w:cs="宋体"/>
                <w:b w:val="0"/>
                <w:bCs w:val="0"/>
                <w:color w:val="auto"/>
                <w:sz w:val="21"/>
                <w:szCs w:val="21"/>
                <w:highlight w:val="none"/>
              </w:rPr>
              <w:t>近</w:t>
            </w:r>
            <w:r>
              <w:rPr>
                <w:rFonts w:hint="eastAsia" w:ascii="宋体" w:hAnsi="宋体" w:eastAsia="宋体" w:cs="宋体"/>
                <w:b w:val="0"/>
                <w:bCs w:val="0"/>
                <w:color w:val="auto"/>
                <w:sz w:val="21"/>
                <w:szCs w:val="21"/>
                <w:highlight w:val="none"/>
                <w:lang w:val="en-US" w:eastAsia="zh-CN"/>
              </w:rPr>
              <w:t>五</w:t>
            </w:r>
            <w:r>
              <w:rPr>
                <w:rFonts w:hint="eastAsia" w:ascii="宋体" w:hAnsi="宋体" w:eastAsia="宋体" w:cs="宋体"/>
                <w:b w:val="0"/>
                <w:bCs w:val="0"/>
                <w:color w:val="auto"/>
                <w:sz w:val="21"/>
                <w:szCs w:val="21"/>
                <w:highlight w:val="none"/>
              </w:rPr>
              <w:t>年（从</w:t>
            </w:r>
            <w:r>
              <w:rPr>
                <w:rFonts w:hint="eastAsia" w:ascii="宋体" w:hAnsi="宋体" w:eastAsia="宋体" w:cs="宋体"/>
                <w:b w:val="0"/>
                <w:bCs w:val="0"/>
                <w:color w:val="auto"/>
                <w:sz w:val="21"/>
                <w:szCs w:val="21"/>
                <w:highlight w:val="none"/>
                <w:lang w:val="en-US" w:eastAsia="zh-CN"/>
              </w:rPr>
              <w:t>201</w:t>
            </w:r>
            <w:r>
              <w:rPr>
                <w:rFonts w:hint="eastAsia" w:ascii="宋体" w:hAnsi="宋体" w:cs="宋体"/>
                <w:b w:val="0"/>
                <w:bCs w:val="0"/>
                <w:color w:val="auto"/>
                <w:sz w:val="21"/>
                <w:szCs w:val="21"/>
                <w:highlight w:val="none"/>
                <w:lang w:val="en-US" w:eastAsia="zh-CN"/>
              </w:rPr>
              <w:t>7</w:t>
            </w:r>
            <w:r>
              <w:rPr>
                <w:rFonts w:hint="eastAsia" w:ascii="宋体" w:hAnsi="宋体" w:eastAsia="宋体" w:cs="宋体"/>
                <w:b w:val="0"/>
                <w:bCs w:val="0"/>
                <w:color w:val="auto"/>
                <w:kern w:val="0"/>
                <w:sz w:val="21"/>
                <w:szCs w:val="21"/>
                <w:highlight w:val="none"/>
              </w:rPr>
              <w:t>年</w:t>
            </w:r>
            <w:r>
              <w:rPr>
                <w:rFonts w:hint="eastAsia" w:ascii="宋体" w:hAnsi="宋体" w:cs="宋体"/>
                <w:b w:val="0"/>
                <w:bCs w:val="0"/>
                <w:color w:val="auto"/>
                <w:kern w:val="0"/>
                <w:sz w:val="21"/>
                <w:szCs w:val="21"/>
                <w:highlight w:val="none"/>
                <w:lang w:val="en-US" w:eastAsia="zh-CN"/>
              </w:rPr>
              <w:t>12</w:t>
            </w:r>
            <w:r>
              <w:rPr>
                <w:rFonts w:hint="eastAsia" w:ascii="宋体" w:hAnsi="宋体" w:eastAsia="宋体" w:cs="宋体"/>
                <w:b w:val="0"/>
                <w:bCs w:val="0"/>
                <w:color w:val="auto"/>
                <w:kern w:val="0"/>
                <w:sz w:val="21"/>
                <w:szCs w:val="21"/>
                <w:highlight w:val="none"/>
              </w:rPr>
              <w:t>月</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rPr>
              <w:t>日至今</w:t>
            </w:r>
            <w:r>
              <w:rPr>
                <w:rFonts w:hint="eastAsia" w:ascii="宋体" w:hAnsi="宋体" w:eastAsia="宋体" w:cs="宋体"/>
                <w:b w:val="0"/>
                <w:bCs w:val="0"/>
                <w:color w:val="auto"/>
                <w:sz w:val="21"/>
                <w:szCs w:val="21"/>
                <w:highlight w:val="none"/>
              </w:rPr>
              <w:t>）监理的</w:t>
            </w:r>
            <w:r>
              <w:rPr>
                <w:rFonts w:hint="eastAsia" w:ascii="宋体" w:hAnsi="宋体" w:eastAsia="宋体" w:cs="宋体"/>
                <w:b/>
                <w:bCs/>
                <w:color w:val="auto"/>
                <w:sz w:val="21"/>
                <w:szCs w:val="21"/>
                <w:highlight w:val="none"/>
                <w:lang w:val="en-US" w:eastAsia="zh-CN"/>
              </w:rPr>
              <w:t>房屋建筑工程</w:t>
            </w:r>
            <w:r>
              <w:rPr>
                <w:rFonts w:hint="eastAsia" w:ascii="宋体" w:hAnsi="宋体" w:eastAsia="宋体" w:cs="宋体"/>
                <w:b w:val="0"/>
                <w:bCs w:val="0"/>
                <w:color w:val="auto"/>
                <w:sz w:val="21"/>
                <w:szCs w:val="21"/>
                <w:highlight w:val="none"/>
              </w:rPr>
              <w:t>曾获以下奖项的，按以下规则得分：</w:t>
            </w:r>
          </w:p>
          <w:p>
            <w:pPr>
              <w:numPr>
                <w:ilvl w:val="0"/>
                <w:numId w:val="0"/>
              </w:numPr>
              <w:spacing w:line="360" w:lineRule="auto"/>
              <w:jc w:val="left"/>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曾获国家级工程建设质量类或安全类奖项的</w:t>
            </w:r>
            <w:r>
              <w:rPr>
                <w:rFonts w:hint="eastAsia" w:ascii="宋体" w:hAnsi="宋体" w:eastAsia="宋体" w:cs="宋体"/>
                <w:b w:val="0"/>
                <w:bCs w:val="0"/>
                <w:color w:val="auto"/>
                <w:sz w:val="21"/>
                <w:szCs w:val="21"/>
                <w:highlight w:val="none"/>
                <w:lang w:val="en-US" w:eastAsia="zh-CN"/>
              </w:rPr>
              <w:t>每项</w:t>
            </w:r>
            <w:r>
              <w:rPr>
                <w:rFonts w:hint="eastAsia" w:ascii="宋体" w:hAnsi="宋体" w:eastAsia="宋体" w:cs="宋体"/>
                <w:b w:val="0"/>
                <w:bCs w:val="0"/>
                <w:color w:val="auto"/>
                <w:sz w:val="21"/>
                <w:szCs w:val="21"/>
                <w:highlight w:val="none"/>
              </w:rPr>
              <w:t>得</w:t>
            </w:r>
            <w:r>
              <w:rPr>
                <w:rFonts w:hint="eastAsia" w:ascii="宋体" w:hAnsi="宋体" w:cs="宋体"/>
                <w:b w:val="0"/>
                <w:bCs w:val="0"/>
                <w:color w:val="auto"/>
                <w:sz w:val="21"/>
                <w:szCs w:val="21"/>
                <w:highlight w:val="none"/>
                <w:u w:val="none"/>
                <w:lang w:val="en-US" w:eastAsia="zh-CN"/>
              </w:rPr>
              <w:t>3</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本项最多得</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rPr>
              <w:t>；</w:t>
            </w:r>
          </w:p>
          <w:p>
            <w:pPr>
              <w:numPr>
                <w:ilvl w:val="0"/>
                <w:numId w:val="0"/>
              </w:numPr>
              <w:spacing w:line="360" w:lineRule="auto"/>
              <w:jc w:val="left"/>
              <w:rPr>
                <w:rFonts w:hint="eastAsia" w:ascii="宋体" w:hAnsi="宋体" w:eastAsia="宋体" w:cs="宋体"/>
                <w:b w:val="0"/>
                <w:bCs w:val="0"/>
                <w:i/>
                <w:color w:val="auto"/>
                <w:sz w:val="21"/>
                <w:szCs w:val="21"/>
                <w:highlight w:val="none"/>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获省级工程建设质量或安全类奖项的每项得</w:t>
            </w:r>
            <w:r>
              <w:rPr>
                <w:rFonts w:hint="eastAsia" w:ascii="宋体" w:hAnsi="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本项最多得</w:t>
            </w:r>
            <w:r>
              <w:rPr>
                <w:rFonts w:hint="eastAsia" w:ascii="宋体" w:hAnsi="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rPr>
              <w:t>；</w:t>
            </w:r>
          </w:p>
          <w:p>
            <w:pPr>
              <w:numPr>
                <w:ilvl w:val="0"/>
                <w:numId w:val="0"/>
              </w:numPr>
              <w:spacing w:line="360" w:lineRule="auto"/>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获地市级工程建设质量类或安全奖项的每项得</w:t>
            </w:r>
            <w:r>
              <w:rPr>
                <w:rFonts w:hint="eastAsia" w:ascii="宋体" w:hAnsi="宋体" w:eastAsia="宋体" w:cs="宋体"/>
                <w:b w:val="0"/>
                <w:bCs w:val="0"/>
                <w:color w:val="auto"/>
                <w:sz w:val="21"/>
                <w:szCs w:val="21"/>
                <w:highlight w:val="none"/>
                <w:u w:val="none"/>
                <w:lang w:val="en-US" w:eastAsia="zh-CN"/>
              </w:rPr>
              <w:t>1</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本项最多得</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rPr>
              <w:t>；</w:t>
            </w:r>
          </w:p>
          <w:p>
            <w:pPr>
              <w:numPr>
                <w:ilvl w:val="0"/>
                <w:numId w:val="0"/>
              </w:num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lang w:eastAsia="zh-CN"/>
              </w:rPr>
              <w:t>）</w:t>
            </w:r>
            <w:r>
              <w:rPr>
                <w:rFonts w:hint="eastAsia"/>
                <w:b/>
                <w:bCs/>
                <w:color w:val="auto"/>
                <w:sz w:val="21"/>
                <w:szCs w:val="21"/>
                <w:highlight w:val="none"/>
              </w:rPr>
              <w:t>本项</w:t>
            </w:r>
            <w:r>
              <w:rPr>
                <w:rFonts w:hint="eastAsia" w:ascii="宋体" w:hAnsi="宋体" w:eastAsia="宋体" w:cs="宋体"/>
                <w:b/>
                <w:bCs/>
                <w:color w:val="auto"/>
                <w:sz w:val="21"/>
                <w:szCs w:val="21"/>
                <w:highlight w:val="none"/>
              </w:rPr>
              <w:t>最多计算3个奖项</w:t>
            </w:r>
            <w:r>
              <w:rPr>
                <w:rFonts w:hint="eastAsia" w:ascii="宋体" w:hAnsi="宋体" w:cs="宋体"/>
                <w:b/>
                <w:bCs/>
                <w:color w:val="auto"/>
                <w:sz w:val="21"/>
                <w:szCs w:val="21"/>
                <w:highlight w:val="none"/>
                <w:lang w:eastAsia="zh-CN"/>
              </w:rPr>
              <w:t>，</w:t>
            </w:r>
            <w:r>
              <w:rPr>
                <w:rFonts w:hint="eastAsia"/>
                <w:b/>
                <w:bCs/>
                <w:color w:val="auto"/>
                <w:sz w:val="21"/>
                <w:szCs w:val="21"/>
                <w:highlight w:val="none"/>
              </w:rPr>
              <w:t>最</w:t>
            </w:r>
            <w:r>
              <w:rPr>
                <w:rFonts w:hint="eastAsia"/>
                <w:b/>
                <w:bCs/>
                <w:color w:val="auto"/>
                <w:sz w:val="21"/>
                <w:szCs w:val="21"/>
                <w:highlight w:val="none"/>
                <w:lang w:val="en-US" w:eastAsia="zh-CN"/>
              </w:rPr>
              <w:t>高</w:t>
            </w:r>
            <w:r>
              <w:rPr>
                <w:rFonts w:hint="eastAsia"/>
                <w:b/>
                <w:bCs/>
                <w:color w:val="auto"/>
                <w:sz w:val="21"/>
                <w:szCs w:val="21"/>
                <w:highlight w:val="none"/>
              </w:rPr>
              <w:t>得</w:t>
            </w:r>
            <w:r>
              <w:rPr>
                <w:rFonts w:hint="eastAsia"/>
                <w:b/>
                <w:bCs/>
                <w:color w:val="auto"/>
                <w:sz w:val="21"/>
                <w:szCs w:val="21"/>
                <w:highlight w:val="none"/>
                <w:lang w:val="en-US" w:eastAsia="zh-CN"/>
              </w:rPr>
              <w:t>9</w:t>
            </w:r>
            <w:r>
              <w:rPr>
                <w:rFonts w:hint="eastAsia"/>
                <w:b/>
                <w:bCs/>
                <w:color w:val="auto"/>
                <w:sz w:val="21"/>
                <w:szCs w:val="21"/>
                <w:highlight w:val="none"/>
              </w:rPr>
              <w:t>分</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zh-CN"/>
              </w:rPr>
              <w:t>获奖的时效以获奖证明文件所载明评奖年度为准。</w:t>
            </w:r>
            <w:r>
              <w:rPr>
                <w:rFonts w:hint="eastAsia" w:ascii="宋体" w:hAnsi="宋体" w:eastAsia="宋体" w:cs="宋体"/>
                <w:b/>
                <w:bCs/>
                <w:color w:val="auto"/>
                <w:sz w:val="21"/>
                <w:szCs w:val="21"/>
                <w:highlight w:val="none"/>
                <w:lang w:val="en-US" w:eastAsia="zh-CN"/>
              </w:rPr>
              <w:t>按最高级别的奖项只计算一次。</w:t>
            </w:r>
          </w:p>
          <w:p>
            <w:pPr>
              <w:numPr>
                <w:ilvl w:val="0"/>
                <w:numId w:val="0"/>
              </w:numPr>
              <w:spacing w:line="360" w:lineRule="auto"/>
              <w:rPr>
                <w:rFonts w:ascii="宋体" w:hAnsi="宋体" w:cs="宋体"/>
                <w:color w:val="auto"/>
                <w:sz w:val="21"/>
                <w:szCs w:val="21"/>
                <w:highlight w:val="none"/>
              </w:rPr>
            </w:pP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w:t>
            </w:r>
            <w:r>
              <w:rPr>
                <w:rFonts w:hint="eastAsia" w:eastAsia="宋体" w:cs="宋体"/>
                <w:b/>
                <w:bCs/>
                <w:color w:val="auto"/>
                <w:sz w:val="21"/>
                <w:szCs w:val="21"/>
                <w:highlight w:val="none"/>
                <w:lang w:val="en-US" w:eastAsia="zh-CN"/>
              </w:rPr>
              <w:t>提供</w:t>
            </w:r>
            <w:r>
              <w:rPr>
                <w:rFonts w:hint="eastAsia" w:eastAsia="宋体" w:cs="宋体"/>
                <w:b/>
                <w:bCs/>
                <w:color w:val="auto"/>
                <w:sz w:val="21"/>
                <w:szCs w:val="21"/>
                <w:highlight w:val="none"/>
              </w:rPr>
              <w:t>获奖证明资料，以国家、省级、市级人民政府或行业建设主管部门或经民政部门批准成立的相关行业协会颁发的获奖证书或获奖正式文件为准</w:t>
            </w:r>
            <w:r>
              <w:rPr>
                <w:rFonts w:hint="eastAsia" w:eastAsia="宋体" w:cs="宋体"/>
                <w:b/>
                <w:bCs/>
                <w:color w:val="auto"/>
                <w:sz w:val="21"/>
                <w:szCs w:val="21"/>
                <w:highlight w:val="none"/>
                <w:lang w:eastAsia="zh-CN"/>
              </w:rPr>
              <w:t>，</w:t>
            </w:r>
            <w:r>
              <w:rPr>
                <w:rFonts w:hint="eastAsia" w:eastAsia="宋体" w:cs="宋体"/>
                <w:b/>
                <w:bCs/>
                <w:color w:val="auto"/>
                <w:sz w:val="21"/>
                <w:szCs w:val="21"/>
                <w:highlight w:val="none"/>
                <w:lang w:val="en-US" w:eastAsia="zh-CN"/>
              </w:rPr>
              <w:t>不提供不得分</w:t>
            </w:r>
            <w:r>
              <w:rPr>
                <w:rFonts w:hint="eastAsia" w:eastAsia="宋体" w:cs="宋体"/>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942" w:type="dxa"/>
            <w:vMerge w:val="continue"/>
            <w:vAlign w:val="center"/>
          </w:tcPr>
          <w:p>
            <w:pPr>
              <w:spacing w:line="360" w:lineRule="auto"/>
              <w:jc w:val="center"/>
              <w:rPr>
                <w:rFonts w:ascii="宋体" w:hAnsi="宋体"/>
                <w:color w:val="auto"/>
                <w:sz w:val="21"/>
                <w:szCs w:val="21"/>
                <w:highlight w:val="none"/>
              </w:rPr>
            </w:pPr>
          </w:p>
        </w:tc>
        <w:tc>
          <w:tcPr>
            <w:tcW w:w="1372" w:type="dxa"/>
            <w:vAlign w:val="center"/>
          </w:tcPr>
          <w:p>
            <w:pPr>
              <w:spacing w:line="360" w:lineRule="auto"/>
              <w:ind w:right="120" w:rightChars="50"/>
              <w:jc w:val="center"/>
              <w:rPr>
                <w:rFonts w:ascii="宋体" w:hAnsi="宋体" w:cs="宋体"/>
                <w:color w:val="auto"/>
                <w:sz w:val="21"/>
                <w:szCs w:val="21"/>
                <w:highlight w:val="none"/>
              </w:rPr>
            </w:pPr>
            <w:r>
              <w:rPr>
                <w:rFonts w:hint="eastAsia" w:ascii="宋体" w:hAnsi="宋体" w:cs="宋体"/>
                <w:color w:val="auto"/>
                <w:sz w:val="21"/>
                <w:szCs w:val="21"/>
                <w:highlight w:val="none"/>
              </w:rPr>
              <w:t>企业信誉及整体实力（15分）</w:t>
            </w:r>
          </w:p>
        </w:tc>
        <w:tc>
          <w:tcPr>
            <w:tcW w:w="6915" w:type="dxa"/>
            <w:vAlign w:val="center"/>
          </w:tcPr>
          <w:p>
            <w:pPr>
              <w:pStyle w:val="34"/>
              <w:numPr>
                <w:ilvl w:val="0"/>
                <w:numId w:val="16"/>
              </w:numPr>
              <w:spacing w:line="360" w:lineRule="auto"/>
              <w:rPr>
                <w:rFonts w:hint="eastAsia"/>
                <w:color w:val="auto"/>
                <w:sz w:val="21"/>
                <w:szCs w:val="21"/>
                <w:highlight w:val="none"/>
              </w:rPr>
            </w:pPr>
            <w:r>
              <w:rPr>
                <w:rFonts w:hint="eastAsia"/>
                <w:color w:val="auto"/>
                <w:sz w:val="21"/>
                <w:szCs w:val="21"/>
                <w:highlight w:val="none"/>
              </w:rPr>
              <w:t>企业获得过国家工商部门颁发或公示的“守合同重信用企业”荣誉的得4分，获得过省级工商部门颁发或公示的“守合同重信用企业”荣誉的得2分，获得过市级工商部门颁发或公示的“守合同重信用企业”荣誉的得1分。</w:t>
            </w:r>
          </w:p>
          <w:p>
            <w:pPr>
              <w:pStyle w:val="34"/>
              <w:numPr>
                <w:ilvl w:val="0"/>
                <w:numId w:val="0"/>
              </w:numPr>
              <w:spacing w:line="360" w:lineRule="auto"/>
              <w:rPr>
                <w:rFonts w:hint="eastAsia"/>
                <w:b/>
                <w:bCs/>
                <w:color w:val="auto"/>
                <w:sz w:val="21"/>
                <w:szCs w:val="21"/>
                <w:highlight w:val="none"/>
              </w:rPr>
            </w:pPr>
            <w:r>
              <w:rPr>
                <w:rFonts w:hint="eastAsia"/>
                <w:b/>
                <w:bCs/>
                <w:color w:val="auto"/>
                <w:sz w:val="21"/>
                <w:szCs w:val="21"/>
                <w:highlight w:val="none"/>
              </w:rPr>
              <w:t>注：</w:t>
            </w:r>
            <w:r>
              <w:rPr>
                <w:rFonts w:hint="eastAsia"/>
                <w:color w:val="auto"/>
                <w:sz w:val="21"/>
                <w:szCs w:val="21"/>
                <w:highlight w:val="none"/>
              </w:rPr>
              <w:t>本项最高得分为4分。</w:t>
            </w:r>
            <w:r>
              <w:rPr>
                <w:rFonts w:hint="eastAsia"/>
                <w:b/>
                <w:bCs/>
                <w:color w:val="auto"/>
                <w:sz w:val="21"/>
                <w:szCs w:val="21"/>
                <w:highlight w:val="none"/>
              </w:rPr>
              <w:t>本项不累计，并且以获奖最高级别为准。</w:t>
            </w:r>
            <w:r>
              <w:rPr>
                <w:rFonts w:hint="eastAsia" w:ascii="宋体" w:hAnsi="宋体" w:eastAsia="宋体" w:cs="宋体"/>
                <w:b/>
                <w:bCs/>
                <w:color w:val="auto"/>
                <w:kern w:val="0"/>
                <w:sz w:val="21"/>
                <w:szCs w:val="21"/>
                <w:highlight w:val="none"/>
              </w:rPr>
              <w:t>“守合同重信用企业”或“重合同守信用企业”称号以工商监管部门或由工商行政管理局主管的行业协会颁发的为准</w:t>
            </w:r>
            <w:r>
              <w:rPr>
                <w:rFonts w:hint="eastAsia" w:ascii="宋体" w:hAnsi="宋体" w:eastAsia="宋体" w:cs="宋体"/>
                <w:b/>
                <w:bCs/>
                <w:color w:val="auto"/>
                <w:kern w:val="0"/>
                <w:sz w:val="21"/>
                <w:szCs w:val="21"/>
                <w:highlight w:val="none"/>
                <w:lang w:eastAsia="zh-CN"/>
              </w:rPr>
              <w:t>。</w:t>
            </w:r>
            <w:r>
              <w:rPr>
                <w:rFonts w:hint="eastAsia"/>
                <w:b/>
                <w:bCs/>
                <w:color w:val="auto"/>
                <w:sz w:val="21"/>
                <w:szCs w:val="21"/>
                <w:highlight w:val="none"/>
              </w:rPr>
              <w:t>提供相关证明证书的复印件或扫描件并加盖投标人公章</w:t>
            </w:r>
            <w:r>
              <w:rPr>
                <w:rFonts w:hint="eastAsia" w:ascii="宋体" w:hAnsi="宋体" w:eastAsia="宋体" w:cs="宋体"/>
                <w:b/>
                <w:bCs/>
                <w:color w:val="auto"/>
                <w:kern w:val="0"/>
                <w:sz w:val="21"/>
                <w:szCs w:val="21"/>
                <w:highlight w:val="none"/>
                <w:lang w:val="en-US" w:eastAsia="zh-CN"/>
              </w:rPr>
              <w:t>或</w:t>
            </w:r>
            <w:r>
              <w:rPr>
                <w:rFonts w:hint="eastAsia" w:ascii="宋体" w:hAnsi="宋体" w:eastAsia="宋体" w:cs="宋体"/>
                <w:b/>
                <w:bCs/>
                <w:color w:val="auto"/>
                <w:kern w:val="0"/>
                <w:sz w:val="21"/>
                <w:szCs w:val="21"/>
                <w:highlight w:val="none"/>
              </w:rPr>
              <w:t>提供对应级别的市场监督管理局或由工商行政管理局主管的行业协会查询网页截图</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rPr>
              <w:t>提供有效的查询网址</w:t>
            </w:r>
            <w:r>
              <w:rPr>
                <w:rFonts w:hint="eastAsia" w:ascii="宋体" w:hAnsi="宋体" w:cs="宋体"/>
                <w:b/>
                <w:bCs/>
                <w:color w:val="auto"/>
                <w:sz w:val="21"/>
                <w:szCs w:val="21"/>
                <w:highlight w:val="none"/>
                <w:lang w:val="en-US" w:eastAsia="zh-CN"/>
              </w:rPr>
              <w:t>进行</w:t>
            </w:r>
            <w:r>
              <w:rPr>
                <w:rFonts w:hint="eastAsia" w:ascii="宋体" w:hAnsi="宋体" w:cs="宋体"/>
                <w:b/>
                <w:bCs/>
                <w:color w:val="auto"/>
                <w:sz w:val="21"/>
                <w:szCs w:val="21"/>
                <w:highlight w:val="none"/>
              </w:rPr>
              <w:t>查实</w:t>
            </w:r>
            <w:r>
              <w:rPr>
                <w:rFonts w:hint="eastAsia" w:ascii="宋体" w:hAnsi="宋体" w:cs="宋体"/>
                <w:b/>
                <w:bCs/>
                <w:color w:val="auto"/>
                <w:sz w:val="21"/>
                <w:szCs w:val="21"/>
                <w:highlight w:val="none"/>
                <w:lang w:eastAsia="zh-CN"/>
              </w:rPr>
              <w:t>）</w:t>
            </w:r>
            <w:r>
              <w:rPr>
                <w:rFonts w:hint="eastAsia" w:ascii="宋体" w:hAnsi="宋体" w:eastAsia="宋体" w:cs="宋体"/>
                <w:b/>
                <w:bCs/>
                <w:color w:val="auto"/>
                <w:kern w:val="2"/>
                <w:sz w:val="21"/>
                <w:szCs w:val="21"/>
                <w:highlight w:val="none"/>
                <w:lang w:val="en-US" w:eastAsia="zh-CN" w:bidi="ar-SA"/>
              </w:rPr>
              <w:t>加盖公章</w:t>
            </w:r>
            <w:r>
              <w:rPr>
                <w:rFonts w:hint="eastAsia"/>
                <w:b/>
                <w:bCs/>
                <w:color w:val="auto"/>
                <w:sz w:val="21"/>
                <w:szCs w:val="21"/>
                <w:highlight w:val="none"/>
              </w:rPr>
              <w:t>。无提供或提供的证明资料不齐全的，相应项目不得分。</w:t>
            </w:r>
          </w:p>
          <w:p>
            <w:pPr>
              <w:pStyle w:val="34"/>
              <w:spacing w:line="360" w:lineRule="auto"/>
              <w:rPr>
                <w:rFonts w:hint="eastAsia"/>
                <w:color w:val="auto"/>
                <w:sz w:val="21"/>
                <w:szCs w:val="21"/>
                <w:highlight w:val="none"/>
              </w:rPr>
            </w:pPr>
          </w:p>
          <w:p>
            <w:pPr>
              <w:pStyle w:val="34"/>
              <w:spacing w:line="360" w:lineRule="auto"/>
              <w:rPr>
                <w:rFonts w:hint="eastAsia"/>
                <w:color w:val="auto"/>
                <w:sz w:val="21"/>
                <w:szCs w:val="21"/>
                <w:highlight w:val="none"/>
              </w:rPr>
            </w:pPr>
            <w:r>
              <w:rPr>
                <w:rFonts w:hint="eastAsia"/>
                <w:color w:val="auto"/>
                <w:sz w:val="21"/>
                <w:szCs w:val="21"/>
                <w:highlight w:val="none"/>
              </w:rPr>
              <w:t>二、企业曾获国家级建设监理协会颁发的“先进工程监理企业”的得3分，获省级建设监理协会颁发的“先进工程监理企业”的得2分，获市级建设监理协会颁发的“先进工程监理企业”的得1分。</w:t>
            </w:r>
          </w:p>
          <w:p>
            <w:pPr>
              <w:pStyle w:val="34"/>
              <w:spacing w:line="360" w:lineRule="auto"/>
              <w:rPr>
                <w:rFonts w:hint="eastAsia"/>
                <w:color w:val="auto"/>
                <w:sz w:val="21"/>
                <w:szCs w:val="21"/>
                <w:highlight w:val="none"/>
              </w:rPr>
            </w:pPr>
            <w:r>
              <w:rPr>
                <w:rFonts w:hint="eastAsia"/>
                <w:b/>
                <w:bCs/>
                <w:color w:val="auto"/>
                <w:sz w:val="21"/>
                <w:szCs w:val="21"/>
                <w:highlight w:val="none"/>
              </w:rPr>
              <w:t>注：</w:t>
            </w:r>
            <w:r>
              <w:rPr>
                <w:rFonts w:hint="eastAsia"/>
                <w:color w:val="auto"/>
                <w:sz w:val="21"/>
                <w:szCs w:val="21"/>
                <w:highlight w:val="none"/>
              </w:rPr>
              <w:t>本项最高得3分。</w:t>
            </w:r>
            <w:r>
              <w:rPr>
                <w:rFonts w:hint="eastAsia"/>
                <w:b/>
                <w:bCs/>
                <w:color w:val="auto"/>
                <w:sz w:val="21"/>
                <w:szCs w:val="21"/>
                <w:highlight w:val="none"/>
              </w:rPr>
              <w:t>本项不累计，并且以获奖最高级别为准。提供相关证明证书的复印件或扫描件并加盖投标人公章。无提供或提供的证明资料不齐全的，相应项目不得分。</w:t>
            </w:r>
          </w:p>
          <w:p>
            <w:pPr>
              <w:pStyle w:val="34"/>
              <w:spacing w:line="360" w:lineRule="auto"/>
              <w:rPr>
                <w:rFonts w:hint="eastAsia"/>
                <w:color w:val="auto"/>
                <w:sz w:val="21"/>
                <w:szCs w:val="21"/>
                <w:highlight w:val="none"/>
              </w:rPr>
            </w:pPr>
          </w:p>
          <w:p>
            <w:pPr>
              <w:pStyle w:val="34"/>
              <w:spacing w:line="360" w:lineRule="auto"/>
              <w:rPr>
                <w:rFonts w:hint="eastAsia" w:eastAsia="宋体"/>
                <w:color w:val="auto"/>
                <w:sz w:val="21"/>
                <w:szCs w:val="21"/>
                <w:highlight w:val="none"/>
                <w:lang w:eastAsia="zh-CN"/>
              </w:rPr>
            </w:pPr>
            <w:r>
              <w:rPr>
                <w:rFonts w:hint="eastAsia"/>
                <w:color w:val="auto"/>
                <w:sz w:val="21"/>
                <w:szCs w:val="21"/>
                <w:highlight w:val="none"/>
              </w:rPr>
              <w:t>三、企业获得市级或以上税务部门的A级纳税人称号的，横向对比各投标人，连续时间最长的得</w:t>
            </w:r>
            <w:r>
              <w:rPr>
                <w:rFonts w:hint="eastAsia"/>
                <w:color w:val="auto"/>
                <w:sz w:val="21"/>
                <w:szCs w:val="21"/>
                <w:highlight w:val="none"/>
                <w:lang w:val="en-US" w:eastAsia="zh-CN"/>
              </w:rPr>
              <w:t>5</w:t>
            </w:r>
            <w:r>
              <w:rPr>
                <w:rFonts w:hint="eastAsia"/>
                <w:color w:val="auto"/>
                <w:sz w:val="21"/>
                <w:szCs w:val="21"/>
                <w:highlight w:val="none"/>
              </w:rPr>
              <w:t>分，连续时间长排第二的得</w:t>
            </w:r>
            <w:r>
              <w:rPr>
                <w:rFonts w:hint="eastAsia"/>
                <w:color w:val="auto"/>
                <w:sz w:val="21"/>
                <w:szCs w:val="21"/>
                <w:highlight w:val="none"/>
                <w:lang w:val="en-US" w:eastAsia="zh-CN"/>
              </w:rPr>
              <w:t>3</w:t>
            </w:r>
            <w:r>
              <w:rPr>
                <w:rFonts w:hint="eastAsia"/>
                <w:color w:val="auto"/>
                <w:sz w:val="21"/>
                <w:szCs w:val="21"/>
                <w:highlight w:val="none"/>
              </w:rPr>
              <w:t>分，连续时间长排第三的得1分，其他的不得分。</w:t>
            </w:r>
          </w:p>
          <w:p>
            <w:pPr>
              <w:pStyle w:val="34"/>
              <w:spacing w:line="360" w:lineRule="auto"/>
              <w:rPr>
                <w:rFonts w:hint="eastAsia"/>
                <w:color w:val="auto"/>
                <w:sz w:val="21"/>
                <w:szCs w:val="21"/>
                <w:highlight w:val="none"/>
              </w:rPr>
            </w:pPr>
            <w:r>
              <w:rPr>
                <w:rFonts w:hint="eastAsia"/>
                <w:b/>
                <w:bCs/>
                <w:color w:val="auto"/>
                <w:sz w:val="21"/>
                <w:szCs w:val="21"/>
                <w:highlight w:val="none"/>
                <w:lang w:val="en-US" w:eastAsia="zh-CN"/>
              </w:rPr>
              <w:t>注：</w:t>
            </w:r>
            <w:r>
              <w:rPr>
                <w:rFonts w:hint="eastAsia"/>
                <w:color w:val="auto"/>
                <w:sz w:val="21"/>
                <w:szCs w:val="21"/>
                <w:highlight w:val="none"/>
              </w:rPr>
              <w:t>本项最高得</w:t>
            </w:r>
            <w:r>
              <w:rPr>
                <w:rFonts w:hint="eastAsia"/>
                <w:color w:val="auto"/>
                <w:sz w:val="21"/>
                <w:szCs w:val="21"/>
                <w:highlight w:val="none"/>
                <w:lang w:val="en-US" w:eastAsia="zh-CN"/>
              </w:rPr>
              <w:t>5</w:t>
            </w:r>
            <w:r>
              <w:rPr>
                <w:rFonts w:hint="eastAsia"/>
                <w:color w:val="auto"/>
                <w:sz w:val="21"/>
                <w:szCs w:val="21"/>
                <w:highlight w:val="none"/>
              </w:rPr>
              <w:t>分。</w:t>
            </w:r>
            <w:r>
              <w:rPr>
                <w:rFonts w:hint="eastAsia"/>
                <w:b/>
                <w:bCs/>
                <w:color w:val="auto"/>
                <w:sz w:val="21"/>
                <w:szCs w:val="21"/>
                <w:highlight w:val="none"/>
              </w:rPr>
              <w:t>提供相关证明证书的复印件或扫描件并加盖投标人公章。无提供或提供的证明资料不齐全的，相应项目不得分。</w:t>
            </w:r>
          </w:p>
          <w:p>
            <w:pPr>
              <w:pStyle w:val="34"/>
              <w:spacing w:line="360" w:lineRule="auto"/>
              <w:rPr>
                <w:rFonts w:hint="eastAsia"/>
                <w:color w:val="auto"/>
                <w:sz w:val="21"/>
                <w:szCs w:val="21"/>
                <w:highlight w:val="none"/>
              </w:rPr>
            </w:pPr>
          </w:p>
          <w:p>
            <w:pPr>
              <w:pStyle w:val="34"/>
              <w:spacing w:line="360" w:lineRule="auto"/>
              <w:rPr>
                <w:rFonts w:hint="eastAsia"/>
                <w:color w:val="auto"/>
                <w:sz w:val="21"/>
                <w:szCs w:val="21"/>
                <w:highlight w:val="none"/>
              </w:rPr>
            </w:pPr>
            <w:r>
              <w:rPr>
                <w:rFonts w:hint="eastAsia"/>
                <w:color w:val="auto"/>
                <w:sz w:val="21"/>
                <w:szCs w:val="21"/>
                <w:highlight w:val="none"/>
              </w:rPr>
              <w:t>四、同时通过ISO质量管理体系认证、ISO环境体系认证、ISO职业健康安全体系认证的，且证书在有效期内的得</w:t>
            </w:r>
            <w:r>
              <w:rPr>
                <w:rFonts w:hint="eastAsia"/>
                <w:color w:val="auto"/>
                <w:sz w:val="21"/>
                <w:szCs w:val="21"/>
                <w:highlight w:val="none"/>
                <w:lang w:val="en-US" w:eastAsia="zh-CN"/>
              </w:rPr>
              <w:t>3</w:t>
            </w:r>
            <w:r>
              <w:rPr>
                <w:rFonts w:hint="eastAsia"/>
                <w:color w:val="auto"/>
                <w:sz w:val="21"/>
                <w:szCs w:val="21"/>
                <w:highlight w:val="none"/>
              </w:rPr>
              <w:t>分；每少一项扣1分扣完为止。</w:t>
            </w:r>
          </w:p>
          <w:p>
            <w:pPr>
              <w:pStyle w:val="34"/>
              <w:spacing w:line="360" w:lineRule="auto"/>
              <w:rPr>
                <w:color w:val="auto"/>
                <w:sz w:val="21"/>
                <w:szCs w:val="21"/>
                <w:highlight w:val="none"/>
              </w:rPr>
            </w:pPr>
            <w:r>
              <w:rPr>
                <w:rFonts w:hint="eastAsia"/>
                <w:b/>
                <w:bCs/>
                <w:color w:val="auto"/>
                <w:sz w:val="21"/>
                <w:szCs w:val="21"/>
                <w:highlight w:val="none"/>
              </w:rPr>
              <w:t>注：</w:t>
            </w:r>
            <w:r>
              <w:rPr>
                <w:rFonts w:hint="eastAsia"/>
                <w:color w:val="auto"/>
                <w:sz w:val="21"/>
                <w:szCs w:val="21"/>
                <w:highlight w:val="none"/>
              </w:rPr>
              <w:t>本项最</w:t>
            </w:r>
            <w:r>
              <w:rPr>
                <w:rFonts w:hint="eastAsia"/>
                <w:color w:val="auto"/>
                <w:sz w:val="21"/>
                <w:szCs w:val="21"/>
                <w:highlight w:val="none"/>
                <w:lang w:val="en-US" w:eastAsia="zh-CN"/>
              </w:rPr>
              <w:t>高</w:t>
            </w:r>
            <w:r>
              <w:rPr>
                <w:rFonts w:hint="eastAsia"/>
                <w:color w:val="auto"/>
                <w:sz w:val="21"/>
                <w:szCs w:val="21"/>
                <w:highlight w:val="none"/>
              </w:rPr>
              <w:t>得3分。</w:t>
            </w:r>
            <w:r>
              <w:rPr>
                <w:rFonts w:hint="eastAsia"/>
                <w:b/>
                <w:bCs/>
                <w:color w:val="auto"/>
                <w:sz w:val="21"/>
                <w:szCs w:val="21"/>
                <w:highlight w:val="none"/>
              </w:rPr>
              <w:t>提供相关证明证书的复印件或扫描件并加盖投标人公章。无提供或提供的证明资料不齐全的，相应项目不得分。</w:t>
            </w:r>
          </w:p>
        </w:tc>
      </w:tr>
      <w:bookmarkEnd w:id="470"/>
    </w:tbl>
    <w:p>
      <w:pPr>
        <w:rPr>
          <w:rFonts w:hint="eastAsia" w:ascii="宋体" w:hAnsi="宋体"/>
          <w:b/>
          <w:color w:val="auto"/>
          <w:highlight w:val="none"/>
        </w:rPr>
      </w:pPr>
      <w:r>
        <w:rPr>
          <w:rFonts w:hint="eastAsia" w:ascii="宋体" w:hAnsi="宋体"/>
          <w:b/>
          <w:color w:val="auto"/>
          <w:highlight w:val="none"/>
        </w:rPr>
        <w:br w:type="page"/>
      </w:r>
    </w:p>
    <w:p>
      <w:pPr>
        <w:spacing w:line="360" w:lineRule="exact"/>
        <w:jc w:val="center"/>
        <w:rPr>
          <w:rFonts w:ascii="宋体" w:hAnsi="宋体"/>
          <w:b/>
          <w:color w:val="auto"/>
          <w:highlight w:val="none"/>
        </w:rPr>
      </w:pPr>
      <w:r>
        <w:rPr>
          <w:rFonts w:hint="eastAsia" w:ascii="宋体" w:hAnsi="宋体"/>
          <w:b/>
          <w:color w:val="auto"/>
          <w:highlight w:val="none"/>
        </w:rPr>
        <w:t>技术标部分（30分）</w:t>
      </w:r>
    </w:p>
    <w:tbl>
      <w:tblPr>
        <w:tblStyle w:val="23"/>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52"/>
        <w:gridCol w:w="6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988" w:type="dxa"/>
            <w:vAlign w:val="center"/>
          </w:tcPr>
          <w:p>
            <w:pPr>
              <w:spacing w:line="360" w:lineRule="exact"/>
              <w:jc w:val="center"/>
              <w:rPr>
                <w:rFonts w:ascii="宋体" w:hAnsi="宋体" w:cs="宋体"/>
                <w:color w:val="auto"/>
                <w:sz w:val="21"/>
                <w:szCs w:val="21"/>
                <w:highlight w:val="none"/>
              </w:rPr>
            </w:pPr>
            <w:r>
              <w:rPr>
                <w:rFonts w:hint="eastAsia" w:ascii="宋体" w:hAnsi="宋体"/>
                <w:b/>
                <w:color w:val="auto"/>
                <w:highlight w:val="none"/>
              </w:rPr>
              <w:t>条款号</w:t>
            </w:r>
          </w:p>
        </w:tc>
        <w:tc>
          <w:tcPr>
            <w:tcW w:w="1752" w:type="dxa"/>
            <w:vAlign w:val="center"/>
          </w:tcPr>
          <w:p>
            <w:pPr>
              <w:spacing w:line="360" w:lineRule="exact"/>
              <w:jc w:val="center"/>
              <w:rPr>
                <w:rFonts w:ascii="宋体" w:hAnsi="宋体" w:cs="宋体"/>
                <w:color w:val="auto"/>
                <w:sz w:val="21"/>
                <w:szCs w:val="21"/>
                <w:highlight w:val="none"/>
              </w:rPr>
            </w:pPr>
            <w:r>
              <w:rPr>
                <w:rFonts w:hint="eastAsia" w:ascii="宋体" w:hAnsi="宋体"/>
                <w:b/>
                <w:color w:val="auto"/>
                <w:highlight w:val="none"/>
              </w:rPr>
              <w:t>评审内容</w:t>
            </w:r>
          </w:p>
        </w:tc>
        <w:tc>
          <w:tcPr>
            <w:tcW w:w="6478" w:type="dxa"/>
            <w:vAlign w:val="center"/>
          </w:tcPr>
          <w:p>
            <w:pPr>
              <w:spacing w:line="360" w:lineRule="exact"/>
              <w:jc w:val="center"/>
              <w:rPr>
                <w:rFonts w:ascii="宋体" w:hAnsi="宋体" w:cs="宋体"/>
                <w:color w:val="auto"/>
                <w:szCs w:val="21"/>
                <w:highlight w:val="none"/>
              </w:rPr>
            </w:pPr>
            <w:r>
              <w:rPr>
                <w:rFonts w:hint="eastAsia" w:ascii="宋体" w:hAnsi="宋体"/>
                <w:b/>
                <w:color w:val="auto"/>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988" w:type="dxa"/>
            <w:vMerge w:val="restart"/>
            <w:vAlign w:val="center"/>
          </w:tcPr>
          <w:p>
            <w:pPr>
              <w:spacing w:line="360" w:lineRule="exact"/>
              <w:ind w:right="120" w:rightChars="50"/>
              <w:jc w:val="center"/>
              <w:rPr>
                <w:rFonts w:ascii="宋体" w:hAnsi="宋体"/>
                <w:color w:val="auto"/>
                <w:sz w:val="21"/>
                <w:szCs w:val="21"/>
                <w:highlight w:val="none"/>
              </w:rPr>
            </w:pPr>
            <w:r>
              <w:rPr>
                <w:rFonts w:hint="eastAsia" w:ascii="宋体" w:hAnsi="宋体" w:cs="宋体"/>
                <w:color w:val="auto"/>
                <w:sz w:val="21"/>
                <w:szCs w:val="21"/>
                <w:highlight w:val="none"/>
              </w:rPr>
              <w:t xml:space="preserve"> 2.2.3</w:t>
            </w:r>
          </w:p>
        </w:tc>
        <w:tc>
          <w:tcPr>
            <w:tcW w:w="1752" w:type="dxa"/>
            <w:vAlign w:val="center"/>
          </w:tcPr>
          <w:p>
            <w:pPr>
              <w:snapToGrid w:val="0"/>
              <w:spacing w:line="360" w:lineRule="auto"/>
              <w:jc w:val="center"/>
              <w:rPr>
                <w:rFonts w:hint="eastAsia" w:ascii="宋体" w:hAnsi="宋体" w:eastAsia="宋体" w:cs="宋体"/>
                <w:b w:val="0"/>
                <w:bCs w:val="0"/>
                <w:color w:val="auto"/>
                <w:sz w:val="21"/>
                <w:szCs w:val="21"/>
                <w:highlight w:val="none"/>
              </w:rPr>
            </w:pPr>
          </w:p>
          <w:p>
            <w:pPr>
              <w:snapToGrid w:val="0"/>
              <w:spacing w:line="360" w:lineRule="auto"/>
              <w:jc w:val="both"/>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工程总体策划（</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lang w:eastAsia="zh-CN"/>
              </w:rPr>
              <w:t>）</w:t>
            </w:r>
          </w:p>
          <w:p>
            <w:pPr>
              <w:snapToGrid w:val="0"/>
              <w:spacing w:line="360" w:lineRule="auto"/>
              <w:jc w:val="center"/>
              <w:rPr>
                <w:rFonts w:ascii="宋体" w:hAnsi="宋体" w:cs="宋体"/>
                <w:color w:val="auto"/>
                <w:sz w:val="21"/>
                <w:szCs w:val="21"/>
                <w:highlight w:val="none"/>
              </w:rPr>
            </w:pPr>
          </w:p>
        </w:tc>
        <w:tc>
          <w:tcPr>
            <w:tcW w:w="6478" w:type="dxa"/>
            <w:vAlign w:val="center"/>
          </w:tcPr>
          <w:p>
            <w:pPr>
              <w:tabs>
                <w:tab w:val="left" w:pos="360"/>
              </w:tabs>
              <w:adjustRightInd w:val="0"/>
              <w:snapToGrid w:val="0"/>
              <w:spacing w:line="360" w:lineRule="auto"/>
              <w:ind w:right="204" w:rightChars="85"/>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1.对项目工程的总体策划有深刻的认识，对工程建设的各个过程理解特别透彻，总体策划合理科学，得 </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 xml:space="preserve"> 分；</w:t>
            </w:r>
          </w:p>
          <w:p>
            <w:pPr>
              <w:tabs>
                <w:tab w:val="left" w:pos="360"/>
              </w:tabs>
              <w:adjustRightInd w:val="0"/>
              <w:snapToGrid w:val="0"/>
              <w:spacing w:line="360" w:lineRule="auto"/>
              <w:ind w:right="204" w:rightChars="85"/>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2.对项目工程的总体策划有一定的认识，对工程建设的各个过程理解透彻，总体策划相对合理，得 </w:t>
            </w:r>
            <w:r>
              <w:rPr>
                <w:rFonts w:hint="eastAsia" w:ascii="宋体" w:hAnsi="宋体" w:cs="宋体"/>
                <w:b w:val="0"/>
                <w:bCs w:val="0"/>
                <w:color w:val="auto"/>
                <w:sz w:val="21"/>
                <w:szCs w:val="21"/>
                <w:highlight w:val="none"/>
                <w:lang w:val="en-US" w:eastAsia="zh-CN"/>
              </w:rPr>
              <w:t>9.5</w:t>
            </w:r>
            <w:r>
              <w:rPr>
                <w:rFonts w:hint="eastAsia" w:ascii="宋体" w:hAnsi="宋体" w:eastAsia="宋体" w:cs="宋体"/>
                <w:b w:val="0"/>
                <w:bCs w:val="0"/>
                <w:color w:val="auto"/>
                <w:sz w:val="21"/>
                <w:szCs w:val="21"/>
                <w:highlight w:val="none"/>
              </w:rPr>
              <w:t xml:space="preserve"> 分；</w:t>
            </w:r>
          </w:p>
          <w:p>
            <w:pPr>
              <w:tabs>
                <w:tab w:val="left" w:pos="360"/>
              </w:tabs>
              <w:adjustRightInd w:val="0"/>
              <w:snapToGrid w:val="0"/>
              <w:spacing w:line="360" w:lineRule="auto"/>
              <w:ind w:right="204" w:rightChars="85"/>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3.对项目工程的总体策划有一定的认识，对工程建设的各个过程认识不足，得 </w:t>
            </w:r>
            <w:r>
              <w:rPr>
                <w:rFonts w:hint="eastAsia" w:ascii="宋体" w:hAnsi="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 xml:space="preserve"> 分。</w:t>
            </w:r>
          </w:p>
          <w:p>
            <w:pPr>
              <w:tabs>
                <w:tab w:val="left" w:pos="360"/>
              </w:tabs>
              <w:adjustRightInd w:val="0"/>
              <w:snapToGrid w:val="0"/>
              <w:spacing w:line="360" w:lineRule="auto"/>
              <w:ind w:right="204" w:rightChars="85"/>
              <w:rPr>
                <w:rFonts w:ascii="宋体" w:hAnsi="宋体" w:cs="宋体"/>
                <w:color w:val="auto"/>
                <w:sz w:val="21"/>
                <w:szCs w:val="21"/>
                <w:highlight w:val="none"/>
              </w:rPr>
            </w:pPr>
            <w:r>
              <w:rPr>
                <w:rFonts w:hint="eastAsia" w:ascii="宋体" w:hAnsi="宋体" w:eastAsia="宋体" w:cs="宋体"/>
                <w:b w:val="0"/>
                <w:bCs w:val="0"/>
                <w:color w:val="auto"/>
                <w:sz w:val="21"/>
                <w:szCs w:val="21"/>
                <w:highlight w:val="none"/>
              </w:rPr>
              <w:t>无工程总体策划的不得分。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988" w:type="dxa"/>
            <w:vMerge w:val="continue"/>
            <w:vAlign w:val="center"/>
          </w:tcPr>
          <w:p>
            <w:pPr>
              <w:spacing w:line="360" w:lineRule="exact"/>
              <w:ind w:right="120" w:rightChars="50"/>
              <w:jc w:val="center"/>
              <w:rPr>
                <w:rFonts w:ascii="宋体" w:hAnsi="宋体" w:cs="宋体"/>
                <w:color w:val="auto"/>
                <w:sz w:val="21"/>
                <w:szCs w:val="21"/>
                <w:highlight w:val="none"/>
              </w:rPr>
            </w:pPr>
          </w:p>
        </w:tc>
        <w:tc>
          <w:tcPr>
            <w:tcW w:w="1752" w:type="dxa"/>
            <w:vAlign w:val="center"/>
          </w:tcPr>
          <w:p>
            <w:pPr>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全过程</w:t>
            </w:r>
            <w:r>
              <w:rPr>
                <w:rFonts w:hint="eastAsia" w:ascii="宋体" w:hAnsi="宋体" w:eastAsia="宋体" w:cs="宋体"/>
                <w:b w:val="0"/>
                <w:bCs w:val="0"/>
                <w:color w:val="auto"/>
                <w:sz w:val="21"/>
                <w:szCs w:val="21"/>
                <w:highlight w:val="none"/>
              </w:rPr>
              <w:t>造价</w:t>
            </w:r>
            <w:r>
              <w:rPr>
                <w:rFonts w:hint="eastAsia" w:ascii="宋体" w:hAnsi="宋体" w:eastAsia="宋体" w:cs="宋体"/>
                <w:b w:val="0"/>
                <w:bCs w:val="0"/>
                <w:color w:val="auto"/>
                <w:sz w:val="21"/>
                <w:szCs w:val="21"/>
                <w:highlight w:val="none"/>
                <w:lang w:val="en-US" w:eastAsia="zh-CN"/>
              </w:rPr>
              <w:t>咨询</w:t>
            </w:r>
            <w:r>
              <w:rPr>
                <w:rFonts w:hint="eastAsia" w:ascii="宋体" w:hAnsi="宋体" w:eastAsia="宋体" w:cs="宋体"/>
                <w:b w:val="0"/>
                <w:bCs w:val="0"/>
                <w:color w:val="auto"/>
                <w:sz w:val="21"/>
                <w:szCs w:val="21"/>
                <w:highlight w:val="none"/>
              </w:rPr>
              <w:t>工作实施方案</w:t>
            </w:r>
          </w:p>
          <w:p>
            <w:pPr>
              <w:snapToGrid w:val="0"/>
              <w:spacing w:line="360" w:lineRule="auto"/>
              <w:jc w:val="center"/>
              <w:rPr>
                <w:rFonts w:ascii="宋体" w:hAnsi="宋体" w:cs="宋体"/>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lang w:eastAsia="zh-CN"/>
              </w:rPr>
              <w:t>）</w:t>
            </w:r>
          </w:p>
        </w:tc>
        <w:tc>
          <w:tcPr>
            <w:tcW w:w="6478" w:type="dxa"/>
            <w:vAlign w:val="center"/>
          </w:tcPr>
          <w:p>
            <w:pPr>
              <w:widowControl/>
              <w:spacing w:line="360" w:lineRule="auto"/>
              <w:textAlignment w:val="center"/>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rPr>
              <w:t>投标人的造价工作实施方案（含</w:t>
            </w:r>
            <w:r>
              <w:rPr>
                <w:rFonts w:hint="eastAsia" w:ascii="宋体" w:hAnsi="宋体" w:eastAsia="宋体" w:cs="宋体"/>
                <w:b w:val="0"/>
                <w:bCs w:val="0"/>
                <w:color w:val="auto"/>
                <w:kern w:val="0"/>
                <w:sz w:val="21"/>
                <w:szCs w:val="21"/>
                <w:highlight w:val="none"/>
                <w:lang w:val="zh-CN"/>
              </w:rPr>
              <w:t>造价咨询服务过程中针对各阶段的造价控制方法、措施</w:t>
            </w:r>
            <w:r>
              <w:rPr>
                <w:rFonts w:hint="eastAsia" w:ascii="宋体" w:hAnsi="宋体" w:eastAsia="宋体" w:cs="宋体"/>
                <w:b w:val="0"/>
                <w:bCs w:val="0"/>
                <w:color w:val="auto"/>
                <w:sz w:val="21"/>
                <w:szCs w:val="21"/>
                <w:highlight w:val="none"/>
              </w:rPr>
              <w:t>等，造价工作程序及对建设过程中易出现造价浪费的简述，并提出可行的避免方法的方案</w:t>
            </w:r>
            <w:r>
              <w:rPr>
                <w:rFonts w:hint="eastAsia" w:ascii="宋体" w:hAnsi="宋体" w:eastAsia="宋体" w:cs="宋体"/>
                <w:b w:val="0"/>
                <w:bCs w:val="0"/>
                <w:color w:val="auto"/>
                <w:kern w:val="0"/>
                <w:sz w:val="21"/>
                <w:szCs w:val="21"/>
                <w:highlight w:val="none"/>
              </w:rPr>
              <w:t>）</w:t>
            </w:r>
            <w:r>
              <w:rPr>
                <w:rFonts w:hint="eastAsia" w:ascii="宋体" w:hAnsi="宋体" w:eastAsia="宋体" w:cs="宋体"/>
                <w:b w:val="0"/>
                <w:bCs w:val="0"/>
                <w:color w:val="auto"/>
                <w:kern w:val="0"/>
                <w:sz w:val="21"/>
                <w:szCs w:val="21"/>
                <w:highlight w:val="none"/>
                <w:lang w:eastAsia="zh-CN"/>
              </w:rPr>
              <w:t>：</w:t>
            </w:r>
          </w:p>
          <w:p>
            <w:pPr>
              <w:widowControl/>
              <w:spacing w:line="360" w:lineRule="auto"/>
              <w:textAlignment w:val="center"/>
              <w:rPr>
                <w:rStyle w:val="48"/>
                <w:rFonts w:hint="default" w:eastAsia="宋体"/>
                <w:color w:val="auto"/>
                <w:sz w:val="21"/>
                <w:szCs w:val="21"/>
                <w:highlight w:val="none"/>
                <w:lang w:val="en-US" w:eastAsia="zh-CN"/>
              </w:rPr>
            </w:pPr>
            <w:r>
              <w:rPr>
                <w:rStyle w:val="48"/>
                <w:rFonts w:hint="default"/>
                <w:color w:val="auto"/>
                <w:sz w:val="21"/>
                <w:szCs w:val="21"/>
                <w:highlight w:val="none"/>
              </w:rPr>
              <w:t>1</w:t>
            </w:r>
            <w:r>
              <w:rPr>
                <w:rStyle w:val="48"/>
                <w:rFonts w:hint="eastAsia"/>
                <w:color w:val="auto"/>
                <w:sz w:val="21"/>
                <w:szCs w:val="21"/>
                <w:highlight w:val="none"/>
                <w:lang w:val="en-US" w:eastAsia="zh-CN"/>
              </w:rPr>
              <w:t>.</w:t>
            </w:r>
            <w:r>
              <w:rPr>
                <w:rStyle w:val="48"/>
                <w:rFonts w:hint="default"/>
                <w:color w:val="auto"/>
                <w:sz w:val="21"/>
                <w:szCs w:val="21"/>
                <w:highlight w:val="none"/>
              </w:rPr>
              <w:t>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方案科学、合理、可行、优化、详尽，组织机构完善，具有其他提高性承诺，操作性强</w:t>
            </w:r>
            <w:r>
              <w:rPr>
                <w:rStyle w:val="48"/>
                <w:rFonts w:hint="eastAsia"/>
                <w:color w:val="auto"/>
                <w:sz w:val="21"/>
                <w:szCs w:val="21"/>
                <w:highlight w:val="none"/>
                <w:lang w:eastAsia="zh-CN"/>
              </w:rPr>
              <w:t>，</w:t>
            </w:r>
            <w:r>
              <w:rPr>
                <w:rStyle w:val="48"/>
                <w:rFonts w:hint="eastAsia"/>
                <w:color w:val="auto"/>
                <w:sz w:val="21"/>
                <w:szCs w:val="21"/>
                <w:highlight w:val="none"/>
                <w:lang w:val="en-US" w:eastAsia="zh-CN"/>
              </w:rPr>
              <w:t>得10分。</w:t>
            </w:r>
          </w:p>
          <w:p>
            <w:pPr>
              <w:widowControl/>
              <w:spacing w:line="360" w:lineRule="auto"/>
              <w:textAlignment w:val="center"/>
              <w:rPr>
                <w:rStyle w:val="48"/>
                <w:rFonts w:hint="default" w:eastAsia="宋体"/>
                <w:color w:val="auto"/>
                <w:sz w:val="21"/>
                <w:szCs w:val="21"/>
                <w:highlight w:val="none"/>
                <w:lang w:val="en-US" w:eastAsia="zh-CN"/>
              </w:rPr>
            </w:pPr>
            <w:r>
              <w:rPr>
                <w:rStyle w:val="48"/>
                <w:rFonts w:hint="default"/>
                <w:color w:val="auto"/>
                <w:sz w:val="21"/>
                <w:szCs w:val="21"/>
                <w:highlight w:val="none"/>
              </w:rPr>
              <w:t>2</w:t>
            </w:r>
            <w:r>
              <w:rPr>
                <w:rStyle w:val="48"/>
                <w:rFonts w:hint="eastAsia"/>
                <w:color w:val="auto"/>
                <w:sz w:val="21"/>
                <w:szCs w:val="21"/>
                <w:highlight w:val="none"/>
                <w:lang w:val="en-US" w:eastAsia="zh-CN"/>
              </w:rPr>
              <w:t>.</w:t>
            </w:r>
            <w:r>
              <w:rPr>
                <w:rStyle w:val="48"/>
                <w:rFonts w:hint="default"/>
                <w:color w:val="auto"/>
                <w:sz w:val="21"/>
                <w:szCs w:val="21"/>
                <w:highlight w:val="none"/>
              </w:rPr>
              <w:t>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方案较科学、合理、可行、优化、详尽，组织机构较完善、，操作性较强</w:t>
            </w:r>
            <w:r>
              <w:rPr>
                <w:rStyle w:val="48"/>
                <w:rFonts w:hint="eastAsia"/>
                <w:color w:val="auto"/>
                <w:sz w:val="21"/>
                <w:szCs w:val="21"/>
                <w:highlight w:val="none"/>
                <w:lang w:eastAsia="zh-CN"/>
              </w:rPr>
              <w:t>，</w:t>
            </w:r>
            <w:r>
              <w:rPr>
                <w:rStyle w:val="48"/>
                <w:rFonts w:hint="eastAsia"/>
                <w:color w:val="auto"/>
                <w:sz w:val="21"/>
                <w:szCs w:val="21"/>
                <w:highlight w:val="none"/>
                <w:lang w:val="en-US" w:eastAsia="zh-CN"/>
              </w:rPr>
              <w:t>得9.5分。</w:t>
            </w:r>
          </w:p>
          <w:p>
            <w:pPr>
              <w:widowControl/>
              <w:spacing w:line="360" w:lineRule="auto"/>
              <w:textAlignment w:val="center"/>
              <w:rPr>
                <w:rStyle w:val="48"/>
                <w:rFonts w:hint="default" w:eastAsia="宋体"/>
                <w:color w:val="auto"/>
                <w:sz w:val="21"/>
                <w:szCs w:val="21"/>
                <w:highlight w:val="none"/>
                <w:lang w:val="en-US" w:eastAsia="zh-CN"/>
              </w:rPr>
            </w:pPr>
            <w:r>
              <w:rPr>
                <w:rStyle w:val="48"/>
                <w:rFonts w:hint="default"/>
                <w:color w:val="auto"/>
                <w:sz w:val="21"/>
                <w:szCs w:val="21"/>
                <w:highlight w:val="none"/>
              </w:rPr>
              <w:t>3</w:t>
            </w:r>
            <w:r>
              <w:rPr>
                <w:rStyle w:val="48"/>
                <w:rFonts w:hint="eastAsia"/>
                <w:color w:val="auto"/>
                <w:sz w:val="21"/>
                <w:szCs w:val="21"/>
                <w:highlight w:val="none"/>
                <w:lang w:val="en-US" w:eastAsia="zh-CN"/>
              </w:rPr>
              <w:t>.</w:t>
            </w:r>
            <w:r>
              <w:rPr>
                <w:rStyle w:val="48"/>
                <w:rFonts w:hint="default"/>
                <w:color w:val="auto"/>
                <w:sz w:val="21"/>
                <w:szCs w:val="21"/>
                <w:highlight w:val="none"/>
              </w:rPr>
              <w:t>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方案一般，具有操作性</w:t>
            </w:r>
            <w:r>
              <w:rPr>
                <w:rStyle w:val="48"/>
                <w:rFonts w:hint="eastAsia"/>
                <w:color w:val="auto"/>
                <w:sz w:val="21"/>
                <w:szCs w:val="21"/>
                <w:highlight w:val="none"/>
                <w:lang w:eastAsia="zh-CN"/>
              </w:rPr>
              <w:t>，</w:t>
            </w:r>
            <w:r>
              <w:rPr>
                <w:rStyle w:val="48"/>
                <w:rFonts w:hint="eastAsia"/>
                <w:color w:val="auto"/>
                <w:sz w:val="21"/>
                <w:szCs w:val="21"/>
                <w:highlight w:val="none"/>
                <w:lang w:val="en-US" w:eastAsia="zh-CN"/>
              </w:rPr>
              <w:t>得9分。</w:t>
            </w:r>
          </w:p>
          <w:p>
            <w:pPr>
              <w:widowControl/>
              <w:spacing w:line="360" w:lineRule="auto"/>
              <w:textAlignment w:val="center"/>
              <w:rPr>
                <w:rFonts w:hint="default" w:ascii="宋体" w:hAnsi="宋体" w:eastAsia="宋体" w:cs="宋体"/>
                <w:color w:val="auto"/>
                <w:sz w:val="21"/>
                <w:szCs w:val="21"/>
                <w:highlight w:val="none"/>
                <w:lang w:val="en-US" w:eastAsia="zh-CN"/>
              </w:rPr>
            </w:pPr>
            <w:r>
              <w:rPr>
                <w:rStyle w:val="48"/>
                <w:rFonts w:hint="default"/>
                <w:color w:val="auto"/>
                <w:sz w:val="21"/>
                <w:szCs w:val="21"/>
                <w:highlight w:val="none"/>
              </w:rPr>
              <w:t>4、未提供工作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方案或工作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方案无实质性内容的得0分。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Merge w:val="continue"/>
            <w:vAlign w:val="center"/>
          </w:tcPr>
          <w:p>
            <w:pPr>
              <w:spacing w:line="360" w:lineRule="exact"/>
              <w:ind w:right="120" w:rightChars="50"/>
              <w:jc w:val="center"/>
              <w:rPr>
                <w:rFonts w:ascii="宋体" w:hAnsi="宋体" w:cs="宋体"/>
                <w:color w:val="auto"/>
                <w:sz w:val="21"/>
                <w:szCs w:val="21"/>
                <w:highlight w:val="none"/>
              </w:rPr>
            </w:pPr>
          </w:p>
        </w:tc>
        <w:tc>
          <w:tcPr>
            <w:tcW w:w="1752" w:type="dxa"/>
            <w:vAlign w:val="center"/>
          </w:tcPr>
          <w:p>
            <w:pPr>
              <w:snapToGrid w:val="0"/>
              <w:spacing w:line="36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监理工作实施方案</w:t>
            </w:r>
          </w:p>
          <w:p>
            <w:pPr>
              <w:snapToGrid w:val="0"/>
              <w:spacing w:line="360" w:lineRule="auto"/>
              <w:jc w:val="center"/>
              <w:rPr>
                <w:rFonts w:ascii="宋体" w:hAnsi="宋体" w:cs="宋体"/>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lang w:eastAsia="zh-CN"/>
              </w:rPr>
              <w:t>）</w:t>
            </w:r>
          </w:p>
        </w:tc>
        <w:tc>
          <w:tcPr>
            <w:tcW w:w="6478" w:type="dxa"/>
            <w:vAlign w:val="center"/>
          </w:tcPr>
          <w:p>
            <w:pPr>
              <w:widowControl/>
              <w:spacing w:line="360" w:lineRule="auto"/>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投标人的监理工作实施方案（含对本项目监理工作整体安排，投资控制、质量控制、进度控制等监理措施）</w:t>
            </w:r>
            <w:r>
              <w:rPr>
                <w:rFonts w:hint="eastAsia" w:ascii="宋体" w:hAnsi="宋体" w:eastAsia="宋体" w:cs="宋体"/>
                <w:b w:val="0"/>
                <w:bCs w:val="0"/>
                <w:color w:val="auto"/>
                <w:sz w:val="21"/>
                <w:szCs w:val="21"/>
                <w:highlight w:val="none"/>
                <w:lang w:eastAsia="zh-CN"/>
              </w:rPr>
              <w:t>：</w:t>
            </w:r>
          </w:p>
          <w:p>
            <w:pPr>
              <w:widowControl/>
              <w:spacing w:line="360" w:lineRule="auto"/>
              <w:textAlignment w:val="center"/>
              <w:rPr>
                <w:rStyle w:val="48"/>
                <w:rFonts w:hint="default" w:eastAsia="宋体"/>
                <w:color w:val="auto"/>
                <w:sz w:val="21"/>
                <w:szCs w:val="21"/>
                <w:highlight w:val="none"/>
                <w:lang w:val="en-US" w:eastAsia="zh-CN"/>
              </w:rPr>
            </w:pPr>
            <w:r>
              <w:rPr>
                <w:rStyle w:val="48"/>
                <w:rFonts w:hint="default"/>
                <w:color w:val="auto"/>
                <w:sz w:val="21"/>
                <w:szCs w:val="21"/>
                <w:highlight w:val="none"/>
              </w:rPr>
              <w:t>1</w:t>
            </w:r>
            <w:r>
              <w:rPr>
                <w:rStyle w:val="48"/>
                <w:rFonts w:hint="eastAsia"/>
                <w:color w:val="auto"/>
                <w:sz w:val="21"/>
                <w:szCs w:val="21"/>
                <w:highlight w:val="none"/>
                <w:lang w:val="en-US" w:eastAsia="zh-CN"/>
              </w:rPr>
              <w:t>.</w:t>
            </w:r>
            <w:r>
              <w:rPr>
                <w:rStyle w:val="48"/>
                <w:rFonts w:hint="default"/>
                <w:color w:val="auto"/>
                <w:sz w:val="21"/>
                <w:szCs w:val="21"/>
                <w:highlight w:val="none"/>
              </w:rPr>
              <w:t>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方案科学、合理、可行、优化、详尽，组织机构完善、制订了详细的管理质量控制措施、具有违约责任承诺，具有其他提高性承诺，操作性强</w:t>
            </w:r>
            <w:r>
              <w:rPr>
                <w:rStyle w:val="48"/>
                <w:rFonts w:hint="eastAsia"/>
                <w:color w:val="auto"/>
                <w:sz w:val="21"/>
                <w:szCs w:val="21"/>
                <w:highlight w:val="none"/>
                <w:lang w:eastAsia="zh-CN"/>
              </w:rPr>
              <w:t>，</w:t>
            </w:r>
            <w:r>
              <w:rPr>
                <w:rStyle w:val="48"/>
                <w:rFonts w:hint="eastAsia"/>
                <w:color w:val="auto"/>
                <w:sz w:val="21"/>
                <w:szCs w:val="21"/>
                <w:highlight w:val="none"/>
                <w:lang w:val="en-US" w:eastAsia="zh-CN"/>
              </w:rPr>
              <w:t>得10分。</w:t>
            </w:r>
          </w:p>
          <w:p>
            <w:pPr>
              <w:widowControl/>
              <w:spacing w:line="360" w:lineRule="auto"/>
              <w:textAlignment w:val="center"/>
              <w:rPr>
                <w:rStyle w:val="48"/>
                <w:rFonts w:hint="default" w:eastAsia="宋体"/>
                <w:color w:val="auto"/>
                <w:sz w:val="21"/>
                <w:szCs w:val="21"/>
                <w:highlight w:val="none"/>
                <w:lang w:val="en-US" w:eastAsia="zh-CN"/>
              </w:rPr>
            </w:pPr>
            <w:r>
              <w:rPr>
                <w:rStyle w:val="48"/>
                <w:rFonts w:hint="default"/>
                <w:color w:val="auto"/>
                <w:sz w:val="21"/>
                <w:szCs w:val="21"/>
                <w:highlight w:val="none"/>
              </w:rPr>
              <w:t>2</w:t>
            </w:r>
            <w:r>
              <w:rPr>
                <w:rStyle w:val="48"/>
                <w:rFonts w:hint="eastAsia"/>
                <w:color w:val="auto"/>
                <w:sz w:val="21"/>
                <w:szCs w:val="21"/>
                <w:highlight w:val="none"/>
                <w:lang w:val="en-US" w:eastAsia="zh-CN"/>
              </w:rPr>
              <w:t>.</w:t>
            </w:r>
            <w:r>
              <w:rPr>
                <w:rStyle w:val="48"/>
                <w:rFonts w:hint="default"/>
                <w:color w:val="auto"/>
                <w:sz w:val="21"/>
                <w:szCs w:val="21"/>
                <w:highlight w:val="none"/>
              </w:rPr>
              <w:t>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方案较科学、合理、可行、优化、详尽，组织机构较完善、制订了较详细的管理质量控制措施、有违约责任承诺，操作性较强</w:t>
            </w:r>
            <w:r>
              <w:rPr>
                <w:rStyle w:val="48"/>
                <w:rFonts w:hint="eastAsia"/>
                <w:color w:val="auto"/>
                <w:sz w:val="21"/>
                <w:szCs w:val="21"/>
                <w:highlight w:val="none"/>
                <w:lang w:eastAsia="zh-CN"/>
              </w:rPr>
              <w:t>，</w:t>
            </w:r>
            <w:r>
              <w:rPr>
                <w:rStyle w:val="48"/>
                <w:rFonts w:hint="eastAsia"/>
                <w:color w:val="auto"/>
                <w:sz w:val="21"/>
                <w:szCs w:val="21"/>
                <w:highlight w:val="none"/>
                <w:lang w:val="en-US" w:eastAsia="zh-CN"/>
              </w:rPr>
              <w:t>得9.5分。</w:t>
            </w:r>
          </w:p>
          <w:p>
            <w:pPr>
              <w:widowControl/>
              <w:spacing w:line="360" w:lineRule="auto"/>
              <w:textAlignment w:val="center"/>
              <w:rPr>
                <w:rStyle w:val="48"/>
                <w:rFonts w:hint="default" w:eastAsia="宋体"/>
                <w:color w:val="auto"/>
                <w:sz w:val="21"/>
                <w:szCs w:val="21"/>
                <w:highlight w:val="none"/>
                <w:lang w:val="en-US" w:eastAsia="zh-CN"/>
              </w:rPr>
            </w:pPr>
            <w:r>
              <w:rPr>
                <w:rStyle w:val="48"/>
                <w:rFonts w:hint="default"/>
                <w:color w:val="auto"/>
                <w:sz w:val="21"/>
                <w:szCs w:val="21"/>
                <w:highlight w:val="none"/>
              </w:rPr>
              <w:t>3</w:t>
            </w:r>
            <w:r>
              <w:rPr>
                <w:rStyle w:val="48"/>
                <w:rFonts w:hint="eastAsia"/>
                <w:color w:val="auto"/>
                <w:sz w:val="21"/>
                <w:szCs w:val="21"/>
                <w:highlight w:val="none"/>
                <w:lang w:val="en-US" w:eastAsia="zh-CN"/>
              </w:rPr>
              <w:t>.</w:t>
            </w:r>
            <w:r>
              <w:rPr>
                <w:rStyle w:val="48"/>
                <w:rFonts w:hint="default"/>
                <w:color w:val="auto"/>
                <w:sz w:val="21"/>
                <w:szCs w:val="21"/>
                <w:highlight w:val="none"/>
              </w:rPr>
              <w:t>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方案一般，具有操作性</w:t>
            </w:r>
            <w:r>
              <w:rPr>
                <w:rStyle w:val="48"/>
                <w:rFonts w:hint="eastAsia"/>
                <w:color w:val="auto"/>
                <w:sz w:val="21"/>
                <w:szCs w:val="21"/>
                <w:highlight w:val="none"/>
                <w:lang w:eastAsia="zh-CN"/>
              </w:rPr>
              <w:t>，</w:t>
            </w:r>
            <w:r>
              <w:rPr>
                <w:rStyle w:val="48"/>
                <w:rFonts w:hint="eastAsia"/>
                <w:color w:val="auto"/>
                <w:sz w:val="21"/>
                <w:szCs w:val="21"/>
                <w:highlight w:val="none"/>
                <w:lang w:val="en-US" w:eastAsia="zh-CN"/>
              </w:rPr>
              <w:t>得9分。</w:t>
            </w:r>
          </w:p>
          <w:p>
            <w:pPr>
              <w:widowControl/>
              <w:spacing w:line="360" w:lineRule="auto"/>
              <w:textAlignment w:val="center"/>
              <w:rPr>
                <w:rFonts w:ascii="宋体" w:hAnsi="宋体" w:cs="宋体"/>
                <w:color w:val="auto"/>
                <w:sz w:val="21"/>
                <w:szCs w:val="21"/>
                <w:highlight w:val="none"/>
              </w:rPr>
            </w:pPr>
            <w:r>
              <w:rPr>
                <w:rStyle w:val="48"/>
                <w:rFonts w:hint="default"/>
                <w:color w:val="auto"/>
                <w:sz w:val="21"/>
                <w:szCs w:val="21"/>
                <w:highlight w:val="none"/>
              </w:rPr>
              <w:t>4、未提供工作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方案或工作</w:t>
            </w:r>
            <w:r>
              <w:rPr>
                <w:rFonts w:hint="eastAsia" w:ascii="宋体" w:hAnsi="宋体" w:eastAsia="宋体" w:cs="宋体"/>
                <w:b w:val="0"/>
                <w:bCs w:val="0"/>
                <w:color w:val="auto"/>
                <w:sz w:val="21"/>
                <w:szCs w:val="21"/>
                <w:highlight w:val="none"/>
              </w:rPr>
              <w:t>实施</w:t>
            </w:r>
            <w:r>
              <w:rPr>
                <w:rStyle w:val="48"/>
                <w:rFonts w:hint="default"/>
                <w:color w:val="auto"/>
                <w:sz w:val="21"/>
                <w:szCs w:val="21"/>
                <w:highlight w:val="none"/>
              </w:rPr>
              <w:t>方案无实质性内容的得0分。</w:t>
            </w:r>
          </w:p>
        </w:tc>
      </w:tr>
    </w:tbl>
    <w:p>
      <w:pPr>
        <w:pStyle w:val="29"/>
        <w:rPr>
          <w:rFonts w:hAnsi="宋体"/>
          <w:color w:val="auto"/>
          <w:highlight w:val="none"/>
        </w:rPr>
      </w:pPr>
    </w:p>
    <w:p>
      <w:pPr>
        <w:pStyle w:val="29"/>
        <w:rPr>
          <w:rFonts w:hAnsi="宋体"/>
          <w:color w:val="auto"/>
          <w:highlight w:val="none"/>
        </w:rPr>
      </w:pPr>
    </w:p>
    <w:p>
      <w:pPr>
        <w:rPr>
          <w:rFonts w:ascii="宋体" w:hAnsi="宋体"/>
          <w:b/>
          <w:color w:val="auto"/>
          <w:highlight w:val="none"/>
        </w:rPr>
      </w:pPr>
      <w:r>
        <w:rPr>
          <w:rFonts w:hint="eastAsia" w:ascii="宋体" w:hAnsi="宋体"/>
          <w:b/>
          <w:color w:val="auto"/>
          <w:highlight w:val="none"/>
        </w:rPr>
        <w:br w:type="page"/>
      </w:r>
    </w:p>
    <w:p>
      <w:pPr>
        <w:spacing w:line="360" w:lineRule="exact"/>
        <w:jc w:val="center"/>
        <w:rPr>
          <w:rFonts w:ascii="宋体" w:hAnsi="宋体"/>
          <w:b/>
          <w:color w:val="auto"/>
          <w:highlight w:val="none"/>
        </w:rPr>
      </w:pPr>
      <w:r>
        <w:rPr>
          <w:rFonts w:hint="eastAsia" w:ascii="宋体" w:hAnsi="宋体"/>
          <w:b/>
          <w:color w:val="auto"/>
          <w:highlight w:val="none"/>
        </w:rPr>
        <w:t>投标报价（1</w:t>
      </w:r>
      <w:r>
        <w:rPr>
          <w:rFonts w:hint="eastAsia" w:ascii="宋体" w:hAnsi="宋体"/>
          <w:b/>
          <w:color w:val="auto"/>
          <w:highlight w:val="none"/>
          <w:lang w:eastAsia="zh-CN"/>
        </w:rPr>
        <w:t>5</w:t>
      </w:r>
      <w:r>
        <w:rPr>
          <w:rFonts w:hint="eastAsia" w:ascii="宋体" w:hAnsi="宋体"/>
          <w:b/>
          <w:color w:val="auto"/>
          <w:highlight w:val="none"/>
        </w:rPr>
        <w:t>分）</w:t>
      </w:r>
    </w:p>
    <w:p>
      <w:pPr>
        <w:pStyle w:val="29"/>
        <w:rPr>
          <w:rFonts w:hAnsi="宋体"/>
          <w:color w:val="auto"/>
          <w:highlight w:val="none"/>
        </w:rPr>
      </w:pPr>
    </w:p>
    <w:tbl>
      <w:tblPr>
        <w:tblStyle w:val="23"/>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464"/>
        <w:gridCol w:w="7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spacing w:line="360" w:lineRule="exact"/>
              <w:jc w:val="center"/>
              <w:rPr>
                <w:rFonts w:hAnsi="宋体"/>
                <w:color w:val="auto"/>
                <w:sz w:val="21"/>
                <w:szCs w:val="21"/>
                <w:highlight w:val="none"/>
              </w:rPr>
            </w:pPr>
            <w:r>
              <w:rPr>
                <w:rFonts w:hint="eastAsia" w:ascii="宋体" w:hAnsi="宋体"/>
                <w:b/>
                <w:color w:val="auto"/>
                <w:highlight w:val="none"/>
              </w:rPr>
              <w:t>条款号</w:t>
            </w:r>
          </w:p>
        </w:tc>
        <w:tc>
          <w:tcPr>
            <w:tcW w:w="1464" w:type="dxa"/>
            <w:vAlign w:val="center"/>
          </w:tcPr>
          <w:p>
            <w:pPr>
              <w:spacing w:line="360" w:lineRule="exact"/>
              <w:jc w:val="center"/>
              <w:rPr>
                <w:rFonts w:hAnsi="宋体"/>
                <w:color w:val="auto"/>
                <w:sz w:val="21"/>
                <w:szCs w:val="21"/>
                <w:highlight w:val="none"/>
              </w:rPr>
            </w:pPr>
            <w:r>
              <w:rPr>
                <w:rFonts w:hint="eastAsia" w:ascii="宋体" w:hAnsi="宋体"/>
                <w:b/>
                <w:color w:val="auto"/>
                <w:highlight w:val="none"/>
              </w:rPr>
              <w:t>评审内容</w:t>
            </w:r>
          </w:p>
        </w:tc>
        <w:tc>
          <w:tcPr>
            <w:tcW w:w="7385" w:type="dxa"/>
            <w:vAlign w:val="center"/>
          </w:tcPr>
          <w:p>
            <w:pPr>
              <w:spacing w:line="360" w:lineRule="exact"/>
              <w:jc w:val="center"/>
              <w:rPr>
                <w:rFonts w:ascii="宋体" w:hAnsi="宋体" w:cs="宋体"/>
                <w:color w:val="auto"/>
                <w:sz w:val="21"/>
                <w:szCs w:val="21"/>
                <w:highlight w:val="none"/>
              </w:rPr>
            </w:pPr>
            <w:r>
              <w:rPr>
                <w:rFonts w:hint="eastAsia" w:ascii="宋体" w:hAnsi="宋体"/>
                <w:b/>
                <w:color w:val="auto"/>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spacing w:line="360" w:lineRule="auto"/>
              <w:rPr>
                <w:color w:val="auto"/>
                <w:sz w:val="21"/>
                <w:szCs w:val="21"/>
                <w:highlight w:val="none"/>
              </w:rPr>
            </w:pPr>
            <w:r>
              <w:rPr>
                <w:rFonts w:hint="eastAsia" w:ascii="宋体" w:hAnsi="宋体" w:cs="宋体"/>
                <w:color w:val="auto"/>
                <w:sz w:val="21"/>
                <w:szCs w:val="21"/>
                <w:highlight w:val="none"/>
              </w:rPr>
              <w:t>2.2.4</w:t>
            </w:r>
          </w:p>
        </w:tc>
        <w:tc>
          <w:tcPr>
            <w:tcW w:w="1464" w:type="dxa"/>
            <w:vAlign w:val="center"/>
          </w:tcPr>
          <w:p>
            <w:pPr>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投标价格评分标准   （1</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7385" w:type="dxa"/>
          </w:tcPr>
          <w:p>
            <w:pPr>
              <w:snapToGrid w:val="0"/>
              <w:spacing w:line="360" w:lineRule="auto"/>
              <w:ind w:firstLine="315" w:firstLineChars="15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对通过初步评审的投标文件，评标委员会按照下列方法计算投标人投标报价的算术平均值：</w:t>
            </w:r>
          </w:p>
          <w:p>
            <w:pPr>
              <w:numPr>
                <w:ilvl w:val="0"/>
                <w:numId w:val="0"/>
              </w:numPr>
              <w:spacing w:line="36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设</w:t>
            </w:r>
            <w:r>
              <w:rPr>
                <w:rFonts w:hint="eastAsia" w:ascii="宋体" w:hAnsi="宋体" w:eastAsia="宋体" w:cs="宋体"/>
                <w:b w:val="0"/>
                <w:bCs w:val="0"/>
                <w:color w:val="auto"/>
                <w:position w:val="-30"/>
                <w:sz w:val="21"/>
                <w:szCs w:val="21"/>
                <w:highlight w:val="none"/>
              </w:rPr>
              <w:object>
                <v:shape id="_x0000_i1025" o:spt="75" type="#_x0000_t75" style="height:30.35pt;width:165.75pt;" o:ole="t" filled="f" o:preferrelative="t" stroked="f" coordsize="21600,21600">
                  <v:path/>
                  <v:fill on="f" alignshape="1" focussize="0,0"/>
                  <v:stroke on="f"/>
                  <v:imagedata r:id="rId9" o:title=""/>
                  <o:lock v:ext="edit" aspectratio="t"/>
                  <w10:wrap type="none"/>
                  <w10:anchorlock/>
                </v:shape>
                <o:OLEObject Type="Embed" ProgID="Equation.3" ShapeID="_x0000_i1025" DrawAspect="Content" ObjectID="_1468075725" r:id="rId8">
                  <o:LockedField>false</o:LockedField>
                </o:OLEObject>
              </w:object>
            </w:r>
            <w:r>
              <w:rPr>
                <w:rFonts w:hint="eastAsia" w:ascii="宋体" w:hAnsi="宋体" w:eastAsia="宋体" w:cs="宋体"/>
                <w:b w:val="0"/>
                <w:bCs w:val="0"/>
                <w:color w:val="auto"/>
                <w:sz w:val="21"/>
                <w:szCs w:val="21"/>
                <w:highlight w:val="none"/>
              </w:rPr>
              <w:t>,其中Int为取整函数，不进行四舍五入。评标委员会将通过初步评审的投标人的投标报价按由低至高的顺序进行排序，去掉排名最靠前的N个投标人的投标报价以及排名最靠后的N个投标人的投标报价之后，再对剩余投标人的投标报价取算术平均值，此算术平均值为评标基准价。随后的评审中无论出现何种情形，该基准价不作调整。</w:t>
            </w:r>
          </w:p>
          <w:p>
            <w:pPr>
              <w:snapToGrid w:val="0"/>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评标委员会按照最接近评标基准价的顺序进行排序（若出现投标报价与评标基准价的差值的绝对值相同的则投标报价较低的排前；若出现投标报价相同的，则由评标委员会抽签确定排名）。商务得分折算公式如下：</w:t>
            </w:r>
          </w:p>
          <w:p>
            <w:pPr>
              <w:snapToGrid w:val="0"/>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S=</w:t>
            </w:r>
            <w:r>
              <w:rPr>
                <w:rFonts w:hint="eastAsia" w:ascii="宋体" w:hAnsi="宋体" w:eastAsia="宋体" w:cs="宋体"/>
                <w:b w:val="0"/>
                <w:bCs w:val="0"/>
                <w:color w:val="auto"/>
                <w:position w:val="-24"/>
                <w:sz w:val="21"/>
                <w:szCs w:val="21"/>
                <w:highlight w:val="none"/>
              </w:rPr>
              <w:object>
                <v:shape id="_x0000_i1026" o:spt="75" type="#_x0000_t75" style="height:33pt;width:77.2pt;" o:ole="t" filled="f" o:preferrelative="t" stroked="f" coordsize="21600,21600">
                  <v:path/>
                  <v:fill on="f" focussize="0,0"/>
                  <v:stroke on="f"/>
                  <v:imagedata r:id="rId11" o:title=""/>
                  <o:lock v:ext="edit" aspectratio="t"/>
                  <w10:wrap type="none"/>
                  <w10:anchorlock/>
                </v:shape>
                <o:OLEObject Type="Embed" ProgID="Equation.3" ShapeID="_x0000_i1026" DrawAspect="Content" ObjectID="_1468075726" r:id="rId10">
                  <o:LockedField>false</o:LockedField>
                </o:OLEObject>
              </w:object>
            </w:r>
            <w:r>
              <w:rPr>
                <w:rFonts w:hint="eastAsia" w:ascii="宋体" w:hAnsi="宋体" w:eastAsia="宋体" w:cs="宋体"/>
                <w:b w:val="0"/>
                <w:bCs w:val="0"/>
                <w:color w:val="auto"/>
                <w:sz w:val="21"/>
                <w:szCs w:val="21"/>
                <w:highlight w:val="none"/>
              </w:rPr>
              <w:t xml:space="preserve"> </w:t>
            </w:r>
          </w:p>
          <w:p>
            <w:pPr>
              <w:snapToGrid w:val="0"/>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S—</w:t>
            </w:r>
            <w:r>
              <w:rPr>
                <w:rFonts w:hint="eastAsia" w:ascii="宋体" w:hAnsi="宋体" w:eastAsia="宋体" w:cs="宋体"/>
                <w:b w:val="0"/>
                <w:bCs w:val="0"/>
                <w:color w:val="auto"/>
                <w:sz w:val="21"/>
                <w:szCs w:val="21"/>
                <w:highlight w:val="none"/>
                <w:lang w:val="en-US" w:eastAsia="zh-CN"/>
              </w:rPr>
              <w:t>投标报价</w:t>
            </w:r>
            <w:r>
              <w:rPr>
                <w:rFonts w:hint="eastAsia" w:ascii="宋体" w:hAnsi="宋体" w:eastAsia="宋体" w:cs="宋体"/>
                <w:b w:val="0"/>
                <w:bCs w:val="0"/>
                <w:color w:val="auto"/>
                <w:sz w:val="21"/>
                <w:szCs w:val="21"/>
                <w:highlight w:val="none"/>
              </w:rPr>
              <w:t>得分；</w:t>
            </w:r>
          </w:p>
          <w:p>
            <w:pPr>
              <w:snapToGrid w:val="0"/>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B—投标人的投标报价；</w:t>
            </w:r>
          </w:p>
          <w:p>
            <w:pPr>
              <w:snapToGrid w:val="0"/>
              <w:spacing w:line="360" w:lineRule="auto"/>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A—评标基准价；</w:t>
            </w:r>
          </w:p>
          <w:p>
            <w:pPr>
              <w:spacing w:line="360" w:lineRule="auto"/>
              <w:ind w:right="120" w:rightChars="50"/>
              <w:rPr>
                <w:rFonts w:ascii="宋体" w:hAnsi="宋体" w:cs="宋体"/>
                <w:color w:val="auto"/>
                <w:sz w:val="21"/>
                <w:szCs w:val="21"/>
                <w:highlight w:val="none"/>
              </w:rPr>
            </w:pPr>
            <w:r>
              <w:rPr>
                <w:rFonts w:hint="eastAsia" w:ascii="宋体" w:hAnsi="宋体" w:eastAsia="宋体" w:cs="宋体"/>
                <w:b w:val="0"/>
                <w:bCs w:val="0"/>
                <w:color w:val="auto"/>
                <w:sz w:val="21"/>
                <w:szCs w:val="21"/>
                <w:highlight w:val="none"/>
              </w:rPr>
              <w:t>投标人</w:t>
            </w:r>
            <w:r>
              <w:rPr>
                <w:rFonts w:hint="eastAsia" w:ascii="宋体" w:hAnsi="宋体" w:cs="宋体"/>
                <w:b w:val="0"/>
                <w:bCs w:val="0"/>
                <w:color w:val="auto"/>
                <w:sz w:val="21"/>
                <w:szCs w:val="21"/>
                <w:highlight w:val="none"/>
                <w:lang w:val="en-US" w:eastAsia="zh-CN"/>
              </w:rPr>
              <w:t>投标报价</w:t>
            </w:r>
            <w:r>
              <w:rPr>
                <w:rFonts w:hint="eastAsia" w:ascii="宋体" w:hAnsi="宋体" w:eastAsia="宋体" w:cs="宋体"/>
                <w:b w:val="0"/>
                <w:bCs w:val="0"/>
                <w:color w:val="auto"/>
                <w:sz w:val="21"/>
                <w:szCs w:val="21"/>
                <w:highlight w:val="none"/>
              </w:rPr>
              <w:t>得分最低分为0分，取值保留到小数点后四位；</w:t>
            </w:r>
            <w:r>
              <w:rPr>
                <w:rFonts w:hint="eastAsia" w:ascii="宋体" w:hAnsi="宋体" w:eastAsia="宋体" w:cs="宋体"/>
                <w:b w:val="0"/>
                <w:bCs w:val="0"/>
                <w:color w:val="auto"/>
                <w:sz w:val="21"/>
                <w:szCs w:val="21"/>
                <w:highlight w:val="none"/>
                <w:lang w:val="en-US" w:eastAsia="zh-CN"/>
              </w:rPr>
              <w:t>投标人的投标报价取投标人的总报价计算。</w:t>
            </w:r>
          </w:p>
        </w:tc>
      </w:tr>
    </w:tbl>
    <w:p>
      <w:pPr>
        <w:spacing w:line="360" w:lineRule="auto"/>
        <w:jc w:val="center"/>
        <w:rPr>
          <w:rFonts w:ascii="宋体" w:hAnsi="宋体"/>
          <w:b/>
          <w:color w:val="auto"/>
          <w:sz w:val="21"/>
          <w:szCs w:val="21"/>
          <w:highlight w:val="none"/>
        </w:rPr>
      </w:pPr>
    </w:p>
    <w:p>
      <w:pPr>
        <w:spacing w:line="360" w:lineRule="auto"/>
        <w:jc w:val="center"/>
        <w:rPr>
          <w:rFonts w:ascii="宋体" w:hAnsi="宋体"/>
          <w:b/>
          <w:color w:val="auto"/>
          <w:sz w:val="21"/>
          <w:szCs w:val="21"/>
          <w:highlight w:val="none"/>
        </w:rPr>
      </w:pPr>
      <w:r>
        <w:rPr>
          <w:rFonts w:hint="eastAsia" w:ascii="宋体" w:hAnsi="宋体"/>
          <w:b/>
          <w:color w:val="auto"/>
          <w:sz w:val="21"/>
          <w:szCs w:val="21"/>
          <w:highlight w:val="none"/>
        </w:rPr>
        <w:t>诚信评级（8分）</w:t>
      </w:r>
    </w:p>
    <w:tbl>
      <w:tblPr>
        <w:tblStyle w:val="23"/>
        <w:tblW w:w="9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464"/>
        <w:gridCol w:w="7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spacing w:line="360" w:lineRule="auto"/>
              <w:jc w:val="center"/>
              <w:rPr>
                <w:rFonts w:hAnsi="宋体"/>
                <w:color w:val="auto"/>
                <w:sz w:val="21"/>
                <w:szCs w:val="21"/>
                <w:highlight w:val="none"/>
              </w:rPr>
            </w:pPr>
            <w:r>
              <w:rPr>
                <w:rFonts w:hint="eastAsia" w:ascii="宋体" w:hAnsi="宋体"/>
                <w:b/>
                <w:color w:val="auto"/>
                <w:sz w:val="21"/>
                <w:szCs w:val="21"/>
                <w:highlight w:val="none"/>
              </w:rPr>
              <w:t>条款号</w:t>
            </w:r>
          </w:p>
        </w:tc>
        <w:tc>
          <w:tcPr>
            <w:tcW w:w="1464" w:type="dxa"/>
            <w:vAlign w:val="center"/>
          </w:tcPr>
          <w:p>
            <w:pPr>
              <w:spacing w:line="360" w:lineRule="auto"/>
              <w:jc w:val="center"/>
              <w:rPr>
                <w:rFonts w:hAnsi="宋体"/>
                <w:color w:val="auto"/>
                <w:sz w:val="21"/>
                <w:szCs w:val="21"/>
                <w:highlight w:val="none"/>
              </w:rPr>
            </w:pPr>
            <w:r>
              <w:rPr>
                <w:rFonts w:hint="eastAsia" w:ascii="宋体" w:hAnsi="宋体"/>
                <w:b/>
                <w:color w:val="auto"/>
                <w:sz w:val="21"/>
                <w:szCs w:val="21"/>
                <w:highlight w:val="none"/>
              </w:rPr>
              <w:t>评审内容</w:t>
            </w:r>
          </w:p>
        </w:tc>
        <w:tc>
          <w:tcPr>
            <w:tcW w:w="7385" w:type="dxa"/>
            <w:vAlign w:val="center"/>
          </w:tcPr>
          <w:p>
            <w:pPr>
              <w:spacing w:line="360" w:lineRule="auto"/>
              <w:jc w:val="center"/>
              <w:rPr>
                <w:rFonts w:ascii="宋体" w:hAnsi="宋体" w:cs="宋体"/>
                <w:color w:val="auto"/>
                <w:sz w:val="21"/>
                <w:szCs w:val="21"/>
                <w:highlight w:val="none"/>
              </w:rPr>
            </w:pPr>
            <w:r>
              <w:rPr>
                <w:rFonts w:hint="eastAsia" w:ascii="宋体" w:hAnsi="宋体"/>
                <w:b/>
                <w:color w:val="auto"/>
                <w:sz w:val="21"/>
                <w:szCs w:val="21"/>
                <w:highlight w:val="none"/>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pPr>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2.2.5</w:t>
            </w:r>
          </w:p>
        </w:tc>
        <w:tc>
          <w:tcPr>
            <w:tcW w:w="1464" w:type="dxa"/>
            <w:vAlign w:val="center"/>
          </w:tcPr>
          <w:p>
            <w:pPr>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诚信评级得分（8分）</w:t>
            </w:r>
          </w:p>
        </w:tc>
        <w:tc>
          <w:tcPr>
            <w:tcW w:w="7385" w:type="dxa"/>
          </w:tcPr>
          <w:p>
            <w:pPr>
              <w:numPr>
                <w:ilvl w:val="0"/>
                <w:numId w:val="17"/>
              </w:numPr>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本项目信用因素权重为8%。</w:t>
            </w:r>
          </w:p>
          <w:p>
            <w:pPr>
              <w:numPr>
                <w:ilvl w:val="0"/>
                <w:numId w:val="17"/>
              </w:numPr>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根据《江门市住房和城乡建设局关于江门市建筑业企业信用评价标准》（试行）的规定，企业信用等级和信用分以开标当天凌晨一时江门市建筑业企业信用管理信息系统公布的信用等级为准，随后无论出现何种情形，均不作调整。</w:t>
            </w:r>
          </w:p>
          <w:p>
            <w:pPr>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3、综合信用评价为A级的正式投标人信用等级分得100分，综合信用评价为B级的正式投标人信用等级分得80分，综合信用评价为C级的正式投标人信用等级分得60分。</w:t>
            </w:r>
          </w:p>
          <w:p>
            <w:pPr>
              <w:spacing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4、诚信评级得分=信用因素权重*信用等级分</w:t>
            </w:r>
          </w:p>
        </w:tc>
      </w:tr>
    </w:tbl>
    <w:p>
      <w:pPr>
        <w:pStyle w:val="29"/>
        <w:rPr>
          <w:rFonts w:hAnsi="宋体"/>
          <w:b/>
          <w:bCs/>
          <w:color w:val="auto"/>
          <w:highlight w:val="none"/>
        </w:rPr>
      </w:pPr>
      <w:r>
        <w:rPr>
          <w:rFonts w:hAnsi="宋体"/>
          <w:color w:val="auto"/>
          <w:highlight w:val="none"/>
        </w:rPr>
        <w:br w:type="page"/>
      </w:r>
    </w:p>
    <w:p>
      <w:pPr>
        <w:pStyle w:val="11"/>
        <w:kinsoku w:val="0"/>
        <w:overflowPunct w:val="0"/>
        <w:spacing w:before="2"/>
        <w:ind w:left="100" w:right="1166"/>
        <w:rPr>
          <w:rFonts w:hAnsi="宋体"/>
          <w:color w:val="auto"/>
          <w:highlight w:val="none"/>
        </w:rPr>
      </w:pPr>
      <w:r>
        <w:rPr>
          <w:rFonts w:hAnsi="宋体"/>
          <w:color w:val="auto"/>
          <w:highlight w:val="none"/>
        </w:rPr>
        <w:t>1</w:t>
      </w:r>
      <w:r>
        <w:rPr>
          <w:rFonts w:hint="eastAsia" w:hAnsi="宋体"/>
          <w:color w:val="auto"/>
          <w:highlight w:val="none"/>
        </w:rPr>
        <w:t>、评标方法</w:t>
      </w:r>
    </w:p>
    <w:p>
      <w:pPr>
        <w:pStyle w:val="11"/>
        <w:kinsoku w:val="0"/>
        <w:overflowPunct w:val="0"/>
        <w:spacing w:before="139" w:line="333" w:lineRule="auto"/>
        <w:ind w:left="100" w:right="103" w:firstLine="480"/>
        <w:jc w:val="both"/>
        <w:rPr>
          <w:rFonts w:hAnsi="宋体"/>
          <w:color w:val="auto"/>
          <w:spacing w:val="2"/>
          <w:sz w:val="21"/>
          <w:szCs w:val="21"/>
          <w:highlight w:val="none"/>
        </w:rPr>
      </w:pPr>
      <w:r>
        <w:rPr>
          <w:rFonts w:hint="eastAsia" w:hAnsi="宋体"/>
          <w:color w:val="auto"/>
          <w:spacing w:val="2"/>
          <w:sz w:val="21"/>
          <w:szCs w:val="21"/>
          <w:highlight w:val="none"/>
        </w:rPr>
        <w:t>本次评标采用综合评估法。评标委员会对满足招标文件实质性要求的投标文件，按</w:t>
      </w:r>
      <w:r>
        <w:rPr>
          <w:rFonts w:hint="eastAsia" w:hAnsi="宋体"/>
          <w:color w:val="auto"/>
          <w:sz w:val="21"/>
          <w:szCs w:val="21"/>
          <w:highlight w:val="none"/>
        </w:rPr>
        <w:t>照本章第</w:t>
      </w:r>
      <w:r>
        <w:rPr>
          <w:rFonts w:hAnsi="宋体"/>
          <w:color w:val="auto"/>
          <w:sz w:val="21"/>
          <w:szCs w:val="21"/>
          <w:highlight w:val="none"/>
        </w:rPr>
        <w:t>2.2</w:t>
      </w:r>
      <w:r>
        <w:rPr>
          <w:rFonts w:hint="eastAsia" w:hAnsi="宋体"/>
          <w:color w:val="auto"/>
          <w:sz w:val="21"/>
          <w:szCs w:val="21"/>
          <w:highlight w:val="none"/>
        </w:rPr>
        <w:t>款规定的评分标准进行打分，并按得分由高到低顺序推荐中标候选人，或根</w:t>
      </w:r>
      <w:r>
        <w:rPr>
          <w:rFonts w:hint="eastAsia" w:hAnsi="宋体"/>
          <w:color w:val="auto"/>
          <w:spacing w:val="2"/>
          <w:sz w:val="21"/>
          <w:szCs w:val="21"/>
          <w:highlight w:val="none"/>
        </w:rPr>
        <w:t>据招标人授权直接确定中标人，但投标报价低于其成本的除外。综合评分相等时，以</w:t>
      </w:r>
      <w:r>
        <w:rPr>
          <w:rFonts w:hint="eastAsia" w:hAnsi="宋体"/>
          <w:color w:val="auto"/>
          <w:sz w:val="21"/>
          <w:szCs w:val="21"/>
          <w:highlight w:val="none"/>
        </w:rPr>
        <w:t>商务标得分高</w:t>
      </w:r>
      <w:r>
        <w:rPr>
          <w:rFonts w:hint="eastAsia" w:hAnsi="宋体"/>
          <w:color w:val="auto"/>
          <w:spacing w:val="2"/>
          <w:sz w:val="21"/>
          <w:szCs w:val="21"/>
          <w:highlight w:val="none"/>
        </w:rPr>
        <w:t>的优先；</w:t>
      </w:r>
      <w:r>
        <w:rPr>
          <w:rFonts w:hint="eastAsia" w:hAnsi="宋体"/>
          <w:color w:val="auto"/>
          <w:sz w:val="21"/>
          <w:szCs w:val="21"/>
          <w:highlight w:val="none"/>
        </w:rPr>
        <w:t>商务标得分</w:t>
      </w:r>
      <w:r>
        <w:rPr>
          <w:rFonts w:hint="eastAsia" w:hAnsi="宋体"/>
          <w:color w:val="auto"/>
          <w:spacing w:val="2"/>
          <w:sz w:val="21"/>
          <w:szCs w:val="21"/>
          <w:highlight w:val="none"/>
        </w:rPr>
        <w:t>也相等的，</w:t>
      </w:r>
      <w:bookmarkStart w:id="471" w:name="_Hlk103021767"/>
      <w:r>
        <w:rPr>
          <w:rFonts w:hint="eastAsia" w:hAnsi="宋体"/>
          <w:color w:val="auto"/>
          <w:spacing w:val="2"/>
          <w:sz w:val="21"/>
          <w:szCs w:val="21"/>
          <w:highlight w:val="none"/>
        </w:rPr>
        <w:t>由评标委员会推选的评标组长随机抽签确定排序</w:t>
      </w:r>
      <w:bookmarkEnd w:id="471"/>
      <w:r>
        <w:rPr>
          <w:rFonts w:hint="eastAsia" w:hAnsi="宋体"/>
          <w:color w:val="auto"/>
          <w:spacing w:val="2"/>
          <w:sz w:val="21"/>
          <w:szCs w:val="21"/>
          <w:highlight w:val="none"/>
        </w:rPr>
        <w:t>。</w:t>
      </w:r>
    </w:p>
    <w:p>
      <w:pPr>
        <w:pStyle w:val="11"/>
        <w:kinsoku w:val="0"/>
        <w:overflowPunct w:val="0"/>
        <w:spacing w:before="43"/>
        <w:ind w:left="100" w:right="1166"/>
        <w:rPr>
          <w:rFonts w:hAnsi="宋体"/>
          <w:color w:val="auto"/>
          <w:highlight w:val="none"/>
        </w:rPr>
      </w:pPr>
      <w:r>
        <w:rPr>
          <w:rFonts w:hAnsi="宋体"/>
          <w:color w:val="auto"/>
          <w:highlight w:val="none"/>
        </w:rPr>
        <w:t>2</w:t>
      </w:r>
      <w:r>
        <w:rPr>
          <w:rFonts w:hint="eastAsia" w:hAnsi="宋体"/>
          <w:color w:val="auto"/>
          <w:highlight w:val="none"/>
        </w:rPr>
        <w:t>、评审标准</w:t>
      </w:r>
    </w:p>
    <w:p>
      <w:pPr>
        <w:pStyle w:val="11"/>
        <w:kinsoku w:val="0"/>
        <w:overflowPunct w:val="0"/>
        <w:spacing w:before="139"/>
        <w:ind w:right="1166"/>
        <w:rPr>
          <w:rFonts w:hAnsi="宋体"/>
          <w:color w:val="auto"/>
          <w:sz w:val="21"/>
          <w:szCs w:val="21"/>
          <w:highlight w:val="none"/>
        </w:rPr>
      </w:pPr>
      <w:r>
        <w:rPr>
          <w:rFonts w:hAnsi="宋体"/>
          <w:color w:val="auto"/>
          <w:sz w:val="21"/>
          <w:szCs w:val="21"/>
          <w:highlight w:val="none"/>
        </w:rPr>
        <w:t>2.1.</w:t>
      </w:r>
      <w:r>
        <w:rPr>
          <w:rFonts w:hint="eastAsia" w:hAnsi="宋体"/>
          <w:color w:val="auto"/>
          <w:sz w:val="21"/>
          <w:szCs w:val="21"/>
          <w:highlight w:val="none"/>
        </w:rPr>
        <w:t>初步评审标准</w:t>
      </w:r>
    </w:p>
    <w:p>
      <w:pPr>
        <w:pStyle w:val="11"/>
        <w:kinsoku w:val="0"/>
        <w:overflowPunct w:val="0"/>
        <w:spacing w:before="120"/>
        <w:ind w:right="1166"/>
        <w:rPr>
          <w:rFonts w:hAnsi="宋体"/>
          <w:color w:val="auto"/>
          <w:sz w:val="21"/>
          <w:szCs w:val="21"/>
          <w:highlight w:val="none"/>
        </w:rPr>
      </w:pPr>
      <w:r>
        <w:rPr>
          <w:rFonts w:hAnsi="宋体"/>
          <w:color w:val="auto"/>
          <w:sz w:val="21"/>
          <w:szCs w:val="21"/>
          <w:highlight w:val="none"/>
        </w:rPr>
        <w:t>2.1.1.</w:t>
      </w:r>
      <w:r>
        <w:rPr>
          <w:rFonts w:hint="eastAsia" w:hAnsi="宋体"/>
          <w:color w:val="auto"/>
          <w:sz w:val="21"/>
          <w:szCs w:val="21"/>
          <w:highlight w:val="none"/>
        </w:rPr>
        <w:t>形式评审标准：见评标办法前附表。</w:t>
      </w:r>
    </w:p>
    <w:p>
      <w:pPr>
        <w:pStyle w:val="11"/>
        <w:kinsoku w:val="0"/>
        <w:overflowPunct w:val="0"/>
        <w:spacing w:before="122"/>
        <w:ind w:right="1166"/>
        <w:rPr>
          <w:rFonts w:hAnsi="宋体"/>
          <w:color w:val="auto"/>
          <w:sz w:val="21"/>
          <w:szCs w:val="21"/>
          <w:highlight w:val="none"/>
        </w:rPr>
      </w:pPr>
      <w:r>
        <w:rPr>
          <w:rFonts w:hAnsi="宋体"/>
          <w:color w:val="auto"/>
          <w:sz w:val="21"/>
          <w:szCs w:val="21"/>
          <w:highlight w:val="none"/>
        </w:rPr>
        <w:t>2.1.2.</w:t>
      </w:r>
      <w:r>
        <w:rPr>
          <w:rFonts w:hint="eastAsia" w:hAnsi="宋体"/>
          <w:color w:val="auto"/>
          <w:sz w:val="21"/>
          <w:szCs w:val="21"/>
          <w:highlight w:val="none"/>
        </w:rPr>
        <w:t>资格评审标准：见评标办法前附表。</w:t>
      </w:r>
    </w:p>
    <w:p>
      <w:pPr>
        <w:pStyle w:val="11"/>
        <w:kinsoku w:val="0"/>
        <w:overflowPunct w:val="0"/>
        <w:spacing w:before="122"/>
        <w:ind w:right="1166"/>
        <w:rPr>
          <w:rFonts w:hAnsi="宋体"/>
          <w:color w:val="auto"/>
          <w:sz w:val="21"/>
          <w:szCs w:val="21"/>
          <w:highlight w:val="none"/>
        </w:rPr>
      </w:pPr>
      <w:r>
        <w:rPr>
          <w:rFonts w:hAnsi="宋体"/>
          <w:color w:val="auto"/>
          <w:sz w:val="21"/>
          <w:szCs w:val="21"/>
          <w:highlight w:val="none"/>
        </w:rPr>
        <w:t>2.1.3.</w:t>
      </w:r>
      <w:r>
        <w:rPr>
          <w:rFonts w:hint="eastAsia" w:hAnsi="宋体"/>
          <w:color w:val="auto"/>
          <w:sz w:val="21"/>
          <w:szCs w:val="21"/>
          <w:highlight w:val="none"/>
        </w:rPr>
        <w:t>响应性评审标准：见评标办法前附表。</w:t>
      </w:r>
    </w:p>
    <w:p>
      <w:pPr>
        <w:pStyle w:val="11"/>
        <w:kinsoku w:val="0"/>
        <w:overflowPunct w:val="0"/>
        <w:spacing w:before="125"/>
        <w:ind w:right="1166"/>
        <w:rPr>
          <w:rFonts w:hAnsi="宋体"/>
          <w:color w:val="auto"/>
          <w:sz w:val="21"/>
          <w:szCs w:val="21"/>
          <w:highlight w:val="none"/>
        </w:rPr>
      </w:pPr>
      <w:r>
        <w:rPr>
          <w:rFonts w:hAnsi="宋体"/>
          <w:color w:val="auto"/>
          <w:sz w:val="21"/>
          <w:szCs w:val="21"/>
          <w:highlight w:val="none"/>
        </w:rPr>
        <w:t>2.2.</w:t>
      </w:r>
      <w:r>
        <w:rPr>
          <w:rFonts w:hint="eastAsia" w:hAnsi="宋体"/>
          <w:color w:val="auto"/>
          <w:sz w:val="21"/>
          <w:szCs w:val="21"/>
          <w:highlight w:val="none"/>
        </w:rPr>
        <w:t>分值构成与评分标准</w:t>
      </w:r>
    </w:p>
    <w:p>
      <w:pPr>
        <w:pStyle w:val="11"/>
        <w:kinsoku w:val="0"/>
        <w:overflowPunct w:val="0"/>
        <w:spacing w:before="120"/>
        <w:ind w:right="1166"/>
        <w:rPr>
          <w:rFonts w:hAnsi="宋体"/>
          <w:color w:val="auto"/>
          <w:sz w:val="21"/>
          <w:szCs w:val="21"/>
          <w:highlight w:val="none"/>
        </w:rPr>
      </w:pPr>
      <w:r>
        <w:rPr>
          <w:rFonts w:hAnsi="宋体"/>
          <w:color w:val="auto"/>
          <w:sz w:val="21"/>
          <w:szCs w:val="21"/>
          <w:highlight w:val="none"/>
        </w:rPr>
        <w:t>2.2.1.</w:t>
      </w:r>
      <w:r>
        <w:rPr>
          <w:rFonts w:hint="eastAsia" w:hAnsi="宋体"/>
          <w:color w:val="auto"/>
          <w:sz w:val="21"/>
          <w:szCs w:val="21"/>
          <w:highlight w:val="none"/>
        </w:rPr>
        <w:t>分值构成</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1</w:t>
      </w:r>
      <w:r>
        <w:rPr>
          <w:rFonts w:hint="eastAsia" w:hAnsi="宋体"/>
          <w:color w:val="auto"/>
          <w:sz w:val="21"/>
          <w:szCs w:val="21"/>
          <w:highlight w:val="none"/>
        </w:rPr>
        <w:t>）商务标部分：见评标办法前附表；</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2</w:t>
      </w:r>
      <w:r>
        <w:rPr>
          <w:rFonts w:hint="eastAsia" w:hAnsi="宋体"/>
          <w:color w:val="auto"/>
          <w:sz w:val="21"/>
          <w:szCs w:val="21"/>
          <w:highlight w:val="none"/>
        </w:rPr>
        <w:t>）技术标部分：见评标办法前附表；</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3</w:t>
      </w:r>
      <w:r>
        <w:rPr>
          <w:rFonts w:hint="eastAsia" w:hAnsi="宋体"/>
          <w:color w:val="auto"/>
          <w:sz w:val="21"/>
          <w:szCs w:val="21"/>
          <w:highlight w:val="none"/>
        </w:rPr>
        <w:t>）投标报价：见评标办法前附表；</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（4）诚信评级：见评标办法前附表；</w:t>
      </w:r>
    </w:p>
    <w:p>
      <w:pPr>
        <w:pStyle w:val="11"/>
        <w:kinsoku w:val="0"/>
        <w:overflowPunct w:val="0"/>
        <w:spacing w:before="122" w:line="333" w:lineRule="auto"/>
        <w:ind w:right="111"/>
        <w:rPr>
          <w:rFonts w:hAnsi="宋体"/>
          <w:color w:val="auto"/>
          <w:sz w:val="21"/>
          <w:szCs w:val="21"/>
          <w:highlight w:val="none"/>
        </w:rPr>
      </w:pPr>
      <w:r>
        <w:rPr>
          <w:rFonts w:hAnsi="宋体"/>
          <w:color w:val="auto"/>
          <w:sz w:val="21"/>
          <w:szCs w:val="21"/>
          <w:highlight w:val="none"/>
        </w:rPr>
        <w:t>2.2.</w:t>
      </w:r>
      <w:r>
        <w:rPr>
          <w:rFonts w:hint="eastAsia" w:hAnsi="宋体"/>
          <w:color w:val="auto"/>
          <w:sz w:val="21"/>
          <w:szCs w:val="21"/>
          <w:highlight w:val="none"/>
        </w:rPr>
        <w:t>3 评分标准见评标办法前附表。</w:t>
      </w:r>
    </w:p>
    <w:p>
      <w:pPr>
        <w:pStyle w:val="11"/>
        <w:kinsoku w:val="0"/>
        <w:overflowPunct w:val="0"/>
        <w:spacing w:before="46"/>
        <w:ind w:left="100" w:right="1166"/>
        <w:rPr>
          <w:rFonts w:hAnsi="宋体"/>
          <w:color w:val="auto"/>
          <w:highlight w:val="none"/>
        </w:rPr>
      </w:pPr>
      <w:r>
        <w:rPr>
          <w:rFonts w:hAnsi="宋体"/>
          <w:color w:val="auto"/>
          <w:highlight w:val="none"/>
        </w:rPr>
        <w:t>3</w:t>
      </w:r>
      <w:r>
        <w:rPr>
          <w:rFonts w:hint="eastAsia" w:hAnsi="宋体"/>
          <w:color w:val="auto"/>
          <w:highlight w:val="none"/>
        </w:rPr>
        <w:t>、评标程序</w:t>
      </w:r>
    </w:p>
    <w:p>
      <w:pPr>
        <w:pStyle w:val="11"/>
        <w:kinsoku w:val="0"/>
        <w:overflowPunct w:val="0"/>
        <w:spacing w:before="139"/>
        <w:ind w:right="1166"/>
        <w:rPr>
          <w:rFonts w:hAnsi="宋体"/>
          <w:color w:val="auto"/>
          <w:sz w:val="21"/>
          <w:szCs w:val="21"/>
          <w:highlight w:val="none"/>
        </w:rPr>
      </w:pPr>
      <w:r>
        <w:rPr>
          <w:rFonts w:hAnsi="宋体"/>
          <w:color w:val="auto"/>
          <w:sz w:val="21"/>
          <w:szCs w:val="21"/>
          <w:highlight w:val="none"/>
        </w:rPr>
        <w:t>3.1.</w:t>
      </w:r>
      <w:r>
        <w:rPr>
          <w:rFonts w:hint="eastAsia" w:hAnsi="宋体"/>
          <w:color w:val="auto"/>
          <w:sz w:val="21"/>
          <w:szCs w:val="21"/>
          <w:highlight w:val="none"/>
        </w:rPr>
        <w:t>初步评审</w:t>
      </w:r>
    </w:p>
    <w:p>
      <w:pPr>
        <w:pStyle w:val="11"/>
        <w:kinsoku w:val="0"/>
        <w:overflowPunct w:val="0"/>
        <w:spacing w:before="120" w:line="333" w:lineRule="auto"/>
        <w:ind w:left="100" w:right="103" w:firstLine="480"/>
        <w:jc w:val="both"/>
        <w:rPr>
          <w:rFonts w:hAnsi="宋体"/>
          <w:color w:val="auto"/>
          <w:sz w:val="21"/>
          <w:szCs w:val="21"/>
          <w:highlight w:val="none"/>
        </w:rPr>
      </w:pPr>
      <w:r>
        <w:rPr>
          <w:rFonts w:hAnsi="宋体"/>
          <w:color w:val="auto"/>
          <w:spacing w:val="2"/>
          <w:sz w:val="21"/>
          <w:szCs w:val="21"/>
          <w:highlight w:val="none"/>
        </w:rPr>
        <w:t>3.1.1.</w:t>
      </w:r>
      <w:r>
        <w:rPr>
          <w:rFonts w:hint="eastAsia" w:hAnsi="宋体"/>
          <w:color w:val="auto"/>
          <w:sz w:val="21"/>
          <w:szCs w:val="21"/>
          <w:highlight w:val="none"/>
        </w:rPr>
        <w:t>评标委员会依据本章第</w:t>
      </w:r>
      <w:r>
        <w:rPr>
          <w:rFonts w:hAnsi="宋体"/>
          <w:color w:val="auto"/>
          <w:sz w:val="21"/>
          <w:szCs w:val="21"/>
          <w:highlight w:val="none"/>
        </w:rPr>
        <w:t>2.1</w:t>
      </w:r>
      <w:r>
        <w:rPr>
          <w:rFonts w:hint="eastAsia" w:hAnsi="宋体"/>
          <w:color w:val="auto"/>
          <w:sz w:val="21"/>
          <w:szCs w:val="21"/>
          <w:highlight w:val="none"/>
        </w:rPr>
        <w:t>条规定的标准，对投标文件进行初步评审。有一项不符合评审标准的，评标委员会应当否决其投标。</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3.1.2.投标人有以下情形之一的，其投标作无效投标处理：</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（1）串通投标或弄虚作假或有其他违法行为的；</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（2）不按评标委员会要求澄清、说明或补正的；</w:t>
      </w:r>
    </w:p>
    <w:p>
      <w:pPr>
        <w:pStyle w:val="11"/>
        <w:kinsoku w:val="0"/>
        <w:overflowPunct w:val="0"/>
        <w:spacing w:before="122"/>
        <w:ind w:right="1166"/>
        <w:rPr>
          <w:rFonts w:hAnsi="宋体"/>
          <w:color w:val="auto"/>
          <w:sz w:val="21"/>
          <w:szCs w:val="21"/>
          <w:highlight w:val="none"/>
        </w:rPr>
      </w:pPr>
      <w:r>
        <w:rPr>
          <w:rFonts w:hint="eastAsia" w:hAnsi="宋体"/>
          <w:color w:val="auto"/>
          <w:sz w:val="21"/>
          <w:szCs w:val="21"/>
          <w:highlight w:val="none"/>
        </w:rPr>
        <w:t>（3）不得存在第二章投标人须知1.4.3款情形。</w:t>
      </w:r>
    </w:p>
    <w:p>
      <w:pPr>
        <w:pStyle w:val="11"/>
        <w:kinsoku w:val="0"/>
        <w:overflowPunct w:val="0"/>
        <w:spacing w:before="122" w:line="333" w:lineRule="auto"/>
        <w:ind w:left="0" w:right="90" w:firstLine="428" w:firstLineChars="200"/>
        <w:rPr>
          <w:rFonts w:hAnsi="宋体"/>
          <w:color w:val="auto"/>
          <w:spacing w:val="2"/>
          <w:sz w:val="21"/>
          <w:szCs w:val="21"/>
          <w:highlight w:val="none"/>
        </w:rPr>
      </w:pPr>
      <w:r>
        <w:rPr>
          <w:rFonts w:hAnsi="宋体"/>
          <w:color w:val="auto"/>
          <w:spacing w:val="2"/>
          <w:sz w:val="21"/>
          <w:szCs w:val="21"/>
          <w:highlight w:val="none"/>
        </w:rPr>
        <w:t>3.1.3.</w:t>
      </w:r>
      <w:r>
        <w:rPr>
          <w:rFonts w:hint="eastAsia" w:hAnsi="宋体"/>
          <w:color w:val="auto"/>
          <w:spacing w:val="2"/>
          <w:sz w:val="21"/>
          <w:szCs w:val="21"/>
          <w:highlight w:val="none"/>
        </w:rPr>
        <w:t>投标报价有算术错误的，评标委员会按以下原则对投标报价进行修正，修正</w:t>
      </w:r>
      <w:r>
        <w:rPr>
          <w:rFonts w:hint="eastAsia" w:hAnsi="宋体"/>
          <w:color w:val="auto"/>
          <w:sz w:val="21"/>
          <w:szCs w:val="21"/>
          <w:highlight w:val="none"/>
        </w:rPr>
        <w:t>的价格经投标人书面确认后具有约束力。投标人不接受修正价格的，其投标作废标处理。</w:t>
      </w:r>
    </w:p>
    <w:p>
      <w:pPr>
        <w:pStyle w:val="11"/>
        <w:kinsoku w:val="0"/>
        <w:overflowPunct w:val="0"/>
        <w:spacing w:before="120"/>
        <w:ind w:right="86"/>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1</w:t>
      </w:r>
      <w:r>
        <w:rPr>
          <w:rFonts w:hint="eastAsia" w:hAnsi="宋体"/>
          <w:color w:val="auto"/>
          <w:sz w:val="21"/>
          <w:szCs w:val="21"/>
          <w:highlight w:val="none"/>
        </w:rPr>
        <w:t>）投标文件中的大写金额与小写金额不一致的，以大写金额为准；</w:t>
      </w:r>
    </w:p>
    <w:p>
      <w:pPr>
        <w:pStyle w:val="11"/>
        <w:kinsoku w:val="0"/>
        <w:overflowPunct w:val="0"/>
        <w:spacing w:before="122" w:line="333" w:lineRule="auto"/>
        <w:ind w:left="100" w:right="206" w:firstLine="480"/>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2</w:t>
      </w:r>
      <w:r>
        <w:rPr>
          <w:rFonts w:hint="eastAsia" w:hAnsi="宋体"/>
          <w:color w:val="auto"/>
          <w:sz w:val="21"/>
          <w:szCs w:val="21"/>
          <w:highlight w:val="none"/>
        </w:rPr>
        <w:t>）总价金额与依据单价计算出的结果不一致的，以单价金额为准修正总价，但单价金额小数点有明显错误的除外。</w:t>
      </w:r>
    </w:p>
    <w:p>
      <w:pPr>
        <w:pStyle w:val="11"/>
        <w:kinsoku w:val="0"/>
        <w:overflowPunct w:val="0"/>
        <w:spacing w:before="31"/>
        <w:ind w:right="5726"/>
        <w:rPr>
          <w:rFonts w:hAnsi="宋体"/>
          <w:color w:val="auto"/>
          <w:sz w:val="21"/>
          <w:szCs w:val="21"/>
          <w:highlight w:val="none"/>
        </w:rPr>
      </w:pPr>
      <w:r>
        <w:rPr>
          <w:rFonts w:hAnsi="宋体"/>
          <w:color w:val="auto"/>
          <w:sz w:val="21"/>
          <w:szCs w:val="21"/>
          <w:highlight w:val="none"/>
        </w:rPr>
        <w:t>3.2.</w:t>
      </w:r>
      <w:r>
        <w:rPr>
          <w:rFonts w:hint="eastAsia" w:hAnsi="宋体"/>
          <w:color w:val="auto"/>
          <w:sz w:val="21"/>
          <w:szCs w:val="21"/>
          <w:highlight w:val="none"/>
        </w:rPr>
        <w:t>详细评审</w:t>
      </w:r>
    </w:p>
    <w:p>
      <w:pPr>
        <w:pStyle w:val="11"/>
        <w:kinsoku w:val="0"/>
        <w:overflowPunct w:val="0"/>
        <w:spacing w:before="122" w:line="331" w:lineRule="auto"/>
        <w:ind w:left="100" w:right="86" w:firstLine="480"/>
        <w:rPr>
          <w:rFonts w:hAnsi="宋体"/>
          <w:color w:val="auto"/>
          <w:sz w:val="21"/>
          <w:szCs w:val="21"/>
          <w:highlight w:val="none"/>
        </w:rPr>
      </w:pPr>
      <w:r>
        <w:rPr>
          <w:rFonts w:hAnsi="宋体"/>
          <w:color w:val="auto"/>
          <w:spacing w:val="-1"/>
          <w:sz w:val="21"/>
          <w:szCs w:val="21"/>
          <w:highlight w:val="none"/>
        </w:rPr>
        <w:t>3.2.1.</w:t>
      </w:r>
      <w:r>
        <w:rPr>
          <w:rFonts w:hint="eastAsia" w:hAnsi="宋体"/>
          <w:color w:val="auto"/>
          <w:spacing w:val="-1"/>
          <w:sz w:val="21"/>
          <w:szCs w:val="21"/>
          <w:highlight w:val="none"/>
        </w:rPr>
        <w:t>评标委员会按本章第</w:t>
      </w:r>
      <w:r>
        <w:rPr>
          <w:rFonts w:hAnsi="宋体"/>
          <w:color w:val="auto"/>
          <w:spacing w:val="-1"/>
          <w:sz w:val="21"/>
          <w:szCs w:val="21"/>
          <w:highlight w:val="none"/>
        </w:rPr>
        <w:t>2.2</w:t>
      </w:r>
      <w:r>
        <w:rPr>
          <w:rFonts w:hint="eastAsia" w:hAnsi="宋体"/>
          <w:color w:val="auto"/>
          <w:spacing w:val="-1"/>
          <w:sz w:val="21"/>
          <w:szCs w:val="21"/>
          <w:highlight w:val="none"/>
        </w:rPr>
        <w:t>款规定的量化因素和分值进行打分，投标人的商务技术得分为各评委对商务技术部分计算出得分的算术平均值，并计算出综合评</w:t>
      </w:r>
      <w:r>
        <w:rPr>
          <w:rFonts w:hint="eastAsia" w:hAnsi="宋体"/>
          <w:color w:val="auto"/>
          <w:sz w:val="21"/>
          <w:szCs w:val="21"/>
          <w:highlight w:val="none"/>
        </w:rPr>
        <w:t>估得分。</w:t>
      </w:r>
    </w:p>
    <w:p>
      <w:pPr>
        <w:pStyle w:val="11"/>
        <w:kinsoku w:val="0"/>
        <w:overflowPunct w:val="0"/>
        <w:spacing w:before="31" w:line="333" w:lineRule="auto"/>
        <w:ind w:right="45"/>
        <w:rPr>
          <w:rFonts w:hAnsi="宋体"/>
          <w:color w:val="auto"/>
          <w:sz w:val="21"/>
          <w:szCs w:val="21"/>
          <w:highlight w:val="none"/>
        </w:rPr>
      </w:pPr>
      <w:r>
        <w:rPr>
          <w:rFonts w:hAnsi="宋体"/>
          <w:color w:val="auto"/>
          <w:sz w:val="21"/>
          <w:szCs w:val="21"/>
          <w:highlight w:val="none"/>
        </w:rPr>
        <w:t>3.2.2.</w:t>
      </w:r>
      <w:r>
        <w:rPr>
          <w:rFonts w:hint="eastAsia" w:hAnsi="宋体"/>
          <w:color w:val="auto"/>
          <w:sz w:val="21"/>
          <w:szCs w:val="21"/>
          <w:highlight w:val="none"/>
        </w:rPr>
        <w:t>评分分值计算保留小数点后两位，小数点后第三位“四舍五入”。</w:t>
      </w:r>
    </w:p>
    <w:p>
      <w:pPr>
        <w:pStyle w:val="11"/>
        <w:kinsoku w:val="0"/>
        <w:overflowPunct w:val="0"/>
        <w:spacing w:before="31"/>
        <w:ind w:right="86"/>
        <w:rPr>
          <w:rFonts w:hAnsi="宋体"/>
          <w:color w:val="auto"/>
          <w:sz w:val="21"/>
          <w:szCs w:val="21"/>
          <w:highlight w:val="none"/>
        </w:rPr>
      </w:pPr>
      <w:r>
        <w:rPr>
          <w:rFonts w:hAnsi="宋体"/>
          <w:color w:val="auto"/>
          <w:sz w:val="21"/>
          <w:szCs w:val="21"/>
          <w:highlight w:val="none"/>
        </w:rPr>
        <w:t>3.2.3.</w:t>
      </w:r>
      <w:r>
        <w:rPr>
          <w:rFonts w:hint="eastAsia" w:hAnsi="宋体"/>
          <w:color w:val="auto"/>
          <w:sz w:val="21"/>
          <w:szCs w:val="21"/>
          <w:highlight w:val="none"/>
        </w:rPr>
        <w:t>投标人得分</w:t>
      </w:r>
      <w:r>
        <w:rPr>
          <w:rFonts w:hAnsi="宋体"/>
          <w:color w:val="auto"/>
          <w:sz w:val="21"/>
          <w:szCs w:val="21"/>
          <w:highlight w:val="none"/>
        </w:rPr>
        <w:t>=</w:t>
      </w:r>
      <w:r>
        <w:rPr>
          <w:rFonts w:hint="eastAsia" w:hAnsi="宋体"/>
          <w:color w:val="auto"/>
          <w:sz w:val="21"/>
          <w:szCs w:val="21"/>
          <w:highlight w:val="none"/>
        </w:rPr>
        <w:t>商务标得分</w:t>
      </w:r>
      <w:r>
        <w:rPr>
          <w:rFonts w:hAnsi="宋体"/>
          <w:color w:val="auto"/>
          <w:sz w:val="21"/>
          <w:szCs w:val="21"/>
          <w:highlight w:val="none"/>
        </w:rPr>
        <w:t>+</w:t>
      </w:r>
      <w:r>
        <w:rPr>
          <w:rFonts w:hint="eastAsia" w:hAnsi="宋体"/>
          <w:color w:val="auto"/>
          <w:sz w:val="21"/>
          <w:szCs w:val="21"/>
          <w:highlight w:val="none"/>
        </w:rPr>
        <w:t>技术标得分</w:t>
      </w:r>
      <w:r>
        <w:rPr>
          <w:rFonts w:hAnsi="宋体"/>
          <w:color w:val="auto"/>
          <w:sz w:val="21"/>
          <w:szCs w:val="21"/>
          <w:highlight w:val="none"/>
        </w:rPr>
        <w:t>+</w:t>
      </w:r>
      <w:r>
        <w:rPr>
          <w:rFonts w:hint="eastAsia" w:hAnsi="宋体"/>
          <w:color w:val="auto"/>
          <w:sz w:val="21"/>
          <w:szCs w:val="21"/>
          <w:highlight w:val="none"/>
        </w:rPr>
        <w:t>投标报价得分+诚信评级。</w:t>
      </w:r>
    </w:p>
    <w:p>
      <w:pPr>
        <w:pStyle w:val="11"/>
        <w:kinsoku w:val="0"/>
        <w:overflowPunct w:val="0"/>
        <w:spacing w:before="122" w:line="333" w:lineRule="auto"/>
        <w:ind w:left="100" w:right="223" w:firstLine="480"/>
        <w:jc w:val="both"/>
        <w:rPr>
          <w:rFonts w:hAnsi="宋体"/>
          <w:color w:val="auto"/>
          <w:sz w:val="21"/>
          <w:szCs w:val="21"/>
          <w:highlight w:val="none"/>
        </w:rPr>
      </w:pPr>
      <w:r>
        <w:rPr>
          <w:rFonts w:hAnsi="宋体"/>
          <w:color w:val="auto"/>
          <w:spacing w:val="2"/>
          <w:sz w:val="21"/>
          <w:szCs w:val="21"/>
          <w:highlight w:val="none"/>
        </w:rPr>
        <w:t>3.2.4.</w:t>
      </w:r>
      <w:r>
        <w:rPr>
          <w:rFonts w:hint="eastAsia" w:hAnsi="宋体"/>
          <w:color w:val="auto"/>
          <w:spacing w:val="2"/>
          <w:sz w:val="21"/>
          <w:szCs w:val="21"/>
          <w:highlight w:val="none"/>
        </w:rPr>
        <w:t>经评审，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w:t>
      </w:r>
      <w:r>
        <w:rPr>
          <w:rFonts w:hint="eastAsia" w:hAnsi="宋体"/>
          <w:color w:val="auto"/>
          <w:sz w:val="21"/>
          <w:szCs w:val="21"/>
          <w:highlight w:val="none"/>
        </w:rPr>
        <w:t>其投标作废标处理。</w:t>
      </w:r>
    </w:p>
    <w:p>
      <w:pPr>
        <w:pStyle w:val="11"/>
        <w:kinsoku w:val="0"/>
        <w:overflowPunct w:val="0"/>
        <w:spacing w:before="31" w:line="331" w:lineRule="auto"/>
        <w:ind w:left="100" w:right="86" w:firstLine="480"/>
        <w:rPr>
          <w:rFonts w:hAnsi="宋体"/>
          <w:color w:val="auto"/>
          <w:spacing w:val="-1"/>
          <w:sz w:val="21"/>
          <w:szCs w:val="21"/>
          <w:highlight w:val="none"/>
        </w:rPr>
      </w:pPr>
      <w:r>
        <w:rPr>
          <w:rFonts w:hAnsi="宋体"/>
          <w:color w:val="auto"/>
          <w:spacing w:val="-1"/>
          <w:sz w:val="21"/>
          <w:szCs w:val="21"/>
          <w:highlight w:val="none"/>
        </w:rPr>
        <w:t>3.2.5.</w:t>
      </w:r>
      <w:r>
        <w:rPr>
          <w:rFonts w:hint="eastAsia" w:hAnsi="宋体"/>
          <w:color w:val="auto"/>
          <w:spacing w:val="-1"/>
          <w:sz w:val="21"/>
          <w:szCs w:val="21"/>
          <w:highlight w:val="none"/>
        </w:rPr>
        <w:t>综合评分相等时，投标报价也相等的，</w:t>
      </w:r>
      <w:r>
        <w:rPr>
          <w:rFonts w:hint="eastAsia" w:hAnsi="宋体"/>
          <w:color w:val="auto"/>
          <w:spacing w:val="2"/>
          <w:sz w:val="21"/>
          <w:szCs w:val="21"/>
          <w:highlight w:val="none"/>
        </w:rPr>
        <w:t>由评标委员会推选的评标组长随机抽签确定排序。</w:t>
      </w:r>
    </w:p>
    <w:p>
      <w:pPr>
        <w:pStyle w:val="11"/>
        <w:kinsoku w:val="0"/>
        <w:overflowPunct w:val="0"/>
        <w:spacing w:before="31"/>
        <w:ind w:right="45"/>
        <w:rPr>
          <w:rFonts w:hAnsi="宋体"/>
          <w:color w:val="auto"/>
          <w:sz w:val="21"/>
          <w:szCs w:val="21"/>
          <w:highlight w:val="none"/>
        </w:rPr>
      </w:pPr>
      <w:r>
        <w:rPr>
          <w:rFonts w:hAnsi="宋体"/>
          <w:color w:val="auto"/>
          <w:sz w:val="21"/>
          <w:szCs w:val="21"/>
          <w:highlight w:val="none"/>
        </w:rPr>
        <w:t>3.3.</w:t>
      </w:r>
      <w:r>
        <w:rPr>
          <w:rFonts w:hint="eastAsia" w:hAnsi="宋体"/>
          <w:color w:val="auto"/>
          <w:sz w:val="21"/>
          <w:szCs w:val="21"/>
          <w:highlight w:val="none"/>
        </w:rPr>
        <w:t>投标文件的澄清和补正</w:t>
      </w:r>
    </w:p>
    <w:p>
      <w:pPr>
        <w:pStyle w:val="11"/>
        <w:kinsoku w:val="0"/>
        <w:overflowPunct w:val="0"/>
        <w:spacing w:before="122" w:line="333" w:lineRule="auto"/>
        <w:ind w:left="100" w:right="223" w:firstLine="480"/>
        <w:jc w:val="both"/>
        <w:rPr>
          <w:rFonts w:hAnsi="宋体"/>
          <w:color w:val="auto"/>
          <w:sz w:val="21"/>
          <w:szCs w:val="21"/>
          <w:highlight w:val="none"/>
        </w:rPr>
      </w:pPr>
      <w:r>
        <w:rPr>
          <w:rFonts w:hAnsi="宋体"/>
          <w:color w:val="auto"/>
          <w:spacing w:val="2"/>
          <w:sz w:val="21"/>
          <w:szCs w:val="21"/>
          <w:highlight w:val="none"/>
        </w:rPr>
        <w:t>3.3.1.</w:t>
      </w:r>
      <w:r>
        <w:rPr>
          <w:rFonts w:hint="eastAsia" w:hAnsi="宋体"/>
          <w:color w:val="auto"/>
          <w:spacing w:val="2"/>
          <w:sz w:val="21"/>
          <w:szCs w:val="21"/>
          <w:highlight w:val="none"/>
        </w:rPr>
        <w:t>在评标过程中，评标委员会可以书面形式要求投标人对所提交投标文件中不明确的内容进行书面澄清或说明，或者对细微偏差进行补正。评标委员会不接受投标人</w:t>
      </w:r>
      <w:r>
        <w:rPr>
          <w:rFonts w:hint="eastAsia" w:hAnsi="宋体"/>
          <w:color w:val="auto"/>
          <w:sz w:val="21"/>
          <w:szCs w:val="21"/>
          <w:highlight w:val="none"/>
        </w:rPr>
        <w:t>主动提出的澄清、说明或补正。</w:t>
      </w:r>
    </w:p>
    <w:p>
      <w:pPr>
        <w:pStyle w:val="11"/>
        <w:kinsoku w:val="0"/>
        <w:overflowPunct w:val="0"/>
        <w:spacing w:before="26" w:line="333" w:lineRule="auto"/>
        <w:ind w:left="100" w:right="91" w:firstLine="480"/>
        <w:rPr>
          <w:rFonts w:hAnsi="宋体"/>
          <w:color w:val="auto"/>
          <w:sz w:val="21"/>
          <w:szCs w:val="21"/>
          <w:highlight w:val="none"/>
        </w:rPr>
      </w:pPr>
      <w:r>
        <w:rPr>
          <w:rFonts w:hAnsi="宋体"/>
          <w:color w:val="auto"/>
          <w:spacing w:val="-6"/>
          <w:sz w:val="21"/>
          <w:szCs w:val="21"/>
          <w:highlight w:val="none"/>
        </w:rPr>
        <w:t>3.3.2.</w:t>
      </w:r>
      <w:r>
        <w:rPr>
          <w:rFonts w:hint="eastAsia" w:hAnsi="宋体"/>
          <w:color w:val="auto"/>
          <w:spacing w:val="-6"/>
          <w:sz w:val="21"/>
          <w:szCs w:val="21"/>
          <w:highlight w:val="none"/>
        </w:rPr>
        <w:t>澄清、说明和补正不得改变投标文件的实质性内容（算术性错误修正的除外）。</w:t>
      </w:r>
      <w:r>
        <w:rPr>
          <w:rFonts w:hint="eastAsia" w:hAnsi="宋体"/>
          <w:color w:val="auto"/>
          <w:sz w:val="21"/>
          <w:szCs w:val="21"/>
          <w:highlight w:val="none"/>
        </w:rPr>
        <w:t>投标人的书面澄清、说明和补正属于投标文件的组成部分。</w:t>
      </w:r>
    </w:p>
    <w:p>
      <w:pPr>
        <w:pStyle w:val="11"/>
        <w:kinsoku w:val="0"/>
        <w:overflowPunct w:val="0"/>
        <w:spacing w:before="29" w:line="333" w:lineRule="auto"/>
        <w:ind w:left="100" w:right="86" w:firstLine="480"/>
        <w:rPr>
          <w:rFonts w:hAnsi="宋体"/>
          <w:color w:val="auto"/>
          <w:highlight w:val="none"/>
        </w:rPr>
      </w:pPr>
      <w:r>
        <w:rPr>
          <w:rFonts w:hAnsi="宋体"/>
          <w:color w:val="auto"/>
          <w:spacing w:val="2"/>
          <w:sz w:val="21"/>
          <w:szCs w:val="21"/>
          <w:highlight w:val="none"/>
        </w:rPr>
        <w:t>3.3.3.</w:t>
      </w:r>
      <w:r>
        <w:rPr>
          <w:rFonts w:hint="eastAsia" w:hAnsi="宋体"/>
          <w:color w:val="auto"/>
          <w:spacing w:val="2"/>
          <w:sz w:val="21"/>
          <w:szCs w:val="21"/>
          <w:highlight w:val="none"/>
        </w:rPr>
        <w:t>评标委员会对投标人提交的澄清、说明或补正有疑问的，可以要求投标人进</w:t>
      </w:r>
      <w:r>
        <w:rPr>
          <w:rFonts w:hint="eastAsia" w:hAnsi="宋体"/>
          <w:color w:val="auto"/>
          <w:sz w:val="21"/>
          <w:szCs w:val="21"/>
          <w:highlight w:val="none"/>
        </w:rPr>
        <w:t>一步澄清、说明或补正，直至满足评标委员会的要求。</w:t>
      </w:r>
    </w:p>
    <w:p>
      <w:pPr>
        <w:pStyle w:val="11"/>
        <w:kinsoku w:val="0"/>
        <w:overflowPunct w:val="0"/>
        <w:spacing w:before="31"/>
        <w:ind w:right="5726"/>
        <w:rPr>
          <w:rFonts w:hAnsi="宋体"/>
          <w:color w:val="auto"/>
          <w:sz w:val="21"/>
          <w:szCs w:val="21"/>
          <w:highlight w:val="none"/>
        </w:rPr>
      </w:pPr>
      <w:r>
        <w:rPr>
          <w:rFonts w:hAnsi="宋体"/>
          <w:color w:val="auto"/>
          <w:sz w:val="21"/>
          <w:szCs w:val="21"/>
          <w:highlight w:val="none"/>
        </w:rPr>
        <w:t>3.4.</w:t>
      </w:r>
      <w:r>
        <w:rPr>
          <w:rFonts w:hint="eastAsia" w:hAnsi="宋体"/>
          <w:color w:val="auto"/>
          <w:sz w:val="21"/>
          <w:szCs w:val="21"/>
          <w:highlight w:val="none"/>
        </w:rPr>
        <w:t>评标结果</w:t>
      </w:r>
    </w:p>
    <w:p>
      <w:pPr>
        <w:pStyle w:val="11"/>
        <w:kinsoku w:val="0"/>
        <w:overflowPunct w:val="0"/>
        <w:spacing w:before="120" w:line="333" w:lineRule="auto"/>
        <w:ind w:left="100" w:right="86" w:firstLine="480"/>
        <w:rPr>
          <w:rFonts w:hAnsi="宋体"/>
          <w:color w:val="auto"/>
          <w:sz w:val="21"/>
          <w:szCs w:val="21"/>
          <w:highlight w:val="none"/>
        </w:rPr>
      </w:pPr>
      <w:r>
        <w:rPr>
          <w:rFonts w:hAnsi="宋体"/>
          <w:color w:val="auto"/>
          <w:spacing w:val="2"/>
          <w:sz w:val="21"/>
          <w:szCs w:val="21"/>
          <w:highlight w:val="none"/>
        </w:rPr>
        <w:t>3.4.1.</w:t>
      </w:r>
      <w:r>
        <w:rPr>
          <w:rFonts w:hint="eastAsia" w:hAnsi="宋体"/>
          <w:color w:val="auto"/>
          <w:spacing w:val="2"/>
          <w:sz w:val="21"/>
          <w:szCs w:val="21"/>
          <w:highlight w:val="none"/>
        </w:rPr>
        <w:t>除第二章“投标人须知”前附表授权直接确定中标人外，评标委员会按照得</w:t>
      </w:r>
      <w:r>
        <w:rPr>
          <w:rFonts w:hint="eastAsia" w:hAnsi="宋体"/>
          <w:color w:val="auto"/>
          <w:sz w:val="21"/>
          <w:szCs w:val="21"/>
          <w:highlight w:val="none"/>
        </w:rPr>
        <w:t>分由高到低的顺序推荐中标候选人。</w:t>
      </w:r>
    </w:p>
    <w:p>
      <w:pPr>
        <w:pStyle w:val="11"/>
        <w:kinsoku w:val="0"/>
        <w:overflowPunct w:val="0"/>
        <w:spacing w:before="29"/>
        <w:ind w:right="86"/>
        <w:rPr>
          <w:rFonts w:hAnsi="宋体"/>
          <w:color w:val="auto"/>
          <w:highlight w:val="none"/>
        </w:rPr>
      </w:pPr>
      <w:r>
        <w:rPr>
          <w:rFonts w:hAnsi="宋体"/>
          <w:color w:val="auto"/>
          <w:sz w:val="21"/>
          <w:szCs w:val="21"/>
          <w:highlight w:val="none"/>
        </w:rPr>
        <w:t>3.4.2.</w:t>
      </w:r>
      <w:r>
        <w:rPr>
          <w:rFonts w:hint="eastAsia" w:hAnsi="宋体"/>
          <w:color w:val="auto"/>
          <w:sz w:val="21"/>
          <w:szCs w:val="21"/>
          <w:highlight w:val="none"/>
        </w:rPr>
        <w:t>评标委员会完成评标后，应当向招标人提交书面评标报告。</w:t>
      </w:r>
    </w:p>
    <w:p>
      <w:pPr>
        <w:pStyle w:val="11"/>
        <w:kinsoku w:val="0"/>
        <w:overflowPunct w:val="0"/>
        <w:spacing w:before="0"/>
        <w:ind w:left="0"/>
        <w:rPr>
          <w:rFonts w:hAnsi="宋体"/>
          <w:color w:val="auto"/>
          <w:sz w:val="20"/>
          <w:szCs w:val="20"/>
          <w:highlight w:val="none"/>
        </w:rPr>
      </w:pPr>
      <w:r>
        <w:rPr>
          <w:rFonts w:hAnsi="宋体"/>
          <w:color w:val="auto"/>
          <w:highlight w:val="none"/>
        </w:rPr>
        <w:br w:type="page"/>
      </w:r>
    </w:p>
    <w:p>
      <w:pPr>
        <w:pStyle w:val="11"/>
        <w:kinsoku w:val="0"/>
        <w:overflowPunct w:val="0"/>
        <w:spacing w:before="0"/>
        <w:ind w:left="0"/>
        <w:rPr>
          <w:rFonts w:hAnsi="宋体"/>
          <w:color w:val="auto"/>
          <w:sz w:val="20"/>
          <w:szCs w:val="20"/>
          <w:highlight w:val="none"/>
        </w:rPr>
      </w:pPr>
    </w:p>
    <w:p>
      <w:pPr>
        <w:pStyle w:val="4"/>
        <w:tabs>
          <w:tab w:val="left" w:pos="4298"/>
        </w:tabs>
        <w:kinsoku w:val="0"/>
        <w:overflowPunct w:val="0"/>
        <w:spacing w:line="580" w:lineRule="exact"/>
        <w:ind w:left="2378"/>
        <w:rPr>
          <w:rFonts w:hAnsi="宋体"/>
          <w:color w:val="auto"/>
          <w:highlight w:val="none"/>
        </w:rPr>
      </w:pPr>
      <w:bookmarkStart w:id="472" w:name="_Toc13805"/>
      <w:bookmarkStart w:id="473" w:name="_Toc103022678"/>
      <w:bookmarkStart w:id="474" w:name="_Toc71855280"/>
      <w:bookmarkStart w:id="475" w:name="_Toc71854967"/>
      <w:bookmarkStart w:id="476" w:name="_Toc99970107"/>
      <w:bookmarkStart w:id="477" w:name="_Toc102907789"/>
      <w:bookmarkStart w:id="478" w:name="_Toc71855625"/>
      <w:r>
        <w:rPr>
          <w:rFonts w:hint="eastAsia" w:hAnsi="宋体"/>
          <w:color w:val="auto"/>
          <w:highlight w:val="none"/>
        </w:rPr>
        <w:t>第四章</w:t>
      </w:r>
      <w:r>
        <w:rPr>
          <w:rFonts w:hAnsi="宋体"/>
          <w:color w:val="auto"/>
          <w:highlight w:val="none"/>
        </w:rPr>
        <w:tab/>
      </w:r>
      <w:r>
        <w:rPr>
          <w:rFonts w:hint="eastAsia" w:hAnsi="宋体"/>
          <w:color w:val="auto"/>
          <w:highlight w:val="none"/>
        </w:rPr>
        <w:t>合同条款</w:t>
      </w:r>
      <w:bookmarkEnd w:id="472"/>
      <w:bookmarkEnd w:id="473"/>
      <w:bookmarkEnd w:id="474"/>
      <w:bookmarkEnd w:id="475"/>
      <w:bookmarkEnd w:id="476"/>
      <w:bookmarkEnd w:id="477"/>
      <w:bookmarkEnd w:id="478"/>
    </w:p>
    <w:p>
      <w:pPr>
        <w:widowControl/>
        <w:autoSpaceDE/>
        <w:autoSpaceDN/>
        <w:adjustRightInd/>
        <w:rPr>
          <w:rFonts w:ascii="宋体" w:hAnsi="宋体"/>
          <w:b/>
          <w:bCs/>
          <w:color w:val="auto"/>
          <w:szCs w:val="21"/>
          <w:highlight w:val="none"/>
        </w:rPr>
      </w:pPr>
    </w:p>
    <w:p>
      <w:pPr>
        <w:widowControl/>
        <w:autoSpaceDE/>
        <w:autoSpaceDN/>
        <w:adjustRightInd/>
        <w:rPr>
          <w:rFonts w:ascii="宋体" w:hAnsi="宋体"/>
          <w:b/>
          <w:bCs/>
          <w:color w:val="auto"/>
          <w:szCs w:val="21"/>
          <w:highlight w:val="none"/>
        </w:rPr>
      </w:pPr>
      <w:r>
        <w:rPr>
          <w:rFonts w:ascii="宋体" w:hAnsi="宋体"/>
          <w:b/>
          <w:bCs/>
          <w:color w:val="auto"/>
          <w:szCs w:val="21"/>
          <w:highlight w:val="none"/>
        </w:rPr>
        <w:br w:type="page"/>
      </w:r>
    </w:p>
    <w:p>
      <w:pPr>
        <w:ind w:right="100"/>
        <w:jc w:val="center"/>
        <w:rPr>
          <w:rFonts w:ascii="宋体" w:hAnsi="宋体" w:cs="宋体"/>
          <w:color w:val="auto"/>
          <w:sz w:val="28"/>
          <w:szCs w:val="28"/>
          <w:highlight w:val="none"/>
          <w:u w:val="single"/>
        </w:rPr>
      </w:pP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编号：</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jc w:val="center"/>
        <w:rPr>
          <w:rFonts w:hint="eastAsia" w:ascii="宋体" w:hAnsi="宋体" w:cs="宋体"/>
          <w:color w:val="auto"/>
          <w:sz w:val="52"/>
          <w:szCs w:val="52"/>
          <w:highlight w:val="none"/>
        </w:rPr>
      </w:pPr>
    </w:p>
    <w:p>
      <w:pPr>
        <w:jc w:val="center"/>
        <w:rPr>
          <w:rFonts w:ascii="宋体" w:hAnsi="宋体" w:cs="宋体"/>
          <w:color w:val="auto"/>
          <w:sz w:val="52"/>
          <w:szCs w:val="52"/>
          <w:highlight w:val="none"/>
        </w:rPr>
      </w:pPr>
      <w:r>
        <w:rPr>
          <w:rFonts w:hint="eastAsia" w:ascii="宋体" w:hAnsi="宋体" w:cs="宋体"/>
          <w:color w:val="auto"/>
          <w:sz w:val="52"/>
          <w:szCs w:val="52"/>
          <w:highlight w:val="none"/>
        </w:rPr>
        <w:t xml:space="preserve"> </w:t>
      </w:r>
    </w:p>
    <w:p>
      <w:pPr>
        <w:jc w:val="center"/>
        <w:rPr>
          <w:rFonts w:ascii="宋体" w:hAnsi="宋体" w:cs="宋体"/>
          <w:b/>
          <w:bCs/>
          <w:color w:val="auto"/>
          <w:sz w:val="52"/>
          <w:szCs w:val="52"/>
          <w:highlight w:val="none"/>
        </w:rPr>
      </w:pPr>
      <w:r>
        <w:rPr>
          <w:rFonts w:hint="eastAsia" w:ascii="宋体" w:hAnsi="宋体" w:cs="宋体"/>
          <w:b/>
          <w:bCs/>
          <w:color w:val="auto"/>
          <w:sz w:val="48"/>
          <w:szCs w:val="48"/>
          <w:highlight w:val="none"/>
          <w:u w:val="single"/>
        </w:rPr>
        <w:t xml:space="preserve"> </w:t>
      </w:r>
      <w:r>
        <w:rPr>
          <w:rFonts w:hint="eastAsia" w:ascii="宋体" w:hAnsi="宋体" w:cs="宋体"/>
          <w:color w:val="auto"/>
          <w:sz w:val="48"/>
          <w:szCs w:val="48"/>
          <w:highlight w:val="none"/>
          <w:u w:val="single"/>
        </w:rPr>
        <w:t>江门市悦兴置业有限公司悦璟苑小区项目</w:t>
      </w:r>
      <w:r>
        <w:rPr>
          <w:rFonts w:hint="eastAsia" w:ascii="宋体" w:hAnsi="宋体" w:cs="宋体"/>
          <w:b/>
          <w:bCs/>
          <w:color w:val="auto"/>
          <w:sz w:val="48"/>
          <w:szCs w:val="48"/>
          <w:highlight w:val="none"/>
          <w:u w:val="single"/>
        </w:rPr>
        <w:t xml:space="preserve"> </w:t>
      </w:r>
      <w:r>
        <w:rPr>
          <w:rFonts w:hint="eastAsia" w:ascii="宋体" w:hAnsi="宋体" w:cs="宋体"/>
          <w:b/>
          <w:bCs/>
          <w:color w:val="auto"/>
          <w:sz w:val="52"/>
          <w:szCs w:val="52"/>
          <w:highlight w:val="none"/>
        </w:rPr>
        <w:t>全过程工程咨询服务合同</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rPr>
          <w:rFonts w:ascii="宋体" w:hAnsi="宋体" w:cs="宋体"/>
          <w:color w:val="auto"/>
          <w:sz w:val="28"/>
          <w:szCs w:val="28"/>
          <w:highlight w:val="none"/>
        </w:rPr>
      </w:pPr>
      <w:r>
        <w:rPr>
          <w:rFonts w:hint="eastAsia" w:ascii="宋体" w:hAnsi="宋体" w:cs="宋体"/>
          <w:color w:val="auto"/>
          <w:szCs w:val="21"/>
          <w:highlight w:val="none"/>
        </w:rPr>
        <w:t xml:space="preserve"> </w:t>
      </w:r>
      <w:r>
        <w:rPr>
          <w:rFonts w:hint="eastAsia" w:ascii="宋体" w:hAnsi="宋体" w:cs="宋体"/>
          <w:color w:val="auto"/>
          <w:sz w:val="28"/>
          <w:szCs w:val="28"/>
          <w:highlight w:val="none"/>
        </w:rPr>
        <w:t xml:space="preserve"> </w:t>
      </w:r>
    </w:p>
    <w:p>
      <w:pP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pP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pP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pPr>
        <w:ind w:left="1400" w:hanging="1400" w:hangingChars="500"/>
        <w:rPr>
          <w:rFonts w:ascii="宋体" w:hAnsi="宋体" w:cs="宋体"/>
          <w:color w:val="auto"/>
          <w:szCs w:val="21"/>
          <w:highlight w:val="none"/>
        </w:rPr>
      </w:pPr>
      <w:r>
        <w:rPr>
          <w:rFonts w:hint="eastAsia" w:ascii="宋体" w:hAnsi="宋体" w:cs="宋体"/>
          <w:color w:val="auto"/>
          <w:sz w:val="28"/>
          <w:szCs w:val="28"/>
          <w:highlight w:val="none"/>
        </w:rPr>
        <w:t>项目名称：</w:t>
      </w:r>
      <w:r>
        <w:rPr>
          <w:rFonts w:hint="eastAsia" w:ascii="宋体" w:hAnsi="宋体" w:cs="宋体"/>
          <w:color w:val="auto"/>
          <w:sz w:val="28"/>
          <w:szCs w:val="28"/>
          <w:highlight w:val="none"/>
          <w:u w:val="single"/>
        </w:rPr>
        <w:t xml:space="preserve">江门市悦兴置业有限公司悦璟苑小区项目全过程工程咨询服务（工程监理、工程造价咨询） </w:t>
      </w:r>
    </w:p>
    <w:p>
      <w:pPr>
        <w:spacing w:after="120"/>
        <w:ind w:left="480" w:leftChars="200" w:firstLine="480" w:firstLineChars="200"/>
        <w:rPr>
          <w:rFonts w:ascii="宋体" w:hAnsi="宋体" w:cs="宋体"/>
          <w:color w:val="auto"/>
          <w:highlight w:val="none"/>
        </w:rPr>
      </w:pPr>
      <w:r>
        <w:rPr>
          <w:rFonts w:hint="eastAsia" w:ascii="宋体" w:hAnsi="宋体" w:cs="宋体"/>
          <w:color w:val="auto"/>
          <w:highlight w:val="none"/>
        </w:rPr>
        <w:t xml:space="preserve"> </w:t>
      </w:r>
    </w:p>
    <w:p>
      <w:pPr>
        <w:ind w:left="1400" w:hanging="1400" w:hangingChars="500"/>
        <w:rPr>
          <w:rFonts w:ascii="宋体" w:hAnsi="宋体" w:cs="宋体"/>
          <w:color w:val="auto"/>
          <w:sz w:val="28"/>
          <w:szCs w:val="28"/>
          <w:highlight w:val="none"/>
          <w:u w:val="single"/>
        </w:rPr>
      </w:pPr>
      <w:r>
        <w:rPr>
          <w:rFonts w:hint="eastAsia" w:ascii="宋体" w:hAnsi="宋体" w:cs="宋体"/>
          <w:color w:val="auto"/>
          <w:sz w:val="28"/>
          <w:szCs w:val="28"/>
          <w:highlight w:val="none"/>
        </w:rPr>
        <w:t>委托人：</w:t>
      </w:r>
      <w:r>
        <w:rPr>
          <w:rFonts w:hint="eastAsia" w:ascii="宋体" w:hAnsi="宋体" w:cs="宋体"/>
          <w:color w:val="auto"/>
          <w:sz w:val="28"/>
          <w:szCs w:val="28"/>
          <w:highlight w:val="none"/>
          <w:u w:val="single"/>
        </w:rPr>
        <w:t xml:space="preserve">江门市悦兴置业有限公司 </w:t>
      </w:r>
    </w:p>
    <w:p>
      <w:pPr>
        <w:rPr>
          <w:rFonts w:ascii="宋体" w:hAnsi="宋体" w:cs="宋体"/>
          <w:color w:val="auto"/>
          <w:sz w:val="28"/>
          <w:szCs w:val="28"/>
          <w:highlight w:val="none"/>
          <w:u w:val="single"/>
        </w:rPr>
      </w:pPr>
    </w:p>
    <w:p>
      <w:pPr>
        <w:ind w:firstLine="960" w:firstLineChars="400"/>
        <w:rPr>
          <w:rFonts w:ascii="宋体" w:hAnsi="宋体" w:cs="宋体"/>
          <w:color w:val="auto"/>
          <w:highlight w:val="none"/>
        </w:rPr>
      </w:pPr>
      <w:r>
        <w:rPr>
          <w:rFonts w:hint="eastAsia" w:ascii="宋体" w:hAnsi="宋体" w:cs="宋体"/>
          <w:color w:val="auto"/>
          <w:highlight w:val="none"/>
        </w:rPr>
        <w:t xml:space="preserve"> </w:t>
      </w:r>
    </w:p>
    <w:p>
      <w:pPr>
        <w:rPr>
          <w:rFonts w:ascii="宋体" w:hAnsi="宋体" w:cs="宋体"/>
          <w:color w:val="auto"/>
          <w:sz w:val="28"/>
          <w:szCs w:val="28"/>
          <w:highlight w:val="none"/>
          <w:u w:val="single"/>
        </w:rPr>
      </w:pPr>
      <w:r>
        <w:rPr>
          <w:rFonts w:hint="eastAsia" w:ascii="宋体" w:hAnsi="宋体" w:cs="宋体"/>
          <w:color w:val="auto"/>
          <w:sz w:val="28"/>
          <w:szCs w:val="28"/>
          <w:highlight w:val="none"/>
        </w:rPr>
        <w:t>工程咨询人：</w:t>
      </w:r>
      <w:r>
        <w:rPr>
          <w:rFonts w:hint="eastAsia" w:ascii="宋体" w:hAnsi="宋体" w:cs="宋体"/>
          <w:color w:val="auto"/>
          <w:sz w:val="28"/>
          <w:szCs w:val="28"/>
          <w:highlight w:val="none"/>
          <w:u w:val="single"/>
        </w:rPr>
        <w:t xml:space="preserve">                              </w:t>
      </w:r>
    </w:p>
    <w:p>
      <w:pPr>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pPr>
        <w:spacing w:line="200" w:lineRule="exact"/>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pPr>
        <w:pStyle w:val="22"/>
        <w:ind w:left="440" w:firstLine="528"/>
        <w:rPr>
          <w:rFonts w:ascii="宋体" w:eastAsia="宋体" w:cs="宋体"/>
          <w:color w:val="auto"/>
          <w:highlight w:val="none"/>
        </w:rPr>
      </w:pPr>
    </w:p>
    <w:p>
      <w:pPr>
        <w:spacing w:line="360" w:lineRule="exact"/>
        <w:ind w:right="-20" w:firstLine="420" w:firstLineChars="150"/>
        <w:jc w:val="center"/>
        <w:rPr>
          <w:rFonts w:ascii="宋体" w:hAnsi="宋体" w:cs="宋体"/>
          <w:color w:val="auto"/>
          <w:sz w:val="28"/>
          <w:szCs w:val="28"/>
          <w:highlight w:val="none"/>
        </w:rPr>
      </w:pPr>
      <w:r>
        <w:rPr>
          <w:rFonts w:hint="eastAsia" w:ascii="宋体" w:hAnsi="宋体" w:cs="宋体"/>
          <w:color w:val="auto"/>
          <w:position w:val="-2"/>
          <w:sz w:val="28"/>
          <w:szCs w:val="28"/>
          <w:highlight w:val="none"/>
          <w:u w:val="single"/>
        </w:rPr>
        <w:t xml:space="preserve">        </w:t>
      </w:r>
      <w:r>
        <w:rPr>
          <w:rFonts w:hint="eastAsia" w:ascii="宋体" w:hAnsi="宋体" w:cs="宋体"/>
          <w:color w:val="auto"/>
          <w:position w:val="-2"/>
          <w:sz w:val="28"/>
          <w:szCs w:val="28"/>
          <w:highlight w:val="none"/>
        </w:rPr>
        <w:t>年</w:t>
      </w:r>
      <w:r>
        <w:rPr>
          <w:rFonts w:hint="eastAsia" w:ascii="宋体" w:hAnsi="宋体" w:cs="宋体"/>
          <w:color w:val="auto"/>
          <w:position w:val="-2"/>
          <w:sz w:val="28"/>
          <w:szCs w:val="28"/>
          <w:highlight w:val="none"/>
          <w:u w:val="single"/>
        </w:rPr>
        <w:t xml:space="preserve">   </w:t>
      </w:r>
      <w:r>
        <w:rPr>
          <w:rFonts w:hint="eastAsia" w:ascii="宋体" w:hAnsi="宋体" w:cs="宋体"/>
          <w:color w:val="auto"/>
          <w:position w:val="-2"/>
          <w:sz w:val="28"/>
          <w:szCs w:val="28"/>
          <w:highlight w:val="none"/>
        </w:rPr>
        <w:t>月</w:t>
      </w:r>
      <w:r>
        <w:rPr>
          <w:rFonts w:hint="eastAsia" w:ascii="宋体" w:hAnsi="宋体" w:cs="宋体"/>
          <w:color w:val="auto"/>
          <w:position w:val="-2"/>
          <w:sz w:val="28"/>
          <w:szCs w:val="28"/>
          <w:highlight w:val="none"/>
          <w:u w:val="single"/>
        </w:rPr>
        <w:t xml:space="preserve">    </w:t>
      </w:r>
      <w:r>
        <w:rPr>
          <w:rFonts w:hint="eastAsia" w:ascii="宋体" w:hAnsi="宋体" w:cs="宋体"/>
          <w:color w:val="auto"/>
          <w:position w:val="-2"/>
          <w:sz w:val="28"/>
          <w:szCs w:val="28"/>
          <w:highlight w:val="none"/>
        </w:rPr>
        <w:t>日</w:t>
      </w:r>
    </w:p>
    <w:p>
      <w:pPr>
        <w:keepNext w:val="0"/>
        <w:keepLines w:val="0"/>
        <w:pageBreakBefore w:val="0"/>
        <w:widowControl w:val="0"/>
        <w:kinsoku/>
        <w:wordWrap/>
        <w:overflowPunct/>
        <w:topLinePunct w:val="0"/>
        <w:bidi w:val="0"/>
        <w:spacing w:line="360" w:lineRule="auto"/>
        <w:ind w:left="0" w:leftChars="0" w:firstLine="0" w:firstLineChars="0"/>
        <w:rPr>
          <w:rFonts w:hint="default" w:ascii="Times New Roman" w:hAnsi="Times New Roman" w:cs="Times New Roman"/>
          <w:b/>
          <w:bCs/>
          <w:color w:val="auto"/>
          <w:sz w:val="24"/>
          <w:szCs w:val="24"/>
          <w:highlight w:val="none"/>
        </w:rPr>
        <w:sectPr>
          <w:pgSz w:w="11906" w:h="16838"/>
          <w:pgMar w:top="1417" w:right="1417" w:bottom="1417" w:left="1417" w:header="851" w:footer="850" w:gutter="0"/>
          <w:pgNumType w:fmt="decimal"/>
          <w:cols w:space="720" w:num="1"/>
          <w:docGrid w:type="lines" w:linePitch="312" w:charSpace="0"/>
        </w:sectPr>
      </w:pPr>
    </w:p>
    <w:p>
      <w:pPr>
        <w:rPr>
          <w:rFonts w:ascii="宋体" w:hAnsi="宋体" w:cs="宋体"/>
          <w:bCs/>
          <w:color w:val="auto"/>
          <w:sz w:val="28"/>
          <w:szCs w:val="30"/>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outlineLvl w:val="0"/>
        <w:rPr>
          <w:rFonts w:hint="eastAsia" w:ascii="宋体" w:hAnsi="宋体" w:eastAsia="宋体" w:cs="宋体"/>
          <w:b/>
          <w:color w:val="auto"/>
          <w:sz w:val="32"/>
          <w:szCs w:val="32"/>
          <w:highlight w:val="none"/>
        </w:rPr>
      </w:pPr>
      <w:bookmarkStart w:id="479" w:name="_Toc457826242"/>
      <w:bookmarkStart w:id="480" w:name="_Toc457826251"/>
      <w:bookmarkStart w:id="481" w:name="_Toc406150513"/>
      <w:bookmarkStart w:id="482" w:name="_Toc406150507"/>
      <w:bookmarkStart w:id="483" w:name="_Toc406426565"/>
      <w:r>
        <w:rPr>
          <w:rFonts w:hint="eastAsia" w:ascii="宋体" w:hAnsi="宋体" w:eastAsia="宋体" w:cs="宋体"/>
          <w:b/>
          <w:color w:val="auto"/>
          <w:sz w:val="32"/>
          <w:szCs w:val="32"/>
          <w:highlight w:val="none"/>
        </w:rPr>
        <w:t>协议书</w:t>
      </w:r>
    </w:p>
    <w:p>
      <w:pPr>
        <w:pageBreakBefore w:val="0"/>
        <w:topLinePunct w:val="0"/>
        <w:bidi w:val="0"/>
        <w:spacing w:line="360" w:lineRule="auto"/>
        <w:ind w:left="0" w:leftChars="0" w:right="0" w:rightChars="0"/>
        <w:rPr>
          <w:rFonts w:hint="eastAsia" w:ascii="宋体" w:hAnsi="宋体" w:eastAsia="宋体" w:cs="宋体"/>
          <w:b w:val="0"/>
          <w:bCs w:val="0"/>
          <w:color w:val="auto"/>
          <w:sz w:val="22"/>
          <w:szCs w:val="22"/>
          <w:highlight w:val="none"/>
          <w:u w:val="single"/>
        </w:rPr>
      </w:pPr>
      <w:r>
        <w:rPr>
          <w:rFonts w:hint="eastAsia" w:ascii="宋体" w:hAnsi="宋体" w:eastAsia="宋体" w:cs="宋体"/>
          <w:b w:val="0"/>
          <w:bCs w:val="0"/>
          <w:color w:val="auto"/>
          <w:sz w:val="22"/>
          <w:szCs w:val="22"/>
          <w:highlight w:val="none"/>
        </w:rPr>
        <w:t>委托人（全称）：</w:t>
      </w:r>
      <w:r>
        <w:rPr>
          <w:rFonts w:hint="eastAsia" w:ascii="宋体" w:hAnsi="宋体" w:eastAsia="宋体" w:cs="宋体"/>
          <w:b w:val="0"/>
          <w:bCs w:val="0"/>
          <w:color w:val="auto"/>
          <w:sz w:val="22"/>
          <w:szCs w:val="22"/>
          <w:highlight w:val="none"/>
          <w:u w:val="single"/>
        </w:rPr>
        <w:t>江门市悦兴置业有限公司</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b w:val="0"/>
          <w:bCs w:val="0"/>
          <w:color w:val="auto"/>
          <w:sz w:val="22"/>
          <w:szCs w:val="22"/>
          <w:highlight w:val="none"/>
        </w:rPr>
        <w:t>工程咨询人（全称）：</w:t>
      </w:r>
      <w:r>
        <w:rPr>
          <w:rFonts w:hint="eastAsia" w:ascii="宋体" w:hAnsi="宋体" w:eastAsia="宋体" w:cs="宋体"/>
          <w:b w:val="0"/>
          <w:bCs w:val="0"/>
          <w:color w:val="auto"/>
          <w:sz w:val="22"/>
          <w:szCs w:val="22"/>
          <w:highlight w:val="none"/>
          <w:u w:val="single"/>
        </w:rPr>
        <w:t xml:space="preserve">    </w:t>
      </w:r>
      <w:r>
        <w:rPr>
          <w:rFonts w:hint="eastAsia" w:ascii="宋体" w:hAnsi="宋体" w:eastAsia="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u w:val="single"/>
        </w:rPr>
        <w:t xml:space="preserve">              </w:t>
      </w:r>
      <w:r>
        <w:rPr>
          <w:rFonts w:hint="eastAsia" w:ascii="宋体" w:hAnsi="宋体" w:eastAsia="宋体" w:cs="宋体"/>
          <w:color w:val="auto"/>
          <w:sz w:val="22"/>
          <w:szCs w:val="22"/>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根据《中华人民共和国民法典》、《中华人民共和国建筑法》及其他有关法律、法规，遵循平等、自愿、公平和诚信的原则，双方就下述工程咨询有关事项协商一致，订立本合同。</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一、项目概况 </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项目名称：</w:t>
      </w:r>
      <w:r>
        <w:rPr>
          <w:rFonts w:hint="eastAsia" w:ascii="宋体" w:hAnsi="宋体" w:eastAsia="宋体" w:cs="宋体"/>
          <w:b w:val="0"/>
          <w:bCs/>
          <w:color w:val="auto"/>
          <w:sz w:val="22"/>
          <w:szCs w:val="22"/>
          <w:highlight w:val="none"/>
          <w:u w:val="single"/>
        </w:rPr>
        <w:t>江门市悦兴置业有限公司悦璟苑小区项目</w:t>
      </w:r>
      <w:r>
        <w:rPr>
          <w:rFonts w:hint="eastAsia" w:ascii="宋体" w:hAnsi="宋体" w:eastAsia="宋体" w:cs="宋体"/>
          <w:b w:val="0"/>
          <w:bCs/>
          <w:color w:val="auto"/>
          <w:sz w:val="22"/>
          <w:szCs w:val="22"/>
          <w:highlight w:val="none"/>
          <w:u w:val="single"/>
          <w:lang w:val="en-US" w:eastAsia="zh-CN"/>
        </w:rPr>
        <w:t>全过程工程咨询服务（工程监理、工程造价咨询）</w:t>
      </w:r>
      <w:r>
        <w:rPr>
          <w:rFonts w:hint="eastAsia" w:ascii="宋体" w:hAnsi="宋体" w:eastAsia="宋体" w:cs="宋体"/>
          <w:b w:val="0"/>
          <w:bCs/>
          <w:color w:val="auto"/>
          <w:sz w:val="22"/>
          <w:szCs w:val="22"/>
          <w:highlight w:val="none"/>
          <w:u w:val="single"/>
          <w:lang w:eastAsia="zh-CN"/>
        </w:rPr>
        <w:t>。</w:t>
      </w:r>
      <w:r>
        <w:rPr>
          <w:rFonts w:hint="eastAsia" w:ascii="宋体" w:hAnsi="宋体" w:eastAsia="宋体" w:cs="宋体"/>
          <w:color w:val="auto"/>
          <w:sz w:val="22"/>
          <w:szCs w:val="22"/>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总投资估算：项目概算总投资</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42856.56</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万元。</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建设地点：</w:t>
      </w:r>
      <w:r>
        <w:rPr>
          <w:rFonts w:hint="eastAsia" w:ascii="宋体" w:hAnsi="宋体" w:eastAsia="宋体" w:cs="宋体"/>
          <w:b w:val="0"/>
          <w:bCs/>
          <w:color w:val="auto"/>
          <w:sz w:val="22"/>
          <w:szCs w:val="22"/>
          <w:highlight w:val="none"/>
          <w:u w:val="single"/>
        </w:rPr>
        <w:t>江门市江海区金瓯路与东海路交叉口西南侧</w:t>
      </w:r>
      <w:r>
        <w:rPr>
          <w:rFonts w:hint="eastAsia" w:ascii="宋体" w:hAnsi="宋体" w:eastAsia="宋体" w:cs="宋体"/>
          <w:color w:val="auto"/>
          <w:sz w:val="22"/>
          <w:szCs w:val="22"/>
          <w:highlight w:val="none"/>
          <w:u w:val="single"/>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建设规模及内容：项目总建筑面积为47341.33㎡。其中，住宅总建筑面积为 33220.00㎡；商业建筑总建筑面积为885㎡；配套公共设施总建筑面积为1147㎡(含物业管理用房、社区服务中心、配电房、泵房、消防控制室、人防报警室等)，不计容建筑面积12089.33㎡(含住宅架空层和地下室建筑)，配套停车位360个（其中地上34个，地下326个）。</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资金来源：</w:t>
      </w:r>
      <w:r>
        <w:rPr>
          <w:rFonts w:hint="eastAsia" w:ascii="宋体" w:hAnsi="宋体" w:eastAsia="宋体" w:cs="宋体"/>
          <w:color w:val="auto"/>
          <w:sz w:val="22"/>
          <w:szCs w:val="22"/>
          <w:highlight w:val="none"/>
          <w:u w:val="single"/>
        </w:rPr>
        <w:t xml:space="preserve"> 自筹资金</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none"/>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二、工程咨询服务范围和内容</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工程监理：包括但不限于本项目准备阶段、施工准备阶段、施工阶段、设备阶段、竣工结算阶段及工程质量保修阶段的质量控制、安全生产监督管理、投资控制、进度控制、合同管理、信息管理、组织协调等监理工作以及缺陷责任期内的监理服务和相关专业技术咨询服务</w:t>
      </w:r>
      <w:r>
        <w:rPr>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（2）全过程造价咨询：</w:t>
      </w:r>
      <w:r>
        <w:rPr>
          <w:rFonts w:hint="eastAsia" w:ascii="宋体" w:hAnsi="宋体" w:cs="宋体"/>
          <w:b w:val="0"/>
          <w:bCs w:val="0"/>
          <w:color w:val="auto"/>
          <w:sz w:val="22"/>
          <w:szCs w:val="22"/>
          <w:highlight w:val="none"/>
          <w:u w:val="single"/>
        </w:rPr>
        <w:t>工作内容包括但不限于：1）投资控制；2）</w:t>
      </w:r>
      <w:r>
        <w:rPr>
          <w:rFonts w:hint="eastAsia" w:ascii="宋体" w:hAnsi="宋体" w:cs="宋体"/>
          <w:b w:val="0"/>
          <w:bCs w:val="0"/>
          <w:color w:val="auto"/>
          <w:sz w:val="22"/>
          <w:szCs w:val="22"/>
          <w:highlight w:val="none"/>
          <w:u w:val="single"/>
          <w:lang w:eastAsia="zh-CN"/>
        </w:rPr>
        <w:t>设计概算审核（</w:t>
      </w:r>
      <w:r>
        <w:rPr>
          <w:rFonts w:hint="eastAsia" w:ascii="宋体" w:hAnsi="宋体" w:cs="宋体"/>
          <w:b w:val="0"/>
          <w:bCs w:val="0"/>
          <w:color w:val="auto"/>
          <w:sz w:val="22"/>
          <w:szCs w:val="22"/>
          <w:highlight w:val="none"/>
          <w:u w:val="single"/>
          <w:lang w:val="en-US" w:eastAsia="zh-CN"/>
        </w:rPr>
        <w:t>编制）</w:t>
      </w:r>
      <w:r>
        <w:rPr>
          <w:rFonts w:hint="eastAsia" w:ascii="宋体" w:hAnsi="宋体" w:cs="宋体"/>
          <w:b w:val="0"/>
          <w:bCs w:val="0"/>
          <w:color w:val="auto"/>
          <w:sz w:val="22"/>
          <w:szCs w:val="22"/>
          <w:highlight w:val="none"/>
          <w:u w:val="single"/>
          <w:lang w:eastAsia="zh-CN"/>
        </w:rPr>
        <w:t>与调整；</w:t>
      </w:r>
      <w:r>
        <w:rPr>
          <w:rFonts w:hint="eastAsia" w:ascii="宋体" w:hAnsi="宋体" w:cs="宋体"/>
          <w:b w:val="0"/>
          <w:bCs w:val="0"/>
          <w:color w:val="auto"/>
          <w:sz w:val="22"/>
          <w:szCs w:val="22"/>
          <w:highlight w:val="none"/>
          <w:u w:val="single"/>
          <w:lang w:val="en-US" w:eastAsia="zh-CN"/>
        </w:rPr>
        <w:t>3</w:t>
      </w:r>
      <w:r>
        <w:rPr>
          <w:rFonts w:hint="eastAsia" w:ascii="宋体" w:hAnsi="宋体" w:cs="宋体"/>
          <w:b w:val="0"/>
          <w:bCs w:val="0"/>
          <w:color w:val="auto"/>
          <w:sz w:val="22"/>
          <w:szCs w:val="22"/>
          <w:highlight w:val="none"/>
          <w:u w:val="single"/>
        </w:rPr>
        <w:t>）施工图预算审核</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lang w:val="en-US" w:eastAsia="zh-CN"/>
        </w:rPr>
        <w:t>编制）</w:t>
      </w:r>
      <w:r>
        <w:rPr>
          <w:rFonts w:hint="eastAsia" w:ascii="宋体" w:hAnsi="宋体" w:cs="宋体"/>
          <w:b w:val="0"/>
          <w:bCs w:val="0"/>
          <w:color w:val="auto"/>
          <w:sz w:val="22"/>
          <w:szCs w:val="22"/>
          <w:highlight w:val="none"/>
          <w:u w:val="single"/>
        </w:rPr>
        <w:t>；</w:t>
      </w:r>
      <w:r>
        <w:rPr>
          <w:rFonts w:hint="eastAsia" w:ascii="宋体" w:hAnsi="宋体" w:cs="宋体"/>
          <w:b w:val="0"/>
          <w:bCs w:val="0"/>
          <w:color w:val="auto"/>
          <w:sz w:val="22"/>
          <w:szCs w:val="22"/>
          <w:highlight w:val="none"/>
          <w:u w:val="single"/>
          <w:lang w:val="en-US" w:eastAsia="zh-CN"/>
        </w:rPr>
        <w:t>4</w:t>
      </w:r>
      <w:r>
        <w:rPr>
          <w:rFonts w:hint="eastAsia" w:ascii="宋体" w:hAnsi="宋体" w:cs="宋体"/>
          <w:b w:val="0"/>
          <w:bCs w:val="0"/>
          <w:color w:val="auto"/>
          <w:sz w:val="22"/>
          <w:szCs w:val="22"/>
          <w:highlight w:val="none"/>
          <w:u w:val="single"/>
        </w:rPr>
        <w:t>）招标</w:t>
      </w:r>
      <w:r>
        <w:rPr>
          <w:rFonts w:hint="eastAsia" w:ascii="宋体" w:hAnsi="宋体" w:cs="宋体"/>
          <w:b w:val="0"/>
          <w:bCs w:val="0"/>
          <w:color w:val="auto"/>
          <w:sz w:val="22"/>
          <w:szCs w:val="22"/>
          <w:highlight w:val="none"/>
          <w:u w:val="single"/>
          <w:lang w:eastAsia="zh-CN"/>
        </w:rPr>
        <w:t>工程量</w:t>
      </w:r>
      <w:r>
        <w:rPr>
          <w:rFonts w:hint="eastAsia" w:ascii="宋体" w:hAnsi="宋体" w:cs="宋体"/>
          <w:b w:val="0"/>
          <w:bCs w:val="0"/>
          <w:color w:val="auto"/>
          <w:sz w:val="22"/>
          <w:szCs w:val="22"/>
          <w:highlight w:val="none"/>
          <w:u w:val="single"/>
        </w:rPr>
        <w:t>清单</w:t>
      </w:r>
      <w:r>
        <w:rPr>
          <w:rFonts w:hint="eastAsia" w:ascii="宋体" w:hAnsi="宋体" w:cs="宋体"/>
          <w:b w:val="0"/>
          <w:bCs w:val="0"/>
          <w:color w:val="auto"/>
          <w:sz w:val="22"/>
          <w:szCs w:val="22"/>
          <w:highlight w:val="none"/>
          <w:u w:val="single"/>
          <w:lang w:val="en-US" w:eastAsia="zh-CN"/>
        </w:rPr>
        <w:t>编制</w:t>
      </w:r>
      <w:r>
        <w:rPr>
          <w:rFonts w:hint="eastAsia" w:ascii="宋体" w:hAnsi="宋体" w:cs="宋体"/>
          <w:b w:val="0"/>
          <w:bCs w:val="0"/>
          <w:color w:val="auto"/>
          <w:sz w:val="22"/>
          <w:szCs w:val="22"/>
          <w:highlight w:val="none"/>
          <w:u w:val="single"/>
        </w:rPr>
        <w:t>和招标控制价</w:t>
      </w:r>
      <w:r>
        <w:rPr>
          <w:rFonts w:hint="eastAsia" w:ascii="宋体" w:hAnsi="宋体" w:cs="宋体"/>
          <w:b w:val="0"/>
          <w:bCs w:val="0"/>
          <w:color w:val="auto"/>
          <w:sz w:val="22"/>
          <w:szCs w:val="22"/>
          <w:highlight w:val="none"/>
          <w:u w:val="single"/>
          <w:lang w:val="en-US" w:eastAsia="zh-CN"/>
        </w:rPr>
        <w:t>编制与</w:t>
      </w:r>
      <w:r>
        <w:rPr>
          <w:rFonts w:hint="eastAsia" w:ascii="宋体" w:hAnsi="宋体" w:cs="宋体"/>
          <w:b w:val="0"/>
          <w:bCs w:val="0"/>
          <w:color w:val="auto"/>
          <w:sz w:val="22"/>
          <w:szCs w:val="22"/>
          <w:highlight w:val="none"/>
          <w:u w:val="single"/>
          <w:lang w:eastAsia="zh-CN"/>
        </w:rPr>
        <w:t>审查</w:t>
      </w:r>
      <w:r>
        <w:rPr>
          <w:rFonts w:hint="eastAsia" w:ascii="宋体" w:hAnsi="宋体" w:cs="宋体"/>
          <w:b w:val="0"/>
          <w:bCs w:val="0"/>
          <w:color w:val="auto"/>
          <w:sz w:val="22"/>
          <w:szCs w:val="22"/>
          <w:highlight w:val="none"/>
          <w:u w:val="single"/>
        </w:rPr>
        <w:t>；</w:t>
      </w:r>
      <w:r>
        <w:rPr>
          <w:rFonts w:hint="eastAsia" w:ascii="宋体" w:hAnsi="宋体" w:cs="宋体"/>
          <w:b w:val="0"/>
          <w:bCs w:val="0"/>
          <w:color w:val="auto"/>
          <w:sz w:val="22"/>
          <w:szCs w:val="22"/>
          <w:highlight w:val="none"/>
          <w:u w:val="single"/>
          <w:lang w:val="en-US" w:eastAsia="zh-CN"/>
        </w:rPr>
        <w:t>5</w:t>
      </w:r>
      <w:r>
        <w:rPr>
          <w:rFonts w:hint="eastAsia" w:ascii="宋体" w:hAnsi="宋体" w:cs="宋体"/>
          <w:b w:val="0"/>
          <w:bCs w:val="0"/>
          <w:color w:val="auto"/>
          <w:sz w:val="22"/>
          <w:szCs w:val="22"/>
          <w:highlight w:val="none"/>
          <w:u w:val="single"/>
        </w:rPr>
        <w:t>）</w:t>
      </w:r>
      <w:r>
        <w:rPr>
          <w:rFonts w:hint="eastAsia" w:ascii="宋体" w:hAnsi="宋体" w:cs="宋体"/>
          <w:b w:val="0"/>
          <w:bCs w:val="0"/>
          <w:color w:val="auto"/>
          <w:sz w:val="22"/>
          <w:szCs w:val="22"/>
          <w:highlight w:val="none"/>
          <w:u w:val="single"/>
          <w:lang w:val="en-US" w:eastAsia="zh-CN"/>
        </w:rPr>
        <w:t>协助委托人拟定施工合同及其他各类合同的相关造价条款；6</w:t>
      </w:r>
      <w:r>
        <w:rPr>
          <w:rFonts w:hint="eastAsia" w:ascii="宋体" w:hAnsi="宋体" w:cs="宋体"/>
          <w:b w:val="0"/>
          <w:bCs w:val="0"/>
          <w:color w:val="auto"/>
          <w:sz w:val="22"/>
          <w:szCs w:val="22"/>
          <w:highlight w:val="none"/>
          <w:u w:val="single"/>
        </w:rPr>
        <w:t>）</w:t>
      </w:r>
      <w:r>
        <w:rPr>
          <w:rFonts w:hint="eastAsia" w:ascii="宋体" w:hAnsi="宋体" w:cs="宋体"/>
          <w:b w:val="0"/>
          <w:bCs w:val="0"/>
          <w:color w:val="auto"/>
          <w:sz w:val="22"/>
          <w:szCs w:val="22"/>
          <w:highlight w:val="none"/>
          <w:u w:val="single"/>
          <w:lang w:eastAsia="zh-CN"/>
        </w:rPr>
        <w:t>进度款、工程款</w:t>
      </w:r>
      <w:r>
        <w:rPr>
          <w:rFonts w:hint="eastAsia" w:ascii="宋体" w:hAnsi="宋体" w:cs="宋体"/>
          <w:b w:val="0"/>
          <w:bCs w:val="0"/>
          <w:color w:val="auto"/>
          <w:sz w:val="22"/>
          <w:szCs w:val="22"/>
          <w:highlight w:val="none"/>
          <w:u w:val="single"/>
        </w:rPr>
        <w:t>支付审核；</w:t>
      </w:r>
      <w:r>
        <w:rPr>
          <w:rFonts w:hint="eastAsia" w:ascii="宋体" w:hAnsi="宋体" w:cs="宋体"/>
          <w:b w:val="0"/>
          <w:bCs w:val="0"/>
          <w:color w:val="auto"/>
          <w:sz w:val="22"/>
          <w:szCs w:val="22"/>
          <w:highlight w:val="none"/>
          <w:u w:val="single"/>
          <w:lang w:val="en-US" w:eastAsia="zh-CN"/>
        </w:rPr>
        <w:t>7</w:t>
      </w:r>
      <w:r>
        <w:rPr>
          <w:rFonts w:hint="eastAsia" w:ascii="宋体" w:hAnsi="宋体" w:cs="宋体"/>
          <w:b w:val="0"/>
          <w:bCs w:val="0"/>
          <w:color w:val="auto"/>
          <w:sz w:val="22"/>
          <w:szCs w:val="22"/>
          <w:highlight w:val="none"/>
          <w:u w:val="single"/>
        </w:rPr>
        <w:t>）主材单价、综合单价、合同变更费用审核；</w:t>
      </w:r>
      <w:r>
        <w:rPr>
          <w:rFonts w:hint="eastAsia" w:ascii="宋体" w:hAnsi="宋体" w:cs="宋体"/>
          <w:b w:val="0"/>
          <w:bCs w:val="0"/>
          <w:color w:val="auto"/>
          <w:sz w:val="22"/>
          <w:szCs w:val="22"/>
          <w:highlight w:val="none"/>
          <w:u w:val="single"/>
          <w:lang w:val="en-US" w:eastAsia="zh-CN"/>
        </w:rPr>
        <w:t>8</w:t>
      </w:r>
      <w:r>
        <w:rPr>
          <w:rFonts w:hint="eastAsia" w:ascii="宋体" w:hAnsi="宋体" w:cs="宋体"/>
          <w:b w:val="0"/>
          <w:bCs w:val="0"/>
          <w:color w:val="auto"/>
          <w:sz w:val="22"/>
          <w:szCs w:val="22"/>
          <w:highlight w:val="none"/>
          <w:u w:val="single"/>
        </w:rPr>
        <w:t>）</w:t>
      </w:r>
      <w:r>
        <w:rPr>
          <w:rFonts w:hint="eastAsia" w:ascii="宋体" w:hAnsi="宋体" w:cs="宋体"/>
          <w:b w:val="0"/>
          <w:bCs w:val="0"/>
          <w:color w:val="auto"/>
          <w:sz w:val="22"/>
          <w:szCs w:val="22"/>
          <w:highlight w:val="none"/>
          <w:u w:val="single"/>
          <w:lang w:eastAsia="zh-CN"/>
        </w:rPr>
        <w:t>勘察费、</w:t>
      </w:r>
      <w:r>
        <w:rPr>
          <w:rFonts w:hint="eastAsia" w:ascii="宋体" w:hAnsi="宋体" w:cs="宋体"/>
          <w:b w:val="0"/>
          <w:bCs w:val="0"/>
          <w:color w:val="auto"/>
          <w:sz w:val="22"/>
          <w:szCs w:val="22"/>
          <w:highlight w:val="none"/>
          <w:u w:val="single"/>
          <w:lang w:val="en-US" w:eastAsia="zh-CN"/>
        </w:rPr>
        <w:t>设计费、监理费、</w:t>
      </w:r>
      <w:r>
        <w:rPr>
          <w:rFonts w:hint="eastAsia" w:ascii="宋体" w:hAnsi="宋体" w:cs="宋体"/>
          <w:b w:val="0"/>
          <w:bCs w:val="0"/>
          <w:color w:val="auto"/>
          <w:sz w:val="22"/>
          <w:szCs w:val="22"/>
          <w:highlight w:val="none"/>
          <w:u w:val="single"/>
          <w:lang w:eastAsia="zh-CN"/>
        </w:rPr>
        <w:t>基坑监测、白蚁防治、消防检测、节能检测、节能（绿建）</w:t>
      </w:r>
      <w:r>
        <w:rPr>
          <w:rFonts w:hint="eastAsia" w:ascii="宋体" w:hAnsi="宋体" w:cs="宋体"/>
          <w:b w:val="0"/>
          <w:bCs w:val="0"/>
          <w:color w:val="auto"/>
          <w:sz w:val="22"/>
          <w:szCs w:val="22"/>
          <w:highlight w:val="none"/>
          <w:u w:val="single"/>
        </w:rPr>
        <w:t>检测</w:t>
      </w:r>
      <w:r>
        <w:rPr>
          <w:rFonts w:hint="eastAsia" w:ascii="宋体" w:hAnsi="宋体" w:cs="宋体"/>
          <w:b w:val="0"/>
          <w:bCs w:val="0"/>
          <w:color w:val="auto"/>
          <w:sz w:val="22"/>
          <w:szCs w:val="22"/>
          <w:highlight w:val="none"/>
          <w:u w:val="single"/>
          <w:lang w:eastAsia="zh-CN"/>
        </w:rPr>
        <w:t>、人防</w:t>
      </w:r>
      <w:r>
        <w:rPr>
          <w:rFonts w:hint="eastAsia" w:ascii="宋体" w:hAnsi="宋体" w:cs="宋体"/>
          <w:b w:val="0"/>
          <w:bCs w:val="0"/>
          <w:color w:val="auto"/>
          <w:sz w:val="22"/>
          <w:szCs w:val="22"/>
          <w:highlight w:val="none"/>
          <w:u w:val="single"/>
        </w:rPr>
        <w:t>检测</w:t>
      </w:r>
      <w:r>
        <w:rPr>
          <w:rFonts w:hint="eastAsia" w:ascii="宋体" w:hAnsi="宋体" w:cs="宋体"/>
          <w:b w:val="0"/>
          <w:bCs w:val="0"/>
          <w:color w:val="auto"/>
          <w:sz w:val="22"/>
          <w:szCs w:val="22"/>
          <w:highlight w:val="none"/>
          <w:u w:val="single"/>
          <w:lang w:eastAsia="zh-CN"/>
        </w:rPr>
        <w:t>、质量检测</w:t>
      </w:r>
      <w:r>
        <w:rPr>
          <w:rFonts w:hint="eastAsia" w:ascii="宋体" w:hAnsi="宋体" w:cs="宋体"/>
          <w:b w:val="0"/>
          <w:bCs w:val="0"/>
          <w:color w:val="auto"/>
          <w:sz w:val="22"/>
          <w:szCs w:val="22"/>
          <w:highlight w:val="none"/>
          <w:u w:val="single"/>
        </w:rPr>
        <w:t>等</w:t>
      </w:r>
      <w:r>
        <w:rPr>
          <w:rFonts w:hint="eastAsia" w:ascii="宋体" w:hAnsi="宋体" w:cs="宋体"/>
          <w:b w:val="0"/>
          <w:bCs w:val="0"/>
          <w:color w:val="auto"/>
          <w:sz w:val="22"/>
          <w:szCs w:val="22"/>
          <w:highlight w:val="none"/>
          <w:u w:val="single"/>
          <w:lang w:eastAsia="zh-CN"/>
        </w:rPr>
        <w:t>第三方检验检测、监测、服务</w:t>
      </w:r>
      <w:r>
        <w:rPr>
          <w:rFonts w:hint="eastAsia" w:ascii="宋体" w:hAnsi="宋体" w:cs="宋体"/>
          <w:b w:val="0"/>
          <w:bCs w:val="0"/>
          <w:color w:val="auto"/>
          <w:sz w:val="22"/>
          <w:szCs w:val="22"/>
          <w:highlight w:val="none"/>
          <w:u w:val="single"/>
        </w:rPr>
        <w:t>费用审核；</w:t>
      </w:r>
      <w:r>
        <w:rPr>
          <w:rFonts w:hint="eastAsia" w:ascii="宋体" w:hAnsi="宋体" w:cs="宋体"/>
          <w:b w:val="0"/>
          <w:bCs w:val="0"/>
          <w:color w:val="auto"/>
          <w:sz w:val="22"/>
          <w:szCs w:val="22"/>
          <w:highlight w:val="none"/>
          <w:u w:val="single"/>
          <w:lang w:val="en-US" w:eastAsia="zh-CN"/>
        </w:rPr>
        <w:t>9</w:t>
      </w:r>
      <w:r>
        <w:rPr>
          <w:rFonts w:hint="eastAsia" w:ascii="宋体" w:hAnsi="宋体" w:cs="宋体"/>
          <w:b w:val="0"/>
          <w:bCs w:val="0"/>
          <w:color w:val="auto"/>
          <w:sz w:val="22"/>
          <w:szCs w:val="22"/>
          <w:highlight w:val="none"/>
          <w:u w:val="single"/>
        </w:rPr>
        <w:t>）图纸设计变更会签、材料设备看样定板会签；</w:t>
      </w:r>
      <w:r>
        <w:rPr>
          <w:rFonts w:hint="eastAsia" w:ascii="宋体" w:hAnsi="宋体" w:cs="宋体"/>
          <w:b w:val="0"/>
          <w:bCs w:val="0"/>
          <w:color w:val="auto"/>
          <w:sz w:val="22"/>
          <w:szCs w:val="22"/>
          <w:highlight w:val="none"/>
          <w:u w:val="single"/>
          <w:lang w:val="en-US" w:eastAsia="zh-CN"/>
        </w:rPr>
        <w:t>10</w:t>
      </w:r>
      <w:r>
        <w:rPr>
          <w:rFonts w:hint="eastAsia" w:ascii="宋体" w:hAnsi="宋体" w:cs="宋体"/>
          <w:b w:val="0"/>
          <w:bCs w:val="0"/>
          <w:color w:val="auto"/>
          <w:sz w:val="22"/>
          <w:szCs w:val="22"/>
          <w:highlight w:val="none"/>
          <w:u w:val="single"/>
        </w:rPr>
        <w:t>）现场签证、</w:t>
      </w:r>
      <w:r>
        <w:rPr>
          <w:rFonts w:hint="eastAsia" w:ascii="宋体" w:hAnsi="宋体" w:cs="宋体"/>
          <w:b w:val="0"/>
          <w:bCs w:val="0"/>
          <w:color w:val="auto"/>
          <w:sz w:val="22"/>
          <w:szCs w:val="22"/>
          <w:highlight w:val="none"/>
          <w:u w:val="single"/>
          <w:lang w:val="en-US" w:eastAsia="zh-CN"/>
        </w:rPr>
        <w:t>工程变更的工程量和造价预算的编制或审核</w:t>
      </w:r>
      <w:r>
        <w:rPr>
          <w:rFonts w:hint="eastAsia" w:ascii="宋体" w:hAnsi="宋体" w:cs="宋体"/>
          <w:b w:val="0"/>
          <w:bCs w:val="0"/>
          <w:color w:val="auto"/>
          <w:sz w:val="22"/>
          <w:szCs w:val="22"/>
          <w:highlight w:val="none"/>
          <w:u w:val="single"/>
        </w:rPr>
        <w:t>，确认变更价款</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lang w:val="en-US" w:eastAsia="zh-CN"/>
        </w:rPr>
        <w:t>11）参与</w:t>
      </w:r>
      <w:r>
        <w:rPr>
          <w:rFonts w:hint="eastAsia" w:ascii="宋体" w:hAnsi="宋体" w:cs="宋体"/>
          <w:b w:val="0"/>
          <w:bCs w:val="0"/>
          <w:color w:val="auto"/>
          <w:sz w:val="22"/>
          <w:szCs w:val="22"/>
          <w:highlight w:val="none"/>
          <w:u w:val="single"/>
        </w:rPr>
        <w:t>材料设备</w:t>
      </w:r>
      <w:r>
        <w:rPr>
          <w:rFonts w:hint="eastAsia" w:ascii="宋体" w:hAnsi="宋体" w:cs="宋体"/>
          <w:b w:val="0"/>
          <w:bCs w:val="0"/>
          <w:color w:val="auto"/>
          <w:sz w:val="22"/>
          <w:szCs w:val="22"/>
          <w:highlight w:val="none"/>
          <w:u w:val="single"/>
          <w:lang w:eastAsia="zh-CN"/>
        </w:rPr>
        <w:t>品牌选定、</w:t>
      </w:r>
      <w:r>
        <w:rPr>
          <w:rFonts w:hint="eastAsia" w:ascii="宋体" w:hAnsi="宋体" w:cs="宋体"/>
          <w:b w:val="0"/>
          <w:bCs w:val="0"/>
          <w:color w:val="auto"/>
          <w:sz w:val="22"/>
          <w:szCs w:val="22"/>
          <w:highlight w:val="none"/>
          <w:u w:val="single"/>
        </w:rPr>
        <w:t>询价与核价</w:t>
      </w:r>
      <w:r>
        <w:rPr>
          <w:rFonts w:hint="eastAsia" w:ascii="宋体" w:hAnsi="宋体" w:cs="宋体"/>
          <w:b w:val="0"/>
          <w:bCs w:val="0"/>
          <w:color w:val="auto"/>
          <w:sz w:val="22"/>
          <w:szCs w:val="22"/>
          <w:highlight w:val="none"/>
          <w:u w:val="single"/>
          <w:lang w:eastAsia="zh-CN"/>
        </w:rPr>
        <w:t>工作；</w:t>
      </w:r>
      <w:r>
        <w:rPr>
          <w:rFonts w:hint="eastAsia" w:ascii="宋体" w:hAnsi="宋体" w:cs="宋体"/>
          <w:b w:val="0"/>
          <w:bCs w:val="0"/>
          <w:color w:val="auto"/>
          <w:sz w:val="22"/>
          <w:szCs w:val="22"/>
          <w:highlight w:val="none"/>
          <w:u w:val="single"/>
          <w:lang w:val="en-US" w:eastAsia="zh-CN"/>
        </w:rPr>
        <w:t>12）项目新增工程预算编制、审核</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lang w:val="en-US" w:eastAsia="zh-CN"/>
        </w:rPr>
        <w:t>13）</w:t>
      </w:r>
      <w:r>
        <w:rPr>
          <w:rFonts w:hint="eastAsia" w:ascii="宋体" w:hAnsi="宋体" w:cs="宋体"/>
          <w:b w:val="0"/>
          <w:bCs w:val="0"/>
          <w:color w:val="auto"/>
          <w:sz w:val="22"/>
          <w:szCs w:val="22"/>
          <w:highlight w:val="none"/>
          <w:u w:val="single"/>
        </w:rPr>
        <w:t>工程索赔审核</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lang w:val="en-US" w:eastAsia="zh-CN"/>
        </w:rPr>
        <w:t>14</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rPr>
        <w:t>结算审核</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lang w:val="en-US" w:eastAsia="zh-CN"/>
        </w:rPr>
        <w:t>编制）</w:t>
      </w:r>
      <w:r>
        <w:rPr>
          <w:rFonts w:hint="eastAsia" w:ascii="宋体" w:hAnsi="宋体" w:cs="宋体"/>
          <w:b w:val="0"/>
          <w:bCs w:val="0"/>
          <w:color w:val="auto"/>
          <w:sz w:val="22"/>
          <w:szCs w:val="22"/>
          <w:highlight w:val="none"/>
          <w:u w:val="single"/>
        </w:rPr>
        <w:t>；</w:t>
      </w:r>
      <w:r>
        <w:rPr>
          <w:rFonts w:hint="eastAsia" w:ascii="宋体" w:hAnsi="宋体" w:cs="宋体"/>
          <w:b w:val="0"/>
          <w:bCs w:val="0"/>
          <w:color w:val="auto"/>
          <w:sz w:val="22"/>
          <w:szCs w:val="22"/>
          <w:highlight w:val="none"/>
          <w:u w:val="single"/>
          <w:lang w:val="en-US" w:eastAsia="zh-CN"/>
        </w:rPr>
        <w:t>15）计算和审核标准工期</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lang w:val="en-US" w:eastAsia="zh-CN"/>
        </w:rPr>
        <w:t>16）项目相关资料的整理归档和移交工作</w:t>
      </w:r>
      <w:r>
        <w:rPr>
          <w:rFonts w:hint="eastAsia" w:ascii="宋体" w:hAnsi="宋体" w:cs="宋体"/>
          <w:b w:val="0"/>
          <w:bCs w:val="0"/>
          <w:color w:val="auto"/>
          <w:sz w:val="22"/>
          <w:szCs w:val="22"/>
          <w:highlight w:val="none"/>
          <w:u w:val="single"/>
          <w:lang w:eastAsia="zh-CN"/>
        </w:rPr>
        <w:t>；</w:t>
      </w:r>
      <w:r>
        <w:rPr>
          <w:rFonts w:hint="eastAsia" w:ascii="宋体" w:hAnsi="宋体" w:cs="宋体"/>
          <w:b w:val="0"/>
          <w:bCs w:val="0"/>
          <w:color w:val="auto"/>
          <w:sz w:val="22"/>
          <w:szCs w:val="22"/>
          <w:highlight w:val="none"/>
          <w:u w:val="single"/>
          <w:lang w:val="en-US" w:eastAsia="zh-CN"/>
        </w:rPr>
        <w:t>17）建设单位委托的其他工作。合同签订前委托人已完成的工作除外</w:t>
      </w:r>
      <w:r>
        <w:rPr>
          <w:rFonts w:hint="eastAsia" w:ascii="宋体" w:hAnsi="宋体" w:cs="宋体"/>
          <w:b w:val="0"/>
          <w:bCs w:val="0"/>
          <w:color w:val="auto"/>
          <w:sz w:val="22"/>
          <w:szCs w:val="22"/>
          <w:highlight w:val="none"/>
          <w:u w:val="single"/>
          <w:lang w:eastAsia="zh-CN"/>
        </w:rPr>
        <w:t>。（详见本合同第四部分的造价咨询任务大纲）</w:t>
      </w:r>
      <w:r>
        <w:rPr>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三、工程咨询服务涉及的建设阶段</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 xml:space="preserve">从全过程工程咨询服务合同签订之日起，至项目完成所有验收、结算手续，并正式移交建设方，以及二年缺陷责任期满止。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四、工程咨询报酬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本项目全过程工程咨询服务费用签约合同价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含税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为：人民币（大写）_______（¥______元）</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其中：不含税金额为</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 xml:space="preserve">        元，增值税税率为   %，增值税金额为</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 xml:space="preserve">          元。</w:t>
      </w:r>
    </w:p>
    <w:p>
      <w:pPr>
        <w:pageBreakBefore w:val="0"/>
        <w:overflowPunct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其中：</w:t>
      </w:r>
    </w:p>
    <w:p>
      <w:pPr>
        <w:pageBreakBefore w:val="0"/>
        <w:overflowPunct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工程监理服务费签约合同价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含税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为：人民币（大写）______________________（¥___________元）</w:t>
      </w:r>
      <w:r>
        <w:rPr>
          <w:rFonts w:hint="eastAsia" w:ascii="宋体" w:hAnsi="宋体" w:eastAsia="宋体" w:cs="宋体"/>
          <w:color w:val="auto"/>
          <w:sz w:val="22"/>
          <w:szCs w:val="22"/>
          <w:highlight w:val="none"/>
          <w:lang w:eastAsia="zh-CN"/>
        </w:rPr>
        <w:t>；</w:t>
      </w:r>
    </w:p>
    <w:p>
      <w:pPr>
        <w:pageBreakBefore w:val="0"/>
        <w:overflowPunct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全过程造价咨询服务费签约合同价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含税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为：人民币（大写）___________________（¥___________元）</w:t>
      </w:r>
      <w:r>
        <w:rPr>
          <w:rFonts w:hint="eastAsia" w:ascii="宋体" w:hAnsi="宋体" w:eastAsia="宋体" w:cs="宋体"/>
          <w:color w:val="auto"/>
          <w:sz w:val="22"/>
          <w:szCs w:val="22"/>
          <w:highlight w:val="none"/>
          <w:lang w:eastAsia="zh-CN"/>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根据工程咨询服务范围和内容，本项目的工程咨询服务费结算价约定如下：</w:t>
      </w:r>
    </w:p>
    <w:p>
      <w:pPr>
        <w:spacing w:line="360" w:lineRule="auto"/>
        <w:ind w:firstLine="440" w:firstLineChars="200"/>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工程监理：监理服务结算价=总建筑面积×监理服务费中标综合单价</w:t>
      </w:r>
    </w:p>
    <w:p>
      <w:pPr>
        <w:spacing w:line="360" w:lineRule="auto"/>
        <w:ind w:firstLine="440" w:firstLineChars="200"/>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工程造价咨询：造价咨询服务结算价=总建筑面积×造价咨询中标综合单价-服务考核</w:t>
      </w:r>
    </w:p>
    <w:p>
      <w:pPr>
        <w:spacing w:line="360" w:lineRule="auto"/>
        <w:ind w:firstLine="440" w:firstLineChars="200"/>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最终结算</w:t>
      </w:r>
      <w:r>
        <w:rPr>
          <w:rFonts w:hint="eastAsia" w:ascii="宋体" w:hAnsi="宋体" w:eastAsia="宋体" w:cs="宋体"/>
          <w:color w:val="auto"/>
          <w:sz w:val="22"/>
          <w:szCs w:val="22"/>
          <w:highlight w:val="none"/>
          <w:lang w:val="en-US" w:eastAsia="zh-CN"/>
        </w:rPr>
        <w:t>总建筑面积</w:t>
      </w:r>
      <w:r>
        <w:rPr>
          <w:rFonts w:hint="eastAsia" w:ascii="宋体" w:hAnsi="宋体" w:eastAsia="宋体" w:cs="宋体"/>
          <w:color w:val="auto"/>
          <w:sz w:val="22"/>
          <w:szCs w:val="22"/>
          <w:highlight w:val="none"/>
          <w:lang w:val="zh-CN"/>
        </w:rPr>
        <w:t>以</w:t>
      </w:r>
      <w:r>
        <w:rPr>
          <w:rFonts w:hint="eastAsia" w:ascii="宋体" w:hAnsi="宋体" w:eastAsia="宋体" w:cs="宋体"/>
          <w:color w:val="auto"/>
          <w:sz w:val="22"/>
          <w:szCs w:val="22"/>
          <w:highlight w:val="none"/>
        </w:rPr>
        <w:t>竣工备案面积</w:t>
      </w:r>
      <w:r>
        <w:rPr>
          <w:rFonts w:hint="eastAsia" w:ascii="宋体" w:hAnsi="宋体" w:eastAsia="宋体" w:cs="宋体"/>
          <w:color w:val="auto"/>
          <w:sz w:val="22"/>
          <w:szCs w:val="22"/>
          <w:highlight w:val="none"/>
          <w:lang w:val="zh-CN"/>
        </w:rPr>
        <w:t>为</w:t>
      </w:r>
      <w:r>
        <w:rPr>
          <w:rFonts w:hint="eastAsia" w:ascii="宋体" w:hAnsi="宋体" w:eastAsia="宋体" w:cs="宋体"/>
          <w:color w:val="auto"/>
          <w:sz w:val="22"/>
          <w:szCs w:val="22"/>
          <w:highlight w:val="none"/>
          <w:lang w:val="en-US" w:eastAsia="zh-CN"/>
        </w:rPr>
        <w:t>准</w:t>
      </w:r>
      <w:r>
        <w:rPr>
          <w:rFonts w:hint="eastAsia" w:ascii="宋体" w:hAnsi="宋体" w:cs="宋体"/>
          <w:color w:val="auto"/>
          <w:sz w:val="22"/>
          <w:szCs w:val="22"/>
          <w:highlight w:val="none"/>
          <w:lang w:val="en-US" w:eastAsia="zh-CN"/>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除上述正常工程咨询报酬外的附加工作报酬、工作奖励或参与投资节余分成等，由合同专用条件另行约定。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五、本合同由以下文件组成</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1、协议书；</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2、中标通知书；</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3、投标文件及其附件</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含评标期间的澄清文件和补充资料）</w:t>
      </w:r>
      <w:r>
        <w:rPr>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4、专用条件；</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5、通用条件；</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6、招标文件及其附件（含招标期间澄清、补充修改的文件及答疑纪要等）</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、委托人提供的房屋、资料和设备等清单。</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、其他合同文件（如分包合同）。</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本合同签订后，双方依法签订的补充协议，或为本合同补充订立的相关专业咨询服务合同（如工程造价咨询合同、监理合同）均为本合同文件的组成内容。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构成本合同的文件若存在歧义或不一致时，则按上述排列次序进行解释。 </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六、工程咨询服务期限</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自中标通知书发出发出之日起至本项目缺陷责任期结束为止（各专业以签订合同为准）。</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相关专业咨询服务期限，在相关专业咨询服务合同中另行约定。 </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七、双方承诺</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1、委托人承诺，遵守本合同中的各项约定，为工程咨询人提供房屋、资料、设备，并按本合同约定支付酬金。</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2、工程咨询人承诺，遵守本合同中的各项约定，按照工程咨询服务范围和内容，承担工程咨询任务。</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八、合同订立</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1、订立时间：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color="000000"/>
        </w:rPr>
        <w:tab/>
      </w:r>
      <w:r>
        <w:rPr>
          <w:rFonts w:hint="eastAsia" w:ascii="宋体" w:hAnsi="宋体" w:eastAsia="宋体" w:cs="宋体"/>
          <w:color w:val="auto"/>
          <w:sz w:val="22"/>
          <w:szCs w:val="22"/>
          <w:highlight w:val="none"/>
          <w:u w:val="single" w:color="000000"/>
        </w:rPr>
        <w:t xml:space="preserve"> </w:t>
      </w:r>
      <w:r>
        <w:rPr>
          <w:rFonts w:hint="eastAsia" w:ascii="宋体" w:hAnsi="宋体" w:eastAsia="宋体" w:cs="宋体"/>
          <w:color w:val="auto"/>
          <w:sz w:val="22"/>
          <w:szCs w:val="22"/>
          <w:highlight w:val="none"/>
          <w:u w:val="single" w:color="000000"/>
          <w:lang w:val="en-US" w:eastAsia="zh-CN"/>
        </w:rPr>
        <w:t xml:space="preserve">  </w:t>
      </w:r>
      <w:r>
        <w:rPr>
          <w:rFonts w:hint="eastAsia" w:ascii="宋体" w:hAnsi="宋体" w:eastAsia="宋体" w:cs="宋体"/>
          <w:color w:val="auto"/>
          <w:sz w:val="22"/>
          <w:szCs w:val="22"/>
          <w:highlight w:val="none"/>
          <w:u w:val="single" w:color="000000"/>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color="000000"/>
          <w:lang w:val="en-US" w:eastAsia="zh-CN"/>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color="000000"/>
        </w:rPr>
        <w:tab/>
      </w:r>
      <w:r>
        <w:rPr>
          <w:rFonts w:hint="eastAsia" w:ascii="宋体" w:hAnsi="宋体" w:eastAsia="宋体" w:cs="宋体"/>
          <w:color w:val="auto"/>
          <w:sz w:val="22"/>
          <w:szCs w:val="22"/>
          <w:highlight w:val="none"/>
          <w:u w:val="single" w:color="000000"/>
          <w:lang w:val="en-US" w:eastAsia="zh-CN"/>
        </w:rPr>
        <w:t xml:space="preserve">     </w:t>
      </w:r>
      <w:r>
        <w:rPr>
          <w:rFonts w:hint="eastAsia" w:ascii="宋体" w:hAnsi="宋体" w:eastAsia="宋体" w:cs="宋体"/>
          <w:color w:val="auto"/>
          <w:sz w:val="22"/>
          <w:szCs w:val="22"/>
          <w:highlight w:val="none"/>
          <w:u w:val="single" w:color="000000"/>
        </w:rPr>
        <w:t xml:space="preserve"> </w:t>
      </w:r>
      <w:r>
        <w:rPr>
          <w:rFonts w:hint="eastAsia" w:ascii="宋体" w:hAnsi="宋体" w:eastAsia="宋体" w:cs="宋体"/>
          <w:color w:val="auto"/>
          <w:sz w:val="22"/>
          <w:szCs w:val="22"/>
          <w:highlight w:val="none"/>
        </w:rPr>
        <w:t>日。</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2、订立地点：</w:t>
      </w:r>
      <w:r>
        <w:rPr>
          <w:rFonts w:hint="eastAsia" w:ascii="宋体" w:hAnsi="宋体" w:eastAsia="宋体" w:cs="宋体"/>
          <w:color w:val="auto"/>
          <w:sz w:val="22"/>
          <w:szCs w:val="22"/>
          <w:highlight w:val="none"/>
          <w:u w:val="single" w:color="000000"/>
        </w:rPr>
        <w:tab/>
      </w:r>
      <w:r>
        <w:rPr>
          <w:rFonts w:hint="eastAsia" w:ascii="宋体" w:hAnsi="宋体" w:eastAsia="宋体" w:cs="宋体"/>
          <w:color w:val="auto"/>
          <w:sz w:val="22"/>
          <w:szCs w:val="22"/>
          <w:highlight w:val="none"/>
          <w:u w:val="single" w:color="000000"/>
        </w:rPr>
        <w:t xml:space="preserve"> </w:t>
      </w:r>
      <w:r>
        <w:rPr>
          <w:rFonts w:hint="eastAsia" w:ascii="宋体" w:hAnsi="宋体" w:eastAsia="宋体" w:cs="宋体"/>
          <w:bCs/>
          <w:color w:val="auto"/>
          <w:sz w:val="22"/>
          <w:szCs w:val="22"/>
          <w:highlight w:val="none"/>
          <w:u w:val="single"/>
        </w:rPr>
        <w:t>广东省江门市蓬江区</w:t>
      </w:r>
      <w:r>
        <w:rPr>
          <w:rFonts w:hint="eastAsia" w:ascii="宋体" w:hAnsi="宋体" w:eastAsia="宋体" w:cs="宋体"/>
          <w:color w:val="auto"/>
          <w:sz w:val="22"/>
          <w:szCs w:val="22"/>
          <w:highlight w:val="none"/>
          <w:u w:val="single" w:color="000000"/>
        </w:rPr>
        <w:t xml:space="preserve">   </w:t>
      </w:r>
      <w:r>
        <w:rPr>
          <w:rFonts w:hint="eastAsia" w:ascii="宋体" w:hAnsi="宋体" w:eastAsia="宋体" w:cs="宋体"/>
          <w:color w:val="auto"/>
          <w:sz w:val="22"/>
          <w:szCs w:val="22"/>
          <w:highlight w:val="none"/>
        </w:rPr>
        <w:t>。</w:t>
      </w:r>
    </w:p>
    <w:p>
      <w:pPr>
        <w:keepNext w:val="0"/>
        <w:keepLines w:val="0"/>
        <w:pageBreakBefore w:val="0"/>
        <w:pBdr>
          <w:bottom w:val="single" w:color="auto" w:sz="4" w:space="0"/>
        </w:pBdr>
        <w:kinsoku/>
        <w:wordWrap/>
        <w:topLinePunct w:val="0"/>
        <w:autoSpaceDE w:val="0"/>
        <w:autoSpaceDN w:val="0"/>
        <w:bidi w:val="0"/>
        <w:adjustRightInd w:val="0"/>
        <w:snapToGrid/>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3、本合同正本一式</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6</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份、副本一式</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份，均具有同等法律效力，委托人执正本</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4</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份、副本</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份，工程咨询人各执正本</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2</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份、副本</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份。 </w:t>
      </w:r>
    </w:p>
    <w:p>
      <w:pPr>
        <w:pStyle w:val="22"/>
        <w:keepNext w:val="0"/>
        <w:keepLines w:val="0"/>
        <w:pageBreakBefore w:val="0"/>
        <w:pBdr>
          <w:bottom w:val="single" w:color="auto" w:sz="4" w:space="0"/>
        </w:pBdr>
        <w:kinsoku/>
        <w:wordWrap/>
        <w:topLinePunct w:val="0"/>
        <w:autoSpaceDE w:val="0"/>
        <w:autoSpaceDN w:val="0"/>
        <w:bidi w:val="0"/>
        <w:adjustRightInd w:val="0"/>
        <w:snapToGrid/>
        <w:spacing w:after="0" w:line="360" w:lineRule="auto"/>
        <w:ind w:left="0" w:leftChars="0" w:right="0" w:rightChars="0" w:firstLine="468"/>
        <w:rPr>
          <w:rFonts w:hint="eastAsia" w:ascii="宋体" w:hAnsi="宋体" w:eastAsia="宋体" w:cs="宋体"/>
          <w:color w:val="auto"/>
          <w:kern w:val="2"/>
          <w:sz w:val="22"/>
          <w:szCs w:val="22"/>
          <w:highlight w:val="none"/>
        </w:rPr>
      </w:pPr>
      <w:r>
        <w:rPr>
          <w:rFonts w:hint="eastAsia" w:ascii="宋体" w:hAnsi="宋体" w:eastAsia="宋体" w:cs="宋体"/>
          <w:color w:val="auto"/>
          <w:kern w:val="2"/>
          <w:sz w:val="22"/>
          <w:szCs w:val="22"/>
          <w:highlight w:val="none"/>
        </w:rPr>
        <w:t>九、本合同自双方法定代表人签字或盖章并加盖公章后正式生效。</w:t>
      </w:r>
    </w:p>
    <w:p>
      <w:pPr>
        <w:pStyle w:val="22"/>
        <w:keepNext w:val="0"/>
        <w:keepLines w:val="0"/>
        <w:pageBreakBefore w:val="0"/>
        <w:pBdr>
          <w:bottom w:val="single" w:color="auto" w:sz="4" w:space="0"/>
        </w:pBdr>
        <w:kinsoku/>
        <w:wordWrap/>
        <w:topLinePunct w:val="0"/>
        <w:autoSpaceDE w:val="0"/>
        <w:autoSpaceDN w:val="0"/>
        <w:bidi w:val="0"/>
        <w:adjustRightInd w:val="0"/>
        <w:snapToGrid/>
        <w:spacing w:after="0" w:line="360" w:lineRule="auto"/>
        <w:ind w:left="0" w:leftChars="0" w:right="0" w:rightChars="0" w:firstLine="468"/>
        <w:rPr>
          <w:rFonts w:hint="eastAsia" w:ascii="宋体" w:hAnsi="宋体" w:eastAsia="宋体" w:cs="宋体"/>
          <w:color w:val="auto"/>
          <w:kern w:val="2"/>
          <w:sz w:val="22"/>
          <w:szCs w:val="22"/>
          <w:highlight w:val="none"/>
        </w:rPr>
      </w:pPr>
    </w:p>
    <w:p>
      <w:pPr>
        <w:rPr>
          <w:rFonts w:hint="eastAsia" w:ascii="宋体" w:hAnsi="宋体" w:cs="宋体"/>
          <w:color w:val="auto"/>
          <w:sz w:val="22"/>
          <w:szCs w:val="22"/>
          <w:highlight w:val="none"/>
        </w:rPr>
      </w:pPr>
    </w:p>
    <w:p>
      <w:pPr>
        <w:rPr>
          <w:rFonts w:hint="eastAsia" w:ascii="宋体" w:hAnsi="宋体" w:cs="宋体"/>
          <w:color w:val="auto"/>
          <w:sz w:val="22"/>
          <w:szCs w:val="22"/>
          <w:highlight w:val="none"/>
        </w:rPr>
      </w:pPr>
    </w:p>
    <w:p>
      <w:pPr>
        <w:pStyle w:val="21"/>
        <w:bidi w:val="0"/>
        <w:rPr>
          <w:rFonts w:hint="eastAsia" w:ascii="宋体" w:hAnsi="宋体" w:cs="宋体"/>
          <w:color w:val="auto"/>
          <w:sz w:val="22"/>
          <w:szCs w:val="22"/>
          <w:highlight w:val="none"/>
        </w:rPr>
      </w:pPr>
    </w:p>
    <w:bookmarkEnd w:id="479"/>
    <w:bookmarkEnd w:id="480"/>
    <w:bookmarkEnd w:id="481"/>
    <w:bookmarkEnd w:id="482"/>
    <w:bookmarkEnd w:id="483"/>
    <w:p>
      <w:pPr>
        <w:rPr>
          <w:rFonts w:hint="eastAsia" w:ascii="宋体" w:hAnsi="宋体" w:cs="宋体"/>
          <w:color w:val="auto"/>
          <w:sz w:val="22"/>
          <w:szCs w:val="22"/>
          <w:highlight w:val="none"/>
        </w:rPr>
      </w:pP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position w:val="-2"/>
          <w:sz w:val="22"/>
          <w:szCs w:val="22"/>
          <w:highlight w:val="none"/>
        </w:rPr>
        <w:t>委托人：</w:t>
      </w:r>
      <w:r>
        <w:rPr>
          <w:rFonts w:hint="eastAsia" w:ascii="宋体" w:hAnsi="宋体" w:eastAsia="宋体" w:cs="宋体"/>
          <w:color w:val="auto"/>
          <w:position w:val="-2"/>
          <w:sz w:val="22"/>
          <w:szCs w:val="22"/>
          <w:highlight w:val="none"/>
          <w:u w:val="single"/>
        </w:rPr>
        <w:t xml:space="preserve">                      </w:t>
      </w:r>
      <w:r>
        <w:rPr>
          <w:rFonts w:hint="eastAsia" w:ascii="宋体" w:hAnsi="宋体" w:eastAsia="宋体" w:cs="宋体"/>
          <w:color w:val="auto"/>
          <w:position w:val="-2"/>
          <w:sz w:val="22"/>
          <w:szCs w:val="22"/>
          <w:highlight w:val="none"/>
        </w:rPr>
        <w:t xml:space="preserve">（建设单位）（盖章） </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法定代表人：（签字或盖章） </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ab/>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地址：</w:t>
      </w:r>
      <w:r>
        <w:rPr>
          <w:rFonts w:hint="eastAsia" w:ascii="宋体" w:hAnsi="宋体" w:eastAsia="宋体" w:cs="宋体"/>
          <w:color w:val="auto"/>
          <w:sz w:val="22"/>
          <w:szCs w:val="22"/>
          <w:highlight w:val="none"/>
        </w:rPr>
        <w:tab/>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开户行：</w:t>
      </w:r>
      <w:r>
        <w:rPr>
          <w:rFonts w:hint="eastAsia" w:ascii="宋体" w:hAnsi="宋体" w:eastAsia="宋体" w:cs="宋体"/>
          <w:color w:val="auto"/>
          <w:sz w:val="22"/>
          <w:szCs w:val="22"/>
          <w:highlight w:val="none"/>
        </w:rPr>
        <w:tab/>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账号：</w:t>
      </w:r>
      <w:r>
        <w:rPr>
          <w:rFonts w:hint="eastAsia" w:ascii="宋体" w:hAnsi="宋体" w:eastAsia="宋体" w:cs="宋体"/>
          <w:color w:val="auto"/>
          <w:sz w:val="22"/>
          <w:szCs w:val="22"/>
          <w:highlight w:val="none"/>
        </w:rPr>
        <w:tab/>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邮编：</w:t>
      </w:r>
      <w:r>
        <w:rPr>
          <w:rFonts w:hint="eastAsia" w:ascii="宋体" w:hAnsi="宋体" w:eastAsia="宋体" w:cs="宋体"/>
          <w:color w:val="auto"/>
          <w:sz w:val="22"/>
          <w:szCs w:val="22"/>
          <w:highlight w:val="none"/>
        </w:rPr>
        <w:tab/>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电话：</w:t>
      </w:r>
      <w:r>
        <w:rPr>
          <w:rFonts w:hint="eastAsia" w:ascii="宋体" w:hAnsi="宋体" w:eastAsia="宋体" w:cs="宋体"/>
          <w:color w:val="auto"/>
          <w:sz w:val="22"/>
          <w:szCs w:val="22"/>
          <w:highlight w:val="none"/>
        </w:rPr>
        <w:tab/>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position w:val="-2"/>
          <w:sz w:val="22"/>
          <w:szCs w:val="22"/>
          <w:highlight w:val="none"/>
        </w:rPr>
        <w:t>工程咨询人：</w:t>
      </w:r>
      <w:r>
        <w:rPr>
          <w:rFonts w:hint="eastAsia" w:ascii="宋体" w:hAnsi="宋体" w:eastAsia="宋体" w:cs="宋体"/>
          <w:color w:val="auto"/>
          <w:sz w:val="22"/>
          <w:szCs w:val="22"/>
          <w:highlight w:val="none"/>
        </w:rPr>
        <w:t xml:space="preserve">                       </w:t>
      </w:r>
      <w:r>
        <w:rPr>
          <w:rFonts w:hint="eastAsia" w:ascii="宋体" w:hAnsi="宋体" w:eastAsia="宋体" w:cs="宋体"/>
          <w:color w:val="auto"/>
          <w:position w:val="-2"/>
          <w:sz w:val="22"/>
          <w:szCs w:val="22"/>
          <w:highlight w:val="none"/>
        </w:rPr>
        <w:t>（盖章）</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法定代表人：（签字或盖章） </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地址：                           </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开户行：                         </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账号：                           </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邮编：                           </w:t>
      </w:r>
    </w:p>
    <w:p>
      <w:pPr>
        <w:pageBreakBefore w:val="0"/>
        <w:topLinePunct w:val="0"/>
        <w:bidi w:val="0"/>
        <w:spacing w:after="0" w:line="360" w:lineRule="auto"/>
        <w:ind w:left="0" w:leftChars="0" w:right="0" w:rightChars="0" w:firstLine="528"/>
        <w:rPr>
          <w:rFonts w:hint="eastAsia" w:ascii="宋体" w:hAnsi="宋体" w:eastAsia="宋体" w:cs="宋体"/>
          <w:color w:val="auto"/>
          <w:sz w:val="24"/>
          <w:szCs w:val="24"/>
          <w:highlight w:val="none"/>
        </w:rPr>
      </w:pPr>
      <w:r>
        <w:rPr>
          <w:rFonts w:hint="eastAsia" w:ascii="宋体" w:hAnsi="宋体" w:eastAsia="宋体" w:cs="宋体"/>
          <w:color w:val="auto"/>
          <w:sz w:val="22"/>
          <w:szCs w:val="22"/>
          <w:highlight w:val="none"/>
        </w:rPr>
        <w:t xml:space="preserve">电话：                       </w:t>
      </w:r>
    </w:p>
    <w:p>
      <w:pPr>
        <w:pStyle w:val="22"/>
        <w:pageBreakBefore w:val="0"/>
        <w:topLinePunct w:val="0"/>
        <w:bidi w:val="0"/>
        <w:spacing w:after="0" w:line="360" w:lineRule="auto"/>
        <w:ind w:left="0" w:leftChars="0" w:right="0" w:rightChars="0" w:firstLine="528"/>
        <w:rPr>
          <w:rFonts w:hint="eastAsia" w:ascii="宋体" w:hAnsi="宋体" w:eastAsia="宋体" w:cs="宋体"/>
          <w:color w:val="auto"/>
          <w:sz w:val="24"/>
          <w:szCs w:val="24"/>
          <w:highlight w:val="none"/>
        </w:rPr>
      </w:pPr>
    </w:p>
    <w:p>
      <w:pPr>
        <w:pStyle w:val="22"/>
        <w:pageBreakBefore w:val="0"/>
        <w:topLinePunct w:val="0"/>
        <w:bidi w:val="0"/>
        <w:spacing w:after="0" w:line="360" w:lineRule="auto"/>
        <w:ind w:left="0" w:leftChars="0" w:right="0" w:rightChars="0" w:firstLine="528"/>
        <w:rPr>
          <w:rFonts w:hint="eastAsia" w:ascii="宋体" w:hAnsi="宋体" w:eastAsia="宋体" w:cs="宋体"/>
          <w:color w:val="auto"/>
          <w:sz w:val="24"/>
          <w:szCs w:val="24"/>
          <w:highlight w:val="none"/>
        </w:rPr>
      </w:pPr>
    </w:p>
    <w:p>
      <w:pPr>
        <w:pStyle w:val="22"/>
        <w:pageBreakBefore w:val="0"/>
        <w:topLinePunct w:val="0"/>
        <w:bidi w:val="0"/>
        <w:spacing w:after="0" w:line="360" w:lineRule="auto"/>
        <w:ind w:left="0" w:leftChars="0" w:right="0" w:rightChars="0" w:firstLine="528"/>
        <w:rPr>
          <w:rFonts w:hint="eastAsia" w:ascii="宋体" w:hAnsi="宋体" w:eastAsia="宋体" w:cs="宋体"/>
          <w:color w:val="auto"/>
          <w:sz w:val="24"/>
          <w:szCs w:val="24"/>
          <w:highlight w:val="none"/>
        </w:rPr>
      </w:pPr>
    </w:p>
    <w:p>
      <w:pPr>
        <w:pStyle w:val="22"/>
        <w:pageBreakBefore w:val="0"/>
        <w:topLinePunct w:val="0"/>
        <w:bidi w:val="0"/>
        <w:spacing w:after="0" w:line="360" w:lineRule="auto"/>
        <w:ind w:left="0" w:leftChars="0" w:right="0" w:rightChars="0" w:firstLine="528"/>
        <w:rPr>
          <w:rFonts w:hint="eastAsia" w:ascii="宋体" w:hAnsi="宋体" w:eastAsia="宋体" w:cs="宋体"/>
          <w:color w:val="auto"/>
          <w:sz w:val="24"/>
          <w:szCs w:val="24"/>
          <w:highlight w:val="none"/>
        </w:rPr>
      </w:pPr>
    </w:p>
    <w:p>
      <w:pPr>
        <w:pStyle w:val="22"/>
        <w:pageBreakBefore w:val="0"/>
        <w:topLinePunct w:val="0"/>
        <w:bidi w:val="0"/>
        <w:spacing w:after="0" w:line="360" w:lineRule="auto"/>
        <w:ind w:left="0" w:leftChars="0" w:right="0" w:rightChars="0" w:firstLine="528"/>
        <w:rPr>
          <w:rFonts w:hint="eastAsia" w:ascii="宋体" w:hAnsi="宋体" w:eastAsia="宋体" w:cs="宋体"/>
          <w:color w:val="auto"/>
          <w:sz w:val="24"/>
          <w:szCs w:val="24"/>
          <w:highlight w:val="none"/>
        </w:rPr>
      </w:pPr>
    </w:p>
    <w:p>
      <w:pPr>
        <w:pStyle w:val="22"/>
        <w:pageBreakBefore w:val="0"/>
        <w:topLinePunct w:val="0"/>
        <w:bidi w:val="0"/>
        <w:spacing w:after="0" w:line="360" w:lineRule="auto"/>
        <w:ind w:left="0" w:leftChars="0" w:right="0" w:rightChars="0" w:firstLine="528"/>
        <w:rPr>
          <w:rFonts w:hint="eastAsia" w:ascii="宋体" w:hAnsi="宋体" w:eastAsia="宋体" w:cs="宋体"/>
          <w:color w:val="auto"/>
          <w:sz w:val="24"/>
          <w:szCs w:val="24"/>
          <w:highlight w:val="none"/>
        </w:rPr>
      </w:pPr>
    </w:p>
    <w:p>
      <w:pPr>
        <w:pageBreakBefore w:val="0"/>
        <w:topLinePunct w:val="0"/>
        <w:bidi w:val="0"/>
        <w:spacing w:line="360" w:lineRule="auto"/>
        <w:ind w:left="0" w:leftChars="0" w:right="0" w:right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outlineLvl w:val="0"/>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第一部分 通用条件</w:t>
      </w:r>
    </w:p>
    <w:p>
      <w:pPr>
        <w:spacing w:line="360" w:lineRule="auto"/>
        <w:ind w:right="0" w:rightChars="0"/>
        <w:jc w:val="center"/>
        <w:outlineLvl w:val="9"/>
        <w:rPr>
          <w:rFonts w:hint="eastAsia" w:ascii="宋体" w:hAnsi="宋体" w:eastAsia="宋体" w:cs="宋体"/>
          <w:b/>
          <w:bCs/>
          <w:color w:val="auto"/>
          <w:sz w:val="24"/>
          <w:szCs w:val="24"/>
          <w:highlight w:val="none"/>
        </w:rPr>
      </w:pPr>
      <w:bookmarkStart w:id="484" w:name="_Toc15755"/>
    </w:p>
    <w:p>
      <w:pPr>
        <w:spacing w:line="360" w:lineRule="auto"/>
        <w:ind w:right="0" w:rightChars="0"/>
        <w:jc w:val="center"/>
        <w:outlineLvl w:val="1"/>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第一章  词语定义、适用法律法规、语言</w:t>
      </w:r>
      <w:bookmarkEnd w:id="484"/>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第一条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下列词语除附加条款另有约定外，赋予定义如下：</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（1）“项目”是指委托人委托实施工程咨询的项目。</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（2）“委托人”是指承担直接项目投资责任和委托工程咨询业务的一方及其合法继承人。</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（3）“工程咨询人”是指承担工程咨询业务和工程咨询责任的一方及其合法继承人。</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建设管理”是指工程咨询人受托承担的全部或部分项目业主在项目建设过程中的管理并承担相应工程咨询责任的活动，包括但不限于对项目策划、规划、设计、采购、施工、竣工、结（决）算、试运行过程及项目范围、质量（安全）、进度、费用、合同、信息等内容进行管理和控制。</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（5）“专业咨询服务”是指工程咨询人受托承担的工程勘察、设计技术咨询、招标代理、工程造价咨询、工程监理等一项或多项专业化咨询服务。</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（6）“工程咨询机构”是指由工程咨询人组建实施具体工程咨询工作的机构。</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（7）“项目负责人”是指经委托人同意，由工程咨询人任命的全面履行本合同的负责人。</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（8）“正常工作”是指双方在合同中约定委托的工程咨询工作。</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附加工作”是指本合同约定的正常工作以外，由委托人另行补充协议增加委托工程咨询人的工作内容或由于委托人项目决策或不可抗力等原因使得项目停、缓建及延误，因增加工作量或持续时间而增加工程咨询人的工作。</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（10）“日（天）”是指任何一天零时至第二天零时的时间。</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（11）“月”是指按公历从一个月中任何一天开始的一个公历月时间。</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（12）“参建单位”是指委托人选择承担本项目的勘察、设计、施工、监理、工程造价咨询、材料/设备供应、专业咨询服务等工作，具备相应资质或营业许可的单位。</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第二条 “合同适用的法律”是指国家的法律、法规、规章和工程所在地的地方性法规、规章。</w:t>
      </w:r>
    </w:p>
    <w:p>
      <w:pPr>
        <w:pageBreakBefore w:val="0"/>
        <w:topLinePunct w:val="0"/>
        <w:bidi w:val="0"/>
        <w:spacing w:line="360" w:lineRule="auto"/>
        <w:ind w:left="0" w:leftChars="0" w:right="0" w:rightChars="0"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第三条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 xml:space="preserve">本合同文件使用汉语语言文字书写、解释和说明。 </w:t>
      </w:r>
    </w:p>
    <w:p>
      <w:pPr>
        <w:pageBreakBefore w:val="0"/>
        <w:topLinePunct w:val="0"/>
        <w:bidi w:val="0"/>
        <w:spacing w:line="360" w:lineRule="auto"/>
        <w:ind w:left="0" w:leftChars="0" w:right="0" w:rightChars="0"/>
        <w:jc w:val="center"/>
        <w:rPr>
          <w:rFonts w:hint="eastAsia" w:ascii="宋体" w:hAnsi="宋体" w:eastAsia="宋体" w:cs="宋体"/>
          <w:b/>
          <w:bCs/>
          <w:color w:val="auto"/>
          <w:sz w:val="22"/>
          <w:szCs w:val="22"/>
          <w:highlight w:val="none"/>
        </w:rPr>
      </w:pPr>
    </w:p>
    <w:p>
      <w:pPr>
        <w:spacing w:before="41" w:line="360" w:lineRule="auto"/>
        <w:ind w:right="0" w:rightChars="0"/>
        <w:jc w:val="center"/>
        <w:outlineLvl w:val="1"/>
        <w:rPr>
          <w:rFonts w:hint="eastAsia" w:ascii="宋体" w:hAnsi="宋体" w:eastAsia="宋体" w:cs="宋体"/>
          <w:color w:val="auto"/>
          <w:position w:val="-2"/>
          <w:sz w:val="22"/>
          <w:szCs w:val="22"/>
          <w:highlight w:val="none"/>
        </w:rPr>
      </w:pPr>
      <w:bookmarkStart w:id="485" w:name="_Toc4126"/>
      <w:r>
        <w:rPr>
          <w:rFonts w:hint="eastAsia" w:ascii="宋体" w:hAnsi="宋体" w:eastAsia="宋体" w:cs="宋体"/>
          <w:b/>
          <w:bCs/>
          <w:color w:val="auto"/>
          <w:sz w:val="22"/>
          <w:szCs w:val="22"/>
          <w:highlight w:val="none"/>
        </w:rPr>
        <w:t>第二章  工程咨询人义务</w:t>
      </w:r>
      <w:bookmarkEnd w:id="485"/>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position w:val="-2"/>
          <w:sz w:val="22"/>
          <w:szCs w:val="22"/>
          <w:highlight w:val="none"/>
        </w:rPr>
        <w:t>第四条 工程咨询人应按合同约定的具体工作范围及工作内容为委托人提供工</w:t>
      </w:r>
      <w:r>
        <w:rPr>
          <w:rFonts w:hint="eastAsia" w:ascii="宋体" w:hAnsi="宋体" w:eastAsia="宋体" w:cs="宋体"/>
          <w:color w:val="auto"/>
          <w:sz w:val="22"/>
          <w:szCs w:val="22"/>
          <w:highlight w:val="none"/>
        </w:rPr>
        <w:t>程咨询服务。工程咨询人在履行本合同义务期间，应遵守国家有关法律、法规，维护委托人的合法权益。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第五条 履约担保按本合同专用条件约定执行。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第六条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工程咨询人应组建能够满足工程咨询服务需要的工程咨询机构，向委托人报送委派的项目负责人及其工程咨询机构主要成员名单、工程咨询规划或工程咨询专项计划，完成工程咨询合同约定的工程咨询业务。在履行合同义务期间，应按专用条件约定向委托人报告工程咨询工作。</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第七条 工程咨询人应按批准或同意的建设规模、建设内容和建设标准组织工程咨询，严格控制项目投资，确保工程质量，按期交付项目成果。工程咨询人不得在工程咨询过程中随意变更建设规模、建设内容和建设标准。如需超出范围变更，应遵循建设程序办理并报委托人决定。</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第八条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 xml:space="preserve">工程咨询人应根据项目进度需要，向委托人提供资金使用计划。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第九条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工程咨询人应在项目建成后，及时协助委托人完成验收、竣工资料审核等相关工作。协助委托人组织项目移交，配合做好竣工结（决）算审查和项目审计工作。</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工程咨询人应在项目建成后，监督相关单位落实工程保修责任。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第十一条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工程咨询人应建立完整的项目建设档案，在工程咨询任务完成后将工程档案及相关资料等整理汇编，向委托人移交。</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第十二条 工程咨询人使用委托人提供的设施和物品属委托人的财产。在工程咨询工作完成或中止时，应将其设施和剩余的物品按合同专用条件约定的时间和方式移交给委托人。</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第十三条 在工程咨询合同期内及合同终止后，未征得有关方同意，不得泄露与本工程、本合同业务有关的保密资料。</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第十四条 在委托的工程咨询范围内，委托人或其他参建单位对对方的意见或要求甚至出现争议通过工程咨询人协商的，工程咨询人应根据自己的职能，公正地进行调解，有效地维护委托人权益。当双方争议由政府监管部门调解或仲裁或进入司法审判时，应当协助委托人收集作证的事实材料。 </w:t>
      </w:r>
    </w:p>
    <w:p>
      <w:pPr>
        <w:spacing w:before="41" w:line="360" w:lineRule="auto"/>
        <w:ind w:right="0" w:rightChars="0"/>
        <w:jc w:val="center"/>
        <w:outlineLvl w:val="9"/>
        <w:rPr>
          <w:rFonts w:hint="eastAsia" w:ascii="宋体" w:hAnsi="宋体" w:eastAsia="宋体" w:cs="宋体"/>
          <w:b/>
          <w:bCs/>
          <w:color w:val="auto"/>
          <w:sz w:val="22"/>
          <w:szCs w:val="22"/>
          <w:highlight w:val="none"/>
        </w:rPr>
      </w:pPr>
      <w:bookmarkStart w:id="486" w:name="_Toc26513"/>
    </w:p>
    <w:p>
      <w:pPr>
        <w:spacing w:before="41" w:line="360" w:lineRule="auto"/>
        <w:ind w:right="0" w:rightChars="0"/>
        <w:jc w:val="center"/>
        <w:outlineLvl w:val="1"/>
        <w:rPr>
          <w:rFonts w:hint="eastAsia" w:ascii="宋体" w:hAnsi="宋体" w:eastAsia="宋体" w:cs="宋体"/>
          <w:color w:val="auto"/>
          <w:position w:val="-2"/>
          <w:sz w:val="22"/>
          <w:szCs w:val="22"/>
          <w:highlight w:val="none"/>
        </w:rPr>
      </w:pPr>
      <w:r>
        <w:rPr>
          <w:rFonts w:hint="eastAsia" w:ascii="宋体" w:hAnsi="宋体" w:eastAsia="宋体" w:cs="宋体"/>
          <w:b/>
          <w:bCs/>
          <w:color w:val="auto"/>
          <w:sz w:val="22"/>
          <w:szCs w:val="22"/>
          <w:highlight w:val="none"/>
        </w:rPr>
        <w:t>第三章  委托人义务</w:t>
      </w:r>
      <w:bookmarkEnd w:id="486"/>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position w:val="-2"/>
          <w:sz w:val="22"/>
          <w:szCs w:val="22"/>
          <w:highlight w:val="none"/>
        </w:rPr>
        <w:t>第十五条  委托人应监督和指导项目的策划和建设实施，并主持项目的竣工验</w:t>
      </w:r>
      <w:r>
        <w:rPr>
          <w:rFonts w:hint="eastAsia" w:ascii="宋体" w:hAnsi="宋体" w:eastAsia="宋体" w:cs="宋体"/>
          <w:color w:val="auto"/>
          <w:sz w:val="22"/>
          <w:szCs w:val="22"/>
          <w:highlight w:val="none"/>
        </w:rPr>
        <w:t>收和移交。</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第十六条  委托人应为工程咨询工作提供必要条件。</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第十七条 委托人应按合同约定的方式、时间、金额向工程咨询人支付工程咨询费。</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第十八条 委托人应负责资金使用计划的审核与管理，并承担项目建设开支，向所有参建方支付参建合同款项。</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第十九条 委托人应当授权一名熟悉工程情况、能在规定时间内作出决定的常驻代表（在专用条件中约定），负责与工程咨询人联系。更换常驻代表，要提前通知工程咨询人。</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第二十条 委托人需建立有效的决策机制，对工程咨询人的请示和建议做出决定，对工作计划和报告进行批复。委托人在项目建设过程中对参建单位的各种实施指令均须通过工程咨询人下达。</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第二十一条 委托人应当将授予工程咨询人的管理权利，以及工程咨询机构主要成员的职能分工、管理权限及时书面通知各参建单位。</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第二十二条 委托人应负责项目资金筹措，项目建设外环境协调，如建设过程中争取相关优惠政策、与当地居民及政府监管部门的关系协调等工作均以委托人为主完成，工程咨询人予以配合。</w:t>
      </w:r>
    </w:p>
    <w:p>
      <w:pPr>
        <w:spacing w:line="360" w:lineRule="auto"/>
        <w:ind w:right="0" w:rightChars="0"/>
        <w:jc w:val="center"/>
        <w:outlineLvl w:val="9"/>
        <w:rPr>
          <w:rFonts w:hint="eastAsia" w:ascii="宋体" w:hAnsi="宋体" w:eastAsia="宋体" w:cs="宋体"/>
          <w:b/>
          <w:bCs/>
          <w:color w:val="auto"/>
          <w:sz w:val="22"/>
          <w:szCs w:val="22"/>
          <w:highlight w:val="none"/>
        </w:rPr>
      </w:pPr>
      <w:bookmarkStart w:id="487" w:name="_Toc4451"/>
    </w:p>
    <w:p>
      <w:pPr>
        <w:spacing w:line="360" w:lineRule="auto"/>
        <w:ind w:right="0" w:rightChars="0"/>
        <w:jc w:val="center"/>
        <w:outlineLvl w:val="1"/>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第四章  工程咨询人权利</w:t>
      </w:r>
      <w:bookmarkEnd w:id="487"/>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第二十三条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工程咨询人在委托人委托的工程咨询范围内，享有以下权利：</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 选择参建单位的建议权。</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 关注项目进展，应委托人所需，对项目建设资金筹措、建设外环境协调享有知情权，在项目建设过程中负责起草、参与洽商或审核项目参建合同。</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  对工程设计中的技术问题，按照安全和优化的原则，向设计人提出建议，如果拟提出的建议可能会提高工程造价，或延长工期，应当事先征得委托人的同意。当发现工程设计不符合国家颁布的建设工程质量标准或设计合同约定的质量标准时，应当书面报告委托人并要求设计人更正。</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 组织监理或相关单位审批建设组织或技术方案（如工程施工组织设计和施工技术方案），按照兼顾质量、工期和投资、安全的原则，向相关参建方提出建议，并向委托人报告。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 主持各参建单位的组织协调，重要协调事项应当事先向委托人报告。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 征得委托人同意，有权通过监理实施或独立发布开工令、停工令、复工令,但应当事先向委托人报告。在涉及施工安全或人身健康等紧急情况下需要停工的，可先采取措施，事后向委托人报告。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 通过监理或独立行使对工程上使用的材料和施工质量的检验权。对于不符合设计要求和合同约定及国家质量标准的材料、构配件、设备，有权通知承包人停止使用；对于不符合规范和质量标准的工序、分部、分项工程和不安全施工作业，有权通知承包人停工整改、返工。承包人得到监理或工程咨询机构复工令后才能复工。</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 通过监理或独立行使对工程施工进度的检查、监督权，以及工程实际竣工日期提前或超过工程施工合同规定的竣工期限的签认权。</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 征得委托人同意，按参建合同，在合同约定的价格范围内，对参建单位工作进度款项支付的审核和签认权，以及参建合同结算的复核确认权。未经工程咨询负责人签字确认，委托人不支付参建单位款项。</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第二十四条 工程咨询人有权按工程咨询合同取得相应报酬及其他奖励或参与项目投资节余额提成。</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pacing w:line="360" w:lineRule="auto"/>
        <w:ind w:right="0" w:rightChars="0"/>
        <w:jc w:val="center"/>
        <w:outlineLvl w:val="1"/>
        <w:rPr>
          <w:rFonts w:hint="eastAsia" w:ascii="宋体" w:hAnsi="宋体" w:eastAsia="宋体" w:cs="宋体"/>
          <w:color w:val="auto"/>
          <w:sz w:val="22"/>
          <w:szCs w:val="22"/>
          <w:highlight w:val="none"/>
        </w:rPr>
      </w:pPr>
      <w:bookmarkStart w:id="488" w:name="_Toc27223"/>
      <w:r>
        <w:rPr>
          <w:rFonts w:hint="eastAsia" w:ascii="宋体" w:hAnsi="宋体" w:eastAsia="宋体" w:cs="宋体"/>
          <w:b/>
          <w:bCs/>
          <w:color w:val="auto"/>
          <w:sz w:val="22"/>
          <w:szCs w:val="22"/>
          <w:highlight w:val="none"/>
        </w:rPr>
        <w:t>第五章  委托人权利</w:t>
      </w:r>
      <w:bookmarkEnd w:id="488"/>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第二十五条 委托人有订立所有与项目有关合同的权利，对工程咨询人在建设过程中负责起草及参与洽商的项目参建合同拥有最终审定权。</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第二十六条 委托人有权对项目建设过程进行监督，有权对工程咨询人的工作计划、步骤等实施情况进行监督。</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第二十七条 委托人有对工程规模、设计标准、规划设计、生产工艺设计和设计使用功能要求的认定权，以及对工程设计变更的审批权。</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第二十八条 工程咨询人调换项目负责人须事先经委托人同意。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第二十九条 委托人有权要求工程咨询人提交业务范围内的专项报告。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第三十条 委托人有权要求工程咨询人更换不称职的工程咨询机构工作人员，有权就适应工程咨询需要提出增加工程咨询人员的合理要求。 </w:t>
      </w:r>
    </w:p>
    <w:p>
      <w:pPr>
        <w:spacing w:before="41" w:line="360" w:lineRule="auto"/>
        <w:ind w:right="0" w:rightChars="0"/>
        <w:jc w:val="center"/>
        <w:outlineLvl w:val="1"/>
        <w:rPr>
          <w:rFonts w:hint="eastAsia" w:ascii="宋体" w:hAnsi="宋体" w:eastAsia="宋体" w:cs="宋体"/>
          <w:b/>
          <w:bCs/>
          <w:color w:val="auto"/>
          <w:sz w:val="22"/>
          <w:szCs w:val="22"/>
          <w:highlight w:val="none"/>
        </w:rPr>
      </w:pPr>
      <w:bookmarkStart w:id="489" w:name="_Toc26479"/>
      <w:r>
        <w:rPr>
          <w:rFonts w:hint="eastAsia" w:ascii="宋体" w:hAnsi="宋体" w:eastAsia="宋体" w:cs="宋体"/>
          <w:b/>
          <w:bCs/>
          <w:color w:val="auto"/>
          <w:sz w:val="22"/>
          <w:szCs w:val="22"/>
          <w:highlight w:val="none"/>
        </w:rPr>
        <w:t>第六章  工程咨询人责任</w:t>
      </w:r>
      <w:bookmarkEnd w:id="489"/>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position w:val="-2"/>
          <w:sz w:val="22"/>
          <w:szCs w:val="22"/>
          <w:highlight w:val="none"/>
        </w:rPr>
        <w:t>第三十一条 工程咨询人应当履行工程咨询合同约定的义务，对违反合同约定</w:t>
      </w:r>
      <w:r>
        <w:rPr>
          <w:rFonts w:hint="eastAsia" w:ascii="宋体" w:hAnsi="宋体" w:eastAsia="宋体" w:cs="宋体"/>
          <w:color w:val="auto"/>
          <w:sz w:val="22"/>
          <w:szCs w:val="22"/>
          <w:highlight w:val="none"/>
        </w:rPr>
        <w:t>或未适当履行合约且引发不良后果的行为，应视为违约，委托人可以从工程咨询报酬中扣除违约金。</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第三十二条 除因工程咨询人违约需承担违约罚金外，确因工程咨询人责任造成项目建设内容、建设规模、建设标准发生变化，致使工期延长、投资增加或其他经济损失的，工程咨询人应当向委托人赔偿。累计赔偿总额不应超过工程咨询报酬总额（除去税金）。</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第三十三条 工程咨询人对其他参建方违约或过失所影响建设质量、工期而造成委托人的经济损失，不承担直接经济责任。工程咨询人有权就因其他方原因造成的损失提出合理索赔，如果该索赔要求未能成立，则索赔提出方应补偿由该索赔给他方造成的各项费用支出和损失。</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第三十四条 因不可抗力导致工程咨询合同不能全部履行或部分履行，工程咨询人不承担责任，且就相关事项应积极组织各方协商解决。</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pacing w:line="360" w:lineRule="auto"/>
        <w:ind w:right="0" w:rightChars="0"/>
        <w:jc w:val="center"/>
        <w:outlineLvl w:val="1"/>
        <w:rPr>
          <w:rFonts w:hint="eastAsia" w:ascii="宋体" w:hAnsi="宋体" w:eastAsia="宋体" w:cs="宋体"/>
          <w:color w:val="auto"/>
          <w:sz w:val="22"/>
          <w:szCs w:val="22"/>
          <w:highlight w:val="none"/>
        </w:rPr>
      </w:pPr>
      <w:bookmarkStart w:id="490" w:name="_Toc30393"/>
      <w:r>
        <w:rPr>
          <w:rFonts w:hint="eastAsia" w:ascii="宋体" w:hAnsi="宋体" w:eastAsia="宋体" w:cs="宋体"/>
          <w:b/>
          <w:bCs/>
          <w:color w:val="auto"/>
          <w:sz w:val="22"/>
          <w:szCs w:val="22"/>
          <w:highlight w:val="none"/>
        </w:rPr>
        <w:t>第七章  委托人责任</w:t>
      </w:r>
      <w:bookmarkEnd w:id="490"/>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第三十五条 委托人应当履行工程咨询合同约定的义务，对违反合同约定或未适当履行合约且引发不良后果的行为，应视为违约，并承担相应的违约责任。</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第三十六条 委托人有权就工程咨询造成的损失提出索赔，如果该索赔要求未能成立，则索赔提出方应补偿由该索赔给他方造成的各项费用支出和损失。</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第三十七条 因不可抗力导致工程咨询合同不能全部履行或部分履行，委托人不承担责任，委托人就相关事项与工程咨询人进行协商解决。</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pacing w:line="360" w:lineRule="auto"/>
        <w:ind w:right="0" w:rightChars="0"/>
        <w:jc w:val="center"/>
        <w:outlineLvl w:val="1"/>
        <w:rPr>
          <w:rFonts w:hint="eastAsia" w:ascii="宋体" w:hAnsi="宋体" w:eastAsia="宋体" w:cs="宋体"/>
          <w:color w:val="auto"/>
          <w:sz w:val="22"/>
          <w:szCs w:val="22"/>
          <w:highlight w:val="none"/>
        </w:rPr>
      </w:pPr>
      <w:bookmarkStart w:id="491" w:name="_Toc6615"/>
      <w:r>
        <w:rPr>
          <w:rFonts w:hint="eastAsia" w:ascii="宋体" w:hAnsi="宋体" w:eastAsia="宋体" w:cs="宋体"/>
          <w:b/>
          <w:bCs/>
          <w:color w:val="auto"/>
          <w:sz w:val="22"/>
          <w:szCs w:val="22"/>
          <w:highlight w:val="none"/>
        </w:rPr>
        <w:t>第八章  合同生效、变更与终止</w:t>
      </w:r>
      <w:bookmarkEnd w:id="491"/>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第三十八条 本合同自工程咨询人向委托人提交履约担保、双方法定代表人签字或盖章并加盖公章后才正式生效。</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第三十九条 除不可抗力外，由于非工程咨询人的原因使项目建设管理工作受到阻碍或延误，以致发生了工作或延长了持续时间，则工程咨询人应当将此情况与其可能产生的影响及时通知委托人，完成工程咨询的时间相应延长，工程咨询人可要求附加工作报酬。</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第四十条 合同生效后，如果由于实际情况发生变化导致工程咨询人不能完成后续工作的或导致本合同无法继续履行的或导致继续履行无实际意义的，经协商，工程咨询人可暂停执行后续业务或经协商双方可终止合同。</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如暂停执行后续业务六个月后，工程咨询人有权提出解除合同。如暂停后续业 务超过三个月以上后又进行恢复服务的，其善后工作以及恢复准备工作应视为附加工作，委托人应按约定支付附加工作报酬。</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第四十一条 当工程咨询人未履行全部或部分工程咨询义务，而又无正当理由，委托人可发出警告直至解除合同，工程咨询人承担违约责任。</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第四十二条 当事人一方要求变更或解除合同时，应当在30日前以书面形式通知对方。在取得对方同意后，经双方协议变更或解除合同。因解除合同使对方遭受损失的，除依法可以免除责任的情况外，应由责任方负责赔偿。</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变更或解除合同的通知或协议必须采用书面形式，协议未达成之前，原合同仍然有效。</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第四十三条 当工程咨询人完成本合同约定的全部工作且委托人支付完所有工程咨询费用（包括正常工程咨询报酬、附加工作报酬、工作奖励或参与投资节余分成等）后，本合同即告终止。</w:t>
      </w:r>
    </w:p>
    <w:p>
      <w:pPr>
        <w:pageBreakBefore w:val="0"/>
        <w:topLinePunct w:val="0"/>
        <w:bidi w:val="0"/>
        <w:spacing w:line="360" w:lineRule="auto"/>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pPr>
        <w:spacing w:line="360" w:lineRule="auto"/>
        <w:ind w:right="0" w:rightChars="0"/>
        <w:jc w:val="center"/>
        <w:outlineLvl w:val="1"/>
        <w:rPr>
          <w:rFonts w:hint="eastAsia" w:ascii="宋体" w:hAnsi="宋体" w:eastAsia="宋体" w:cs="宋体"/>
          <w:color w:val="auto"/>
          <w:sz w:val="22"/>
          <w:szCs w:val="22"/>
          <w:highlight w:val="none"/>
        </w:rPr>
      </w:pPr>
      <w:bookmarkStart w:id="492" w:name="_Toc20348"/>
      <w:r>
        <w:rPr>
          <w:rFonts w:hint="eastAsia" w:ascii="宋体" w:hAnsi="宋体" w:eastAsia="宋体" w:cs="宋体"/>
          <w:b/>
          <w:bCs/>
          <w:color w:val="auto"/>
          <w:sz w:val="22"/>
          <w:szCs w:val="22"/>
          <w:highlight w:val="none"/>
        </w:rPr>
        <w:t>第九章  工程咨询报酬</w:t>
      </w:r>
      <w:bookmarkEnd w:id="492"/>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第四十四条 工程咨询报酬包括正常工程咨询报酬、附加工作报酬、工作奖励或参与投资节余分成等，除正常工程咨询报酬金额在工程咨询合同协议书内明确外，附加工作报酬、工作奖励或参与投资节余分成等计取条件与方式应由合同专用条件另行约定。</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第四十五条 委托人应按照工程咨询合同（含各专业合同）专用条件的约定方式、时间、分类、分期支付工程咨询报酬。工程咨询费的计算调整应在工程咨询合同（含各专业合同）专专用条件中约定。</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第四十六条 如果委托人在规定的支付期限内未支付工程咨询报酬，自规定之日起，还应当向工程咨询人支付滞纳金。滞纳金从规定支付期限最后一日起计算。</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第四十七条 支付工程咨询报酬所采用的货币币种、汇率由合同专用条件约定。</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第四十八条如果委托人对工程咨询人提交的支付通知书中报酬或部分报酬项目提出异议，应当在收到支付通知书后7天内与工程咨询人协商。 </w:t>
      </w:r>
    </w:p>
    <w:p>
      <w:pPr>
        <w:spacing w:before="34" w:line="360" w:lineRule="auto"/>
        <w:ind w:right="0" w:rightChars="0"/>
        <w:jc w:val="center"/>
        <w:outlineLvl w:val="9"/>
        <w:rPr>
          <w:rFonts w:hint="eastAsia" w:ascii="宋体" w:hAnsi="宋体" w:eastAsia="宋体" w:cs="宋体"/>
          <w:b/>
          <w:bCs/>
          <w:color w:val="auto"/>
          <w:sz w:val="22"/>
          <w:szCs w:val="22"/>
          <w:highlight w:val="none"/>
        </w:rPr>
      </w:pPr>
      <w:bookmarkStart w:id="493" w:name="_Toc23493"/>
    </w:p>
    <w:p>
      <w:pPr>
        <w:spacing w:before="34" w:line="360" w:lineRule="auto"/>
        <w:ind w:right="0" w:rightChars="0"/>
        <w:jc w:val="center"/>
        <w:outlineLvl w:val="1"/>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第十章  其他</w:t>
      </w:r>
      <w:bookmarkEnd w:id="493"/>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position w:val="-2"/>
          <w:sz w:val="22"/>
          <w:szCs w:val="22"/>
          <w:highlight w:val="none"/>
        </w:rPr>
        <w:t>第四十九条 经委托人同意，工程咨询人外出考察发生的费用由委托人审核后</w:t>
      </w:r>
      <w:r>
        <w:rPr>
          <w:rFonts w:hint="eastAsia" w:ascii="宋体" w:hAnsi="宋体" w:eastAsia="宋体" w:cs="宋体"/>
          <w:color w:val="auto"/>
          <w:sz w:val="22"/>
          <w:szCs w:val="22"/>
          <w:highlight w:val="none"/>
        </w:rPr>
        <w:t>支付。</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第五十条 委托人要求工程咨询人进行的，或根据相关规定应由委托人负责的材料、设备、工程实体检测所发生的费用，由委托人审核后支付。</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第五十一条 工程咨询人及其工程咨询机构成员不得接受本项目相关参建单位的任何非法报酬或非法经济利益。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第五十二条 在合同执行过程中引起的争议，应当协商解决，协商不成，应选择以下方式解决：</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（1）提交指定仲裁机构仲裁。</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（2）向项目建设所在地人民法院起诉。</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第五十三条  工程咨询履约担保按双方约定方式退还。</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第五十四条  工程咨询人应自行完成自有资质证书许可范围内的业务，在保证整个工程项目完整性的前提下，按照合同约定或经委托人同意，将其他咨询业务择优分包给具有相应资质的单位。分包单位按照分包合同的约定对工程咨询人负责，工程咨询人和分包单位就分包的其他咨询业务对委托人承担连带责任。</w:t>
      </w:r>
    </w:p>
    <w:p>
      <w:pP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br w:type="page"/>
      </w:r>
    </w:p>
    <w:p>
      <w:pPr>
        <w:pageBreakBefore w:val="0"/>
        <w:widowControl/>
        <w:topLinePunct w:val="0"/>
        <w:bidi w:val="0"/>
        <w:spacing w:line="360" w:lineRule="auto"/>
        <w:ind w:left="0" w:leftChars="0" w:right="0" w:rightChars="0"/>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第二部分  专用条件</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本合同适用的法律依据：</w:t>
      </w:r>
      <w:r>
        <w:rPr>
          <w:rFonts w:hint="eastAsia" w:ascii="宋体" w:hAnsi="宋体" w:eastAsia="宋体" w:cs="宋体"/>
          <w:color w:val="auto"/>
          <w:sz w:val="22"/>
          <w:szCs w:val="22"/>
          <w:highlight w:val="none"/>
          <w:u w:val="single" w:color="000000"/>
        </w:rPr>
        <w:t>指国家的法律、法规、规章和工程所在地的地方性法规、规章</w:t>
      </w:r>
      <w:r>
        <w:rPr>
          <w:rFonts w:hint="eastAsia" w:ascii="宋体" w:hAnsi="宋体" w:eastAsia="宋体" w:cs="宋体"/>
          <w:color w:val="auto"/>
          <w:sz w:val="22"/>
          <w:szCs w:val="22"/>
          <w:highlight w:val="none"/>
        </w:rPr>
        <w:t xml:space="preserve">。 </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 xml:space="preserve"> 工程咨询人应按工程咨询合同约定向委托人提交履约提保，履约担保的提交形式及提交时间约定为：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（1）形式：银行转账、银行保函或工程保证保险</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（2）提交时间：合同签订前。</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本合同工程全过程造价咨询服务费合同暂定价：</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万元，监理费合同暂定价：</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万元。</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（3）履约担保金额：合同暂定总价的5%提交，金额为 </w:t>
      </w:r>
      <w:r>
        <w:rPr>
          <w:rFonts w:hint="eastAsia" w:ascii="宋体" w:hAnsi="宋体" w:eastAsia="宋体" w:cs="宋体"/>
          <w:color w:val="auto"/>
          <w:sz w:val="22"/>
          <w:szCs w:val="22"/>
          <w:highlight w:val="none"/>
          <w:lang w:val="en-US" w:eastAsia="zh-CN"/>
        </w:rPr>
        <w:t xml:space="preserve"> </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万元。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（4）银行保函必须为中国境内的中国银行、建设银行、工商银行、农业银行或广东省行政区域内具有办理保函业务资格的国有控股担保公司或其他商业银行提供。</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（5）保证保险具体按照《关于在全市房屋建筑和市政基础设施工程开展建设工程保证保险有关工作的通知》（江建函〔2018〕1343 号）的要求执行；开具保证保险的保险公司必须为中国境内的具有办理保险业务资格的国有控股保险公司。</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（6）履约担保由联合体牵头单位提交。</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7）保函或保险期间应能覆盖项目合同实施过程，若投保人合同义务在保险期间内尚未实际履行完毕，投保人应当在保险合同载明的保险终止日前向保险公司申请延长保险期间；在保险合同约定的有效期届满之前，除因合同终止执行外，投保人不得随意解除保险合同。</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第六条</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工程咨询人的项目负责人明确为：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，工程咨询人向委托人报送资料、报告工程咨询工作要求为：</w:t>
      </w:r>
      <w:r>
        <w:rPr>
          <w:rFonts w:hint="eastAsia" w:ascii="宋体" w:hAnsi="宋体" w:eastAsia="宋体" w:cs="宋体"/>
          <w:color w:val="auto"/>
          <w:sz w:val="22"/>
          <w:szCs w:val="22"/>
          <w:highlight w:val="none"/>
          <w:u w:val="single" w:color="000000"/>
        </w:rPr>
        <w:t>向委托人提交委派的项目负责人及工程咨询机构主要成员名单，并提交工程咨询业务成果文件</w:t>
      </w:r>
      <w:r>
        <w:rPr>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第八条资金使用计划要求为：</w:t>
      </w:r>
      <w:r>
        <w:rPr>
          <w:rFonts w:hint="eastAsia" w:ascii="宋体" w:hAnsi="宋体" w:eastAsia="宋体" w:cs="宋体"/>
          <w:color w:val="auto"/>
          <w:sz w:val="22"/>
          <w:szCs w:val="22"/>
          <w:highlight w:val="none"/>
          <w:u w:val="single" w:color="000000"/>
        </w:rPr>
        <w:t>工程咨询人应根据项目进度需要，向委托人提供资金使用计划</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第十二条 在工程咨询工作完成或中止时，工程咨询人移交委托人提供的设施和剩余的物品的时间和方式为：</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第十六条  委托人为工程咨询工作提供条件：</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第十九条  委托人授权常驻代表及授权：</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第二十条</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委托人对工程咨询请示、申请、计划与报告的审批或作出决定，其形式及主要内容明确为：</w:t>
      </w:r>
      <w:r>
        <w:rPr>
          <w:rFonts w:hint="eastAsia" w:ascii="宋体" w:hAnsi="宋体" w:eastAsia="宋体" w:cs="宋体"/>
          <w:color w:val="auto"/>
          <w:sz w:val="22"/>
          <w:szCs w:val="22"/>
          <w:highlight w:val="none"/>
          <w:u w:val="single"/>
        </w:rPr>
        <w:t xml:space="preserve"> 委托人同意在</w:t>
      </w:r>
      <w:r>
        <w:rPr>
          <w:rFonts w:hint="eastAsia" w:ascii="宋体" w:hAnsi="宋体" w:eastAsia="宋体" w:cs="宋体"/>
          <w:color w:val="auto"/>
          <w:sz w:val="22"/>
          <w:szCs w:val="22"/>
          <w:highlight w:val="none"/>
          <w:u w:val="single"/>
          <w:lang w:val="en-US" w:eastAsia="zh-CN"/>
        </w:rPr>
        <w:t>工程咨询人提交书面要求之日起的</w:t>
      </w:r>
      <w:r>
        <w:rPr>
          <w:rFonts w:hint="eastAsia" w:ascii="宋体" w:hAnsi="宋体" w:eastAsia="宋体" w:cs="宋体"/>
          <w:color w:val="auto"/>
          <w:sz w:val="22"/>
          <w:szCs w:val="22"/>
          <w:highlight w:val="none"/>
          <w:u w:val="single"/>
        </w:rPr>
        <w:t xml:space="preserve">5天内，对咨询人书面提交要求做出决定的事宜给予书面答复 </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第二十一条 工程咨询人在委托人委托工程咨询范围内，享有以下权利：</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 选择参建单位的建议权。</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 关注项目进展，应委托人所需，对项目建设资金筹措、建设外环境协调享有知情权，在项目建设过程中负责起草、参与洽商或审核项目参建合同。</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  征得委托人同意，有权通过监理实施发布开工令、停工令、复工令,但应当事先向委托人报告。在涉及施工安全或人身健康等紧急情况下需要停工的，可先采取措施，事后向委托人报告。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 通过监理或独立行使对工程上使用的材料和施工质量的检验权。对于不符合设计要求和合同约定及国家质量标准的材料、构配件、设备，有权</w:t>
      </w:r>
      <w:r>
        <w:rPr>
          <w:rFonts w:hint="eastAsia" w:ascii="宋体" w:hAnsi="宋体" w:eastAsia="宋体" w:cs="宋体"/>
          <w:color w:val="auto"/>
          <w:sz w:val="22"/>
          <w:szCs w:val="22"/>
          <w:highlight w:val="none"/>
          <w:lang w:val="en-US" w:eastAsia="zh-CN"/>
        </w:rPr>
        <w:t>通过监理</w:t>
      </w:r>
      <w:r>
        <w:rPr>
          <w:rFonts w:hint="eastAsia" w:ascii="宋体" w:hAnsi="宋体" w:eastAsia="宋体" w:cs="宋体"/>
          <w:color w:val="auto"/>
          <w:sz w:val="22"/>
          <w:szCs w:val="22"/>
          <w:highlight w:val="none"/>
        </w:rPr>
        <w:t>通知承包人停止使用；对于不符合规范和质量标准的工序、分部、分项工程和不安全施工作业，有权</w:t>
      </w:r>
      <w:r>
        <w:rPr>
          <w:rFonts w:hint="eastAsia" w:ascii="宋体" w:hAnsi="宋体" w:eastAsia="宋体" w:cs="宋体"/>
          <w:color w:val="auto"/>
          <w:sz w:val="22"/>
          <w:szCs w:val="22"/>
          <w:highlight w:val="none"/>
          <w:lang w:val="en-US" w:eastAsia="zh-CN"/>
        </w:rPr>
        <w:t>通过监理</w:t>
      </w:r>
      <w:r>
        <w:rPr>
          <w:rFonts w:hint="eastAsia" w:ascii="宋体" w:hAnsi="宋体" w:eastAsia="宋体" w:cs="宋体"/>
          <w:color w:val="auto"/>
          <w:sz w:val="22"/>
          <w:szCs w:val="22"/>
          <w:highlight w:val="none"/>
        </w:rPr>
        <w:t>通知承包人停工整改、返工。承包人得到监理或</w:t>
      </w:r>
      <w:r>
        <w:rPr>
          <w:rFonts w:hint="eastAsia" w:ascii="宋体" w:hAnsi="宋体" w:eastAsia="宋体" w:cs="宋体"/>
          <w:color w:val="auto"/>
          <w:sz w:val="22"/>
          <w:szCs w:val="22"/>
          <w:highlight w:val="none"/>
          <w:lang w:val="en-US" w:eastAsia="zh-CN"/>
        </w:rPr>
        <w:t>委托人</w:t>
      </w:r>
      <w:r>
        <w:rPr>
          <w:rFonts w:hint="eastAsia" w:ascii="宋体" w:hAnsi="宋体" w:eastAsia="宋体" w:cs="宋体"/>
          <w:color w:val="auto"/>
          <w:sz w:val="22"/>
          <w:szCs w:val="22"/>
          <w:highlight w:val="none"/>
        </w:rPr>
        <w:t>复工令后才能复工。</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 通过监理使对工程施工进度的检查、监督权，以及工程实际竣工日期提前或超过工程施工合同规定的竣工期限的签认权。</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 征得委托人同意，按参建合同，在合同约定的价格范围内，对参建单位工作进度款项支付的审核和签认权，以及参建合同结算的复核确认权。未经工程咨询负责人签字确认，委托人不支付参建单位款项。</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 对工程设计中的技术问题，按照安全和优化的原则，向设计人提出建议，如果拟提出的建议可能会提高工程造价，或延长工期，应当事先征得委托人的同意。当发现工程设计不符合国家颁布的建设工程质量标准或设计合同约定的质量标准时，应当书面报告委托人并要求设计人更正。</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组织相关单位审批建设组织或技术方案（如工程施工组织设计和施工技术方案），按照兼顾质量、工期和投资、安全的原则，向相关参建方提出建议，并向委托人报告。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 主持各参建单位的组织协调，重要协调事项应当事先向委托人报告。</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第三十一条 因工程咨询人违约，应承担违约责任：</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赔偿委托人经济损失（包括但不限于委托主张权利而支付的律师费、交通费、诉讼保全担保费等），并按专业咨询服务合同约定承担相应的违约责任</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lang w:val="en-US" w:eastAsia="zh-CN"/>
        </w:rPr>
        <w:t>若工程咨询人为联合的，联合体成员就各自履行专业咨询服务合同产生的违约责任互相承担连带责任）</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第三十二条 因工程咨询人责任赔偿：</w:t>
      </w:r>
      <w:r>
        <w:rPr>
          <w:rFonts w:hint="eastAsia" w:ascii="宋体" w:hAnsi="宋体" w:eastAsia="宋体" w:cs="宋体"/>
          <w:color w:val="auto"/>
          <w:sz w:val="22"/>
          <w:szCs w:val="22"/>
          <w:highlight w:val="none"/>
          <w:u w:val="single" w:color="000000"/>
        </w:rPr>
        <w:t>详见相关专业咨询服务合同相应条款</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第四十四条 附加工作报酬、工作奖励或参与投资节余分成计取条件与方式分别为：</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□附加工作报酬：</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□工作奖励：</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□投资节余分成:</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第四十五条 委托人同意按以下方式、时间、分类、分期分批支付工程咨询报酬：</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rPr>
        <w:t>。工程咨询费结算的计算调整约定为：</w:t>
      </w:r>
      <w:r>
        <w:rPr>
          <w:rFonts w:hint="eastAsia" w:ascii="宋体" w:hAnsi="宋体" w:eastAsia="宋体" w:cs="宋体"/>
          <w:color w:val="auto"/>
          <w:sz w:val="22"/>
          <w:szCs w:val="22"/>
          <w:highlight w:val="none"/>
          <w:u w:val="single"/>
        </w:rPr>
        <w:t xml:space="preserve"> / 。</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第四十七条 支付工程咨询报酬所采用的货币币种、汇率约定为</w:t>
      </w:r>
      <w:r>
        <w:rPr>
          <w:rFonts w:hint="eastAsia" w:ascii="宋体" w:hAnsi="宋体" w:eastAsia="宋体" w:cs="宋体"/>
          <w:color w:val="auto"/>
          <w:sz w:val="22"/>
          <w:szCs w:val="22"/>
          <w:highlight w:val="none"/>
          <w:u w:val="single"/>
        </w:rPr>
        <w:t xml:space="preserve">  人民币 </w:t>
      </w:r>
      <w:r>
        <w:rPr>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第五十二条  争议协商不成的解决方式：</w:t>
      </w:r>
      <w:r>
        <w:rPr>
          <w:rFonts w:hint="eastAsia" w:ascii="宋体" w:hAnsi="宋体" w:eastAsia="宋体" w:cs="宋体"/>
          <w:snapToGrid w:val="0"/>
          <w:color w:val="auto"/>
          <w:sz w:val="22"/>
          <w:szCs w:val="22"/>
          <w:highlight w:val="none"/>
        </w:rPr>
        <w:t>向</w:t>
      </w:r>
      <w:r>
        <w:rPr>
          <w:rFonts w:hint="eastAsia" w:ascii="宋体" w:hAnsi="宋体" w:eastAsia="宋体" w:cs="宋体"/>
          <w:snapToGrid w:val="0"/>
          <w:color w:val="auto"/>
          <w:sz w:val="22"/>
          <w:szCs w:val="22"/>
          <w:highlight w:val="none"/>
          <w:u w:val="single"/>
          <w:lang w:val="en-US" w:eastAsia="zh-CN"/>
        </w:rPr>
        <w:t xml:space="preserve"> </w:t>
      </w:r>
      <w:r>
        <w:rPr>
          <w:rFonts w:hint="eastAsia" w:ascii="宋体" w:hAnsi="宋体" w:eastAsia="宋体" w:cs="宋体"/>
          <w:b/>
          <w:bCs/>
          <w:snapToGrid w:val="0"/>
          <w:color w:val="auto"/>
          <w:sz w:val="22"/>
          <w:szCs w:val="22"/>
          <w:highlight w:val="none"/>
          <w:u w:val="single"/>
          <w:lang w:val="en-US" w:eastAsia="zh-CN"/>
        </w:rPr>
        <w:t>委托人所在地有管辖权的</w:t>
      </w:r>
      <w:r>
        <w:rPr>
          <w:rFonts w:hint="eastAsia" w:ascii="宋体" w:hAnsi="宋体" w:eastAsia="宋体" w:cs="宋体"/>
          <w:snapToGrid w:val="0"/>
          <w:color w:val="auto"/>
          <w:sz w:val="22"/>
          <w:szCs w:val="22"/>
          <w:highlight w:val="none"/>
          <w:u w:val="single"/>
          <w:lang w:val="en-US" w:eastAsia="zh-CN"/>
        </w:rPr>
        <w:t xml:space="preserve"> </w:t>
      </w:r>
      <w:r>
        <w:rPr>
          <w:rFonts w:hint="eastAsia" w:ascii="宋体" w:hAnsi="宋体" w:eastAsia="宋体" w:cs="宋体"/>
          <w:snapToGrid w:val="0"/>
          <w:color w:val="auto"/>
          <w:sz w:val="22"/>
          <w:szCs w:val="22"/>
          <w:highlight w:val="none"/>
        </w:rPr>
        <w:t>人民法院提起诉讼</w:t>
      </w:r>
      <w:r>
        <w:rPr>
          <w:rFonts w:hint="eastAsia" w:ascii="宋体" w:hAnsi="宋体" w:eastAsia="宋体" w:cs="宋体"/>
          <w:color w:val="auto"/>
          <w:sz w:val="22"/>
          <w:szCs w:val="22"/>
          <w:highlight w:val="none"/>
        </w:rPr>
        <w:t>。</w:t>
      </w:r>
    </w:p>
    <w:p>
      <w:pPr>
        <w:spacing w:line="360" w:lineRule="auto"/>
        <w:outlineLvl w:val="9"/>
        <w:rPr>
          <w:rFonts w:hint="eastAsia" w:ascii="宋体" w:hAnsi="宋体" w:eastAsia="宋体" w:cs="宋体"/>
          <w:color w:val="auto"/>
          <w:sz w:val="22"/>
          <w:szCs w:val="22"/>
          <w:highlight w:val="none"/>
        </w:rPr>
      </w:pPr>
    </w:p>
    <w:p>
      <w:pPr>
        <w:pStyle w:val="22"/>
        <w:pageBreakBefore w:val="0"/>
        <w:topLinePunct w:val="0"/>
        <w:bidi w:val="0"/>
        <w:spacing w:after="0" w:line="360" w:lineRule="auto"/>
        <w:ind w:left="0" w:leftChars="0" w:right="0" w:rightChars="0" w:firstLine="0" w:firstLineChars="0"/>
        <w:rPr>
          <w:rFonts w:hint="eastAsia" w:ascii="宋体" w:hAnsi="宋体" w:eastAsia="宋体" w:cs="宋体"/>
          <w:color w:val="auto"/>
          <w:sz w:val="22"/>
          <w:szCs w:val="22"/>
          <w:highlight w:val="none"/>
        </w:rPr>
      </w:pPr>
    </w:p>
    <w:p>
      <w:pPr>
        <w:pageBreakBefore w:val="0"/>
        <w:widowControl/>
        <w:topLinePunct w:val="0"/>
        <w:bidi w:val="0"/>
        <w:spacing w:line="360" w:lineRule="auto"/>
        <w:ind w:left="0" w:leftChars="0" w:right="0" w:rightChars="0"/>
        <w:rPr>
          <w:rFonts w:hint="eastAsia" w:ascii="宋体" w:hAnsi="宋体" w:eastAsia="宋体" w:cs="宋体"/>
          <w:color w:val="auto"/>
          <w:position w:val="-2"/>
          <w:sz w:val="22"/>
          <w:szCs w:val="22"/>
          <w:highlight w:val="none"/>
        </w:rPr>
      </w:pPr>
    </w:p>
    <w:p>
      <w:pPr>
        <w:pageBreakBefore w:val="0"/>
        <w:topLinePunct w:val="0"/>
        <w:bidi w:val="0"/>
        <w:spacing w:line="360" w:lineRule="auto"/>
        <w:ind w:left="0" w:leftChars="0" w:right="0" w:rightChars="0"/>
        <w:jc w:val="center"/>
        <w:rPr>
          <w:rStyle w:val="50"/>
          <w:rFonts w:hint="eastAsia" w:ascii="宋体" w:hAnsi="宋体" w:eastAsia="宋体" w:cs="宋体"/>
          <w:b/>
          <w:bCs/>
          <w:color w:val="auto"/>
          <w:sz w:val="22"/>
          <w:szCs w:val="22"/>
          <w:highlight w:val="none"/>
        </w:rPr>
      </w:pPr>
    </w:p>
    <w:p>
      <w:pPr>
        <w:pStyle w:val="22"/>
        <w:pageBreakBefore w:val="0"/>
        <w:topLinePunct w:val="0"/>
        <w:bidi w:val="0"/>
        <w:spacing w:after="0" w:line="360" w:lineRule="auto"/>
        <w:ind w:left="0" w:leftChars="0" w:right="0" w:rightChars="0" w:firstLine="1072"/>
        <w:rPr>
          <w:rStyle w:val="50"/>
          <w:rFonts w:hint="eastAsia" w:ascii="宋体" w:hAnsi="宋体" w:eastAsia="宋体" w:cs="宋体"/>
          <w:b/>
          <w:bCs/>
          <w:color w:val="auto"/>
          <w:sz w:val="22"/>
          <w:szCs w:val="22"/>
          <w:highlight w:val="none"/>
        </w:rPr>
      </w:pPr>
    </w:p>
    <w:p>
      <w:pPr>
        <w:pStyle w:val="22"/>
        <w:pageBreakBefore w:val="0"/>
        <w:topLinePunct w:val="0"/>
        <w:bidi w:val="0"/>
        <w:spacing w:after="0" w:line="360" w:lineRule="auto"/>
        <w:ind w:left="0" w:leftChars="0" w:right="0" w:rightChars="0" w:firstLine="1072"/>
        <w:rPr>
          <w:rStyle w:val="50"/>
          <w:rFonts w:hint="eastAsia" w:ascii="宋体" w:hAnsi="宋体" w:eastAsia="宋体" w:cs="宋体"/>
          <w:b/>
          <w:bCs/>
          <w:color w:val="auto"/>
          <w:sz w:val="22"/>
          <w:szCs w:val="22"/>
          <w:highlight w:val="none"/>
        </w:rPr>
      </w:pPr>
    </w:p>
    <w:p>
      <w:pPr>
        <w:pageBreakBefore w:val="0"/>
        <w:topLinePunct w:val="0"/>
        <w:bidi w:val="0"/>
        <w:spacing w:line="360" w:lineRule="auto"/>
        <w:ind w:left="0" w:leftChars="0" w:right="0" w:rightChars="0"/>
        <w:rPr>
          <w:rStyle w:val="50"/>
          <w:rFonts w:hint="eastAsia" w:ascii="宋体" w:hAnsi="宋体" w:eastAsia="宋体" w:cs="宋体"/>
          <w:b/>
          <w:bCs/>
          <w:color w:val="auto"/>
          <w:sz w:val="22"/>
          <w:szCs w:val="22"/>
          <w:highlight w:val="none"/>
        </w:rPr>
      </w:pPr>
      <w:r>
        <w:rPr>
          <w:rStyle w:val="50"/>
          <w:rFonts w:hint="eastAsia" w:ascii="宋体" w:hAnsi="宋体" w:eastAsia="宋体" w:cs="宋体"/>
          <w:b/>
          <w:bCs/>
          <w:color w:val="auto"/>
          <w:sz w:val="22"/>
          <w:szCs w:val="22"/>
          <w:highlight w:val="none"/>
        </w:rPr>
        <w:br w:type="page"/>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outlineLvl w:val="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建设工程监理合同</w:t>
      </w:r>
    </w:p>
    <w:p>
      <w:pPr>
        <w:pStyle w:val="51"/>
        <w:keepNext/>
        <w:keepLines/>
        <w:pageBreakBefore w:val="0"/>
        <w:widowControl w:val="0"/>
        <w:kinsoku/>
        <w:wordWrap/>
        <w:overflowPunct/>
        <w:topLinePunct w:val="0"/>
        <w:autoSpaceDE w:val="0"/>
        <w:autoSpaceDN w:val="0"/>
        <w:bidi w:val="0"/>
        <w:adjustRightInd w:val="0"/>
        <w:snapToGrid/>
        <w:spacing w:before="0" w:after="0" w:line="360" w:lineRule="auto"/>
        <w:ind w:left="0" w:leftChars="0" w:right="0" w:rightChars="0"/>
        <w:jc w:val="center"/>
        <w:textAlignment w:val="auto"/>
        <w:outlineLvl w:val="1"/>
        <w:rPr>
          <w:rStyle w:val="50"/>
          <w:rFonts w:hint="eastAsia" w:ascii="宋体" w:hAnsi="宋体" w:eastAsia="宋体" w:cs="宋体"/>
          <w:color w:val="auto"/>
          <w:sz w:val="22"/>
          <w:szCs w:val="22"/>
          <w:highlight w:val="none"/>
        </w:rPr>
      </w:pPr>
      <w:bookmarkStart w:id="494" w:name="_Toc10020"/>
      <w:r>
        <w:rPr>
          <w:rStyle w:val="50"/>
          <w:rFonts w:hint="eastAsia" w:ascii="宋体" w:hAnsi="宋体" w:eastAsia="宋体" w:cs="宋体"/>
          <w:color w:val="auto"/>
          <w:sz w:val="22"/>
          <w:szCs w:val="22"/>
          <w:highlight w:val="none"/>
        </w:rPr>
        <w:t>第一部分  通用条件</w:t>
      </w:r>
      <w:bookmarkEnd w:id="494"/>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1. 定义与解释</w:t>
      </w:r>
    </w:p>
    <w:p>
      <w:pPr>
        <w:pageBreakBefore w:val="0"/>
        <w:topLinePunct w:val="0"/>
        <w:bidi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1.1 </w:t>
      </w:r>
      <w:r>
        <w:rPr>
          <w:rStyle w:val="50"/>
          <w:rFonts w:hint="eastAsia" w:ascii="宋体" w:hAnsi="宋体" w:eastAsia="宋体" w:cs="宋体"/>
          <w:bCs/>
          <w:color w:val="auto"/>
          <w:sz w:val="22"/>
          <w:szCs w:val="22"/>
          <w:highlight w:val="none"/>
        </w:rPr>
        <w:t>定义</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除根据上下文另有其意义外，组成本合同的全部文件中的下列名词和用语应具有本款所赋予的含义：</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 “工程”是指按照本合同约定实施监理与相关服务的建设工程。</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1.1.2 “委托人”是指本合同中委托监理与相关服务的一方，及其合法的继承人或受让人。</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1.1.3 “监理人”是指本合同中提供监理与相关服务的一方，及其合法的继承人。</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1.1.4 “承包人”是指在工程范围内与委托人签订勘察、设计、施工等有关合同的当事人，及其合法的继承人。</w:t>
      </w:r>
    </w:p>
    <w:p>
      <w:pPr>
        <w:pageBreakBefore w:val="0"/>
        <w:topLinePunct w:val="0"/>
        <w:bidi w:val="0"/>
        <w:spacing w:line="360" w:lineRule="auto"/>
        <w:ind w:left="0" w:leftChars="0" w:right="0" w:rightChars="0" w:firstLine="57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1.1.5 “监理”是指监理人受委托人的委托，依照法律法规、工程建设标准、勘察设计文件及合同，在施工阶段对建设工程质量、进度、造价进行控制，对合同、信息进行管理，对工程建设相关方的关系进行协调，并履行建设工程安全生产管理法定职责的服务活动。</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1.1.6 “相关服务”是指监理人受委托人的委托，按照本合同约定，在勘察、设计、保修等阶段提供的服务活动。</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1.1.7 “正常工作”指本合同订立时通用条件和专用条件中约定的监理人的工作。</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1.1.8 “附加工作”是指本合同约定的正常工作以外监理人的工作。</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1.1.9 “项目监理机构”是指监理人派驻工程负责履行本合同的组织机构。</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1.1.10 “总监理工程师”是指由监理人的法定代表人书面授权，全面负责履行本合同、主持项目监理机构工作的注册监理工程师。</w:t>
      </w:r>
    </w:p>
    <w:p>
      <w:pPr>
        <w:pageBreakBefore w:val="0"/>
        <w:topLinePunct w:val="0"/>
        <w:bidi w:val="0"/>
        <w:snapToGrid w:val="0"/>
        <w:spacing w:line="360" w:lineRule="auto"/>
        <w:ind w:left="0" w:leftChars="0" w:right="0" w:rightChars="0" w:firstLine="435" w:firstLineChars="1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1.1.11 “酬金”是指监理人履行本合同义务，委托人按照本合同约定给付监理人的金额。</w:t>
      </w:r>
    </w:p>
    <w:p>
      <w:pPr>
        <w:pageBreakBefore w:val="0"/>
        <w:topLinePunct w:val="0"/>
        <w:bidi w:val="0"/>
        <w:snapToGrid w:val="0"/>
        <w:spacing w:line="360" w:lineRule="auto"/>
        <w:ind w:left="0" w:leftChars="0" w:right="0" w:rightChars="0" w:firstLine="435" w:firstLineChars="1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1.1.12 “正常工作</w:t>
      </w:r>
      <w:r>
        <w:rPr>
          <w:rStyle w:val="50"/>
          <w:rFonts w:hint="eastAsia" w:ascii="宋体" w:hAnsi="宋体" w:eastAsia="宋体" w:cs="宋体"/>
          <w:color w:val="auto"/>
          <w:kern w:val="0"/>
          <w:sz w:val="22"/>
          <w:szCs w:val="22"/>
          <w:highlight w:val="none"/>
        </w:rPr>
        <w:t>酬金”</w:t>
      </w:r>
      <w:r>
        <w:rPr>
          <w:rStyle w:val="50"/>
          <w:rFonts w:hint="eastAsia" w:ascii="宋体" w:hAnsi="宋体" w:eastAsia="宋体" w:cs="宋体"/>
          <w:color w:val="auto"/>
          <w:sz w:val="22"/>
          <w:szCs w:val="22"/>
          <w:highlight w:val="none"/>
        </w:rPr>
        <w:t>是指监理人完成正常工作，委托人应给付监理人并在协议书中载明的签约</w:t>
      </w:r>
      <w:r>
        <w:rPr>
          <w:rStyle w:val="50"/>
          <w:rFonts w:hint="eastAsia" w:ascii="宋体" w:hAnsi="宋体" w:eastAsia="宋体" w:cs="宋体"/>
          <w:color w:val="auto"/>
          <w:kern w:val="0"/>
          <w:sz w:val="22"/>
          <w:szCs w:val="22"/>
          <w:highlight w:val="none"/>
        </w:rPr>
        <w:t>酬金额</w:t>
      </w:r>
      <w:r>
        <w:rPr>
          <w:rStyle w:val="50"/>
          <w:rFonts w:hint="eastAsia" w:ascii="宋体" w:hAnsi="宋体" w:eastAsia="宋体" w:cs="宋体"/>
          <w:color w:val="auto"/>
          <w:sz w:val="22"/>
          <w:szCs w:val="22"/>
          <w:highlight w:val="none"/>
        </w:rPr>
        <w:t>。</w:t>
      </w:r>
    </w:p>
    <w:p>
      <w:pPr>
        <w:pageBreakBefore w:val="0"/>
        <w:topLinePunct w:val="0"/>
        <w:bidi w:val="0"/>
        <w:snapToGrid w:val="0"/>
        <w:spacing w:line="360" w:lineRule="auto"/>
        <w:ind w:left="0" w:leftChars="0" w:right="0" w:rightChars="0" w:firstLine="435" w:firstLineChars="1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1.1.13 “附加工作酬金”是指监理人完成附加工作，委托人应给付监理人的金额。</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1.1.14 “一方”是指委托人或监理人；“双方”是指委托人和监理人；“第三方”是指除委托人和监理人以外的有关方。</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1.1.15 “书面形式”是指合同书、信件和数据电文（包括电报、电传、传真、电子数据交换和电子邮件）等可以有形地表现所载内容的形式。</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1.1.16 “天”是指第一天零时至第二天零时的时间。</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1.1.17“月”是指按公历从一个月中任何一天开始的一个公历月时间。</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1.1.18 “不可抗力”是指委托人和监理人在订立本合同时不可预见，在工程施工过程中不可避免发生并不能克服的自然灾害和社会性突发事件，如地震、海啸、瘟疫、水灾、骚乱、暴动、战争、</w:t>
      </w:r>
      <w:r>
        <w:rPr>
          <w:rStyle w:val="50"/>
          <w:rFonts w:hint="eastAsia" w:ascii="宋体" w:hAnsi="宋体" w:eastAsia="宋体" w:cs="宋体"/>
          <w:color w:val="auto"/>
          <w:sz w:val="22"/>
          <w:szCs w:val="22"/>
          <w:highlight w:val="none"/>
          <w:lang w:val="en-US"/>
        </w:rPr>
        <w:t>政府及相关部门出台的相关文件、其它非双方当事人责任或原因造成的罢工、停工、爆炸、火灾等以及</w:t>
      </w:r>
      <w:r>
        <w:rPr>
          <w:rStyle w:val="50"/>
          <w:rFonts w:hint="eastAsia" w:ascii="宋体" w:hAnsi="宋体" w:eastAsia="宋体" w:cs="宋体"/>
          <w:color w:val="auto"/>
          <w:sz w:val="22"/>
          <w:szCs w:val="22"/>
          <w:highlight w:val="none"/>
        </w:rPr>
        <w:t>专用条件约定的其他情形。</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bCs/>
          <w:color w:val="auto"/>
          <w:sz w:val="22"/>
          <w:szCs w:val="22"/>
          <w:highlight w:val="none"/>
        </w:rPr>
        <w:t xml:space="preserve">1.2 </w:t>
      </w:r>
      <w:r>
        <w:rPr>
          <w:rStyle w:val="50"/>
          <w:rFonts w:hint="eastAsia" w:ascii="宋体" w:hAnsi="宋体" w:eastAsia="宋体" w:cs="宋体"/>
          <w:color w:val="auto"/>
          <w:sz w:val="22"/>
          <w:szCs w:val="22"/>
          <w:highlight w:val="none"/>
        </w:rPr>
        <w:t>解释</w:t>
      </w:r>
    </w:p>
    <w:p>
      <w:pPr>
        <w:pageBreakBefore w:val="0"/>
        <w:tabs>
          <w:tab w:val="left" w:pos="6140"/>
        </w:tabs>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1.2.1本合同使用中文书写、解释和说明。如专用条件约定使用两种及以上语言文字时，应以中文为准。</w:t>
      </w:r>
    </w:p>
    <w:p>
      <w:pPr>
        <w:pageBreakBefore w:val="0"/>
        <w:tabs>
          <w:tab w:val="left" w:pos="6140"/>
        </w:tabs>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1.2.2 组成本合同的下列文件彼此应能相互解释、互为说明。除专用条件另有约定外，本合同文件的解释顺序如下：</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（1）协议书；</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（2）中标通知书（适用于招标工程）或委托书（适用于非招标工程）；</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（3）专用条件及附录A、附录B；</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（4）通用条件；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（5）投标文件（适用于招标工程）或监理与相关服务建议书（适用于非招标工程）。</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双方签订的补充协议与其他文件发生矛盾或歧义时，属于同一类内容的文件，应以最新签署的为准。</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2. 监理人的义务</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2.1 监理的范围和工作内容</w:t>
      </w:r>
    </w:p>
    <w:p>
      <w:pPr>
        <w:pageBreakBefore w:val="0"/>
        <w:tabs>
          <w:tab w:val="left" w:pos="6140"/>
        </w:tabs>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2.1.1 监理范围在专用条件中约定。</w:t>
      </w:r>
    </w:p>
    <w:p>
      <w:pPr>
        <w:pageBreakBefore w:val="0"/>
        <w:tabs>
          <w:tab w:val="left" w:pos="6140"/>
        </w:tabs>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2.1.2 除专用条件另有约定外，监理工作内容包括：</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（1）收到工程设计文件后编制监理规划，并在第一次工地会议7天前报委托人。根据有关规定和监理工作需要，编制监理实施细则；</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（2）熟悉工程设计文件，并参加由委托人主持的图纸会审和设计交底会议；</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（3）参加由委托人主持的第一次工地会议；主持监理例会并根据工程需要主持或参加专题会议；</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（4）审查施工承包人提交的施工组织设计，重点审查其中的质量安全技术措施、专项施工方案与工程建设强制性标准的符合性；</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（5）检查施工承包人工程质量、安全生产管理制度及组织机构和人员资格； </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（6）检查施工承包人专职安全生产管理人员的配备情况；</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（7）审查施工承包人提交的施工进度计划，核查承包人对施工进度计划的调整；</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（8）检查施工承包人的试验室；</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（9）审核施工分包人资质条件；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（10）查验施工承包人的施工测量放线成果；</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（11）审查工程开工条件，对条件具备的签发开工令；</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（12）审查施工承包人报送的工程材料、构配件、设备质量证明文件的有效性和符合性，并按规定对用于工程的材料采取平行检验或见证取样方式进行抽检；</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（13）审核施工承包人提交的工程款支付申请，签发或出具工程款支付证书，并报委托人审核、批准；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（14）在巡视、旁站和检验过程中，发现工程质量、施工安全存在事故隐患的，要求施工承包人整改并报委托人；</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（15）经委托人同意，签发工程暂停令和复工令；</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（16）审查施工承包人提交的采用新材料、新工艺、新技术、新设备的论证材料及相关验收标准；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（17）验收隐蔽工程、分部分项工程；</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（18）审查施工承包人提交的工程变更申请，协调处理施工进度调整、费用索赔、合同争议等事项；</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（19）审查施工承包人提交的竣工验收申请，编写工程质量评估报告；</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（20）参加工程竣工验收，签署竣工验收意见；</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（21）审查施工承包人提交的竣工结算申请并报委托人；</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（22）编制、整理工程监理归档文件并报委托人。</w:t>
      </w:r>
    </w:p>
    <w:p>
      <w:pPr>
        <w:pageBreakBefore w:val="0"/>
        <w:topLinePunct w:val="0"/>
        <w:bidi w:val="0"/>
        <w:spacing w:line="360" w:lineRule="auto"/>
        <w:ind w:left="0" w:leftChars="0" w:right="0" w:rightChars="0" w:firstLine="110" w:firstLineChars="5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2.1.3 工程项目管理的相关工作 </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（1）项目管理组织</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（2）项目进度控制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（3）项目的质量控制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（4）项目的投资控制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（5）项目的信息管理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（6）项目的合同管理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（7）项目的组织协调</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（8）项目的安全及文明施工管理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（9）项目的风险控制与管理</w:t>
      </w:r>
    </w:p>
    <w:p>
      <w:pPr>
        <w:pageBreakBefore w:val="0"/>
        <w:tabs>
          <w:tab w:val="left" w:pos="6140"/>
        </w:tabs>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2.1.4 相关服务的范围和内容在附录A中约定。</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2.2 监理与相关服务依据</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2.2.1 监理依据包括：</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（1）适用的法律、行政法规及部门规章；</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（2）与工程有关的标准；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（3）工程设计及有关文件；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（4）本合同及委托人与第三方签订的与实施工程有关的其他合同。</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双方根据工程的行业和地域特点，在专用条件中具体约定监理依据。</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2.2.2 相关服务依据在专用条件中约定。</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2.3 项目监理机构和人员、主要工作设备</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2.3.1 监理人应组建满足工作需要的项目监理机构，配备必要的检测设备。项目监理机构的主要人员应具有相应的资格条件。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2.3.2</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本合同履行过程中，总监理工程师及重要岗位监理人员应保持相对稳定，以保证监理工作正常进行。</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2.3.3</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2.3.4 监理人应及时更换有下列情形之一的监理人员：</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（1）严重过失行为的；</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（2）有违法行为不能履行职责的；</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（3）涉嫌犯罪的；</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（4）不能胜任岗位职责的；</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（5）严重违反职业道德的；</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（6）专用条件约定的其他情形。</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2.3.5 委托人可要求监理人更换不能胜任本职工作的项目监理机构人员。</w:t>
      </w:r>
    </w:p>
    <w:p>
      <w:pPr>
        <w:pageBreakBefore w:val="0"/>
        <w:topLinePunct w:val="0"/>
        <w:bidi w:val="0"/>
        <w:spacing w:line="360" w:lineRule="auto"/>
        <w:ind w:left="0" w:leftChars="0" w:right="0" w:rightChars="0" w:firstLine="444" w:firstLineChars="202"/>
        <w:rPr>
          <w:rStyle w:val="50"/>
          <w:rFonts w:hint="eastAsia" w:ascii="宋体" w:hAnsi="宋体" w:eastAsia="宋体" w:cs="宋体"/>
          <w:b/>
          <w:bCs/>
          <w:color w:val="auto"/>
          <w:sz w:val="22"/>
          <w:szCs w:val="22"/>
          <w:highlight w:val="none"/>
        </w:rPr>
      </w:pPr>
      <w:r>
        <w:rPr>
          <w:rStyle w:val="50"/>
          <w:rFonts w:hint="eastAsia" w:ascii="宋体" w:hAnsi="宋体" w:eastAsia="宋体" w:cs="宋体"/>
          <w:color w:val="auto"/>
          <w:kern w:val="0"/>
          <w:sz w:val="22"/>
          <w:szCs w:val="22"/>
          <w:highlight w:val="none"/>
        </w:rPr>
        <w:t>2.3.6监理人应按投标承诺投入主要工作设备。</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2.4 履行职责</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监理人应遵循职业道德准则和行为规范，严格按照法律法规、工程建设有关标准及本合同履行职责。</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2.4.1 在监理与相关服务范围内，委托人和承包人提出的意见和要求，监理人应及时提出处置意见。当委托人与承包人之间发生合同争议时，监理人应协助委托人、承包人协商解决。</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2.4.2 当委托人与承包人之间的合同争议提交仲裁机构仲裁或人民法院审理时，监理人应提供必要的证明资料。</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2.4.3 监理人应在专用条件约定的授权范围内，处理委托人与承包人所签订合同的变更事宜。如果变更超过授权范围，应以书面形式报委托人批准。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在紧急情况下，为了保护财产和人身安全，监理人所发出的指令未能事先报委托人批准时，应在发出指令后的24小时内以书面形式报委托人。</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2.4.4 除专用条件另有约定外，监理人发现承包人的人员不能胜任本职工作的，有权要求承包人予以调换。</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2.5 提交报告</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监理人应按专用条件约定的种类、时间和份数向委托人提交监理与相关服务的报告。</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2.6 文件资料</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在本合同履行期内，监理人应在现场保留工作所用的图纸、报告及记录监理工</w:t>
      </w:r>
      <w:r>
        <w:rPr>
          <w:rStyle w:val="50"/>
          <w:rFonts w:hint="eastAsia" w:ascii="宋体" w:hAnsi="宋体" w:eastAsia="宋体" w:cs="宋体"/>
          <w:color w:val="auto"/>
          <w:sz w:val="22"/>
          <w:szCs w:val="22"/>
          <w:highlight w:val="none"/>
        </w:rPr>
        <w:t>作的相关文件。工程竣工后，应当按照档案管理规定将监理有关文件归档。</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2.7 使用委托人的财产</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3．委托人的义务</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3.1 告知</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委托人应在委托人与承包人签订的合同中明确监理人、总监理工程师和授予项目监理机构的权限。如有变更，应及时通知承包人。</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3.2 提供资料</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委托人应按照附录B约定，无偿向监理人提供工程有关的资料。</w:t>
      </w:r>
      <w:r>
        <w:rPr>
          <w:rStyle w:val="50"/>
          <w:rFonts w:hint="eastAsia" w:ascii="宋体" w:hAnsi="宋体" w:eastAsia="宋体" w:cs="宋体"/>
          <w:color w:val="auto"/>
          <w:sz w:val="22"/>
          <w:szCs w:val="22"/>
          <w:highlight w:val="none"/>
        </w:rPr>
        <w:t>在本合同履行过程中，委托人应及时向监理人提供最新的与工程有关的资料。</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3.3 提供工作条件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委托人应为监理人完成监理与相关服务提供必要的条件。</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 xml:space="preserve">3.3.1 </w:t>
      </w:r>
      <w:r>
        <w:rPr>
          <w:rStyle w:val="50"/>
          <w:rFonts w:hint="eastAsia" w:ascii="宋体" w:hAnsi="宋体" w:eastAsia="宋体" w:cs="宋体"/>
          <w:color w:val="auto"/>
          <w:sz w:val="22"/>
          <w:szCs w:val="22"/>
          <w:highlight w:val="none"/>
        </w:rPr>
        <w:t>委托人应按照附录B约定，派遣相应的人员，提供房屋、设备，供监理人</w:t>
      </w:r>
      <w:r>
        <w:rPr>
          <w:rStyle w:val="50"/>
          <w:rFonts w:hint="eastAsia" w:ascii="宋体" w:hAnsi="宋体" w:eastAsia="宋体" w:cs="宋体"/>
          <w:color w:val="auto"/>
          <w:kern w:val="0"/>
          <w:sz w:val="22"/>
          <w:szCs w:val="22"/>
          <w:highlight w:val="none"/>
        </w:rPr>
        <w:t>无偿</w:t>
      </w:r>
      <w:r>
        <w:rPr>
          <w:rStyle w:val="50"/>
          <w:rFonts w:hint="eastAsia" w:ascii="宋体" w:hAnsi="宋体" w:eastAsia="宋体" w:cs="宋体"/>
          <w:color w:val="auto"/>
          <w:sz w:val="22"/>
          <w:szCs w:val="22"/>
          <w:highlight w:val="none"/>
        </w:rPr>
        <w:t>使用。</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 xml:space="preserve">3.3.2 </w:t>
      </w:r>
      <w:r>
        <w:rPr>
          <w:rStyle w:val="50"/>
          <w:rFonts w:hint="eastAsia" w:ascii="宋体" w:hAnsi="宋体" w:eastAsia="宋体" w:cs="宋体"/>
          <w:color w:val="auto"/>
          <w:sz w:val="22"/>
          <w:szCs w:val="22"/>
          <w:highlight w:val="none"/>
        </w:rPr>
        <w:t>委托人应负责协调工程建设中所有外部关系，为监理人履行本合同提供必要的外部条件。</w:t>
      </w:r>
    </w:p>
    <w:p>
      <w:pPr>
        <w:pageBreakBefore w:val="0"/>
        <w:topLinePunct w:val="0"/>
        <w:bidi w:val="0"/>
        <w:snapToGrid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3.4 委托人代表</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委托人应授权一名熟悉工程情况的代表，负责与监理人联系。委托人应在双方签订本合同后7天内，将委托人代表的姓名和职责书面告知监理人。当委托人更换委托人代表时，应提前7天通知监理人。</w:t>
      </w:r>
    </w:p>
    <w:p>
      <w:pPr>
        <w:pageBreakBefore w:val="0"/>
        <w:topLinePunct w:val="0"/>
        <w:bidi w:val="0"/>
        <w:snapToGrid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3.5 委托人意见或要求</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在本合同约定的监理与相关服务工作范围内，委托人对承包人的任何意见或要求应通知监理人，由监理人向承包人发出相应指令。</w:t>
      </w:r>
    </w:p>
    <w:p>
      <w:pPr>
        <w:pageBreakBefore w:val="0"/>
        <w:topLinePunct w:val="0"/>
        <w:bidi w:val="0"/>
        <w:snapToGrid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3.6 答复</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委托人应在专用条件约定的时间内，对监理人以书面形式提交并要求作出决定的事宜，给予书面答复。逾期未答复的，视为委托人认可。</w:t>
      </w:r>
    </w:p>
    <w:p>
      <w:pPr>
        <w:pageBreakBefore w:val="0"/>
        <w:topLinePunct w:val="0"/>
        <w:bidi w:val="0"/>
        <w:snapToGrid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3.7 支付</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委托人应按本合同约定，向监理人支付酬金。</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4. 违约责任</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4.1 监理人的违约责任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监理人未履行本合同义务的，应承担相应的责任。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4.1.1 因监理人违反本合同约定</w:t>
      </w:r>
      <w:r>
        <w:rPr>
          <w:rStyle w:val="50"/>
          <w:rFonts w:hint="eastAsia" w:ascii="宋体" w:hAnsi="宋体" w:eastAsia="宋体" w:cs="宋体"/>
          <w:color w:val="auto"/>
          <w:sz w:val="22"/>
          <w:szCs w:val="22"/>
          <w:highlight w:val="none"/>
        </w:rPr>
        <w:t>给委托人造成损失的，监理人应当赔偿委托人损失</w:t>
      </w:r>
      <w:r>
        <w:rPr>
          <w:rStyle w:val="50"/>
          <w:rFonts w:hint="eastAsia" w:ascii="宋体" w:hAnsi="宋体" w:eastAsia="宋体" w:cs="宋体"/>
          <w:color w:val="auto"/>
          <w:kern w:val="0"/>
          <w:sz w:val="22"/>
          <w:szCs w:val="22"/>
          <w:highlight w:val="none"/>
        </w:rPr>
        <w:t>。赔偿金额的确定方法在专用条件中约定。监理人承担部分赔偿责任的，其承担赔偿金额由双方协商确定。</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4.1.2 监理人向委托人的索赔不成立时，监理人应赔偿委托人由此发生的费用。</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4.2 委托人的违约责任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委托人未履行本合同义务的，应承担相应的责任。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4.2.1 委托人违反本合同约定造成监理人损失的，委托人应予以赔偿。</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4.2.2 委托人向监理人的索赔不成立时，应赔偿监理人由此引起的费用。</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sz w:val="22"/>
          <w:szCs w:val="22"/>
          <w:highlight w:val="none"/>
        </w:rPr>
        <w:t xml:space="preserve">4.2.3 </w:t>
      </w:r>
      <w:r>
        <w:rPr>
          <w:rStyle w:val="50"/>
          <w:rFonts w:hint="eastAsia" w:ascii="宋体" w:hAnsi="宋体" w:eastAsia="宋体" w:cs="宋体"/>
          <w:color w:val="auto"/>
          <w:kern w:val="0"/>
          <w:sz w:val="22"/>
          <w:szCs w:val="22"/>
          <w:highlight w:val="none"/>
        </w:rPr>
        <w:t>委托人未能按期支付</w:t>
      </w:r>
      <w:r>
        <w:rPr>
          <w:rStyle w:val="50"/>
          <w:rFonts w:hint="eastAsia" w:ascii="宋体" w:hAnsi="宋体" w:eastAsia="宋体" w:cs="宋体"/>
          <w:color w:val="auto"/>
          <w:sz w:val="22"/>
          <w:szCs w:val="22"/>
          <w:highlight w:val="none"/>
        </w:rPr>
        <w:t>酬金</w:t>
      </w:r>
      <w:r>
        <w:rPr>
          <w:rStyle w:val="50"/>
          <w:rFonts w:hint="eastAsia" w:ascii="宋体" w:hAnsi="宋体" w:eastAsia="宋体" w:cs="宋体"/>
          <w:color w:val="auto"/>
          <w:kern w:val="0"/>
          <w:sz w:val="22"/>
          <w:szCs w:val="22"/>
          <w:highlight w:val="none"/>
        </w:rPr>
        <w:t>超过28天，应按专用条件约定支付逾期付款利息。</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4.3 除外责任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因非监理人的原因，且监理人无过错，发生工程质量事故、安全事故、工期延误等造成的损失，监理人不承担赔偿责任。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因不可抗力导致本合同全部或部分不能履行时，双方各自承担其因此而造成的损失、损害。</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5. 支付</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5.1 </w:t>
      </w:r>
      <w:r>
        <w:rPr>
          <w:rStyle w:val="50"/>
          <w:rFonts w:hint="eastAsia" w:ascii="宋体" w:hAnsi="宋体" w:eastAsia="宋体" w:cs="宋体"/>
          <w:bCs/>
          <w:color w:val="auto"/>
          <w:sz w:val="22"/>
          <w:szCs w:val="22"/>
          <w:highlight w:val="none"/>
        </w:rPr>
        <w:t>支付货币</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除专用条件另有约定外，酬金均以人民币支付。涉及外币支付的，所采用的货币种类、比例和汇率在专用条件中约定。</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5.2 支付申请</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监理人应在本合同约定的每次应付款时间的7天前，向委托人提交支付申请书。支付申请书应当说明当期应付款总额，并列出当期应支付的款项及其金额。</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5.3 支付酬金</w:t>
      </w:r>
    </w:p>
    <w:p>
      <w:pPr>
        <w:pageBreakBefore w:val="0"/>
        <w:topLinePunct w:val="0"/>
        <w:bidi w:val="0"/>
        <w:snapToGrid w:val="0"/>
        <w:spacing w:line="360" w:lineRule="auto"/>
        <w:ind w:left="0" w:leftChars="0" w:right="0" w:rightChars="0" w:firstLine="48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支付的酬金包括正常工作酬金、附加工作酬金、合理化建议奖励金额及费用。</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  5.4 </w:t>
      </w:r>
      <w:r>
        <w:rPr>
          <w:rStyle w:val="50"/>
          <w:rFonts w:hint="eastAsia" w:ascii="宋体" w:hAnsi="宋体" w:eastAsia="宋体" w:cs="宋体"/>
          <w:bCs/>
          <w:color w:val="auto"/>
          <w:sz w:val="22"/>
          <w:szCs w:val="22"/>
          <w:highlight w:val="none"/>
        </w:rPr>
        <w:t>有争议部分的付款</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委托人对监理人提交的支付申请书有异议时，应当在收到监理人提交的支付申请书后7天内，以书面形式向监理人发出异议通知。无异议部分的款项应按期支付，有异议部分的款项按第7条约定办理。</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6. 合同生效、变更、暂停、解除与终止</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6.1</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生效</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除法律另有规定或者专用条件另有约定外，委托人和监理人的法定代表人或其授权代理人在协议书上签字并盖单位章后本合同生效。</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6.2</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bCs/>
          <w:color w:val="auto"/>
          <w:sz w:val="22"/>
          <w:szCs w:val="22"/>
          <w:highlight w:val="none"/>
        </w:rPr>
        <w:t>变更</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6.2.1</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任何一方提出变更请求时，双方经协商一致后可进行变更。</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6.2.2</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6.2.3</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6.2.4</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合同签订后，遇有与工程相关的法律法规、标准颁布或修订的，双方应遵照执行。由此引起监理与相关服务的范围、时间、酬金变化的，双方应通过协商进行相应调整。</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6.2.5 因非监理人原因造成工程概算投资额或建筑安装工程费增加时，正常工作酬金应作相应调整。调整方法在专用条件中约定。</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6.2.6 因工程规模、监理范围的变化导致监理人的正常工作量减少时，正常工作酬金应作相应调整。调整方法在专用条件中约定。</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  6.3 暂停与</w:t>
      </w:r>
      <w:r>
        <w:rPr>
          <w:rStyle w:val="50"/>
          <w:rFonts w:hint="eastAsia" w:ascii="宋体" w:hAnsi="宋体" w:eastAsia="宋体" w:cs="宋体"/>
          <w:bCs/>
          <w:color w:val="auto"/>
          <w:sz w:val="22"/>
          <w:szCs w:val="22"/>
          <w:highlight w:val="none"/>
        </w:rPr>
        <w:t>解除</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除双方协商一致可以解除本合同外，当一方无正当理由未履行本合同约定的义务时，另一方可以根据本合同约定暂停履行本合同直至解除本合同。</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因解除本合同或解除监理人的部分义务导致监理人遭受的损失，除依法可以免除责任的情况外，应由委托人予以补偿，补偿金额由双方协商确定。</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解除本合同的协议必须采取书面形式，协议未达成之前，本合同仍然有效。</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w:t>
      </w:r>
      <w:r>
        <w:rPr>
          <w:rStyle w:val="50"/>
          <w:rFonts w:hint="eastAsia" w:ascii="宋体" w:hAnsi="宋体" w:eastAsia="宋体" w:cs="宋体"/>
          <w:color w:val="auto"/>
          <w:kern w:val="0"/>
          <w:sz w:val="22"/>
          <w:szCs w:val="22"/>
          <w:highlight w:val="none"/>
        </w:rPr>
        <w:t>的</w:t>
      </w:r>
      <w:r>
        <w:rPr>
          <w:rStyle w:val="50"/>
          <w:rFonts w:hint="eastAsia" w:ascii="宋体" w:hAnsi="宋体" w:eastAsia="宋体" w:cs="宋体"/>
          <w:color w:val="auto"/>
          <w:sz w:val="22"/>
          <w:szCs w:val="22"/>
          <w:highlight w:val="none"/>
        </w:rPr>
        <w:t>酬金支付至本合同解除日，且应承担第4.2款约定的责任。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w:t>
      </w:r>
      <w:r>
        <w:rPr>
          <w:rStyle w:val="50"/>
          <w:rFonts w:hint="eastAsia" w:ascii="宋体" w:hAnsi="宋体" w:eastAsia="宋体" w:cs="宋体"/>
          <w:color w:val="auto"/>
          <w:kern w:val="0"/>
          <w:sz w:val="22"/>
          <w:szCs w:val="22"/>
          <w:highlight w:val="none"/>
        </w:rPr>
        <w:t>的</w:t>
      </w:r>
      <w:r>
        <w:rPr>
          <w:rStyle w:val="50"/>
          <w:rFonts w:hint="eastAsia" w:ascii="宋体" w:hAnsi="宋体" w:eastAsia="宋体" w:cs="宋体"/>
          <w:color w:val="auto"/>
          <w:sz w:val="22"/>
          <w:szCs w:val="22"/>
          <w:highlight w:val="none"/>
        </w:rPr>
        <w:t>酬金支付至</w:t>
      </w:r>
      <w:r>
        <w:rPr>
          <w:rStyle w:val="50"/>
          <w:rFonts w:hint="eastAsia" w:ascii="宋体" w:hAnsi="宋体" w:eastAsia="宋体" w:cs="宋体"/>
          <w:color w:val="auto"/>
          <w:kern w:val="0"/>
          <w:sz w:val="22"/>
          <w:szCs w:val="22"/>
          <w:highlight w:val="none"/>
        </w:rPr>
        <w:t>限期改正通知到达监理人之日</w:t>
      </w:r>
      <w:r>
        <w:rPr>
          <w:rStyle w:val="50"/>
          <w:rFonts w:hint="eastAsia" w:ascii="宋体" w:hAnsi="宋体" w:eastAsia="宋体" w:cs="宋体"/>
          <w:color w:val="auto"/>
          <w:sz w:val="22"/>
          <w:szCs w:val="22"/>
          <w:highlight w:val="none"/>
        </w:rPr>
        <w:t>，但监理人应承担第4.1款约定的责任。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6.3.4 监理人在专用条件5.3中约定的支付之日起28天后仍未收到委托人按本合同约定应付的款项，可向委托人发出催付通知。委托人接到通知15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sz w:val="22"/>
          <w:szCs w:val="22"/>
          <w:highlight w:val="none"/>
        </w:rPr>
        <w:t>6.3.5 因不可抗力致使本合同部分或全部不能履行时，一方应立即通知另一方，可暂停或解除本合同。</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6.3.6 本合同解除后，本合同约定的有关结算、清理、争议解决方式的条件仍然有效。</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6.4 </w:t>
      </w:r>
      <w:r>
        <w:rPr>
          <w:rStyle w:val="50"/>
          <w:rFonts w:hint="eastAsia" w:ascii="宋体" w:hAnsi="宋体" w:eastAsia="宋体" w:cs="宋体"/>
          <w:bCs/>
          <w:color w:val="auto"/>
          <w:sz w:val="22"/>
          <w:szCs w:val="22"/>
          <w:highlight w:val="none"/>
        </w:rPr>
        <w:t>终止</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以下条件全部满足时，本合同即告终止：</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（1）监理人完成本合同约定的全部工作；</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（2）委托人与监理人结清并支付全部酬金。</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7. 争议解决</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7.1</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bCs/>
          <w:color w:val="auto"/>
          <w:sz w:val="22"/>
          <w:szCs w:val="22"/>
          <w:highlight w:val="none"/>
        </w:rPr>
        <w:t>协商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双方应本着诚信原则协商解决彼此间的争议。</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7.2</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bCs/>
          <w:color w:val="auto"/>
          <w:sz w:val="22"/>
          <w:szCs w:val="22"/>
          <w:highlight w:val="none"/>
        </w:rPr>
        <w:t>调解</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如果双方不能在14天内或双方商定的其他时间内解决本合同争议，可以将其提交给专用条件约定的或事后达成协议的调解人进行调解。</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7.3</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bCs/>
          <w:color w:val="auto"/>
          <w:sz w:val="22"/>
          <w:szCs w:val="22"/>
          <w:highlight w:val="none"/>
        </w:rPr>
        <w:t>仲裁或诉讼</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双方均有权不经调解直接向专用条件约定的仲裁机构申请仲裁或向有管辖权的人民法院提起诉讼。</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8. 其他</w:t>
      </w:r>
    </w:p>
    <w:p>
      <w:pPr>
        <w:pageBreakBefore w:val="0"/>
        <w:topLinePunct w:val="0"/>
        <w:bidi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8.1 </w:t>
      </w:r>
      <w:r>
        <w:rPr>
          <w:rStyle w:val="50"/>
          <w:rFonts w:hint="eastAsia" w:ascii="宋体" w:hAnsi="宋体" w:eastAsia="宋体" w:cs="宋体"/>
          <w:bCs/>
          <w:color w:val="auto"/>
          <w:sz w:val="22"/>
          <w:szCs w:val="22"/>
          <w:highlight w:val="none"/>
        </w:rPr>
        <w:t>外出考察费用</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经委托人同意，监理人员外出考察发生的费用由委托人审核后支付。</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8.2 </w:t>
      </w:r>
      <w:r>
        <w:rPr>
          <w:rStyle w:val="50"/>
          <w:rFonts w:hint="eastAsia" w:ascii="宋体" w:hAnsi="宋体" w:eastAsia="宋体" w:cs="宋体"/>
          <w:bCs/>
          <w:color w:val="auto"/>
          <w:sz w:val="22"/>
          <w:szCs w:val="22"/>
          <w:highlight w:val="none"/>
        </w:rPr>
        <w:t>检测费用</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委托人要求监理人进行的材料和设备检测所发生的费用，由委托人支付，支付时间在专用条件中约定。</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8.3 </w:t>
      </w:r>
      <w:r>
        <w:rPr>
          <w:rStyle w:val="50"/>
          <w:rFonts w:hint="eastAsia" w:ascii="宋体" w:hAnsi="宋体" w:eastAsia="宋体" w:cs="宋体"/>
          <w:bCs/>
          <w:color w:val="auto"/>
          <w:sz w:val="22"/>
          <w:szCs w:val="22"/>
          <w:highlight w:val="none"/>
        </w:rPr>
        <w:t>咨询费用</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经委托人同意，根据工程需要由监理人组织的相关咨询论证会以及聘请相关专家等发生的费用由委托人支付，支付时间在专用条件中约定。</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8.4 </w:t>
      </w:r>
      <w:r>
        <w:rPr>
          <w:rStyle w:val="50"/>
          <w:rFonts w:hint="eastAsia" w:ascii="宋体" w:hAnsi="宋体" w:eastAsia="宋体" w:cs="宋体"/>
          <w:bCs/>
          <w:color w:val="auto"/>
          <w:sz w:val="22"/>
          <w:szCs w:val="22"/>
          <w:highlight w:val="none"/>
        </w:rPr>
        <w:t>奖励</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监理人在服务过程中提出的合理化建议，使委托人获得经济效益的，双方在专用条件中约定奖励金额的确定方法。奖励金额在合理化建议被采纳后，与最近一期的正常工作酬金同期支付。</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8.5 </w:t>
      </w:r>
      <w:r>
        <w:rPr>
          <w:rStyle w:val="50"/>
          <w:rFonts w:hint="eastAsia" w:ascii="宋体" w:hAnsi="宋体" w:eastAsia="宋体" w:cs="宋体"/>
          <w:bCs/>
          <w:color w:val="auto"/>
          <w:sz w:val="22"/>
          <w:szCs w:val="22"/>
          <w:highlight w:val="none"/>
        </w:rPr>
        <w:t>守法诚信</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监理人及其工作人员不得从与实施工程有关的第三方处获得任何经济利益。</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8.6 </w:t>
      </w:r>
      <w:r>
        <w:rPr>
          <w:rStyle w:val="50"/>
          <w:rFonts w:hint="eastAsia" w:ascii="宋体" w:hAnsi="宋体" w:eastAsia="宋体" w:cs="宋体"/>
          <w:bCs/>
          <w:color w:val="auto"/>
          <w:sz w:val="22"/>
          <w:szCs w:val="22"/>
          <w:highlight w:val="none"/>
        </w:rPr>
        <w:t>保密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双方不得泄露对方申明的保密资料，亦不得泄露与实施工程有关的第三方所提供的保密资料，保密事项在专用条件中约定。</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8.7 </w:t>
      </w:r>
      <w:r>
        <w:rPr>
          <w:rStyle w:val="50"/>
          <w:rFonts w:hint="eastAsia" w:ascii="宋体" w:hAnsi="宋体" w:eastAsia="宋体" w:cs="宋体"/>
          <w:bCs/>
          <w:color w:val="auto"/>
          <w:sz w:val="22"/>
          <w:szCs w:val="22"/>
          <w:highlight w:val="none"/>
        </w:rPr>
        <w:t>通知</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本合同涉及的通知均应当采用书面形式，并在送达对方时生效，收件人应书面签收。</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8.8 </w:t>
      </w:r>
      <w:r>
        <w:rPr>
          <w:rStyle w:val="50"/>
          <w:rFonts w:hint="eastAsia" w:ascii="宋体" w:hAnsi="宋体" w:eastAsia="宋体" w:cs="宋体"/>
          <w:bCs/>
          <w:color w:val="auto"/>
          <w:sz w:val="22"/>
          <w:szCs w:val="22"/>
          <w:highlight w:val="none"/>
        </w:rPr>
        <w:t>著作权</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监理人对其编制的文件拥有著作权。</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pPr>
        <w:pStyle w:val="51"/>
        <w:keepNext/>
        <w:keepLines/>
        <w:pageBreakBefore w:val="0"/>
        <w:widowControl w:val="0"/>
        <w:kinsoku/>
        <w:wordWrap/>
        <w:overflowPunct/>
        <w:topLinePunct w:val="0"/>
        <w:autoSpaceDE w:val="0"/>
        <w:autoSpaceDN w:val="0"/>
        <w:bidi w:val="0"/>
        <w:adjustRightInd w:val="0"/>
        <w:snapToGrid/>
        <w:spacing w:before="0" w:after="0" w:line="360" w:lineRule="auto"/>
        <w:ind w:left="0" w:leftChars="0" w:right="0" w:rightChars="0"/>
        <w:jc w:val="center"/>
        <w:textAlignment w:val="auto"/>
        <w:outlineLvl w:val="1"/>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br w:type="page"/>
      </w:r>
      <w:bookmarkStart w:id="495" w:name="_Toc25085"/>
      <w:r>
        <w:rPr>
          <w:rStyle w:val="50"/>
          <w:rFonts w:hint="eastAsia" w:ascii="宋体" w:hAnsi="宋体" w:eastAsia="宋体" w:cs="宋体"/>
          <w:color w:val="auto"/>
          <w:sz w:val="22"/>
          <w:szCs w:val="22"/>
          <w:highlight w:val="none"/>
        </w:rPr>
        <w:t>第二部分  专用条件</w:t>
      </w:r>
      <w:bookmarkEnd w:id="495"/>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1. 定义与解释</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1.2  解释</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1.2.1 本合同文件除使用中文外，还可用</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color w:val="auto"/>
          <w:sz w:val="22"/>
          <w:szCs w:val="22"/>
          <w:highlight w:val="none"/>
        </w:rPr>
        <w:t>。</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1.2.2 约定本合同文件的解释顺序为：</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（1）履行本合同过程中双方签署的相关补充协议与修正文件（含双方洽商记录、会议纪要等修正文件）；</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（2）协议书；</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（3）专用条件</w:t>
      </w:r>
      <w:r>
        <w:rPr>
          <w:rFonts w:hint="eastAsia" w:ascii="宋体" w:hAnsi="宋体" w:cs="宋体"/>
          <w:color w:val="auto"/>
          <w:sz w:val="22"/>
          <w:szCs w:val="22"/>
          <w:highlight w:val="none"/>
          <w:u w:val="none"/>
          <w:lang w:eastAsia="zh-CN"/>
        </w:rPr>
        <w:t>、</w:t>
      </w:r>
      <w:r>
        <w:rPr>
          <w:rFonts w:hint="eastAsia" w:ascii="宋体" w:hAnsi="宋体" w:eastAsia="宋体" w:cs="宋体"/>
          <w:color w:val="auto"/>
          <w:sz w:val="22"/>
          <w:szCs w:val="22"/>
          <w:highlight w:val="none"/>
          <w:u w:val="none"/>
        </w:rPr>
        <w:t>附录A、附录B</w:t>
      </w:r>
      <w:r>
        <w:rPr>
          <w:rFonts w:hint="eastAsia" w:ascii="宋体" w:hAnsi="宋体" w:cs="宋体"/>
          <w:color w:val="auto"/>
          <w:sz w:val="22"/>
          <w:szCs w:val="22"/>
          <w:highlight w:val="none"/>
          <w:u w:val="none"/>
          <w:lang w:val="en-US" w:eastAsia="zh-CN"/>
        </w:rPr>
        <w:t>及附件</w:t>
      </w:r>
      <w:r>
        <w:rPr>
          <w:rFonts w:hint="eastAsia" w:ascii="宋体" w:hAnsi="宋体" w:eastAsia="宋体" w:cs="宋体"/>
          <w:color w:val="auto"/>
          <w:sz w:val="22"/>
          <w:szCs w:val="22"/>
          <w:highlight w:val="none"/>
          <w:u w:val="none"/>
        </w:rPr>
        <w:t>；</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（4）通用条件；</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（5）中标通知书；</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（6）投标文件及其附件（含评标期间的澄清文件和补充资料）。</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（7）招标文件及其附件（含招标期间澄清、补充修改的文件及答疑纪要等）</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（8）工程监理相关的标准、规范及有关监理大纲；</w:t>
      </w:r>
    </w:p>
    <w:p>
      <w:pPr>
        <w:pStyle w:val="53"/>
        <w:pageBreakBefore w:val="0"/>
        <w:topLinePunct w:val="0"/>
        <w:bidi w:val="0"/>
        <w:spacing w:after="0" w:line="360" w:lineRule="auto"/>
        <w:ind w:left="0" w:leftChars="0" w:right="0" w:rightChars="0" w:firstLine="48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双方签订的补充协议与其他文件发生矛盾或歧义时，属于同一类内容的文件，应以最新签署的为准。</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2. 监理人义务</w:t>
      </w:r>
    </w:p>
    <w:p>
      <w:pPr>
        <w:pageBreakBefore w:val="0"/>
        <w:topLinePunct w:val="0"/>
        <w:bidi w:val="0"/>
        <w:snapToGrid w:val="0"/>
        <w:spacing w:line="360" w:lineRule="auto"/>
        <w:ind w:left="0" w:leftChars="0" w:right="0" w:rightChars="0" w:firstLine="215" w:firstLineChars="98"/>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rPr>
        <w:t>2.1 监理的范围和</w:t>
      </w:r>
      <w:r>
        <w:rPr>
          <w:rStyle w:val="50"/>
          <w:rFonts w:hint="eastAsia" w:ascii="宋体" w:hAnsi="宋体" w:eastAsia="宋体" w:cs="宋体"/>
          <w:bCs/>
          <w:color w:val="auto"/>
          <w:sz w:val="22"/>
          <w:szCs w:val="22"/>
          <w:highlight w:val="none"/>
        </w:rPr>
        <w:t>内容</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2.1.1 监理范围包括：</w:t>
      </w:r>
      <w:r>
        <w:rPr>
          <w:rStyle w:val="50"/>
          <w:rFonts w:hint="eastAsia" w:ascii="宋体" w:hAnsi="宋体" w:eastAsia="宋体" w:cs="宋体"/>
          <w:color w:val="auto"/>
          <w:sz w:val="22"/>
          <w:szCs w:val="22"/>
          <w:highlight w:val="none"/>
          <w:u w:val="single"/>
        </w:rPr>
        <w:t>包括但不限于本项目准备阶段、施工准备阶段、施工阶段、设备阶段、竣工结算阶段及工程质量保修阶段的质量控制、安全生产监督管理、投资控制、进度控制、合同管理、信息管理、组织协调等监理工作以及缺陷责任期内的监理服务和相关专业技术咨询服务。</w:t>
      </w:r>
    </w:p>
    <w:p>
      <w:pPr>
        <w:pStyle w:val="55"/>
        <w:pageBreakBefore w:val="0"/>
        <w:topLinePunct w:val="0"/>
        <w:bidi w:val="0"/>
        <w:spacing w:before="0" w:beforeAutospacing="0" w:after="0" w:afterAutospacing="0" w:line="360" w:lineRule="auto"/>
        <w:ind w:left="0" w:leftChars="0" w:right="0" w:rightChars="0" w:firstLine="42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2.1.2 监理工作内容还包括：</w:t>
      </w:r>
      <w:r>
        <w:rPr>
          <w:rStyle w:val="50"/>
          <w:rFonts w:hint="eastAsia" w:ascii="宋体" w:hAnsi="宋体" w:eastAsia="宋体" w:cs="宋体"/>
          <w:color w:val="auto"/>
          <w:sz w:val="22"/>
          <w:szCs w:val="22"/>
          <w:highlight w:val="none"/>
          <w:u w:val="single"/>
        </w:rPr>
        <w:t>各项监理工作须符合《建设工程监理规范》（GB/T50319-2013）的要求，协助组织工程竣工验收和竣工备案等工作</w:t>
      </w:r>
      <w:r>
        <w:rPr>
          <w:rStyle w:val="50"/>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215" w:firstLineChars="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2.2 监理与相关服务依据</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2.2.1 监理依据包括：</w:t>
      </w:r>
    </w:p>
    <w:p>
      <w:pPr>
        <w:spacing w:line="360" w:lineRule="auto"/>
        <w:ind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（1）《中华人民共和国建筑法》、《广东省建设工程监理条例》、《建设工程监理规范》（GB50319 －2013）以及国家工程建设法律、法规、除此以外的有关政策规定，主管部门批准的建设计划、规划、设计、招标文件。 </w:t>
      </w:r>
    </w:p>
    <w:p>
      <w:pPr>
        <w:spacing w:line="360" w:lineRule="auto"/>
        <w:ind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（2）委托人与设计、承建单位签订的合同或协议。 </w:t>
      </w:r>
    </w:p>
    <w:p>
      <w:pPr>
        <w:spacing w:line="360" w:lineRule="auto"/>
        <w:ind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（3）经批准的施工图纸及说明，经图纸会审确定的修改设计通知书。</w:t>
      </w:r>
    </w:p>
    <w:p>
      <w:pPr>
        <w:spacing w:line="360" w:lineRule="auto"/>
        <w:ind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（4）国家和地方现行的建筑工程质量评审标准及施工验收规范。 </w:t>
      </w:r>
    </w:p>
    <w:p>
      <w:pPr>
        <w:spacing w:line="360" w:lineRule="auto"/>
        <w:ind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（5）当地现行预算定额、收费标准和有关建设管理办法。 </w:t>
      </w:r>
    </w:p>
    <w:p>
      <w:pPr>
        <w:spacing w:line="360" w:lineRule="auto"/>
        <w:ind w:firstLine="440" w:firstLineChars="200"/>
        <w:rPr>
          <w:rStyle w:val="50"/>
          <w:rFonts w:hint="eastAsia" w:ascii="宋体" w:hAnsi="宋体" w:cs="宋体"/>
          <w:color w:val="auto"/>
          <w:kern w:val="2"/>
          <w:sz w:val="22"/>
          <w:szCs w:val="22"/>
          <w:highlight w:val="none"/>
          <w:u w:val="none"/>
        </w:rPr>
      </w:pPr>
      <w:r>
        <w:rPr>
          <w:rStyle w:val="50"/>
          <w:rFonts w:hint="eastAsia" w:ascii="宋体" w:hAnsi="宋体" w:eastAsia="宋体" w:cs="宋体"/>
          <w:color w:val="auto"/>
          <w:sz w:val="22"/>
          <w:szCs w:val="22"/>
          <w:highlight w:val="none"/>
        </w:rPr>
        <w:t>（6）当地建设行政主管部门的有关法规和通知等。</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dstrike/>
          <w:color w:val="auto"/>
          <w:sz w:val="22"/>
          <w:szCs w:val="22"/>
          <w:highlight w:val="none"/>
        </w:rPr>
      </w:pPr>
      <w:r>
        <w:rPr>
          <w:rStyle w:val="50"/>
          <w:rFonts w:hint="eastAsia" w:ascii="宋体" w:hAnsi="宋体" w:eastAsia="宋体" w:cs="宋体"/>
          <w:color w:val="auto"/>
          <w:sz w:val="22"/>
          <w:szCs w:val="22"/>
          <w:highlight w:val="none"/>
        </w:rPr>
        <w:t>2.2.2 相关服务依据包括：</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cs="宋体"/>
          <w:color w:val="auto"/>
          <w:sz w:val="22"/>
          <w:szCs w:val="22"/>
          <w:highlight w:val="none"/>
          <w:u w:val="single"/>
          <w:lang w:val="en-US"/>
        </w:rPr>
        <w:t>/</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215" w:firstLineChars="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2.3</w:t>
      </w:r>
      <w:r>
        <w:rPr>
          <w:rStyle w:val="50"/>
          <w:rFonts w:hint="eastAsia" w:ascii="宋体" w:hAnsi="宋体" w:eastAsia="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项目监理机构和人员、主要工作设备</w:t>
      </w:r>
    </w:p>
    <w:p>
      <w:pPr>
        <w:pageBreakBefore w:val="0"/>
        <w:topLinePunct w:val="0"/>
        <w:bidi w:val="0"/>
        <w:spacing w:line="360" w:lineRule="auto"/>
        <w:ind w:left="0" w:leftChars="0" w:right="0" w:rightChars="0" w:firstLine="420"/>
        <w:rPr>
          <w:rStyle w:val="50"/>
          <w:rFonts w:hint="eastAsia" w:ascii="宋体" w:hAnsi="宋体" w:eastAsia="宋体" w:cs="宋体"/>
          <w:color w:val="auto"/>
          <w:sz w:val="22"/>
          <w:szCs w:val="22"/>
          <w:highlight w:val="none"/>
          <w:u w:val="single"/>
        </w:rPr>
      </w:pPr>
      <w:r>
        <w:rPr>
          <w:rStyle w:val="50"/>
          <w:rFonts w:hint="eastAsia" w:ascii="宋体" w:hAnsi="宋体" w:eastAsia="宋体" w:cs="宋体"/>
          <w:color w:val="auto"/>
          <w:sz w:val="22"/>
          <w:szCs w:val="22"/>
          <w:highlight w:val="none"/>
        </w:rPr>
        <w:t>2.3.1</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工程咨询人的总监理工程师明确为：</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u w:val="none"/>
        </w:rPr>
        <w:t xml:space="preserve"> 。</w:t>
      </w:r>
    </w:p>
    <w:p>
      <w:pPr>
        <w:pageBreakBefore w:val="0"/>
        <w:topLinePunct w:val="0"/>
        <w:bidi w:val="0"/>
        <w:spacing w:line="360" w:lineRule="auto"/>
        <w:ind w:left="0" w:leftChars="0" w:right="0" w:rightChars="0" w:firstLine="42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2.3.2</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工程咨询人的监理工程师明确为：</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u w:val="none"/>
        </w:rPr>
        <w:t xml:space="preserve">。 </w:t>
      </w:r>
      <w:r>
        <w:rPr>
          <w:rStyle w:val="50"/>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20"/>
        <w:rPr>
          <w:rStyle w:val="50"/>
          <w:rFonts w:hint="eastAsia" w:ascii="宋体" w:hAnsi="宋体" w:eastAsia="宋体" w:cs="宋体"/>
          <w:color w:val="auto"/>
          <w:sz w:val="22"/>
          <w:szCs w:val="22"/>
          <w:highlight w:val="none"/>
          <w:u w:val="single"/>
        </w:rPr>
      </w:pPr>
      <w:r>
        <w:rPr>
          <w:rStyle w:val="50"/>
          <w:rFonts w:hint="eastAsia" w:ascii="宋体" w:hAnsi="宋体" w:eastAsia="宋体" w:cs="宋体"/>
          <w:color w:val="auto"/>
          <w:sz w:val="22"/>
          <w:szCs w:val="22"/>
          <w:highlight w:val="none"/>
        </w:rPr>
        <w:t>2.3.3</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工程咨询人的监理员明确为：</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u w:val="none"/>
        </w:rPr>
        <w:t>。</w:t>
      </w:r>
      <w:r>
        <w:rPr>
          <w:rStyle w:val="50"/>
          <w:rFonts w:hint="eastAsia" w:ascii="宋体" w:hAnsi="宋体" w:eastAsia="宋体" w:cs="宋体"/>
          <w:color w:val="auto"/>
          <w:sz w:val="22"/>
          <w:szCs w:val="22"/>
          <w:highlight w:val="none"/>
        </w:rPr>
        <w:t xml:space="preserve">   </w:t>
      </w:r>
    </w:p>
    <w:p>
      <w:pPr>
        <w:pageBreakBefore w:val="0"/>
        <w:topLinePunct w:val="0"/>
        <w:bidi w:val="0"/>
        <w:spacing w:line="360" w:lineRule="auto"/>
        <w:ind w:left="0" w:leftChars="0" w:right="0" w:rightChars="0" w:firstLine="420"/>
        <w:rPr>
          <w:rStyle w:val="50"/>
          <w:rFonts w:hint="eastAsia" w:ascii="宋体" w:hAnsi="宋体" w:eastAsia="宋体" w:cs="宋体"/>
          <w:color w:val="auto"/>
          <w:kern w:val="0"/>
          <w:sz w:val="22"/>
          <w:szCs w:val="22"/>
          <w:highlight w:val="none"/>
          <w:lang w:val="en-US"/>
        </w:rPr>
      </w:pPr>
      <w:r>
        <w:rPr>
          <w:rStyle w:val="50"/>
          <w:rFonts w:hint="eastAsia" w:ascii="宋体" w:hAnsi="宋体" w:eastAsia="宋体" w:cs="宋体"/>
          <w:color w:val="auto"/>
          <w:sz w:val="22"/>
          <w:szCs w:val="22"/>
          <w:highlight w:val="none"/>
        </w:rPr>
        <w:t>2.3.4</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kern w:val="0"/>
          <w:sz w:val="22"/>
          <w:szCs w:val="22"/>
          <w:highlight w:val="none"/>
        </w:rPr>
        <w:t>有更换监理人员的其他情形：</w:t>
      </w:r>
      <w:r>
        <w:rPr>
          <w:rStyle w:val="50"/>
          <w:rFonts w:hint="eastAsia" w:ascii="宋体" w:hAnsi="宋体" w:eastAsia="宋体" w:cs="宋体"/>
          <w:color w:val="auto"/>
          <w:kern w:val="0"/>
          <w:sz w:val="22"/>
          <w:szCs w:val="22"/>
          <w:highlight w:val="none"/>
          <w:u w:val="single"/>
        </w:rPr>
        <w:t xml:space="preserve">须报委托人同意 </w:t>
      </w:r>
      <w:r>
        <w:rPr>
          <w:rStyle w:val="50"/>
          <w:rFonts w:hint="eastAsia" w:ascii="宋体" w:hAnsi="宋体" w:eastAsia="宋体" w:cs="宋体"/>
          <w:color w:val="auto"/>
          <w:kern w:val="0"/>
          <w:sz w:val="22"/>
          <w:szCs w:val="22"/>
          <w:highlight w:val="none"/>
        </w:rPr>
        <w:t>。</w:t>
      </w:r>
      <w:r>
        <w:rPr>
          <w:rStyle w:val="50"/>
          <w:rFonts w:hint="eastAsia" w:ascii="宋体" w:hAnsi="宋体" w:eastAsia="宋体" w:cs="宋体"/>
          <w:color w:val="auto"/>
          <w:kern w:val="0"/>
          <w:sz w:val="22"/>
          <w:szCs w:val="22"/>
          <w:highlight w:val="none"/>
          <w:lang w:val="en-US"/>
        </w:rPr>
        <w:tab/>
      </w:r>
    </w:p>
    <w:p>
      <w:pPr>
        <w:pageBreakBefore w:val="0"/>
        <w:topLinePunct w:val="0"/>
        <w:bidi w:val="0"/>
        <w:spacing w:line="360" w:lineRule="auto"/>
        <w:ind w:left="0" w:leftChars="0" w:right="0" w:rightChars="0" w:firstLine="42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下列情况之一者可提出更换总监理工程师申请：</w:t>
      </w:r>
    </w:p>
    <w:p>
      <w:pPr>
        <w:pageBreakBefore w:val="0"/>
        <w:topLinePunct w:val="0"/>
        <w:bidi w:val="0"/>
        <w:spacing w:line="360" w:lineRule="auto"/>
        <w:ind w:left="0" w:leftChars="0" w:right="0" w:rightChars="0" w:firstLine="420"/>
        <w:rPr>
          <w:rStyle w:val="50"/>
          <w:rFonts w:hint="eastAsia" w:ascii="宋体" w:hAnsi="宋体" w:eastAsia="宋体" w:cs="宋体"/>
          <w:color w:val="auto"/>
          <w:sz w:val="22"/>
          <w:szCs w:val="22"/>
          <w:highlight w:val="none"/>
        </w:rPr>
      </w:pPr>
      <w:r>
        <w:rPr>
          <w:rStyle w:val="50"/>
          <w:rFonts w:hint="eastAsia" w:ascii="宋体" w:hAnsi="宋体" w:cs="宋体"/>
          <w:color w:val="auto"/>
          <w:sz w:val="22"/>
          <w:szCs w:val="22"/>
          <w:highlight w:val="none"/>
        </w:rPr>
        <w:t>（</w:t>
      </w:r>
      <w:r>
        <w:rPr>
          <w:rStyle w:val="50"/>
          <w:rFonts w:hint="eastAsia" w:ascii="宋体" w:hAnsi="宋体" w:cs="宋体"/>
          <w:color w:val="auto"/>
          <w:sz w:val="22"/>
          <w:szCs w:val="22"/>
          <w:highlight w:val="none"/>
          <w:lang w:val="en-US"/>
        </w:rPr>
        <w:t>1</w:t>
      </w:r>
      <w:r>
        <w:rPr>
          <w:rStyle w:val="50"/>
          <w:rFonts w:hint="eastAsia" w:ascii="宋体" w:hAnsi="宋体" w:cs="宋体"/>
          <w:color w:val="auto"/>
          <w:sz w:val="22"/>
          <w:szCs w:val="22"/>
          <w:highlight w:val="none"/>
        </w:rPr>
        <w:t>）</w:t>
      </w:r>
      <w:r>
        <w:rPr>
          <w:rStyle w:val="50"/>
          <w:rFonts w:hint="eastAsia" w:ascii="宋体" w:hAnsi="宋体" w:eastAsia="宋体" w:cs="宋体"/>
          <w:color w:val="auto"/>
          <w:sz w:val="22"/>
          <w:szCs w:val="22"/>
          <w:highlight w:val="none"/>
        </w:rPr>
        <w:t>拟投入的总监理工程师出现意外伤亡的；</w:t>
      </w:r>
    </w:p>
    <w:p>
      <w:pPr>
        <w:pageBreakBefore w:val="0"/>
        <w:topLinePunct w:val="0"/>
        <w:bidi w:val="0"/>
        <w:spacing w:line="360" w:lineRule="auto"/>
        <w:ind w:left="0" w:leftChars="0" w:right="0" w:rightChars="0" w:firstLine="420"/>
        <w:rPr>
          <w:rStyle w:val="50"/>
          <w:rFonts w:hint="eastAsia" w:ascii="宋体" w:hAnsi="宋体" w:eastAsia="宋体" w:cs="宋体"/>
          <w:color w:val="auto"/>
          <w:sz w:val="22"/>
          <w:szCs w:val="22"/>
          <w:highlight w:val="none"/>
        </w:rPr>
      </w:pPr>
      <w:r>
        <w:rPr>
          <w:rStyle w:val="50"/>
          <w:rFonts w:hint="eastAsia" w:ascii="宋体" w:hAnsi="宋体" w:cs="宋体"/>
          <w:color w:val="auto"/>
          <w:sz w:val="22"/>
          <w:szCs w:val="22"/>
          <w:highlight w:val="none"/>
        </w:rPr>
        <w:t>（</w:t>
      </w:r>
      <w:r>
        <w:rPr>
          <w:rStyle w:val="50"/>
          <w:rFonts w:hint="eastAsia" w:ascii="宋体" w:hAnsi="宋体" w:cs="宋体"/>
          <w:color w:val="auto"/>
          <w:sz w:val="22"/>
          <w:szCs w:val="22"/>
          <w:highlight w:val="none"/>
          <w:lang w:val="en-US"/>
        </w:rPr>
        <w:t>2</w:t>
      </w:r>
      <w:r>
        <w:rPr>
          <w:rStyle w:val="50"/>
          <w:rFonts w:hint="eastAsia" w:ascii="宋体" w:hAnsi="宋体" w:cs="宋体"/>
          <w:color w:val="auto"/>
          <w:sz w:val="22"/>
          <w:szCs w:val="22"/>
          <w:highlight w:val="none"/>
        </w:rPr>
        <w:t>）</w:t>
      </w:r>
      <w:r>
        <w:rPr>
          <w:rStyle w:val="50"/>
          <w:rFonts w:hint="eastAsia" w:ascii="宋体" w:hAnsi="宋体" w:eastAsia="宋体" w:cs="宋体"/>
          <w:color w:val="auto"/>
          <w:sz w:val="22"/>
          <w:szCs w:val="22"/>
          <w:highlight w:val="none"/>
        </w:rPr>
        <w:t>拟投入的总监理工程师调动不在本公司工作的；</w:t>
      </w:r>
    </w:p>
    <w:p>
      <w:pPr>
        <w:pageBreakBefore w:val="0"/>
        <w:topLinePunct w:val="0"/>
        <w:bidi w:val="0"/>
        <w:spacing w:line="360" w:lineRule="auto"/>
        <w:ind w:left="0" w:leftChars="0" w:right="0" w:rightChars="0" w:firstLine="420"/>
        <w:rPr>
          <w:rStyle w:val="50"/>
          <w:rFonts w:hint="eastAsia" w:ascii="宋体" w:hAnsi="宋体" w:eastAsia="宋体" w:cs="宋体"/>
          <w:color w:val="auto"/>
          <w:sz w:val="22"/>
          <w:szCs w:val="22"/>
          <w:highlight w:val="none"/>
        </w:rPr>
      </w:pPr>
      <w:r>
        <w:rPr>
          <w:rStyle w:val="50"/>
          <w:rFonts w:hint="eastAsia" w:ascii="宋体" w:hAnsi="宋体" w:cs="宋体"/>
          <w:color w:val="auto"/>
          <w:sz w:val="22"/>
          <w:szCs w:val="22"/>
          <w:highlight w:val="none"/>
        </w:rPr>
        <w:t>（</w:t>
      </w:r>
      <w:r>
        <w:rPr>
          <w:rStyle w:val="50"/>
          <w:rFonts w:hint="eastAsia" w:ascii="宋体" w:hAnsi="宋体" w:cs="宋体"/>
          <w:color w:val="auto"/>
          <w:sz w:val="22"/>
          <w:szCs w:val="22"/>
          <w:highlight w:val="none"/>
          <w:lang w:val="en-US"/>
        </w:rPr>
        <w:t>3</w:t>
      </w:r>
      <w:r>
        <w:rPr>
          <w:rStyle w:val="50"/>
          <w:rFonts w:hint="eastAsia" w:ascii="宋体" w:hAnsi="宋体" w:cs="宋体"/>
          <w:color w:val="auto"/>
          <w:sz w:val="22"/>
          <w:szCs w:val="22"/>
          <w:highlight w:val="none"/>
        </w:rPr>
        <w:t>）</w:t>
      </w:r>
      <w:r>
        <w:rPr>
          <w:rStyle w:val="50"/>
          <w:rFonts w:hint="eastAsia" w:ascii="宋体" w:hAnsi="宋体" w:eastAsia="宋体" w:cs="宋体"/>
          <w:color w:val="auto"/>
          <w:sz w:val="22"/>
          <w:szCs w:val="22"/>
          <w:highlight w:val="none"/>
        </w:rPr>
        <w:t>有特殊情况经委托人同意的。</w:t>
      </w:r>
    </w:p>
    <w:p>
      <w:pPr>
        <w:pageBreakBefore w:val="0"/>
        <w:topLinePunct w:val="0"/>
        <w:bidi w:val="0"/>
        <w:spacing w:line="360" w:lineRule="auto"/>
        <w:ind w:left="0" w:leftChars="0" w:right="0" w:rightChars="0" w:firstLine="444" w:firstLineChars="202"/>
        <w:rPr>
          <w:rStyle w:val="50"/>
          <w:rFonts w:hint="eastAsia" w:ascii="宋体" w:hAnsi="宋体" w:eastAsia="宋体" w:cs="宋体"/>
          <w:b/>
          <w:bCs/>
          <w:color w:val="auto"/>
          <w:sz w:val="22"/>
          <w:szCs w:val="22"/>
          <w:highlight w:val="none"/>
        </w:rPr>
      </w:pPr>
      <w:r>
        <w:rPr>
          <w:rStyle w:val="50"/>
          <w:rFonts w:hint="eastAsia" w:ascii="宋体" w:hAnsi="宋体" w:eastAsia="宋体" w:cs="宋体"/>
          <w:color w:val="auto"/>
          <w:kern w:val="0"/>
          <w:sz w:val="22"/>
          <w:szCs w:val="22"/>
          <w:highlight w:val="none"/>
        </w:rPr>
        <w:t>2.3.6监理人应按投标承诺投入主要工作设备。</w:t>
      </w:r>
    </w:p>
    <w:p>
      <w:pPr>
        <w:pageBreakBefore w:val="0"/>
        <w:topLinePunct w:val="0"/>
        <w:bidi w:val="0"/>
        <w:spacing w:line="360" w:lineRule="auto"/>
        <w:ind w:left="0" w:leftChars="0" w:right="0" w:rightChars="0" w:firstLine="550" w:firstLineChars="250"/>
        <w:rPr>
          <w:rStyle w:val="50"/>
          <w:rFonts w:hint="eastAsia" w:ascii="宋体" w:hAnsi="宋体" w:eastAsia="宋体" w:cs="宋体"/>
          <w:color w:val="auto"/>
          <w:kern w:val="0"/>
          <w:sz w:val="22"/>
          <w:szCs w:val="22"/>
          <w:highlight w:val="none"/>
          <w:lang w:val="en-US"/>
        </w:rPr>
      </w:pPr>
      <w:r>
        <w:rPr>
          <w:rStyle w:val="50"/>
          <w:rFonts w:hint="eastAsia" w:ascii="宋体" w:hAnsi="宋体" w:eastAsia="宋体" w:cs="宋体"/>
          <w:color w:val="auto"/>
          <w:kern w:val="0"/>
          <w:sz w:val="22"/>
          <w:szCs w:val="22"/>
          <w:highlight w:val="none"/>
        </w:rPr>
        <w:t>监理人投入的主要工作设备</w:t>
      </w:r>
      <w:r>
        <w:rPr>
          <w:rStyle w:val="50"/>
          <w:rFonts w:hint="eastAsia" w:ascii="宋体" w:hAnsi="宋体" w:cs="宋体"/>
          <w:color w:val="auto"/>
          <w:kern w:val="0"/>
          <w:sz w:val="22"/>
          <w:szCs w:val="22"/>
          <w:highlight w:val="none"/>
        </w:rPr>
        <w:t>，</w:t>
      </w:r>
      <w:r>
        <w:rPr>
          <w:rStyle w:val="50"/>
          <w:rFonts w:hint="eastAsia" w:ascii="宋体" w:hAnsi="宋体" w:cs="宋体"/>
          <w:color w:val="auto"/>
          <w:kern w:val="0"/>
          <w:sz w:val="22"/>
          <w:szCs w:val="22"/>
          <w:highlight w:val="none"/>
          <w:lang w:val="en-US"/>
        </w:rPr>
        <w:t>详见附件3：检测仪器/工具、办公设备配置表。</w:t>
      </w:r>
    </w:p>
    <w:p>
      <w:pPr>
        <w:pageBreakBefore w:val="0"/>
        <w:topLinePunct w:val="0"/>
        <w:bidi w:val="0"/>
        <w:spacing w:line="360" w:lineRule="auto"/>
        <w:ind w:left="0" w:leftChars="0" w:right="0" w:rightChars="0" w:firstLine="215" w:firstLineChars="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2.4 </w:t>
      </w:r>
      <w:r>
        <w:rPr>
          <w:rStyle w:val="50"/>
          <w:rFonts w:hint="eastAsia" w:ascii="宋体" w:hAnsi="宋体" w:eastAsia="宋体" w:cs="宋体"/>
          <w:color w:val="auto"/>
          <w:kern w:val="0"/>
          <w:sz w:val="22"/>
          <w:szCs w:val="22"/>
          <w:highlight w:val="none"/>
        </w:rPr>
        <w:t>履行职责</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2.4.3 对监理人的授权范围：</w:t>
      </w:r>
      <w:r>
        <w:rPr>
          <w:rStyle w:val="50"/>
          <w:rFonts w:hint="eastAsia" w:ascii="宋体" w:hAnsi="宋体" w:eastAsia="宋体" w:cs="宋体"/>
          <w:color w:val="auto"/>
          <w:sz w:val="22"/>
          <w:szCs w:val="22"/>
          <w:highlight w:val="none"/>
          <w:u w:val="single"/>
        </w:rPr>
        <w:t>变更增加或减少工程预算造价方面的，由设计单位出具变更通知书（须有设计人员签章、设计单位盖章、监理人和委托人同意按设计变更进行施工的签认意见及盖章），施工单位编制预算（须加盖编制人员的职业资格章和盖章），监理人复核预算，再送工程造价咨询</w:t>
      </w:r>
      <w:r>
        <w:rPr>
          <w:rStyle w:val="50"/>
          <w:rFonts w:hint="eastAsia" w:ascii="宋体" w:hAnsi="宋体" w:cs="宋体"/>
          <w:color w:val="auto"/>
          <w:sz w:val="22"/>
          <w:szCs w:val="22"/>
          <w:highlight w:val="none"/>
          <w:u w:val="single"/>
          <w:lang w:val="en-US"/>
        </w:rPr>
        <w:t>单位</w:t>
      </w:r>
      <w:r>
        <w:rPr>
          <w:rStyle w:val="50"/>
          <w:rFonts w:hint="eastAsia" w:ascii="宋体" w:hAnsi="宋体" w:eastAsia="宋体" w:cs="宋体"/>
          <w:color w:val="auto"/>
          <w:sz w:val="22"/>
          <w:szCs w:val="22"/>
          <w:highlight w:val="none"/>
          <w:u w:val="single"/>
        </w:rPr>
        <w:t>审查</w:t>
      </w:r>
      <w:r>
        <w:rPr>
          <w:rStyle w:val="50"/>
          <w:rFonts w:hint="eastAsia" w:ascii="宋体" w:hAnsi="宋体" w:cs="宋体"/>
          <w:color w:val="auto"/>
          <w:sz w:val="22"/>
          <w:szCs w:val="22"/>
          <w:highlight w:val="none"/>
          <w:u w:val="single"/>
        </w:rPr>
        <w:t>，</w:t>
      </w:r>
      <w:r>
        <w:rPr>
          <w:rStyle w:val="50"/>
          <w:rFonts w:hint="eastAsia" w:ascii="宋体" w:hAnsi="宋体" w:cs="宋体"/>
          <w:color w:val="auto"/>
          <w:sz w:val="22"/>
          <w:szCs w:val="22"/>
          <w:highlight w:val="none"/>
          <w:u w:val="single"/>
          <w:lang w:val="en-US"/>
        </w:rPr>
        <w:t>最后</w:t>
      </w:r>
      <w:r>
        <w:rPr>
          <w:rStyle w:val="50"/>
          <w:rFonts w:hint="eastAsia" w:ascii="宋体" w:hAnsi="宋体" w:eastAsia="宋体" w:cs="宋体"/>
          <w:color w:val="auto"/>
          <w:sz w:val="22"/>
          <w:szCs w:val="22"/>
          <w:highlight w:val="none"/>
          <w:u w:val="single"/>
        </w:rPr>
        <w:t>委托人相关人员根据实际进行校核，然后签字和盖章确认</w:t>
      </w:r>
      <w:r>
        <w:rPr>
          <w:rStyle w:val="50"/>
          <w:rFonts w:hint="eastAsia" w:ascii="宋体" w:hAnsi="宋体" w:cs="宋体"/>
          <w:color w:val="auto"/>
          <w:sz w:val="22"/>
          <w:szCs w:val="22"/>
          <w:highlight w:val="none"/>
          <w:u w:val="single"/>
        </w:rPr>
        <w:t>。</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在涉及工程延期</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color w:val="auto"/>
          <w:sz w:val="22"/>
          <w:szCs w:val="22"/>
          <w:highlight w:val="none"/>
        </w:rPr>
        <w:t>天内和（或）金额</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color w:val="auto"/>
          <w:sz w:val="22"/>
          <w:szCs w:val="22"/>
          <w:highlight w:val="none"/>
        </w:rPr>
        <w:t>万元内的变更，监理人不需请示委托人即可向承包人发布变更通知。</w:t>
      </w:r>
    </w:p>
    <w:p>
      <w:pPr>
        <w:pageBreakBefore w:val="0"/>
        <w:topLinePunct w:val="0"/>
        <w:bidi w:val="0"/>
        <w:snapToGrid w:val="0"/>
        <w:spacing w:line="360" w:lineRule="auto"/>
        <w:ind w:left="0" w:leftChars="0" w:right="0" w:rightChars="0" w:firstLine="330" w:firstLineChars="15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2.4.4 监理人有权要求承包人调换其人员</w:t>
      </w:r>
      <w:r>
        <w:rPr>
          <w:rStyle w:val="50"/>
          <w:rFonts w:hint="eastAsia" w:ascii="宋体" w:hAnsi="宋体" w:eastAsia="宋体" w:cs="宋体"/>
          <w:color w:val="auto"/>
          <w:sz w:val="22"/>
          <w:szCs w:val="22"/>
          <w:highlight w:val="none"/>
        </w:rPr>
        <w:t>的限制条件：</w:t>
      </w:r>
      <w:r>
        <w:rPr>
          <w:rStyle w:val="50"/>
          <w:rFonts w:hint="eastAsia" w:ascii="宋体" w:hAnsi="宋体" w:eastAsia="宋体" w:cs="宋体"/>
          <w:color w:val="auto"/>
          <w:sz w:val="22"/>
          <w:szCs w:val="22"/>
          <w:highlight w:val="none"/>
          <w:u w:val="single"/>
        </w:rPr>
        <w:t>在监理过程中如发现工程承包人的人员不能胜任本职</w:t>
      </w:r>
      <w:r>
        <w:rPr>
          <w:rStyle w:val="50"/>
          <w:rFonts w:hint="eastAsia" w:ascii="宋体" w:hAnsi="宋体" w:cs="宋体"/>
          <w:color w:val="auto"/>
          <w:sz w:val="22"/>
          <w:szCs w:val="22"/>
          <w:highlight w:val="none"/>
          <w:u w:val="single"/>
          <w:lang w:val="en-US"/>
        </w:rPr>
        <w:t>工作</w:t>
      </w:r>
      <w:r>
        <w:rPr>
          <w:rStyle w:val="50"/>
          <w:rFonts w:hint="eastAsia" w:ascii="宋体" w:hAnsi="宋体" w:eastAsia="宋体" w:cs="宋体"/>
          <w:color w:val="auto"/>
          <w:sz w:val="22"/>
          <w:szCs w:val="22"/>
          <w:highlight w:val="none"/>
          <w:u w:val="single"/>
        </w:rPr>
        <w:t xml:space="preserve">的，监理机构有权要求承包人调换有关人员，但要先书面征得委托人同意 </w:t>
      </w:r>
      <w:r>
        <w:rPr>
          <w:rStyle w:val="50"/>
          <w:rFonts w:hint="eastAsia" w:ascii="宋体" w:hAnsi="宋体" w:eastAsia="宋体" w:cs="宋体"/>
          <w:color w:val="auto"/>
          <w:sz w:val="22"/>
          <w:szCs w:val="22"/>
          <w:highlight w:val="none"/>
        </w:rPr>
        <w:t xml:space="preserve">。  </w:t>
      </w:r>
    </w:p>
    <w:p>
      <w:pPr>
        <w:pageBreakBefore w:val="0"/>
        <w:topLinePunct w:val="0"/>
        <w:bidi w:val="0"/>
        <w:snapToGrid w:val="0"/>
        <w:spacing w:line="360" w:lineRule="auto"/>
        <w:ind w:left="0" w:leftChars="0" w:right="0" w:rightChars="0" w:firstLine="110" w:firstLineChars="5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 xml:space="preserve">2.5 </w:t>
      </w:r>
      <w:r>
        <w:rPr>
          <w:rStyle w:val="50"/>
          <w:rFonts w:hint="eastAsia" w:ascii="宋体" w:hAnsi="宋体" w:eastAsia="宋体" w:cs="宋体"/>
          <w:color w:val="auto"/>
          <w:sz w:val="22"/>
          <w:szCs w:val="22"/>
          <w:highlight w:val="none"/>
        </w:rPr>
        <w:t>提交</w:t>
      </w:r>
      <w:r>
        <w:rPr>
          <w:rStyle w:val="50"/>
          <w:rFonts w:hint="eastAsia" w:ascii="宋体" w:hAnsi="宋体" w:eastAsia="宋体" w:cs="宋体"/>
          <w:color w:val="auto"/>
          <w:kern w:val="0"/>
          <w:sz w:val="22"/>
          <w:szCs w:val="22"/>
          <w:highlight w:val="none"/>
        </w:rPr>
        <w:t>报告</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sz w:val="22"/>
          <w:szCs w:val="22"/>
          <w:highlight w:val="none"/>
        </w:rPr>
        <w:t>监理人应提交报告的种类(</w:t>
      </w:r>
      <w:r>
        <w:rPr>
          <w:rStyle w:val="50"/>
          <w:rFonts w:hint="eastAsia" w:ascii="宋体" w:hAnsi="宋体" w:eastAsia="宋体" w:cs="宋体"/>
          <w:color w:val="auto"/>
          <w:kern w:val="0"/>
          <w:sz w:val="22"/>
          <w:szCs w:val="22"/>
          <w:highlight w:val="none"/>
        </w:rPr>
        <w:t>包括监理规划、监理月报及约定的专项报告)</w:t>
      </w:r>
      <w:r>
        <w:rPr>
          <w:rStyle w:val="50"/>
          <w:rFonts w:hint="eastAsia" w:ascii="宋体" w:hAnsi="宋体" w:eastAsia="宋体" w:cs="宋体"/>
          <w:color w:val="auto"/>
          <w:sz w:val="22"/>
          <w:szCs w:val="22"/>
          <w:highlight w:val="none"/>
        </w:rPr>
        <w:t>、时间和份数</w:t>
      </w:r>
      <w:r>
        <w:rPr>
          <w:rStyle w:val="50"/>
          <w:rFonts w:hint="eastAsia" w:ascii="宋体" w:hAnsi="宋体" w:eastAsia="宋体" w:cs="宋体"/>
          <w:color w:val="auto"/>
          <w:kern w:val="0"/>
          <w:sz w:val="22"/>
          <w:szCs w:val="22"/>
          <w:highlight w:val="none"/>
        </w:rPr>
        <w:t>：</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u w:val="single"/>
        </w:rPr>
      </w:pPr>
      <w:r>
        <w:rPr>
          <w:rStyle w:val="50"/>
          <w:rFonts w:hint="eastAsia" w:ascii="宋体" w:hAnsi="宋体" w:eastAsia="宋体" w:cs="宋体"/>
          <w:color w:val="auto"/>
          <w:kern w:val="0"/>
          <w:sz w:val="22"/>
          <w:szCs w:val="22"/>
          <w:highlight w:val="none"/>
          <w:u w:val="single"/>
        </w:rPr>
        <w:t>（1）监理人必须在签订本监理合同7天内将监理规划（一式五份）提交委托人审批；</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u w:val="single"/>
        </w:rPr>
      </w:pPr>
      <w:r>
        <w:rPr>
          <w:rStyle w:val="50"/>
          <w:rFonts w:hint="eastAsia" w:ascii="宋体" w:hAnsi="宋体" w:eastAsia="宋体" w:cs="宋体"/>
          <w:color w:val="auto"/>
          <w:kern w:val="0"/>
          <w:sz w:val="22"/>
          <w:szCs w:val="22"/>
          <w:highlight w:val="none"/>
          <w:u w:val="single"/>
        </w:rPr>
        <w:t>（2）监理实施细则（一式五份）按相应分部</w:t>
      </w:r>
      <w:r>
        <w:rPr>
          <w:rStyle w:val="50"/>
          <w:rFonts w:hint="eastAsia" w:ascii="宋体" w:hAnsi="宋体" w:cs="宋体"/>
          <w:color w:val="auto"/>
          <w:kern w:val="0"/>
          <w:sz w:val="22"/>
          <w:szCs w:val="22"/>
          <w:highlight w:val="none"/>
          <w:u w:val="single"/>
          <w:lang w:val="en-US"/>
        </w:rPr>
        <w:t>分项</w:t>
      </w:r>
      <w:r>
        <w:rPr>
          <w:rStyle w:val="50"/>
          <w:rFonts w:hint="eastAsia" w:ascii="宋体" w:hAnsi="宋体" w:eastAsia="宋体" w:cs="宋体"/>
          <w:color w:val="auto"/>
          <w:kern w:val="0"/>
          <w:sz w:val="22"/>
          <w:szCs w:val="22"/>
          <w:highlight w:val="none"/>
          <w:u w:val="single"/>
        </w:rPr>
        <w:t xml:space="preserve">工程于开工前10天内提交委托人审批； </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u w:val="single"/>
        </w:rPr>
      </w:pPr>
      <w:r>
        <w:rPr>
          <w:rStyle w:val="50"/>
          <w:rFonts w:hint="eastAsia" w:ascii="宋体" w:hAnsi="宋体" w:eastAsia="宋体" w:cs="宋体"/>
          <w:color w:val="auto"/>
          <w:kern w:val="0"/>
          <w:sz w:val="22"/>
          <w:szCs w:val="22"/>
          <w:highlight w:val="none"/>
          <w:u w:val="single"/>
        </w:rPr>
        <w:t>（3）监理人每周例会前一天应向委托人提交监理周报（一式五份），内容包括：1）监理对施工单位上周质量、进度、安全、文明施工的评估；2）监理对管理过程的文档处理清单与统计；3）监理通知执行与回复情况；4）上周监理工作计划落实情况汇报；5）监理对施工单位下周计划安排的评价与调整；6）下周监理工作计划安排。</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u w:val="single"/>
        </w:rPr>
      </w:pPr>
      <w:r>
        <w:rPr>
          <w:rStyle w:val="50"/>
          <w:rFonts w:hint="eastAsia" w:ascii="宋体" w:hAnsi="宋体" w:eastAsia="宋体" w:cs="宋体"/>
          <w:color w:val="auto"/>
          <w:kern w:val="0"/>
          <w:sz w:val="22"/>
          <w:szCs w:val="22"/>
          <w:highlight w:val="none"/>
          <w:u w:val="single"/>
        </w:rPr>
        <w:t>（4）监理人应于每月</w:t>
      </w:r>
      <w:r>
        <w:rPr>
          <w:rStyle w:val="50"/>
          <w:rFonts w:hint="eastAsia" w:ascii="宋体" w:hAnsi="宋体" w:cs="宋体"/>
          <w:color w:val="auto"/>
          <w:kern w:val="0"/>
          <w:sz w:val="22"/>
          <w:szCs w:val="22"/>
          <w:highlight w:val="none"/>
          <w:u w:val="single"/>
          <w:lang w:val="en-US"/>
        </w:rPr>
        <w:t>25</w:t>
      </w:r>
      <w:r>
        <w:rPr>
          <w:rStyle w:val="50"/>
          <w:rFonts w:hint="eastAsia" w:ascii="宋体" w:hAnsi="宋体" w:eastAsia="宋体" w:cs="宋体"/>
          <w:color w:val="auto"/>
          <w:kern w:val="0"/>
          <w:sz w:val="22"/>
          <w:szCs w:val="22"/>
          <w:highlight w:val="none"/>
          <w:u w:val="single"/>
        </w:rPr>
        <w:t>日向委托人提交</w:t>
      </w:r>
      <w:r>
        <w:rPr>
          <w:rStyle w:val="50"/>
          <w:rFonts w:hint="eastAsia" w:ascii="宋体" w:hAnsi="宋体" w:cs="宋体"/>
          <w:color w:val="auto"/>
          <w:kern w:val="0"/>
          <w:sz w:val="22"/>
          <w:szCs w:val="22"/>
          <w:highlight w:val="none"/>
          <w:u w:val="single"/>
          <w:lang w:val="en-US"/>
        </w:rPr>
        <w:t>本月</w:t>
      </w:r>
      <w:r>
        <w:rPr>
          <w:rStyle w:val="50"/>
          <w:rFonts w:hint="eastAsia" w:ascii="宋体" w:hAnsi="宋体" w:eastAsia="宋体" w:cs="宋体"/>
          <w:color w:val="auto"/>
          <w:kern w:val="0"/>
          <w:sz w:val="22"/>
          <w:szCs w:val="22"/>
          <w:highlight w:val="none"/>
          <w:u w:val="single"/>
        </w:rPr>
        <w:t>监理月报（一式五份），内容构成同监理周报。</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u w:val="single"/>
        </w:rPr>
      </w:pPr>
      <w:r>
        <w:rPr>
          <w:rStyle w:val="50"/>
          <w:rFonts w:hint="eastAsia" w:ascii="宋体" w:hAnsi="宋体" w:eastAsia="宋体" w:cs="宋体"/>
          <w:color w:val="auto"/>
          <w:kern w:val="0"/>
          <w:sz w:val="22"/>
          <w:szCs w:val="22"/>
          <w:highlight w:val="none"/>
          <w:u w:val="single"/>
        </w:rPr>
        <w:t>（5）监理工作总结报告和监理档案资料（各一式五份），于施工阶段监理工作结束（即工程竣工验收）后30天内提交委托人审核。</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 xml:space="preserve"> 2.7 使用委托人的财产</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sz w:val="22"/>
          <w:szCs w:val="22"/>
          <w:highlight w:val="none"/>
        </w:rPr>
        <w:t>附录B中由委托人无偿提供的房屋、设备的所有权属于：</w:t>
      </w:r>
      <w:r>
        <w:rPr>
          <w:rStyle w:val="50"/>
          <w:rFonts w:hint="eastAsia" w:ascii="宋体" w:hAnsi="宋体" w:eastAsia="宋体" w:cs="宋体"/>
          <w:color w:val="auto"/>
          <w:sz w:val="22"/>
          <w:szCs w:val="22"/>
          <w:highlight w:val="none"/>
          <w:u w:val="single"/>
        </w:rPr>
        <w:t xml:space="preserve"> 委托人 </w:t>
      </w:r>
      <w:r>
        <w:rPr>
          <w:rStyle w:val="50"/>
          <w:rFonts w:hint="eastAsia" w:ascii="宋体" w:hAnsi="宋体" w:eastAsia="宋体" w:cs="宋体"/>
          <w:color w:val="auto"/>
          <w:sz w:val="22"/>
          <w:szCs w:val="22"/>
          <w:highlight w:val="none"/>
        </w:rPr>
        <w:t>。</w:t>
      </w:r>
      <w:r>
        <w:rPr>
          <w:rFonts w:hint="eastAsia" w:ascii="宋体" w:hAnsi="宋体" w:cs="宋体"/>
          <w:color w:val="auto"/>
          <w:sz w:val="22"/>
          <w:szCs w:val="22"/>
          <w:highlight w:val="none"/>
        </w:rPr>
        <w:t>监理工程所需使用的一切办公、交通、通讯、测量、气象检测试验、照相录相、电脑、打字复印等设备和生活设施由监理人自行负责解决。</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sz w:val="22"/>
          <w:szCs w:val="22"/>
          <w:highlight w:val="none"/>
        </w:rPr>
        <w:t>监理人应在本合同终止后</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cs="宋体"/>
          <w:color w:val="auto"/>
          <w:sz w:val="22"/>
          <w:szCs w:val="22"/>
          <w:highlight w:val="none"/>
          <w:u w:val="single"/>
          <w:lang w:val="en-US"/>
        </w:rPr>
        <w:t>10</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天内移交委托人无偿提供的房屋、设备，移交的时间和方式为：</w:t>
      </w:r>
      <w:r>
        <w:rPr>
          <w:rStyle w:val="50"/>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rPr>
        <w:t>时间：本合同终止后10天内；方式：由双方在工地现场办理房屋、设备交接手续、设备清点交接手续，双方在房屋、设备移交清单上签认后完成移交</w:t>
      </w:r>
      <w:r>
        <w:rPr>
          <w:rStyle w:val="50"/>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 xml:space="preserve">3. 委托人义务  </w:t>
      </w:r>
    </w:p>
    <w:p>
      <w:pPr>
        <w:pageBreakBefore w:val="0"/>
        <w:topLinePunct w:val="0"/>
        <w:bidi w:val="0"/>
        <w:snapToGrid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w:t>
      </w:r>
      <w:r>
        <w:rPr>
          <w:rStyle w:val="50"/>
          <w:rFonts w:hint="eastAsia" w:ascii="宋体" w:hAnsi="宋体" w:eastAsia="宋体" w:cs="宋体"/>
          <w:color w:val="auto"/>
          <w:kern w:val="0"/>
          <w:sz w:val="22"/>
          <w:szCs w:val="22"/>
          <w:highlight w:val="none"/>
        </w:rPr>
        <w:t>3.4 委托人代表</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u w:val="single"/>
        </w:rPr>
      </w:pPr>
      <w:r>
        <w:rPr>
          <w:rStyle w:val="50"/>
          <w:rFonts w:hint="eastAsia" w:ascii="宋体" w:hAnsi="宋体" w:eastAsia="宋体" w:cs="宋体"/>
          <w:color w:val="auto"/>
          <w:sz w:val="22"/>
          <w:szCs w:val="22"/>
          <w:highlight w:val="none"/>
        </w:rPr>
        <w:t>委托人代表为：</w:t>
      </w:r>
      <w:r>
        <w:rPr>
          <w:rFonts w:hint="eastAsia" w:ascii="宋体" w:hAnsi="宋体" w:cs="宋体"/>
          <w:color w:val="auto"/>
          <w:sz w:val="22"/>
          <w:szCs w:val="22"/>
          <w:highlight w:val="none"/>
        </w:rPr>
        <w:t>姓名：</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pPr>
        <w:pageBreakBefore w:val="0"/>
        <w:topLinePunct w:val="0"/>
        <w:bidi w:val="0"/>
        <w:snapToGrid w:val="0"/>
        <w:spacing w:line="360" w:lineRule="auto"/>
        <w:ind w:left="0" w:leftChars="0" w:right="0" w:rightChars="0" w:firstLine="215" w:firstLineChars="98"/>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3.6 答复</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委托人同意在</w:t>
      </w:r>
      <w:r>
        <w:rPr>
          <w:rStyle w:val="50"/>
          <w:rFonts w:hint="eastAsia" w:ascii="宋体" w:hAnsi="宋体" w:eastAsia="宋体" w:cs="宋体"/>
          <w:color w:val="auto"/>
          <w:sz w:val="22"/>
          <w:szCs w:val="22"/>
          <w:highlight w:val="none"/>
          <w:u w:val="single"/>
        </w:rPr>
        <w:t xml:space="preserve">  7  </w:t>
      </w:r>
      <w:r>
        <w:rPr>
          <w:rStyle w:val="50"/>
          <w:rFonts w:hint="eastAsia" w:ascii="宋体" w:hAnsi="宋体" w:eastAsia="宋体" w:cs="宋体"/>
          <w:color w:val="auto"/>
          <w:sz w:val="22"/>
          <w:szCs w:val="22"/>
          <w:highlight w:val="none"/>
        </w:rPr>
        <w:t>天内，对监理人书面提交并要求做出决定的事宜给予书面答复。</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4. 违约责任</w:t>
      </w:r>
    </w:p>
    <w:p>
      <w:pPr>
        <w:pageBreakBefore w:val="0"/>
        <w:topLinePunct w:val="0"/>
        <w:bidi w:val="0"/>
        <w:spacing w:line="360" w:lineRule="auto"/>
        <w:ind w:left="0" w:leftChars="0" w:right="0" w:rightChars="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4.1 监理人的违约责任</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 xml:space="preserve">4.1.1 监理人赔偿金额按下列方法确定： </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 xml:space="preserve">监理人服务期间失职，造成委托人经济损失的，依法承担赔偿责任。 </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 xml:space="preserve">4.1.2 办理报建手续时，监理提供的项目总监理工程师、总监理代表必须与投标文件一致，否则委托人有权终止本合同并由监理人承担相应违约责任；监理人委派的项目总监理工程师，须严格执行并落实总监负责制，全面领导和负责本项目的监理工作，常驻现场，并承诺确保每月不少于 10 天在施工现场，如果少于 10 天，每缺一天扣款 2000 元，累计超过 10 天，委托人有权终止本合同并由监理人承担相应违约责任。 </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4.1.3 监理人选派到该项目监理的监理工程师、各专业人员和人数必须与投标文件中所提交一致，并依照监理人提供的监理规划及旁站监理方案来执行，常驻现场并承诺确保一星期不少于</w:t>
      </w:r>
      <w:r>
        <w:rPr>
          <w:rStyle w:val="50"/>
          <w:rFonts w:hint="eastAsia" w:ascii="宋体" w:hAnsi="宋体" w:cs="宋体"/>
          <w:color w:val="auto"/>
          <w:kern w:val="0"/>
          <w:sz w:val="22"/>
          <w:szCs w:val="22"/>
          <w:highlight w:val="none"/>
          <w:lang w:val="en-US"/>
        </w:rPr>
        <w:t xml:space="preserve"> 5 </w:t>
      </w:r>
      <w:r>
        <w:rPr>
          <w:rStyle w:val="50"/>
          <w:rFonts w:hint="eastAsia" w:ascii="宋体" w:hAnsi="宋体" w:eastAsia="宋体" w:cs="宋体"/>
          <w:color w:val="auto"/>
          <w:kern w:val="0"/>
          <w:sz w:val="22"/>
          <w:szCs w:val="22"/>
          <w:highlight w:val="none"/>
        </w:rPr>
        <w:t>天在施工现场，不一致或不到位者(特殊原因除外)，委托人第一次发现扣款 2000 元/人次，第二次扣款 5000 元/人次，第三次扣款 10000元/人次，扣款超过三次的除所扣款项不退还外，委托人有权要求更换同等条件的监理人员，直至其满足投标文件要求；如更换后仍然不能满足招投标文件要求的，委托人有权单方解除合同，并将监理人按不响应招标文件通报上级主管部门处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4.1.4</w:t>
      </w:r>
      <w:r>
        <w:rPr>
          <w:rStyle w:val="50"/>
          <w:rFonts w:hint="eastAsia" w:ascii="宋体" w:hAnsi="宋体" w:cs="宋体"/>
          <w:color w:val="auto"/>
          <w:kern w:val="0"/>
          <w:sz w:val="22"/>
          <w:szCs w:val="22"/>
          <w:highlight w:val="none"/>
          <w:lang w:val="en-US"/>
        </w:rPr>
        <w:t xml:space="preserve"> </w:t>
      </w:r>
      <w:r>
        <w:rPr>
          <w:rStyle w:val="50"/>
          <w:rFonts w:hint="eastAsia" w:ascii="宋体" w:hAnsi="宋体" w:eastAsia="宋体" w:cs="宋体"/>
          <w:color w:val="auto"/>
          <w:kern w:val="0"/>
          <w:sz w:val="22"/>
          <w:szCs w:val="22"/>
          <w:highlight w:val="none"/>
        </w:rPr>
        <w:t>监理人赔偿金额按下列方法确定：</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sz w:val="22"/>
          <w:szCs w:val="22"/>
          <w:highlight w:val="none"/>
        </w:rPr>
        <w:t>赔偿金＝直接经济损失×正常工作酬金÷工程概算</w:t>
      </w:r>
      <w:r>
        <w:rPr>
          <w:rStyle w:val="50"/>
          <w:rFonts w:hint="eastAsia" w:ascii="宋体" w:hAnsi="宋体" w:eastAsia="宋体" w:cs="宋体"/>
          <w:color w:val="auto"/>
          <w:kern w:val="0"/>
          <w:sz w:val="22"/>
          <w:szCs w:val="22"/>
          <w:highlight w:val="none"/>
        </w:rPr>
        <w:t>投资额（或建筑安装工程费）</w:t>
      </w:r>
    </w:p>
    <w:p>
      <w:pPr>
        <w:pageBreakBefore w:val="0"/>
        <w:topLinePunct w:val="0"/>
        <w:bidi w:val="0"/>
        <w:snapToGrid w:val="0"/>
        <w:spacing w:line="360" w:lineRule="auto"/>
        <w:ind w:left="0" w:leftChars="0" w:right="0" w:rightChars="0" w:firstLine="220" w:firstLineChars="1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4.2 委托人的违约责任</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sz w:val="22"/>
          <w:szCs w:val="22"/>
          <w:highlight w:val="none"/>
        </w:rPr>
        <w:t>4.2.3 委托人</w:t>
      </w:r>
      <w:r>
        <w:rPr>
          <w:rStyle w:val="50"/>
          <w:rFonts w:hint="eastAsia" w:ascii="宋体" w:hAnsi="宋体" w:eastAsia="宋体" w:cs="宋体"/>
          <w:color w:val="auto"/>
          <w:kern w:val="0"/>
          <w:sz w:val="22"/>
          <w:szCs w:val="22"/>
          <w:highlight w:val="none"/>
        </w:rPr>
        <w:t>逾期付款利息按下列方法确定：</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逾期付款利息＝当期应付款总额×银行同期贷款日利率（年利率/365）×拖延支付天数。</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5. 支付</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 xml:space="preserve">  5.1 </w:t>
      </w:r>
      <w:r>
        <w:rPr>
          <w:rStyle w:val="50"/>
          <w:rFonts w:hint="eastAsia" w:ascii="宋体" w:hAnsi="宋体" w:eastAsia="宋体" w:cs="宋体"/>
          <w:bCs/>
          <w:color w:val="auto"/>
          <w:sz w:val="22"/>
          <w:szCs w:val="22"/>
          <w:highlight w:val="none"/>
        </w:rPr>
        <w:t>支付货币</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币种为：</w:t>
      </w:r>
      <w:r>
        <w:rPr>
          <w:rStyle w:val="50"/>
          <w:rFonts w:hint="eastAsia" w:ascii="宋体" w:hAnsi="宋体" w:eastAsia="宋体" w:cs="宋体"/>
          <w:color w:val="auto"/>
          <w:sz w:val="22"/>
          <w:szCs w:val="22"/>
          <w:highlight w:val="none"/>
          <w:u w:val="single"/>
        </w:rPr>
        <w:t xml:space="preserve">  人民币   </w:t>
      </w:r>
      <w:r>
        <w:rPr>
          <w:rStyle w:val="50"/>
          <w:rFonts w:hint="eastAsia" w:ascii="宋体" w:hAnsi="宋体" w:eastAsia="宋体" w:cs="宋体"/>
          <w:color w:val="auto"/>
          <w:sz w:val="22"/>
          <w:szCs w:val="22"/>
          <w:highlight w:val="none"/>
        </w:rPr>
        <w:t>，比例为：</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color w:val="auto"/>
          <w:sz w:val="22"/>
          <w:szCs w:val="22"/>
          <w:highlight w:val="none"/>
        </w:rPr>
        <w:t>，汇率为：</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color w:val="auto"/>
          <w:sz w:val="22"/>
          <w:szCs w:val="22"/>
          <w:highlight w:val="none"/>
        </w:rPr>
        <w:t xml:space="preserve">。 </w:t>
      </w:r>
    </w:p>
    <w:p>
      <w:pPr>
        <w:pageBreakBefore w:val="0"/>
        <w:topLinePunct w:val="0"/>
        <w:bidi w:val="0"/>
        <w:snapToGrid w:val="0"/>
        <w:spacing w:line="360" w:lineRule="auto"/>
        <w:ind w:left="0" w:leftChars="0" w:right="0" w:rightChars="0" w:firstLine="220" w:firstLineChars="1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5.3 支付酬金</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5.3.1</w:t>
      </w:r>
      <w:r>
        <w:rPr>
          <w:rStyle w:val="50"/>
          <w:rFonts w:hint="eastAsia" w:ascii="宋体" w:hAnsi="宋体" w:cs="宋体"/>
          <w:color w:val="auto"/>
          <w:sz w:val="22"/>
          <w:szCs w:val="22"/>
          <w:highlight w:val="none"/>
          <w:lang w:val="en-US"/>
        </w:rPr>
        <w:t xml:space="preserve"> </w:t>
      </w:r>
      <w:r>
        <w:rPr>
          <w:rStyle w:val="50"/>
          <w:rFonts w:hint="eastAsia" w:ascii="宋体" w:hAnsi="宋体" w:eastAsia="宋体" w:cs="宋体"/>
          <w:color w:val="auto"/>
          <w:sz w:val="22"/>
          <w:szCs w:val="22"/>
          <w:highlight w:val="none"/>
        </w:rPr>
        <w:t xml:space="preserve">委托人同意按以下的计算方法、支付时间与金额支付监理人的酬金： </w:t>
      </w:r>
    </w:p>
    <w:p>
      <w:pPr>
        <w:pageBreakBefore w:val="0"/>
        <w:topLinePunct w:val="0"/>
        <w:bidi w:val="0"/>
        <w:snapToGrid w:val="0"/>
        <w:spacing w:line="360" w:lineRule="auto"/>
        <w:ind w:left="0" w:leftChars="0" w:right="0" w:rightChars="0" w:firstLine="440" w:firstLineChars="200"/>
        <w:rPr>
          <w:rStyle w:val="50"/>
          <w:rFonts w:hint="eastAsia" w:ascii="宋体" w:hAnsi="宋体" w:cs="宋体"/>
          <w:color w:val="auto"/>
          <w:kern w:val="2"/>
          <w:sz w:val="22"/>
          <w:szCs w:val="22"/>
          <w:highlight w:val="none"/>
          <w:u w:val="wave"/>
        </w:rPr>
      </w:pPr>
      <w:r>
        <w:rPr>
          <w:rStyle w:val="50"/>
          <w:rFonts w:hint="eastAsia" w:ascii="宋体" w:hAnsi="宋体" w:eastAsia="宋体" w:cs="宋体"/>
          <w:color w:val="auto"/>
          <w:kern w:val="0"/>
          <w:sz w:val="22"/>
          <w:szCs w:val="22"/>
          <w:highlight w:val="none"/>
          <w:u w:val="none"/>
        </w:rPr>
        <w:t>本工程以</w:t>
      </w:r>
      <w:r>
        <w:rPr>
          <w:rStyle w:val="50"/>
          <w:rFonts w:hint="eastAsia" w:ascii="宋体" w:hAnsi="宋体" w:cs="宋体"/>
          <w:color w:val="auto"/>
          <w:kern w:val="2"/>
          <w:sz w:val="22"/>
          <w:szCs w:val="22"/>
          <w:highlight w:val="none"/>
          <w:u w:val="none"/>
          <w:lang w:val="en-US"/>
        </w:rPr>
        <w:t>暂定建筑面积47341.33㎡为</w:t>
      </w:r>
      <w:r>
        <w:rPr>
          <w:rStyle w:val="50"/>
          <w:rFonts w:hint="eastAsia" w:ascii="宋体" w:hAnsi="宋体" w:cs="宋体"/>
          <w:color w:val="auto"/>
          <w:kern w:val="2"/>
          <w:sz w:val="22"/>
          <w:szCs w:val="22"/>
          <w:highlight w:val="none"/>
          <w:u w:val="none"/>
        </w:rPr>
        <w:t>计费额，暂定监理费</w:t>
      </w:r>
      <w:r>
        <w:rPr>
          <w:rStyle w:val="50"/>
          <w:rFonts w:hint="eastAsia" w:ascii="宋体" w:hAnsi="宋体" w:cs="宋体"/>
          <w:color w:val="auto"/>
          <w:kern w:val="2"/>
          <w:sz w:val="22"/>
          <w:szCs w:val="22"/>
          <w:highlight w:val="none"/>
          <w:u w:val="none"/>
          <w:lang w:val="en-US"/>
        </w:rPr>
        <w:t xml:space="preserve">     元/㎡（按监理人中标价）</w:t>
      </w:r>
      <w:r>
        <w:rPr>
          <w:rStyle w:val="50"/>
          <w:rFonts w:hint="eastAsia" w:ascii="宋体" w:hAnsi="宋体" w:cs="宋体"/>
          <w:color w:val="auto"/>
          <w:kern w:val="2"/>
          <w:sz w:val="22"/>
          <w:szCs w:val="22"/>
          <w:highlight w:val="none"/>
          <w:u w:val="none"/>
        </w:rPr>
        <w:t>，计算得暂定监理服务</w:t>
      </w:r>
      <w:r>
        <w:rPr>
          <w:rStyle w:val="50"/>
          <w:rFonts w:hint="eastAsia" w:ascii="宋体" w:hAnsi="宋体" w:cs="宋体"/>
          <w:color w:val="auto"/>
          <w:kern w:val="2"/>
          <w:sz w:val="22"/>
          <w:szCs w:val="22"/>
          <w:highlight w:val="none"/>
          <w:u w:val="none"/>
          <w:lang w:val="en-US"/>
        </w:rPr>
        <w:t>费为</w:t>
      </w:r>
      <w:r>
        <w:rPr>
          <w:rStyle w:val="50"/>
          <w:rFonts w:hint="eastAsia" w:ascii="宋体" w:hAnsi="宋体" w:cs="宋体"/>
          <w:color w:val="auto"/>
          <w:kern w:val="2"/>
          <w:sz w:val="22"/>
          <w:szCs w:val="22"/>
          <w:highlight w:val="none"/>
          <w:u w:val="none"/>
        </w:rPr>
        <w:t xml:space="preserve">  </w:t>
      </w:r>
      <w:r>
        <w:rPr>
          <w:rStyle w:val="50"/>
          <w:rFonts w:hint="eastAsia" w:ascii="宋体" w:hAnsi="宋体" w:cs="宋体"/>
          <w:color w:val="auto"/>
          <w:kern w:val="2"/>
          <w:sz w:val="22"/>
          <w:szCs w:val="22"/>
          <w:highlight w:val="none"/>
          <w:u w:val="none"/>
          <w:lang w:val="en-US"/>
        </w:rPr>
        <w:t xml:space="preserve">   </w:t>
      </w:r>
      <w:r>
        <w:rPr>
          <w:rStyle w:val="50"/>
          <w:rFonts w:hint="eastAsia" w:ascii="宋体" w:hAnsi="宋体" w:cs="宋体"/>
          <w:color w:val="auto"/>
          <w:kern w:val="2"/>
          <w:sz w:val="22"/>
          <w:szCs w:val="22"/>
          <w:highlight w:val="none"/>
          <w:u w:val="none"/>
        </w:rPr>
        <w:t xml:space="preserve"> 万元。</w:t>
      </w:r>
    </w:p>
    <w:p>
      <w:pPr>
        <w:snapToGrid w:val="0"/>
        <w:spacing w:line="360" w:lineRule="auto"/>
        <w:ind w:firstLine="422" w:firstLineChars="192"/>
        <w:rPr>
          <w:rFonts w:hint="eastAsia" w:ascii="宋体" w:hAnsi="宋体" w:cs="宋体"/>
          <w:color w:val="auto"/>
          <w:sz w:val="22"/>
          <w:szCs w:val="22"/>
          <w:highlight w:val="none"/>
        </w:rPr>
      </w:pPr>
      <w:r>
        <w:rPr>
          <w:rStyle w:val="50"/>
          <w:rFonts w:hint="eastAsia" w:ascii="宋体" w:hAnsi="宋体" w:eastAsia="宋体" w:cs="宋体"/>
          <w:color w:val="auto"/>
          <w:kern w:val="0"/>
          <w:sz w:val="22"/>
          <w:szCs w:val="22"/>
          <w:highlight w:val="none"/>
        </w:rPr>
        <w:t>（1）</w:t>
      </w:r>
      <w:r>
        <w:rPr>
          <w:rFonts w:hint="eastAsia" w:ascii="宋体" w:hAnsi="宋体" w:cs="宋体"/>
          <w:color w:val="auto"/>
          <w:sz w:val="22"/>
          <w:szCs w:val="22"/>
          <w:highlight w:val="none"/>
        </w:rPr>
        <w:t>合同生效后之日起60</w:t>
      </w:r>
      <w:r>
        <w:rPr>
          <w:rFonts w:hint="eastAsia" w:ascii="宋体" w:hAnsi="宋体" w:cs="宋体"/>
          <w:color w:val="auto"/>
          <w:sz w:val="22"/>
          <w:szCs w:val="22"/>
          <w:highlight w:val="none"/>
          <w:lang w:val="en-US" w:eastAsia="zh-CN"/>
        </w:rPr>
        <w:t>天</w:t>
      </w:r>
      <w:r>
        <w:rPr>
          <w:rFonts w:hint="eastAsia" w:ascii="宋体" w:hAnsi="宋体" w:cs="宋体"/>
          <w:color w:val="auto"/>
          <w:sz w:val="22"/>
          <w:szCs w:val="22"/>
          <w:highlight w:val="none"/>
        </w:rPr>
        <w:t>内，经监理人</w:t>
      </w:r>
      <w:r>
        <w:rPr>
          <w:rFonts w:hint="eastAsia" w:ascii="宋体" w:hAnsi="宋体" w:cs="宋体"/>
          <w:color w:val="auto"/>
          <w:sz w:val="22"/>
          <w:szCs w:val="22"/>
          <w:highlight w:val="none"/>
          <w:lang w:val="en-US" w:eastAsia="zh-CN"/>
        </w:rPr>
        <w:t>书面</w:t>
      </w:r>
      <w:r>
        <w:rPr>
          <w:rFonts w:hint="eastAsia" w:ascii="宋体" w:hAnsi="宋体" w:cs="宋体"/>
          <w:color w:val="auto"/>
          <w:sz w:val="22"/>
          <w:szCs w:val="22"/>
          <w:highlight w:val="none"/>
        </w:rPr>
        <w:t>申请，向监理人支付</w:t>
      </w:r>
      <w:r>
        <w:rPr>
          <w:rStyle w:val="50"/>
          <w:rFonts w:hint="eastAsia" w:ascii="宋体" w:hAnsi="宋体" w:eastAsia="宋体" w:cs="宋体"/>
          <w:color w:val="auto"/>
          <w:kern w:val="0"/>
          <w:sz w:val="22"/>
          <w:szCs w:val="22"/>
          <w:highlight w:val="none"/>
        </w:rPr>
        <w:t>监理服务费签约合同价</w:t>
      </w:r>
      <w:r>
        <w:rPr>
          <w:rFonts w:hint="eastAsia" w:ascii="宋体" w:hAnsi="宋体" w:cs="宋体"/>
          <w:color w:val="auto"/>
          <w:sz w:val="22"/>
          <w:szCs w:val="22"/>
          <w:highlight w:val="none"/>
        </w:rPr>
        <w:t>的5%作为首期监理服务费；</w:t>
      </w:r>
    </w:p>
    <w:p>
      <w:pPr>
        <w:tabs>
          <w:tab w:val="left" w:pos="645"/>
        </w:tabs>
        <w:snapToGrid w:val="0"/>
        <w:spacing w:line="360" w:lineRule="auto"/>
        <w:ind w:firstLine="544"/>
        <w:rPr>
          <w:rFonts w:hint="eastAsia" w:ascii="宋体" w:hAnsi="宋体" w:cs="宋体"/>
          <w:color w:val="auto"/>
          <w:sz w:val="22"/>
          <w:szCs w:val="22"/>
          <w:highlight w:val="none"/>
        </w:rPr>
      </w:pPr>
      <w:r>
        <w:rPr>
          <w:rFonts w:hint="eastAsia" w:ascii="宋体" w:hAnsi="宋体" w:cs="宋体"/>
          <w:color w:val="auto"/>
          <w:sz w:val="22"/>
          <w:szCs w:val="22"/>
          <w:highlight w:val="none"/>
        </w:rPr>
        <w:t>（2）施工期间监理服务费进度款按季度支付，每季度第</w:t>
      </w:r>
      <w:r>
        <w:rPr>
          <w:rFonts w:hint="eastAsia" w:ascii="宋体" w:hAnsi="宋体" w:cs="宋体"/>
          <w:color w:val="auto"/>
          <w:sz w:val="22"/>
          <w:szCs w:val="22"/>
          <w:highlight w:val="none"/>
          <w:lang w:val="en-US" w:eastAsia="zh-CN"/>
        </w:rPr>
        <w:t>三</w:t>
      </w:r>
      <w:r>
        <w:rPr>
          <w:rFonts w:hint="eastAsia" w:ascii="宋体" w:hAnsi="宋体" w:cs="宋体"/>
          <w:color w:val="auto"/>
          <w:sz w:val="22"/>
          <w:szCs w:val="22"/>
          <w:highlight w:val="none"/>
        </w:rPr>
        <w:t>个月初，监理人提出</w:t>
      </w:r>
      <w:r>
        <w:rPr>
          <w:rFonts w:hint="eastAsia" w:ascii="宋体" w:hAnsi="宋体" w:cs="宋体"/>
          <w:color w:val="auto"/>
          <w:sz w:val="22"/>
          <w:szCs w:val="22"/>
          <w:highlight w:val="none"/>
          <w:lang w:val="en-US" w:eastAsia="zh-CN"/>
        </w:rPr>
        <w:t>书面</w:t>
      </w:r>
      <w:r>
        <w:rPr>
          <w:rFonts w:hint="eastAsia" w:ascii="宋体" w:hAnsi="宋体" w:cs="宋体"/>
          <w:color w:val="auto"/>
          <w:sz w:val="22"/>
          <w:szCs w:val="22"/>
          <w:highlight w:val="none"/>
        </w:rPr>
        <w:t>付款申请</w:t>
      </w:r>
      <w:r>
        <w:rPr>
          <w:rFonts w:hint="eastAsia" w:ascii="宋体" w:hAnsi="宋体" w:cs="宋体"/>
          <w:color w:val="auto"/>
          <w:sz w:val="22"/>
          <w:szCs w:val="22"/>
          <w:highlight w:val="none"/>
          <w:lang w:val="en-US" w:eastAsia="zh-CN"/>
        </w:rPr>
        <w:t>并</w:t>
      </w:r>
      <w:r>
        <w:rPr>
          <w:rFonts w:hint="eastAsia" w:ascii="宋体" w:hAnsi="宋体" w:cs="宋体"/>
          <w:color w:val="auto"/>
          <w:sz w:val="22"/>
          <w:szCs w:val="22"/>
          <w:highlight w:val="none"/>
        </w:rPr>
        <w:t>经委托人</w:t>
      </w:r>
      <w:r>
        <w:rPr>
          <w:rFonts w:hint="eastAsia" w:ascii="宋体" w:hAnsi="宋体" w:cs="宋体"/>
          <w:color w:val="auto"/>
          <w:sz w:val="22"/>
          <w:szCs w:val="22"/>
          <w:highlight w:val="none"/>
          <w:lang w:val="en-US" w:eastAsia="zh-CN"/>
        </w:rPr>
        <w:t>审核确认后</w:t>
      </w:r>
      <w:r>
        <w:rPr>
          <w:rFonts w:hint="eastAsia" w:ascii="宋体" w:hAnsi="宋体" w:cs="宋体"/>
          <w:color w:val="auto"/>
          <w:sz w:val="22"/>
          <w:szCs w:val="22"/>
          <w:highlight w:val="none"/>
        </w:rPr>
        <w:t>，监理人提交等额合法增值税专用发票后30个工作日内，委托人</w:t>
      </w:r>
      <w:r>
        <w:rPr>
          <w:rFonts w:hint="eastAsia" w:ascii="宋体" w:hAnsi="宋体" w:cs="宋体"/>
          <w:color w:val="auto"/>
          <w:sz w:val="22"/>
          <w:szCs w:val="22"/>
          <w:highlight w:val="none"/>
          <w:lang w:val="en-US" w:eastAsia="zh-CN"/>
        </w:rPr>
        <w:t>按（监理服务费签约合同价*</w:t>
      </w:r>
      <w:r>
        <w:rPr>
          <w:rFonts w:hint="eastAsia" w:ascii="宋体" w:hAnsi="宋体" w:cs="宋体"/>
          <w:bCs/>
          <w:color w:val="auto"/>
          <w:sz w:val="22"/>
          <w:szCs w:val="22"/>
          <w:highlight w:val="none"/>
          <w:lang w:val="en-US" w:eastAsia="zh-CN"/>
        </w:rPr>
        <w:t>本季度施工产值</w:t>
      </w:r>
      <w:r>
        <w:rPr>
          <w:rFonts w:hint="eastAsia" w:ascii="宋体" w:hAnsi="宋体" w:cs="宋体"/>
          <w:bCs/>
          <w:color w:val="auto"/>
          <w:sz w:val="22"/>
          <w:szCs w:val="22"/>
          <w:highlight w:val="none"/>
        </w:rPr>
        <w:t>/</w:t>
      </w:r>
      <w:r>
        <w:rPr>
          <w:rFonts w:hint="eastAsia" w:ascii="宋体" w:hAnsi="宋体" w:cs="宋体"/>
          <w:bCs/>
          <w:color w:val="auto"/>
          <w:sz w:val="22"/>
          <w:szCs w:val="22"/>
          <w:highlight w:val="none"/>
          <w:lang w:val="en-US" w:eastAsia="zh-CN"/>
        </w:rPr>
        <w:t>施工合同签约合同价</w:t>
      </w:r>
      <w:r>
        <w:rPr>
          <w:rFonts w:hint="eastAsia" w:ascii="宋体" w:hAnsi="宋体" w:cs="宋体"/>
          <w:bCs/>
          <w:color w:val="auto"/>
          <w:sz w:val="22"/>
          <w:szCs w:val="22"/>
          <w:highlight w:val="none"/>
        </w:rPr>
        <w:t>*</w:t>
      </w:r>
      <w:r>
        <w:rPr>
          <w:rFonts w:hint="eastAsia" w:ascii="宋体" w:hAnsi="宋体" w:cs="宋体"/>
          <w:bCs/>
          <w:color w:val="auto"/>
          <w:sz w:val="22"/>
          <w:szCs w:val="22"/>
          <w:highlight w:val="none"/>
          <w:lang w:val="en-US" w:eastAsia="zh-CN"/>
        </w:rPr>
        <w:t>85</w:t>
      </w:r>
      <w:r>
        <w:rPr>
          <w:rFonts w:hint="eastAsia" w:ascii="宋体" w:hAnsi="宋体" w:cs="宋体"/>
          <w:bCs/>
          <w:color w:val="auto"/>
          <w:sz w:val="22"/>
          <w:szCs w:val="22"/>
          <w:highlight w:val="none"/>
        </w:rPr>
        <w:t>%</w:t>
      </w:r>
      <w:r>
        <w:rPr>
          <w:rFonts w:hint="eastAsia" w:ascii="宋体" w:hAnsi="宋体" w:cs="宋体"/>
          <w:color w:val="auto"/>
          <w:sz w:val="22"/>
          <w:szCs w:val="22"/>
          <w:highlight w:val="none"/>
          <w:lang w:val="en-US" w:eastAsia="zh-CN"/>
        </w:rPr>
        <w:t>）</w:t>
      </w:r>
      <w:r>
        <w:rPr>
          <w:rFonts w:hint="eastAsia" w:ascii="宋体" w:hAnsi="宋体" w:cs="宋体"/>
          <w:color w:val="auto"/>
          <w:sz w:val="22"/>
          <w:szCs w:val="22"/>
          <w:highlight w:val="none"/>
        </w:rPr>
        <w:t>支付监理服务费，累计支付至</w:t>
      </w:r>
      <w:r>
        <w:rPr>
          <w:rFonts w:hint="eastAsia" w:ascii="宋体" w:hAnsi="宋体" w:cs="宋体"/>
          <w:color w:val="auto"/>
          <w:sz w:val="22"/>
          <w:szCs w:val="22"/>
          <w:highlight w:val="none"/>
          <w:lang w:val="en-US" w:eastAsia="zh-CN"/>
        </w:rPr>
        <w:t>监理服务费签约合同价</w:t>
      </w:r>
      <w:r>
        <w:rPr>
          <w:rFonts w:hint="eastAsia" w:ascii="宋体" w:hAnsi="宋体" w:cs="宋体"/>
          <w:color w:val="auto"/>
          <w:sz w:val="22"/>
          <w:szCs w:val="22"/>
          <w:highlight w:val="none"/>
        </w:rPr>
        <w:t>的90%时停止支付。</w:t>
      </w:r>
    </w:p>
    <w:p>
      <w:pPr>
        <w:snapToGrid w:val="0"/>
        <w:spacing w:line="360" w:lineRule="auto"/>
        <w:ind w:firstLine="422" w:firstLineChars="192"/>
        <w:rPr>
          <w:rFonts w:hint="eastAsia" w:ascii="宋体" w:hAnsi="宋体" w:cs="宋体"/>
          <w:color w:val="auto"/>
          <w:sz w:val="22"/>
          <w:szCs w:val="22"/>
          <w:highlight w:val="none"/>
        </w:rPr>
      </w:pPr>
      <w:r>
        <w:rPr>
          <w:rFonts w:hint="eastAsia" w:ascii="宋体" w:hAnsi="宋体" w:cs="宋体"/>
          <w:color w:val="auto"/>
          <w:sz w:val="22"/>
          <w:szCs w:val="22"/>
          <w:highlight w:val="none"/>
        </w:rPr>
        <w:t>（3）本工程办理完竣工验收或工程项目投入使用后，监理人提出</w:t>
      </w:r>
      <w:r>
        <w:rPr>
          <w:rFonts w:hint="eastAsia" w:ascii="宋体" w:hAnsi="宋体" w:cs="宋体"/>
          <w:color w:val="auto"/>
          <w:sz w:val="22"/>
          <w:szCs w:val="22"/>
          <w:highlight w:val="none"/>
          <w:lang w:val="en-US" w:eastAsia="zh-CN"/>
        </w:rPr>
        <w:t>书面</w:t>
      </w:r>
      <w:r>
        <w:rPr>
          <w:rFonts w:hint="eastAsia" w:ascii="宋体" w:hAnsi="宋体" w:cs="宋体"/>
          <w:color w:val="auto"/>
          <w:sz w:val="22"/>
          <w:szCs w:val="22"/>
          <w:highlight w:val="none"/>
        </w:rPr>
        <w:t>付款申请经委托人</w:t>
      </w:r>
      <w:r>
        <w:rPr>
          <w:rFonts w:hint="eastAsia" w:ascii="宋体" w:hAnsi="宋体" w:cs="宋体"/>
          <w:color w:val="auto"/>
          <w:sz w:val="22"/>
          <w:szCs w:val="22"/>
          <w:highlight w:val="none"/>
          <w:lang w:val="en-US" w:eastAsia="zh-CN"/>
        </w:rPr>
        <w:t>审核确认后</w:t>
      </w:r>
      <w:r>
        <w:rPr>
          <w:rFonts w:hint="eastAsia" w:ascii="宋体" w:hAnsi="宋体" w:cs="宋体"/>
          <w:color w:val="auto"/>
          <w:sz w:val="22"/>
          <w:szCs w:val="22"/>
          <w:highlight w:val="none"/>
        </w:rPr>
        <w:t>，监理人提交增值税专用发票（其中发票开至合同结算总价的100%）后30个工作日内，委托人向监理人支付至监理酬金的97%。</w:t>
      </w:r>
    </w:p>
    <w:p>
      <w:pPr>
        <w:snapToGrid w:val="0"/>
        <w:spacing w:line="360" w:lineRule="auto"/>
        <w:ind w:firstLine="422" w:firstLineChars="192"/>
        <w:rPr>
          <w:rFonts w:hint="eastAsia" w:ascii="宋体" w:hAnsi="宋体" w:cs="宋体"/>
          <w:color w:val="auto"/>
          <w:sz w:val="22"/>
          <w:szCs w:val="22"/>
          <w:highlight w:val="none"/>
        </w:rPr>
      </w:pPr>
      <w:r>
        <w:rPr>
          <w:rFonts w:hint="eastAsia" w:ascii="宋体" w:hAnsi="宋体" w:cs="宋体"/>
          <w:color w:val="auto"/>
          <w:sz w:val="22"/>
          <w:szCs w:val="22"/>
          <w:highlight w:val="none"/>
        </w:rPr>
        <w:t>（4）其余3%尾款自竣工验收之日起满两年后，监理人完成所有保修期监理服务，委托人在30个日历天内一次拨付完毕。</w:t>
      </w:r>
    </w:p>
    <w:p>
      <w:pPr>
        <w:snapToGrid w:val="0"/>
        <w:spacing w:line="360" w:lineRule="auto"/>
        <w:ind w:firstLine="422" w:firstLineChars="192"/>
        <w:rPr>
          <w:rFonts w:hint="eastAsia" w:ascii="宋体" w:hAnsi="宋体" w:cs="宋体"/>
          <w:color w:val="auto"/>
          <w:sz w:val="22"/>
          <w:szCs w:val="22"/>
          <w:highlight w:val="none"/>
        </w:rPr>
      </w:pPr>
      <w:r>
        <w:rPr>
          <w:rFonts w:hint="eastAsia" w:ascii="宋体" w:hAnsi="宋体" w:cs="宋体"/>
          <w:color w:val="auto"/>
          <w:sz w:val="22"/>
          <w:szCs w:val="22"/>
          <w:highlight w:val="none"/>
        </w:rPr>
        <w:t>5.3.</w:t>
      </w: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 xml:space="preserve"> 每笔款项支付前，监理人应按委托人要求提交付款申请及相应等额合法有效的增值税专用发票。上述所有款项均通过转帐方式支付至本合同约定的监理人所属的合法银行帐户，付款时间以委托人付款凭证时间为准，因非委托人原因（如银行延误等）造成监理人延迟收到款项的，委托人不承担违约责任。</w:t>
      </w:r>
      <w:r>
        <w:rPr>
          <w:rFonts w:hint="eastAsia" w:ascii="宋体" w:hAnsi="宋体" w:cs="宋体"/>
          <w:color w:val="auto"/>
          <w:sz w:val="22"/>
          <w:szCs w:val="22"/>
          <w:highlight w:val="none"/>
          <w:lang w:val="en-US" w:eastAsia="zh-CN"/>
        </w:rPr>
        <w:t>监理人</w:t>
      </w:r>
      <w:r>
        <w:rPr>
          <w:rFonts w:hint="eastAsia" w:ascii="宋体" w:hAnsi="宋体" w:cs="宋体"/>
          <w:color w:val="auto"/>
          <w:sz w:val="22"/>
          <w:szCs w:val="22"/>
          <w:highlight w:val="none"/>
        </w:rPr>
        <w:t>开具的发票须符合国家税收法规政策要求</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因</w:t>
      </w:r>
      <w:r>
        <w:rPr>
          <w:rFonts w:hint="eastAsia" w:ascii="宋体" w:hAnsi="宋体" w:cs="宋体"/>
          <w:color w:val="auto"/>
          <w:sz w:val="22"/>
          <w:szCs w:val="22"/>
          <w:highlight w:val="none"/>
          <w:lang w:val="en-US" w:eastAsia="zh-CN"/>
        </w:rPr>
        <w:t>监理</w:t>
      </w:r>
      <w:r>
        <w:rPr>
          <w:rFonts w:hint="eastAsia" w:ascii="宋体" w:hAnsi="宋体" w:cs="宋体"/>
          <w:color w:val="auto"/>
          <w:sz w:val="22"/>
          <w:szCs w:val="22"/>
          <w:highlight w:val="none"/>
          <w:lang w:eastAsia="zh-CN"/>
        </w:rPr>
        <w:t>人</w:t>
      </w:r>
      <w:r>
        <w:rPr>
          <w:rFonts w:hint="eastAsia" w:ascii="宋体" w:hAnsi="宋体" w:cs="宋体"/>
          <w:color w:val="auto"/>
          <w:sz w:val="22"/>
          <w:szCs w:val="22"/>
          <w:highlight w:val="none"/>
        </w:rPr>
        <w:t>开具的发票不及时、开票不规范及其他原因导致</w:t>
      </w:r>
      <w:r>
        <w:rPr>
          <w:rFonts w:hint="eastAsia" w:ascii="宋体" w:hAnsi="宋体" w:cs="宋体"/>
          <w:color w:val="auto"/>
          <w:sz w:val="22"/>
          <w:szCs w:val="22"/>
          <w:highlight w:val="none"/>
          <w:lang w:val="en-US" w:eastAsia="zh-CN"/>
        </w:rPr>
        <w:t>委托</w:t>
      </w:r>
      <w:r>
        <w:rPr>
          <w:rFonts w:hint="eastAsia" w:ascii="宋体" w:hAnsi="宋体" w:cs="宋体"/>
          <w:color w:val="auto"/>
          <w:sz w:val="22"/>
          <w:szCs w:val="22"/>
          <w:highlight w:val="none"/>
          <w:lang w:eastAsia="zh-CN"/>
        </w:rPr>
        <w:t>人</w:t>
      </w:r>
      <w:r>
        <w:rPr>
          <w:rFonts w:hint="eastAsia" w:ascii="宋体" w:hAnsi="宋体" w:cs="宋体"/>
          <w:color w:val="auto"/>
          <w:sz w:val="22"/>
          <w:szCs w:val="22"/>
          <w:highlight w:val="none"/>
        </w:rPr>
        <w:t>无法及时认证、抵扣发票等情形，</w:t>
      </w:r>
      <w:r>
        <w:rPr>
          <w:rFonts w:hint="eastAsia" w:ascii="宋体" w:hAnsi="宋体" w:cs="宋体"/>
          <w:color w:val="auto"/>
          <w:sz w:val="22"/>
          <w:szCs w:val="22"/>
          <w:highlight w:val="none"/>
          <w:lang w:val="en-US" w:eastAsia="zh-CN"/>
        </w:rPr>
        <w:t>监理</w:t>
      </w:r>
      <w:r>
        <w:rPr>
          <w:rFonts w:hint="eastAsia" w:ascii="宋体" w:hAnsi="宋体" w:cs="宋体"/>
          <w:color w:val="auto"/>
          <w:sz w:val="22"/>
          <w:szCs w:val="22"/>
          <w:highlight w:val="none"/>
          <w:lang w:eastAsia="zh-CN"/>
        </w:rPr>
        <w:t>人</w:t>
      </w:r>
      <w:r>
        <w:rPr>
          <w:rFonts w:hint="eastAsia" w:ascii="宋体" w:hAnsi="宋体" w:cs="宋体"/>
          <w:color w:val="auto"/>
          <w:sz w:val="22"/>
          <w:szCs w:val="22"/>
          <w:highlight w:val="none"/>
        </w:rPr>
        <w:t>需向</w:t>
      </w:r>
      <w:r>
        <w:rPr>
          <w:rFonts w:hint="eastAsia" w:ascii="宋体" w:hAnsi="宋体" w:cs="宋体"/>
          <w:color w:val="auto"/>
          <w:sz w:val="22"/>
          <w:szCs w:val="22"/>
          <w:highlight w:val="none"/>
          <w:lang w:val="en-US" w:eastAsia="zh-CN"/>
        </w:rPr>
        <w:t>委托</w:t>
      </w:r>
      <w:r>
        <w:rPr>
          <w:rFonts w:hint="eastAsia" w:ascii="宋体" w:hAnsi="宋体" w:cs="宋体"/>
          <w:color w:val="auto"/>
          <w:sz w:val="22"/>
          <w:szCs w:val="22"/>
          <w:highlight w:val="none"/>
          <w:lang w:eastAsia="zh-CN"/>
        </w:rPr>
        <w:t>人</w:t>
      </w:r>
      <w:r>
        <w:rPr>
          <w:rFonts w:hint="eastAsia" w:ascii="宋体" w:hAnsi="宋体" w:cs="宋体"/>
          <w:color w:val="auto"/>
          <w:sz w:val="22"/>
          <w:szCs w:val="22"/>
          <w:highlight w:val="none"/>
        </w:rPr>
        <w:t>承担赔偿责任，包括但不限于税款、滞纳金、罚款及相关损失。</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bCs/>
          <w:color w:val="auto"/>
          <w:sz w:val="22"/>
          <w:szCs w:val="22"/>
          <w:highlight w:val="none"/>
        </w:rPr>
        <w:t>5.3.</w:t>
      </w:r>
      <w:r>
        <w:rPr>
          <w:rStyle w:val="50"/>
          <w:rFonts w:hint="eastAsia" w:ascii="宋体" w:hAnsi="宋体" w:cs="宋体"/>
          <w:bCs/>
          <w:color w:val="auto"/>
          <w:sz w:val="22"/>
          <w:szCs w:val="22"/>
          <w:highlight w:val="none"/>
          <w:lang w:val="en-US"/>
        </w:rPr>
        <w:t>3</w:t>
      </w:r>
      <w:r>
        <w:rPr>
          <w:rStyle w:val="50"/>
          <w:rFonts w:hint="eastAsia" w:ascii="宋体" w:hAnsi="宋体" w:eastAsia="宋体" w:cs="宋体"/>
          <w:bCs/>
          <w:color w:val="auto"/>
          <w:sz w:val="22"/>
          <w:szCs w:val="22"/>
          <w:highlight w:val="none"/>
        </w:rPr>
        <w:t xml:space="preserve"> 如发生本合同期限延长、内容增加时，由于监理人未按合同约定履行职责，委托人有权根据已支付监理服务费的情况，暂停支付剩余款项。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6. 合同生效、变更、暂停、解除与终止</w:t>
      </w:r>
    </w:p>
    <w:p>
      <w:pPr>
        <w:pageBreakBefore w:val="0"/>
        <w:topLinePunct w:val="0"/>
        <w:bidi w:val="0"/>
        <w:snapToGrid w:val="0"/>
        <w:spacing w:line="360" w:lineRule="auto"/>
        <w:ind w:left="0" w:leftChars="0" w:right="0" w:rightChars="0" w:firstLine="220" w:firstLineChars="1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6.1 生效</w:t>
      </w:r>
    </w:p>
    <w:p>
      <w:pPr>
        <w:pageBreakBefore w:val="0"/>
        <w:topLinePunct w:val="0"/>
        <w:bidi w:val="0"/>
        <w:snapToGrid w:val="0"/>
        <w:spacing w:line="360" w:lineRule="auto"/>
        <w:ind w:left="0" w:leftChars="0" w:right="0" w:rightChars="0" w:firstLine="48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本合同生效条件：</w:t>
      </w:r>
      <w:r>
        <w:rPr>
          <w:rStyle w:val="50"/>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rPr>
        <w:t>按通用条款执行</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pageBreakBefore w:val="0"/>
        <w:topLinePunct w:val="0"/>
        <w:bidi w:val="0"/>
        <w:snapToGrid w:val="0"/>
        <w:spacing w:line="360" w:lineRule="auto"/>
        <w:ind w:left="0" w:leftChars="0" w:right="0" w:rightChars="0" w:firstLine="220" w:firstLineChars="1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6.2 变更</w:t>
      </w:r>
    </w:p>
    <w:p>
      <w:pPr>
        <w:snapToGrid w:val="0"/>
        <w:spacing w:line="360" w:lineRule="auto"/>
        <w:ind w:firstLine="440" w:firstLineChars="200"/>
        <w:rPr>
          <w:rStyle w:val="50"/>
          <w:rFonts w:hint="default" w:ascii="宋体" w:hAnsi="宋体" w:eastAsia="宋体" w:cs="宋体"/>
          <w:color w:val="auto"/>
          <w:kern w:val="0"/>
          <w:sz w:val="22"/>
          <w:szCs w:val="22"/>
          <w:highlight w:val="none"/>
          <w:u w:val="single"/>
          <w:lang w:val="en-US"/>
        </w:rPr>
      </w:pPr>
      <w:r>
        <w:rPr>
          <w:rStyle w:val="50"/>
          <w:rFonts w:hint="eastAsia" w:ascii="宋体" w:hAnsi="宋体" w:eastAsia="宋体" w:cs="宋体"/>
          <w:color w:val="auto"/>
          <w:kern w:val="0"/>
          <w:sz w:val="22"/>
          <w:szCs w:val="22"/>
          <w:highlight w:val="none"/>
        </w:rPr>
        <w:t xml:space="preserve">6.2.1 </w:t>
      </w:r>
      <w:r>
        <w:rPr>
          <w:rStyle w:val="50"/>
          <w:rFonts w:hint="eastAsia" w:ascii="宋体" w:hAnsi="宋体" w:eastAsia="宋体" w:cs="宋体"/>
          <w:strike w:val="0"/>
          <w:dstrike w:val="0"/>
          <w:color w:val="auto"/>
          <w:kern w:val="0"/>
          <w:sz w:val="22"/>
          <w:szCs w:val="22"/>
          <w:highlight w:val="none"/>
        </w:rPr>
        <w:t>除不可抗力外，</w:t>
      </w:r>
      <w:r>
        <w:rPr>
          <w:rStyle w:val="50"/>
          <w:rFonts w:hint="eastAsia" w:ascii="宋体" w:hAnsi="宋体" w:eastAsia="宋体" w:cs="宋体"/>
          <w:color w:val="auto"/>
          <w:kern w:val="0"/>
          <w:sz w:val="22"/>
          <w:szCs w:val="22"/>
          <w:highlight w:val="none"/>
        </w:rPr>
        <w:t>因非监理人原因导致本合同期限</w:t>
      </w:r>
      <w:r>
        <w:rPr>
          <w:rStyle w:val="50"/>
          <w:rFonts w:hint="eastAsia" w:ascii="宋体" w:hAnsi="宋体" w:cs="宋体"/>
          <w:color w:val="auto"/>
          <w:kern w:val="0"/>
          <w:sz w:val="22"/>
          <w:szCs w:val="22"/>
          <w:highlight w:val="none"/>
          <w:lang w:val="en-US"/>
        </w:rPr>
        <w:t>超过40个月</w:t>
      </w:r>
      <w:r>
        <w:rPr>
          <w:rStyle w:val="50"/>
          <w:rFonts w:hint="eastAsia" w:ascii="宋体" w:hAnsi="宋体" w:eastAsia="宋体" w:cs="宋体"/>
          <w:color w:val="auto"/>
          <w:kern w:val="0"/>
          <w:sz w:val="22"/>
          <w:szCs w:val="22"/>
          <w:highlight w:val="none"/>
        </w:rPr>
        <w:t>时，延长服务</w:t>
      </w:r>
      <w:r>
        <w:rPr>
          <w:rStyle w:val="50"/>
          <w:rFonts w:hint="eastAsia" w:ascii="宋体" w:hAnsi="宋体" w:cs="宋体"/>
          <w:color w:val="auto"/>
          <w:kern w:val="0"/>
          <w:sz w:val="22"/>
          <w:szCs w:val="22"/>
          <w:highlight w:val="none"/>
          <w:lang w:val="en-US"/>
        </w:rPr>
        <w:t>月</w:t>
      </w:r>
      <w:r>
        <w:rPr>
          <w:rStyle w:val="50"/>
          <w:rFonts w:hint="eastAsia" w:ascii="宋体" w:hAnsi="宋体" w:eastAsia="宋体" w:cs="宋体"/>
          <w:color w:val="auto"/>
          <w:kern w:val="0"/>
          <w:sz w:val="22"/>
          <w:szCs w:val="22"/>
          <w:highlight w:val="none"/>
        </w:rPr>
        <w:t>数附加工作酬金按</w:t>
      </w:r>
      <w:r>
        <w:rPr>
          <w:rStyle w:val="50"/>
          <w:rFonts w:hint="eastAsia" w:ascii="宋体" w:hAnsi="宋体" w:cs="宋体"/>
          <w:color w:val="auto"/>
          <w:kern w:val="0"/>
          <w:sz w:val="22"/>
          <w:szCs w:val="22"/>
          <w:highlight w:val="none"/>
          <w:lang w:val="en-US"/>
        </w:rPr>
        <w:t>实际投入监理人员酬金，双方以补充协议协商确认。</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6.2.2 附加工作酬金方法确定：</w:t>
      </w:r>
      <w:r>
        <w:rPr>
          <w:rStyle w:val="50"/>
          <w:rFonts w:hint="eastAsia" w:ascii="宋体" w:hAnsi="宋体" w:cs="宋体"/>
          <w:color w:val="auto"/>
          <w:kern w:val="0"/>
          <w:sz w:val="22"/>
          <w:szCs w:val="22"/>
          <w:highlight w:val="none"/>
          <w:u w:val="single"/>
          <w:lang w:val="en-US"/>
        </w:rPr>
        <w:t>按本专用条件6.2.1的约定</w:t>
      </w:r>
      <w:r>
        <w:rPr>
          <w:rStyle w:val="50"/>
          <w:rFonts w:hint="eastAsia" w:ascii="宋体" w:hAnsi="宋体" w:eastAsia="宋体" w:cs="宋体"/>
          <w:color w:val="auto"/>
          <w:kern w:val="0"/>
          <w:sz w:val="22"/>
          <w:szCs w:val="22"/>
          <w:highlight w:val="none"/>
          <w:u w:val="single"/>
        </w:rPr>
        <w:t>。</w:t>
      </w:r>
    </w:p>
    <w:p>
      <w:pPr>
        <w:pageBreakBefore w:val="0"/>
        <w:topLinePunct w:val="0"/>
        <w:bidi w:val="0"/>
        <w:snapToGrid w:val="0"/>
        <w:spacing w:line="360" w:lineRule="auto"/>
        <w:ind w:left="0" w:leftChars="0" w:right="0" w:rightChars="0" w:firstLine="440" w:firstLineChars="200"/>
        <w:rPr>
          <w:rStyle w:val="50"/>
          <w:rFonts w:hint="eastAsia" w:ascii="宋体" w:hAnsi="宋体" w:cs="宋体"/>
          <w:color w:val="auto"/>
          <w:kern w:val="0"/>
          <w:sz w:val="22"/>
          <w:szCs w:val="22"/>
          <w:highlight w:val="none"/>
          <w:lang w:val="en-US"/>
        </w:rPr>
      </w:pPr>
      <w:r>
        <w:rPr>
          <w:rStyle w:val="50"/>
          <w:rFonts w:hint="eastAsia" w:ascii="宋体" w:hAnsi="宋体" w:eastAsia="宋体" w:cs="宋体"/>
          <w:color w:val="auto"/>
          <w:kern w:val="0"/>
          <w:sz w:val="22"/>
          <w:szCs w:val="22"/>
          <w:highlight w:val="none"/>
        </w:rPr>
        <w:t>6.2.3 正常工作酬金增加额方法确定：</w:t>
      </w:r>
      <w:r>
        <w:rPr>
          <w:rStyle w:val="50"/>
          <w:rFonts w:hint="eastAsia" w:ascii="宋体" w:hAnsi="宋体" w:cs="宋体"/>
          <w:color w:val="auto"/>
          <w:kern w:val="0"/>
          <w:sz w:val="22"/>
          <w:szCs w:val="22"/>
          <w:highlight w:val="none"/>
          <w:u w:val="single"/>
          <w:lang w:val="en-US"/>
        </w:rPr>
        <w:t xml:space="preserve"> </w:t>
      </w:r>
      <w:r>
        <w:rPr>
          <w:rStyle w:val="50"/>
          <w:rFonts w:hint="eastAsia" w:ascii="宋体" w:hAnsi="宋体" w:eastAsia="宋体" w:cs="宋体"/>
          <w:color w:val="auto"/>
          <w:kern w:val="0"/>
          <w:sz w:val="22"/>
          <w:szCs w:val="22"/>
          <w:highlight w:val="none"/>
          <w:u w:val="single"/>
          <w:lang w:val="en-US"/>
        </w:rPr>
        <w:t>无</w:t>
      </w:r>
      <w:r>
        <w:rPr>
          <w:rStyle w:val="50"/>
          <w:rFonts w:hint="eastAsia" w:ascii="宋体" w:hAnsi="宋体" w:cs="宋体"/>
          <w:color w:val="auto"/>
          <w:kern w:val="0"/>
          <w:sz w:val="22"/>
          <w:szCs w:val="22"/>
          <w:highlight w:val="none"/>
          <w:u w:val="single"/>
          <w:lang w:val="en-US"/>
        </w:rPr>
        <w:t xml:space="preserve"> </w:t>
      </w:r>
      <w:r>
        <w:rPr>
          <w:rStyle w:val="50"/>
          <w:rFonts w:hint="eastAsia" w:ascii="宋体" w:hAnsi="宋体" w:eastAsia="宋体" w:cs="宋体"/>
          <w:color w:val="auto"/>
          <w:kern w:val="0"/>
          <w:sz w:val="22"/>
          <w:szCs w:val="22"/>
          <w:highlight w:val="none"/>
          <w:lang w:val="en-US"/>
        </w:rPr>
        <w:t>。</w:t>
      </w:r>
    </w:p>
    <w:p>
      <w:pPr>
        <w:pageBreakBefore w:val="0"/>
        <w:topLinePunct w:val="0"/>
        <w:bidi w:val="0"/>
        <w:snapToGrid w:val="0"/>
        <w:spacing w:line="360" w:lineRule="auto"/>
        <w:ind w:left="0" w:leftChars="0" w:right="0" w:rightChars="0" w:firstLine="440" w:firstLineChars="200"/>
        <w:rPr>
          <w:rStyle w:val="50"/>
          <w:rFonts w:hint="eastAsia" w:ascii="宋体" w:hAnsi="宋体" w:cs="宋体"/>
          <w:color w:val="auto"/>
          <w:kern w:val="0"/>
          <w:sz w:val="22"/>
          <w:szCs w:val="22"/>
          <w:highlight w:val="none"/>
          <w:u w:val="single"/>
        </w:rPr>
      </w:pPr>
      <w:r>
        <w:rPr>
          <w:rStyle w:val="50"/>
          <w:rFonts w:hint="eastAsia" w:ascii="宋体" w:hAnsi="宋体" w:eastAsia="宋体" w:cs="宋体"/>
          <w:color w:val="auto"/>
          <w:kern w:val="0"/>
          <w:sz w:val="22"/>
          <w:szCs w:val="22"/>
          <w:highlight w:val="none"/>
        </w:rPr>
        <w:t>6.2.4 因工程规模、监理范围的变化导致监理人的正常工作量减少时，</w:t>
      </w:r>
      <w:r>
        <w:rPr>
          <w:rStyle w:val="50"/>
          <w:rFonts w:hint="eastAsia" w:ascii="宋体" w:hAnsi="宋体" w:cs="宋体"/>
          <w:color w:val="auto"/>
          <w:kern w:val="0"/>
          <w:sz w:val="22"/>
          <w:szCs w:val="22"/>
          <w:highlight w:val="none"/>
          <w:u w:val="single"/>
        </w:rPr>
        <w:t>按减少工作量的比例从协议书约定的正常工作酬金中扣减相同比例的酬金。</w:t>
      </w:r>
    </w:p>
    <w:p>
      <w:pPr>
        <w:snapToGrid w:val="0"/>
        <w:spacing w:line="360" w:lineRule="auto"/>
        <w:ind w:firstLine="440" w:firstLineChars="200"/>
        <w:rPr>
          <w:rStyle w:val="50"/>
          <w:rFonts w:hint="eastAsia" w:ascii="宋体" w:hAnsi="宋体" w:eastAsia="宋体" w:cs="宋体"/>
          <w:bCs/>
          <w:color w:val="auto"/>
          <w:kern w:val="0"/>
          <w:sz w:val="22"/>
          <w:szCs w:val="22"/>
          <w:highlight w:val="none"/>
        </w:rPr>
      </w:pPr>
      <w:r>
        <w:rPr>
          <w:rStyle w:val="50"/>
          <w:rFonts w:hint="eastAsia" w:ascii="宋体" w:hAnsi="宋体" w:eastAsia="宋体" w:cs="宋体"/>
          <w:bCs/>
          <w:color w:val="auto"/>
          <w:kern w:val="0"/>
          <w:sz w:val="22"/>
          <w:szCs w:val="22"/>
          <w:highlight w:val="none"/>
        </w:rPr>
        <w:t>6.2.</w:t>
      </w:r>
      <w:r>
        <w:rPr>
          <w:rStyle w:val="50"/>
          <w:rFonts w:hint="eastAsia" w:ascii="宋体" w:hAnsi="宋体" w:cs="宋体"/>
          <w:bCs/>
          <w:color w:val="auto"/>
          <w:kern w:val="0"/>
          <w:sz w:val="22"/>
          <w:szCs w:val="22"/>
          <w:highlight w:val="none"/>
          <w:lang w:val="en-US" w:eastAsia="zh-CN"/>
        </w:rPr>
        <w:t>5</w:t>
      </w:r>
      <w:r>
        <w:rPr>
          <w:rStyle w:val="50"/>
          <w:rFonts w:hint="eastAsia" w:ascii="宋体" w:hAnsi="宋体" w:eastAsia="宋体" w:cs="宋体"/>
          <w:bCs/>
          <w:color w:val="auto"/>
          <w:kern w:val="0"/>
          <w:sz w:val="22"/>
          <w:szCs w:val="22"/>
          <w:highlight w:val="none"/>
        </w:rPr>
        <w:t xml:space="preserve"> 工程因不可抗力原因造成工程延期的，施工监理工期自然顺延，但不增加工程监理报酬。</w:t>
      </w:r>
    </w:p>
    <w:p>
      <w:pPr>
        <w:snapToGrid w:val="0"/>
        <w:spacing w:line="360" w:lineRule="auto"/>
        <w:ind w:firstLine="440" w:firstLineChars="200"/>
        <w:rPr>
          <w:rStyle w:val="50"/>
          <w:rFonts w:hint="eastAsia" w:ascii="宋体" w:hAnsi="宋体" w:eastAsia="宋体" w:cs="宋体"/>
          <w:bCs/>
          <w:color w:val="auto"/>
          <w:kern w:val="0"/>
          <w:sz w:val="22"/>
          <w:szCs w:val="22"/>
          <w:highlight w:val="none"/>
        </w:rPr>
      </w:pPr>
      <w:r>
        <w:rPr>
          <w:rStyle w:val="50"/>
          <w:rFonts w:hint="eastAsia" w:ascii="宋体" w:hAnsi="宋体" w:eastAsia="宋体" w:cs="宋体"/>
          <w:bCs/>
          <w:color w:val="auto"/>
          <w:kern w:val="0"/>
          <w:sz w:val="22"/>
          <w:szCs w:val="22"/>
          <w:highlight w:val="none"/>
        </w:rPr>
        <w:t>6.2.</w:t>
      </w:r>
      <w:r>
        <w:rPr>
          <w:rStyle w:val="50"/>
          <w:rFonts w:hint="eastAsia" w:ascii="宋体" w:hAnsi="宋体" w:cs="宋体"/>
          <w:bCs/>
          <w:color w:val="auto"/>
          <w:kern w:val="0"/>
          <w:sz w:val="22"/>
          <w:szCs w:val="22"/>
          <w:highlight w:val="none"/>
          <w:lang w:val="en-US" w:eastAsia="zh-CN"/>
        </w:rPr>
        <w:t>6</w:t>
      </w:r>
      <w:r>
        <w:rPr>
          <w:rStyle w:val="50"/>
          <w:rFonts w:hint="eastAsia" w:ascii="宋体" w:hAnsi="宋体" w:eastAsia="宋体" w:cs="宋体"/>
          <w:bCs/>
          <w:color w:val="auto"/>
          <w:kern w:val="0"/>
          <w:sz w:val="22"/>
          <w:szCs w:val="22"/>
          <w:highlight w:val="none"/>
        </w:rPr>
        <w:t xml:space="preserve"> 由于监理</w:t>
      </w:r>
      <w:r>
        <w:rPr>
          <w:rStyle w:val="50"/>
          <w:rFonts w:hint="eastAsia" w:ascii="宋体" w:hAnsi="宋体" w:cs="宋体"/>
          <w:bCs/>
          <w:color w:val="auto"/>
          <w:kern w:val="0"/>
          <w:sz w:val="22"/>
          <w:szCs w:val="22"/>
          <w:highlight w:val="none"/>
          <w:lang w:val="en-US"/>
        </w:rPr>
        <w:t>人</w:t>
      </w:r>
      <w:r>
        <w:rPr>
          <w:rStyle w:val="50"/>
          <w:rFonts w:hint="eastAsia" w:ascii="宋体" w:hAnsi="宋体" w:eastAsia="宋体" w:cs="宋体"/>
          <w:bCs/>
          <w:color w:val="auto"/>
          <w:kern w:val="0"/>
          <w:sz w:val="22"/>
          <w:szCs w:val="22"/>
          <w:highlight w:val="none"/>
        </w:rPr>
        <w:t>失职而造成监理工作内容、工作量和持续时间的增加，不得计取附加工作报酬。</w:t>
      </w:r>
    </w:p>
    <w:p>
      <w:pPr>
        <w:snapToGrid w:val="0"/>
        <w:spacing w:line="360" w:lineRule="auto"/>
        <w:ind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bCs/>
          <w:color w:val="auto"/>
          <w:kern w:val="0"/>
          <w:sz w:val="22"/>
          <w:szCs w:val="22"/>
          <w:highlight w:val="none"/>
        </w:rPr>
        <w:t>6.2.</w:t>
      </w:r>
      <w:r>
        <w:rPr>
          <w:rStyle w:val="50"/>
          <w:rFonts w:hint="eastAsia" w:ascii="宋体" w:hAnsi="宋体" w:cs="宋体"/>
          <w:bCs/>
          <w:color w:val="auto"/>
          <w:kern w:val="0"/>
          <w:sz w:val="22"/>
          <w:szCs w:val="22"/>
          <w:highlight w:val="none"/>
          <w:lang w:val="en-US" w:eastAsia="zh-CN"/>
        </w:rPr>
        <w:t>7</w:t>
      </w:r>
      <w:r>
        <w:rPr>
          <w:rStyle w:val="50"/>
          <w:rFonts w:hint="eastAsia" w:ascii="宋体" w:hAnsi="宋体" w:eastAsia="宋体" w:cs="宋体"/>
          <w:bCs/>
          <w:color w:val="auto"/>
          <w:kern w:val="0"/>
          <w:sz w:val="22"/>
          <w:szCs w:val="22"/>
          <w:highlight w:val="none"/>
        </w:rPr>
        <w:t xml:space="preserve"> 若由于甲方调整开发节奏等原因，工程停工，甲方提前15个日历天通知监理</w:t>
      </w:r>
      <w:r>
        <w:rPr>
          <w:rStyle w:val="50"/>
          <w:rFonts w:hint="eastAsia" w:ascii="宋体" w:hAnsi="宋体" w:cs="宋体"/>
          <w:bCs/>
          <w:color w:val="auto"/>
          <w:kern w:val="0"/>
          <w:sz w:val="22"/>
          <w:szCs w:val="22"/>
          <w:highlight w:val="none"/>
          <w:lang w:val="en-US"/>
        </w:rPr>
        <w:t>人</w:t>
      </w:r>
      <w:r>
        <w:rPr>
          <w:rStyle w:val="50"/>
          <w:rFonts w:hint="eastAsia" w:ascii="宋体" w:hAnsi="宋体" w:eastAsia="宋体" w:cs="宋体"/>
          <w:bCs/>
          <w:color w:val="auto"/>
          <w:kern w:val="0"/>
          <w:sz w:val="22"/>
          <w:szCs w:val="22"/>
          <w:highlight w:val="none"/>
        </w:rPr>
        <w:t>撤场，工程停工期间监理单位不收取监理费。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7. 争议解决</w:t>
      </w:r>
    </w:p>
    <w:p>
      <w:pPr>
        <w:pageBreakBefore w:val="0"/>
        <w:topLinePunct w:val="0"/>
        <w:bidi w:val="0"/>
        <w:snapToGrid w:val="0"/>
        <w:spacing w:line="360" w:lineRule="auto"/>
        <w:ind w:left="0" w:leftChars="0" w:right="0" w:rightChars="0" w:firstLine="215" w:firstLineChars="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7.2 </w:t>
      </w:r>
      <w:r>
        <w:rPr>
          <w:rStyle w:val="50"/>
          <w:rFonts w:hint="eastAsia" w:ascii="宋体" w:hAnsi="宋体" w:eastAsia="宋体" w:cs="宋体"/>
          <w:bCs/>
          <w:color w:val="auto"/>
          <w:sz w:val="22"/>
          <w:szCs w:val="22"/>
          <w:highlight w:val="none"/>
        </w:rPr>
        <w:t>调解</w:t>
      </w:r>
    </w:p>
    <w:p>
      <w:pPr>
        <w:pageBreakBefore w:val="0"/>
        <w:topLinePunct w:val="0"/>
        <w:bidi w:val="0"/>
        <w:snapToGrid w:val="0"/>
        <w:spacing w:line="360" w:lineRule="auto"/>
        <w:ind w:left="0" w:leftChars="0" w:right="0" w:rightChars="0" w:firstLine="431" w:firstLineChars="196"/>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本合同争议进行调解时，可提交</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color w:val="auto"/>
          <w:sz w:val="22"/>
          <w:szCs w:val="22"/>
          <w:highlight w:val="none"/>
        </w:rPr>
        <w:t>进行调解。</w:t>
      </w:r>
    </w:p>
    <w:p>
      <w:pPr>
        <w:pageBreakBefore w:val="0"/>
        <w:topLinePunct w:val="0"/>
        <w:bidi w:val="0"/>
        <w:snapToGrid w:val="0"/>
        <w:spacing w:line="360" w:lineRule="auto"/>
        <w:ind w:left="0" w:leftChars="0" w:right="0" w:rightChars="0" w:firstLine="215" w:firstLineChars="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7.3 </w:t>
      </w:r>
      <w:r>
        <w:rPr>
          <w:rStyle w:val="50"/>
          <w:rFonts w:hint="eastAsia" w:ascii="宋体" w:hAnsi="宋体" w:eastAsia="宋体" w:cs="宋体"/>
          <w:bCs/>
          <w:color w:val="auto"/>
          <w:sz w:val="22"/>
          <w:szCs w:val="22"/>
          <w:highlight w:val="none"/>
        </w:rPr>
        <w:t>仲裁或诉讼</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任何一方不同意调解意见，则合同争议的最终解决方式为下列第</w:t>
      </w:r>
      <w:r>
        <w:rPr>
          <w:rStyle w:val="50"/>
          <w:rFonts w:hint="eastAsia" w:ascii="宋体" w:hAnsi="宋体" w:eastAsia="宋体" w:cs="宋体"/>
          <w:color w:val="auto"/>
          <w:sz w:val="22"/>
          <w:szCs w:val="22"/>
          <w:highlight w:val="none"/>
          <w:u w:val="single"/>
        </w:rPr>
        <w:t xml:space="preserve">  （2） </w:t>
      </w:r>
      <w:r>
        <w:rPr>
          <w:rStyle w:val="50"/>
          <w:rFonts w:hint="eastAsia" w:ascii="宋体" w:hAnsi="宋体" w:eastAsia="宋体" w:cs="宋体"/>
          <w:color w:val="auto"/>
          <w:sz w:val="22"/>
          <w:szCs w:val="22"/>
          <w:highlight w:val="none"/>
        </w:rPr>
        <w:t>种方式：</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（1）提请</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color w:val="auto"/>
          <w:sz w:val="22"/>
          <w:szCs w:val="22"/>
          <w:highlight w:val="none"/>
        </w:rPr>
        <w:t>仲裁委员会进行仲裁。</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（2）向</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u w:val="single"/>
          <w:lang w:val="en-US" w:eastAsia="zh-CN"/>
        </w:rPr>
        <w:t>委托人</w:t>
      </w:r>
      <w:r>
        <w:rPr>
          <w:rStyle w:val="50"/>
          <w:rFonts w:hint="eastAsia" w:ascii="宋体" w:hAnsi="宋体" w:eastAsia="宋体" w:cs="宋体"/>
          <w:color w:val="auto"/>
          <w:sz w:val="22"/>
          <w:szCs w:val="22"/>
          <w:highlight w:val="none"/>
          <w:u w:val="single"/>
        </w:rPr>
        <w:t xml:space="preserve">所在地有管辖权的 </w:t>
      </w:r>
      <w:r>
        <w:rPr>
          <w:rStyle w:val="50"/>
          <w:rFonts w:hint="eastAsia" w:ascii="宋体" w:hAnsi="宋体" w:eastAsia="宋体" w:cs="宋体"/>
          <w:color w:val="auto"/>
          <w:sz w:val="22"/>
          <w:szCs w:val="22"/>
          <w:highlight w:val="none"/>
        </w:rPr>
        <w:t>人民法院提起诉讼。</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8. 其他</w:t>
      </w:r>
    </w:p>
    <w:p>
      <w:pPr>
        <w:snapToGrid w:val="0"/>
        <w:spacing w:line="360" w:lineRule="auto"/>
        <w:ind w:firstLine="220" w:firstLineChars="100"/>
        <w:rPr>
          <w:rStyle w:val="50"/>
          <w:rFonts w:hint="eastAsia" w:ascii="宋体" w:hAnsi="宋体" w:eastAsia="宋体" w:cs="宋体"/>
          <w:bCs/>
          <w:color w:val="auto"/>
          <w:sz w:val="22"/>
          <w:szCs w:val="22"/>
          <w:highlight w:val="none"/>
        </w:rPr>
      </w:pPr>
      <w:r>
        <w:rPr>
          <w:rStyle w:val="50"/>
          <w:rFonts w:hint="eastAsia" w:ascii="宋体" w:hAnsi="宋体" w:eastAsia="宋体" w:cs="宋体"/>
          <w:bCs/>
          <w:color w:val="auto"/>
          <w:sz w:val="22"/>
          <w:szCs w:val="22"/>
          <w:highlight w:val="none"/>
          <w:lang w:val="en-US" w:eastAsia="zh-CN"/>
        </w:rPr>
        <w:t>8.1</w:t>
      </w:r>
      <w:r>
        <w:rPr>
          <w:rStyle w:val="50"/>
          <w:rFonts w:hint="eastAsia" w:ascii="宋体" w:hAnsi="宋体" w:eastAsia="宋体" w:cs="宋体"/>
          <w:b w:val="0"/>
          <w:bCs/>
          <w:color w:val="auto"/>
          <w:sz w:val="22"/>
          <w:szCs w:val="22"/>
          <w:highlight w:val="none"/>
          <w:lang w:val="en-US"/>
        </w:rPr>
        <w:t xml:space="preserve"> </w:t>
      </w:r>
      <w:r>
        <w:rPr>
          <w:rStyle w:val="50"/>
          <w:rFonts w:hint="eastAsia" w:ascii="宋体" w:hAnsi="宋体" w:eastAsia="宋体" w:cs="宋体"/>
          <w:bCs/>
          <w:color w:val="auto"/>
          <w:sz w:val="22"/>
          <w:szCs w:val="22"/>
          <w:highlight w:val="none"/>
          <w:lang w:val="en-US" w:eastAsia="zh-CN"/>
        </w:rPr>
        <w:t>外出考察费用由监理人自行承担，已包含在合同价款中。</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b/>
          <w:bCs/>
          <w:color w:val="auto"/>
          <w:sz w:val="22"/>
          <w:szCs w:val="22"/>
          <w:highlight w:val="none"/>
        </w:rPr>
        <w:t xml:space="preserve">  </w:t>
      </w:r>
      <w:r>
        <w:rPr>
          <w:rStyle w:val="50"/>
          <w:rFonts w:hint="eastAsia" w:ascii="宋体" w:hAnsi="宋体" w:eastAsia="宋体" w:cs="宋体"/>
          <w:bCs/>
          <w:color w:val="auto"/>
          <w:sz w:val="22"/>
          <w:szCs w:val="22"/>
          <w:highlight w:val="none"/>
        </w:rPr>
        <w:t>8.2 检测费用</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bCs/>
          <w:color w:val="auto"/>
          <w:sz w:val="22"/>
          <w:szCs w:val="22"/>
          <w:highlight w:val="none"/>
        </w:rPr>
        <w:t xml:space="preserve">    委托人应在检测工作完成后</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bCs/>
          <w:color w:val="auto"/>
          <w:sz w:val="22"/>
          <w:szCs w:val="22"/>
          <w:highlight w:val="none"/>
        </w:rPr>
        <w:t>天内支付检测费用。</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bCs/>
          <w:color w:val="auto"/>
          <w:sz w:val="22"/>
          <w:szCs w:val="22"/>
          <w:highlight w:val="none"/>
        </w:rPr>
        <w:t xml:space="preserve">  8.3 咨询费用</w:t>
      </w:r>
    </w:p>
    <w:p>
      <w:pPr>
        <w:pageBreakBefore w:val="0"/>
        <w:topLinePunct w:val="0"/>
        <w:bidi w:val="0"/>
        <w:snapToGrid w:val="0"/>
        <w:spacing w:line="360" w:lineRule="auto"/>
        <w:ind w:left="0" w:leftChars="0" w:right="0" w:rightChars="0"/>
        <w:rPr>
          <w:rStyle w:val="50"/>
          <w:rFonts w:hint="eastAsia" w:ascii="宋体" w:hAnsi="宋体" w:eastAsia="宋体" w:cs="宋体"/>
          <w:bCs/>
          <w:color w:val="auto"/>
          <w:sz w:val="22"/>
          <w:szCs w:val="22"/>
          <w:highlight w:val="none"/>
        </w:rPr>
      </w:pPr>
      <w:r>
        <w:rPr>
          <w:rStyle w:val="50"/>
          <w:rFonts w:hint="eastAsia" w:ascii="宋体" w:hAnsi="宋体" w:eastAsia="宋体" w:cs="宋体"/>
          <w:bCs/>
          <w:color w:val="auto"/>
          <w:sz w:val="22"/>
          <w:szCs w:val="22"/>
          <w:highlight w:val="none"/>
        </w:rPr>
        <w:t xml:space="preserve">    委托人应在咨询工作完成后</w:t>
      </w:r>
      <w:r>
        <w:rPr>
          <w:rStyle w:val="50"/>
          <w:rFonts w:hint="eastAsia" w:ascii="宋体" w:hAnsi="宋体" w:eastAsia="宋体" w:cs="宋体"/>
          <w:color w:val="auto"/>
          <w:sz w:val="22"/>
          <w:szCs w:val="22"/>
          <w:highlight w:val="none"/>
          <w:u w:val="single"/>
        </w:rPr>
        <w:t xml:space="preserve">   /  </w:t>
      </w:r>
      <w:r>
        <w:rPr>
          <w:rStyle w:val="50"/>
          <w:rFonts w:hint="eastAsia" w:ascii="宋体" w:hAnsi="宋体" w:eastAsia="宋体" w:cs="宋体"/>
          <w:bCs/>
          <w:color w:val="auto"/>
          <w:sz w:val="22"/>
          <w:szCs w:val="22"/>
          <w:highlight w:val="none"/>
        </w:rPr>
        <w:t>天内支付咨询费用。</w:t>
      </w:r>
    </w:p>
    <w:p>
      <w:pPr>
        <w:pageBreakBefore w:val="0"/>
        <w:topLinePunct w:val="0"/>
        <w:bidi w:val="0"/>
        <w:snapToGrid w:val="0"/>
        <w:spacing w:line="360" w:lineRule="auto"/>
        <w:ind w:left="0" w:leftChars="0" w:right="0" w:rightChars="0" w:firstLine="215" w:firstLineChars="98"/>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8.</w:t>
      </w:r>
      <w:r>
        <w:rPr>
          <w:rStyle w:val="50"/>
          <w:rFonts w:hint="eastAsia" w:ascii="宋体" w:hAnsi="宋体" w:cs="宋体"/>
          <w:color w:val="auto"/>
          <w:sz w:val="22"/>
          <w:szCs w:val="22"/>
          <w:highlight w:val="none"/>
          <w:lang w:val="en-US"/>
        </w:rPr>
        <w:t>4</w:t>
      </w:r>
      <w:r>
        <w:rPr>
          <w:rStyle w:val="50"/>
          <w:rFonts w:hint="eastAsia" w:ascii="宋体" w:hAnsi="宋体" w:eastAsia="宋体" w:cs="宋体"/>
          <w:color w:val="auto"/>
          <w:sz w:val="22"/>
          <w:szCs w:val="22"/>
          <w:highlight w:val="none"/>
        </w:rPr>
        <w:t xml:space="preserve"> 保密</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u w:val="single"/>
        </w:rPr>
      </w:pPr>
      <w:r>
        <w:rPr>
          <w:rStyle w:val="50"/>
          <w:rFonts w:hint="eastAsia" w:ascii="宋体" w:hAnsi="宋体" w:eastAsia="宋体" w:cs="宋体"/>
          <w:color w:val="auto"/>
          <w:sz w:val="22"/>
          <w:szCs w:val="22"/>
          <w:highlight w:val="none"/>
        </w:rPr>
        <w:t>委托人申明的保密事项和期限：</w:t>
      </w:r>
      <w:r>
        <w:rPr>
          <w:rStyle w:val="50"/>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rPr>
        <w:t>所有与项目建设有关的技术信息和经营信息</w:t>
      </w:r>
      <w:r>
        <w:rPr>
          <w:rStyle w:val="50"/>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rPr>
        <w:t>保密期限：</w:t>
      </w:r>
      <w:r>
        <w:rPr>
          <w:rFonts w:hint="eastAsia" w:ascii="宋体" w:hAnsi="宋体" w:cs="宋体"/>
          <w:color w:val="auto"/>
          <w:sz w:val="22"/>
          <w:szCs w:val="22"/>
          <w:highlight w:val="none"/>
          <w:u w:val="single"/>
        </w:rPr>
        <w:t>长期</w:t>
      </w:r>
      <w:r>
        <w:rPr>
          <w:rFonts w:hint="eastAsia" w:ascii="宋体" w:hAnsi="宋体" w:cs="宋体"/>
          <w:color w:val="auto"/>
          <w:sz w:val="22"/>
          <w:szCs w:val="22"/>
          <w:highlight w:val="none"/>
        </w:rPr>
        <w:t>。</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u w:val="single"/>
        </w:rPr>
      </w:pPr>
      <w:r>
        <w:rPr>
          <w:rStyle w:val="50"/>
          <w:rFonts w:hint="eastAsia" w:ascii="宋体" w:hAnsi="宋体" w:eastAsia="宋体" w:cs="宋体"/>
          <w:color w:val="auto"/>
          <w:sz w:val="22"/>
          <w:szCs w:val="22"/>
          <w:highlight w:val="none"/>
        </w:rPr>
        <w:t>监理人申明的保密事项和期限：</w:t>
      </w:r>
      <w:r>
        <w:rPr>
          <w:rStyle w:val="50"/>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rPr>
        <w:t>按国家法律法规执行</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snapToGrid w:val="0"/>
        <w:spacing w:line="360" w:lineRule="auto"/>
        <w:ind w:firstLine="440" w:firstLineChars="200"/>
        <w:outlineLvl w:val="9"/>
        <w:rPr>
          <w:rStyle w:val="50"/>
          <w:rFonts w:hint="eastAsia" w:ascii="宋体" w:hAnsi="宋体" w:eastAsia="宋体" w:cs="宋体"/>
          <w:color w:val="auto"/>
          <w:sz w:val="22"/>
          <w:szCs w:val="22"/>
          <w:highlight w:val="none"/>
          <w:u w:val="single"/>
        </w:rPr>
      </w:pPr>
      <w:bookmarkStart w:id="496" w:name="_Toc13457"/>
      <w:bookmarkStart w:id="497" w:name="_Toc20652"/>
      <w:bookmarkStart w:id="498" w:name="_Toc23244"/>
      <w:r>
        <w:rPr>
          <w:rStyle w:val="50"/>
          <w:rFonts w:hint="eastAsia" w:ascii="宋体" w:hAnsi="宋体" w:eastAsia="宋体" w:cs="宋体"/>
          <w:color w:val="auto"/>
          <w:sz w:val="22"/>
          <w:szCs w:val="22"/>
          <w:highlight w:val="none"/>
        </w:rPr>
        <w:t>第三方申明的保密事项和期限：</w:t>
      </w:r>
      <w:r>
        <w:rPr>
          <w:rStyle w:val="50"/>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rPr>
        <w:t>按国家法律法规执行</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bookmarkEnd w:id="496"/>
      <w:bookmarkEnd w:id="497"/>
      <w:bookmarkEnd w:id="498"/>
    </w:p>
    <w:p>
      <w:pPr>
        <w:pageBreakBefore w:val="0"/>
        <w:topLinePunct w:val="0"/>
        <w:bidi w:val="0"/>
        <w:snapToGrid w:val="0"/>
        <w:spacing w:line="360" w:lineRule="auto"/>
        <w:ind w:left="0" w:leftChars="0" w:right="0" w:rightChars="0" w:firstLine="215" w:firstLineChars="98"/>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8.</w:t>
      </w:r>
      <w:r>
        <w:rPr>
          <w:rStyle w:val="50"/>
          <w:rFonts w:hint="eastAsia" w:ascii="宋体" w:hAnsi="宋体" w:cs="宋体"/>
          <w:color w:val="auto"/>
          <w:sz w:val="22"/>
          <w:szCs w:val="22"/>
          <w:highlight w:val="none"/>
          <w:lang w:val="en-US"/>
        </w:rPr>
        <w:t xml:space="preserve">5 </w:t>
      </w:r>
      <w:r>
        <w:rPr>
          <w:rStyle w:val="50"/>
          <w:rFonts w:hint="eastAsia" w:ascii="宋体" w:hAnsi="宋体" w:eastAsia="宋体" w:cs="宋体"/>
          <w:bCs/>
          <w:color w:val="auto"/>
          <w:sz w:val="22"/>
          <w:szCs w:val="22"/>
          <w:highlight w:val="none"/>
        </w:rPr>
        <w:t>著作权</w:t>
      </w:r>
    </w:p>
    <w:p>
      <w:pPr>
        <w:pageBreakBefore w:val="0"/>
        <w:topLinePunct w:val="0"/>
        <w:bidi w:val="0"/>
        <w:snapToGrid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监理人在本合同履行期间及本合同终止后两年内出版涉及本工程的有关监理与相关服务的资料的限制条件：</w:t>
      </w:r>
      <w:r>
        <w:rPr>
          <w:rStyle w:val="50"/>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rPr>
        <w:t>监理人不得在本合同履行期间及本合同终止后两年内出版涉及本工程的有关监理与相关服务的资料</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9. 补充条款</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一、有关的约束条款和违约处理规定</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(一)监理人在工程开工一个月内，所承诺</w:t>
      </w:r>
      <w:r>
        <w:rPr>
          <w:rStyle w:val="50"/>
          <w:rFonts w:hint="eastAsia" w:ascii="宋体" w:hAnsi="宋体" w:cs="宋体"/>
          <w:color w:val="auto"/>
          <w:sz w:val="22"/>
          <w:szCs w:val="22"/>
          <w:highlight w:val="none"/>
          <w:lang w:val="en-US"/>
        </w:rPr>
        <w:t>附件3</w:t>
      </w:r>
      <w:r>
        <w:rPr>
          <w:rStyle w:val="50"/>
          <w:rFonts w:hint="eastAsia" w:ascii="宋体" w:hAnsi="宋体" w:eastAsia="宋体" w:cs="宋体"/>
          <w:color w:val="auto"/>
          <w:sz w:val="22"/>
          <w:szCs w:val="22"/>
          <w:highlight w:val="none"/>
        </w:rPr>
        <w:t>内的设备未能</w:t>
      </w:r>
      <w:r>
        <w:rPr>
          <w:rStyle w:val="50"/>
          <w:rFonts w:hint="eastAsia" w:ascii="宋体" w:hAnsi="宋体" w:eastAsia="宋体" w:cs="宋体"/>
          <w:color w:val="auto"/>
          <w:sz w:val="22"/>
          <w:szCs w:val="22"/>
          <w:highlight w:val="none"/>
          <w:lang w:val="en-US" w:eastAsia="zh-CN"/>
        </w:rPr>
        <w:t>按照约定</w:t>
      </w:r>
      <w:r>
        <w:rPr>
          <w:rStyle w:val="50"/>
          <w:rFonts w:hint="eastAsia" w:ascii="宋体" w:hAnsi="宋体" w:eastAsia="宋体" w:cs="宋体"/>
          <w:color w:val="auto"/>
          <w:sz w:val="22"/>
          <w:szCs w:val="22"/>
          <w:highlight w:val="none"/>
        </w:rPr>
        <w:t>全部投入到施工现场或在当地租赁的每拖延一个月扣减监理服务费5万元，超过3个月的</w:t>
      </w:r>
      <w:r>
        <w:rPr>
          <w:rStyle w:val="50"/>
          <w:rFonts w:hint="eastAsia" w:ascii="宋体" w:hAnsi="宋体" w:cs="宋体"/>
          <w:color w:val="auto"/>
          <w:sz w:val="22"/>
          <w:szCs w:val="22"/>
          <w:highlight w:val="none"/>
        </w:rPr>
        <w:t>，</w:t>
      </w:r>
      <w:r>
        <w:rPr>
          <w:rStyle w:val="50"/>
          <w:rFonts w:hint="eastAsia" w:ascii="宋体" w:hAnsi="宋体" w:cs="宋体"/>
          <w:color w:val="auto"/>
          <w:sz w:val="22"/>
          <w:szCs w:val="22"/>
          <w:highlight w:val="none"/>
          <w:lang w:val="en-US" w:eastAsia="zh-CN"/>
        </w:rPr>
        <w:t>委托人</w:t>
      </w:r>
      <w:r>
        <w:rPr>
          <w:rStyle w:val="50"/>
          <w:rFonts w:hint="eastAsia" w:ascii="宋体" w:hAnsi="宋体" w:eastAsia="宋体" w:cs="宋体"/>
          <w:color w:val="auto"/>
          <w:sz w:val="22"/>
          <w:szCs w:val="22"/>
          <w:highlight w:val="none"/>
        </w:rPr>
        <w:t>有权终止合同。</w:t>
      </w:r>
    </w:p>
    <w:p>
      <w:pPr>
        <w:pageBreakBefore w:val="0"/>
        <w:topLinePunct w:val="0"/>
        <w:bidi w:val="0"/>
        <w:spacing w:line="360" w:lineRule="auto"/>
        <w:ind w:left="0" w:leftChars="0" w:right="0" w:rightChars="0" w:firstLine="330" w:firstLineChars="15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1.监理人选派到该项目监理的监理工程师、各专业人员和人数必须与投标文件中所提交一致,并依照监理人提供的监理规划及旁站监理方案来执行，常驻现场并承诺保证一星期不少于</w:t>
      </w:r>
      <w:r>
        <w:rPr>
          <w:rStyle w:val="50"/>
          <w:rFonts w:hint="eastAsia" w:ascii="宋体" w:hAnsi="宋体" w:cs="宋体"/>
          <w:color w:val="auto"/>
          <w:sz w:val="22"/>
          <w:szCs w:val="22"/>
          <w:highlight w:val="none"/>
          <w:lang w:val="en-US"/>
        </w:rPr>
        <w:t xml:space="preserve"> 5 </w:t>
      </w:r>
      <w:r>
        <w:rPr>
          <w:rStyle w:val="50"/>
          <w:rFonts w:hint="eastAsia" w:ascii="宋体" w:hAnsi="宋体" w:eastAsia="宋体" w:cs="宋体"/>
          <w:color w:val="auto"/>
          <w:sz w:val="22"/>
          <w:szCs w:val="22"/>
          <w:highlight w:val="none"/>
        </w:rPr>
        <w:t>天在施工现场，不一致或不到位者(特殊原因除外),委托人发现第一次扣款</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000元/人次，第二次扣款</w:t>
      </w:r>
      <w:r>
        <w:rPr>
          <w:rStyle w:val="50"/>
          <w:rFonts w:hint="eastAsia" w:ascii="宋体" w:hAnsi="宋体" w:cs="宋体"/>
          <w:color w:val="auto"/>
          <w:sz w:val="22"/>
          <w:szCs w:val="22"/>
          <w:highlight w:val="none"/>
          <w:lang w:val="en-US"/>
        </w:rPr>
        <w:t>2</w:t>
      </w:r>
      <w:r>
        <w:rPr>
          <w:rStyle w:val="50"/>
          <w:rFonts w:hint="eastAsia" w:ascii="宋体" w:hAnsi="宋体" w:eastAsia="宋体" w:cs="宋体"/>
          <w:color w:val="auto"/>
          <w:sz w:val="22"/>
          <w:szCs w:val="22"/>
          <w:highlight w:val="none"/>
        </w:rPr>
        <w:t>000元/人次，第三次扣款</w:t>
      </w:r>
      <w:r>
        <w:rPr>
          <w:rStyle w:val="50"/>
          <w:rFonts w:hint="eastAsia" w:ascii="宋体" w:hAnsi="宋体" w:cs="宋体"/>
          <w:color w:val="auto"/>
          <w:sz w:val="22"/>
          <w:szCs w:val="22"/>
          <w:highlight w:val="none"/>
          <w:lang w:val="en-US"/>
        </w:rPr>
        <w:t>5</w:t>
      </w:r>
      <w:r>
        <w:rPr>
          <w:rStyle w:val="50"/>
          <w:rFonts w:hint="eastAsia" w:ascii="宋体" w:hAnsi="宋体" w:eastAsia="宋体" w:cs="宋体"/>
          <w:color w:val="auto"/>
          <w:sz w:val="22"/>
          <w:szCs w:val="22"/>
          <w:highlight w:val="none"/>
        </w:rPr>
        <w:t>000元/人次，扣款超过三次的除所扣款项不退还外，委托人有权要求更换同等条件的监理人员，直至其满足投标文件要求；如更换后仍然不能满足招投标文件要求的，委托人有权单方解除合同，并将监理人按不响应招标文件通报上级主管部门处理。</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2.若委托人提前一天通知项目总监理工程师参加工程有关会议，没有特殊原因迟到15分钟以上的，每次扣减监理服务费</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000元，并且所扣款项不退还。实施过程对设计单位、测量单位、基坑监测单位进行协调处理与工程有关的相关事宜，若出现不积极协调处理、拖委现象，委托人发出整改通知每份扣减监理服务费1000元，同时监理人落实整改。</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3.监理人严格把好质量关，遵守《广东省建设工程监理条例》的规定，总监理工程师，监理工程师违反该规定的，第一次发出警告，第二次扣款</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000元；工作严重失职或过错，造成质量事故的，视为违约，赔偿委托人造成的经济损失并且委托人有权追究违约责任，直至终止合同。</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cs="宋体"/>
          <w:color w:val="auto"/>
          <w:sz w:val="22"/>
          <w:szCs w:val="22"/>
          <w:highlight w:val="none"/>
          <w:lang w:val="en-US"/>
        </w:rPr>
        <w:t>4</w:t>
      </w:r>
      <w:r>
        <w:rPr>
          <w:rStyle w:val="50"/>
          <w:rFonts w:hint="eastAsia" w:ascii="宋体" w:hAnsi="宋体" w:eastAsia="宋体" w:cs="宋体"/>
          <w:color w:val="auto"/>
          <w:sz w:val="22"/>
          <w:szCs w:val="22"/>
          <w:highlight w:val="none"/>
        </w:rPr>
        <w:t>.项目总监理工程师签收工程结算书后20天内,必须完成工程结算审核工作,并将审核工程结算资料提交委托人。否则从延期的第一天起,每天扣减监理服务费5000元。</w:t>
      </w:r>
    </w:p>
    <w:p>
      <w:pPr>
        <w:pageBreakBefore w:val="0"/>
        <w:topLinePunct w:val="0"/>
        <w:bidi w:val="0"/>
        <w:spacing w:line="360" w:lineRule="auto"/>
        <w:ind w:left="0" w:leftChars="0" w:right="0" w:rightChars="0" w:firstLine="330" w:firstLineChars="15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w:t>
      </w:r>
      <w:r>
        <w:rPr>
          <w:rStyle w:val="50"/>
          <w:rFonts w:hint="eastAsia" w:ascii="宋体" w:hAnsi="宋体" w:cs="宋体"/>
          <w:color w:val="auto"/>
          <w:sz w:val="22"/>
          <w:szCs w:val="22"/>
          <w:highlight w:val="none"/>
          <w:lang w:val="en-US"/>
        </w:rPr>
        <w:t>5</w:t>
      </w:r>
      <w:r>
        <w:rPr>
          <w:rStyle w:val="50"/>
          <w:rFonts w:hint="eastAsia" w:ascii="宋体" w:hAnsi="宋体" w:eastAsia="宋体" w:cs="宋体"/>
          <w:color w:val="auto"/>
          <w:sz w:val="22"/>
          <w:szCs w:val="22"/>
          <w:highlight w:val="none"/>
        </w:rPr>
        <w:t>.监理人应建立工程管理，施工现场质量、施工现场安全等管理台账、委托人每月作不定期检查、在检查中发出整改通知的，每份扣减监理服务费500元，同时监理人落实整改。</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(二)在确定中标单位后，监理人必须认真监督施工单位做好以下工作，否则，委托人将视情况扣减工程监理服务费用：</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w:t>
      </w:r>
      <w:r>
        <w:rPr>
          <w:rStyle w:val="50"/>
          <w:rFonts w:hint="eastAsia" w:ascii="宋体" w:hAnsi="宋体" w:cs="宋体"/>
          <w:color w:val="auto"/>
          <w:sz w:val="22"/>
          <w:szCs w:val="22"/>
          <w:highlight w:val="none"/>
          <w:lang w:val="en-US"/>
        </w:rPr>
        <w:t>.</w:t>
      </w:r>
      <w:r>
        <w:rPr>
          <w:rStyle w:val="50"/>
          <w:rFonts w:hint="eastAsia" w:ascii="宋体" w:hAnsi="宋体" w:eastAsia="宋体" w:cs="宋体"/>
          <w:color w:val="auto"/>
          <w:sz w:val="22"/>
          <w:szCs w:val="22"/>
          <w:highlight w:val="none"/>
        </w:rPr>
        <w:t>确定施工中标单位后,并在发出中标通知书和收到委托人提交的施工图纸之日起15天内,监理人应督促施工单位按规定提交各项专项方案,并完成审查工作</w:t>
      </w:r>
      <w:r>
        <w:rPr>
          <w:rStyle w:val="50"/>
          <w:rFonts w:hint="eastAsia" w:ascii="宋体" w:hAnsi="宋体" w:cs="宋体"/>
          <w:color w:val="auto"/>
          <w:sz w:val="22"/>
          <w:szCs w:val="22"/>
          <w:highlight w:val="none"/>
          <w:lang w:val="en-US"/>
        </w:rPr>
        <w:t>.</w:t>
      </w:r>
      <w:r>
        <w:rPr>
          <w:rStyle w:val="50"/>
          <w:rFonts w:hint="eastAsia" w:ascii="宋体" w:hAnsi="宋体" w:eastAsia="宋体" w:cs="宋体"/>
          <w:color w:val="auto"/>
          <w:sz w:val="22"/>
          <w:szCs w:val="22"/>
          <w:highlight w:val="none"/>
        </w:rPr>
        <w:t>如施工单位未能按时提交专项方案的,监理人必须对施工单位发出处理意见,并同时以书面报委托人处理；若施工单位未能按时提交专项方案,而监理人又没对施工单位发出任何处理意见,并且没及时提交书面报委托人处理的,将扣减监理服务费</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 xml:space="preserve">000元。 </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w:t>
      </w:r>
      <w:r>
        <w:rPr>
          <w:rStyle w:val="50"/>
          <w:rFonts w:hint="eastAsia" w:ascii="宋体" w:hAnsi="宋体" w:cs="宋体"/>
          <w:color w:val="auto"/>
          <w:sz w:val="22"/>
          <w:szCs w:val="22"/>
          <w:highlight w:val="none"/>
          <w:lang w:val="en-US"/>
        </w:rPr>
        <w:t>.</w:t>
      </w:r>
      <w:r>
        <w:rPr>
          <w:rStyle w:val="50"/>
          <w:rFonts w:hint="eastAsia" w:ascii="宋体" w:hAnsi="宋体" w:eastAsia="宋体" w:cs="宋体"/>
          <w:color w:val="auto"/>
          <w:sz w:val="22"/>
          <w:szCs w:val="22"/>
          <w:highlight w:val="none"/>
        </w:rPr>
        <w:t>确定施工中标单位后,并在发出中标通知书之日起15天内,监理人应督促施工单位按规定提交经认可的施工报建资料.如施工单位未能按时提交相关资料,监理单位必须对施工单位发出处理意见,并同时以书面报给委托人处理；若施工单位未能按时提交相关资料,而监理人又没对施工单位发出任何处理意见,并且没及时提交书面报委托人处理的,将扣减监理服务费</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000元。</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rPr>
        <w:t xml:space="preserve">    3</w:t>
      </w:r>
      <w:r>
        <w:rPr>
          <w:rStyle w:val="50"/>
          <w:rFonts w:hint="eastAsia" w:ascii="宋体" w:hAnsi="宋体" w:cs="宋体"/>
          <w:color w:val="auto"/>
          <w:sz w:val="22"/>
          <w:szCs w:val="22"/>
          <w:highlight w:val="none"/>
          <w:lang w:val="en-US"/>
        </w:rPr>
        <w:t>.</w:t>
      </w:r>
      <w:r>
        <w:rPr>
          <w:rStyle w:val="50"/>
          <w:rFonts w:hint="eastAsia" w:ascii="宋体" w:hAnsi="宋体" w:eastAsia="宋体" w:cs="宋体"/>
          <w:color w:val="auto"/>
          <w:sz w:val="22"/>
          <w:szCs w:val="22"/>
          <w:highlight w:val="none"/>
        </w:rPr>
        <w:t>确定施工中标单位后,并在发出中标通知书和收到委托人提交的施工图纸之日起15天内，监理人应督促施工单位提交施工组织设计或方案和施工总进度计划，并提交审核意见。如施工单位未能按规定提交相关资料的，监理人必须对施工单位发出处理意见，并同时以书面报给委托人处理；若施工单位未能按时提交相关资料，而监理人没对施工单位发出任何处理意见,并且没及时提交书面报委托人处理的，将扣减监理服务费</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000元</w:t>
      </w:r>
      <w:r>
        <w:rPr>
          <w:rStyle w:val="50"/>
          <w:rFonts w:hint="eastAsia" w:ascii="宋体" w:hAnsi="宋体" w:cs="宋体"/>
          <w:color w:val="auto"/>
          <w:sz w:val="22"/>
          <w:szCs w:val="22"/>
          <w:highlight w:val="none"/>
        </w:rPr>
        <w:t>。</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(三)在该工程施工过程中，监理人必须认真监督施工单位做好以下工作，否则，委托人将视情况扣减工程监理服务费用: </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1.必须监督施工单位履行其投标文件中对业主的所有承诺,若监理单位出现监督不到位的情况,相应监理服务费视情况进行扣减。</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2.必须做好预控工作,若委托人在施工过程中发现“四控制”出现问题并发出有关“四控制”整改通知的,委托人将按每份整改通知扣减监理服务费</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000元。</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3.对施工过程中项目周围的环境污染及文明施工进行监督管理,若监理人未能及时处理而造成委托人自行发出整改通知的(含口头通知),委托人将按每份整改通知扣减监理服务费500元。如属监理人发出通知,施工单位不及时进行整改的,由委托人给予施工单位扣款。</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cs="宋体"/>
          <w:color w:val="auto"/>
          <w:sz w:val="22"/>
          <w:szCs w:val="22"/>
          <w:highlight w:val="none"/>
          <w:lang w:val="en-US"/>
        </w:rPr>
        <w:t>4</w:t>
      </w:r>
      <w:r>
        <w:rPr>
          <w:rStyle w:val="50"/>
          <w:rFonts w:hint="eastAsia" w:ascii="宋体" w:hAnsi="宋体" w:eastAsia="宋体" w:cs="宋体"/>
          <w:color w:val="auto"/>
          <w:sz w:val="22"/>
          <w:szCs w:val="22"/>
          <w:highlight w:val="none"/>
        </w:rPr>
        <w:t>.必须监督施工单位做好安全生产，文明施工工作，工程的安全文明施工应达到《建筑施工安全检查标准》(JGJ59-2011)及其它现行的安全标准和安全生产目标，没有落实监督措施每次扣减监理服务费</w:t>
      </w:r>
      <w:r>
        <w:rPr>
          <w:rStyle w:val="50"/>
          <w:rFonts w:hint="eastAsia" w:ascii="宋体" w:hAnsi="宋体" w:cs="宋体"/>
          <w:color w:val="auto"/>
          <w:sz w:val="22"/>
          <w:szCs w:val="22"/>
          <w:highlight w:val="none"/>
          <w:lang w:val="en-US"/>
        </w:rPr>
        <w:t>1</w:t>
      </w:r>
      <w:r>
        <w:rPr>
          <w:rStyle w:val="50"/>
          <w:rFonts w:hint="eastAsia" w:ascii="宋体" w:hAnsi="宋体" w:eastAsia="宋体" w:cs="宋体"/>
          <w:color w:val="auto"/>
          <w:sz w:val="22"/>
          <w:szCs w:val="22"/>
          <w:highlight w:val="none"/>
        </w:rPr>
        <w:t>000元</w:t>
      </w:r>
      <w:r>
        <w:rPr>
          <w:rStyle w:val="50"/>
          <w:rFonts w:hint="eastAsia" w:ascii="宋体" w:hAnsi="宋体" w:cs="宋体"/>
          <w:color w:val="auto"/>
          <w:sz w:val="22"/>
          <w:szCs w:val="22"/>
          <w:highlight w:val="none"/>
        </w:rPr>
        <w:t>。</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cs="宋体"/>
          <w:color w:val="auto"/>
          <w:sz w:val="22"/>
          <w:szCs w:val="22"/>
          <w:highlight w:val="none"/>
          <w:lang w:val="en-US"/>
        </w:rPr>
        <w:t>5</w:t>
      </w:r>
      <w:r>
        <w:rPr>
          <w:rStyle w:val="50"/>
          <w:rFonts w:hint="eastAsia" w:ascii="宋体" w:hAnsi="宋体" w:eastAsia="宋体" w:cs="宋体"/>
          <w:color w:val="auto"/>
          <w:sz w:val="22"/>
          <w:szCs w:val="22"/>
          <w:highlight w:val="none"/>
        </w:rPr>
        <w:t>.必须监督施工单位的项目经理、各类专业人员的配备和到位率,没有落实监督措施每次扣减监理服务费500元。</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二、监理人必须对图纸进行严格审查,发现图纸</w:t>
      </w:r>
      <w:r>
        <w:rPr>
          <w:rStyle w:val="50"/>
          <w:rFonts w:hint="eastAsia" w:ascii="宋体" w:hAnsi="宋体" w:cs="宋体"/>
          <w:color w:val="auto"/>
          <w:sz w:val="22"/>
          <w:szCs w:val="22"/>
          <w:highlight w:val="none"/>
          <w:lang w:val="en-US"/>
        </w:rPr>
        <w:t>问</w:t>
      </w:r>
      <w:r>
        <w:rPr>
          <w:rStyle w:val="50"/>
          <w:rFonts w:hint="eastAsia" w:ascii="宋体" w:hAnsi="宋体" w:eastAsia="宋体" w:cs="宋体"/>
          <w:color w:val="auto"/>
          <w:sz w:val="22"/>
          <w:szCs w:val="22"/>
          <w:highlight w:val="none"/>
        </w:rPr>
        <w:t>题要即时向委托人汇报。并且在工程开始招标前把所有施工图纸的审查意见报送委托人。</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三、监理人必须监督施工单位每月民工工资发放公示的工作,以免施工单位发生拖欠民工工资的情况。监理人必须做好工人工资发放检查记录台账,发现问题必须2天内书面向委托人反映情况,委托人在检查中发出整改通知的,每份扣减监理服务费500元。</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四、监理人必须全程跟踪、督促、落实每项保修工作。</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五、监理人必须严格按照其职责履行合同管理,积极督促施工单位按照相关合同履约,对上述工作应督促施工单位按规定按期完成,对施工单位不履约的行为应按照相关合同约定或有关法律法规的要求作出有效的处理。若监理人对上述工作不予有效作为或自身原因不作为,将视为违约行为,并按上述有关约定扣减监理服务费。 </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六、若委托人发现监理人存在以上所提及的违约行为,委托人可暂缓支付本月监理服务费,直至整改完成为止。</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七、监理人协助委托人开展以上工作,所需费用包括在本工程监理报价中。</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八、因监理人原因导致本项目的工程结算款出现重大偏差(5%误差范围),监理人承担责任,扣减履约保证金,并由委托人通报有关部门处理。</w:t>
      </w:r>
    </w:p>
    <w:p>
      <w:pPr>
        <w:pageBreakBefore w:val="0"/>
        <w:topLinePunct w:val="0"/>
        <w:bidi w:val="0"/>
        <w:spacing w:line="360" w:lineRule="auto"/>
        <w:ind w:left="0" w:leftChars="0" w:right="0" w:rightChars="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 xml:space="preserve">    九、监理人有义务协助委托人完成就工程建设有关事宜进行的一切协调工作，工作报酬不作额外计算。</w:t>
      </w:r>
    </w:p>
    <w:p>
      <w:pPr>
        <w:pageBreakBefore w:val="0"/>
        <w:topLinePunct w:val="0"/>
        <w:bidi w:val="0"/>
        <w:spacing w:line="360" w:lineRule="auto"/>
        <w:ind w:left="0" w:leftChars="0" w:right="0" w:rightChars="0" w:firstLine="440" w:firstLineChars="200"/>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十、该项目若分期建设，监理范围已包含项目建设的全部监理内容，监理人不得以此为由要求委托人补偿监理服务费。</w:t>
      </w:r>
    </w:p>
    <w:p>
      <w:pPr>
        <w:pageBreakBefore w:val="0"/>
        <w:tabs>
          <w:tab w:val="left" w:pos="720"/>
        </w:tabs>
        <w:topLinePunct w:val="0"/>
        <w:bidi w:val="0"/>
        <w:spacing w:line="360" w:lineRule="auto"/>
        <w:ind w:left="0" w:leftChars="0" w:right="0" w:rightChars="0" w:firstLine="440" w:firstLineChars="200"/>
        <w:rPr>
          <w:rStyle w:val="50"/>
          <w:rFonts w:hint="eastAsia" w:ascii="宋体" w:hAnsi="宋体" w:eastAsia="宋体" w:cs="宋体"/>
          <w:bCs/>
          <w:color w:val="auto"/>
          <w:sz w:val="22"/>
          <w:szCs w:val="22"/>
          <w:highlight w:val="none"/>
        </w:rPr>
      </w:pPr>
      <w:r>
        <w:rPr>
          <w:rStyle w:val="50"/>
          <w:rFonts w:hint="eastAsia" w:ascii="宋体" w:hAnsi="宋体" w:eastAsia="宋体" w:cs="宋体"/>
          <w:color w:val="auto"/>
          <w:sz w:val="22"/>
          <w:szCs w:val="22"/>
          <w:highlight w:val="none"/>
        </w:rPr>
        <w:t>十一</w:t>
      </w:r>
      <w:r>
        <w:rPr>
          <w:rStyle w:val="50"/>
          <w:rFonts w:hint="eastAsia" w:ascii="宋体" w:hAnsi="宋体" w:cs="宋体"/>
          <w:color w:val="auto"/>
          <w:sz w:val="22"/>
          <w:szCs w:val="22"/>
          <w:highlight w:val="none"/>
        </w:rPr>
        <w:t>、</w:t>
      </w:r>
      <w:r>
        <w:rPr>
          <w:rStyle w:val="50"/>
          <w:rFonts w:hint="eastAsia" w:ascii="宋体" w:hAnsi="宋体" w:eastAsia="宋体" w:cs="宋体"/>
          <w:bCs/>
          <w:color w:val="auto"/>
          <w:sz w:val="22"/>
          <w:szCs w:val="22"/>
          <w:highlight w:val="none"/>
        </w:rPr>
        <w:t>以上扣减款项在监理服务费进度款和结算价中扣除。</w:t>
      </w:r>
    </w:p>
    <w:p>
      <w:pPr>
        <w:pageBreakBefore w:val="0"/>
        <w:topLinePunct w:val="0"/>
        <w:bidi w:val="0"/>
        <w:snapToGrid w:val="0"/>
        <w:spacing w:line="360" w:lineRule="auto"/>
        <w:ind w:left="0" w:leftChars="0" w:right="0" w:rightChars="0"/>
        <w:rPr>
          <w:rStyle w:val="50"/>
          <w:rFonts w:hint="eastAsia" w:ascii="宋体" w:hAnsi="宋体" w:eastAsia="宋体" w:cs="宋体"/>
          <w:b/>
          <w:bCs/>
          <w:color w:val="auto"/>
          <w:sz w:val="22"/>
          <w:szCs w:val="22"/>
          <w:highlight w:val="none"/>
          <w:u w:val="wave"/>
        </w:rPr>
      </w:pPr>
    </w:p>
    <w:p>
      <w:pPr>
        <w:pStyle w:val="22"/>
        <w:pageBreakBefore w:val="0"/>
        <w:topLinePunct w:val="0"/>
        <w:bidi w:val="0"/>
        <w:spacing w:after="0" w:line="360" w:lineRule="auto"/>
        <w:ind w:left="0" w:leftChars="0" w:right="0" w:rightChars="0" w:firstLine="530"/>
        <w:rPr>
          <w:rStyle w:val="50"/>
          <w:rFonts w:hint="eastAsia" w:ascii="宋体" w:hAnsi="宋体" w:eastAsia="宋体" w:cs="宋体"/>
          <w:b/>
          <w:bCs/>
          <w:color w:val="auto"/>
          <w:sz w:val="22"/>
          <w:szCs w:val="22"/>
          <w:highlight w:val="none"/>
          <w:u w:val="wave"/>
        </w:rPr>
      </w:pPr>
    </w:p>
    <w:p>
      <w:pPr>
        <w:spacing w:line="360" w:lineRule="auto"/>
        <w:ind w:firstLine="530"/>
        <w:rPr>
          <w:rStyle w:val="50"/>
          <w:rFonts w:hint="eastAsia" w:ascii="宋体" w:hAnsi="宋体" w:eastAsia="宋体" w:cs="宋体"/>
          <w:b/>
          <w:bCs/>
          <w:color w:val="auto"/>
          <w:sz w:val="22"/>
          <w:szCs w:val="22"/>
          <w:highlight w:val="none"/>
          <w:u w:val="wave"/>
        </w:rPr>
      </w:pPr>
      <w:r>
        <w:rPr>
          <w:rStyle w:val="50"/>
          <w:rFonts w:hint="eastAsia" w:ascii="宋体" w:hAnsi="宋体" w:eastAsia="宋体" w:cs="宋体"/>
          <w:b/>
          <w:bCs/>
          <w:color w:val="auto"/>
          <w:sz w:val="22"/>
          <w:szCs w:val="22"/>
          <w:highlight w:val="none"/>
          <w:u w:val="wave"/>
        </w:rPr>
        <w:br w:type="page"/>
      </w:r>
    </w:p>
    <w:p>
      <w:pPr>
        <w:snapToGrid w:val="0"/>
        <w:spacing w:before="0" w:after="0" w:line="360" w:lineRule="auto"/>
        <w:ind w:firstLine="0"/>
        <w:outlineLvl w:val="2"/>
        <w:rPr>
          <w:rStyle w:val="50"/>
          <w:rFonts w:hint="eastAsia" w:ascii="宋体" w:hAnsi="宋体" w:eastAsia="宋体" w:cs="宋体"/>
          <w:b/>
          <w:color w:val="auto"/>
          <w:sz w:val="22"/>
          <w:szCs w:val="22"/>
          <w:highlight w:val="none"/>
        </w:rPr>
      </w:pPr>
      <w:bookmarkStart w:id="499" w:name="_Toc4430"/>
      <w:bookmarkStart w:id="500" w:name="_Toc94"/>
      <w:bookmarkStart w:id="501" w:name="_Toc22712"/>
      <w:r>
        <w:rPr>
          <w:rStyle w:val="50"/>
          <w:rFonts w:hint="eastAsia" w:ascii="宋体" w:hAnsi="宋体" w:eastAsia="宋体" w:cs="宋体"/>
          <w:b/>
          <w:color w:val="auto"/>
          <w:sz w:val="22"/>
          <w:szCs w:val="22"/>
          <w:highlight w:val="none"/>
        </w:rPr>
        <w:t>附录A  相关服务的范围和内容</w:t>
      </w:r>
      <w:bookmarkEnd w:id="499"/>
      <w:bookmarkEnd w:id="500"/>
      <w:bookmarkEnd w:id="501"/>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40" w:firstLineChars="200"/>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A-1 勘察阶段：</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cs="宋体"/>
          <w:color w:val="auto"/>
          <w:sz w:val="22"/>
          <w:szCs w:val="22"/>
          <w:highlight w:val="none"/>
          <w:u w:val="single"/>
          <w:lang w:val="en-US"/>
        </w:rPr>
        <w:t>/</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40" w:firstLineChars="200"/>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A-2 设计阶段：</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cs="宋体"/>
          <w:color w:val="auto"/>
          <w:sz w:val="22"/>
          <w:szCs w:val="22"/>
          <w:highlight w:val="none"/>
          <w:u w:val="single"/>
          <w:lang w:val="en-US"/>
        </w:rPr>
        <w:t xml:space="preserve"> /</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40" w:firstLineChars="200"/>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A-3 保修阶段：</w:t>
      </w:r>
      <w:r>
        <w:rPr>
          <w:rStyle w:val="50"/>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rPr>
        <w:t>负责检查工程状况，监督承包人执行保修期工作计划，检查和验收尾工项目，对已移交工程中出现的质量缺陷等调查原因并提出处理意见。鉴定质量问题责任，督促保修和回访等。按国家和广东省的相关规定行</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40" w:firstLineChars="200"/>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kern w:val="0"/>
          <w:sz w:val="22"/>
          <w:szCs w:val="22"/>
          <w:highlight w:val="none"/>
        </w:rPr>
        <w:t xml:space="preserve">A-4 </w:t>
      </w:r>
      <w:r>
        <w:rPr>
          <w:rStyle w:val="50"/>
          <w:rFonts w:hint="eastAsia" w:ascii="宋体" w:hAnsi="宋体" w:eastAsia="宋体" w:cs="宋体"/>
          <w:color w:val="auto"/>
          <w:sz w:val="22"/>
          <w:szCs w:val="22"/>
          <w:highlight w:val="none"/>
        </w:rPr>
        <w:t>其他（专业技术咨询、外部协调工作等）：</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cs="宋体"/>
          <w:color w:val="auto"/>
          <w:sz w:val="22"/>
          <w:szCs w:val="22"/>
          <w:highlight w:val="none"/>
          <w:u w:val="single"/>
          <w:lang w:val="en-US"/>
        </w:rPr>
        <w:t>/</w:t>
      </w:r>
      <w:r>
        <w:rPr>
          <w:rStyle w:val="50"/>
          <w:rFonts w:hint="eastAsia" w:ascii="宋体" w:hAnsi="宋体" w:eastAsia="宋体" w:cs="宋体"/>
          <w:color w:val="auto"/>
          <w:sz w:val="22"/>
          <w:szCs w:val="22"/>
          <w:highlight w:val="none"/>
          <w:u w:val="single"/>
        </w:rPr>
        <w:t xml:space="preserve">        </w:t>
      </w:r>
      <w:r>
        <w:rPr>
          <w:rStyle w:val="50"/>
          <w:rFonts w:hint="eastAsia" w:ascii="宋体" w:hAnsi="宋体" w:eastAsia="宋体" w:cs="宋体"/>
          <w:color w:val="auto"/>
          <w:sz w:val="22"/>
          <w:szCs w:val="22"/>
          <w:highlight w:val="none"/>
        </w:rPr>
        <w:t>。</w:t>
      </w:r>
    </w:p>
    <w:p>
      <w:pPr>
        <w:snapToGrid w:val="0"/>
        <w:spacing w:before="0" w:after="0" w:line="360" w:lineRule="auto"/>
        <w:jc w:val="left"/>
        <w:outlineLvl w:val="9"/>
        <w:rPr>
          <w:rStyle w:val="50"/>
          <w:rFonts w:hint="eastAsia" w:ascii="宋体" w:hAnsi="宋体" w:eastAsia="宋体" w:cs="宋体"/>
          <w:b/>
          <w:color w:val="auto"/>
          <w:sz w:val="22"/>
          <w:szCs w:val="22"/>
          <w:highlight w:val="none"/>
        </w:rPr>
      </w:pPr>
      <w:bookmarkStart w:id="502" w:name="_Toc29446"/>
      <w:bookmarkStart w:id="503" w:name="_Toc31912"/>
      <w:bookmarkStart w:id="504" w:name="_Toc20431"/>
    </w:p>
    <w:p>
      <w:pPr>
        <w:pStyle w:val="2"/>
        <w:spacing w:line="360" w:lineRule="auto"/>
        <w:rPr>
          <w:rFonts w:hint="eastAsia" w:ascii="宋体" w:hAnsi="宋体" w:eastAsia="宋体" w:cs="宋体"/>
          <w:color w:val="auto"/>
          <w:sz w:val="22"/>
          <w:szCs w:val="22"/>
          <w:highlight w:val="none"/>
        </w:rPr>
      </w:pPr>
    </w:p>
    <w:p>
      <w:pPr>
        <w:snapToGrid w:val="0"/>
        <w:spacing w:before="0" w:after="0" w:line="360" w:lineRule="auto"/>
        <w:jc w:val="left"/>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附录B  委托人派遣的人员和提供的房屋、资料、设备</w:t>
      </w:r>
      <w:bookmarkEnd w:id="502"/>
      <w:bookmarkEnd w:id="503"/>
      <w:bookmarkEnd w:id="504"/>
    </w:p>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r>
        <w:rPr>
          <w:rStyle w:val="50"/>
          <w:rFonts w:hint="eastAsia" w:ascii="宋体" w:hAnsi="宋体" w:eastAsia="宋体" w:cs="宋体"/>
          <w:b/>
          <w:color w:val="auto"/>
          <w:kern w:val="0"/>
          <w:sz w:val="22"/>
          <w:szCs w:val="22"/>
          <w:highlight w:val="none"/>
        </w:rPr>
        <w:t>B-1  委托人派遣的人员</w:t>
      </w:r>
    </w:p>
    <w:tbl>
      <w:tblPr>
        <w:tblStyle w:val="23"/>
        <w:tblW w:w="85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08"/>
        <w:gridCol w:w="1770"/>
        <w:gridCol w:w="2130"/>
        <w:gridCol w:w="1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8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名称</w:t>
            </w:r>
          </w:p>
        </w:tc>
        <w:tc>
          <w:tcPr>
            <w:tcW w:w="17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数量</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工作要求</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提供时间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8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 工程技术人员</w:t>
            </w:r>
          </w:p>
        </w:tc>
        <w:tc>
          <w:tcPr>
            <w:tcW w:w="17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8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 辅助工作人员</w:t>
            </w:r>
          </w:p>
        </w:tc>
        <w:tc>
          <w:tcPr>
            <w:tcW w:w="17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80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3. 其他人员</w:t>
            </w:r>
          </w:p>
        </w:tc>
        <w:tc>
          <w:tcPr>
            <w:tcW w:w="177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cs="宋体"/>
                <w:color w:val="auto"/>
                <w:sz w:val="22"/>
                <w:szCs w:val="22"/>
                <w:highlight w:val="none"/>
                <w:u w:val="none"/>
              </w:rPr>
            </w:pPr>
            <w:r>
              <w:rPr>
                <w:rFonts w:hint="eastAsia" w:ascii="宋体" w:hAnsi="宋体" w:cs="宋体"/>
                <w:snapToGrid w:val="0"/>
                <w:color w:val="auto"/>
                <w:sz w:val="22"/>
                <w:szCs w:val="22"/>
                <w:highlight w:val="none"/>
                <w:u w:val="none"/>
              </w:rPr>
              <w:t>另行通知</w:t>
            </w:r>
          </w:p>
        </w:tc>
      </w:tr>
    </w:tbl>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p>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r>
        <w:rPr>
          <w:rStyle w:val="50"/>
          <w:rFonts w:hint="eastAsia" w:ascii="宋体" w:hAnsi="宋体" w:eastAsia="宋体" w:cs="宋体"/>
          <w:b/>
          <w:color w:val="auto"/>
          <w:kern w:val="0"/>
          <w:sz w:val="22"/>
          <w:szCs w:val="22"/>
          <w:highlight w:val="none"/>
        </w:rPr>
        <w:t>B-2  委托人提供的房屋</w:t>
      </w:r>
    </w:p>
    <w:tbl>
      <w:tblPr>
        <w:tblStyle w:val="23"/>
        <w:tblW w:w="85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8"/>
        <w:gridCol w:w="2130"/>
        <w:gridCol w:w="2130"/>
        <w:gridCol w:w="1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名称</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数量</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面积</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提供时间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 办公用房</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220" w:firstLineChars="100"/>
              <w:jc w:val="center"/>
              <w:textAlignment w:val="auto"/>
              <w:rPr>
                <w:rStyle w:val="50"/>
                <w:rFonts w:hint="eastAsia" w:ascii="宋体" w:hAnsi="宋体" w:eastAsia="宋体" w:cs="宋体"/>
                <w:color w:val="auto"/>
                <w:sz w:val="22"/>
                <w:szCs w:val="22"/>
                <w:highlight w:val="none"/>
              </w:rPr>
            </w:pP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220" w:firstLineChars="100"/>
              <w:jc w:val="center"/>
              <w:textAlignment w:val="auto"/>
              <w:rPr>
                <w:rStyle w:val="50"/>
                <w:rFonts w:hint="eastAsia" w:ascii="宋体" w:hAnsi="宋体" w:eastAsia="宋体" w:cs="宋体"/>
                <w:color w:val="auto"/>
                <w:sz w:val="22"/>
                <w:szCs w:val="22"/>
                <w:highlight w:val="none"/>
              </w:rPr>
            </w:pPr>
            <w:r>
              <w:rPr>
                <w:rFonts w:hint="eastAsia" w:ascii="宋体" w:hAnsi="宋体" w:cs="宋体"/>
                <w:color w:val="auto"/>
                <w:sz w:val="22"/>
                <w:szCs w:val="22"/>
                <w:highlight w:val="none"/>
              </w:rPr>
              <w:t>＞10m</w:t>
            </w:r>
            <w:r>
              <w:rPr>
                <w:rFonts w:hint="eastAsia" w:ascii="宋体" w:hAnsi="宋体" w:cs="宋体"/>
                <w:color w:val="auto"/>
                <w:sz w:val="22"/>
                <w:szCs w:val="22"/>
                <w:highlight w:val="none"/>
                <w:vertAlign w:val="superscript"/>
              </w:rPr>
              <w:t>2</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Fonts w:hint="eastAsia" w:ascii="宋体" w:hAnsi="宋体" w:cs="宋体"/>
                <w:color w:val="auto"/>
                <w:sz w:val="22"/>
                <w:szCs w:val="22"/>
                <w:highlight w:val="none"/>
              </w:rPr>
              <w:t>开工前7天内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 生活用房</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dstrike/>
                <w:color w:val="auto"/>
                <w:sz w:val="22"/>
                <w:szCs w:val="22"/>
                <w:highlight w:val="none"/>
              </w:rPr>
            </w:pPr>
            <w:r>
              <w:rPr>
                <w:rStyle w:val="50"/>
                <w:rFonts w:hint="eastAsia" w:ascii="宋体" w:hAnsi="宋体" w:eastAsia="宋体" w:cs="宋体"/>
                <w:color w:val="auto"/>
                <w:sz w:val="22"/>
                <w:szCs w:val="22"/>
                <w:highlight w:val="none"/>
              </w:rPr>
              <w:t>3. 试验用房</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4. 样品用房</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lang w:val="en-US"/>
              </w:rPr>
            </w:pPr>
            <w:r>
              <w:rPr>
                <w:rStyle w:val="50"/>
                <w:rFonts w:hint="eastAsia" w:ascii="宋体" w:hAnsi="宋体" w:eastAsia="宋体" w:cs="宋体"/>
                <w:color w:val="auto"/>
                <w:sz w:val="22"/>
                <w:szCs w:val="22"/>
                <w:highlight w:val="none"/>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44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用餐及其他生活条件</w:t>
            </w:r>
          </w:p>
        </w:tc>
        <w:tc>
          <w:tcPr>
            <w:tcW w:w="6120"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Fonts w:hint="eastAsia" w:ascii="宋体" w:hAnsi="宋体" w:cs="宋体"/>
                <w:color w:val="auto"/>
                <w:sz w:val="22"/>
                <w:szCs w:val="22"/>
                <w:highlight w:val="none"/>
              </w:rPr>
              <w:t>不提供。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568" w:type="dxa"/>
            <w:gridSpan w:val="4"/>
            <w:tcBorders>
              <w:top w:val="single" w:color="000000" w:sz="4" w:space="0"/>
              <w:left w:val="nil"/>
              <w:bottom w:val="nil"/>
              <w:right w:val="nil"/>
            </w:tcBorders>
          </w:tcPr>
          <w:p>
            <w:pPr>
              <w:pageBreakBefore w:val="0"/>
              <w:topLinePunct w:val="0"/>
              <w:bidi w:val="0"/>
              <w:spacing w:line="360" w:lineRule="auto"/>
              <w:ind w:left="0" w:leftChars="0" w:right="0" w:rightChars="0"/>
              <w:rPr>
                <w:rFonts w:hint="eastAsia" w:ascii="宋体" w:hAnsi="宋体" w:cs="宋体"/>
                <w:color w:val="auto"/>
                <w:sz w:val="22"/>
                <w:szCs w:val="22"/>
                <w:highlight w:val="none"/>
              </w:rPr>
            </w:pPr>
            <w:r>
              <w:rPr>
                <w:rFonts w:hint="eastAsia" w:ascii="宋体" w:hAnsi="宋体" w:cs="宋体"/>
                <w:b/>
                <w:color w:val="auto"/>
                <w:sz w:val="22"/>
                <w:szCs w:val="22"/>
                <w:highlight w:val="none"/>
              </w:rPr>
              <w:t>即：委托人提供仅提供办公场地给监理人员，但其他监理办公桌椅、设备、交通、餐饮及住宿由监理人自行解决，相关费用已包含在合同</w:t>
            </w:r>
            <w:r>
              <w:rPr>
                <w:rFonts w:hint="eastAsia" w:ascii="宋体" w:hAnsi="宋体" w:cs="宋体"/>
                <w:b/>
                <w:color w:val="auto"/>
                <w:sz w:val="22"/>
                <w:szCs w:val="22"/>
                <w:highlight w:val="none"/>
                <w:lang w:val="en-US" w:eastAsia="zh-CN"/>
              </w:rPr>
              <w:t>价款中</w:t>
            </w:r>
            <w:r>
              <w:rPr>
                <w:rFonts w:hint="eastAsia" w:ascii="宋体" w:hAnsi="宋体" w:cs="宋体"/>
                <w:b/>
                <w:color w:val="auto"/>
                <w:sz w:val="22"/>
                <w:szCs w:val="22"/>
                <w:highlight w:val="none"/>
              </w:rPr>
              <w:t>。</w:t>
            </w:r>
          </w:p>
        </w:tc>
      </w:tr>
    </w:tbl>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p>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p>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p>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r>
        <w:rPr>
          <w:rStyle w:val="50"/>
          <w:rFonts w:hint="eastAsia" w:ascii="宋体" w:hAnsi="宋体" w:eastAsia="宋体" w:cs="宋体"/>
          <w:b/>
          <w:color w:val="auto"/>
          <w:kern w:val="0"/>
          <w:sz w:val="22"/>
          <w:szCs w:val="22"/>
          <w:highlight w:val="none"/>
        </w:rPr>
        <w:t>B-3  委托人提供的资料</w:t>
      </w:r>
    </w:p>
    <w:tbl>
      <w:tblPr>
        <w:tblStyle w:val="23"/>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81"/>
        <w:gridCol w:w="1095"/>
        <w:gridCol w:w="2700"/>
        <w:gridCol w:w="1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名称</w:t>
            </w:r>
          </w:p>
        </w:tc>
        <w:tc>
          <w:tcPr>
            <w:tcW w:w="10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份数</w:t>
            </w:r>
          </w:p>
        </w:tc>
        <w:tc>
          <w:tcPr>
            <w:tcW w:w="27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提供时间</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1.工程立项文件</w:t>
            </w:r>
          </w:p>
        </w:tc>
        <w:tc>
          <w:tcPr>
            <w:tcW w:w="10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1份</w:t>
            </w:r>
          </w:p>
        </w:tc>
        <w:tc>
          <w:tcPr>
            <w:tcW w:w="27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开工前10天内</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2.工程勘察文件</w:t>
            </w:r>
          </w:p>
        </w:tc>
        <w:tc>
          <w:tcPr>
            <w:tcW w:w="10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1份</w:t>
            </w:r>
          </w:p>
        </w:tc>
        <w:tc>
          <w:tcPr>
            <w:tcW w:w="27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开工前10天内</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3.工程设计及施工图纸</w:t>
            </w:r>
          </w:p>
        </w:tc>
        <w:tc>
          <w:tcPr>
            <w:tcW w:w="10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1份</w:t>
            </w:r>
          </w:p>
        </w:tc>
        <w:tc>
          <w:tcPr>
            <w:tcW w:w="27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本合同签订后7天内</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4.工程承包合同及其他相关合同</w:t>
            </w:r>
          </w:p>
        </w:tc>
        <w:tc>
          <w:tcPr>
            <w:tcW w:w="10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1份</w:t>
            </w:r>
          </w:p>
        </w:tc>
        <w:tc>
          <w:tcPr>
            <w:tcW w:w="27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开工前10天内</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5.施工许可文件</w:t>
            </w:r>
          </w:p>
        </w:tc>
        <w:tc>
          <w:tcPr>
            <w:tcW w:w="10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1份</w:t>
            </w:r>
          </w:p>
        </w:tc>
        <w:tc>
          <w:tcPr>
            <w:tcW w:w="27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开工前3天内</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48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kern w:val="0"/>
                <w:sz w:val="22"/>
                <w:szCs w:val="22"/>
                <w:highlight w:val="none"/>
              </w:rPr>
            </w:pPr>
            <w:r>
              <w:rPr>
                <w:rStyle w:val="50"/>
                <w:rFonts w:hint="eastAsia" w:ascii="宋体" w:hAnsi="宋体" w:eastAsia="宋体" w:cs="宋体"/>
                <w:color w:val="auto"/>
                <w:kern w:val="0"/>
                <w:sz w:val="22"/>
                <w:szCs w:val="22"/>
                <w:highlight w:val="none"/>
              </w:rPr>
              <w:t>6.其他文件</w:t>
            </w:r>
          </w:p>
        </w:tc>
        <w:tc>
          <w:tcPr>
            <w:tcW w:w="109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lang w:val="en-US"/>
              </w:rPr>
            </w:pPr>
            <w:r>
              <w:rPr>
                <w:rStyle w:val="50"/>
                <w:rFonts w:hint="eastAsia" w:ascii="宋体" w:hAnsi="宋体" w:cs="宋体"/>
                <w:color w:val="auto"/>
                <w:kern w:val="0"/>
                <w:sz w:val="22"/>
                <w:szCs w:val="22"/>
                <w:highlight w:val="none"/>
                <w:lang w:val="en-US"/>
              </w:rPr>
              <w:t>/</w:t>
            </w:r>
          </w:p>
        </w:tc>
        <w:tc>
          <w:tcPr>
            <w:tcW w:w="270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lang w:val="en-US"/>
              </w:rPr>
            </w:pPr>
            <w:r>
              <w:rPr>
                <w:rStyle w:val="50"/>
                <w:rFonts w:hint="eastAsia" w:ascii="宋体" w:hAnsi="宋体" w:cs="宋体"/>
                <w:color w:val="auto"/>
                <w:kern w:val="0"/>
                <w:sz w:val="22"/>
                <w:szCs w:val="22"/>
                <w:highlight w:val="none"/>
                <w:lang w:val="en-US"/>
              </w:rPr>
              <w:t>/</w:t>
            </w:r>
          </w:p>
        </w:tc>
        <w:tc>
          <w:tcPr>
            <w:tcW w:w="12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kern w:val="0"/>
                <w:sz w:val="22"/>
                <w:szCs w:val="22"/>
                <w:highlight w:val="none"/>
              </w:rPr>
            </w:pPr>
          </w:p>
        </w:tc>
      </w:tr>
    </w:tbl>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p>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p>
    <w:p>
      <w:pPr>
        <w:pageBreakBefore w:val="0"/>
        <w:topLinePunct w:val="0"/>
        <w:bidi w:val="0"/>
        <w:spacing w:line="360" w:lineRule="auto"/>
        <w:ind w:left="0" w:leftChars="0" w:right="0" w:rightChars="0"/>
        <w:rPr>
          <w:rStyle w:val="50"/>
          <w:rFonts w:hint="eastAsia" w:ascii="宋体" w:hAnsi="宋体" w:eastAsia="宋体" w:cs="宋体"/>
          <w:b/>
          <w:color w:val="auto"/>
          <w:kern w:val="0"/>
          <w:sz w:val="22"/>
          <w:szCs w:val="22"/>
          <w:highlight w:val="none"/>
        </w:rPr>
      </w:pPr>
      <w:r>
        <w:rPr>
          <w:rStyle w:val="50"/>
          <w:rFonts w:hint="eastAsia" w:ascii="宋体" w:hAnsi="宋体" w:eastAsia="宋体" w:cs="宋体"/>
          <w:b/>
          <w:color w:val="auto"/>
          <w:kern w:val="0"/>
          <w:sz w:val="22"/>
          <w:szCs w:val="22"/>
          <w:highlight w:val="none"/>
        </w:rPr>
        <w:t>B-4 委托人提供的设备</w:t>
      </w:r>
    </w:p>
    <w:tbl>
      <w:tblPr>
        <w:tblStyle w:val="23"/>
        <w:tblW w:w="856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88"/>
        <w:gridCol w:w="1590"/>
        <w:gridCol w:w="2130"/>
        <w:gridCol w:w="18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9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名称</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数量</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型号与规格</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提供时间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9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1. 通讯设备</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9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2. 办公设备</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9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3. 交通工具</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98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left"/>
              <w:textAlignment w:val="auto"/>
              <w:rPr>
                <w:rStyle w:val="50"/>
                <w:rFonts w:hint="eastAsia" w:ascii="宋体" w:hAnsi="宋体" w:eastAsia="宋体" w:cs="宋体"/>
                <w:color w:val="auto"/>
                <w:sz w:val="22"/>
                <w:szCs w:val="22"/>
                <w:highlight w:val="none"/>
              </w:rPr>
            </w:pPr>
            <w:r>
              <w:rPr>
                <w:rStyle w:val="50"/>
                <w:rFonts w:hint="eastAsia" w:ascii="宋体" w:hAnsi="宋体" w:eastAsia="宋体" w:cs="宋体"/>
                <w:color w:val="auto"/>
                <w:sz w:val="22"/>
                <w:szCs w:val="22"/>
                <w:highlight w:val="none"/>
              </w:rPr>
              <w:t>4. 检测和试验设备</w:t>
            </w:r>
          </w:p>
        </w:tc>
        <w:tc>
          <w:tcPr>
            <w:tcW w:w="159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213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c>
          <w:tcPr>
            <w:tcW w:w="18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eastAsia="宋体" w:cs="宋体"/>
                <w:color w:val="auto"/>
                <w:sz w:val="22"/>
                <w:szCs w:val="22"/>
                <w:highlight w:val="none"/>
              </w:rPr>
              <w:t>/</w:t>
            </w:r>
          </w:p>
        </w:tc>
      </w:tr>
    </w:tbl>
    <w:p>
      <w:pPr>
        <w:pStyle w:val="22"/>
        <w:pageBreakBefore w:val="0"/>
        <w:topLinePunct w:val="0"/>
        <w:bidi w:val="0"/>
        <w:spacing w:after="0" w:line="360" w:lineRule="auto"/>
        <w:ind w:left="0" w:leftChars="0" w:right="0" w:rightChars="0" w:firstLine="928"/>
        <w:rPr>
          <w:rFonts w:hint="eastAsia" w:ascii="宋体" w:hAnsi="宋体" w:eastAsia="宋体" w:cs="宋体"/>
          <w:color w:val="auto"/>
          <w:sz w:val="22"/>
          <w:szCs w:val="22"/>
          <w:highlight w:val="none"/>
        </w:rPr>
      </w:pPr>
    </w:p>
    <w:p>
      <w:pPr>
        <w:pStyle w:val="22"/>
        <w:pageBreakBefore w:val="0"/>
        <w:topLinePunct w:val="0"/>
        <w:bidi w:val="0"/>
        <w:spacing w:after="0" w:line="360" w:lineRule="auto"/>
        <w:ind w:left="0" w:leftChars="0" w:right="0" w:rightChars="0" w:firstLine="928"/>
        <w:rPr>
          <w:rFonts w:hint="eastAsia" w:ascii="宋体" w:hAnsi="宋体" w:eastAsia="宋体" w:cs="宋体"/>
          <w:color w:val="auto"/>
          <w:sz w:val="22"/>
          <w:szCs w:val="22"/>
          <w:highlight w:val="none"/>
        </w:rPr>
      </w:pPr>
    </w:p>
    <w:p>
      <w:pPr>
        <w:pStyle w:val="22"/>
        <w:pageBreakBefore w:val="0"/>
        <w:topLinePunct w:val="0"/>
        <w:bidi w:val="0"/>
        <w:spacing w:after="0" w:line="360" w:lineRule="auto"/>
        <w:ind w:left="0" w:leftChars="0" w:right="0" w:rightChars="0" w:firstLine="928"/>
        <w:rPr>
          <w:rFonts w:hint="eastAsia" w:ascii="宋体" w:hAnsi="宋体" w:eastAsia="宋体" w:cs="宋体"/>
          <w:color w:val="auto"/>
          <w:sz w:val="22"/>
          <w:szCs w:val="22"/>
          <w:highlight w:val="none"/>
        </w:rPr>
      </w:pPr>
    </w:p>
    <w:p>
      <w:pPr>
        <w:pStyle w:val="22"/>
        <w:pageBreakBefore w:val="0"/>
        <w:topLinePunct w:val="0"/>
        <w:bidi w:val="0"/>
        <w:spacing w:after="0" w:line="360" w:lineRule="auto"/>
        <w:ind w:left="0" w:leftChars="0" w:right="0" w:rightChars="0" w:firstLine="928"/>
        <w:rPr>
          <w:rFonts w:hint="eastAsia" w:ascii="宋体" w:hAnsi="宋体" w:eastAsia="宋体" w:cs="宋体"/>
          <w:color w:val="auto"/>
          <w:sz w:val="22"/>
          <w:szCs w:val="22"/>
          <w:highlight w:val="none"/>
        </w:rPr>
      </w:pPr>
    </w:p>
    <w:p>
      <w:pPr>
        <w:pStyle w:val="22"/>
        <w:pageBreakBefore w:val="0"/>
        <w:topLinePunct w:val="0"/>
        <w:bidi w:val="0"/>
        <w:spacing w:after="0" w:line="360" w:lineRule="auto"/>
        <w:ind w:left="0" w:leftChars="0" w:right="0" w:rightChars="0" w:firstLine="928"/>
        <w:rPr>
          <w:rFonts w:hint="eastAsia" w:ascii="宋体" w:hAnsi="宋体" w:eastAsia="宋体" w:cs="宋体"/>
          <w:color w:val="auto"/>
          <w:sz w:val="22"/>
          <w:szCs w:val="22"/>
          <w:highlight w:val="none"/>
        </w:rPr>
      </w:pPr>
    </w:p>
    <w:p>
      <w:pPr>
        <w:spacing w:line="360" w:lineRule="auto"/>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br w:type="page"/>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jc w:val="left"/>
        <w:textAlignment w:val="auto"/>
        <w:outlineLvl w:val="2"/>
        <w:rPr>
          <w:rStyle w:val="50"/>
          <w:rFonts w:hint="eastAsia" w:ascii="宋体" w:hAnsi="宋体" w:eastAsia="宋体" w:cs="宋体"/>
          <w:b/>
          <w:color w:val="auto"/>
          <w:sz w:val="22"/>
          <w:szCs w:val="22"/>
          <w:highlight w:val="none"/>
        </w:rPr>
      </w:pPr>
      <w:r>
        <w:rPr>
          <w:rStyle w:val="50"/>
          <w:rFonts w:hint="eastAsia" w:ascii="宋体" w:hAnsi="宋体" w:eastAsia="宋体" w:cs="宋体"/>
          <w:b/>
          <w:color w:val="auto"/>
          <w:sz w:val="22"/>
          <w:szCs w:val="22"/>
          <w:highlight w:val="none"/>
        </w:rPr>
        <w:t>附件</w:t>
      </w:r>
      <w:r>
        <w:rPr>
          <w:rStyle w:val="50"/>
          <w:rFonts w:hint="eastAsia" w:ascii="宋体" w:hAnsi="宋体" w:cs="宋体"/>
          <w:b/>
          <w:color w:val="auto"/>
          <w:sz w:val="22"/>
          <w:szCs w:val="22"/>
          <w:highlight w:val="none"/>
          <w:lang w:val="en-US"/>
        </w:rPr>
        <w:t>1</w:t>
      </w:r>
      <w:r>
        <w:rPr>
          <w:rStyle w:val="50"/>
          <w:rFonts w:hint="eastAsia" w:ascii="宋体" w:hAnsi="宋体" w:eastAsia="宋体" w:cs="宋体"/>
          <w:b/>
          <w:color w:val="auto"/>
          <w:sz w:val="22"/>
          <w:szCs w:val="22"/>
          <w:highlight w:val="none"/>
        </w:rPr>
        <w:t>：廉洁合作协议书</w:t>
      </w:r>
    </w:p>
    <w:p>
      <w:pPr>
        <w:pStyle w:val="14"/>
        <w:keepNext w:val="0"/>
        <w:keepLines w:val="0"/>
        <w:pageBreakBefore w:val="0"/>
        <w:widowControl w:val="0"/>
        <w:kinsoku/>
        <w:wordWrap/>
        <w:overflowPunct/>
        <w:topLinePunct w:val="0"/>
        <w:bidi w:val="0"/>
        <w:adjustRightInd w:val="0"/>
        <w:snapToGrid/>
        <w:spacing w:line="360" w:lineRule="auto"/>
        <w:jc w:val="both"/>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委托人（全称）：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p>
    <w:p>
      <w:pPr>
        <w:keepNext w:val="0"/>
        <w:keepLines w:val="0"/>
        <w:pageBreakBefore w:val="0"/>
        <w:widowControl w:val="0"/>
        <w:kinsoku/>
        <w:wordWrap/>
        <w:overflowPunct/>
        <w:topLinePunct w:val="0"/>
        <w:bidi w:val="0"/>
        <w:adjustRightInd w:val="0"/>
        <w:snapToGrid/>
        <w:spacing w:line="360" w:lineRule="auto"/>
        <w:jc w:val="both"/>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监理人（全称）：</w:t>
      </w:r>
      <w:r>
        <w:rPr>
          <w:rFonts w:hint="eastAsia" w:ascii="宋体" w:hAnsi="宋体" w:cs="宋体"/>
          <w:color w:val="auto"/>
          <w:sz w:val="22"/>
          <w:szCs w:val="22"/>
          <w:highlight w:val="none"/>
          <w:u w:val="single"/>
        </w:rPr>
        <w:t xml:space="preserve">                          </w:t>
      </w:r>
    </w:p>
    <w:p>
      <w:pPr>
        <w:keepNext w:val="0"/>
        <w:keepLines w:val="0"/>
        <w:pageBreakBefore w:val="0"/>
        <w:widowControl w:val="0"/>
        <w:kinsoku/>
        <w:wordWrap/>
        <w:overflowPunct/>
        <w:topLinePunct w:val="0"/>
        <w:bidi w:val="0"/>
        <w:adjustRightInd w:val="0"/>
        <w:snapToGrid/>
        <w:spacing w:line="360" w:lineRule="auto"/>
        <w:ind w:firstLine="440" w:firstLineChars="200"/>
        <w:jc w:val="both"/>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委托人、监理人双方于</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日签署了</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江门市悦兴置业有限公司悦璟苑小区</w:t>
      </w:r>
      <w:r>
        <w:rPr>
          <w:rFonts w:hint="eastAsia" w:ascii="宋体" w:hAnsi="宋体" w:cs="宋体"/>
          <w:color w:val="auto"/>
          <w:sz w:val="22"/>
          <w:szCs w:val="22"/>
          <w:highlight w:val="none"/>
          <w:u w:val="single"/>
        </w:rPr>
        <w:t>项目监理</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rPr>
        <w:t>合同，为加强工程项目建设期间的廉洁合作，确保项目高效优质按期竣工，双方经协商签订本协议并作为双方共同遵守的廉洁合作行为准则。</w:t>
      </w:r>
    </w:p>
    <w:p>
      <w:pPr>
        <w:keepNext w:val="0"/>
        <w:keepLines w:val="0"/>
        <w:pageBreakBefore w:val="0"/>
        <w:widowControl w:val="0"/>
        <w:tabs>
          <w:tab w:val="left" w:pos="3570"/>
        </w:tabs>
        <w:kinsoku/>
        <w:wordWrap/>
        <w:overflowPunct/>
        <w:topLinePunct w:val="0"/>
        <w:bidi w:val="0"/>
        <w:adjustRightInd w:val="0"/>
        <w:snapToGrid w:val="0"/>
        <w:spacing w:line="360" w:lineRule="auto"/>
        <w:ind w:firstLine="440" w:firstLineChars="200"/>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1.委托人责任</w:t>
      </w:r>
      <w:r>
        <w:rPr>
          <w:rFonts w:hint="eastAsia" w:ascii="宋体" w:hAnsi="宋体" w:cs="宋体"/>
          <w:color w:val="auto"/>
          <w:sz w:val="22"/>
          <w:szCs w:val="22"/>
          <w:highlight w:val="none"/>
        </w:rPr>
        <w:tab/>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1.1.委托人有责任向监理人介绍本单位有关廉洁合作管理的各项制度和规定。</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1.2.委托人有责任对本单位项目管理人员进行廉洁合作教育。</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1.3.委托人人员应严格遵守本单位有关廉洁合作管理的规定，不得接受监理人的宴请，不得接受任何形式的实物、现金或礼券。</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1.4.委托人在工程项目建设期间发现委托人的人员任何形式的索贿受贿行为，均应及时采取措施予以制止，并及时通报监理人领导。</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1.5.委托人的人员如违反廉洁合作管理制度及本协议规定，委托人应视情节轻重、影响大小给予行政及经济处罚。</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1.6.对于监理人举报委托人人员违反廉洁合作规定的情况，委托人应及时进行调查，根据调查情况进行处理。</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2.监理人责任</w:t>
      </w:r>
    </w:p>
    <w:p>
      <w:pPr>
        <w:tabs>
          <w:tab w:val="left" w:pos="900"/>
        </w:tabs>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2.1.监理人应保证监理人有关人员了解委托人单位有关廉洁合作管理的各项制度及本协议的规定，并遵照执行。</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2.2.监理人不得宴请委托人人员，不得以任何形式赠送实物、现金或礼券。监理人不得接受施工单位的宴请，不得以任何形式接受施工单位的赠送实物、现金或礼券等。</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2.3.监理人在工程项目建设期间发现监理人人员任何向委托人的人员行贿行为或者接受施工单位的贿赂行为的，均应及时采取措施予以制止，并及时通报委托人单位领导。</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2.4.监理人有责任接受委托人对监理人在工程项目建设期间廉洁合作管理执行情况的监督。</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2.5.监理人人员有义务就委托人人员任何形式的索贿或受贿行为或者施工单位的任何行贿行为及时向委托人单位领导举报；如监理人向委托人人员行贿，或委托人人员向监理人索贿，监理人满足其要求且并未向委托人举报的，一经查实，除追回由此给委托人造成的损失外，监理人承诺按行贿或索贿金额的10倍接受处罚，并同意在结算款中扣除。并对本方知情不报人员进行相应处罚。如监理人向施工单位进行索贿、或收受施工单位的任何行贿，一经查实，监理人承诺按行贿或索贿金额的10倍接受处罚，并同意在结算款中扣除。并对本方知情不报人员进行相应处罚。情节特别的严重的，委托人可解除本监理合同，并对监理人处以最高监理结算总价20%的罚款。</w:t>
      </w:r>
    </w:p>
    <w:p>
      <w:pPr>
        <w:adjustRightInd w:val="0"/>
        <w:snapToGrid w:val="0"/>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2.6.如因监理人单位及人员在工程项目建设期间贿赂委托人人员，被检察机关立案查处的，委托人有权取消或终止工程合同的履行，由此给委托人造成的损失由监理人负责赔偿。</w:t>
      </w:r>
    </w:p>
    <w:p>
      <w:pPr>
        <w:adjustRightInd w:val="0"/>
        <w:snapToGrid w:val="0"/>
        <w:spacing w:line="360" w:lineRule="auto"/>
        <w:ind w:firstLine="440" w:firstLineChars="200"/>
        <w:rPr>
          <w:rFonts w:hint="eastAsia" w:ascii="宋体" w:hAnsi="宋体" w:cs="宋体"/>
          <w:color w:val="auto"/>
          <w:sz w:val="22"/>
          <w:szCs w:val="22"/>
          <w:highlight w:val="none"/>
        </w:rPr>
      </w:pPr>
    </w:p>
    <w:p>
      <w:pPr>
        <w:spacing w:line="360" w:lineRule="auto"/>
        <w:ind w:left="425"/>
        <w:rPr>
          <w:rFonts w:hint="eastAsia" w:ascii="宋体" w:hAnsi="宋体" w:cs="宋体"/>
          <w:color w:val="auto"/>
          <w:sz w:val="22"/>
          <w:szCs w:val="22"/>
          <w:highlight w:val="none"/>
        </w:rPr>
      </w:pPr>
    </w:p>
    <w:p>
      <w:pPr>
        <w:spacing w:line="360" w:lineRule="auto"/>
        <w:ind w:left="425"/>
        <w:rPr>
          <w:rFonts w:hint="eastAsia" w:ascii="宋体" w:hAnsi="宋体" w:cs="宋体"/>
          <w:color w:val="auto"/>
          <w:sz w:val="22"/>
          <w:szCs w:val="22"/>
          <w:highlight w:val="none"/>
        </w:rPr>
      </w:pPr>
    </w:p>
    <w:p>
      <w:pPr>
        <w:spacing w:line="360" w:lineRule="auto"/>
        <w:ind w:firstLine="660" w:firstLineChars="3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委托人（公章）：                     监理人（公章）： </w:t>
      </w:r>
    </w:p>
    <w:p>
      <w:pPr>
        <w:spacing w:line="360" w:lineRule="auto"/>
        <w:ind w:firstLine="660" w:firstLineChars="300"/>
        <w:rPr>
          <w:rFonts w:hint="eastAsia" w:ascii="宋体" w:hAnsi="宋体" w:cs="宋体"/>
          <w:color w:val="auto"/>
          <w:sz w:val="22"/>
          <w:szCs w:val="22"/>
          <w:highlight w:val="none"/>
        </w:rPr>
      </w:pPr>
    </w:p>
    <w:p>
      <w:pPr>
        <w:spacing w:line="360" w:lineRule="auto"/>
        <w:ind w:firstLine="660" w:firstLineChars="3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法定代表人：                        法定代表人：   </w:t>
      </w:r>
    </w:p>
    <w:p>
      <w:pPr>
        <w:spacing w:line="360" w:lineRule="auto"/>
        <w:ind w:firstLine="660" w:firstLineChars="300"/>
        <w:rPr>
          <w:rFonts w:hint="eastAsia" w:ascii="宋体" w:hAnsi="宋体" w:cs="宋体"/>
          <w:color w:val="auto"/>
          <w:sz w:val="22"/>
          <w:szCs w:val="22"/>
          <w:highlight w:val="none"/>
        </w:rPr>
      </w:pPr>
    </w:p>
    <w:p>
      <w:pPr>
        <w:spacing w:line="360" w:lineRule="auto"/>
        <w:ind w:firstLine="660" w:firstLineChars="300"/>
        <w:rPr>
          <w:rFonts w:hint="eastAsia" w:ascii="宋体" w:hAnsi="宋体" w:cs="宋体"/>
          <w:color w:val="auto"/>
          <w:sz w:val="22"/>
          <w:szCs w:val="22"/>
          <w:highlight w:val="none"/>
        </w:rPr>
      </w:pPr>
      <w:r>
        <w:rPr>
          <w:rFonts w:hint="eastAsia" w:ascii="宋体" w:hAnsi="宋体" w:cs="宋体"/>
          <w:color w:val="auto"/>
          <w:sz w:val="22"/>
          <w:szCs w:val="22"/>
          <w:highlight w:val="none"/>
        </w:rPr>
        <w:t>签约代表人：                        签约代表人：</w:t>
      </w:r>
    </w:p>
    <w:p>
      <w:pPr>
        <w:pStyle w:val="18"/>
        <w:spacing w:line="360" w:lineRule="auto"/>
        <w:ind w:left="0" w:firstLine="0"/>
        <w:rPr>
          <w:rFonts w:hint="eastAsia" w:ascii="宋体" w:hAnsi="宋体" w:cs="宋体"/>
          <w:color w:val="auto"/>
          <w:sz w:val="22"/>
          <w:szCs w:val="22"/>
          <w:highlight w:val="none"/>
        </w:rPr>
      </w:pPr>
    </w:p>
    <w:p>
      <w:pPr>
        <w:spacing w:line="360" w:lineRule="auto"/>
        <w:ind w:firstLine="660" w:firstLineChars="3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     年     月     日      </w:t>
      </w:r>
    </w:p>
    <w:p>
      <w:pPr>
        <w:keepNext w:val="0"/>
        <w:keepLines w:val="0"/>
        <w:pageBreakBefore w:val="0"/>
        <w:widowControl w:val="0"/>
        <w:kinsoku/>
        <w:wordWrap/>
        <w:overflowPunct/>
        <w:topLinePunct w:val="0"/>
        <w:autoSpaceDE w:val="0"/>
        <w:autoSpaceDN w:val="0"/>
        <w:bidi w:val="0"/>
        <w:adjustRightInd w:val="0"/>
        <w:snapToGrid w:val="0"/>
        <w:spacing w:before="120" w:beforeLines="50" w:after="120" w:afterLines="50" w:line="360" w:lineRule="auto"/>
        <w:ind w:firstLine="110" w:firstLineChars="50"/>
        <w:textAlignment w:val="auto"/>
        <w:outlineLvl w:val="2"/>
        <w:rPr>
          <w:rFonts w:hint="eastAsia" w:ascii="宋体" w:hAnsi="宋体" w:cs="宋体"/>
          <w:color w:val="auto"/>
          <w:sz w:val="22"/>
          <w:szCs w:val="22"/>
          <w:highlight w:val="none"/>
        </w:rPr>
      </w:pPr>
      <w:r>
        <w:rPr>
          <w:rFonts w:hint="eastAsia" w:ascii="宋体" w:hAnsi="宋体" w:cs="宋体"/>
          <w:color w:val="auto"/>
          <w:sz w:val="22"/>
          <w:szCs w:val="22"/>
          <w:highlight w:val="none"/>
        </w:rPr>
        <w:br w:type="page"/>
      </w:r>
      <w:r>
        <w:rPr>
          <w:rStyle w:val="50"/>
          <w:rFonts w:hint="eastAsia" w:ascii="宋体" w:hAnsi="宋体" w:eastAsia="宋体" w:cs="宋体"/>
          <w:b/>
          <w:color w:val="auto"/>
          <w:sz w:val="22"/>
          <w:szCs w:val="22"/>
          <w:highlight w:val="none"/>
        </w:rPr>
        <w:t>附件</w:t>
      </w:r>
      <w:r>
        <w:rPr>
          <w:rStyle w:val="50"/>
          <w:rFonts w:hint="eastAsia" w:ascii="宋体" w:hAnsi="宋体" w:cs="宋体"/>
          <w:b/>
          <w:color w:val="auto"/>
          <w:sz w:val="22"/>
          <w:szCs w:val="22"/>
          <w:highlight w:val="none"/>
          <w:lang w:val="en-US"/>
        </w:rPr>
        <w:t>2</w:t>
      </w:r>
      <w:r>
        <w:rPr>
          <w:rStyle w:val="50"/>
          <w:rFonts w:hint="eastAsia" w:ascii="宋体" w:hAnsi="宋体" w:eastAsia="宋体" w:cs="宋体"/>
          <w:b/>
          <w:color w:val="auto"/>
          <w:sz w:val="22"/>
          <w:szCs w:val="22"/>
          <w:highlight w:val="none"/>
        </w:rPr>
        <w:t>：报价清单</w:t>
      </w:r>
    </w:p>
    <w:p>
      <w:pPr>
        <w:adjustRightInd w:val="0"/>
        <w:snapToGrid w:val="0"/>
        <w:spacing w:before="120" w:beforeLines="50" w:after="120" w:afterLines="50" w:line="360" w:lineRule="auto"/>
        <w:ind w:firstLine="110" w:firstLineChars="50"/>
        <w:rPr>
          <w:rFonts w:hint="eastAsia" w:ascii="宋体" w:hAnsi="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110" w:firstLineChars="50"/>
        <w:textAlignment w:val="auto"/>
        <w:outlineLvl w:val="2"/>
        <w:rPr>
          <w:rFonts w:hint="eastAsia" w:ascii="宋体" w:hAnsi="宋体" w:cs="宋体"/>
          <w:color w:val="auto"/>
          <w:sz w:val="22"/>
          <w:szCs w:val="22"/>
          <w:highlight w:val="none"/>
        </w:rPr>
      </w:pPr>
      <w:r>
        <w:rPr>
          <w:rFonts w:hint="eastAsia" w:ascii="宋体" w:hAnsi="宋体" w:cs="宋体"/>
          <w:color w:val="auto"/>
          <w:sz w:val="22"/>
          <w:szCs w:val="22"/>
          <w:highlight w:val="none"/>
        </w:rPr>
        <w:br w:type="page"/>
      </w:r>
      <w:r>
        <w:rPr>
          <w:rStyle w:val="50"/>
          <w:rFonts w:hint="eastAsia" w:ascii="宋体" w:hAnsi="宋体" w:eastAsia="宋体" w:cs="宋体"/>
          <w:b/>
          <w:color w:val="auto"/>
          <w:sz w:val="22"/>
          <w:szCs w:val="22"/>
          <w:highlight w:val="none"/>
        </w:rPr>
        <w:t>附件</w:t>
      </w:r>
      <w:r>
        <w:rPr>
          <w:rStyle w:val="50"/>
          <w:rFonts w:hint="eastAsia" w:ascii="宋体" w:hAnsi="宋体" w:cs="宋体"/>
          <w:b/>
          <w:color w:val="auto"/>
          <w:sz w:val="22"/>
          <w:szCs w:val="22"/>
          <w:highlight w:val="none"/>
          <w:lang w:val="en-US"/>
        </w:rPr>
        <w:t>3</w:t>
      </w:r>
      <w:r>
        <w:rPr>
          <w:rStyle w:val="50"/>
          <w:rFonts w:hint="eastAsia" w:ascii="宋体" w:hAnsi="宋体" w:eastAsia="宋体" w:cs="宋体"/>
          <w:b/>
          <w:color w:val="auto"/>
          <w:sz w:val="22"/>
          <w:szCs w:val="22"/>
          <w:highlight w:val="none"/>
        </w:rPr>
        <w:t>：检测仪器/工具、办公设备配置表</w:t>
      </w:r>
    </w:p>
    <w:tbl>
      <w:tblPr>
        <w:tblStyle w:val="23"/>
        <w:tblW w:w="9039" w:type="dxa"/>
        <w:tblInd w:w="0" w:type="dxa"/>
        <w:tblLayout w:type="fixed"/>
        <w:tblCellMar>
          <w:top w:w="0" w:type="dxa"/>
          <w:left w:w="108" w:type="dxa"/>
          <w:bottom w:w="0" w:type="dxa"/>
          <w:right w:w="108" w:type="dxa"/>
        </w:tblCellMar>
      </w:tblPr>
      <w:tblGrid>
        <w:gridCol w:w="763"/>
        <w:gridCol w:w="2442"/>
        <w:gridCol w:w="1780"/>
        <w:gridCol w:w="1077"/>
        <w:gridCol w:w="1984"/>
        <w:gridCol w:w="993"/>
      </w:tblGrid>
      <w:tr>
        <w:tblPrEx>
          <w:tblCellMar>
            <w:top w:w="0" w:type="dxa"/>
            <w:left w:w="108" w:type="dxa"/>
            <w:bottom w:w="0" w:type="dxa"/>
            <w:right w:w="108" w:type="dxa"/>
          </w:tblCellMar>
        </w:tblPrEx>
        <w:trPr>
          <w:trHeight w:val="454" w:hRule="atLeast"/>
        </w:trPr>
        <w:tc>
          <w:tcPr>
            <w:tcW w:w="7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序号</w:t>
            </w:r>
          </w:p>
        </w:tc>
        <w:tc>
          <w:tcPr>
            <w:tcW w:w="244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名称</w:t>
            </w:r>
          </w:p>
        </w:tc>
        <w:tc>
          <w:tcPr>
            <w:tcW w:w="178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型号、规格</w:t>
            </w:r>
          </w:p>
        </w:tc>
        <w:tc>
          <w:tcPr>
            <w:tcW w:w="107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数量</w:t>
            </w:r>
          </w:p>
        </w:tc>
        <w:tc>
          <w:tcPr>
            <w:tcW w:w="198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进场时间</w:t>
            </w:r>
          </w:p>
        </w:tc>
        <w:tc>
          <w:tcPr>
            <w:tcW w:w="99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备注</w:t>
            </w: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激光测距仪</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砼回弹仪</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兆欧表</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电脑</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打印机</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入场3</w:t>
            </w:r>
            <w:r>
              <w:rPr>
                <w:rFonts w:hint="eastAsia" w:ascii="宋体" w:hAnsi="宋体" w:cs="宋体"/>
                <w:color w:val="auto"/>
                <w:sz w:val="22"/>
                <w:szCs w:val="22"/>
                <w:highlight w:val="none"/>
                <w:u w:val="single"/>
              </w:rPr>
              <w:t>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电子游标卡尺</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7</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50米钢尺</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8</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靠尺</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9</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焊接检验尺</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10</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钢卷尺</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3</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r>
        <w:tblPrEx>
          <w:tblCellMar>
            <w:top w:w="0" w:type="dxa"/>
            <w:left w:w="108" w:type="dxa"/>
            <w:bottom w:w="0" w:type="dxa"/>
            <w:right w:w="108" w:type="dxa"/>
          </w:tblCellMar>
        </w:tblPrEx>
        <w:trPr>
          <w:trHeight w:val="454" w:hRule="atLeast"/>
        </w:trPr>
        <w:tc>
          <w:tcPr>
            <w:tcW w:w="763"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r>
              <w:rPr>
                <w:rFonts w:hint="eastAsia" w:ascii="宋体" w:hAnsi="宋体" w:cs="宋体"/>
                <w:color w:val="auto"/>
                <w:sz w:val="22"/>
                <w:szCs w:val="22"/>
                <w:highlight w:val="none"/>
              </w:rPr>
              <w:t>11</w:t>
            </w:r>
          </w:p>
        </w:tc>
        <w:tc>
          <w:tcPr>
            <w:tcW w:w="2442"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其他检测工具</w:t>
            </w:r>
          </w:p>
        </w:tc>
        <w:tc>
          <w:tcPr>
            <w:tcW w:w="1780"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p>
        </w:tc>
        <w:tc>
          <w:tcPr>
            <w:tcW w:w="1077"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1</w:t>
            </w:r>
          </w:p>
        </w:tc>
        <w:tc>
          <w:tcPr>
            <w:tcW w:w="198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color w:val="auto"/>
                <w:sz w:val="22"/>
                <w:szCs w:val="22"/>
                <w:highlight w:val="none"/>
                <w:lang w:val="en-US" w:eastAsia="zh-CN" w:bidi="ar-SA"/>
              </w:rPr>
            </w:pPr>
            <w:r>
              <w:rPr>
                <w:rFonts w:hint="eastAsia" w:ascii="宋体" w:hAnsi="宋体" w:cs="宋体"/>
                <w:color w:val="auto"/>
                <w:sz w:val="22"/>
                <w:szCs w:val="22"/>
                <w:highlight w:val="none"/>
              </w:rPr>
              <w:t>入场</w:t>
            </w:r>
            <w:r>
              <w:rPr>
                <w:rFonts w:hint="eastAsia" w:ascii="宋体" w:hAnsi="宋体" w:cs="宋体"/>
                <w:color w:val="auto"/>
                <w:sz w:val="22"/>
                <w:szCs w:val="22"/>
                <w:highlight w:val="none"/>
                <w:u w:val="single"/>
              </w:rPr>
              <w:t>30</w:t>
            </w:r>
            <w:r>
              <w:rPr>
                <w:rFonts w:hint="eastAsia" w:ascii="宋体" w:hAnsi="宋体" w:cs="宋体"/>
                <w:color w:val="auto"/>
                <w:sz w:val="22"/>
                <w:szCs w:val="22"/>
                <w:highlight w:val="none"/>
              </w:rPr>
              <w:t>日内</w:t>
            </w:r>
          </w:p>
        </w:tc>
        <w:tc>
          <w:tcPr>
            <w:tcW w:w="993"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cs="宋体"/>
                <w:color w:val="auto"/>
                <w:sz w:val="22"/>
                <w:szCs w:val="22"/>
                <w:highlight w:val="none"/>
              </w:rPr>
            </w:pPr>
          </w:p>
        </w:tc>
      </w:tr>
    </w:tbl>
    <w:p>
      <w:pPr>
        <w:spacing w:before="14" w:line="360" w:lineRule="auto"/>
        <w:ind w:left="210" w:right="433" w:firstLine="360"/>
        <w:rPr>
          <w:rFonts w:hint="eastAsia" w:ascii="宋体" w:hAnsi="宋体" w:cs="宋体"/>
          <w:color w:val="auto"/>
          <w:sz w:val="22"/>
          <w:szCs w:val="22"/>
          <w:highlight w:val="none"/>
        </w:rPr>
      </w:pPr>
    </w:p>
    <w:p>
      <w:pPr>
        <w:spacing w:before="14" w:line="360" w:lineRule="auto"/>
        <w:ind w:left="210" w:right="433" w:firstLine="360"/>
        <w:rPr>
          <w:rFonts w:hint="eastAsia" w:ascii="宋体" w:hAnsi="宋体" w:cs="宋体"/>
          <w:color w:val="auto"/>
          <w:sz w:val="22"/>
          <w:szCs w:val="22"/>
          <w:highlight w:val="none"/>
        </w:rPr>
      </w:pPr>
      <w:r>
        <w:rPr>
          <w:rFonts w:hint="eastAsia" w:ascii="宋体" w:hAnsi="宋体" w:cs="宋体"/>
          <w:color w:val="auto"/>
          <w:sz w:val="22"/>
          <w:szCs w:val="22"/>
          <w:highlight w:val="none"/>
        </w:rPr>
        <w:t>以上仪器设备及办公用品必须按约定的时间到场，未按要求进场的，委托人将自行购买并配备给现场监理人员，并从监理费用中扣除实际发生费用（购买设备的成本），所购设备归</w:t>
      </w:r>
      <w:r>
        <w:rPr>
          <w:rFonts w:hint="eastAsia" w:ascii="宋体" w:hAnsi="宋体" w:cs="宋体"/>
          <w:color w:val="auto"/>
          <w:sz w:val="22"/>
          <w:szCs w:val="22"/>
          <w:highlight w:val="none"/>
          <w:lang w:val="en-US" w:eastAsia="zh-CN"/>
        </w:rPr>
        <w:t>监理人</w:t>
      </w:r>
      <w:r>
        <w:rPr>
          <w:rFonts w:hint="eastAsia" w:ascii="宋体" w:hAnsi="宋体" w:cs="宋体"/>
          <w:color w:val="auto"/>
          <w:sz w:val="22"/>
          <w:szCs w:val="22"/>
          <w:highlight w:val="none"/>
        </w:rPr>
        <w:t>所有。同时，委托人有权在结算费用中扣除</w:t>
      </w:r>
      <w:r>
        <w:rPr>
          <w:rFonts w:hint="eastAsia" w:ascii="宋体" w:hAnsi="宋体" w:cs="宋体"/>
          <w:color w:val="auto"/>
          <w:sz w:val="22"/>
          <w:szCs w:val="22"/>
          <w:highlight w:val="none"/>
          <w:lang w:val="en-US" w:eastAsia="zh-CN"/>
        </w:rPr>
        <w:t>监理人</w:t>
      </w:r>
      <w:r>
        <w:rPr>
          <w:rFonts w:hint="eastAsia" w:ascii="宋体" w:hAnsi="宋体" w:cs="宋体"/>
          <w:color w:val="auto"/>
          <w:sz w:val="22"/>
          <w:szCs w:val="22"/>
          <w:highlight w:val="none"/>
        </w:rPr>
        <w:t>报价单中所含的此部分费用。</w:t>
      </w:r>
    </w:p>
    <w:p>
      <w:pPr>
        <w:pStyle w:val="22"/>
        <w:pageBreakBefore w:val="0"/>
        <w:topLinePunct w:val="0"/>
        <w:bidi w:val="0"/>
        <w:spacing w:after="0" w:line="360" w:lineRule="auto"/>
        <w:ind w:left="0" w:leftChars="0" w:right="0" w:rightChars="0" w:firstLine="928"/>
        <w:rPr>
          <w:rFonts w:hint="eastAsia" w:ascii="宋体" w:hAnsi="宋体" w:eastAsia="宋体" w:cs="宋体"/>
          <w:color w:val="auto"/>
          <w:sz w:val="22"/>
          <w:szCs w:val="22"/>
          <w:highlight w:val="none"/>
        </w:rPr>
      </w:pPr>
    </w:p>
    <w:p>
      <w:pPr>
        <w:pStyle w:val="22"/>
        <w:pageBreakBefore w:val="0"/>
        <w:topLinePunct w:val="0"/>
        <w:bidi w:val="0"/>
        <w:spacing w:after="0" w:line="360" w:lineRule="auto"/>
        <w:ind w:left="0" w:leftChars="0" w:right="0" w:rightChars="0" w:firstLine="928"/>
        <w:rPr>
          <w:rFonts w:hint="eastAsia" w:ascii="宋体" w:hAnsi="宋体" w:eastAsia="宋体" w:cs="宋体"/>
          <w:color w:val="auto"/>
          <w:sz w:val="22"/>
          <w:szCs w:val="22"/>
          <w:highlight w:val="none"/>
        </w:rPr>
      </w:pPr>
    </w:p>
    <w:p>
      <w:pPr>
        <w:spacing w:line="360" w:lineRule="auto"/>
        <w:ind w:right="0" w:rightChars="0"/>
        <w:jc w:val="lef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br w:type="page"/>
      </w:r>
    </w:p>
    <w:p>
      <w:pPr>
        <w:spacing w:line="360" w:lineRule="auto"/>
        <w:ind w:right="0" w:rightChars="0"/>
        <w:jc w:val="center"/>
        <w:outlineLvl w:val="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建设工程造价咨询合同</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2" w:firstLineChars="200"/>
        <w:contextualSpacing/>
        <w:jc w:val="center"/>
        <w:textAlignment w:val="auto"/>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第一部分  建设工程造价咨询合同标准条件</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both"/>
        <w:textAlignment w:val="auto"/>
        <w:outlineLvl w:val="9"/>
        <w:rPr>
          <w:rFonts w:hint="eastAsia" w:ascii="宋体" w:hAnsi="宋体" w:eastAsia="宋体" w:cs="宋体"/>
          <w:b/>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词语定义、适用语言和法律、法规</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第一条  下列名词和用语，除上下文另有规定外具有如下含义。</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1、“委托人”是指委托建设工程造价咨询业务和聘用工程造价咨询单位的一方，以及其合法继承人。</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2、“咨询人”是指承担建设工程造价咨询业务和工程造价咨询责任的一方，以及其合法继承人。</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3、“第三人”是指除委托人、咨询人以外与本咨询业务有关的当事人。</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4、“日”是指任何一天零时至第二天零时的时间段。</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第二条 建设工程造价咨询合同适用的是中国的法律、法规，以及专用条件中议定的部门规章、工程造价有关计价办法和规定或项目所在地的地方法规、地方规章。</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第三条 建设工程造价咨询合同的书写、解释和说明，以汉语为主导语言。当不同语言文本发生不同解释时，以汉语合同文本为准。</w:t>
      </w:r>
    </w:p>
    <w:p>
      <w:pPr>
        <w:pageBreakBefore w:val="0"/>
        <w:topLinePunct w:val="0"/>
        <w:bidi w:val="0"/>
        <w:spacing w:line="360" w:lineRule="auto"/>
        <w:ind w:left="0" w:leftChars="0" w:right="0" w:rightChars="0" w:firstLine="442" w:firstLineChars="200"/>
        <w:contextualSpacing/>
        <w:jc w:val="center"/>
        <w:rPr>
          <w:rFonts w:hint="eastAsia" w:ascii="宋体" w:hAnsi="宋体" w:eastAsia="宋体" w:cs="宋体"/>
          <w:b/>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咨询人的义务</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第四条 向委托人提供与工程造价咨询业务有关的资料，包括工程造价咨询的资质证书及承担本合同业务的专业人员名单、咨询工作计划等，并按合同专用条件中约定的范围实施咨询业务。</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第五条 咨询人在履行本合同期间，向委托人提供的服务包括正常服务、附加服务和额外服务。</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1、“正常服务”是指双方在专用条件中约定的工程造价咨询工作；</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2、“附加服务”是指在“正常服务”以外，经双方书面协议确定的附加服务；</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3、“额外服务”是指不属于“正常服务”和“附加服务”，但根据合同标准条件第十三条、第二十条和第二十二条的规定，咨询人应增加的额外工作量。</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第六条 在履行合同期间或合同规定期限内，不得泄露与本合同规定业务活动有关的保密资料。</w:t>
      </w:r>
    </w:p>
    <w:p>
      <w:pPr>
        <w:pageBreakBefore w:val="0"/>
        <w:topLinePunct w:val="0"/>
        <w:bidi w:val="0"/>
        <w:spacing w:line="360" w:lineRule="auto"/>
        <w:ind w:left="0" w:leftChars="0" w:right="0" w:rightChars="0" w:firstLine="442" w:firstLineChars="200"/>
        <w:contextualSpacing/>
        <w:jc w:val="center"/>
        <w:rPr>
          <w:rFonts w:hint="eastAsia" w:ascii="宋体" w:hAnsi="宋体" w:eastAsia="宋体" w:cs="宋体"/>
          <w:b/>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委托人的义务</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第七条  委托人应负责与本建设工程造价咨询业务有关的第三人的协调，为咨询人工作提供外部条件。</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第八条  委托人应当在约定的时间内，免费向咨询人提供与本项目咨询业务有关的资料。</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第九条  委托人应当在约定的时间内就咨询人书面提交并要求做出答复的事宜做出书面答复。咨询人要求第三人提供有关资料时，委托人应负责转达及资料转送。</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第十条  委托人应当授权胜任本咨询业务的代表，负责与咨询人联系。</w:t>
      </w:r>
    </w:p>
    <w:p>
      <w:pPr>
        <w:pageBreakBefore w:val="0"/>
        <w:topLinePunct w:val="0"/>
        <w:bidi w:val="0"/>
        <w:spacing w:line="360" w:lineRule="auto"/>
        <w:ind w:left="0" w:leftChars="0" w:right="0" w:rightChars="0" w:firstLine="442" w:firstLineChars="200"/>
        <w:contextualSpacing/>
        <w:jc w:val="center"/>
        <w:rPr>
          <w:rFonts w:hint="eastAsia" w:ascii="宋体" w:hAnsi="宋体" w:eastAsia="宋体" w:cs="宋体"/>
          <w:b/>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咨询人的权利</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第十一条  委托人在委托的建设工程造价咨询业务范围内，授予咨询人以下权利：</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1、咨询人在咨询过程中，如委托人提供的资料不明确时可向委托人提出书面报告。</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2、咨询人在咨询过程当中，有权对第三人提出与本咨询业务有关的问题进行核对或查问。</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3、咨询人在咨询过程中，有到工程现场勘察的权利。</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委托人的权利</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第十二条  委托人有下列权利：</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1、委托人有权向咨询人询问工作进展情况及相关内容。</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2、委托人有权阐述对具体问题的意见和建议。</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3、当委托人认定咨询专业人员不按咨询合同履行其职责，或与第三人串通给委托人造成经济损失的，委托人有权要求更换咨询专业人员，直至终止合同并要求咨询人承担相应的赔偿责任。</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咨询人的责任</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第十三条  咨询人的责任期即建设工程造价咨询合同有效期。如因非咨询人的责任造成进度的推迟或延误而超过约定的日期，双方应进一步约定相应延长合同有效期。</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第十四条  咨询人责任期内，应当履行建设工程造价咨询合同中约定的义务，因咨询人的单方过失造成的经济损失，应当向委托人进行赔偿。累计赔偿总额不应超过建设工程造价咨询酬金总额（除去税金）。</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第十五条  咨询人对委托人或第三人所提出的问题不能及时核对或答复，而导致合同不能全部或部分履行，咨询人应承担责任。</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第十六条  咨询人向委托人提出赔偿要求不能成立时，则应补偿由于该赔偿或其他要求所导致委托的各种费用的支出。</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委托人的责任</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第十七条  委托人应当履行建设工程造价咨询合同约定的义务，如有违反则应当承担违约责任，赔偿给咨询人造成的损失。</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第十八条  委托人如果向咨询人提出赔偿或其他要求不能成立时，则应补偿由于该赔偿或其他要求所导致咨询人的各种费用的支出。</w:t>
      </w:r>
    </w:p>
    <w:p>
      <w:pPr>
        <w:pStyle w:val="11"/>
        <w:spacing w:line="360" w:lineRule="auto"/>
        <w:rPr>
          <w:rFonts w:hint="eastAsia" w:hAnsi="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合同生效，变更与终止</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第十九条 本合同自双方签字盖章之日起生效。</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第二十条 由于委托人或第三人的原因使咨询人工作受到阻碍或延误以致增加了工作量或持续时间，则咨询人应当将此情况与可能产生的影响及时书面通知委托人。由此增加的工作量视为额外服务，完成建设工程造价咨询工作的时间应当相应延长，并得到额外的酬金。</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第二十一条  当事人一方要求变更或解除合同时，则应当在14日前通知对方；因变更或解除合同使一方遭受损失的，应由责任方负责赔偿。</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第二十二条  咨询人由于非自身原因暂停或终止执行建设工程造价咨询业务，由此而增加的恢复执行建设工程造价咨询业务的工作，应视为额外服务，有权得到额外的时间和酬金。</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第二十三条  变更或解除合同的通知或协议应当采取书面形式，新的协议未达成之前，原合同仍然有效。</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咨询业务的酬金</w:t>
      </w:r>
    </w:p>
    <w:p>
      <w:pPr>
        <w:keepNext w:val="0"/>
        <w:keepLines w:val="0"/>
        <w:pageBreakBefore w:val="0"/>
        <w:widowControl w:val="0"/>
        <w:tabs>
          <w:tab w:val="left" w:pos="1768"/>
        </w:tabs>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第二十四条  正常的建设工程造价咨询业务，附加工作和额外工作的酬金，按照建设工程造价咨询合同专用条件约定的方法计取，并按约定的时间和数额支付。</w:t>
      </w:r>
    </w:p>
    <w:p>
      <w:pPr>
        <w:keepNext w:val="0"/>
        <w:keepLines w:val="0"/>
        <w:pageBreakBefore w:val="0"/>
        <w:widowControl w:val="0"/>
        <w:tabs>
          <w:tab w:val="left" w:pos="1768"/>
        </w:tabs>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第二十五条  如果委托人在规定的支付期限内未支付建设工程造价咨询酬金，自规定支付之日起，应当向咨询人补偿应支付的酬金利息。利息额按规定支付期限最后一日银行活期贷款乘以拖欠酬金时间计算。</w:t>
      </w:r>
    </w:p>
    <w:p>
      <w:pPr>
        <w:keepNext w:val="0"/>
        <w:keepLines w:val="0"/>
        <w:pageBreakBefore w:val="0"/>
        <w:widowControl w:val="0"/>
        <w:tabs>
          <w:tab w:val="left" w:pos="1768"/>
        </w:tabs>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第二十六条  如果委托人对咨询人提交的支付通知书中酬金或部分酬金项目提出异议，应当在收到支付通知书两日内向咨询人发出异议的通知，但委托人不得拖延其无异议的酬金项目的支付。</w:t>
      </w:r>
    </w:p>
    <w:p>
      <w:pPr>
        <w:keepNext w:val="0"/>
        <w:keepLines w:val="0"/>
        <w:pageBreakBefore w:val="0"/>
        <w:widowControl w:val="0"/>
        <w:tabs>
          <w:tab w:val="left" w:pos="1768"/>
        </w:tabs>
        <w:kinsoku/>
        <w:wordWrap/>
        <w:overflowPunct/>
        <w:topLinePunct w:val="0"/>
        <w:autoSpaceDE w:val="0"/>
        <w:autoSpaceDN w:val="0"/>
        <w:bidi w:val="0"/>
        <w:adjustRightInd w:val="0"/>
        <w:snapToGrid/>
        <w:spacing w:line="360" w:lineRule="auto"/>
        <w:ind w:left="0" w:leftChars="0" w:right="0" w:rightChars="0" w:firstLine="440" w:firstLineChars="200"/>
        <w:contextualSpacing/>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第二十七条  支付建设工程造价咨询酬金所采取的货币币种、汇率由合同专用条件约定。</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其  他</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第二十八条  因建设工程造价咨询业务的需要，咨询人在合同的约定外的外出考察，经委托人同意，其所需费用由委托人负责。</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第二十九条  咨询人如需外聘专家协助，在委托的建设工程造价咨询业务范围内其费用由咨询人承担；在委托的建设工程造价咨询业务范围以外经委托人认可其费用由委托人承担。</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第三十条  未经对方的书面同意，各方均不得转让合同约定的权利和义务。</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第三十一条  除委托人书面同意外，咨询人及咨询专业人员不应接受建设工程造价咨询合同约定以外的与工程造价咨询项目有关的任何报酬。</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咨询人不得参与可能与合同规定的与委托人利益相冲突的任何活动。</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2"/>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合同争议的解决</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第三十二条  因违约或终止合同而引起的损失和损害的赔偿，委托人与咨询人之间应当协商解决；如未能达成一致，可提交有关主管部门调解；协商或调解不成的，根据双方约定提交仲裁机关仲裁，或向人民法院提起诉讼。</w:t>
      </w:r>
      <w:r>
        <w:rPr>
          <w:rFonts w:hint="eastAsia" w:ascii="宋体" w:hAnsi="宋体" w:eastAsia="宋体" w:cs="宋体"/>
          <w:b/>
          <w:color w:val="auto"/>
          <w:sz w:val="22"/>
          <w:szCs w:val="22"/>
          <w:highlight w:val="none"/>
        </w:rPr>
        <w:br w:type="page"/>
      </w:r>
    </w:p>
    <w:p>
      <w:pPr>
        <w:keepNext w:val="0"/>
        <w:keepLines w:val="0"/>
        <w:pageBreakBefore w:val="0"/>
        <w:widowControl w:val="0"/>
        <w:tabs>
          <w:tab w:val="left" w:pos="1768"/>
        </w:tabs>
        <w:kinsoku/>
        <w:wordWrap/>
        <w:overflowPunct/>
        <w:topLinePunct w:val="0"/>
        <w:autoSpaceDE w:val="0"/>
        <w:autoSpaceDN w:val="0"/>
        <w:bidi w:val="0"/>
        <w:adjustRightInd w:val="0"/>
        <w:snapToGrid/>
        <w:spacing w:line="360" w:lineRule="auto"/>
        <w:ind w:left="0" w:leftChars="0" w:right="0" w:rightChars="0" w:firstLine="0" w:firstLineChars="0"/>
        <w:contextualSpacing/>
        <w:jc w:val="center"/>
        <w:textAlignment w:val="auto"/>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第二部分  建设工程造价咨询合同专用条件</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eastAsia="宋体" w:cs="宋体"/>
          <w:color w:val="auto"/>
          <w:sz w:val="22"/>
          <w:szCs w:val="22"/>
          <w:highlight w:val="none"/>
          <w:lang w:val="en-US"/>
        </w:rPr>
        <w:t>二</w:t>
      </w:r>
      <w:r>
        <w:rPr>
          <w:rFonts w:hint="eastAsia" w:ascii="宋体" w:hAnsi="宋体" w:eastAsia="宋体" w:cs="宋体"/>
          <w:color w:val="auto"/>
          <w:sz w:val="22"/>
          <w:szCs w:val="22"/>
          <w:highlight w:val="none"/>
        </w:rPr>
        <w:t>条  本合同适用的法律、法规及工程造价计价办法和规定：</w:t>
      </w:r>
      <w:r>
        <w:rPr>
          <w:rFonts w:hint="eastAsia" w:ascii="宋体" w:hAnsi="宋体" w:eastAsia="宋体" w:cs="宋体"/>
          <w:color w:val="auto"/>
          <w:sz w:val="22"/>
          <w:szCs w:val="22"/>
          <w:highlight w:val="none"/>
          <w:u w:val="single"/>
        </w:rPr>
        <w:t>《中华人民共和国民法典》、《建设工程工程量清单计价规范》(GB50500-2013)、《广东省建设工程造价管理规定》(粤府令第 205 号)、《广东省建设工程计价依据（2018）》、《广东省房屋建筑与装饰工程综合定额2018》，《广东省市政工程综合定额2018》、《广东省通用安装工程综合定额2018》、《广东省园林绿化工程综合定额2018》及江门市建设工程造价管理部门的有关管理规定。</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eastAsia="宋体" w:cs="宋体"/>
          <w:color w:val="auto"/>
          <w:sz w:val="22"/>
          <w:szCs w:val="22"/>
          <w:highlight w:val="none"/>
          <w:lang w:val="en-US"/>
        </w:rPr>
        <w:t>四</w:t>
      </w:r>
      <w:r>
        <w:rPr>
          <w:rFonts w:hint="eastAsia" w:ascii="宋体" w:hAnsi="宋体" w:eastAsia="宋体" w:cs="宋体"/>
          <w:color w:val="auto"/>
          <w:sz w:val="22"/>
          <w:szCs w:val="22"/>
          <w:highlight w:val="none"/>
        </w:rPr>
        <w:t>条  建设工程造价咨询业务范围：</w:t>
      </w:r>
      <w:r>
        <w:rPr>
          <w:rFonts w:hint="eastAsia" w:ascii="宋体" w:hAnsi="宋体" w:eastAsia="宋体" w:cs="宋体"/>
          <w:color w:val="auto"/>
          <w:sz w:val="22"/>
          <w:szCs w:val="22"/>
          <w:highlight w:val="none"/>
          <w:u w:val="single"/>
        </w:rPr>
        <w:t xml:space="preserve"> B  </w:t>
      </w:r>
      <w:r>
        <w:rPr>
          <w:rFonts w:hint="eastAsia" w:ascii="宋体" w:hAnsi="宋体" w:eastAsia="宋体" w:cs="宋体"/>
          <w:color w:val="auto"/>
          <w:sz w:val="22"/>
          <w:szCs w:val="22"/>
          <w:highlight w:val="none"/>
        </w:rPr>
        <w:t xml:space="preserve">类  </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“建设工程造价咨询业务”是指以下服务类别的咨询业务：</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（A类）招标控制价及工程量清单编制，协助委托人编制和调整工程概算；</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（B类）</w:t>
      </w:r>
      <w:r>
        <w:rPr>
          <w:rFonts w:hint="eastAsia" w:ascii="宋体" w:hAnsi="宋体" w:eastAsia="宋体" w:cs="宋体"/>
          <w:color w:val="auto"/>
          <w:sz w:val="22"/>
          <w:szCs w:val="22"/>
          <w:highlight w:val="none"/>
          <w:u w:val="single"/>
          <w:lang w:val="en-US" w:eastAsia="zh-CN"/>
        </w:rPr>
        <w:t>从概算阶段开始到竣工结算阶段的全过程造价咨询</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val="en-US" w:eastAsia="zh-CN"/>
        </w:rPr>
        <w:t>包括</w:t>
      </w:r>
      <w:r>
        <w:rPr>
          <w:rFonts w:hint="eastAsia" w:ascii="宋体" w:hAnsi="宋体" w:eastAsia="宋体" w:cs="宋体"/>
          <w:color w:val="auto"/>
          <w:sz w:val="22"/>
          <w:szCs w:val="22"/>
          <w:highlight w:val="none"/>
          <w:u w:val="single"/>
        </w:rPr>
        <w:t>审核和调整工程概算</w:t>
      </w:r>
      <w:r>
        <w:rPr>
          <w:rFonts w:hint="eastAsia" w:ascii="宋体" w:hAnsi="宋体" w:cs="宋体"/>
          <w:color w:val="auto"/>
          <w:sz w:val="22"/>
          <w:szCs w:val="22"/>
          <w:highlight w:val="none"/>
          <w:u w:val="single"/>
          <w:lang w:eastAsia="zh-CN"/>
        </w:rPr>
        <w:t>，</w:t>
      </w:r>
      <w:r>
        <w:rPr>
          <w:rFonts w:hint="eastAsia" w:ascii="宋体" w:hAnsi="宋体" w:cs="宋体"/>
          <w:color w:val="auto"/>
          <w:sz w:val="22"/>
          <w:szCs w:val="22"/>
          <w:highlight w:val="none"/>
          <w:u w:val="single"/>
          <w:lang w:val="en-US" w:eastAsia="zh-CN"/>
        </w:rPr>
        <w:t>编制与审核</w:t>
      </w:r>
      <w:r>
        <w:rPr>
          <w:rFonts w:hint="eastAsia" w:ascii="宋体" w:hAnsi="宋体" w:eastAsia="宋体" w:cs="宋体"/>
          <w:color w:val="auto"/>
          <w:sz w:val="22"/>
          <w:szCs w:val="22"/>
          <w:highlight w:val="none"/>
          <w:u w:val="single"/>
          <w:lang w:val="en-US" w:eastAsia="zh-CN"/>
        </w:rPr>
        <w:t>招标控制价</w:t>
      </w:r>
      <w:r>
        <w:rPr>
          <w:rFonts w:hint="eastAsia" w:ascii="宋体" w:hAnsi="宋体" w:eastAsia="宋体" w:cs="宋体"/>
          <w:color w:val="auto"/>
          <w:sz w:val="22"/>
          <w:szCs w:val="22"/>
          <w:highlight w:val="none"/>
          <w:u w:val="single"/>
        </w:rPr>
        <w:t>及工程量清单</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rPr>
        <w:t>工程</w:t>
      </w:r>
      <w:r>
        <w:rPr>
          <w:rFonts w:hint="eastAsia" w:ascii="宋体" w:hAnsi="宋体" w:eastAsia="宋体" w:cs="宋体"/>
          <w:color w:val="auto"/>
          <w:sz w:val="22"/>
          <w:szCs w:val="22"/>
          <w:highlight w:val="none"/>
          <w:u w:val="single"/>
          <w:lang w:val="en-US" w:eastAsia="zh-CN"/>
        </w:rPr>
        <w:t>竣工</w:t>
      </w:r>
      <w:r>
        <w:rPr>
          <w:rFonts w:hint="eastAsia" w:ascii="宋体" w:hAnsi="宋体" w:eastAsia="宋体" w:cs="宋体"/>
          <w:color w:val="auto"/>
          <w:sz w:val="22"/>
          <w:szCs w:val="22"/>
          <w:highlight w:val="none"/>
          <w:u w:val="single"/>
        </w:rPr>
        <w:t>结算</w:t>
      </w:r>
      <w:r>
        <w:rPr>
          <w:rFonts w:hint="eastAsia" w:ascii="宋体" w:hAnsi="宋体" w:cs="宋体"/>
          <w:color w:val="auto"/>
          <w:sz w:val="22"/>
          <w:szCs w:val="22"/>
          <w:highlight w:val="none"/>
          <w:u w:val="single"/>
          <w:lang w:val="en-US" w:eastAsia="zh-CN"/>
        </w:rPr>
        <w:t>的编制及</w:t>
      </w:r>
      <w:r>
        <w:rPr>
          <w:rFonts w:hint="eastAsia" w:ascii="宋体" w:hAnsi="宋体" w:eastAsia="宋体" w:cs="宋体"/>
          <w:color w:val="auto"/>
          <w:sz w:val="22"/>
          <w:szCs w:val="22"/>
          <w:highlight w:val="none"/>
          <w:u w:val="single"/>
        </w:rPr>
        <w:t>审核</w:t>
      </w:r>
      <w:r>
        <w:rPr>
          <w:rFonts w:hint="eastAsia" w:ascii="宋体" w:hAnsi="宋体" w:eastAsia="宋体" w:cs="宋体"/>
          <w:color w:val="auto"/>
          <w:sz w:val="22"/>
          <w:szCs w:val="22"/>
          <w:highlight w:val="none"/>
          <w:u w:val="single"/>
          <w:lang w:val="en-US" w:eastAsia="zh-CN"/>
        </w:rPr>
        <w:t>等</w:t>
      </w:r>
      <w:r>
        <w:rPr>
          <w:rFonts w:hint="eastAsia" w:ascii="宋体" w:hAnsi="宋体" w:eastAsia="宋体" w:cs="宋体"/>
          <w:color w:val="auto"/>
          <w:sz w:val="22"/>
          <w:szCs w:val="22"/>
          <w:highlight w:val="none"/>
          <w:u w:val="single"/>
        </w:rPr>
        <w:t>的造价咨询服务，且包括：</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⑴工程量清单</w:t>
      </w:r>
      <w:r>
        <w:rPr>
          <w:rFonts w:hint="eastAsia" w:ascii="宋体" w:hAnsi="宋体" w:eastAsia="宋体" w:cs="宋体"/>
          <w:color w:val="auto"/>
          <w:sz w:val="22"/>
          <w:szCs w:val="22"/>
          <w:highlight w:val="none"/>
          <w:lang w:val="en-US" w:eastAsia="zh-CN"/>
        </w:rPr>
        <w:t>及施工图</w:t>
      </w:r>
      <w:r>
        <w:rPr>
          <w:rFonts w:hint="eastAsia" w:ascii="宋体" w:hAnsi="宋体" w:eastAsia="宋体" w:cs="宋体"/>
          <w:color w:val="auto"/>
          <w:sz w:val="22"/>
          <w:szCs w:val="22"/>
          <w:highlight w:val="none"/>
        </w:rPr>
        <w:t>预算编制</w:t>
      </w:r>
      <w:r>
        <w:rPr>
          <w:rFonts w:hint="eastAsia" w:ascii="宋体" w:hAnsi="宋体" w:eastAsia="宋体" w:cs="宋体"/>
          <w:color w:val="auto"/>
          <w:sz w:val="22"/>
          <w:szCs w:val="22"/>
          <w:highlight w:val="none"/>
          <w:lang w:val="en-US" w:eastAsia="zh-CN"/>
        </w:rPr>
        <w:t>与审核</w:t>
      </w:r>
      <w:r>
        <w:rPr>
          <w:rFonts w:hint="eastAsia" w:ascii="宋体" w:hAnsi="宋体" w:eastAsia="宋体" w:cs="宋体"/>
          <w:color w:val="auto"/>
          <w:sz w:val="22"/>
          <w:szCs w:val="22"/>
          <w:highlight w:val="none"/>
        </w:rPr>
        <w:t>；</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⑵配合限额设计，包括但不限于因设计调整而有可能多次调整工程预算；</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⑶协助拟定施工合同相关条款；</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⑷工程进度计量（严格按照《广东省住房和城乡建设厅印发&lt;广东省住房和城乡建设厅关于房屋建筑和市政基础设施工程施工过程结算的若干指导意见&gt;的通知》（粤建市〔2019〕116号）的规定执行施工过程结算）、计价审核并签发支付证书；</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⑸施工期间因设计变更、修改、签证工程量及清单预算漏项子目价格审核</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并出具审核报告；</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⑹工程变更前的造价分析；</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⑺信息价以外的分部分项工程、设备、材料，经市场询价后进行专业评估，综合分析后由参建各方开会研究确定其市场价； </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⑻工程结算</w:t>
      </w:r>
      <w:r>
        <w:rPr>
          <w:rFonts w:hint="eastAsia" w:ascii="宋体" w:hAnsi="宋体" w:cs="宋体"/>
          <w:color w:val="auto"/>
          <w:sz w:val="22"/>
          <w:szCs w:val="22"/>
          <w:highlight w:val="none"/>
          <w:lang w:val="en-US" w:eastAsia="zh-CN"/>
        </w:rPr>
        <w:t>的编制及</w:t>
      </w:r>
      <w:r>
        <w:rPr>
          <w:rFonts w:hint="eastAsia" w:ascii="宋体" w:hAnsi="宋体" w:eastAsia="宋体" w:cs="宋体"/>
          <w:color w:val="auto"/>
          <w:sz w:val="22"/>
          <w:szCs w:val="22"/>
          <w:highlight w:val="none"/>
        </w:rPr>
        <w:t>审核；</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⑼协助处理索赔及反索赔并计算或审核其造价和协助谈判等工作；</w:t>
      </w:r>
    </w:p>
    <w:p>
      <w:pPr>
        <w:pageBreakBefore w:val="0"/>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⑽参与工程造价相关或影响到工程结算的会议，必须派出造价专业人员参加并做好相关记录；</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⑾委托人委托的其它相关工作。</w:t>
      </w:r>
    </w:p>
    <w:p>
      <w:pPr>
        <w:pStyle w:val="21"/>
        <w:numPr>
          <w:ilvl w:val="-1"/>
          <w:numId w:val="0"/>
        </w:numPr>
        <w:spacing w:after="0" w:line="360" w:lineRule="auto"/>
        <w:ind w:firstLineChars="200"/>
        <w:rPr>
          <w:rFonts w:hint="eastAsia" w:ascii="宋体" w:hAnsi="宋体" w:cs="宋体"/>
          <w:color w:val="auto"/>
          <w:sz w:val="22"/>
          <w:szCs w:val="22"/>
          <w:highlight w:val="none"/>
        </w:rPr>
      </w:pPr>
      <w:r>
        <w:rPr>
          <w:rFonts w:hint="eastAsia" w:ascii="宋体" w:hAnsi="宋体" w:eastAsia="宋体" w:cs="宋体"/>
          <w:color w:val="auto"/>
          <w:sz w:val="22"/>
          <w:szCs w:val="22"/>
          <w:highlight w:val="none"/>
        </w:rPr>
        <w:t>⑿</w:t>
      </w:r>
      <w:r>
        <w:rPr>
          <w:rFonts w:hint="eastAsia" w:ascii="宋体" w:hAnsi="宋体" w:cs="宋体"/>
          <w:b w:val="0"/>
          <w:bCs w:val="0"/>
          <w:color w:val="auto"/>
          <w:sz w:val="22"/>
          <w:szCs w:val="22"/>
          <w:highlight w:val="none"/>
          <w:u w:val="none"/>
          <w:lang w:eastAsia="zh-CN"/>
        </w:rPr>
        <w:t>见本合同第四部分的造价咨询任务大纲</w:t>
      </w:r>
      <w:r>
        <w:rPr>
          <w:rFonts w:hint="eastAsia" w:ascii="宋体" w:hAnsi="宋体" w:eastAsia="宋体" w:cs="宋体"/>
          <w:b w:val="0"/>
          <w:bCs w:val="0"/>
          <w:color w:val="auto"/>
          <w:sz w:val="22"/>
          <w:szCs w:val="22"/>
          <w:highlight w:val="none"/>
          <w:u w:val="none"/>
          <w:lang w:eastAsia="zh-CN"/>
        </w:rPr>
        <w:t>。</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cs="宋体"/>
          <w:color w:val="auto"/>
          <w:sz w:val="22"/>
          <w:szCs w:val="22"/>
          <w:highlight w:val="none"/>
          <w:lang w:val="en-US" w:eastAsia="zh-CN"/>
        </w:rPr>
        <w:t>八</w:t>
      </w:r>
      <w:r>
        <w:rPr>
          <w:rFonts w:hint="eastAsia" w:ascii="宋体" w:hAnsi="宋体" w:eastAsia="宋体" w:cs="宋体"/>
          <w:color w:val="auto"/>
          <w:sz w:val="22"/>
          <w:szCs w:val="22"/>
          <w:highlight w:val="none"/>
        </w:rPr>
        <w:t>条　双方约定的委托人应提供的建设工程造价咨询材料及提供时间：合同签订后</w:t>
      </w:r>
      <w:r>
        <w:rPr>
          <w:rFonts w:hint="eastAsia" w:ascii="宋体" w:hAnsi="宋体" w:eastAsia="宋体" w:cs="宋体"/>
          <w:color w:val="auto"/>
          <w:sz w:val="22"/>
          <w:szCs w:val="22"/>
          <w:highlight w:val="none"/>
          <w:u w:val="single"/>
        </w:rPr>
        <w:t xml:space="preserve">  </w:t>
      </w:r>
      <w:r>
        <w:rPr>
          <w:rFonts w:hint="eastAsia" w:ascii="宋体" w:hAnsi="宋体" w:cs="宋体"/>
          <w:color w:val="auto"/>
          <w:sz w:val="22"/>
          <w:szCs w:val="22"/>
          <w:highlight w:val="none"/>
          <w:u w:val="single"/>
          <w:lang w:val="en-US" w:eastAsia="zh-CN"/>
        </w:rPr>
        <w:t>7</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天内提供工程设计施工图纸。</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cs="宋体"/>
          <w:color w:val="auto"/>
          <w:sz w:val="22"/>
          <w:szCs w:val="22"/>
          <w:highlight w:val="none"/>
          <w:lang w:val="en-US" w:eastAsia="zh-CN"/>
        </w:rPr>
        <w:t>九</w:t>
      </w:r>
      <w:r>
        <w:rPr>
          <w:rFonts w:hint="eastAsia" w:ascii="宋体" w:hAnsi="宋体" w:eastAsia="宋体" w:cs="宋体"/>
          <w:color w:val="auto"/>
          <w:sz w:val="22"/>
          <w:szCs w:val="22"/>
          <w:highlight w:val="none"/>
        </w:rPr>
        <w:t>条  委托人应在</w:t>
      </w:r>
      <w:r>
        <w:rPr>
          <w:rFonts w:hint="eastAsia" w:ascii="宋体" w:hAnsi="宋体" w:eastAsia="宋体" w:cs="宋体"/>
          <w:color w:val="auto"/>
          <w:sz w:val="22"/>
          <w:szCs w:val="22"/>
          <w:highlight w:val="none"/>
          <w:u w:val="single"/>
        </w:rPr>
        <w:t xml:space="preserve"> 7 </w:t>
      </w:r>
      <w:r>
        <w:rPr>
          <w:rFonts w:hint="eastAsia" w:ascii="宋体" w:hAnsi="宋体" w:eastAsia="宋体" w:cs="宋体"/>
          <w:color w:val="auto"/>
          <w:sz w:val="22"/>
          <w:szCs w:val="22"/>
          <w:highlight w:val="none"/>
        </w:rPr>
        <w:t>日内对咨询人书面提交并要求做出答复的事宜做出书面答复。</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cs="宋体"/>
          <w:color w:val="auto"/>
          <w:sz w:val="22"/>
          <w:szCs w:val="22"/>
          <w:highlight w:val="none"/>
          <w:lang w:val="en-US" w:eastAsia="zh-CN"/>
        </w:rPr>
        <w:t>十四</w:t>
      </w:r>
      <w:r>
        <w:rPr>
          <w:rFonts w:hint="eastAsia" w:ascii="宋体" w:hAnsi="宋体" w:eastAsia="宋体" w:cs="宋体"/>
          <w:color w:val="auto"/>
          <w:sz w:val="22"/>
          <w:szCs w:val="22"/>
          <w:highlight w:val="none"/>
        </w:rPr>
        <w:t>条  咨询人在其责任期内如果失职，造成委托人损失的，咨询人依法承担赔偿责任。</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cs="宋体"/>
          <w:color w:val="auto"/>
          <w:sz w:val="22"/>
          <w:szCs w:val="22"/>
          <w:highlight w:val="none"/>
        </w:rPr>
        <w:t>二十四</w:t>
      </w:r>
      <w:r>
        <w:rPr>
          <w:rFonts w:hint="eastAsia" w:ascii="宋体" w:hAnsi="宋体" w:eastAsia="宋体" w:cs="宋体"/>
          <w:color w:val="auto"/>
          <w:sz w:val="22"/>
          <w:szCs w:val="22"/>
          <w:highlight w:val="none"/>
        </w:rPr>
        <w:t>条  委托人同意按以下的计算方法、支付时间与金额，支付咨询人的正常服务酬金：</w:t>
      </w:r>
    </w:p>
    <w:p>
      <w:pPr>
        <w:pageBreakBefore w:val="0"/>
        <w:numPr>
          <w:ilvl w:val="0"/>
          <w:numId w:val="18"/>
        </w:numPr>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服务酬金： </w:t>
      </w:r>
    </w:p>
    <w:p>
      <w:pPr>
        <w:numPr>
          <w:ilvl w:val="0"/>
          <w:numId w:val="19"/>
        </w:numPr>
        <w:tabs>
          <w:tab w:val="left" w:pos="1768"/>
        </w:tabs>
        <w:spacing w:line="360" w:lineRule="auto"/>
        <w:ind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本项目全过程造价咨询服务合同价暂定为：</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万元 。本工程造价咨询费不因工期变化、其他任何情况或条件的变化而调整，钢筋及预埋件计算费用已包含在内，不再单独计算。</w:t>
      </w:r>
    </w:p>
    <w:p>
      <w:pPr>
        <w:numPr>
          <w:ilvl w:val="0"/>
          <w:numId w:val="19"/>
        </w:numPr>
        <w:tabs>
          <w:tab w:val="left" w:pos="1768"/>
        </w:tabs>
        <w:spacing w:line="360" w:lineRule="auto"/>
        <w:ind w:right="0" w:rightChars="0" w:firstLine="440" w:firstLineChars="200"/>
        <w:contextualSpacing/>
        <w:rPr>
          <w:rFonts w:hint="eastAsia" w:ascii="宋体" w:hAnsi="宋体" w:eastAsia="宋体" w:cs="宋体"/>
          <w:color w:val="auto"/>
          <w:sz w:val="22"/>
          <w:szCs w:val="22"/>
          <w:highlight w:val="none"/>
          <w:u w:val="single"/>
        </w:rPr>
      </w:pPr>
      <w:r>
        <w:rPr>
          <w:rFonts w:hint="eastAsia" w:ascii="宋体" w:hAnsi="宋体" w:cs="宋体"/>
          <w:color w:val="auto"/>
          <w:sz w:val="22"/>
          <w:szCs w:val="22"/>
          <w:highlight w:val="none"/>
          <w:u w:val="none"/>
          <w:lang w:val="en-US" w:eastAsia="zh-CN"/>
        </w:rPr>
        <w:t>咨询人在服务期内不得以任何理由对该期间发生的图纸优化或多次变更图纸提出索赔增加费用。</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二、支付时间：</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（1）造价咨询业务范围为（A 类）的，完成施工图预算并通过委托人审核定案后15个工作日内向咨询人支付至正常服务酬金的80％，工程竣工验收后15个工作日内向咨询人支付至正常服务酬金的100％。 </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（2）造价咨询业务范围为（B 类）的，按以下方式和进度支付： </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w:t>
      </w:r>
      <w:r>
        <w:rPr>
          <w:rFonts w:hint="eastAsia" w:ascii="宋体" w:hAnsi="宋体" w:cs="宋体"/>
          <w:color w:val="auto"/>
          <w:sz w:val="22"/>
          <w:szCs w:val="22"/>
          <w:highlight w:val="none"/>
          <w:lang w:val="en-US" w:eastAsia="zh-CN"/>
        </w:rPr>
        <w:t>完成</w:t>
      </w:r>
      <w:r>
        <w:rPr>
          <w:rFonts w:hint="eastAsia" w:ascii="宋体" w:hAnsi="宋体" w:eastAsia="宋体" w:cs="宋体"/>
          <w:color w:val="auto"/>
          <w:sz w:val="22"/>
          <w:szCs w:val="22"/>
          <w:highlight w:val="none"/>
        </w:rPr>
        <w:t>合同签订</w:t>
      </w:r>
      <w:r>
        <w:rPr>
          <w:rFonts w:hint="eastAsia" w:ascii="宋体" w:hAnsi="宋体" w:cs="宋体"/>
          <w:color w:val="auto"/>
          <w:sz w:val="22"/>
          <w:szCs w:val="22"/>
          <w:highlight w:val="none"/>
          <w:lang w:val="en-US" w:eastAsia="zh-CN"/>
        </w:rPr>
        <w:t>并开始提供造价咨询服务</w:t>
      </w:r>
      <w:r>
        <w:rPr>
          <w:rFonts w:hint="eastAsia" w:ascii="宋体" w:hAnsi="宋体" w:eastAsia="宋体" w:cs="宋体"/>
          <w:color w:val="auto"/>
          <w:sz w:val="22"/>
          <w:szCs w:val="22"/>
          <w:highlight w:val="none"/>
        </w:rPr>
        <w:t>后 60个天内，支付造价咨询服务</w:t>
      </w:r>
      <w:r>
        <w:rPr>
          <w:rFonts w:hint="eastAsia" w:ascii="宋体" w:hAnsi="宋体" w:cs="宋体"/>
          <w:color w:val="auto"/>
          <w:sz w:val="22"/>
          <w:szCs w:val="22"/>
          <w:highlight w:val="none"/>
          <w:lang w:val="en-US" w:eastAsia="zh-CN"/>
        </w:rPr>
        <w:t>签约合同</w:t>
      </w:r>
      <w:r>
        <w:rPr>
          <w:rFonts w:hint="eastAsia" w:ascii="宋体" w:hAnsi="宋体" w:eastAsia="宋体" w:cs="宋体"/>
          <w:color w:val="auto"/>
          <w:sz w:val="22"/>
          <w:szCs w:val="22"/>
          <w:highlight w:val="none"/>
        </w:rPr>
        <w:t>价的1</w:t>
      </w:r>
      <w:r>
        <w:rPr>
          <w:rFonts w:hint="eastAsia" w:ascii="宋体" w:hAnsi="宋体" w:eastAsia="宋体" w:cs="宋体"/>
          <w:color w:val="auto"/>
          <w:sz w:val="22"/>
          <w:szCs w:val="22"/>
          <w:highlight w:val="none"/>
          <w:lang w:val="en-US" w:eastAsia="zh-CN"/>
        </w:rPr>
        <w:t>0</w:t>
      </w:r>
      <w:r>
        <w:rPr>
          <w:rFonts w:hint="eastAsia" w:ascii="宋体" w:hAnsi="宋体" w:eastAsia="宋体" w:cs="宋体"/>
          <w:color w:val="auto"/>
          <w:sz w:val="22"/>
          <w:szCs w:val="22"/>
          <w:highlight w:val="none"/>
        </w:rPr>
        <w:t>%作为</w:t>
      </w:r>
      <w:r>
        <w:rPr>
          <w:rFonts w:hint="eastAsia" w:ascii="宋体" w:hAnsi="宋体" w:cs="宋体"/>
          <w:color w:val="auto"/>
          <w:sz w:val="22"/>
          <w:szCs w:val="22"/>
          <w:highlight w:val="none"/>
        </w:rPr>
        <w:t>首期</w:t>
      </w:r>
      <w:r>
        <w:rPr>
          <w:rFonts w:hint="eastAsia" w:ascii="宋体" w:hAnsi="宋体" w:cs="宋体"/>
          <w:color w:val="auto"/>
          <w:sz w:val="22"/>
          <w:szCs w:val="22"/>
          <w:highlight w:val="none"/>
          <w:lang w:val="en-US" w:eastAsia="zh-CN"/>
        </w:rPr>
        <w:t>款</w:t>
      </w:r>
      <w:r>
        <w:rPr>
          <w:rFonts w:hint="eastAsia" w:ascii="宋体" w:hAnsi="宋体" w:eastAsia="宋体" w:cs="宋体"/>
          <w:color w:val="auto"/>
          <w:sz w:val="22"/>
          <w:szCs w:val="22"/>
          <w:highlight w:val="none"/>
        </w:rPr>
        <w:t xml:space="preserve">； </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②完成概算</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招标控制价及</w:t>
      </w:r>
      <w:r>
        <w:rPr>
          <w:rFonts w:hint="eastAsia" w:ascii="宋体" w:hAnsi="宋体" w:cs="宋体"/>
          <w:color w:val="auto"/>
          <w:sz w:val="22"/>
          <w:szCs w:val="22"/>
          <w:highlight w:val="none"/>
          <w:lang w:val="en-US" w:eastAsia="zh-CN"/>
        </w:rPr>
        <w:t>招标</w:t>
      </w:r>
      <w:r>
        <w:rPr>
          <w:rFonts w:hint="eastAsia" w:ascii="宋体" w:hAnsi="宋体" w:eastAsia="宋体" w:cs="宋体"/>
          <w:color w:val="auto"/>
          <w:sz w:val="22"/>
          <w:szCs w:val="22"/>
          <w:highlight w:val="none"/>
          <w:lang w:val="en-US" w:eastAsia="zh-CN"/>
        </w:rPr>
        <w:t>工程量清单编制工作，</w:t>
      </w:r>
      <w:r>
        <w:rPr>
          <w:rFonts w:hint="eastAsia" w:ascii="宋体" w:hAnsi="宋体" w:eastAsia="宋体" w:cs="宋体"/>
          <w:color w:val="auto"/>
          <w:sz w:val="22"/>
          <w:szCs w:val="22"/>
          <w:highlight w:val="none"/>
        </w:rPr>
        <w:t>并经委托人审核通过后，</w:t>
      </w:r>
      <w:r>
        <w:rPr>
          <w:rFonts w:hint="eastAsia" w:ascii="宋体" w:hAnsi="宋体" w:eastAsia="宋体" w:cs="宋体"/>
          <w:color w:val="auto"/>
          <w:sz w:val="22"/>
          <w:szCs w:val="22"/>
          <w:highlight w:val="none"/>
          <w:lang w:val="en-US" w:eastAsia="zh-CN"/>
        </w:rPr>
        <w:t>咨询人提出书面支付申请报委托人审核确认后的</w:t>
      </w:r>
      <w:r>
        <w:rPr>
          <w:rFonts w:hint="eastAsia" w:ascii="宋体" w:hAnsi="宋体" w:cs="宋体"/>
          <w:color w:val="auto"/>
          <w:sz w:val="22"/>
          <w:szCs w:val="22"/>
          <w:highlight w:val="none"/>
          <w:lang w:val="en-US" w:eastAsia="zh-CN"/>
        </w:rPr>
        <w:t>30</w:t>
      </w:r>
      <w:r>
        <w:rPr>
          <w:rFonts w:hint="eastAsia" w:ascii="宋体" w:hAnsi="宋体" w:eastAsia="宋体" w:cs="宋体"/>
          <w:color w:val="auto"/>
          <w:sz w:val="22"/>
          <w:szCs w:val="22"/>
          <w:highlight w:val="none"/>
          <w:lang w:val="en-US" w:eastAsia="zh-CN"/>
        </w:rPr>
        <w:t>个日历天内</w:t>
      </w:r>
      <w:r>
        <w:rPr>
          <w:rFonts w:hint="eastAsia" w:ascii="宋体" w:hAnsi="宋体" w:eastAsia="宋体" w:cs="宋体"/>
          <w:color w:val="auto"/>
          <w:sz w:val="22"/>
          <w:szCs w:val="22"/>
          <w:highlight w:val="none"/>
        </w:rPr>
        <w:t>支付至造价咨询服务</w:t>
      </w:r>
      <w:r>
        <w:rPr>
          <w:rFonts w:hint="eastAsia" w:ascii="宋体" w:hAnsi="宋体" w:cs="宋体"/>
          <w:color w:val="auto"/>
          <w:sz w:val="22"/>
          <w:szCs w:val="22"/>
          <w:highlight w:val="none"/>
          <w:lang w:val="en-US" w:eastAsia="zh-CN"/>
        </w:rPr>
        <w:t>签约合同</w:t>
      </w:r>
      <w:r>
        <w:rPr>
          <w:rFonts w:hint="eastAsia" w:ascii="宋体" w:hAnsi="宋体" w:eastAsia="宋体" w:cs="宋体"/>
          <w:color w:val="auto"/>
          <w:sz w:val="22"/>
          <w:szCs w:val="22"/>
          <w:highlight w:val="none"/>
        </w:rPr>
        <w:t>价的</w:t>
      </w:r>
      <w:r>
        <w:rPr>
          <w:rFonts w:hint="eastAsia" w:ascii="宋体" w:hAnsi="宋体" w:eastAsia="宋体" w:cs="宋体"/>
          <w:color w:val="auto"/>
          <w:sz w:val="22"/>
          <w:szCs w:val="22"/>
          <w:highlight w:val="none"/>
          <w:lang w:val="en-US" w:eastAsia="zh-CN"/>
        </w:rPr>
        <w:t>25</w:t>
      </w: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③完成施工图预算及工程量清单编制</w:t>
      </w:r>
      <w:r>
        <w:rPr>
          <w:rFonts w:hint="eastAsia" w:ascii="宋体" w:hAnsi="宋体" w:eastAsia="宋体" w:cs="宋体"/>
          <w:color w:val="auto"/>
          <w:sz w:val="22"/>
          <w:szCs w:val="22"/>
          <w:highlight w:val="none"/>
          <w:lang w:val="zh-CN" w:eastAsia="zh-CN"/>
        </w:rPr>
        <w:t>与审核</w:t>
      </w:r>
      <w:r>
        <w:rPr>
          <w:rFonts w:hint="eastAsia" w:ascii="宋体" w:hAnsi="宋体" w:eastAsia="宋体" w:cs="宋体"/>
          <w:color w:val="auto"/>
          <w:sz w:val="22"/>
          <w:szCs w:val="22"/>
          <w:highlight w:val="none"/>
          <w:lang w:val="zh-CN"/>
        </w:rPr>
        <w:t>，并经委托人审核定案后，</w:t>
      </w:r>
      <w:r>
        <w:rPr>
          <w:rFonts w:hint="eastAsia" w:ascii="宋体" w:hAnsi="宋体" w:eastAsia="宋体" w:cs="宋体"/>
          <w:color w:val="auto"/>
          <w:sz w:val="22"/>
          <w:szCs w:val="22"/>
          <w:highlight w:val="none"/>
          <w:lang w:val="en-US" w:eastAsia="zh-CN"/>
        </w:rPr>
        <w:t>咨询人提出书面支付申请报委托人审核确认后的</w:t>
      </w:r>
      <w:r>
        <w:rPr>
          <w:rFonts w:hint="eastAsia" w:ascii="宋体" w:hAnsi="宋体" w:cs="宋体"/>
          <w:color w:val="auto"/>
          <w:sz w:val="22"/>
          <w:szCs w:val="22"/>
          <w:highlight w:val="none"/>
          <w:lang w:val="en-US" w:eastAsia="zh-CN"/>
        </w:rPr>
        <w:t>30</w:t>
      </w:r>
      <w:r>
        <w:rPr>
          <w:rFonts w:hint="eastAsia" w:ascii="宋体" w:hAnsi="宋体" w:eastAsia="宋体" w:cs="宋体"/>
          <w:color w:val="auto"/>
          <w:sz w:val="22"/>
          <w:szCs w:val="22"/>
          <w:highlight w:val="none"/>
          <w:lang w:val="en-US" w:eastAsia="zh-CN"/>
        </w:rPr>
        <w:t>个日历天内</w:t>
      </w:r>
      <w:r>
        <w:rPr>
          <w:rFonts w:hint="eastAsia" w:ascii="宋体" w:hAnsi="宋体" w:eastAsia="宋体" w:cs="宋体"/>
          <w:color w:val="auto"/>
          <w:sz w:val="22"/>
          <w:szCs w:val="22"/>
          <w:highlight w:val="none"/>
          <w:lang w:val="zh-CN"/>
        </w:rPr>
        <w:t>支付至</w:t>
      </w:r>
      <w:r>
        <w:rPr>
          <w:rFonts w:hint="eastAsia" w:ascii="宋体" w:hAnsi="宋体" w:eastAsia="宋体" w:cs="宋体"/>
          <w:color w:val="auto"/>
          <w:sz w:val="22"/>
          <w:szCs w:val="22"/>
          <w:highlight w:val="none"/>
        </w:rPr>
        <w:t>造价咨询服务</w:t>
      </w:r>
      <w:r>
        <w:rPr>
          <w:rFonts w:hint="eastAsia" w:ascii="宋体" w:hAnsi="宋体" w:cs="宋体"/>
          <w:color w:val="auto"/>
          <w:sz w:val="22"/>
          <w:szCs w:val="22"/>
          <w:highlight w:val="none"/>
          <w:lang w:val="en-US" w:eastAsia="zh-CN"/>
        </w:rPr>
        <w:t>签约合同</w:t>
      </w:r>
      <w:r>
        <w:rPr>
          <w:rFonts w:hint="eastAsia" w:ascii="宋体" w:hAnsi="宋体" w:eastAsia="宋体" w:cs="宋体"/>
          <w:color w:val="auto"/>
          <w:sz w:val="22"/>
          <w:szCs w:val="22"/>
          <w:highlight w:val="none"/>
        </w:rPr>
        <w:t>价</w:t>
      </w:r>
      <w:r>
        <w:rPr>
          <w:rFonts w:hint="eastAsia" w:ascii="宋体" w:hAnsi="宋体" w:eastAsia="宋体" w:cs="宋体"/>
          <w:color w:val="auto"/>
          <w:sz w:val="22"/>
          <w:szCs w:val="22"/>
          <w:highlight w:val="none"/>
          <w:lang w:val="zh-CN"/>
        </w:rPr>
        <w:t>的</w:t>
      </w:r>
      <w:r>
        <w:rPr>
          <w:rFonts w:hint="eastAsia" w:ascii="宋体" w:hAnsi="宋体" w:eastAsia="宋体" w:cs="宋体"/>
          <w:color w:val="auto"/>
          <w:sz w:val="22"/>
          <w:szCs w:val="22"/>
          <w:highlight w:val="none"/>
          <w:lang w:val="zh-CN" w:eastAsia="zh-CN"/>
        </w:rPr>
        <w:t>50</w:t>
      </w:r>
      <w:r>
        <w:rPr>
          <w:rFonts w:hint="eastAsia" w:ascii="宋体" w:hAnsi="宋体" w:eastAsia="宋体" w:cs="宋体"/>
          <w:color w:val="auto"/>
          <w:sz w:val="22"/>
          <w:szCs w:val="22"/>
          <w:highlight w:val="none"/>
          <w:lang w:val="zh-CN"/>
        </w:rPr>
        <w:t>%</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 xml:space="preserve"> </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④施工阶段，</w:t>
      </w:r>
      <w:r>
        <w:rPr>
          <w:rFonts w:hint="eastAsia" w:ascii="宋体" w:hAnsi="宋体" w:cs="宋体"/>
          <w:color w:val="auto"/>
          <w:sz w:val="22"/>
          <w:szCs w:val="22"/>
          <w:highlight w:val="none"/>
          <w:lang w:val="zh-CN" w:eastAsia="zh-CN"/>
        </w:rPr>
        <w:t>咨询服务费进度款按季度支付，每季度第</w:t>
      </w:r>
      <w:r>
        <w:rPr>
          <w:rFonts w:hint="eastAsia" w:ascii="宋体" w:hAnsi="宋体" w:cs="宋体"/>
          <w:color w:val="auto"/>
          <w:sz w:val="22"/>
          <w:szCs w:val="22"/>
          <w:highlight w:val="none"/>
          <w:lang w:val="en-US" w:eastAsia="zh-CN"/>
        </w:rPr>
        <w:t>三</w:t>
      </w:r>
      <w:r>
        <w:rPr>
          <w:rFonts w:hint="eastAsia" w:ascii="宋体" w:hAnsi="宋体" w:cs="宋体"/>
          <w:color w:val="auto"/>
          <w:sz w:val="22"/>
          <w:szCs w:val="22"/>
          <w:highlight w:val="none"/>
          <w:lang w:val="zh-CN" w:eastAsia="zh-CN"/>
        </w:rPr>
        <w:t>个月初，咨询人</w:t>
      </w:r>
      <w:r>
        <w:rPr>
          <w:rFonts w:hint="eastAsia" w:ascii="宋体" w:hAnsi="宋体" w:cs="宋体"/>
          <w:color w:val="auto"/>
          <w:sz w:val="22"/>
          <w:szCs w:val="22"/>
          <w:highlight w:val="none"/>
          <w:lang w:val="zh-CN"/>
        </w:rPr>
        <w:t>提出付款申请经委托人</w:t>
      </w:r>
      <w:r>
        <w:rPr>
          <w:rFonts w:hint="eastAsia" w:ascii="宋体" w:hAnsi="宋体" w:cs="宋体"/>
          <w:color w:val="auto"/>
          <w:sz w:val="22"/>
          <w:szCs w:val="22"/>
          <w:highlight w:val="none"/>
          <w:lang w:val="zh-CN" w:eastAsia="zh-CN"/>
        </w:rPr>
        <w:t>审核确认后</w:t>
      </w:r>
      <w:r>
        <w:rPr>
          <w:rFonts w:hint="eastAsia" w:ascii="宋体" w:hAnsi="宋体" w:cs="宋体"/>
          <w:color w:val="auto"/>
          <w:sz w:val="22"/>
          <w:szCs w:val="22"/>
          <w:highlight w:val="none"/>
          <w:lang w:val="zh-CN"/>
        </w:rPr>
        <w:t>提交等额合法增值税专用发票后30个工作日内，委托人按（</w:t>
      </w:r>
      <w:r>
        <w:rPr>
          <w:rFonts w:hint="eastAsia" w:ascii="宋体" w:hAnsi="宋体" w:cs="宋体"/>
          <w:color w:val="auto"/>
          <w:sz w:val="22"/>
          <w:szCs w:val="22"/>
          <w:highlight w:val="none"/>
          <w:lang w:val="en-US" w:eastAsia="zh-CN"/>
        </w:rPr>
        <w:t>造价咨询服务签约合同价*</w:t>
      </w:r>
      <w:r>
        <w:rPr>
          <w:rFonts w:hint="eastAsia" w:ascii="宋体" w:hAnsi="宋体" w:cs="宋体"/>
          <w:bCs/>
          <w:color w:val="auto"/>
          <w:sz w:val="22"/>
          <w:szCs w:val="22"/>
          <w:highlight w:val="none"/>
          <w:lang w:val="en-US" w:eastAsia="zh-CN"/>
        </w:rPr>
        <w:t>本季度施工产值</w:t>
      </w:r>
      <w:r>
        <w:rPr>
          <w:rFonts w:hint="eastAsia" w:ascii="宋体" w:hAnsi="宋体" w:cs="宋体"/>
          <w:bCs/>
          <w:color w:val="auto"/>
          <w:sz w:val="22"/>
          <w:szCs w:val="22"/>
          <w:highlight w:val="none"/>
        </w:rPr>
        <w:t>/</w:t>
      </w:r>
      <w:r>
        <w:rPr>
          <w:rFonts w:hint="eastAsia" w:ascii="宋体" w:hAnsi="宋体" w:cs="宋体"/>
          <w:bCs/>
          <w:color w:val="auto"/>
          <w:sz w:val="22"/>
          <w:szCs w:val="22"/>
          <w:highlight w:val="none"/>
          <w:lang w:val="en-US" w:eastAsia="zh-CN"/>
        </w:rPr>
        <w:t>施工合同签约合同价</w:t>
      </w:r>
      <w:r>
        <w:rPr>
          <w:rFonts w:hint="eastAsia" w:ascii="宋体" w:hAnsi="宋体" w:cs="宋体"/>
          <w:bCs/>
          <w:color w:val="auto"/>
          <w:sz w:val="22"/>
          <w:szCs w:val="22"/>
          <w:highlight w:val="none"/>
        </w:rPr>
        <w:t>*</w:t>
      </w:r>
      <w:r>
        <w:rPr>
          <w:rFonts w:hint="eastAsia" w:ascii="宋体" w:hAnsi="宋体" w:cs="宋体"/>
          <w:bCs/>
          <w:color w:val="auto"/>
          <w:sz w:val="22"/>
          <w:szCs w:val="22"/>
          <w:highlight w:val="none"/>
          <w:lang w:val="en-US" w:eastAsia="zh-CN"/>
        </w:rPr>
        <w:t>35</w:t>
      </w:r>
      <w:r>
        <w:rPr>
          <w:rFonts w:hint="eastAsia" w:ascii="宋体" w:hAnsi="宋体" w:cs="宋体"/>
          <w:bCs/>
          <w:color w:val="auto"/>
          <w:sz w:val="22"/>
          <w:szCs w:val="22"/>
          <w:highlight w:val="none"/>
        </w:rPr>
        <w:t>%</w:t>
      </w:r>
      <w:r>
        <w:rPr>
          <w:rFonts w:hint="eastAsia" w:ascii="宋体" w:hAnsi="宋体" w:cs="宋体"/>
          <w:color w:val="auto"/>
          <w:sz w:val="22"/>
          <w:szCs w:val="22"/>
          <w:highlight w:val="none"/>
          <w:lang w:val="zh-CN"/>
        </w:rPr>
        <w:t>）支付</w:t>
      </w:r>
      <w:r>
        <w:rPr>
          <w:rFonts w:hint="eastAsia" w:ascii="宋体" w:hAnsi="宋体" w:cs="宋体"/>
          <w:color w:val="auto"/>
          <w:sz w:val="22"/>
          <w:szCs w:val="22"/>
          <w:highlight w:val="none"/>
          <w:lang w:val="en-US" w:eastAsia="zh-CN"/>
        </w:rPr>
        <w:t>造价</w:t>
      </w:r>
      <w:r>
        <w:rPr>
          <w:rFonts w:hint="eastAsia" w:ascii="宋体" w:hAnsi="宋体" w:cs="宋体"/>
          <w:color w:val="auto"/>
          <w:sz w:val="22"/>
          <w:szCs w:val="22"/>
          <w:highlight w:val="none"/>
          <w:lang w:val="zh-CN" w:eastAsia="zh-CN"/>
        </w:rPr>
        <w:t>咨询</w:t>
      </w:r>
      <w:r>
        <w:rPr>
          <w:rFonts w:hint="eastAsia" w:ascii="宋体" w:hAnsi="宋体" w:cs="宋体"/>
          <w:color w:val="auto"/>
          <w:sz w:val="22"/>
          <w:szCs w:val="22"/>
          <w:highlight w:val="none"/>
          <w:lang w:val="zh-CN"/>
        </w:rPr>
        <w:t>服务费，累计支付至</w:t>
      </w:r>
      <w:r>
        <w:rPr>
          <w:rFonts w:hint="eastAsia" w:ascii="宋体" w:hAnsi="宋体" w:eastAsia="宋体" w:cs="宋体"/>
          <w:color w:val="auto"/>
          <w:sz w:val="22"/>
          <w:szCs w:val="22"/>
          <w:highlight w:val="none"/>
          <w:lang w:val="zh-CN"/>
        </w:rPr>
        <w:t>造价咨询服务</w:t>
      </w:r>
      <w:r>
        <w:rPr>
          <w:rFonts w:hint="eastAsia" w:ascii="宋体" w:hAnsi="宋体" w:cs="宋体"/>
          <w:color w:val="auto"/>
          <w:sz w:val="22"/>
          <w:szCs w:val="22"/>
          <w:highlight w:val="none"/>
          <w:lang w:val="en-US" w:eastAsia="zh-CN"/>
        </w:rPr>
        <w:t>签约合同</w:t>
      </w:r>
      <w:r>
        <w:rPr>
          <w:rFonts w:hint="eastAsia" w:ascii="宋体" w:hAnsi="宋体" w:eastAsia="宋体" w:cs="宋体"/>
          <w:color w:val="auto"/>
          <w:sz w:val="22"/>
          <w:szCs w:val="22"/>
          <w:highlight w:val="none"/>
        </w:rPr>
        <w:t>价</w:t>
      </w:r>
      <w:r>
        <w:rPr>
          <w:rFonts w:hint="eastAsia" w:ascii="宋体" w:hAnsi="宋体" w:eastAsia="宋体" w:cs="宋体"/>
          <w:color w:val="auto"/>
          <w:sz w:val="22"/>
          <w:szCs w:val="22"/>
          <w:highlight w:val="none"/>
          <w:lang w:val="zh-CN"/>
        </w:rPr>
        <w:t>的85%时停止支付。</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⑤本项目的结算</w:t>
      </w:r>
      <w:r>
        <w:rPr>
          <w:rFonts w:hint="eastAsia" w:ascii="宋体" w:hAnsi="宋体" w:eastAsia="宋体" w:cs="宋体"/>
          <w:color w:val="auto"/>
          <w:sz w:val="22"/>
          <w:szCs w:val="22"/>
          <w:highlight w:val="none"/>
          <w:lang w:val="zh-CN" w:eastAsia="zh-CN"/>
        </w:rPr>
        <w:t>审核</w:t>
      </w:r>
      <w:r>
        <w:rPr>
          <w:rFonts w:hint="eastAsia" w:ascii="宋体" w:hAnsi="宋体" w:eastAsia="宋体" w:cs="宋体"/>
          <w:color w:val="auto"/>
          <w:sz w:val="22"/>
          <w:szCs w:val="22"/>
          <w:highlight w:val="none"/>
          <w:lang w:val="zh-CN"/>
        </w:rPr>
        <w:t>经委托人审核定案后咨询人提交</w:t>
      </w:r>
      <w:r>
        <w:rPr>
          <w:rFonts w:hint="eastAsia" w:ascii="宋体" w:hAnsi="宋体" w:eastAsia="宋体" w:cs="宋体"/>
          <w:color w:val="auto"/>
          <w:sz w:val="22"/>
          <w:szCs w:val="22"/>
          <w:highlight w:val="none"/>
          <w:lang w:val="zh-CN" w:eastAsia="zh-CN"/>
        </w:rPr>
        <w:t>书面</w:t>
      </w:r>
      <w:r>
        <w:rPr>
          <w:rFonts w:hint="eastAsia" w:ascii="宋体" w:hAnsi="宋体" w:eastAsia="宋体" w:cs="宋体"/>
          <w:color w:val="auto"/>
          <w:sz w:val="22"/>
          <w:szCs w:val="22"/>
          <w:highlight w:val="none"/>
          <w:lang w:val="zh-CN"/>
        </w:rPr>
        <w:t>支付申请经审批后 15 日内，按最终结算价一次性付清</w:t>
      </w:r>
      <w:r>
        <w:rPr>
          <w:rFonts w:hint="eastAsia" w:ascii="宋体" w:hAnsi="宋体" w:cs="宋体"/>
          <w:color w:val="auto"/>
          <w:sz w:val="22"/>
          <w:szCs w:val="22"/>
          <w:highlight w:val="none"/>
          <w:lang w:val="en-US" w:eastAsia="zh-CN"/>
        </w:rPr>
        <w:t>造价</w:t>
      </w:r>
      <w:r>
        <w:rPr>
          <w:rFonts w:hint="eastAsia" w:ascii="宋体" w:hAnsi="宋体" w:eastAsia="宋体" w:cs="宋体"/>
          <w:color w:val="auto"/>
          <w:sz w:val="22"/>
          <w:szCs w:val="22"/>
          <w:highlight w:val="none"/>
          <w:lang w:val="zh-CN"/>
        </w:rPr>
        <w:t xml:space="preserve">咨询服务费余款。 </w:t>
      </w:r>
    </w:p>
    <w:p>
      <w:pPr>
        <w:tabs>
          <w:tab w:val="left" w:pos="1768"/>
        </w:tabs>
        <w:spacing w:line="360" w:lineRule="auto"/>
        <w:ind w:firstLine="440" w:firstLineChars="200"/>
        <w:contextualSpacing/>
        <w:rPr>
          <w:rFonts w:hint="eastAsia" w:ascii="宋体" w:hAnsi="宋体" w:eastAsia="宋体" w:cs="宋体"/>
          <w:color w:val="auto"/>
          <w:sz w:val="22"/>
          <w:szCs w:val="22"/>
          <w:highlight w:val="none"/>
          <w:lang w:val="zh-CN"/>
        </w:rPr>
      </w:pPr>
      <w:r>
        <w:rPr>
          <w:rFonts w:hint="eastAsia" w:ascii="宋体" w:hAnsi="宋体" w:eastAsia="宋体" w:cs="宋体"/>
          <w:color w:val="auto"/>
          <w:kern w:val="0"/>
          <w:sz w:val="22"/>
          <w:szCs w:val="22"/>
          <w:highlight w:val="none"/>
          <w:u w:val="none"/>
          <w:lang w:val="zh-CN" w:eastAsia="zh-CN" w:bidi="ar-SA"/>
        </w:rPr>
        <w:t>⑥每笔款项支付前，咨询人应按委托人要求提交付款申请及相应等额合法有效的增值税专用发票。上述所有款项均通过转帐方式支付至本合同约定的咨询人所属的合法银行帐户，付款时间以委托人付款凭证时间为准，因非委托人原因（如银行延误等）造成咨询人延迟收到款项的，委托人不承担违约责任。咨询人开具的发票须符合国家税收法规政策要求，因咨询人开具的发票不及时、开票不规范及其他原因导致委托人无法及时认证、抵扣发票等情形，咨询人需向委托人承担赔偿责任，包括但不限于税款、滞纳金、罚款及相关损失</w:t>
      </w:r>
      <w:r>
        <w:rPr>
          <w:rFonts w:hint="eastAsia" w:ascii="宋体" w:hAnsi="宋体" w:cs="宋体"/>
          <w:color w:val="auto"/>
          <w:kern w:val="0"/>
          <w:sz w:val="22"/>
          <w:szCs w:val="22"/>
          <w:highlight w:val="none"/>
          <w:u w:val="none"/>
          <w:lang w:val="zh-CN" w:eastAsia="zh-CN" w:bidi="ar-SA"/>
        </w:rPr>
        <w:t>。</w:t>
      </w:r>
    </w:p>
    <w:p>
      <w:pPr>
        <w:pageBreakBefore w:val="0"/>
        <w:numPr>
          <w:ilvl w:val="0"/>
          <w:numId w:val="20"/>
        </w:numPr>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zh-CN"/>
        </w:rPr>
        <w:t>全过程造价咨询服务费结算时，全过程造价咨询服务收费基价的计算最终以《建筑工程规划许可证》中批准的总建筑面积为计费额。</w:t>
      </w:r>
      <w:r>
        <w:rPr>
          <w:rFonts w:hint="eastAsia" w:ascii="宋体" w:hAnsi="宋体" w:eastAsia="宋体" w:cs="宋体"/>
          <w:color w:val="auto"/>
          <w:sz w:val="22"/>
          <w:szCs w:val="22"/>
          <w:highlight w:val="none"/>
          <w:lang w:val="zh-CN" w:eastAsia="zh-CN"/>
        </w:rPr>
        <w:t>计算公式：</w:t>
      </w:r>
    </w:p>
    <w:p>
      <w:pPr>
        <w:pageBreakBefore w:val="0"/>
        <w:numPr>
          <w:ilvl w:val="-1"/>
          <w:numId w:val="0"/>
        </w:numPr>
        <w:tabs>
          <w:tab w:val="left" w:pos="1768"/>
        </w:tabs>
        <w:topLinePunct w:val="0"/>
        <w:bidi w:val="0"/>
        <w:spacing w:line="360" w:lineRule="auto"/>
        <w:ind w:left="0" w:leftChars="0" w:right="0" w:rightChars="0" w:firstLine="880" w:firstLineChars="400"/>
        <w:contextualSpacing/>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zh-CN" w:eastAsia="zh-CN"/>
        </w:rPr>
        <w:t>全过程造价咨询服务费=总</w:t>
      </w:r>
      <w:r>
        <w:rPr>
          <w:rFonts w:hint="eastAsia" w:ascii="宋体" w:hAnsi="宋体" w:eastAsia="宋体" w:cs="宋体"/>
          <w:color w:val="auto"/>
          <w:sz w:val="22"/>
          <w:szCs w:val="22"/>
          <w:highlight w:val="none"/>
          <w:lang w:val="zh-CN"/>
        </w:rPr>
        <w:t>建筑面积*</w:t>
      </w:r>
      <w:r>
        <w:rPr>
          <w:rFonts w:hint="eastAsia" w:ascii="宋体" w:hAnsi="宋体" w:cs="宋体"/>
          <w:color w:val="auto"/>
          <w:sz w:val="22"/>
          <w:szCs w:val="22"/>
          <w:highlight w:val="none"/>
          <w:lang w:val="en-US" w:eastAsia="zh-CN"/>
        </w:rPr>
        <w:t>造价咨询中标综合单价+奖惩</w:t>
      </w:r>
      <w:r>
        <w:rPr>
          <w:rFonts w:hint="eastAsia" w:ascii="宋体" w:hAnsi="宋体" w:eastAsia="宋体" w:cs="宋体"/>
          <w:color w:val="auto"/>
          <w:sz w:val="22"/>
          <w:szCs w:val="22"/>
          <w:highlight w:val="none"/>
          <w:lang w:val="zh-CN" w:eastAsia="zh-CN"/>
        </w:rPr>
        <w:t>。</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（4）若非咨询人原因</w:t>
      </w:r>
      <w:r>
        <w:rPr>
          <w:rFonts w:hint="eastAsia" w:ascii="宋体" w:hAnsi="宋体" w:eastAsia="宋体" w:cs="宋体"/>
          <w:color w:val="auto"/>
          <w:sz w:val="22"/>
          <w:szCs w:val="22"/>
          <w:highlight w:val="none"/>
          <w:lang w:val="zh-CN" w:eastAsia="zh-CN"/>
        </w:rPr>
        <w:t>（不可抗力）</w:t>
      </w:r>
      <w:r>
        <w:rPr>
          <w:rFonts w:hint="eastAsia" w:ascii="宋体" w:hAnsi="宋体" w:eastAsia="宋体" w:cs="宋体"/>
          <w:color w:val="auto"/>
          <w:sz w:val="22"/>
          <w:szCs w:val="22"/>
          <w:highlight w:val="none"/>
          <w:lang w:val="zh-CN"/>
        </w:rPr>
        <w:t>，项目在实施过程中遇到项目停建或项目被取消等情况而导致终止本合同的，咨询服务费按以下情况进行结算：</w:t>
      </w:r>
    </w:p>
    <w:p>
      <w:pPr>
        <w:tabs>
          <w:tab w:val="left" w:pos="1768"/>
        </w:tabs>
        <w:spacing w:line="360" w:lineRule="auto"/>
        <w:ind w:right="0" w:rightChars="0" w:firstLine="440" w:firstLineChars="200"/>
        <w:contextualSpacing/>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 xml:space="preserve">① </w:t>
      </w:r>
      <w:r>
        <w:rPr>
          <w:rFonts w:hint="eastAsia" w:ascii="宋体" w:hAnsi="宋体" w:eastAsia="宋体" w:cs="宋体"/>
          <w:color w:val="auto"/>
          <w:sz w:val="22"/>
          <w:szCs w:val="22"/>
          <w:highlight w:val="none"/>
        </w:rPr>
        <w:t>已完成施工图预算编制工作且经委托人审核定案的，按</w:t>
      </w:r>
      <w:r>
        <w:rPr>
          <w:rFonts w:hint="eastAsia" w:ascii="宋体" w:hAnsi="宋体" w:eastAsia="宋体" w:cs="宋体"/>
          <w:color w:val="auto"/>
          <w:sz w:val="22"/>
          <w:szCs w:val="22"/>
          <w:highlight w:val="none"/>
          <w:lang w:val="en-US" w:eastAsia="zh-CN"/>
        </w:rPr>
        <w:t>下列计算方法进行结算</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咨询服务费=已定案施工图预算部分的建筑面积×中标单价×40%</w:t>
      </w:r>
      <w:r>
        <w:rPr>
          <w:rFonts w:hint="eastAsia" w:ascii="宋体" w:hAnsi="宋体" w:eastAsia="宋体" w:cs="宋体"/>
          <w:color w:val="auto"/>
          <w:sz w:val="22"/>
          <w:szCs w:val="22"/>
          <w:highlight w:val="none"/>
        </w:rPr>
        <w:t>；</w:t>
      </w:r>
    </w:p>
    <w:p>
      <w:pPr>
        <w:numPr>
          <w:ilvl w:val="-1"/>
          <w:numId w:val="0"/>
        </w:numPr>
        <w:tabs>
          <w:tab w:val="left" w:pos="1768"/>
        </w:tabs>
        <w:spacing w:line="360" w:lineRule="auto"/>
        <w:ind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②</w:t>
      </w:r>
      <w:r>
        <w:rPr>
          <w:rFonts w:hint="eastAsia" w:ascii="宋体" w:hAnsi="宋体" w:eastAsia="宋体" w:cs="宋体"/>
          <w:color w:val="auto"/>
          <w:sz w:val="22"/>
          <w:szCs w:val="22"/>
          <w:highlight w:val="none"/>
        </w:rPr>
        <w:t>已完成施工图预算编制工作但未经委托人审核定案的，按</w:t>
      </w:r>
      <w:r>
        <w:rPr>
          <w:rFonts w:hint="eastAsia" w:ascii="宋体" w:hAnsi="宋体" w:eastAsia="宋体" w:cs="宋体"/>
          <w:color w:val="auto"/>
          <w:sz w:val="22"/>
          <w:szCs w:val="22"/>
          <w:highlight w:val="none"/>
          <w:lang w:val="en-US" w:eastAsia="zh-CN"/>
        </w:rPr>
        <w:t>下列计算方法进行结算</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eastAsia="宋体" w:cs="宋体"/>
          <w:color w:val="auto"/>
          <w:sz w:val="22"/>
          <w:szCs w:val="22"/>
          <w:highlight w:val="none"/>
          <w:lang w:val="en-US" w:eastAsia="zh-CN"/>
        </w:rPr>
        <w:t>咨询服务费=已完施工图预算部分的建筑面积×中标单价×25%</w:t>
      </w:r>
      <w:r>
        <w:rPr>
          <w:rFonts w:hint="eastAsia" w:ascii="宋体" w:hAnsi="宋体" w:eastAsia="宋体" w:cs="宋体"/>
          <w:color w:val="auto"/>
          <w:sz w:val="22"/>
          <w:szCs w:val="22"/>
          <w:highlight w:val="none"/>
        </w:rPr>
        <w:t>；</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cs="宋体"/>
          <w:color w:val="auto"/>
          <w:sz w:val="22"/>
          <w:szCs w:val="22"/>
          <w:highlight w:val="none"/>
        </w:rPr>
        <w:t>二十七</w:t>
      </w:r>
      <w:r>
        <w:rPr>
          <w:rFonts w:hint="eastAsia" w:ascii="宋体" w:hAnsi="宋体" w:eastAsia="宋体" w:cs="宋体"/>
          <w:color w:val="auto"/>
          <w:sz w:val="22"/>
          <w:szCs w:val="22"/>
          <w:highlight w:val="none"/>
        </w:rPr>
        <w:t>条  双方同意用</w:t>
      </w:r>
      <w:r>
        <w:rPr>
          <w:rFonts w:hint="eastAsia" w:ascii="宋体" w:hAnsi="宋体" w:eastAsia="宋体" w:cs="宋体"/>
          <w:color w:val="auto"/>
          <w:sz w:val="22"/>
          <w:szCs w:val="22"/>
          <w:highlight w:val="none"/>
          <w:u w:val="none"/>
        </w:rPr>
        <w:t xml:space="preserve"> 人民币 </w:t>
      </w:r>
      <w:r>
        <w:rPr>
          <w:rFonts w:hint="eastAsia" w:ascii="宋体" w:hAnsi="宋体" w:eastAsia="宋体" w:cs="宋体"/>
          <w:color w:val="auto"/>
          <w:sz w:val="22"/>
          <w:szCs w:val="22"/>
          <w:highlight w:val="none"/>
        </w:rPr>
        <w:t>支付酬金，按</w:t>
      </w:r>
      <w:r>
        <w:rPr>
          <w:rFonts w:hint="eastAsia" w:ascii="宋体" w:hAnsi="宋体" w:eastAsia="宋体" w:cs="宋体"/>
          <w:color w:val="auto"/>
          <w:sz w:val="22"/>
          <w:szCs w:val="22"/>
          <w:highlight w:val="none"/>
          <w:u w:val="none"/>
        </w:rPr>
        <w:t xml:space="preserve"> </w:t>
      </w:r>
      <w:r>
        <w:rPr>
          <w:rFonts w:hint="eastAsia" w:ascii="宋体" w:hAnsi="宋体" w:eastAsia="宋体" w:cs="宋体"/>
          <w:color w:val="auto"/>
          <w:sz w:val="22"/>
          <w:szCs w:val="22"/>
          <w:highlight w:val="none"/>
          <w:u w:val="single"/>
        </w:rPr>
        <w:t xml:space="preserve">  /  </w:t>
      </w:r>
      <w:r>
        <w:rPr>
          <w:rFonts w:hint="eastAsia" w:ascii="宋体" w:hAnsi="宋体" w:eastAsia="宋体" w:cs="宋体"/>
          <w:color w:val="auto"/>
          <w:sz w:val="22"/>
          <w:szCs w:val="22"/>
          <w:highlight w:val="none"/>
          <w:u w:val="none"/>
        </w:rPr>
        <w:t xml:space="preserve"> </w:t>
      </w:r>
      <w:r>
        <w:rPr>
          <w:rFonts w:hint="eastAsia" w:ascii="宋体" w:hAnsi="宋体" w:eastAsia="宋体" w:cs="宋体"/>
          <w:color w:val="auto"/>
          <w:sz w:val="22"/>
          <w:szCs w:val="22"/>
          <w:highlight w:val="none"/>
        </w:rPr>
        <w:t>汇率计付。</w:t>
      </w:r>
    </w:p>
    <w:p>
      <w:pPr>
        <w:tabs>
          <w:tab w:val="left" w:pos="1768"/>
        </w:tabs>
        <w:spacing w:line="360" w:lineRule="auto"/>
        <w:ind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第二十八条 考察及相关费用由咨询人承担，包含在合同价款中。</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第</w:t>
      </w:r>
      <w:r>
        <w:rPr>
          <w:rFonts w:hint="eastAsia" w:ascii="宋体" w:hAnsi="宋体" w:cs="宋体"/>
          <w:color w:val="auto"/>
          <w:sz w:val="22"/>
          <w:szCs w:val="22"/>
          <w:highlight w:val="none"/>
        </w:rPr>
        <w:t>三十二</w:t>
      </w:r>
      <w:r>
        <w:rPr>
          <w:rFonts w:hint="eastAsia" w:ascii="宋体" w:hAnsi="宋体" w:eastAsia="宋体" w:cs="宋体"/>
          <w:color w:val="auto"/>
          <w:sz w:val="22"/>
          <w:szCs w:val="22"/>
          <w:highlight w:val="none"/>
        </w:rPr>
        <w:t>条　建设工程造价咨询合同在履行过程中发生争议，委托人与咨询人应及时协商解决；如未能达成一致，可提交有关主管部门调解；协商或调解不成的，按下列第</w:t>
      </w:r>
      <w:r>
        <w:rPr>
          <w:rFonts w:hint="eastAsia" w:ascii="宋体" w:hAnsi="宋体" w:eastAsia="宋体" w:cs="宋体"/>
          <w:color w:val="auto"/>
          <w:sz w:val="22"/>
          <w:szCs w:val="22"/>
          <w:highlight w:val="none"/>
          <w:u w:val="single"/>
        </w:rPr>
        <w:t xml:space="preserve"> 2 </w:t>
      </w:r>
      <w:r>
        <w:rPr>
          <w:rFonts w:hint="eastAsia" w:ascii="宋体" w:hAnsi="宋体" w:eastAsia="宋体" w:cs="宋体"/>
          <w:color w:val="auto"/>
          <w:sz w:val="22"/>
          <w:szCs w:val="22"/>
          <w:highlight w:val="none"/>
        </w:rPr>
        <w:t>种方式解决：</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1、提交江门仲裁委员会仲裁；</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2、依法</w:t>
      </w:r>
      <w:r>
        <w:rPr>
          <w:rFonts w:hint="eastAsia" w:ascii="宋体" w:hAnsi="宋体" w:cs="宋体"/>
          <w:b w:val="0"/>
          <w:bCs w:val="0"/>
          <w:color w:val="auto"/>
          <w:sz w:val="22"/>
          <w:szCs w:val="22"/>
          <w:highlight w:val="none"/>
          <w:u w:val="single"/>
          <w:lang w:val="en-US" w:eastAsia="zh-CN"/>
        </w:rPr>
        <w:t xml:space="preserve"> </w:t>
      </w:r>
      <w:r>
        <w:rPr>
          <w:rFonts w:hint="eastAsia" w:ascii="宋体" w:hAnsi="宋体" w:eastAsia="宋体" w:cs="宋体"/>
          <w:b w:val="0"/>
          <w:bCs w:val="0"/>
          <w:color w:val="auto"/>
          <w:sz w:val="22"/>
          <w:szCs w:val="22"/>
          <w:highlight w:val="none"/>
          <w:u w:val="single"/>
        </w:rPr>
        <w:t>向</w:t>
      </w:r>
      <w:r>
        <w:rPr>
          <w:rFonts w:hint="eastAsia" w:ascii="宋体" w:hAnsi="宋体" w:eastAsia="宋体" w:cs="宋体"/>
          <w:b w:val="0"/>
          <w:bCs w:val="0"/>
          <w:color w:val="auto"/>
          <w:sz w:val="22"/>
          <w:szCs w:val="22"/>
          <w:highlight w:val="none"/>
          <w:u w:val="single"/>
          <w:lang w:val="en-US" w:eastAsia="zh-CN"/>
        </w:rPr>
        <w:t>委托人</w:t>
      </w:r>
      <w:r>
        <w:rPr>
          <w:rFonts w:hint="eastAsia" w:ascii="宋体" w:hAnsi="宋体" w:eastAsia="宋体" w:cs="宋体"/>
          <w:b w:val="0"/>
          <w:bCs w:val="0"/>
          <w:color w:val="auto"/>
          <w:sz w:val="22"/>
          <w:szCs w:val="22"/>
          <w:highlight w:val="none"/>
          <w:u w:val="single"/>
        </w:rPr>
        <w:t>所在地</w:t>
      </w:r>
      <w:r>
        <w:rPr>
          <w:rFonts w:hint="eastAsia" w:ascii="宋体" w:hAnsi="宋体" w:cs="宋体"/>
          <w:b w:val="0"/>
          <w:bCs w:val="0"/>
          <w:color w:val="auto"/>
          <w:sz w:val="22"/>
          <w:szCs w:val="22"/>
          <w:highlight w:val="none"/>
          <w:u w:val="single"/>
          <w:lang w:val="en-US" w:eastAsia="zh-CN"/>
        </w:rPr>
        <w:t xml:space="preserve">有管辖权的 </w:t>
      </w:r>
      <w:r>
        <w:rPr>
          <w:rFonts w:hint="eastAsia" w:ascii="宋体" w:hAnsi="宋体" w:eastAsia="宋体" w:cs="宋体"/>
          <w:b w:val="0"/>
          <w:bCs w:val="0"/>
          <w:color w:val="auto"/>
          <w:sz w:val="22"/>
          <w:szCs w:val="22"/>
          <w:highlight w:val="none"/>
        </w:rPr>
        <w:t>人民法院起诉。</w:t>
      </w:r>
    </w:p>
    <w:p>
      <w:pPr>
        <w:pageBreakBefore w:val="0"/>
        <w:widowControl/>
        <w:topLinePunct w:val="0"/>
        <w:bidi w:val="0"/>
        <w:snapToGrid w:val="0"/>
        <w:spacing w:line="360" w:lineRule="auto"/>
        <w:ind w:left="0" w:leftChars="0" w:right="0" w:rightChars="0" w:firstLine="442" w:firstLineChars="200"/>
        <w:jc w:val="center"/>
        <w:rPr>
          <w:rFonts w:hint="eastAsia" w:ascii="宋体" w:hAnsi="宋体" w:eastAsia="宋体" w:cs="宋体"/>
          <w:b/>
          <w:color w:val="auto"/>
          <w:sz w:val="22"/>
          <w:szCs w:val="22"/>
          <w:highlight w:val="none"/>
        </w:rPr>
      </w:pPr>
    </w:p>
    <w:p>
      <w:pPr>
        <w:spacing w:line="360" w:lineRule="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br w:type="page"/>
      </w:r>
    </w:p>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firstLine="0" w:firstLineChars="0"/>
        <w:jc w:val="center"/>
        <w:textAlignment w:val="auto"/>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第三部分 附加协议条款</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1、履行合同期间，咨询人必须按合同和国家、省、市有关规定进行造价咨询工作，认真、准确、及按委托人提出的工作计划时间出具咨询成果文件，若因咨询人</w:t>
      </w:r>
      <w:r>
        <w:rPr>
          <w:rFonts w:hint="eastAsia" w:ascii="宋体" w:hAnsi="宋体" w:eastAsia="宋体" w:cs="宋体"/>
          <w:color w:val="auto"/>
          <w:sz w:val="22"/>
          <w:szCs w:val="22"/>
          <w:highlight w:val="none"/>
          <w:lang w:val="en-US" w:eastAsia="zh-CN"/>
        </w:rPr>
        <w:t>原因</w:t>
      </w:r>
      <w:r>
        <w:rPr>
          <w:rFonts w:hint="eastAsia" w:ascii="宋体" w:hAnsi="宋体" w:eastAsia="宋体" w:cs="宋体"/>
          <w:color w:val="auto"/>
          <w:sz w:val="22"/>
          <w:szCs w:val="22"/>
          <w:highlight w:val="none"/>
        </w:rPr>
        <w:t>造成的经济损失，委托人有权向咨询人追究法律责任并进行索赔。如属委托人原因导致合同终止：</w:t>
      </w:r>
      <w:r>
        <w:rPr>
          <w:rFonts w:hint="eastAsia" w:ascii="宋体" w:hAnsi="宋体" w:eastAsia="宋体" w:cs="宋体"/>
          <w:color w:val="auto"/>
          <w:sz w:val="22"/>
          <w:szCs w:val="22"/>
          <w:highlight w:val="none"/>
          <w:lang w:val="en-US" w:eastAsia="zh-CN"/>
        </w:rPr>
        <w:t>按建设工程造价咨询专用条款执行。</w:t>
      </w:r>
    </w:p>
    <w:p>
      <w:pPr>
        <w:pStyle w:val="59"/>
        <w:widowControl/>
        <w:snapToGrid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2、咨询人须确保工程造价咨询成果文件的编制质量，</w:t>
      </w:r>
      <w:r>
        <w:rPr>
          <w:rFonts w:hint="eastAsia" w:ascii="宋体" w:hAnsi="宋体" w:eastAsia="宋体" w:cs="宋体"/>
          <w:color w:val="auto"/>
          <w:sz w:val="22"/>
          <w:szCs w:val="22"/>
          <w:highlight w:val="none"/>
          <w:lang w:val="en-US" w:eastAsia="zh-CN"/>
        </w:rPr>
        <w:t>严禁提取定额子目作为项目特征、项目特征描述需与套用定额内容相一致，咨询人编审造价成果文件必须使用</w:t>
      </w:r>
      <w:r>
        <w:rPr>
          <w:rFonts w:hint="eastAsia" w:ascii="宋体" w:hAnsi="宋体" w:eastAsia="宋体" w:cs="宋体"/>
          <w:color w:val="auto"/>
          <w:sz w:val="22"/>
          <w:szCs w:val="22"/>
          <w:highlight w:val="none"/>
          <w:u w:val="single"/>
          <w:lang w:val="en-US" w:eastAsia="zh-CN"/>
        </w:rPr>
        <w:t>广联达</w:t>
      </w:r>
      <w:r>
        <w:rPr>
          <w:rFonts w:hint="eastAsia" w:ascii="宋体" w:hAnsi="宋体" w:cs="宋体"/>
          <w:color w:val="auto"/>
          <w:sz w:val="22"/>
          <w:szCs w:val="22"/>
          <w:highlight w:val="none"/>
          <w:u w:val="single"/>
          <w:lang w:val="en-US" w:eastAsia="zh-CN"/>
        </w:rPr>
        <w:t>/易达</w:t>
      </w:r>
      <w:r>
        <w:rPr>
          <w:rFonts w:hint="eastAsia" w:ascii="宋体" w:hAnsi="宋体" w:eastAsia="宋体" w:cs="宋体"/>
          <w:color w:val="auto"/>
          <w:sz w:val="22"/>
          <w:szCs w:val="22"/>
          <w:highlight w:val="none"/>
          <w:lang w:val="en-US" w:eastAsia="zh-CN"/>
        </w:rPr>
        <w:t>造价软件，咨询人要使用其它造价软件的，必须向委托人提出书面申请，经批准后方可使用。咨询人提交的造价咨询成果文件和过程文件包括纸质版、电子版和软件版。</w:t>
      </w:r>
      <w:r>
        <w:rPr>
          <w:rFonts w:hint="eastAsia" w:ascii="宋体" w:hAnsi="宋体" w:eastAsia="宋体" w:cs="宋体"/>
          <w:color w:val="auto"/>
          <w:sz w:val="22"/>
          <w:szCs w:val="22"/>
          <w:highlight w:val="none"/>
        </w:rPr>
        <w:t>并出具有法律效力的工程造价咨询结论。按照《建设工程工程量清单计价规范》GB50500-2013 编制工程预算及工程量清单，严格遵守《工程造价咨询企业管理办法》（建设部[2006年]第 149号令）、《财政投资评审质量控制办法》（财建[2005]1065 号），根据审核依据认真审核，保证资料、工作稿件的正确完整和规范，出具的工程量清单预算、月度计量、季度计价等相关审核成果资料，复核人在封面签名、盖执业资格章，咨询人加盖</w:t>
      </w:r>
      <w:r>
        <w:rPr>
          <w:rFonts w:hint="eastAsia" w:ascii="宋体" w:hAnsi="宋体" w:cs="宋体"/>
          <w:color w:val="auto"/>
          <w:sz w:val="22"/>
          <w:szCs w:val="22"/>
          <w:highlight w:val="none"/>
          <w:lang w:val="en-US" w:eastAsia="zh-CN"/>
        </w:rPr>
        <w:t>公</w:t>
      </w:r>
      <w:r>
        <w:rPr>
          <w:rFonts w:hint="eastAsia" w:ascii="宋体" w:hAnsi="宋体" w:eastAsia="宋体" w:cs="宋体"/>
          <w:color w:val="auto"/>
          <w:sz w:val="22"/>
          <w:szCs w:val="22"/>
          <w:highlight w:val="none"/>
        </w:rPr>
        <w:t>章，并对工程造价和审核意见和审核结论承担法律责任。</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3、工程项目的有关单位对工程造价文件有异议时，咨询人应协助委托人做好解释和调解工作。且不收取服务酬金。</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4、若咨询人出现失误导致招标控制价及工程量清单(含钢筋抽料) 经发包人审查 后，误差率超过 5%,委托人将按照市建设局《关于印发〈江门市建设工程计价行为监督检查办法(试行)〉的通知》(江建 [2006]88 号)的规定,并扣减服务酬金的10%；在上述条件下，误差率超过10%的，再扣减服务酬金的10%。</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lang w:val="en-US" w:eastAsia="zh-CN"/>
        </w:rPr>
        <w:t>因咨询人自身原因导致咨询人提交</w:t>
      </w:r>
      <w:r>
        <w:rPr>
          <w:rFonts w:hint="eastAsia" w:ascii="宋体" w:hAnsi="宋体" w:cs="宋体"/>
          <w:color w:val="auto"/>
          <w:sz w:val="22"/>
          <w:szCs w:val="22"/>
          <w:highlight w:val="none"/>
          <w:lang w:val="en-US" w:eastAsia="zh-CN"/>
        </w:rPr>
        <w:t>给</w:t>
      </w:r>
      <w:r>
        <w:rPr>
          <w:rFonts w:hint="eastAsia" w:ascii="宋体" w:hAnsi="宋体" w:eastAsia="宋体" w:cs="宋体"/>
          <w:color w:val="auto"/>
          <w:sz w:val="22"/>
          <w:szCs w:val="22"/>
          <w:highlight w:val="none"/>
          <w:lang w:val="en-US" w:eastAsia="zh-CN"/>
        </w:rPr>
        <w:t>委托人的施工图预/结算</w:t>
      </w:r>
      <w:r>
        <w:rPr>
          <w:rFonts w:hint="eastAsia" w:ascii="宋体" w:hAnsi="宋体" w:cs="宋体"/>
          <w:color w:val="auto"/>
          <w:sz w:val="22"/>
          <w:szCs w:val="22"/>
          <w:highlight w:val="none"/>
          <w:lang w:val="en-US" w:eastAsia="zh-CN"/>
        </w:rPr>
        <w:t>造价（以第一次提交的预/结算造价为准）</w:t>
      </w:r>
      <w:r>
        <w:rPr>
          <w:rFonts w:hint="eastAsia" w:ascii="宋体" w:hAnsi="宋体" w:eastAsia="宋体" w:cs="宋体"/>
          <w:color w:val="auto"/>
          <w:sz w:val="22"/>
          <w:szCs w:val="22"/>
          <w:highlight w:val="none"/>
          <w:lang w:val="en-US" w:eastAsia="zh-CN"/>
        </w:rPr>
        <w:t>，与审定的预/结算</w:t>
      </w:r>
      <w:r>
        <w:rPr>
          <w:rFonts w:hint="eastAsia" w:ascii="宋体" w:hAnsi="宋体" w:cs="宋体"/>
          <w:color w:val="auto"/>
          <w:sz w:val="22"/>
          <w:szCs w:val="22"/>
          <w:highlight w:val="none"/>
          <w:lang w:val="en-US" w:eastAsia="zh-CN"/>
        </w:rPr>
        <w:t>造价</w:t>
      </w:r>
      <w:r>
        <w:rPr>
          <w:rFonts w:hint="eastAsia" w:ascii="宋体" w:hAnsi="宋体" w:eastAsia="宋体" w:cs="宋体"/>
          <w:color w:val="auto"/>
          <w:sz w:val="22"/>
          <w:szCs w:val="22"/>
          <w:highlight w:val="none"/>
          <w:lang w:val="en-US" w:eastAsia="zh-CN"/>
        </w:rPr>
        <w:t>误差超过</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lang w:val="en-US" w:eastAsia="zh-CN"/>
        </w:rPr>
        <w:t>5%的，每发现一次</w:t>
      </w:r>
      <w:r>
        <w:rPr>
          <w:rFonts w:hint="eastAsia" w:ascii="宋体" w:hAnsi="宋体" w:cs="宋体"/>
          <w:color w:val="auto"/>
          <w:sz w:val="22"/>
          <w:szCs w:val="22"/>
          <w:highlight w:val="none"/>
          <w:lang w:val="en-US" w:eastAsia="zh-CN"/>
        </w:rPr>
        <w:t>，</w:t>
      </w:r>
      <w:r>
        <w:rPr>
          <w:rFonts w:hint="eastAsia" w:ascii="宋体" w:hAnsi="宋体" w:eastAsia="宋体" w:cs="宋体"/>
          <w:color w:val="auto"/>
          <w:sz w:val="22"/>
          <w:szCs w:val="22"/>
          <w:highlight w:val="none"/>
        </w:rPr>
        <w:t>委托人可以直接从全过程造价咨询服务费</w:t>
      </w:r>
      <w:r>
        <w:rPr>
          <w:rFonts w:hint="eastAsia" w:ascii="宋体" w:hAnsi="宋体" w:cs="宋体"/>
          <w:color w:val="auto"/>
          <w:sz w:val="22"/>
          <w:szCs w:val="22"/>
          <w:highlight w:val="none"/>
          <w:lang w:val="en-US" w:eastAsia="zh-CN"/>
        </w:rPr>
        <w:t>进度支付</w:t>
      </w:r>
      <w:r>
        <w:rPr>
          <w:rFonts w:hint="eastAsia" w:ascii="宋体" w:hAnsi="宋体" w:eastAsia="宋体" w:cs="宋体"/>
          <w:color w:val="auto"/>
          <w:sz w:val="22"/>
          <w:szCs w:val="22"/>
          <w:highlight w:val="none"/>
        </w:rPr>
        <w:t>中扣减人民币</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000元</w:t>
      </w:r>
      <w:r>
        <w:rPr>
          <w:rFonts w:hint="eastAsia" w:ascii="宋体" w:hAnsi="宋体" w:eastAsia="宋体" w:cs="宋体"/>
          <w:color w:val="auto"/>
          <w:sz w:val="22"/>
          <w:szCs w:val="22"/>
          <w:highlight w:val="none"/>
          <w:lang w:val="en-US" w:eastAsia="zh-CN"/>
        </w:rPr>
        <w:t>。</w:t>
      </w:r>
    </w:p>
    <w:p>
      <w:pPr>
        <w:pageBreakBefore w:val="0"/>
        <w:topLinePunct w:val="0"/>
        <w:bidi w:val="0"/>
        <w:spacing w:line="360" w:lineRule="auto"/>
        <w:ind w:left="0" w:leftChars="0" w:right="0" w:rightChars="0" w:firstLine="880" w:firstLineChars="400"/>
        <w:rPr>
          <w:rFonts w:hint="eastAsia" w:ascii="宋体" w:hAnsi="宋体" w:cs="宋体"/>
          <w:color w:val="auto"/>
          <w:sz w:val="22"/>
          <w:szCs w:val="22"/>
          <w:highlight w:val="none"/>
          <w:lang w:val="en-US" w:eastAsia="zh-CN"/>
        </w:rPr>
      </w:pPr>
      <w:r>
        <w:rPr>
          <w:rFonts w:hint="eastAsia" w:ascii="宋体" w:hAnsi="宋体" w:cs="宋体"/>
          <w:i w:val="0"/>
          <w:iCs/>
          <w:color w:val="auto"/>
          <w:sz w:val="22"/>
          <w:szCs w:val="22"/>
          <w:highlight w:val="none"/>
          <w:lang w:val="en-US" w:eastAsia="zh-CN"/>
        </w:rPr>
        <w:t>误差</w:t>
      </w:r>
      <w:r>
        <w:rPr>
          <w:rFonts w:hint="eastAsia" w:ascii="宋体" w:hAnsi="宋体" w:eastAsia="宋体" w:cs="宋体"/>
          <w:i w:val="0"/>
          <w:iCs/>
          <w:color w:val="auto"/>
          <w:sz w:val="22"/>
          <w:szCs w:val="22"/>
          <w:highlight w:val="none"/>
          <w:lang w:val="en-US" w:eastAsia="zh-CN"/>
        </w:rPr>
        <w:t>率=</w:t>
      </w:r>
      <m:oMath>
        <m:f>
          <m:fPr>
            <m:ctrlPr>
              <w:rPr>
                <w:rFonts w:hint="eastAsia" w:ascii="Cambria Math" w:hAnsi="Cambria Math" w:eastAsia="宋体" w:cs="宋体"/>
                <w:i w:val="0"/>
                <w:iCs/>
                <w:color w:val="auto"/>
                <w:sz w:val="22"/>
                <w:szCs w:val="22"/>
                <w:highlight w:val="none"/>
              </w:rPr>
            </m:ctrlPr>
          </m:fPr>
          <m:num>
            <m:r>
              <m:rPr>
                <m:sty m:val="p"/>
              </m:rPr>
              <w:rPr>
                <w:rFonts w:hint="eastAsia" w:ascii="Cambria Math" w:hAnsi="Cambria Math" w:cs="宋体"/>
                <w:color w:val="auto"/>
                <w:sz w:val="22"/>
                <w:szCs w:val="22"/>
                <w:highlight w:val="none"/>
                <w:lang w:val="en-US" w:eastAsia="zh-CN"/>
              </w:rPr>
              <m:t>提交给委托人预/</m:t>
            </m:r>
            <m:r>
              <m:rPr>
                <m:sty m:val="p"/>
              </m:rPr>
              <w:rPr>
                <w:rFonts w:hint="eastAsia" w:ascii="Cambria Math" w:hAnsi="Cambria Math" w:eastAsia="宋体" w:cs="宋体"/>
                <w:color w:val="auto"/>
                <w:sz w:val="22"/>
                <w:szCs w:val="22"/>
                <w:highlight w:val="none"/>
                <w:lang w:val="en-US" w:eastAsia="zh-CN"/>
              </w:rPr>
              <m:t>结算造价−审定</m:t>
            </m:r>
            <m:r>
              <m:rPr>
                <m:sty m:val="p"/>
              </m:rPr>
              <w:rPr>
                <w:rFonts w:hint="eastAsia" w:ascii="Cambria Math" w:hAnsi="Cambria Math" w:cs="宋体"/>
                <w:color w:val="auto"/>
                <w:sz w:val="22"/>
                <w:szCs w:val="22"/>
                <w:highlight w:val="none"/>
                <w:lang w:val="en-US" w:eastAsia="zh-CN"/>
              </w:rPr>
              <m:t>预/</m:t>
            </m:r>
            <m:r>
              <m:rPr>
                <m:sty m:val="p"/>
              </m:rPr>
              <w:rPr>
                <w:rFonts w:hint="eastAsia" w:ascii="Cambria Math" w:hAnsi="Cambria Math" w:eastAsia="宋体" w:cs="宋体"/>
                <w:color w:val="auto"/>
                <w:sz w:val="22"/>
                <w:szCs w:val="22"/>
                <w:highlight w:val="none"/>
                <w:lang w:val="en-US" w:eastAsia="zh-CN"/>
              </w:rPr>
              <m:t>结算造价</m:t>
            </m:r>
            <m:ctrlPr>
              <w:rPr>
                <w:rFonts w:hint="eastAsia" w:ascii="Cambria Math" w:hAnsi="Cambria Math" w:eastAsia="宋体" w:cs="宋体"/>
                <w:i w:val="0"/>
                <w:iCs/>
                <w:color w:val="auto"/>
                <w:sz w:val="22"/>
                <w:szCs w:val="22"/>
                <w:highlight w:val="none"/>
              </w:rPr>
            </m:ctrlPr>
          </m:num>
          <m:den>
            <m:r>
              <m:rPr>
                <m:sty m:val="p"/>
              </m:rPr>
              <w:rPr>
                <w:rFonts w:hint="eastAsia" w:ascii="Cambria Math" w:hAnsi="Cambria Math" w:cs="宋体"/>
                <w:color w:val="auto"/>
                <w:sz w:val="22"/>
                <w:szCs w:val="22"/>
                <w:highlight w:val="none"/>
                <w:lang w:val="en-US" w:eastAsia="zh-CN"/>
              </w:rPr>
              <m:t>提交给委托人预/</m:t>
            </m:r>
            <m:r>
              <m:rPr>
                <m:sty m:val="p"/>
              </m:rPr>
              <w:rPr>
                <w:rFonts w:hint="eastAsia" w:ascii="Cambria Math" w:hAnsi="Cambria Math" w:eastAsia="宋体" w:cs="宋体"/>
                <w:color w:val="auto"/>
                <w:sz w:val="22"/>
                <w:szCs w:val="22"/>
                <w:highlight w:val="none"/>
                <w:lang w:val="en-US" w:eastAsia="zh-CN"/>
              </w:rPr>
              <m:t>结算造价</m:t>
            </m:r>
            <m:ctrlPr>
              <w:rPr>
                <w:rFonts w:hint="eastAsia" w:ascii="Cambria Math" w:hAnsi="Cambria Math" w:eastAsia="宋体" w:cs="宋体"/>
                <w:i w:val="0"/>
                <w:iCs/>
                <w:color w:val="auto"/>
                <w:sz w:val="22"/>
                <w:szCs w:val="22"/>
                <w:highlight w:val="none"/>
              </w:rPr>
            </m:ctrlPr>
          </m:den>
        </m:f>
      </m:oMath>
      <w:r>
        <w:rPr>
          <w:rFonts w:hint="eastAsia" w:ascii="宋体" w:hAnsi="宋体" w:eastAsia="宋体" w:cs="宋体"/>
          <w:i w:val="0"/>
          <w:iCs/>
          <w:color w:val="auto"/>
          <w:sz w:val="22"/>
          <w:szCs w:val="22"/>
          <w:highlight w:val="none"/>
          <w:lang w:val="en-US" w:eastAsia="zh-CN"/>
        </w:rPr>
        <w:t>×100%</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、咨询人须按工期及成果要求完成合同中约定的造价咨询工作。因咨询人自身原因导致延误的，每逾期一天，扣减全过程造价咨询服务费签约合同价的0.5‰，累计不超过5%。</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、委托人有权到咨询人办公现场检查人员到位工作情况，如不符合咨询人承诺的人员配备情况，每缺席一人次委托人可以直接从全过程造价咨询服务费结算价中扣减人民币</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000元；如拒绝委托人到咨询人办公现场检查的，视为咨询人承诺的全部人员缺席情况处理。</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8</w:t>
      </w:r>
      <w:r>
        <w:rPr>
          <w:rFonts w:hint="eastAsia" w:ascii="宋体" w:hAnsi="宋体" w:eastAsia="宋体" w:cs="宋体"/>
          <w:color w:val="auto"/>
          <w:sz w:val="22"/>
          <w:szCs w:val="22"/>
          <w:highlight w:val="none"/>
        </w:rPr>
        <w:t>、在工程造价咨询过程中，如违反以下条款，委托人可进行诚信登记并有权根据情况在一定期限内限制咨询人承接委托人的咨询业务：</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①咨询人未独立编制项目工程造价的；</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②咨询人对委托人所提出的问题在委托人书面规定时间内不能及时做出明确答复的；</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③因咨询人原因不能及时提供本工程的工程预算、工程结算及工程量清单而延误项目工期的；</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④不服从委托人的工作安排及要求的。</w:t>
      </w:r>
    </w:p>
    <w:p>
      <w:pPr>
        <w:pStyle w:val="56"/>
        <w:pageBreakBefore w:val="0"/>
        <w:topLinePunct w:val="0"/>
        <w:bidi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咨询人在编制工程造价过程中如存在弄虚作假，与他人串通抬高工程造价行为的，委托人有权终止与咨询人的合同关系、不再支付未付的服务费并追讨已支付的服务费，咨询人还须承担由此而造成委托人的经济损失。涉嫌违法犯罪的，移交有关的行政机关和司法机关查处。</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rPr>
        <w:t>、咨询人须按承诺人员成立本项目咨询工作机构，工作机构人员配备须满足造价咨询工作的要求，拟派项目负责人须具有注册造价工程师资格，在本咨询工作的各个阶段须按照委托人要求完成工作内容及协助委托人工作，委托人通知的重要会议项目负责人必须到场，否则按缺勤处理，每缺勤一次委托人可以直接从全过程造价咨询服务费结算价中扣减人民币5000元。</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、信息价以外的分部分项工程、设备、材料，经市场询价后进行专业评估，综合分析后由参建各方开会研究确定其市场价；</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、造价咨询合同详见招标文件，投标人若有疑问可在答疑会提出，否则，视为认同本合同条款，中标后合同不再更改。</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rPr>
        <w:t>、工程造价审核定案后，咨询人应按照委托人提供的格式和要求，编制“经济指标分析表”，并在10日内提交给委托人。</w:t>
      </w:r>
    </w:p>
    <w:p>
      <w:pPr>
        <w:pageBreakBefore w:val="0"/>
        <w:widowControl/>
        <w:topLinePunct w:val="0"/>
        <w:bidi w:val="0"/>
        <w:snapToGrid w:val="0"/>
        <w:spacing w:line="360" w:lineRule="auto"/>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、造价咨询合同详见招标文件，投标人若有疑问可在答疑会提出，否则，视为认同本合同条款，中标后合同不再更改。</w:t>
      </w:r>
    </w:p>
    <w:p>
      <w:pPr>
        <w:pageBreakBefore w:val="0"/>
        <w:tabs>
          <w:tab w:val="left" w:pos="1768"/>
        </w:tabs>
        <w:topLinePunct w:val="0"/>
        <w:bidi w:val="0"/>
        <w:spacing w:line="360" w:lineRule="auto"/>
        <w:ind w:left="0" w:leftChars="0" w:right="0" w:rightChars="0" w:firstLine="440" w:firstLineChars="200"/>
        <w:contextualSpacing/>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、本项目在招标人提供完整的施工图纸后，如发生重大变更（如方案变更、结构形式变更等）导致项目造价需要调整，可增加相应的造价咨询服务费，具体费用另行协商确定。</w:t>
      </w:r>
    </w:p>
    <w:p>
      <w:pPr>
        <w:pStyle w:val="22"/>
        <w:pageBreakBefore w:val="0"/>
        <w:topLinePunct w:val="0"/>
        <w:bidi w:val="0"/>
        <w:spacing w:after="0" w:line="360" w:lineRule="auto"/>
        <w:ind w:left="0" w:leftChars="0" w:right="0" w:rightChars="0" w:firstLine="468"/>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、以上扣减款项在全过程造价咨询服务费结算价中扣除。</w:t>
      </w:r>
    </w:p>
    <w:p>
      <w:pPr>
        <w:pStyle w:val="22"/>
        <w:pageBreakBefore w:val="0"/>
        <w:topLinePunct w:val="0"/>
        <w:bidi w:val="0"/>
        <w:spacing w:after="0" w:line="360" w:lineRule="auto"/>
        <w:ind w:left="0" w:leftChars="0" w:right="0" w:rightChars="0" w:firstLine="468"/>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r>
        <w:rPr>
          <w:rFonts w:hint="eastAsia" w:asci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、严格执行《广东省住房和城乡建设厅印发&lt;广东省住房和城乡建设厅关于房屋建筑和市政基础设施工程施工过程结算的若干指导意见&gt;的通知》（粤建市〔2019〕116号）的规定。</w:t>
      </w:r>
    </w:p>
    <w:p>
      <w:pPr>
        <w:keepLines w:val="0"/>
        <w:widowControl/>
        <w:snapToGrid w:val="0"/>
        <w:spacing w:after="0" w:afterLines="-2147483648" w:line="360" w:lineRule="auto"/>
        <w:ind w:firstLine="0" w:firstLineChars="0"/>
        <w:jc w:val="center"/>
        <w:outlineLvl w:val="1"/>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第四部分 造</w:t>
      </w:r>
      <w:r>
        <w:rPr>
          <w:rFonts w:hint="eastAsia" w:ascii="宋体" w:hAnsi="宋体" w:eastAsia="宋体" w:cs="宋体"/>
          <w:b/>
          <w:color w:val="auto"/>
          <w:sz w:val="22"/>
          <w:szCs w:val="22"/>
          <w:highlight w:val="none"/>
        </w:rPr>
        <w:t>价咨询任务大纲</w:t>
      </w:r>
    </w:p>
    <w:p>
      <w:pPr>
        <w:keepLines/>
        <w:spacing w:after="157" w:afterLines="50" w:line="360" w:lineRule="auto"/>
        <w:ind w:firstLine="0" w:firstLineChars="0"/>
        <w:jc w:val="left"/>
        <w:outlineLvl w:val="2"/>
        <w:rPr>
          <w:rFonts w:hint="eastAsia" w:ascii="宋体" w:hAnsi="宋体" w:cs="宋体"/>
          <w:b/>
          <w:bCs/>
          <w:color w:val="auto"/>
          <w:sz w:val="22"/>
          <w:szCs w:val="22"/>
          <w:highlight w:val="none"/>
          <w:u w:val="none"/>
          <w:lang w:val="en-US" w:eastAsia="zh-CN"/>
        </w:rPr>
      </w:pPr>
      <w:r>
        <w:rPr>
          <w:rFonts w:hint="eastAsia" w:ascii="宋体" w:hAnsi="宋体" w:cs="宋体"/>
          <w:b/>
          <w:bCs/>
          <w:color w:val="auto"/>
          <w:sz w:val="22"/>
          <w:szCs w:val="22"/>
          <w:highlight w:val="none"/>
          <w:u w:val="none"/>
          <w:lang w:val="en-US" w:eastAsia="zh-CN"/>
        </w:rPr>
        <w:t>一、服务内容</w:t>
      </w:r>
    </w:p>
    <w:p>
      <w:pPr>
        <w:keepLines/>
        <w:spacing w:after="157" w:afterLines="50" w:line="360" w:lineRule="auto"/>
        <w:ind w:firstLine="0" w:firstLineChars="0"/>
        <w:jc w:val="center"/>
        <w:outlineLvl w:val="2"/>
        <w:rPr>
          <w:rFonts w:hint="eastAsia" w:ascii="宋体" w:hAnsi="宋体" w:cs="宋体"/>
          <w:color w:val="auto"/>
          <w:sz w:val="22"/>
          <w:szCs w:val="22"/>
          <w:highlight w:val="none"/>
          <w:u w:val="single"/>
          <w:lang w:val="en-US" w:eastAsia="zh-CN"/>
        </w:rPr>
      </w:pPr>
      <w:r>
        <w:rPr>
          <w:rFonts w:hint="eastAsia" w:ascii="宋体" w:hAnsi="宋体" w:cs="宋体"/>
          <w:color w:val="auto"/>
          <w:sz w:val="22"/>
          <w:szCs w:val="22"/>
          <w:highlight w:val="none"/>
          <w:u w:val="single"/>
          <w:lang w:val="en-US" w:eastAsia="zh-CN"/>
        </w:rPr>
        <w:t>各阶段的造价控制工作主要内容一览表</w:t>
      </w:r>
    </w:p>
    <w:p>
      <w:pPr>
        <w:pStyle w:val="2"/>
        <w:spacing w:line="360" w:lineRule="auto"/>
        <w:rPr>
          <w:rFonts w:hint="eastAsia" w:ascii="宋体" w:hAnsi="宋体" w:eastAsia="宋体" w:cs="宋体"/>
          <w:sz w:val="22"/>
          <w:szCs w:val="22"/>
          <w:highlight w:val="none"/>
          <w:lang w:val="en-US" w:eastAsia="zh-CN"/>
        </w:rPr>
      </w:pPr>
    </w:p>
    <w:tbl>
      <w:tblPr>
        <w:tblStyle w:val="23"/>
        <w:tblW w:w="96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8"/>
        <w:gridCol w:w="1372"/>
        <w:gridCol w:w="74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137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控制阶段</w:t>
            </w:r>
          </w:p>
        </w:tc>
        <w:tc>
          <w:tcPr>
            <w:tcW w:w="749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各阶段的造价控制工作内容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78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3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设计阶段</w:t>
            </w: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1.1推行限额设计并进行监督和跟踪落实。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1.2负责审核初步设计概算并协助完成评审，提出专业意见及合理化建议。若概算超出估算，咨询人应及时提交书面报告，分析偏差原因，提出成本建议。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1.3负责根据批准的设计概算，提出工程项目的各专业工程和各阶段造价限额指标。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1.4审核各分项工程的施工图是否将设计造价控制在批复概算内。若发现设计造价超出批复概算，咨询人应及时提交书面报告，分析偏差原因，提出造价减省建议。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1.5负责对设计中采用的主材、设备等提供市场信息，进行方案比较，提出优化建议。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1.6根据施工图纸编制、审核施工图预算及招标工程量清单、并提出专业意见及合理化建议。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1.7负责参加设计方案论证会议、参与设计方案优化比选。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1.8负责按委托人要求编制各类造价管理文件。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 w:hRule="atLeast"/>
        </w:trPr>
        <w:tc>
          <w:tcPr>
            <w:tcW w:w="78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3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招标阶段</w:t>
            </w: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2.1编制、审查招标工程量清单及招标控制价，编制各类造价管理文件。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2.2按照工程进度计划配合委托人落实招标或询价计划的实施。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2.3按策划最佳的招标或询价方案,包括工程承包内容、招标询价形式、合同方式、报价、评标方法等，并提出可能存在的风险因素及解决办法，供委托人参考。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2.4计算和审核标准工期。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1"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2.5按委托人的要求参加招标工作，对投标单位提交的经济标文件或报价书的综合单价等进行校核、报价合理性分析和汇总，形成造价咨询报告提交给委托人作为参考意见。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37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施工准备阶段</w:t>
            </w:r>
          </w:p>
        </w:tc>
        <w:tc>
          <w:tcPr>
            <w:tcW w:w="74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4.1开工前“三通一平”工程量统计、复核和现场核实（如需）。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trPr>
        <w:tc>
          <w:tcPr>
            <w:tcW w:w="78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3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施工阶段</w:t>
            </w: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做好施工过程所产生的工程量和费用的审核工作，根据施工图及招标、投标文件、施工合同审核工程进度款、工程款、计算工程实物量、参与材料设备的品牌选定与询价、编制或审核工程变更签证预算与工程承包单位、材料设备供应单位洽谈索赔事项、建立管理台帐等进行动态造价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4.2协助委托人制定工程成本控制方法，包括工程变更程序、工程款支付程序等管理办法。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4.3协助委托人处理合同变更，包括合同变更谈判、变更的处理程序，检查变更措施的落实情况。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4.4协助委托人处理合同的索赔，维护委托人的合法权益，防止索赔事件的发生。对收到的承包方的索赔报告进行审查分析，收集索赔理由和证据，复核索赔值，起草并提出反索赔报告。调解合同争端，在仲裁过程中提供合法的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4.5负责审核施工单位的施工图预算、施工现场的工程量计量、现场签证涉及造价，就工程变更所发生的工程量及时进行签认。就提出的工程变更(包括:图纸会审、图纸修改、工程洽商等)对造价造成的影响提交较准确的计算分析。协助委托人就工程变更涉及的价款与施工方协商，确认变更价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4.6负责审核施工工程进度款，对施工单位提出每期进度款进行准确的审核。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4.7负责定期收集和整理有关设备材料的市场价格动态信息并提供给委托人，对施工方案、材料选用提供尽可能节省成本的建议，如发生设计变更、材料或设备价格的浮动等，及时向委托人提供书面意见。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4.8负责建立合同台账、支付台账、工程变更管理台账（按变更原因分类）、签证台账，定期向委托人汇报，为投资控制提供依据，确保工程总投资控制在合理范围内。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4.9对承包人可能提交的任何索赔事项进行评估，根据委托人需要编制评估报告向委托人提出建议，并协助委托人与承包人达成协议。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4.10参加工程图纸会审、进度款、工程款审核专题会、变更论证等专题会，提出造价专业意见，必须有项目负责人和具体经办的各相关专业造价工程师等人员参加会议。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4.11按委托人的要求和工程造价控制工作需要，参加相关的工程例会。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4.12按委托人的要求，对各阶段设计的核查意见和优化建议；工程施工过程中工程量、工程进度款和工程变更的计量和造价审核；参加各相关专题会议；协助委托人办理相关工作审批流程等各项工作。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13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工程结算阶段</w:t>
            </w: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5.1按委托人要求编制结算管理文件，开展工程结算编制、审核工作，并出具结算审核的书面意见。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5.2负责建立结算台账。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5.3结算后进行资料汇总、提交结算审核报告，并对实施过程的描述、概算、预算、结算价进行比较，编制单体、各项各专业等工程建筑技术经济指标，对产生偏差的原因及投资控制的效果进行分析，提交专题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788"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1372"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其他</w:t>
            </w: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6.1 项目负责人会同具体经办的相关专业造价工程师等人员负责组织或参加相关造价控制评审、变更专题等会议，包括邀请相应的经济专家。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6.2视情况邀请高级经济顾问对造价问题进行咨询把关。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6.3向委托人提出专业性建议并提供相关的服务，协助委托人解决与第三方的合同。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6.4在招标限价、合同价、结算等关键节点审核时，应及时合理安排能满足以上各关键节点的造价团队，专业配置齐全，确保按委托人要求时间完成相关审核工作（含钢筋及预埋件计算，如有），出具审核报告。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6.5项目推进过程中，协助委托人完成相关的专业评审工作，评审的相关费用已包含在合同价款内。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6.6拆迁、管线、绿化迁移及其他相关的造价审核工作。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8"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1372" w:type="dxa"/>
            <w:vMerge w:val="continue"/>
            <w:tcBorders>
              <w:top w:val="nil"/>
              <w:left w:val="single" w:color="000000" w:sz="8" w:space="0"/>
              <w:bottom w:val="single" w:color="000000" w:sz="8" w:space="0"/>
              <w:right w:val="single" w:color="000000" w:sz="8" w:space="0"/>
            </w:tcBorders>
            <w:shd w:val="clear" w:color="auto" w:fill="auto"/>
            <w:vAlign w:val="center"/>
          </w:tcPr>
          <w:p>
            <w:pPr>
              <w:spacing w:line="360" w:lineRule="auto"/>
              <w:jc w:val="center"/>
              <w:rPr>
                <w:rFonts w:hint="eastAsia" w:ascii="宋体" w:hAnsi="宋体" w:eastAsia="宋体" w:cs="宋体"/>
                <w:i w:val="0"/>
                <w:iCs w:val="0"/>
                <w:color w:val="000000"/>
                <w:sz w:val="22"/>
                <w:szCs w:val="22"/>
                <w:highlight w:val="none"/>
                <w:u w:val="none"/>
              </w:rPr>
            </w:pPr>
          </w:p>
        </w:tc>
        <w:tc>
          <w:tcPr>
            <w:tcW w:w="74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line="360" w:lineRule="auto"/>
              <w:jc w:val="both"/>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6.7按委托人的要求完成项目实施过程中的概算审核工作。</w:t>
            </w:r>
          </w:p>
        </w:tc>
      </w:tr>
    </w:tbl>
    <w:p>
      <w:pPr>
        <w:keepNext/>
        <w:keepLines/>
        <w:wordWrap w:val="0"/>
        <w:spacing w:line="360" w:lineRule="auto"/>
        <w:jc w:val="left"/>
        <w:outlineLvl w:val="2"/>
        <w:rPr>
          <w:rFonts w:hint="eastAsia" w:ascii="宋体" w:hAnsi="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二</w:t>
      </w:r>
      <w:r>
        <w:rPr>
          <w:rFonts w:hint="eastAsia" w:ascii="宋体" w:hAnsi="宋体" w:cs="宋体"/>
          <w:b/>
          <w:bCs/>
          <w:color w:val="auto"/>
          <w:sz w:val="22"/>
          <w:szCs w:val="22"/>
          <w:highlight w:val="none"/>
          <w:lang w:eastAsia="zh-CN"/>
        </w:rPr>
        <w:t>、工程造价咨询工作工期要求</w:t>
      </w:r>
    </w:p>
    <w:p>
      <w:pPr>
        <w:keepNext/>
        <w:keepLines/>
        <w:wordWrap w:val="0"/>
        <w:spacing w:line="360" w:lineRule="auto"/>
        <w:ind w:firstLine="440" w:firstLineChars="200"/>
        <w:jc w:val="left"/>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lang w:eastAsia="zh-CN"/>
        </w:rPr>
        <w:t>咨询人向委托人应提供的建设工程造价咨询成果材料及提供时间，包括但不限于以下内容：</w:t>
      </w:r>
    </w:p>
    <w:tbl>
      <w:tblPr>
        <w:tblStyle w:val="24"/>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795"/>
        <w:gridCol w:w="2919"/>
        <w:gridCol w:w="4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451"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咨询阶段</w:t>
            </w: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序号</w:t>
            </w:r>
          </w:p>
        </w:tc>
        <w:tc>
          <w:tcPr>
            <w:tcW w:w="2919"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咨询服务内容</w:t>
            </w:r>
          </w:p>
        </w:tc>
        <w:tc>
          <w:tcPr>
            <w:tcW w:w="4260"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成果材料及工期要求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451"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设计阶段</w:t>
            </w: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1</w:t>
            </w:r>
          </w:p>
        </w:tc>
        <w:tc>
          <w:tcPr>
            <w:tcW w:w="2919" w:type="dxa"/>
            <w:noWrap w:val="0"/>
            <w:vAlign w:val="center"/>
          </w:tcPr>
          <w:p>
            <w:pPr>
              <w:keepNext/>
              <w:keepLines/>
              <w:wordWrap w:val="0"/>
              <w:spacing w:line="360" w:lineRule="auto"/>
              <w:rPr>
                <w:rFonts w:hint="eastAsia" w:ascii="宋体" w:hAnsi="宋体" w:cs="宋体"/>
                <w:color w:val="auto"/>
                <w:sz w:val="22"/>
                <w:szCs w:val="22"/>
                <w:highlight w:val="none"/>
                <w:lang w:eastAsia="zh-CN"/>
              </w:rPr>
            </w:pPr>
            <w:r>
              <w:rPr>
                <w:rFonts w:hint="eastAsia" w:ascii="宋体" w:hAnsi="宋体" w:cs="宋体"/>
                <w:color w:val="auto"/>
                <w:spacing w:val="0"/>
                <w:w w:val="100"/>
                <w:position w:val="0"/>
                <w:sz w:val="22"/>
                <w:szCs w:val="22"/>
                <w:highlight w:val="none"/>
                <w:lang w:eastAsia="zh-CN"/>
              </w:rPr>
              <w:t>推行限额设计并进行监督和跟踪落实及对设计方案优化比选；编制或审核</w:t>
            </w:r>
            <w:r>
              <w:rPr>
                <w:rFonts w:hint="eastAsia" w:ascii="宋体" w:hAnsi="宋体" w:eastAsia="宋体" w:cs="宋体"/>
                <w:b w:val="0"/>
                <w:bCs w:val="0"/>
                <w:color w:val="auto"/>
                <w:spacing w:val="0"/>
                <w:w w:val="100"/>
                <w:kern w:val="2"/>
                <w:position w:val="0"/>
                <w:sz w:val="22"/>
                <w:szCs w:val="22"/>
                <w:highlight w:val="none"/>
              </w:rPr>
              <w:t>初步设计概算、施工图预算</w:t>
            </w:r>
            <w:r>
              <w:rPr>
                <w:rFonts w:hint="eastAsia" w:ascii="宋体" w:hAnsi="宋体" w:eastAsia="宋体" w:cs="宋体"/>
                <w:color w:val="auto"/>
                <w:spacing w:val="0"/>
                <w:w w:val="100"/>
                <w:position w:val="0"/>
                <w:sz w:val="22"/>
                <w:szCs w:val="22"/>
                <w:highlight w:val="none"/>
              </w:rPr>
              <w:t>及招标工程量清单</w:t>
            </w:r>
            <w:r>
              <w:rPr>
                <w:rFonts w:hint="eastAsia" w:ascii="宋体" w:hAnsi="宋体" w:cs="宋体"/>
                <w:b w:val="0"/>
                <w:bCs w:val="0"/>
                <w:color w:val="auto"/>
                <w:spacing w:val="0"/>
                <w:w w:val="100"/>
                <w:kern w:val="2"/>
                <w:position w:val="0"/>
                <w:sz w:val="22"/>
                <w:szCs w:val="22"/>
                <w:highlight w:val="none"/>
                <w:lang w:eastAsia="zh-CN"/>
              </w:rPr>
              <w:t>，并</w:t>
            </w:r>
            <w:r>
              <w:rPr>
                <w:rFonts w:hint="eastAsia" w:ascii="宋体" w:hAnsi="宋体" w:eastAsia="宋体" w:cs="宋体"/>
                <w:color w:val="auto"/>
                <w:sz w:val="22"/>
                <w:szCs w:val="22"/>
                <w:highlight w:val="none"/>
                <w:vertAlign w:val="baseline"/>
              </w:rPr>
              <w:t>协助</w:t>
            </w:r>
            <w:r>
              <w:rPr>
                <w:rFonts w:hint="eastAsia" w:ascii="宋体" w:hAnsi="宋体" w:eastAsia="宋体" w:cs="宋体"/>
                <w:color w:val="auto"/>
                <w:sz w:val="22"/>
                <w:szCs w:val="22"/>
                <w:highlight w:val="none"/>
                <w:vertAlign w:val="baseline"/>
                <w:lang w:eastAsia="zh-CN"/>
              </w:rPr>
              <w:t>委托人送审</w:t>
            </w:r>
            <w:r>
              <w:rPr>
                <w:rFonts w:hint="eastAsia" w:ascii="宋体" w:hAnsi="宋体" w:eastAsia="宋体" w:cs="宋体"/>
                <w:color w:val="auto"/>
                <w:sz w:val="22"/>
                <w:szCs w:val="22"/>
                <w:highlight w:val="none"/>
                <w:vertAlign w:val="baseline"/>
              </w:rPr>
              <w:t>施工图预算</w:t>
            </w:r>
            <w:r>
              <w:rPr>
                <w:rFonts w:hint="eastAsia" w:ascii="宋体" w:hAnsi="宋体" w:eastAsia="宋体" w:cs="宋体"/>
                <w:b w:val="0"/>
                <w:bCs w:val="0"/>
                <w:color w:val="auto"/>
                <w:spacing w:val="0"/>
                <w:w w:val="100"/>
                <w:kern w:val="2"/>
                <w:position w:val="0"/>
                <w:sz w:val="22"/>
                <w:szCs w:val="22"/>
                <w:highlight w:val="none"/>
              </w:rPr>
              <w:t>。</w:t>
            </w:r>
          </w:p>
        </w:tc>
        <w:tc>
          <w:tcPr>
            <w:tcW w:w="4260"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cs="宋体"/>
                <w:color w:val="auto"/>
                <w:spacing w:val="0"/>
                <w:w w:val="100"/>
                <w:position w:val="0"/>
                <w:sz w:val="22"/>
                <w:szCs w:val="22"/>
                <w:highlight w:val="none"/>
              </w:rPr>
              <w:t>接到相关资料</w:t>
            </w:r>
            <w:r>
              <w:rPr>
                <w:rFonts w:hint="eastAsia" w:ascii="宋体" w:hAnsi="宋体" w:cs="宋体"/>
                <w:color w:val="auto"/>
                <w:spacing w:val="0"/>
                <w:w w:val="100"/>
                <w:position w:val="0"/>
                <w:sz w:val="22"/>
                <w:szCs w:val="22"/>
                <w:highlight w:val="none"/>
                <w:lang w:eastAsia="zh-CN"/>
              </w:rPr>
              <w:t>后</w:t>
            </w:r>
            <w:r>
              <w:rPr>
                <w:rFonts w:hint="eastAsia" w:ascii="宋体" w:hAnsi="宋体" w:cs="宋体"/>
                <w:color w:val="auto"/>
                <w:spacing w:val="0"/>
                <w:w w:val="100"/>
                <w:position w:val="0"/>
                <w:sz w:val="22"/>
                <w:szCs w:val="22"/>
                <w:highlight w:val="none"/>
                <w:lang w:val="en-US" w:eastAsia="zh-CN"/>
              </w:rPr>
              <w:t>5</w:t>
            </w:r>
            <w:r>
              <w:rPr>
                <w:rFonts w:hint="eastAsia" w:ascii="宋体" w:hAnsi="宋体" w:cs="宋体"/>
                <w:color w:val="auto"/>
                <w:spacing w:val="0"/>
                <w:w w:val="100"/>
                <w:position w:val="0"/>
                <w:sz w:val="22"/>
                <w:szCs w:val="22"/>
                <w:highlight w:val="none"/>
                <w:lang w:eastAsia="zh-CN"/>
              </w:rPr>
              <w:t>个日历天</w:t>
            </w:r>
            <w:r>
              <w:rPr>
                <w:rFonts w:hint="eastAsia" w:ascii="宋体" w:hAnsi="宋体" w:cs="宋体"/>
                <w:color w:val="auto"/>
                <w:spacing w:val="0"/>
                <w:w w:val="100"/>
                <w:position w:val="0"/>
                <w:sz w:val="22"/>
                <w:szCs w:val="22"/>
                <w:highlight w:val="none"/>
              </w:rPr>
              <w:t>内提交设计方案优化</w:t>
            </w:r>
            <w:r>
              <w:rPr>
                <w:rFonts w:hint="eastAsia" w:ascii="宋体" w:hAnsi="宋体" w:cs="宋体"/>
                <w:color w:val="auto"/>
                <w:spacing w:val="0"/>
                <w:w w:val="100"/>
                <w:position w:val="0"/>
                <w:sz w:val="22"/>
                <w:szCs w:val="22"/>
                <w:highlight w:val="none"/>
                <w:lang w:eastAsia="zh-CN"/>
              </w:rPr>
              <w:t>比选报告</w:t>
            </w:r>
            <w:r>
              <w:rPr>
                <w:rFonts w:hint="eastAsia" w:ascii="宋体" w:hAnsi="宋体" w:cs="宋体"/>
                <w:color w:val="auto"/>
                <w:spacing w:val="0"/>
                <w:w w:val="100"/>
                <w:position w:val="0"/>
                <w:sz w:val="22"/>
                <w:szCs w:val="22"/>
                <w:highlight w:val="none"/>
                <w:lang w:val="en-US" w:eastAsia="zh-CN"/>
              </w:rPr>
              <w:t>(如有）</w:t>
            </w:r>
            <w:r>
              <w:rPr>
                <w:rFonts w:hint="eastAsia" w:ascii="宋体" w:hAnsi="宋体" w:cs="宋体"/>
                <w:color w:val="auto"/>
                <w:spacing w:val="0"/>
                <w:w w:val="100"/>
                <w:position w:val="0"/>
                <w:sz w:val="22"/>
                <w:szCs w:val="22"/>
                <w:highlight w:val="none"/>
                <w:lang w:eastAsia="zh-CN"/>
              </w:rPr>
              <w:t>；</w:t>
            </w:r>
            <w:r>
              <w:rPr>
                <w:rFonts w:hint="eastAsia" w:ascii="宋体" w:hAnsi="宋体" w:cs="宋体"/>
                <w:color w:val="auto"/>
                <w:spacing w:val="0"/>
                <w:w w:val="100"/>
                <w:position w:val="0"/>
                <w:sz w:val="22"/>
                <w:szCs w:val="22"/>
                <w:highlight w:val="none"/>
              </w:rPr>
              <w:t>自初步设计审批通过后</w:t>
            </w:r>
            <w:r>
              <w:rPr>
                <w:rFonts w:hint="eastAsia" w:ascii="宋体" w:hAnsi="宋体" w:cs="宋体"/>
                <w:color w:val="auto"/>
                <w:spacing w:val="0"/>
                <w:w w:val="100"/>
                <w:position w:val="0"/>
                <w:sz w:val="22"/>
                <w:szCs w:val="22"/>
                <w:highlight w:val="none"/>
                <w:u w:val="single"/>
                <w:lang w:val="en-US" w:eastAsia="zh-CN"/>
              </w:rPr>
              <w:t xml:space="preserve"> 7</w:t>
            </w:r>
            <w:r>
              <w:rPr>
                <w:rFonts w:hint="eastAsia" w:ascii="宋体" w:hAnsi="宋体" w:cs="宋体"/>
                <w:color w:val="auto"/>
                <w:sz w:val="22"/>
                <w:szCs w:val="22"/>
                <w:highlight w:val="none"/>
                <w:u w:val="single"/>
                <w:vertAlign w:val="baseline"/>
                <w:lang w:val="en-US" w:eastAsia="zh-CN"/>
              </w:rPr>
              <w:t>（根据实际情况定）</w:t>
            </w:r>
            <w:r>
              <w:rPr>
                <w:rFonts w:hint="eastAsia" w:ascii="宋体" w:hAnsi="宋体" w:cs="宋体"/>
                <w:color w:val="auto"/>
                <w:sz w:val="22"/>
                <w:szCs w:val="22"/>
                <w:highlight w:val="none"/>
                <w:u w:val="single"/>
                <w:vertAlign w:val="baseline"/>
                <w:lang w:eastAsia="zh-CN"/>
              </w:rPr>
              <w:t>个日历天</w:t>
            </w:r>
            <w:r>
              <w:rPr>
                <w:rFonts w:hint="eastAsia" w:ascii="宋体" w:hAnsi="宋体" w:cs="宋体"/>
                <w:color w:val="auto"/>
                <w:spacing w:val="0"/>
                <w:w w:val="100"/>
                <w:position w:val="0"/>
                <w:sz w:val="22"/>
                <w:szCs w:val="22"/>
                <w:highlight w:val="none"/>
              </w:rPr>
              <w:t>内完成初步设计概算</w:t>
            </w:r>
            <w:r>
              <w:rPr>
                <w:rFonts w:hint="eastAsia" w:ascii="宋体" w:hAnsi="宋体" w:cs="宋体"/>
                <w:color w:val="auto"/>
                <w:spacing w:val="0"/>
                <w:w w:val="100"/>
                <w:position w:val="0"/>
                <w:sz w:val="22"/>
                <w:szCs w:val="22"/>
                <w:highlight w:val="none"/>
                <w:lang w:eastAsia="zh-CN"/>
              </w:rPr>
              <w:t>审核，</w:t>
            </w:r>
            <w:r>
              <w:rPr>
                <w:rFonts w:hint="eastAsia" w:ascii="宋体" w:hAnsi="宋体" w:cs="宋体"/>
                <w:color w:val="auto"/>
                <w:spacing w:val="0"/>
                <w:w w:val="100"/>
                <w:position w:val="0"/>
                <w:sz w:val="22"/>
                <w:szCs w:val="22"/>
                <w:highlight w:val="none"/>
              </w:rPr>
              <w:t>提交</w:t>
            </w:r>
            <w:r>
              <w:rPr>
                <w:rFonts w:hint="eastAsia" w:ascii="宋体" w:hAnsi="宋体" w:cs="宋体"/>
                <w:color w:val="auto"/>
                <w:spacing w:val="0"/>
                <w:w w:val="100"/>
                <w:position w:val="0"/>
                <w:sz w:val="22"/>
                <w:szCs w:val="22"/>
                <w:highlight w:val="none"/>
                <w:lang w:eastAsia="zh-CN"/>
              </w:rPr>
              <w:t>工程概算书或审核报告（含</w:t>
            </w:r>
            <w:r>
              <w:rPr>
                <w:rFonts w:hint="eastAsia" w:ascii="宋体" w:hAnsi="宋体" w:cs="宋体"/>
                <w:color w:val="auto"/>
                <w:sz w:val="22"/>
                <w:szCs w:val="22"/>
                <w:highlight w:val="none"/>
              </w:rPr>
              <w:t>工程量清单</w:t>
            </w:r>
            <w:r>
              <w:rPr>
                <w:rFonts w:hint="eastAsia" w:ascii="宋体" w:hAnsi="宋体" w:cs="宋体"/>
                <w:color w:val="auto"/>
                <w:sz w:val="22"/>
                <w:szCs w:val="22"/>
                <w:highlight w:val="none"/>
                <w:lang w:eastAsia="zh-CN"/>
              </w:rPr>
              <w:t>、概</w:t>
            </w:r>
            <w:r>
              <w:rPr>
                <w:rFonts w:hint="eastAsia" w:ascii="宋体" w:hAnsi="宋体" w:cs="宋体"/>
                <w:color w:val="auto"/>
                <w:sz w:val="22"/>
                <w:szCs w:val="22"/>
                <w:highlight w:val="none"/>
              </w:rPr>
              <w:t>算</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工程量计算稿</w:t>
            </w:r>
            <w:r>
              <w:rPr>
                <w:rFonts w:hint="eastAsia" w:ascii="宋体" w:hAnsi="宋体" w:cs="宋体"/>
                <w:color w:val="auto"/>
                <w:sz w:val="22"/>
                <w:szCs w:val="22"/>
                <w:highlight w:val="none"/>
                <w:lang w:eastAsia="zh-CN"/>
              </w:rPr>
              <w:t>、算量等成果</w:t>
            </w:r>
            <w:r>
              <w:rPr>
                <w:rFonts w:hint="eastAsia" w:ascii="宋体" w:hAnsi="宋体" w:cs="宋体"/>
                <w:color w:val="auto"/>
                <w:spacing w:val="0"/>
                <w:w w:val="100"/>
                <w:position w:val="0"/>
                <w:sz w:val="22"/>
                <w:szCs w:val="22"/>
                <w:highlight w:val="none"/>
                <w:lang w:eastAsia="zh-CN"/>
              </w:rPr>
              <w:t>）；</w:t>
            </w:r>
            <w:r>
              <w:rPr>
                <w:rFonts w:hint="eastAsia" w:ascii="宋体" w:hAnsi="宋体" w:cs="宋体"/>
                <w:color w:val="auto"/>
                <w:spacing w:val="0"/>
                <w:w w:val="100"/>
                <w:position w:val="0"/>
                <w:sz w:val="22"/>
                <w:szCs w:val="22"/>
                <w:highlight w:val="none"/>
              </w:rPr>
              <w:t>施工图</w:t>
            </w:r>
            <w:r>
              <w:rPr>
                <w:rFonts w:hint="eastAsia" w:ascii="宋体" w:hAnsi="宋体" w:cs="宋体"/>
                <w:color w:val="auto"/>
                <w:spacing w:val="0"/>
                <w:w w:val="100"/>
                <w:position w:val="0"/>
                <w:sz w:val="22"/>
                <w:szCs w:val="22"/>
                <w:highlight w:val="none"/>
                <w:lang w:eastAsia="zh-CN"/>
              </w:rPr>
              <w:t>审查合格</w:t>
            </w:r>
            <w:r>
              <w:rPr>
                <w:rFonts w:hint="eastAsia" w:ascii="宋体" w:hAnsi="宋体" w:cs="宋体"/>
                <w:color w:val="auto"/>
                <w:spacing w:val="0"/>
                <w:w w:val="100"/>
                <w:position w:val="0"/>
                <w:sz w:val="22"/>
                <w:szCs w:val="22"/>
                <w:highlight w:val="none"/>
              </w:rPr>
              <w:t>后</w:t>
            </w:r>
            <w:r>
              <w:rPr>
                <w:rFonts w:hint="eastAsia" w:ascii="宋体" w:hAnsi="宋体" w:cs="宋体"/>
                <w:color w:val="auto"/>
                <w:spacing w:val="0"/>
                <w:w w:val="100"/>
                <w:position w:val="0"/>
                <w:sz w:val="22"/>
                <w:szCs w:val="22"/>
                <w:highlight w:val="none"/>
                <w:u w:val="single"/>
                <w:lang w:val="en-US" w:eastAsia="zh-CN"/>
              </w:rPr>
              <w:t xml:space="preserve"> 30</w:t>
            </w:r>
            <w:r>
              <w:rPr>
                <w:rFonts w:hint="eastAsia" w:ascii="宋体" w:hAnsi="宋体" w:cs="宋体"/>
                <w:color w:val="auto"/>
                <w:sz w:val="22"/>
                <w:szCs w:val="22"/>
                <w:highlight w:val="none"/>
                <w:u w:val="single"/>
                <w:vertAlign w:val="baseline"/>
                <w:lang w:val="en-US" w:eastAsia="zh-CN"/>
              </w:rPr>
              <w:t>（根据实际情况定）</w:t>
            </w:r>
            <w:r>
              <w:rPr>
                <w:rFonts w:hint="eastAsia" w:ascii="宋体" w:hAnsi="宋体" w:cs="宋体"/>
                <w:color w:val="auto"/>
                <w:sz w:val="22"/>
                <w:szCs w:val="22"/>
                <w:highlight w:val="none"/>
                <w:u w:val="single"/>
                <w:vertAlign w:val="baseline"/>
                <w:lang w:eastAsia="zh-CN"/>
              </w:rPr>
              <w:t>个日历天</w:t>
            </w:r>
            <w:r>
              <w:rPr>
                <w:rFonts w:hint="eastAsia" w:ascii="宋体" w:hAnsi="宋体" w:cs="宋体"/>
                <w:color w:val="auto"/>
                <w:sz w:val="22"/>
                <w:szCs w:val="22"/>
                <w:highlight w:val="none"/>
                <w:u w:val="single"/>
                <w:vertAlign w:val="baseline"/>
                <w:lang w:val="en-US" w:eastAsia="zh-CN"/>
              </w:rPr>
              <w:t xml:space="preserve"> </w:t>
            </w:r>
            <w:r>
              <w:rPr>
                <w:rFonts w:hint="eastAsia" w:ascii="宋体" w:hAnsi="宋体" w:cs="宋体"/>
                <w:color w:val="auto"/>
                <w:spacing w:val="0"/>
                <w:w w:val="100"/>
                <w:position w:val="0"/>
                <w:sz w:val="22"/>
                <w:szCs w:val="22"/>
                <w:highlight w:val="none"/>
              </w:rPr>
              <w:t>内完成施工图预算</w:t>
            </w:r>
            <w:r>
              <w:rPr>
                <w:rFonts w:hint="eastAsia" w:ascii="宋体" w:hAnsi="宋体" w:cs="宋体"/>
                <w:color w:val="auto"/>
                <w:spacing w:val="0"/>
                <w:w w:val="100"/>
                <w:position w:val="0"/>
                <w:sz w:val="22"/>
                <w:szCs w:val="22"/>
                <w:highlight w:val="none"/>
                <w:lang w:val="en-US" w:eastAsia="zh-CN"/>
              </w:rPr>
              <w:t>编制、</w:t>
            </w:r>
            <w:r>
              <w:rPr>
                <w:rFonts w:hint="eastAsia" w:ascii="宋体" w:hAnsi="宋体" w:cs="宋体"/>
                <w:color w:val="auto"/>
                <w:spacing w:val="0"/>
                <w:w w:val="100"/>
                <w:position w:val="0"/>
                <w:sz w:val="22"/>
                <w:szCs w:val="22"/>
                <w:highlight w:val="none"/>
                <w:lang w:eastAsia="zh-CN"/>
              </w:rPr>
              <w:t>审核，</w:t>
            </w:r>
            <w:r>
              <w:rPr>
                <w:rFonts w:hint="eastAsia" w:ascii="宋体" w:hAnsi="宋体" w:cs="宋体"/>
                <w:color w:val="auto"/>
                <w:spacing w:val="0"/>
                <w:w w:val="100"/>
                <w:position w:val="0"/>
                <w:sz w:val="22"/>
                <w:szCs w:val="22"/>
                <w:highlight w:val="none"/>
              </w:rPr>
              <w:t>提交工程量清单书</w:t>
            </w:r>
            <w:r>
              <w:rPr>
                <w:rFonts w:hint="eastAsia" w:ascii="宋体" w:hAnsi="宋体" w:cs="宋体"/>
                <w:color w:val="auto"/>
                <w:spacing w:val="0"/>
                <w:w w:val="100"/>
                <w:position w:val="0"/>
                <w:sz w:val="22"/>
                <w:szCs w:val="22"/>
                <w:highlight w:val="none"/>
                <w:lang w:eastAsia="zh-CN"/>
              </w:rPr>
              <w:t>、报价</w:t>
            </w:r>
            <w:r>
              <w:rPr>
                <w:rFonts w:hint="eastAsia" w:ascii="宋体" w:hAnsi="宋体" w:cs="宋体"/>
                <w:color w:val="auto"/>
                <w:spacing w:val="0"/>
                <w:w w:val="100"/>
                <w:position w:val="0"/>
                <w:sz w:val="22"/>
                <w:szCs w:val="22"/>
                <w:highlight w:val="none"/>
              </w:rPr>
              <w:t>书或预算</w:t>
            </w:r>
            <w:r>
              <w:rPr>
                <w:rFonts w:hint="eastAsia" w:ascii="宋体" w:hAnsi="宋体" w:cs="宋体"/>
                <w:color w:val="auto"/>
                <w:sz w:val="22"/>
                <w:szCs w:val="22"/>
                <w:highlight w:val="none"/>
                <w:vertAlign w:val="baseline"/>
              </w:rPr>
              <w:t>审核报告</w:t>
            </w:r>
            <w:r>
              <w:rPr>
                <w:rFonts w:hint="eastAsia" w:ascii="宋体" w:hAnsi="宋体" w:cs="宋体"/>
                <w:color w:val="auto"/>
                <w:spacing w:val="0"/>
                <w:w w:val="100"/>
                <w:position w:val="0"/>
                <w:sz w:val="22"/>
                <w:szCs w:val="22"/>
                <w:highlight w:val="none"/>
                <w:lang w:eastAsia="zh-CN"/>
              </w:rPr>
              <w:t>（含</w:t>
            </w:r>
            <w:r>
              <w:rPr>
                <w:rFonts w:hint="eastAsia" w:ascii="宋体" w:hAnsi="宋体" w:cs="宋体"/>
                <w:color w:val="auto"/>
                <w:sz w:val="22"/>
                <w:szCs w:val="22"/>
                <w:highlight w:val="none"/>
              </w:rPr>
              <w:t>工程量清单</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施工图预算</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rPr>
              <w:t>工程量计算稿</w:t>
            </w:r>
            <w:r>
              <w:rPr>
                <w:rFonts w:hint="eastAsia" w:ascii="宋体" w:hAnsi="宋体" w:cs="宋体"/>
                <w:color w:val="auto"/>
                <w:sz w:val="22"/>
                <w:szCs w:val="22"/>
                <w:highlight w:val="none"/>
                <w:lang w:eastAsia="zh-CN"/>
              </w:rPr>
              <w:t>、算量等成果</w:t>
            </w:r>
            <w:r>
              <w:rPr>
                <w:rFonts w:hint="eastAsia" w:ascii="宋体" w:hAnsi="宋体" w:cs="宋体"/>
                <w:color w:val="auto"/>
                <w:spacing w:val="0"/>
                <w:w w:val="100"/>
                <w:position w:val="0"/>
                <w:sz w:val="22"/>
                <w:szCs w:val="22"/>
                <w:highlight w:val="none"/>
                <w:lang w:eastAsia="zh-CN"/>
              </w:rPr>
              <w:t>）</w:t>
            </w:r>
            <w:r>
              <w:rPr>
                <w:rFonts w:hint="eastAsia" w:ascii="宋体" w:hAnsi="宋体" w:cs="宋体"/>
                <w:color w:val="auto"/>
                <w:spacing w:val="0"/>
                <w:w w:val="100"/>
                <w:position w:val="0"/>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451" w:type="dxa"/>
            <w:vMerge w:val="restart"/>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招标阶段</w:t>
            </w: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2</w:t>
            </w:r>
          </w:p>
        </w:tc>
        <w:tc>
          <w:tcPr>
            <w:tcW w:w="2919"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vertAlign w:val="baseline"/>
                <w:lang w:eastAsia="zh-CN"/>
              </w:rPr>
              <w:t>编制或审查</w:t>
            </w:r>
            <w:r>
              <w:rPr>
                <w:rFonts w:hint="eastAsia" w:ascii="宋体" w:hAnsi="宋体" w:eastAsia="宋体" w:cs="宋体"/>
                <w:color w:val="auto"/>
                <w:sz w:val="22"/>
                <w:szCs w:val="22"/>
                <w:highlight w:val="none"/>
                <w:vertAlign w:val="baseline"/>
              </w:rPr>
              <w:t>招标工程量清单及招标控制价</w:t>
            </w:r>
            <w:r>
              <w:rPr>
                <w:rFonts w:hint="eastAsia" w:ascii="宋体" w:hAnsi="宋体" w:eastAsia="宋体" w:cs="宋体"/>
                <w:color w:val="auto"/>
                <w:sz w:val="22"/>
                <w:szCs w:val="22"/>
                <w:highlight w:val="none"/>
                <w:vertAlign w:val="baseline"/>
                <w:lang w:eastAsia="zh-CN"/>
              </w:rPr>
              <w:t>；</w:t>
            </w:r>
            <w:r>
              <w:rPr>
                <w:rFonts w:hint="eastAsia" w:ascii="宋体" w:hAnsi="宋体" w:cs="宋体"/>
                <w:color w:val="auto"/>
                <w:sz w:val="22"/>
                <w:szCs w:val="22"/>
                <w:highlight w:val="none"/>
                <w:vertAlign w:val="baseline"/>
              </w:rPr>
              <w:t>协助委托人编制招标公告、招标文件和合同文件</w:t>
            </w:r>
            <w:r>
              <w:rPr>
                <w:rFonts w:hint="eastAsia" w:ascii="宋体" w:hAnsi="宋体" w:cs="宋体"/>
                <w:color w:val="auto"/>
                <w:sz w:val="22"/>
                <w:szCs w:val="22"/>
                <w:highlight w:val="none"/>
                <w:vertAlign w:val="baseline"/>
                <w:lang w:eastAsia="zh-CN"/>
              </w:rPr>
              <w:t>。</w:t>
            </w:r>
          </w:p>
        </w:tc>
        <w:tc>
          <w:tcPr>
            <w:tcW w:w="4260"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pacing w:val="0"/>
                <w:w w:val="100"/>
                <w:position w:val="0"/>
                <w:sz w:val="22"/>
                <w:szCs w:val="22"/>
                <w:highlight w:val="none"/>
              </w:rPr>
              <w:t>施工图预算</w:t>
            </w:r>
            <w:r>
              <w:rPr>
                <w:rFonts w:hint="eastAsia" w:ascii="宋体" w:hAnsi="宋体" w:eastAsia="宋体" w:cs="宋体"/>
                <w:color w:val="auto"/>
                <w:sz w:val="22"/>
                <w:szCs w:val="22"/>
                <w:highlight w:val="none"/>
              </w:rPr>
              <w:t>审定后</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lang w:eastAsia="zh-CN"/>
              </w:rPr>
              <w:t>2</w:t>
            </w:r>
            <w:r>
              <w:rPr>
                <w:rFonts w:hint="eastAsia" w:ascii="宋体" w:hAnsi="宋体" w:eastAsia="宋体" w:cs="宋体"/>
                <w:color w:val="auto"/>
                <w:sz w:val="22"/>
                <w:szCs w:val="22"/>
                <w:highlight w:val="none"/>
                <w:u w:val="single"/>
              </w:rPr>
              <w:t>个</w:t>
            </w:r>
            <w:r>
              <w:rPr>
                <w:rFonts w:hint="eastAsia" w:ascii="宋体" w:hAnsi="宋体" w:cs="宋体"/>
                <w:color w:val="auto"/>
                <w:sz w:val="22"/>
                <w:szCs w:val="22"/>
                <w:highlight w:val="none"/>
                <w:u w:val="single"/>
                <w:vertAlign w:val="baseline"/>
                <w:lang w:eastAsia="zh-CN"/>
              </w:rPr>
              <w:t>日历天</w:t>
            </w:r>
            <w:r>
              <w:rPr>
                <w:rFonts w:hint="eastAsia" w:ascii="宋体" w:hAnsi="宋体" w:cs="宋体"/>
                <w:color w:val="auto"/>
                <w:sz w:val="22"/>
                <w:szCs w:val="22"/>
                <w:highlight w:val="none"/>
                <w:u w:val="single"/>
                <w:vertAlign w:val="baseline"/>
                <w:lang w:val="en-US" w:eastAsia="zh-CN"/>
              </w:rPr>
              <w:t xml:space="preserve"> </w:t>
            </w:r>
            <w:r>
              <w:rPr>
                <w:rFonts w:hint="eastAsia" w:ascii="宋体" w:hAnsi="宋体" w:cs="宋体"/>
                <w:color w:val="auto"/>
                <w:spacing w:val="0"/>
                <w:w w:val="100"/>
                <w:position w:val="0"/>
                <w:sz w:val="22"/>
                <w:szCs w:val="22"/>
                <w:highlight w:val="none"/>
              </w:rPr>
              <w:t>内完成招标工程量清单和招标控制价的编制</w:t>
            </w:r>
            <w:r>
              <w:rPr>
                <w:rFonts w:hint="eastAsia" w:ascii="宋体" w:hAnsi="宋体" w:eastAsia="宋体" w:cs="宋体"/>
                <w:color w:val="auto"/>
                <w:sz w:val="22"/>
                <w:szCs w:val="22"/>
                <w:highlight w:val="none"/>
                <w:vertAlign w:val="baseline"/>
                <w:lang w:eastAsia="zh-CN"/>
              </w:rPr>
              <w:t>或</w:t>
            </w:r>
            <w:r>
              <w:rPr>
                <w:rFonts w:hint="eastAsia" w:ascii="宋体" w:hAnsi="宋体" w:cs="宋体"/>
                <w:color w:val="auto"/>
                <w:spacing w:val="0"/>
                <w:w w:val="100"/>
                <w:position w:val="0"/>
                <w:sz w:val="22"/>
                <w:szCs w:val="22"/>
                <w:highlight w:val="none"/>
                <w:lang w:eastAsia="zh-CN"/>
              </w:rPr>
              <w:t>审核，</w:t>
            </w:r>
            <w:r>
              <w:rPr>
                <w:rFonts w:hint="eastAsia" w:ascii="宋体" w:hAnsi="宋体" w:cs="宋体"/>
                <w:color w:val="auto"/>
                <w:sz w:val="22"/>
                <w:szCs w:val="22"/>
                <w:highlight w:val="none"/>
                <w:vertAlign w:val="baseline"/>
              </w:rPr>
              <w:t>提交</w:t>
            </w:r>
            <w:r>
              <w:rPr>
                <w:rFonts w:hint="eastAsia" w:ascii="宋体" w:hAnsi="宋体" w:cs="宋体"/>
                <w:color w:val="auto"/>
                <w:spacing w:val="0"/>
                <w:w w:val="100"/>
                <w:position w:val="0"/>
                <w:sz w:val="22"/>
                <w:szCs w:val="22"/>
                <w:highlight w:val="none"/>
              </w:rPr>
              <w:t>招标工程量清单和招标控制价</w:t>
            </w:r>
            <w:r>
              <w:rPr>
                <w:rFonts w:hint="eastAsia" w:ascii="宋体" w:hAnsi="宋体" w:cs="宋体"/>
                <w:color w:val="auto"/>
                <w:spacing w:val="0"/>
                <w:w w:val="100"/>
                <w:position w:val="0"/>
                <w:sz w:val="22"/>
                <w:szCs w:val="22"/>
                <w:highlight w:val="none"/>
                <w:lang w:eastAsia="zh-CN"/>
              </w:rPr>
              <w:t>成果；</w:t>
            </w:r>
            <w:r>
              <w:rPr>
                <w:rFonts w:hint="eastAsia" w:ascii="宋体" w:hAnsi="宋体" w:cs="宋体"/>
                <w:color w:val="auto"/>
                <w:sz w:val="22"/>
                <w:szCs w:val="22"/>
                <w:highlight w:val="none"/>
                <w:vertAlign w:val="baseline"/>
                <w:lang w:eastAsia="zh-CN"/>
              </w:rPr>
              <w:t>接到施工图纸、招标公告和招标文件初稿后</w:t>
            </w:r>
            <w:r>
              <w:rPr>
                <w:rFonts w:hint="eastAsia" w:ascii="宋体" w:hAnsi="宋体" w:cs="宋体"/>
                <w:color w:val="auto"/>
                <w:sz w:val="22"/>
                <w:szCs w:val="22"/>
                <w:highlight w:val="none"/>
                <w:u w:val="none"/>
                <w:vertAlign w:val="baseline"/>
                <w:lang w:val="en-US" w:eastAsia="zh-CN"/>
              </w:rPr>
              <w:t>2</w:t>
            </w:r>
            <w:r>
              <w:rPr>
                <w:rFonts w:hint="eastAsia" w:ascii="宋体" w:hAnsi="宋体" w:cs="宋体"/>
                <w:color w:val="auto"/>
                <w:sz w:val="22"/>
                <w:szCs w:val="22"/>
                <w:highlight w:val="none"/>
                <w:u w:val="none"/>
                <w:vertAlign w:val="baseline"/>
                <w:lang w:eastAsia="zh-CN"/>
              </w:rPr>
              <w:t>个日历天</w:t>
            </w:r>
            <w:r>
              <w:rPr>
                <w:rFonts w:hint="eastAsia" w:ascii="宋体" w:hAnsi="宋体" w:cs="宋体"/>
                <w:color w:val="auto"/>
                <w:sz w:val="22"/>
                <w:szCs w:val="22"/>
                <w:highlight w:val="none"/>
                <w:vertAlign w:val="baseline"/>
                <w:lang w:val="en-US" w:eastAsia="zh-CN"/>
              </w:rPr>
              <w:t>内提交相应文件的修改意见。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451" w:type="dxa"/>
            <w:vMerge w:val="continue"/>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rPr>
            </w:pP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3</w:t>
            </w:r>
          </w:p>
        </w:tc>
        <w:tc>
          <w:tcPr>
            <w:tcW w:w="2919"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eastAsia="zh-CN"/>
              </w:rPr>
              <w:t>协助</w:t>
            </w:r>
            <w:r>
              <w:rPr>
                <w:rFonts w:hint="eastAsia" w:ascii="宋体" w:hAnsi="宋体" w:eastAsia="宋体" w:cs="宋体"/>
                <w:color w:val="auto"/>
                <w:sz w:val="22"/>
                <w:szCs w:val="22"/>
                <w:highlight w:val="none"/>
              </w:rPr>
              <w:t>委托人</w:t>
            </w:r>
            <w:r>
              <w:rPr>
                <w:rFonts w:hint="eastAsia" w:ascii="宋体" w:hAnsi="宋体" w:cs="宋体"/>
                <w:color w:val="auto"/>
                <w:sz w:val="22"/>
                <w:szCs w:val="22"/>
                <w:highlight w:val="none"/>
                <w:vertAlign w:val="baseline"/>
                <w:lang w:eastAsia="zh-CN"/>
              </w:rPr>
              <w:t>签订合同。</w:t>
            </w:r>
          </w:p>
        </w:tc>
        <w:tc>
          <w:tcPr>
            <w:tcW w:w="4260" w:type="dxa"/>
            <w:noWrap w:val="0"/>
            <w:vAlign w:val="center"/>
          </w:tcPr>
          <w:p>
            <w:pPr>
              <w:keepNext/>
              <w:keepLines/>
              <w:wordWrap w:val="0"/>
              <w:spacing w:line="360" w:lineRule="auto"/>
              <w:ind w:left="0" w:leftChars="0" w:firstLine="0" w:firstLineChars="0"/>
              <w:jc w:val="both"/>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eastAsia="zh-CN"/>
              </w:rPr>
              <w:t>收到委托人的合同文件</w:t>
            </w:r>
            <w:r>
              <w:rPr>
                <w:rFonts w:hint="eastAsia" w:ascii="宋体" w:hAnsi="宋体" w:cs="宋体"/>
                <w:color w:val="auto"/>
                <w:sz w:val="22"/>
                <w:szCs w:val="22"/>
                <w:highlight w:val="none"/>
                <w:u w:val="single"/>
                <w:vertAlign w:val="baseline"/>
                <w:lang w:eastAsia="zh-CN"/>
              </w:rPr>
              <w:t>后</w:t>
            </w:r>
            <w:r>
              <w:rPr>
                <w:rFonts w:hint="eastAsia" w:ascii="宋体" w:hAnsi="宋体" w:cs="宋体"/>
                <w:color w:val="auto"/>
                <w:sz w:val="22"/>
                <w:szCs w:val="22"/>
                <w:highlight w:val="none"/>
                <w:u w:val="single"/>
                <w:vertAlign w:val="baseline"/>
                <w:lang w:val="en-US" w:eastAsia="zh-CN"/>
              </w:rPr>
              <w:t>3</w:t>
            </w:r>
            <w:r>
              <w:rPr>
                <w:rFonts w:hint="eastAsia" w:ascii="宋体" w:hAnsi="宋体" w:cs="宋体"/>
                <w:color w:val="auto"/>
                <w:sz w:val="22"/>
                <w:szCs w:val="22"/>
                <w:highlight w:val="none"/>
                <w:u w:val="single"/>
                <w:vertAlign w:val="baseline"/>
                <w:lang w:eastAsia="zh-CN"/>
              </w:rPr>
              <w:t>个日历天</w:t>
            </w:r>
            <w:r>
              <w:rPr>
                <w:rFonts w:hint="eastAsia" w:ascii="宋体" w:hAnsi="宋体" w:cs="宋体"/>
                <w:color w:val="auto"/>
                <w:sz w:val="22"/>
                <w:szCs w:val="22"/>
                <w:highlight w:val="none"/>
                <w:vertAlign w:val="baseline"/>
                <w:lang w:val="en-US" w:eastAsia="zh-CN"/>
              </w:rPr>
              <w:t>内提交修改意见。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51" w:type="dxa"/>
            <w:vMerge w:val="continue"/>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rPr>
            </w:pP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4</w:t>
            </w:r>
          </w:p>
        </w:tc>
        <w:tc>
          <w:tcPr>
            <w:tcW w:w="2919"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编制投资控制形象进度表。</w:t>
            </w:r>
          </w:p>
        </w:tc>
        <w:tc>
          <w:tcPr>
            <w:tcW w:w="4260"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eastAsia="zh-CN"/>
              </w:rPr>
              <w:t>按照委托人指令在</w:t>
            </w:r>
            <w:r>
              <w:rPr>
                <w:rFonts w:hint="eastAsia" w:ascii="宋体" w:hAnsi="宋体" w:cs="宋体"/>
                <w:color w:val="auto"/>
                <w:sz w:val="22"/>
                <w:szCs w:val="22"/>
                <w:highlight w:val="none"/>
                <w:u w:val="single"/>
                <w:vertAlign w:val="baseline"/>
                <w:lang w:val="en-US" w:eastAsia="zh-CN"/>
              </w:rPr>
              <w:t>3</w:t>
            </w:r>
            <w:r>
              <w:rPr>
                <w:rFonts w:hint="eastAsia" w:ascii="宋体" w:hAnsi="宋体" w:cs="宋体"/>
                <w:color w:val="auto"/>
                <w:sz w:val="22"/>
                <w:szCs w:val="22"/>
                <w:highlight w:val="none"/>
                <w:u w:val="single"/>
                <w:vertAlign w:val="baseline"/>
                <w:lang w:eastAsia="zh-CN"/>
              </w:rPr>
              <w:t>个日历</w:t>
            </w:r>
            <w:r>
              <w:rPr>
                <w:rFonts w:hint="eastAsia" w:ascii="宋体" w:hAnsi="宋体" w:cs="宋体"/>
                <w:color w:val="auto"/>
                <w:sz w:val="22"/>
                <w:szCs w:val="22"/>
                <w:highlight w:val="none"/>
                <w:vertAlign w:val="baseline"/>
                <w:lang w:val="en-US" w:eastAsia="zh-CN"/>
              </w:rPr>
              <w:t>天内提交。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451" w:type="dxa"/>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施工准备阶段</w:t>
            </w:r>
          </w:p>
        </w:tc>
        <w:tc>
          <w:tcPr>
            <w:tcW w:w="795" w:type="dxa"/>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6</w:t>
            </w:r>
          </w:p>
        </w:tc>
        <w:tc>
          <w:tcPr>
            <w:tcW w:w="2919" w:type="dxa"/>
            <w:noWrap w:val="0"/>
            <w:vAlign w:val="center"/>
          </w:tcPr>
          <w:p>
            <w:pPr>
              <w:keepNext/>
              <w:keepLines/>
              <w:wordWrap w:val="0"/>
              <w:spacing w:line="360" w:lineRule="auto"/>
              <w:jc w:val="both"/>
              <w:rPr>
                <w:rFonts w:hint="eastAsia" w:ascii="宋体" w:hAnsi="宋体" w:cs="宋体"/>
                <w:color w:val="auto"/>
                <w:sz w:val="22"/>
                <w:szCs w:val="22"/>
                <w:highlight w:val="none"/>
                <w:vertAlign w:val="baseline"/>
                <w:lang w:eastAsia="zh-CN"/>
              </w:rPr>
            </w:pPr>
            <w:r>
              <w:rPr>
                <w:rFonts w:hint="eastAsia" w:ascii="宋体" w:hAnsi="宋体" w:cs="宋体"/>
                <w:color w:val="auto"/>
                <w:sz w:val="22"/>
                <w:szCs w:val="22"/>
                <w:highlight w:val="none"/>
                <w:lang w:val="en-US" w:eastAsia="zh-CN"/>
              </w:rPr>
              <w:t>开工前</w:t>
            </w:r>
            <w:r>
              <w:rPr>
                <w:rFonts w:hint="eastAsia" w:ascii="宋体" w:hAnsi="宋体" w:cs="宋体"/>
                <w:color w:val="auto"/>
                <w:sz w:val="22"/>
                <w:szCs w:val="22"/>
                <w:highlight w:val="none"/>
                <w:lang w:eastAsia="zh-CN"/>
              </w:rPr>
              <w:t>“三通一平”工程量</w:t>
            </w:r>
            <w:r>
              <w:rPr>
                <w:rFonts w:hint="eastAsia" w:ascii="宋体" w:hAnsi="宋体" w:cs="宋体"/>
                <w:color w:val="auto"/>
                <w:sz w:val="22"/>
                <w:szCs w:val="22"/>
                <w:highlight w:val="none"/>
              </w:rPr>
              <w:t>统计、复核和现场核实</w:t>
            </w:r>
            <w:r>
              <w:rPr>
                <w:rFonts w:hint="eastAsia" w:ascii="宋体" w:hAnsi="宋体" w:cs="宋体"/>
                <w:color w:val="auto"/>
                <w:sz w:val="22"/>
                <w:szCs w:val="22"/>
                <w:highlight w:val="none"/>
                <w:lang w:eastAsia="zh-CN"/>
              </w:rPr>
              <w:t>（如需）</w:t>
            </w:r>
            <w:r>
              <w:rPr>
                <w:rFonts w:hint="eastAsia" w:ascii="宋体" w:hAnsi="宋体" w:cs="宋体"/>
                <w:color w:val="auto"/>
                <w:sz w:val="22"/>
                <w:szCs w:val="22"/>
                <w:highlight w:val="none"/>
              </w:rPr>
              <w:t>。</w:t>
            </w:r>
          </w:p>
        </w:tc>
        <w:tc>
          <w:tcPr>
            <w:tcW w:w="4260" w:type="dxa"/>
            <w:noWrap w:val="0"/>
            <w:vAlign w:val="center"/>
          </w:tcPr>
          <w:p>
            <w:pPr>
              <w:keepNext/>
              <w:keepLines/>
              <w:wordWrap w:val="0"/>
              <w:spacing w:line="360" w:lineRule="auto"/>
              <w:jc w:val="both"/>
              <w:rPr>
                <w:rFonts w:hint="eastAsia" w:ascii="宋体" w:hAnsi="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rPr>
              <w:t>接到相关资料</w:t>
            </w:r>
            <w:r>
              <w:rPr>
                <w:rFonts w:hint="eastAsia" w:ascii="宋体" w:hAnsi="宋体" w:cs="宋体"/>
                <w:color w:val="auto"/>
                <w:sz w:val="22"/>
                <w:szCs w:val="22"/>
                <w:highlight w:val="none"/>
                <w:u w:val="none"/>
                <w:vertAlign w:val="baseline"/>
                <w:lang w:val="en-US" w:eastAsia="zh-CN"/>
              </w:rPr>
              <w:t>3</w:t>
            </w:r>
            <w:r>
              <w:rPr>
                <w:rFonts w:hint="eastAsia" w:ascii="宋体" w:hAnsi="宋体" w:cs="宋体"/>
                <w:color w:val="auto"/>
                <w:sz w:val="22"/>
                <w:szCs w:val="22"/>
                <w:highlight w:val="none"/>
                <w:u w:val="none"/>
                <w:vertAlign w:val="baseline"/>
                <w:lang w:eastAsia="zh-CN"/>
              </w:rPr>
              <w:t>个日历天</w:t>
            </w:r>
            <w:r>
              <w:rPr>
                <w:rFonts w:hint="eastAsia" w:ascii="宋体" w:hAnsi="宋体" w:cs="宋体"/>
                <w:color w:val="auto"/>
                <w:sz w:val="22"/>
                <w:szCs w:val="22"/>
                <w:highlight w:val="none"/>
                <w:vertAlign w:val="baseline"/>
              </w:rPr>
              <w:t>内提交</w:t>
            </w:r>
            <w:r>
              <w:rPr>
                <w:rFonts w:hint="eastAsia" w:ascii="宋体" w:hAnsi="宋体" w:cs="宋体"/>
                <w:color w:val="auto"/>
                <w:sz w:val="22"/>
                <w:szCs w:val="22"/>
                <w:highlight w:val="none"/>
                <w:vertAlign w:val="baseline"/>
                <w:lang w:eastAsia="zh-CN"/>
              </w:rPr>
              <w:t>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1451" w:type="dxa"/>
            <w:vMerge w:val="restart"/>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施工阶段</w:t>
            </w: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7</w:t>
            </w:r>
          </w:p>
        </w:tc>
        <w:tc>
          <w:tcPr>
            <w:tcW w:w="2919"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施工过程中，参与工程量及工程进度及工程进度款支付的复核工作。</w:t>
            </w:r>
          </w:p>
        </w:tc>
        <w:tc>
          <w:tcPr>
            <w:tcW w:w="4260"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施工全过程，</w:t>
            </w:r>
            <w:r>
              <w:rPr>
                <w:rFonts w:hint="eastAsia" w:ascii="宋体" w:hAnsi="宋体" w:cs="宋体"/>
                <w:color w:val="auto"/>
                <w:sz w:val="22"/>
                <w:szCs w:val="22"/>
                <w:highlight w:val="none"/>
                <w:vertAlign w:val="baseline"/>
              </w:rPr>
              <w:t>接到相关资料</w:t>
            </w:r>
            <w:r>
              <w:rPr>
                <w:rFonts w:hint="eastAsia" w:ascii="宋体" w:hAnsi="宋体" w:cs="宋体"/>
                <w:color w:val="auto"/>
                <w:sz w:val="22"/>
                <w:szCs w:val="22"/>
                <w:highlight w:val="none"/>
                <w:u w:val="none"/>
                <w:vertAlign w:val="baseline"/>
                <w:lang w:val="en-US" w:eastAsia="zh-CN"/>
              </w:rPr>
              <w:t>3</w:t>
            </w:r>
            <w:r>
              <w:rPr>
                <w:rFonts w:hint="eastAsia" w:ascii="宋体" w:hAnsi="宋体" w:cs="宋体"/>
                <w:color w:val="auto"/>
                <w:sz w:val="22"/>
                <w:szCs w:val="22"/>
                <w:highlight w:val="none"/>
                <w:u w:val="none"/>
                <w:vertAlign w:val="baseline"/>
                <w:lang w:eastAsia="zh-CN"/>
              </w:rPr>
              <w:t>个日历天</w:t>
            </w:r>
            <w:r>
              <w:rPr>
                <w:rFonts w:hint="eastAsia" w:ascii="宋体" w:hAnsi="宋体" w:cs="宋体"/>
                <w:color w:val="auto"/>
                <w:sz w:val="22"/>
                <w:szCs w:val="22"/>
                <w:highlight w:val="none"/>
                <w:vertAlign w:val="baseline"/>
              </w:rPr>
              <w:t>内提交</w:t>
            </w:r>
            <w:r>
              <w:rPr>
                <w:rFonts w:hint="eastAsia" w:ascii="宋体" w:hAnsi="宋体" w:cs="宋体"/>
                <w:color w:val="auto"/>
                <w:sz w:val="22"/>
                <w:szCs w:val="22"/>
                <w:highlight w:val="none"/>
                <w:vertAlign w:val="baseline"/>
                <w:lang w:eastAsia="zh-CN"/>
              </w:rPr>
              <w:t>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1451" w:type="dxa"/>
            <w:vMerge w:val="continue"/>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rPr>
            </w:pP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8</w:t>
            </w:r>
          </w:p>
        </w:tc>
        <w:tc>
          <w:tcPr>
            <w:tcW w:w="2919"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参与工程变更及现场签证的计量、计价复核工作；负责与施工单位进行对数。</w:t>
            </w:r>
          </w:p>
        </w:tc>
        <w:tc>
          <w:tcPr>
            <w:tcW w:w="4260" w:type="dxa"/>
            <w:noWrap w:val="0"/>
            <w:vAlign w:val="center"/>
          </w:tcPr>
          <w:p>
            <w:pPr>
              <w:keepNext/>
              <w:keepLines/>
              <w:wordWrap w:val="0"/>
              <w:spacing w:line="360" w:lineRule="auto"/>
              <w:jc w:val="both"/>
              <w:rPr>
                <w:rFonts w:hint="eastAsia" w:ascii="宋体" w:hAnsi="宋体" w:cs="宋体"/>
                <w:color w:val="auto"/>
                <w:sz w:val="22"/>
                <w:szCs w:val="22"/>
                <w:highlight w:val="none"/>
                <w:vertAlign w:val="baseline"/>
              </w:rPr>
            </w:pPr>
            <w:r>
              <w:rPr>
                <w:rFonts w:hint="eastAsia" w:ascii="宋体" w:hAnsi="宋体" w:cs="宋体"/>
                <w:color w:val="auto"/>
                <w:sz w:val="22"/>
                <w:szCs w:val="22"/>
                <w:highlight w:val="none"/>
                <w:vertAlign w:val="baseline"/>
                <w:lang w:eastAsia="zh-CN"/>
              </w:rPr>
              <w:t>施工全过程，</w:t>
            </w:r>
            <w:r>
              <w:rPr>
                <w:rFonts w:hint="eastAsia" w:ascii="宋体" w:hAnsi="宋体" w:cs="宋体"/>
                <w:color w:val="auto"/>
                <w:sz w:val="22"/>
                <w:szCs w:val="22"/>
                <w:highlight w:val="none"/>
                <w:vertAlign w:val="baseline"/>
              </w:rPr>
              <w:t>接到相关资料</w:t>
            </w:r>
            <w:r>
              <w:rPr>
                <w:rFonts w:hint="eastAsia" w:ascii="宋体" w:hAnsi="宋体" w:cs="宋体"/>
                <w:color w:val="auto"/>
                <w:sz w:val="22"/>
                <w:szCs w:val="22"/>
                <w:highlight w:val="none"/>
                <w:u w:val="none"/>
                <w:vertAlign w:val="baseline"/>
                <w:lang w:val="en-US" w:eastAsia="zh-CN"/>
              </w:rPr>
              <w:t>3</w:t>
            </w:r>
            <w:r>
              <w:rPr>
                <w:rFonts w:hint="eastAsia" w:ascii="宋体" w:hAnsi="宋体" w:cs="宋体"/>
                <w:color w:val="auto"/>
                <w:sz w:val="22"/>
                <w:szCs w:val="22"/>
                <w:highlight w:val="none"/>
                <w:u w:val="none"/>
                <w:vertAlign w:val="baseline"/>
                <w:lang w:eastAsia="zh-CN"/>
              </w:rPr>
              <w:t>个日历天</w:t>
            </w:r>
            <w:r>
              <w:rPr>
                <w:rFonts w:hint="eastAsia" w:ascii="宋体" w:hAnsi="宋体" w:cs="宋体"/>
                <w:color w:val="auto"/>
                <w:sz w:val="22"/>
                <w:szCs w:val="22"/>
                <w:highlight w:val="none"/>
                <w:vertAlign w:val="baseline"/>
              </w:rPr>
              <w:t>内提交</w:t>
            </w:r>
            <w:r>
              <w:rPr>
                <w:rFonts w:hint="eastAsia" w:ascii="宋体" w:hAnsi="宋体" w:cs="宋体"/>
                <w:color w:val="auto"/>
                <w:sz w:val="22"/>
                <w:szCs w:val="22"/>
                <w:highlight w:val="none"/>
                <w:vertAlign w:val="baseline"/>
                <w:lang w:eastAsia="zh-CN"/>
              </w:rPr>
              <w:t>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451" w:type="dxa"/>
            <w:vMerge w:val="continue"/>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rPr>
            </w:pPr>
          </w:p>
        </w:tc>
        <w:tc>
          <w:tcPr>
            <w:tcW w:w="795" w:type="dxa"/>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9</w:t>
            </w:r>
          </w:p>
        </w:tc>
        <w:tc>
          <w:tcPr>
            <w:tcW w:w="2919"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其他工程造价技术咨询等。</w:t>
            </w:r>
          </w:p>
        </w:tc>
        <w:tc>
          <w:tcPr>
            <w:tcW w:w="4260" w:type="dxa"/>
            <w:noWrap w:val="0"/>
            <w:vAlign w:val="center"/>
          </w:tcPr>
          <w:p>
            <w:pPr>
              <w:keepNext/>
              <w:keepLines/>
              <w:wordWrap w:val="0"/>
              <w:spacing w:line="360" w:lineRule="auto"/>
              <w:jc w:val="both"/>
              <w:rPr>
                <w:rFonts w:hint="eastAsia" w:ascii="宋体" w:hAnsi="宋体" w:cs="宋体"/>
                <w:color w:val="auto"/>
                <w:sz w:val="22"/>
                <w:szCs w:val="22"/>
                <w:highlight w:val="none"/>
                <w:vertAlign w:val="baseline"/>
              </w:rPr>
            </w:pPr>
            <w:r>
              <w:rPr>
                <w:rFonts w:hint="eastAsia" w:ascii="宋体" w:hAnsi="宋体" w:cs="宋体"/>
                <w:color w:val="auto"/>
                <w:sz w:val="22"/>
                <w:szCs w:val="22"/>
                <w:highlight w:val="none"/>
                <w:vertAlign w:val="baseline"/>
                <w:lang w:eastAsia="zh-CN"/>
              </w:rPr>
              <w:t>施工全过程，按照委托人指令在</w:t>
            </w:r>
            <w:r>
              <w:rPr>
                <w:rFonts w:hint="eastAsia" w:ascii="宋体" w:hAnsi="宋体" w:cs="宋体"/>
                <w:color w:val="auto"/>
                <w:sz w:val="22"/>
                <w:szCs w:val="22"/>
                <w:highlight w:val="none"/>
                <w:u w:val="none"/>
                <w:vertAlign w:val="baseline"/>
                <w:lang w:val="en-US" w:eastAsia="zh-CN"/>
              </w:rPr>
              <w:t>5</w:t>
            </w:r>
            <w:r>
              <w:rPr>
                <w:rFonts w:hint="eastAsia" w:ascii="宋体" w:hAnsi="宋体" w:cs="宋体"/>
                <w:color w:val="auto"/>
                <w:sz w:val="22"/>
                <w:szCs w:val="22"/>
                <w:highlight w:val="none"/>
                <w:u w:val="none"/>
                <w:vertAlign w:val="baseline"/>
                <w:lang w:eastAsia="zh-CN"/>
              </w:rPr>
              <w:t>个日历天</w:t>
            </w:r>
            <w:r>
              <w:rPr>
                <w:rFonts w:hint="eastAsia" w:ascii="宋体" w:hAnsi="宋体" w:cs="宋体"/>
                <w:color w:val="auto"/>
                <w:sz w:val="22"/>
                <w:szCs w:val="22"/>
                <w:highlight w:val="none"/>
                <w:vertAlign w:val="baseline"/>
              </w:rPr>
              <w:t>内</w:t>
            </w:r>
            <w:r>
              <w:rPr>
                <w:rFonts w:hint="eastAsia" w:ascii="宋体" w:hAnsi="宋体" w:cs="宋体"/>
                <w:color w:val="auto"/>
                <w:sz w:val="22"/>
                <w:szCs w:val="22"/>
                <w:highlight w:val="none"/>
                <w:vertAlign w:val="baseline"/>
                <w:lang w:val="en-US" w:eastAsia="zh-CN"/>
              </w:rPr>
              <w:t>提交相应报告。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451" w:type="dxa"/>
            <w:vMerge w:val="restart"/>
            <w:noWrap w:val="0"/>
            <w:vAlign w:val="center"/>
          </w:tcPr>
          <w:p>
            <w:pPr>
              <w:keepNext/>
              <w:keepLines/>
              <w:wordWrap w:val="0"/>
              <w:spacing w:line="360" w:lineRule="auto"/>
              <w:jc w:val="center"/>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结算阶段</w:t>
            </w:r>
          </w:p>
        </w:tc>
        <w:tc>
          <w:tcPr>
            <w:tcW w:w="795" w:type="dxa"/>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10</w:t>
            </w:r>
          </w:p>
        </w:tc>
        <w:tc>
          <w:tcPr>
            <w:tcW w:w="2919" w:type="dxa"/>
            <w:noWrap w:val="0"/>
            <w:vAlign w:val="center"/>
          </w:tcPr>
          <w:p>
            <w:pPr>
              <w:keepNext/>
              <w:keepLines/>
              <w:wordWrap w:val="0"/>
              <w:spacing w:line="360" w:lineRule="auto"/>
              <w:jc w:val="both"/>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eastAsia="zh-CN"/>
              </w:rPr>
              <w:t>依据竣工图、签证资料、工程结算书等进行初步审核，出具工程结算审核报告，完成结算</w:t>
            </w:r>
            <w:r>
              <w:rPr>
                <w:rFonts w:hint="eastAsia" w:ascii="宋体" w:hAnsi="宋体" w:cs="宋体"/>
                <w:color w:val="auto"/>
                <w:sz w:val="22"/>
                <w:szCs w:val="22"/>
                <w:highlight w:val="none"/>
                <w:vertAlign w:val="baseline"/>
                <w:lang w:val="en-US" w:eastAsia="zh-CN"/>
              </w:rPr>
              <w:t>编制、</w:t>
            </w:r>
            <w:r>
              <w:rPr>
                <w:rFonts w:hint="eastAsia" w:ascii="宋体" w:hAnsi="宋体" w:cs="宋体"/>
                <w:color w:val="auto"/>
                <w:sz w:val="22"/>
                <w:szCs w:val="22"/>
                <w:highlight w:val="none"/>
                <w:vertAlign w:val="baseline"/>
                <w:lang w:eastAsia="zh-CN"/>
              </w:rPr>
              <w:t>审核、审计工作</w:t>
            </w:r>
            <w:r>
              <w:rPr>
                <w:rFonts w:hint="eastAsia" w:ascii="宋体" w:hAnsi="宋体" w:cs="宋体"/>
                <w:color w:val="auto"/>
                <w:sz w:val="22"/>
                <w:szCs w:val="22"/>
                <w:highlight w:val="none"/>
                <w:vertAlign w:val="baseline"/>
                <w:lang w:val="en-US" w:eastAsia="zh-CN"/>
              </w:rPr>
              <w:t>。</w:t>
            </w:r>
          </w:p>
        </w:tc>
        <w:tc>
          <w:tcPr>
            <w:tcW w:w="4260" w:type="dxa"/>
            <w:noWrap w:val="0"/>
            <w:vAlign w:val="center"/>
          </w:tcPr>
          <w:p>
            <w:pPr>
              <w:keepNext/>
              <w:keepLines/>
              <w:wordWrap w:val="0"/>
              <w:spacing w:line="360" w:lineRule="auto"/>
              <w:jc w:val="both"/>
              <w:rPr>
                <w:rFonts w:hint="eastAsia" w:ascii="宋体" w:hAnsi="宋体" w:eastAsia="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自接到相关资料</w:t>
            </w:r>
            <w:r>
              <w:rPr>
                <w:rFonts w:hint="eastAsia" w:ascii="宋体" w:hAnsi="宋体" w:cs="宋体"/>
                <w:color w:val="auto"/>
                <w:sz w:val="22"/>
                <w:szCs w:val="22"/>
                <w:highlight w:val="none"/>
                <w:u w:val="single"/>
                <w:vertAlign w:val="baseline"/>
                <w:lang w:val="en-US" w:eastAsia="zh-CN"/>
              </w:rPr>
              <w:t>30</w:t>
            </w:r>
            <w:r>
              <w:rPr>
                <w:rFonts w:hint="eastAsia" w:ascii="宋体" w:hAnsi="宋体" w:cs="宋体"/>
                <w:color w:val="auto"/>
                <w:sz w:val="22"/>
                <w:szCs w:val="22"/>
                <w:highlight w:val="none"/>
                <w:u w:val="single"/>
                <w:vertAlign w:val="baseline"/>
                <w:lang w:eastAsia="zh-CN"/>
              </w:rPr>
              <w:t>个日历天</w:t>
            </w:r>
            <w:r>
              <w:rPr>
                <w:rFonts w:hint="eastAsia" w:ascii="宋体" w:hAnsi="宋体" w:cs="宋体"/>
                <w:color w:val="auto"/>
                <w:sz w:val="22"/>
                <w:szCs w:val="22"/>
                <w:highlight w:val="none"/>
                <w:vertAlign w:val="baseline"/>
                <w:lang w:eastAsia="zh-CN"/>
              </w:rPr>
              <w:t>内提交</w:t>
            </w:r>
            <w:r>
              <w:rPr>
                <w:rFonts w:hint="eastAsia" w:ascii="宋体" w:hAnsi="宋体" w:cs="宋体"/>
                <w:color w:val="auto"/>
                <w:sz w:val="22"/>
                <w:szCs w:val="22"/>
                <w:highlight w:val="none"/>
                <w:lang w:eastAsia="zh-CN"/>
              </w:rPr>
              <w:t>工程结算审核报告</w:t>
            </w:r>
            <w:r>
              <w:rPr>
                <w:rFonts w:hint="eastAsia" w:ascii="宋体" w:hAnsi="宋体" w:eastAsia="宋体" w:cs="宋体"/>
                <w:color w:val="auto"/>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451" w:type="dxa"/>
            <w:vMerge w:val="continue"/>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rPr>
            </w:pPr>
          </w:p>
        </w:tc>
        <w:tc>
          <w:tcPr>
            <w:tcW w:w="795" w:type="dxa"/>
            <w:noWrap w:val="0"/>
            <w:vAlign w:val="center"/>
          </w:tcPr>
          <w:p>
            <w:pPr>
              <w:keepNext/>
              <w:keepLines/>
              <w:wordWrap w:val="0"/>
              <w:spacing w:line="360" w:lineRule="auto"/>
              <w:jc w:val="center"/>
              <w:rPr>
                <w:rFonts w:hint="eastAsia" w:ascii="宋体" w:hAnsi="宋体" w:cs="宋体"/>
                <w:color w:val="auto"/>
                <w:sz w:val="22"/>
                <w:szCs w:val="22"/>
                <w:highlight w:val="none"/>
                <w:vertAlign w:val="baseline"/>
                <w:lang w:val="en-US" w:eastAsia="zh-CN"/>
              </w:rPr>
            </w:pPr>
            <w:r>
              <w:rPr>
                <w:rFonts w:hint="eastAsia" w:ascii="宋体" w:hAnsi="宋体" w:cs="宋体"/>
                <w:color w:val="auto"/>
                <w:sz w:val="22"/>
                <w:szCs w:val="22"/>
                <w:highlight w:val="none"/>
                <w:vertAlign w:val="baseline"/>
                <w:lang w:val="en-US" w:eastAsia="zh-CN"/>
              </w:rPr>
              <w:t>11</w:t>
            </w:r>
          </w:p>
        </w:tc>
        <w:tc>
          <w:tcPr>
            <w:tcW w:w="2919" w:type="dxa"/>
            <w:noWrap w:val="0"/>
            <w:vAlign w:val="center"/>
          </w:tcPr>
          <w:p>
            <w:pPr>
              <w:keepNext/>
              <w:keepLines/>
              <w:wordWrap w:val="0"/>
              <w:spacing w:line="360" w:lineRule="auto"/>
              <w:jc w:val="both"/>
              <w:rPr>
                <w:rFonts w:hint="eastAsia" w:ascii="宋体" w:hAnsi="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结算完成后，协助委托人进行经济技术指标分析。</w:t>
            </w:r>
          </w:p>
        </w:tc>
        <w:tc>
          <w:tcPr>
            <w:tcW w:w="4260" w:type="dxa"/>
            <w:noWrap w:val="0"/>
            <w:vAlign w:val="center"/>
          </w:tcPr>
          <w:p>
            <w:pPr>
              <w:keepNext/>
              <w:keepLines/>
              <w:wordWrap w:val="0"/>
              <w:spacing w:line="360" w:lineRule="auto"/>
              <w:jc w:val="both"/>
              <w:rPr>
                <w:rFonts w:hint="eastAsia" w:ascii="宋体" w:hAnsi="宋体" w:cs="宋体"/>
                <w:color w:val="auto"/>
                <w:sz w:val="22"/>
                <w:szCs w:val="22"/>
                <w:highlight w:val="none"/>
                <w:vertAlign w:val="baseline"/>
                <w:lang w:eastAsia="zh-CN"/>
              </w:rPr>
            </w:pPr>
            <w:r>
              <w:rPr>
                <w:rFonts w:hint="eastAsia" w:ascii="宋体" w:hAnsi="宋体" w:cs="宋体"/>
                <w:color w:val="auto"/>
                <w:sz w:val="22"/>
                <w:szCs w:val="22"/>
                <w:highlight w:val="none"/>
                <w:vertAlign w:val="baseline"/>
                <w:lang w:eastAsia="zh-CN"/>
              </w:rPr>
              <w:t>自接到相关资料后</w:t>
            </w:r>
            <w:r>
              <w:rPr>
                <w:rFonts w:hint="eastAsia" w:ascii="宋体" w:hAnsi="宋体" w:cs="宋体"/>
                <w:color w:val="auto"/>
                <w:sz w:val="22"/>
                <w:szCs w:val="22"/>
                <w:highlight w:val="none"/>
                <w:u w:val="single"/>
                <w:vertAlign w:val="baseline"/>
              </w:rPr>
              <w:t>5</w:t>
            </w:r>
            <w:r>
              <w:rPr>
                <w:rFonts w:hint="eastAsia" w:ascii="宋体" w:hAnsi="宋体" w:cs="宋体"/>
                <w:color w:val="auto"/>
                <w:sz w:val="22"/>
                <w:szCs w:val="22"/>
                <w:highlight w:val="none"/>
                <w:u w:val="single"/>
                <w:vertAlign w:val="baseline"/>
                <w:lang w:eastAsia="zh-CN"/>
              </w:rPr>
              <w:t>个日历天</w:t>
            </w:r>
            <w:r>
              <w:rPr>
                <w:rFonts w:hint="eastAsia" w:ascii="宋体" w:hAnsi="宋体" w:cs="宋体"/>
                <w:color w:val="auto"/>
                <w:sz w:val="22"/>
                <w:szCs w:val="22"/>
                <w:highlight w:val="none"/>
                <w:vertAlign w:val="baseline"/>
                <w:lang w:eastAsia="zh-CN"/>
              </w:rPr>
              <w:t>内提交经济技术指标分析报告。</w:t>
            </w:r>
          </w:p>
        </w:tc>
      </w:tr>
    </w:tbl>
    <w:p>
      <w:pPr>
        <w:keepNext/>
        <w:spacing w:after="313" w:afterLines="100" w:line="360" w:lineRule="auto"/>
        <w:ind w:firstLine="440" w:firstLineChars="200"/>
        <w:jc w:val="left"/>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注：如委托人对工作时间另有要求时，咨询人必须按照委托人的要求执行。</w:t>
      </w:r>
    </w:p>
    <w:p>
      <w:pPr>
        <w:pStyle w:val="59"/>
        <w:keepNext w:val="0"/>
        <w:keepLines w:val="0"/>
        <w:pageBreakBefore w:val="0"/>
        <w:widowControl/>
        <w:kinsoku/>
        <w:wordWrap/>
        <w:overflowPunct/>
        <w:topLinePunct w:val="0"/>
        <w:autoSpaceDE/>
        <w:autoSpaceDN/>
        <w:bidi w:val="0"/>
        <w:adjustRightInd/>
        <w:snapToGrid/>
        <w:spacing w:line="360" w:lineRule="auto"/>
        <w:ind w:left="0" w:leftChars="0" w:right="0" w:rightChars="0" w:firstLine="442" w:firstLineChars="200"/>
        <w:textAlignment w:val="auto"/>
        <w:outlineLvl w:val="2"/>
        <w:rPr>
          <w:rFonts w:hint="eastAsia" w:ascii="宋体" w:hAnsi="宋体" w:cs="宋体"/>
          <w:b/>
          <w:bCs/>
          <w:color w:val="auto"/>
          <w:sz w:val="22"/>
          <w:szCs w:val="22"/>
          <w:highlight w:val="none"/>
          <w:lang w:eastAsia="zh-CN"/>
        </w:rPr>
      </w:pPr>
      <w:r>
        <w:rPr>
          <w:rFonts w:hint="eastAsia" w:ascii="宋体" w:hAnsi="宋体" w:cs="宋体"/>
          <w:b/>
          <w:bCs/>
          <w:color w:val="auto"/>
          <w:sz w:val="22"/>
          <w:szCs w:val="22"/>
          <w:highlight w:val="none"/>
          <w:lang w:val="en-US" w:eastAsia="zh-CN"/>
        </w:rPr>
        <w:t>三</w:t>
      </w:r>
      <w:r>
        <w:rPr>
          <w:rFonts w:hint="eastAsia" w:ascii="宋体" w:hAnsi="宋体" w:cs="宋体"/>
          <w:b/>
          <w:bCs/>
          <w:color w:val="auto"/>
          <w:sz w:val="22"/>
          <w:szCs w:val="22"/>
          <w:highlight w:val="none"/>
          <w:lang w:eastAsia="zh-CN"/>
        </w:rPr>
        <w:t>、造价咨询服务质量标准</w:t>
      </w:r>
    </w:p>
    <w:p>
      <w:pPr>
        <w:pStyle w:val="59"/>
        <w:pageBreakBefore w:val="0"/>
        <w:topLinePunct w:val="0"/>
        <w:bidi w:val="0"/>
        <w:spacing w:line="360" w:lineRule="auto"/>
        <w:ind w:left="0" w:leftChars="0" w:right="0" w:rightChars="0" w:firstLine="480"/>
        <w:rPr>
          <w:rFonts w:hint="eastAsia" w:ascii="宋体" w:hAnsi="宋体" w:eastAsia="宋体" w:cs="宋体"/>
          <w:color w:val="auto"/>
          <w:sz w:val="24"/>
          <w:szCs w:val="24"/>
          <w:highlight w:val="none"/>
        </w:rPr>
      </w:pPr>
      <w:r>
        <w:rPr>
          <w:rFonts w:hint="eastAsia" w:ascii="宋体" w:hAnsi="宋体" w:cs="宋体"/>
          <w:color w:val="auto"/>
          <w:sz w:val="22"/>
          <w:szCs w:val="22"/>
          <w:highlight w:val="none"/>
        </w:rPr>
        <w:t>按国家、省、市颁布的法律、法规及造价标准、定额、规范的规定，结合本项目的相关造价管理文件及</w:t>
      </w:r>
      <w:r>
        <w:rPr>
          <w:rFonts w:hint="eastAsia" w:ascii="宋体" w:hAnsi="宋体" w:eastAsia="宋体" w:cs="宋体"/>
          <w:color w:val="auto"/>
          <w:sz w:val="22"/>
          <w:szCs w:val="22"/>
          <w:highlight w:val="none"/>
        </w:rPr>
        <w:t>委托人</w:t>
      </w:r>
      <w:r>
        <w:rPr>
          <w:rFonts w:hint="eastAsia" w:ascii="宋体" w:hAnsi="宋体" w:cs="宋体"/>
          <w:color w:val="auto"/>
          <w:sz w:val="22"/>
          <w:szCs w:val="22"/>
          <w:highlight w:val="none"/>
        </w:rPr>
        <w:t>的相关要求。各标准、文件要求不一致的，以要求较高者为准。</w:t>
      </w:r>
      <w:r>
        <w:rPr>
          <w:rFonts w:hint="eastAsia" w:ascii="宋体" w:hAnsi="宋体" w:eastAsia="宋体" w:cs="宋体"/>
          <w:color w:val="auto"/>
          <w:sz w:val="22"/>
          <w:szCs w:val="22"/>
          <w:highlight w:val="none"/>
          <w:vertAlign w:val="baseline"/>
          <w:lang w:eastAsia="zh-CN"/>
        </w:rPr>
        <w:t>咨询人</w:t>
      </w:r>
      <w:r>
        <w:rPr>
          <w:rFonts w:hint="eastAsia" w:ascii="宋体" w:hAnsi="宋体" w:eastAsia="宋体" w:cs="宋体"/>
          <w:color w:val="auto"/>
          <w:sz w:val="22"/>
          <w:szCs w:val="22"/>
          <w:highlight w:val="none"/>
        </w:rPr>
        <w:t>对</w:t>
      </w:r>
      <w:r>
        <w:rPr>
          <w:rFonts w:hint="eastAsia" w:ascii="宋体" w:hAnsi="宋体" w:cs="宋体"/>
          <w:color w:val="auto"/>
          <w:sz w:val="22"/>
          <w:szCs w:val="22"/>
          <w:highlight w:val="none"/>
        </w:rPr>
        <w:t>造价成果的真实性、完整性、合法性等负全部责任。</w:t>
      </w:r>
    </w:p>
    <w:p>
      <w:pPr>
        <w:pStyle w:val="59"/>
        <w:spacing w:line="360" w:lineRule="auto"/>
        <w:ind w:firstLine="0"/>
        <w:rPr>
          <w:rFonts w:hint="eastAsia" w:ascii="宋体" w:hAnsi="宋体" w:eastAsia="宋体" w:cs="宋体"/>
          <w:color w:val="auto"/>
          <w:sz w:val="24"/>
          <w:szCs w:val="24"/>
          <w:highlight w:val="none"/>
          <w:lang w:val="en-US" w:eastAsia="zh-CN"/>
        </w:rPr>
      </w:pPr>
    </w:p>
    <w:p>
      <w:pPr>
        <w:pStyle w:val="9"/>
        <w:pageBreakBefore w:val="0"/>
        <w:topLinePunct w:val="0"/>
        <w:bidi w:val="0"/>
        <w:spacing w:line="360" w:lineRule="auto"/>
        <w:ind w:left="0" w:leftChars="0" w:right="0" w:rightChars="0"/>
        <w:rPr>
          <w:rFonts w:hint="eastAsia" w:ascii="宋体" w:hAnsi="宋体" w:cs="宋体"/>
          <w:b/>
          <w:color w:val="auto"/>
          <w:highlight w:val="none"/>
        </w:rPr>
      </w:pPr>
    </w:p>
    <w:p>
      <w:pPr>
        <w:pStyle w:val="9"/>
        <w:pageBreakBefore w:val="0"/>
        <w:topLinePunct w:val="0"/>
        <w:bidi w:val="0"/>
        <w:spacing w:line="360" w:lineRule="auto"/>
        <w:ind w:left="0" w:leftChars="0" w:right="0" w:rightChars="0"/>
        <w:rPr>
          <w:rFonts w:hint="eastAsia" w:ascii="宋体" w:hAnsi="宋体" w:cs="宋体"/>
          <w:b/>
          <w:color w:val="auto"/>
          <w:highlight w:val="none"/>
        </w:rPr>
      </w:pPr>
    </w:p>
    <w:p>
      <w:pPr>
        <w:rPr>
          <w:rFonts w:hint="eastAsia" w:ascii="宋体" w:hAnsi="宋体" w:cs="宋体"/>
          <w:b/>
          <w:color w:val="auto"/>
          <w:highlight w:val="none"/>
        </w:rPr>
      </w:pPr>
      <w:r>
        <w:rPr>
          <w:rFonts w:hint="eastAsia" w:ascii="宋体" w:hAnsi="宋体" w:cs="宋体"/>
          <w:b/>
          <w:color w:val="auto"/>
          <w:highlight w:val="none"/>
        </w:rPr>
        <w:br w:type="page"/>
      </w:r>
    </w:p>
    <w:p>
      <w:pPr>
        <w:rPr>
          <w:rFonts w:hint="eastAsia"/>
          <w:color w:val="auto"/>
          <w:highlight w:val="none"/>
        </w:rPr>
      </w:pPr>
    </w:p>
    <w:p>
      <w:pPr>
        <w:pStyle w:val="9"/>
        <w:pageBreakBefore w:val="0"/>
        <w:topLinePunct w:val="0"/>
        <w:bidi w:val="0"/>
        <w:spacing w:line="360" w:lineRule="auto"/>
        <w:ind w:left="0" w:leftChars="0" w:right="0" w:rightChars="0" w:firstLine="422"/>
        <w:outlineLvl w:val="2"/>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附件</w:t>
      </w:r>
      <w:r>
        <w:rPr>
          <w:rFonts w:hint="eastAsia" w:ascii="宋体" w:hAnsi="宋体" w:cs="宋体"/>
          <w:b/>
          <w:bCs/>
          <w:color w:val="auto"/>
          <w:kern w:val="0"/>
          <w:sz w:val="22"/>
          <w:szCs w:val="22"/>
          <w:highlight w:val="none"/>
          <w:lang w:eastAsia="zh-CN"/>
        </w:rPr>
        <w:t>一</w:t>
      </w:r>
      <w:r>
        <w:rPr>
          <w:rFonts w:hint="eastAsia" w:ascii="宋体" w:hAnsi="宋体" w:cs="宋体"/>
          <w:b/>
          <w:bCs/>
          <w:color w:val="auto"/>
          <w:kern w:val="0"/>
          <w:sz w:val="22"/>
          <w:szCs w:val="22"/>
          <w:highlight w:val="none"/>
        </w:rPr>
        <w:t>：工程造价咨询服务考核管理暂行办法</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为规范工程造价咨询服务管理工作，加强对造价咨询单位的动态管理，保证服务质量，提高工作效率、建立激励和淘汰机制，根据相关管理制度，特制定本考核管理办法。</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一、考核内容</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基本要求：人员配置及项目负责人是否符合合同要求、档案资枓是否完整有序保管。</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工作效率：是否按</w:t>
      </w:r>
      <w:r>
        <w:rPr>
          <w:rFonts w:hint="eastAsia" w:ascii="宋体" w:hAnsi="宋体" w:cs="宋体"/>
          <w:color w:val="auto"/>
          <w:sz w:val="22"/>
          <w:szCs w:val="22"/>
          <w:highlight w:val="none"/>
          <w:lang w:eastAsia="zh-CN"/>
        </w:rPr>
        <w:t>委托人</w:t>
      </w:r>
      <w:r>
        <w:rPr>
          <w:rFonts w:hint="eastAsia" w:ascii="宋体" w:hAnsi="宋体" w:cs="宋体"/>
          <w:color w:val="auto"/>
          <w:sz w:val="22"/>
          <w:szCs w:val="22"/>
          <w:highlight w:val="none"/>
        </w:rPr>
        <w:t>委托单要求的节点时间和总时间内提交相应成果文件。</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工作质量：造价咨询工作质量是否满足合同要求，全过程造价咨询服务是否满足合同要求。</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4</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履约配合：是否主动积极配合有关咨询服务工作，在保密及诚信方面的职业橾守。</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二、考核原则</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坚持客观公正，有利于推动工作的原则；</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坚持考核与经济利益挂钩的原则。</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三、考核方式</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考核组织及人员组成：考核由</w:t>
      </w:r>
      <w:r>
        <w:rPr>
          <w:rFonts w:hint="eastAsia" w:ascii="宋体" w:hAnsi="宋体" w:cs="宋体"/>
          <w:color w:val="auto"/>
          <w:sz w:val="22"/>
          <w:szCs w:val="22"/>
          <w:highlight w:val="none"/>
          <w:lang w:eastAsia="zh-CN"/>
        </w:rPr>
        <w:t>委托人</w:t>
      </w:r>
      <w:r>
        <w:rPr>
          <w:rFonts w:hint="eastAsia" w:ascii="宋体" w:hAnsi="宋体" w:cs="宋体"/>
          <w:color w:val="auto"/>
          <w:sz w:val="22"/>
          <w:szCs w:val="22"/>
          <w:highlight w:val="none"/>
        </w:rPr>
        <w:t>或</w:t>
      </w:r>
      <w:r>
        <w:rPr>
          <w:rFonts w:hint="eastAsia" w:ascii="宋体" w:hAnsi="宋体" w:cs="宋体"/>
          <w:color w:val="auto"/>
          <w:sz w:val="22"/>
          <w:szCs w:val="22"/>
          <w:highlight w:val="none"/>
          <w:lang w:eastAsia="zh-CN"/>
        </w:rPr>
        <w:t>委托人</w:t>
      </w:r>
      <w:r>
        <w:rPr>
          <w:rFonts w:hint="eastAsia" w:ascii="宋体" w:hAnsi="宋体" w:cs="宋体"/>
          <w:color w:val="auto"/>
          <w:sz w:val="22"/>
          <w:szCs w:val="22"/>
          <w:highlight w:val="none"/>
        </w:rPr>
        <w:t>委派的相关人员组成。</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考核方式：釆用定期综合评价，原则每年一次，具体时间根据实际情况确定。</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考核期间，应由造价咨询单位或项目负责人向考核小组提报评价期完成工作情况的书面汇报材料，并备齐评价期内完成任务的档案资枓。</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4</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考核报告：在考核工作结束后，由考核组长负责组织，相关人员配合，形成书面报告。考核结果向所有参评单位公布。</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四、评分细则</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按照《造价咨询服务考核评分细则》中的考评项目，对造价咨询单位按照评分表中规定的项目和要求进行评分。</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考评项目的考核分共计100分，考核小组拫据《造价咨询服务考核评分细则》认真对各单位进行评价，考核得分在90-100分为优秀（含90分）；考核得分在80-90分为良好（含80分)；考核得分在60-80(含60分)为一般；考核得分在60分（不含60分）以下为差。</w:t>
      </w:r>
    </w:p>
    <w:p>
      <w:pPr>
        <w:pStyle w:val="2"/>
        <w:spacing w:line="360" w:lineRule="auto"/>
        <w:rPr>
          <w:rFonts w:hint="eastAsia" w:ascii="宋体" w:hAnsi="宋体" w:eastAsia="宋体" w:cs="宋体"/>
          <w:color w:val="auto"/>
          <w:sz w:val="22"/>
          <w:szCs w:val="22"/>
          <w:highlight w:val="none"/>
        </w:rPr>
      </w:pP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五、奖惩</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 xml:space="preserve">. </w:t>
      </w:r>
      <w:r>
        <w:rPr>
          <w:rFonts w:hint="eastAsia" w:ascii="宋体" w:hAnsi="宋体" w:cs="宋体"/>
          <w:color w:val="auto"/>
          <w:sz w:val="22"/>
          <w:szCs w:val="22"/>
          <w:highlight w:val="none"/>
        </w:rPr>
        <w:t>如最终综合考核分均为差，或者对</w:t>
      </w:r>
      <w:r>
        <w:rPr>
          <w:rFonts w:hint="eastAsia" w:ascii="宋体" w:hAnsi="宋体" w:cs="宋体"/>
          <w:color w:val="auto"/>
          <w:sz w:val="22"/>
          <w:szCs w:val="22"/>
          <w:highlight w:val="none"/>
          <w:lang w:eastAsia="zh-CN"/>
        </w:rPr>
        <w:t>委托人</w:t>
      </w:r>
      <w:r>
        <w:rPr>
          <w:rFonts w:hint="eastAsia" w:ascii="宋体" w:hAnsi="宋体" w:cs="宋体"/>
          <w:color w:val="auto"/>
          <w:sz w:val="22"/>
          <w:szCs w:val="22"/>
          <w:highlight w:val="none"/>
        </w:rPr>
        <w:t>造成重大影响并形成经济损失，或收到有关部门处罚，以上情况任何一种情况发生，并对造价咨询单位处以</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10</w:t>
      </w:r>
      <w:r>
        <w:rPr>
          <w:rFonts w:hint="eastAsia" w:ascii="宋体" w:hAnsi="宋体" w:cs="宋体"/>
          <w:color w:val="auto"/>
          <w:sz w:val="22"/>
          <w:szCs w:val="22"/>
          <w:highlight w:val="none"/>
          <w:u w:val="single"/>
          <w:lang w:val="en-US" w:eastAsia="zh-CN"/>
        </w:rPr>
        <w:t xml:space="preserve"> </w:t>
      </w:r>
      <w:r>
        <w:rPr>
          <w:rFonts w:hint="eastAsia" w:ascii="宋体" w:hAnsi="宋体" w:cs="宋体"/>
          <w:color w:val="auto"/>
          <w:sz w:val="22"/>
          <w:szCs w:val="22"/>
          <w:highlight w:val="none"/>
          <w:u w:val="single"/>
        </w:rPr>
        <w:t>万元</w:t>
      </w:r>
      <w:r>
        <w:rPr>
          <w:rFonts w:hint="eastAsia" w:ascii="宋体" w:hAnsi="宋体" w:cs="宋体"/>
          <w:color w:val="auto"/>
          <w:sz w:val="22"/>
          <w:szCs w:val="22"/>
          <w:highlight w:val="none"/>
        </w:rPr>
        <w:t>罚款，并且</w:t>
      </w:r>
      <w:r>
        <w:rPr>
          <w:rFonts w:hint="eastAsia" w:ascii="宋体" w:hAnsi="宋体" w:cs="宋体"/>
          <w:color w:val="auto"/>
          <w:sz w:val="22"/>
          <w:szCs w:val="22"/>
          <w:highlight w:val="none"/>
          <w:lang w:eastAsia="zh-CN"/>
        </w:rPr>
        <w:t>委托人</w:t>
      </w:r>
      <w:r>
        <w:rPr>
          <w:rFonts w:hint="eastAsia" w:ascii="宋体" w:hAnsi="宋体" w:cs="宋体"/>
          <w:color w:val="auto"/>
          <w:sz w:val="22"/>
          <w:szCs w:val="22"/>
          <w:highlight w:val="none"/>
        </w:rPr>
        <w:t>有权按照合同相关条款调整合同工作范围或者终止合同、追偿损失。</w:t>
      </w:r>
    </w:p>
    <w:p>
      <w:pPr>
        <w:spacing w:line="360" w:lineRule="auto"/>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 如最终审定的结算造价</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核减率超过5%（不含5%）</w:t>
      </w:r>
      <w:r>
        <w:rPr>
          <w:rFonts w:hint="eastAsia" w:ascii="宋体" w:hAnsi="宋体" w:eastAsia="宋体" w:cs="宋体"/>
          <w:color w:val="auto"/>
          <w:sz w:val="22"/>
          <w:szCs w:val="22"/>
          <w:highlight w:val="none"/>
        </w:rPr>
        <w:t>，按超出5%部分的造价的</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%作为</w:t>
      </w:r>
      <w:r>
        <w:rPr>
          <w:rFonts w:hint="eastAsia" w:ascii="宋体" w:hAnsi="宋体" w:eastAsia="宋体" w:cs="宋体"/>
          <w:color w:val="auto"/>
          <w:sz w:val="22"/>
          <w:szCs w:val="22"/>
          <w:highlight w:val="none"/>
          <w:lang w:val="en-US" w:eastAsia="zh-CN"/>
        </w:rPr>
        <w:t>委托人</w:t>
      </w:r>
      <w:r>
        <w:rPr>
          <w:rFonts w:hint="eastAsia" w:ascii="宋体" w:hAnsi="宋体" w:eastAsia="宋体" w:cs="宋体"/>
          <w:color w:val="auto"/>
          <w:sz w:val="22"/>
          <w:szCs w:val="22"/>
          <w:highlight w:val="none"/>
        </w:rPr>
        <w:t>支付</w:t>
      </w:r>
      <w:r>
        <w:rPr>
          <w:rFonts w:hint="eastAsia" w:ascii="宋体" w:hAnsi="宋体" w:eastAsia="宋体" w:cs="宋体"/>
          <w:color w:val="auto"/>
          <w:sz w:val="22"/>
          <w:szCs w:val="22"/>
          <w:highlight w:val="none"/>
          <w:lang w:val="en-US" w:eastAsia="zh-CN"/>
        </w:rPr>
        <w:t>给咨询单位</w:t>
      </w:r>
      <w:r>
        <w:rPr>
          <w:rFonts w:hint="eastAsia" w:ascii="宋体" w:hAnsi="宋体" w:eastAsia="宋体" w:cs="宋体"/>
          <w:color w:val="auto"/>
          <w:sz w:val="22"/>
          <w:szCs w:val="22"/>
          <w:highlight w:val="none"/>
        </w:rPr>
        <w:t>额外的</w:t>
      </w:r>
      <w:r>
        <w:rPr>
          <w:rFonts w:hint="eastAsia" w:ascii="宋体" w:hAnsi="宋体" w:eastAsia="宋体" w:cs="宋体"/>
          <w:color w:val="auto"/>
          <w:sz w:val="22"/>
          <w:szCs w:val="22"/>
          <w:highlight w:val="none"/>
          <w:lang w:val="en-US" w:eastAsia="zh-CN"/>
        </w:rPr>
        <w:t>奖金</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核减率计算公式如下：</w:t>
      </w:r>
    </w:p>
    <w:p>
      <w:pPr>
        <w:pageBreakBefore w:val="0"/>
        <w:topLinePunct w:val="0"/>
        <w:bidi w:val="0"/>
        <w:spacing w:line="360" w:lineRule="auto"/>
        <w:ind w:left="0" w:leftChars="0" w:right="0" w:rightChars="0" w:firstLine="880" w:firstLineChars="400"/>
        <w:rPr>
          <w:rFonts w:hint="eastAsia" w:ascii="宋体" w:hAnsi="宋体" w:cs="宋体"/>
          <w:color w:val="auto"/>
          <w:sz w:val="22"/>
          <w:szCs w:val="22"/>
          <w:highlight w:val="none"/>
        </w:rPr>
      </w:pPr>
      <w:r>
        <w:rPr>
          <w:rFonts w:hint="eastAsia" w:ascii="宋体" w:hAnsi="宋体" w:eastAsia="宋体" w:cs="宋体"/>
          <w:i w:val="0"/>
          <w:iCs/>
          <w:color w:val="auto"/>
          <w:sz w:val="22"/>
          <w:szCs w:val="22"/>
          <w:highlight w:val="none"/>
          <w:lang w:val="en-US" w:eastAsia="zh-CN"/>
        </w:rPr>
        <w:t>核减率=</w:t>
      </w:r>
      <m:oMath>
        <m:f>
          <m:fPr>
            <m:ctrlPr>
              <w:rPr>
                <w:rFonts w:hint="eastAsia" w:ascii="Cambria Math" w:hAnsi="Cambria Math" w:eastAsia="宋体" w:cs="宋体"/>
                <w:i w:val="0"/>
                <w:iCs/>
                <w:color w:val="auto"/>
                <w:sz w:val="22"/>
                <w:szCs w:val="22"/>
                <w:highlight w:val="none"/>
              </w:rPr>
            </m:ctrlPr>
          </m:fPr>
          <m:num>
            <m:r>
              <m:rPr>
                <m:sty m:val="p"/>
              </m:rPr>
              <w:rPr>
                <w:rFonts w:hint="eastAsia" w:ascii="Cambria Math" w:hAnsi="Cambria Math" w:eastAsia="宋体" w:cs="宋体"/>
                <w:color w:val="auto"/>
                <w:sz w:val="22"/>
                <w:szCs w:val="22"/>
                <w:highlight w:val="none"/>
                <w:lang w:val="en-US" w:eastAsia="zh-CN"/>
              </w:rPr>
              <m:t>承包人送审结算造价−审定结算造价</m:t>
            </m:r>
            <m:ctrlPr>
              <w:rPr>
                <w:rFonts w:hint="eastAsia" w:ascii="Cambria Math" w:hAnsi="Cambria Math" w:eastAsia="宋体" w:cs="宋体"/>
                <w:i w:val="0"/>
                <w:iCs/>
                <w:color w:val="auto"/>
                <w:sz w:val="22"/>
                <w:szCs w:val="22"/>
                <w:highlight w:val="none"/>
              </w:rPr>
            </m:ctrlPr>
          </m:num>
          <m:den>
            <m:r>
              <m:rPr>
                <m:sty m:val="p"/>
              </m:rPr>
              <w:rPr>
                <w:rFonts w:hint="eastAsia" w:ascii="Cambria Math" w:hAnsi="Cambria Math" w:eastAsia="宋体" w:cs="宋体"/>
                <w:color w:val="auto"/>
                <w:sz w:val="22"/>
                <w:szCs w:val="22"/>
                <w:highlight w:val="none"/>
                <w:lang w:val="en-US" w:eastAsia="zh-CN"/>
              </w:rPr>
              <m:t>承包人送审结算造价</m:t>
            </m:r>
            <m:ctrlPr>
              <w:rPr>
                <w:rFonts w:hint="eastAsia" w:ascii="Cambria Math" w:hAnsi="Cambria Math" w:eastAsia="宋体" w:cs="宋体"/>
                <w:i w:val="0"/>
                <w:iCs/>
                <w:color w:val="auto"/>
                <w:sz w:val="22"/>
                <w:szCs w:val="22"/>
                <w:highlight w:val="none"/>
              </w:rPr>
            </m:ctrlPr>
          </m:den>
        </m:f>
      </m:oMath>
      <w:r>
        <w:rPr>
          <w:rFonts w:hint="eastAsia" w:ascii="宋体" w:hAnsi="宋体" w:eastAsia="宋体" w:cs="宋体"/>
          <w:i w:val="0"/>
          <w:iCs/>
          <w:color w:val="auto"/>
          <w:sz w:val="22"/>
          <w:szCs w:val="22"/>
          <w:highlight w:val="none"/>
          <w:lang w:val="en-US" w:eastAsia="zh-CN"/>
        </w:rPr>
        <w:t>×100%</w:t>
      </w:r>
    </w:p>
    <w:p>
      <w:pPr>
        <w:pageBreakBefore w:val="0"/>
        <w:topLinePunct w:val="0"/>
        <w:bidi w:val="0"/>
        <w:spacing w:line="360" w:lineRule="auto"/>
        <w:ind w:left="0" w:leftChars="0" w:right="0" w:rightChars="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 xml:space="preserve">3. </w:t>
      </w:r>
      <w:r>
        <w:rPr>
          <w:rFonts w:hint="eastAsia" w:ascii="宋体" w:hAnsi="宋体" w:cs="宋体"/>
          <w:color w:val="auto"/>
          <w:sz w:val="22"/>
          <w:szCs w:val="22"/>
          <w:highlight w:val="none"/>
        </w:rPr>
        <w:t>若发现造价咨询单位人员在合同履行过程中有腐败、欺诈、弄虛作假等不良行为以及存在重大失误等问题，</w:t>
      </w:r>
      <w:r>
        <w:rPr>
          <w:rFonts w:hint="eastAsia" w:ascii="宋体" w:hAnsi="宋体" w:cs="宋体"/>
          <w:color w:val="auto"/>
          <w:sz w:val="22"/>
          <w:szCs w:val="22"/>
          <w:highlight w:val="none"/>
          <w:lang w:eastAsia="zh-CN"/>
        </w:rPr>
        <w:t>委托人</w:t>
      </w:r>
      <w:r>
        <w:rPr>
          <w:rFonts w:hint="eastAsia" w:ascii="宋体" w:hAnsi="宋体" w:cs="宋体"/>
          <w:color w:val="auto"/>
          <w:sz w:val="22"/>
          <w:szCs w:val="22"/>
          <w:highlight w:val="none"/>
        </w:rPr>
        <w:t>将解除合同，并通报政府行政主管部门追究其责任。</w:t>
      </w:r>
    </w:p>
    <w:p>
      <w:pPr>
        <w:pageBreakBefore w:val="0"/>
        <w:topLinePunct w:val="0"/>
        <w:bidi w:val="0"/>
        <w:spacing w:line="360" w:lineRule="auto"/>
        <w:ind w:left="0" w:leftChars="0" w:right="0" w:rightChars="0" w:firstLine="440" w:firstLineChars="200"/>
        <w:rPr>
          <w:rFonts w:hint="eastAsia" w:ascii="宋体" w:hAnsi="宋体" w:cs="宋体"/>
          <w:b/>
          <w:color w:val="auto"/>
          <w:sz w:val="22"/>
          <w:szCs w:val="22"/>
          <w:highlight w:val="none"/>
        </w:rPr>
      </w:pPr>
      <w:r>
        <w:rPr>
          <w:rFonts w:hint="eastAsia" w:ascii="宋体" w:hAnsi="宋体" w:cs="宋体"/>
          <w:color w:val="auto"/>
          <w:sz w:val="22"/>
          <w:szCs w:val="22"/>
          <w:highlight w:val="none"/>
        </w:rPr>
        <w:t>六、委托人对《工程造价咨询服务考核管理暂行办法》有更新权力。</w:t>
      </w:r>
    </w:p>
    <w:p>
      <w:pPr>
        <w:pageBreakBefore w:val="0"/>
        <w:topLinePunct w:val="0"/>
        <w:bidi w:val="0"/>
        <w:spacing w:line="360" w:lineRule="auto"/>
        <w:ind w:left="0" w:leftChars="0" w:right="0" w:rightChars="0" w:firstLine="880" w:firstLineChars="40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附</w:t>
      </w:r>
      <w:r>
        <w:rPr>
          <w:rFonts w:hint="eastAsia" w:ascii="宋体" w:hAnsi="宋体" w:cs="宋体"/>
          <w:color w:val="auto"/>
          <w:sz w:val="22"/>
          <w:szCs w:val="22"/>
          <w:highlight w:val="none"/>
        </w:rPr>
        <w:t>表一：造价咨询服务考核评分细则</w:t>
      </w:r>
    </w:p>
    <w:p>
      <w:pPr>
        <w:pStyle w:val="9"/>
        <w:pageBreakBefore w:val="0"/>
        <w:topLinePunct w:val="0"/>
        <w:bidi w:val="0"/>
        <w:spacing w:line="360" w:lineRule="auto"/>
        <w:ind w:left="0" w:leftChars="0" w:right="0" w:rightChars="0" w:firstLine="0" w:firstLineChars="0"/>
        <w:rPr>
          <w:rFonts w:hint="eastAsia" w:ascii="宋体" w:hAnsi="宋体" w:cs="宋体"/>
          <w:color w:val="auto"/>
          <w:sz w:val="22"/>
          <w:szCs w:val="22"/>
          <w:highlight w:val="none"/>
        </w:rPr>
      </w:pPr>
    </w:p>
    <w:p>
      <w:pPr>
        <w:pStyle w:val="9"/>
        <w:pageBreakBefore w:val="0"/>
        <w:topLinePunct w:val="0"/>
        <w:bidi w:val="0"/>
        <w:spacing w:line="360" w:lineRule="auto"/>
        <w:ind w:left="0" w:leftChars="0" w:right="0" w:rightChars="0"/>
        <w:rPr>
          <w:rFonts w:hint="eastAsia" w:ascii="宋体" w:hAnsi="宋体" w:cs="宋体"/>
          <w:color w:val="auto"/>
          <w:sz w:val="22"/>
          <w:szCs w:val="22"/>
          <w:highlight w:val="none"/>
        </w:rPr>
      </w:pPr>
    </w:p>
    <w:p>
      <w:pPr>
        <w:widowControl/>
        <w:spacing w:line="360" w:lineRule="auto"/>
        <w:jc w:val="center"/>
        <w:rPr>
          <w:rFonts w:hint="eastAsia" w:ascii="宋体" w:hAnsi="宋体" w:cs="宋体"/>
          <w:b/>
          <w:color w:val="auto"/>
          <w:sz w:val="22"/>
          <w:szCs w:val="22"/>
          <w:highlight w:val="none"/>
        </w:rPr>
      </w:pPr>
      <w:r>
        <w:rPr>
          <w:rFonts w:hint="eastAsia" w:ascii="宋体" w:hAnsi="宋体" w:cs="宋体"/>
          <w:b/>
          <w:color w:val="auto"/>
          <w:kern w:val="0"/>
          <w:sz w:val="22"/>
          <w:szCs w:val="22"/>
          <w:highlight w:val="none"/>
        </w:rPr>
        <w:br w:type="page"/>
      </w:r>
    </w:p>
    <w:p>
      <w:pPr>
        <w:pageBreakBefore w:val="0"/>
        <w:topLinePunct w:val="0"/>
        <w:bidi w:val="0"/>
        <w:spacing w:line="360" w:lineRule="auto"/>
        <w:ind w:left="0" w:leftChars="0" w:right="0" w:rightChars="0"/>
        <w:jc w:val="both"/>
        <w:rPr>
          <w:rFonts w:hint="eastAsia" w:ascii="宋体" w:hAnsi="宋体" w:cs="宋体"/>
          <w:b/>
          <w:color w:val="auto"/>
          <w:sz w:val="22"/>
          <w:szCs w:val="22"/>
          <w:highlight w:val="none"/>
        </w:rPr>
      </w:pPr>
      <w:r>
        <w:rPr>
          <w:rFonts w:hint="eastAsia" w:ascii="宋体" w:hAnsi="宋体" w:cs="宋体"/>
          <w:b/>
          <w:color w:val="auto"/>
          <w:sz w:val="22"/>
          <w:szCs w:val="22"/>
          <w:highlight w:val="none"/>
        </w:rPr>
        <w:t>表</w:t>
      </w:r>
      <w:r>
        <w:rPr>
          <w:rFonts w:hint="eastAsia" w:ascii="宋体" w:hAnsi="宋体" w:eastAsia="宋体" w:cs="宋体"/>
          <w:b/>
          <w:color w:val="auto"/>
          <w:sz w:val="22"/>
          <w:szCs w:val="22"/>
          <w:highlight w:val="none"/>
          <w:lang w:val="en-US" w:eastAsia="zh-CN"/>
        </w:rPr>
        <w:t>一</w:t>
      </w:r>
      <w:r>
        <w:rPr>
          <w:rFonts w:hint="eastAsia" w:ascii="宋体" w:hAnsi="宋体" w:cs="宋体"/>
          <w:b/>
          <w:color w:val="auto"/>
          <w:sz w:val="22"/>
          <w:szCs w:val="22"/>
          <w:highlight w:val="none"/>
        </w:rPr>
        <w:t>：</w:t>
      </w:r>
      <w:r>
        <w:rPr>
          <w:rFonts w:hint="eastAsia" w:ascii="宋体" w:hAnsi="宋体" w:cs="宋体"/>
          <w:b/>
          <w:color w:val="auto"/>
          <w:sz w:val="22"/>
          <w:szCs w:val="22"/>
          <w:highlight w:val="none"/>
          <w:lang w:val="en-US" w:eastAsia="zh-CN"/>
        </w:rPr>
        <w:t xml:space="preserve">                    </w:t>
      </w:r>
      <w:r>
        <w:rPr>
          <w:rFonts w:hint="eastAsia" w:ascii="宋体" w:hAnsi="宋体" w:cs="宋体"/>
          <w:b/>
          <w:color w:val="auto"/>
          <w:sz w:val="22"/>
          <w:szCs w:val="22"/>
          <w:highlight w:val="none"/>
        </w:rPr>
        <w:t>造价咨询服务考核评分细则</w:t>
      </w:r>
    </w:p>
    <w:p>
      <w:pPr>
        <w:pageBreakBefore w:val="0"/>
        <w:topLinePunct w:val="0"/>
        <w:bidi w:val="0"/>
        <w:spacing w:line="360" w:lineRule="auto"/>
        <w:ind w:left="0" w:leftChars="0" w:right="0" w:rightChars="0"/>
        <w:rPr>
          <w:rFonts w:hint="eastAsia" w:ascii="宋体" w:hAnsi="宋体" w:cs="宋体"/>
          <w:color w:val="auto"/>
          <w:sz w:val="22"/>
          <w:szCs w:val="22"/>
          <w:highlight w:val="none"/>
        </w:rPr>
      </w:pPr>
      <w:r>
        <w:rPr>
          <w:rFonts w:hint="eastAsia" w:ascii="宋体" w:hAnsi="宋体" w:cs="宋体"/>
          <w:color w:val="auto"/>
          <w:sz w:val="22"/>
          <w:szCs w:val="22"/>
          <w:highlight w:val="none"/>
        </w:rPr>
        <w:t>造价咨询单位名称：              考评期：</w:t>
      </w:r>
    </w:p>
    <w:tbl>
      <w:tblPr>
        <w:tblStyle w:val="23"/>
        <w:tblW w:w="9075" w:type="dxa"/>
        <w:jc w:val="center"/>
        <w:tblLayout w:type="fixed"/>
        <w:tblCellMar>
          <w:top w:w="0" w:type="dxa"/>
          <w:left w:w="40" w:type="dxa"/>
          <w:bottom w:w="0" w:type="dxa"/>
          <w:right w:w="40" w:type="dxa"/>
        </w:tblCellMar>
      </w:tblPr>
      <w:tblGrid>
        <w:gridCol w:w="691"/>
        <w:gridCol w:w="1005"/>
        <w:gridCol w:w="5069"/>
        <w:gridCol w:w="709"/>
        <w:gridCol w:w="709"/>
        <w:gridCol w:w="892"/>
      </w:tblGrid>
      <w:tr>
        <w:tblPrEx>
          <w:tblCellMar>
            <w:top w:w="0" w:type="dxa"/>
            <w:left w:w="40" w:type="dxa"/>
            <w:bottom w:w="0" w:type="dxa"/>
            <w:right w:w="40" w:type="dxa"/>
          </w:tblCellMar>
        </w:tblPrEx>
        <w:trPr>
          <w:trHeight w:val="20" w:hRule="atLeast"/>
          <w:jc w:val="center"/>
        </w:trPr>
        <w:tc>
          <w:tcPr>
            <w:tcW w:w="69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firstLine="5"/>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序号</w:t>
            </w:r>
          </w:p>
        </w:tc>
        <w:tc>
          <w:tcPr>
            <w:tcW w:w="100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eastAsia="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考核</w:t>
            </w:r>
          </w:p>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项目</w:t>
            </w:r>
          </w:p>
        </w:tc>
        <w:tc>
          <w:tcPr>
            <w:tcW w:w="50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评分细则</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标准</w:t>
            </w:r>
          </w:p>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分值</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实际得分</w:t>
            </w:r>
          </w:p>
        </w:tc>
        <w:tc>
          <w:tcPr>
            <w:tcW w:w="8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扣分</w:t>
            </w:r>
          </w:p>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spacing w:val="-20"/>
                <w:kern w:val="0"/>
                <w:sz w:val="22"/>
                <w:szCs w:val="22"/>
                <w:highlight w:val="none"/>
                <w:lang w:val="zh-CN"/>
              </w:rPr>
            </w:pPr>
            <w:r>
              <w:rPr>
                <w:rFonts w:hint="eastAsia" w:ascii="宋体" w:hAnsi="宋体" w:cs="宋体"/>
                <w:bCs/>
                <w:color w:val="auto"/>
                <w:kern w:val="0"/>
                <w:sz w:val="22"/>
                <w:szCs w:val="22"/>
                <w:highlight w:val="none"/>
                <w:lang w:val="zh-CN"/>
              </w:rPr>
              <w:t>原</w:t>
            </w:r>
            <w:r>
              <w:rPr>
                <w:rFonts w:hint="eastAsia" w:ascii="宋体" w:hAnsi="宋体" w:cs="宋体"/>
                <w:bCs/>
                <w:color w:val="auto"/>
                <w:spacing w:val="-20"/>
                <w:kern w:val="0"/>
                <w:sz w:val="22"/>
                <w:szCs w:val="22"/>
                <w:highlight w:val="none"/>
                <w:lang w:val="zh-CN"/>
              </w:rPr>
              <w:t>因</w:t>
            </w:r>
          </w:p>
        </w:tc>
      </w:tr>
      <w:tr>
        <w:tblPrEx>
          <w:tblCellMar>
            <w:top w:w="0" w:type="dxa"/>
            <w:left w:w="40" w:type="dxa"/>
            <w:bottom w:w="0" w:type="dxa"/>
            <w:right w:w="40" w:type="dxa"/>
          </w:tblCellMar>
        </w:tblPrEx>
        <w:trPr>
          <w:trHeight w:val="1191" w:hRule="atLeast"/>
          <w:jc w:val="center"/>
        </w:trPr>
        <w:tc>
          <w:tcPr>
            <w:tcW w:w="691" w:type="dxa"/>
            <w:vMerge w:val="restart"/>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一</w:t>
            </w:r>
          </w:p>
        </w:tc>
        <w:tc>
          <w:tcPr>
            <w:tcW w:w="1005" w:type="dxa"/>
            <w:vMerge w:val="restart"/>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基本要求</w:t>
            </w:r>
          </w:p>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（2</w:t>
            </w:r>
            <w:r>
              <w:rPr>
                <w:rFonts w:hint="eastAsia" w:ascii="宋体" w:hAnsi="宋体" w:cs="宋体"/>
                <w:bCs/>
                <w:color w:val="auto"/>
                <w:kern w:val="0"/>
                <w:sz w:val="22"/>
                <w:szCs w:val="22"/>
                <w:highlight w:val="none"/>
                <w:lang w:val="en-US" w:eastAsia="zh-CN"/>
              </w:rPr>
              <w:t>2</w:t>
            </w:r>
            <w:r>
              <w:rPr>
                <w:rFonts w:hint="eastAsia" w:ascii="宋体" w:hAnsi="宋体" w:cs="宋体"/>
                <w:bCs/>
                <w:color w:val="auto"/>
                <w:kern w:val="0"/>
                <w:sz w:val="22"/>
                <w:szCs w:val="22"/>
                <w:highlight w:val="none"/>
                <w:lang w:val="zh-CN"/>
              </w:rPr>
              <w:t>分）</w:t>
            </w:r>
          </w:p>
        </w:tc>
        <w:tc>
          <w:tcPr>
            <w:tcW w:w="506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人员配备是否符合投标承诺（</w:t>
            </w:r>
            <w:r>
              <w:rPr>
                <w:rFonts w:hint="eastAsia" w:ascii="宋体" w:hAnsi="宋体" w:cs="宋体"/>
                <w:color w:val="auto"/>
                <w:kern w:val="0"/>
                <w:sz w:val="22"/>
                <w:szCs w:val="22"/>
                <w:highlight w:val="none"/>
                <w:lang w:val="zh-CN"/>
              </w:rPr>
              <w:t>2</w:t>
            </w:r>
            <w:r>
              <w:rPr>
                <w:rFonts w:hint="eastAsia" w:ascii="宋体" w:hAnsi="宋体" w:cs="宋体"/>
                <w:bCs/>
                <w:color w:val="auto"/>
                <w:kern w:val="0"/>
                <w:sz w:val="22"/>
                <w:szCs w:val="22"/>
                <w:highlight w:val="none"/>
                <w:lang w:val="zh-CN"/>
              </w:rPr>
              <w:t>分），人员更换是否提前书面告之（1分），</w:t>
            </w:r>
            <w:r>
              <w:rPr>
                <w:rFonts w:hint="eastAsia" w:ascii="宋体" w:hAnsi="宋体" w:cs="宋体"/>
                <w:color w:val="auto"/>
                <w:kern w:val="0"/>
                <w:sz w:val="22"/>
                <w:szCs w:val="22"/>
                <w:highlight w:val="none"/>
                <w:lang w:val="zh-CN"/>
              </w:rPr>
              <w:t>项目</w:t>
            </w:r>
            <w:r>
              <w:rPr>
                <w:rFonts w:hint="eastAsia" w:ascii="宋体" w:hAnsi="宋体" w:cs="宋体"/>
                <w:bCs/>
                <w:color w:val="auto"/>
                <w:kern w:val="0"/>
                <w:sz w:val="22"/>
                <w:szCs w:val="22"/>
                <w:highlight w:val="none"/>
                <w:lang w:val="zh-CN"/>
              </w:rPr>
              <w:t>负责人是否更换（5分），专业负责人是否更换（3分）。（全部满足10分，并按上述分值进行评分，最多扣10分）</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10</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1134" w:hRule="atLeast"/>
          <w:jc w:val="center"/>
        </w:trPr>
        <w:tc>
          <w:tcPr>
            <w:tcW w:w="691" w:type="dxa"/>
            <w:vMerge w:val="continue"/>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color w:val="auto"/>
                <w:kern w:val="0"/>
                <w:sz w:val="22"/>
                <w:szCs w:val="22"/>
                <w:highlight w:val="none"/>
              </w:rPr>
            </w:pPr>
          </w:p>
        </w:tc>
        <w:tc>
          <w:tcPr>
            <w:tcW w:w="1005" w:type="dxa"/>
            <w:vMerge w:val="continue"/>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bCs/>
                <w:color w:val="auto"/>
                <w:kern w:val="0"/>
                <w:sz w:val="22"/>
                <w:szCs w:val="22"/>
                <w:highlight w:val="none"/>
                <w:lang w:val="zh-CN"/>
              </w:rPr>
            </w:pPr>
          </w:p>
        </w:tc>
        <w:tc>
          <w:tcPr>
            <w:tcW w:w="506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考核期内，编审台帐是否登记齐全（2分），存档资枓是否齐全（</w:t>
            </w:r>
            <w:r>
              <w:rPr>
                <w:rFonts w:hint="eastAsia" w:ascii="宋体" w:hAnsi="宋体" w:cs="宋体"/>
                <w:color w:val="auto"/>
                <w:kern w:val="0"/>
                <w:sz w:val="22"/>
                <w:szCs w:val="22"/>
                <w:highlight w:val="none"/>
                <w:lang w:val="zh-CN"/>
              </w:rPr>
              <w:t>2</w:t>
            </w:r>
            <w:r>
              <w:rPr>
                <w:rFonts w:hint="eastAsia" w:ascii="宋体" w:hAnsi="宋体" w:cs="宋体"/>
                <w:bCs/>
                <w:color w:val="auto"/>
                <w:kern w:val="0"/>
                <w:sz w:val="22"/>
                <w:szCs w:val="22"/>
                <w:highlight w:val="none"/>
                <w:lang w:val="zh-CN"/>
              </w:rPr>
              <w:t>分），收发文是否登记齐全（1分）。（全部满足</w:t>
            </w:r>
            <w:r>
              <w:rPr>
                <w:rFonts w:hint="eastAsia" w:ascii="宋体" w:hAnsi="宋体" w:cs="宋体"/>
                <w:color w:val="auto"/>
                <w:kern w:val="0"/>
                <w:sz w:val="22"/>
                <w:szCs w:val="22"/>
                <w:highlight w:val="none"/>
                <w:lang w:val="zh-CN"/>
              </w:rPr>
              <w:t>5</w:t>
            </w:r>
            <w:r>
              <w:rPr>
                <w:rFonts w:hint="eastAsia" w:ascii="宋体" w:hAnsi="宋体" w:cs="宋体"/>
                <w:bCs/>
                <w:color w:val="auto"/>
                <w:kern w:val="0"/>
                <w:sz w:val="22"/>
                <w:szCs w:val="22"/>
                <w:highlight w:val="none"/>
                <w:lang w:val="zh-CN"/>
              </w:rPr>
              <w:t>分，不齐全</w:t>
            </w:r>
            <w:r>
              <w:rPr>
                <w:rFonts w:hint="eastAsia" w:ascii="宋体" w:hAnsi="宋体" w:cs="宋体"/>
                <w:color w:val="auto"/>
                <w:kern w:val="0"/>
                <w:sz w:val="22"/>
                <w:szCs w:val="22"/>
                <w:highlight w:val="none"/>
                <w:lang w:val="zh-CN"/>
              </w:rPr>
              <w:t>1</w:t>
            </w:r>
            <w:r>
              <w:rPr>
                <w:rFonts w:hint="eastAsia" w:ascii="宋体" w:hAnsi="宋体" w:cs="宋体"/>
                <w:bCs/>
                <w:color w:val="auto"/>
                <w:kern w:val="0"/>
                <w:sz w:val="22"/>
                <w:szCs w:val="22"/>
                <w:highlight w:val="none"/>
                <w:lang w:val="zh-CN"/>
              </w:rPr>
              <w:t>个扣</w:t>
            </w:r>
            <w:r>
              <w:rPr>
                <w:rFonts w:hint="eastAsia" w:ascii="宋体" w:hAnsi="宋体" w:cs="宋体"/>
                <w:color w:val="auto"/>
                <w:kern w:val="0"/>
                <w:sz w:val="22"/>
                <w:szCs w:val="22"/>
                <w:highlight w:val="none"/>
                <w:lang w:val="zh-CN"/>
              </w:rPr>
              <w:t>1</w:t>
            </w:r>
            <w:r>
              <w:rPr>
                <w:rFonts w:hint="eastAsia" w:ascii="宋体" w:hAnsi="宋体" w:cs="宋体"/>
                <w:bCs/>
                <w:color w:val="auto"/>
                <w:kern w:val="0"/>
                <w:sz w:val="22"/>
                <w:szCs w:val="22"/>
                <w:highlight w:val="none"/>
                <w:lang w:val="zh-CN"/>
              </w:rPr>
              <w:t>分，并按上述分值进行评分，最多扣</w:t>
            </w:r>
            <w:r>
              <w:rPr>
                <w:rFonts w:hint="eastAsia" w:ascii="宋体" w:hAnsi="宋体" w:cs="宋体"/>
                <w:color w:val="auto"/>
                <w:kern w:val="0"/>
                <w:sz w:val="22"/>
                <w:szCs w:val="22"/>
                <w:highlight w:val="none"/>
                <w:lang w:val="zh-CN"/>
              </w:rPr>
              <w:t>5</w:t>
            </w:r>
            <w:r>
              <w:rPr>
                <w:rFonts w:hint="eastAsia" w:ascii="宋体" w:hAnsi="宋体" w:cs="宋体"/>
                <w:bCs/>
                <w:color w:val="auto"/>
                <w:kern w:val="0"/>
                <w:sz w:val="22"/>
                <w:szCs w:val="22"/>
                <w:highlight w:val="none"/>
                <w:lang w:val="zh-CN"/>
              </w:rPr>
              <w:t>分）</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lang w:val="zh-CN"/>
              </w:rPr>
            </w:pPr>
            <w:r>
              <w:rPr>
                <w:rFonts w:hint="eastAsia" w:ascii="宋体" w:hAnsi="宋体" w:cs="宋体"/>
                <w:color w:val="auto"/>
                <w:kern w:val="0"/>
                <w:sz w:val="22"/>
                <w:szCs w:val="22"/>
                <w:highlight w:val="none"/>
              </w:rPr>
              <w:t>5</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1146" w:hRule="atLeast"/>
          <w:jc w:val="center"/>
        </w:trPr>
        <w:tc>
          <w:tcPr>
            <w:tcW w:w="691" w:type="dxa"/>
            <w:vMerge w:val="continue"/>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color w:val="auto"/>
                <w:kern w:val="0"/>
                <w:sz w:val="22"/>
                <w:szCs w:val="22"/>
                <w:highlight w:val="none"/>
              </w:rPr>
            </w:pPr>
          </w:p>
        </w:tc>
        <w:tc>
          <w:tcPr>
            <w:tcW w:w="1005" w:type="dxa"/>
            <w:vMerge w:val="continue"/>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bCs/>
                <w:color w:val="auto"/>
                <w:kern w:val="0"/>
                <w:sz w:val="22"/>
                <w:szCs w:val="22"/>
                <w:highlight w:val="none"/>
                <w:lang w:val="zh-CN"/>
              </w:rPr>
            </w:pPr>
          </w:p>
        </w:tc>
        <w:tc>
          <w:tcPr>
            <w:tcW w:w="506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color w:val="auto"/>
                <w:sz w:val="22"/>
                <w:szCs w:val="22"/>
                <w:highlight w:val="none"/>
                <w:lang w:val="zh-CN"/>
              </w:rPr>
            </w:pPr>
            <w:r>
              <w:rPr>
                <w:rFonts w:hint="eastAsia" w:ascii="宋体" w:hAnsi="宋体" w:cs="宋体"/>
                <w:color w:val="auto"/>
                <w:sz w:val="22"/>
                <w:szCs w:val="22"/>
                <w:highlight w:val="none"/>
              </w:rPr>
              <w:t>造价</w:t>
            </w:r>
            <w:r>
              <w:rPr>
                <w:rFonts w:hint="eastAsia" w:ascii="宋体" w:hAnsi="宋体" w:cs="宋体"/>
                <w:color w:val="auto"/>
                <w:sz w:val="22"/>
                <w:szCs w:val="22"/>
                <w:highlight w:val="none"/>
                <w:lang w:val="zh-CN"/>
              </w:rPr>
              <w:t>咨询单位书面汇报情况评分。（书面汇报应包括本考核期工作总结，工作中存在的问题及对今后工作的建议）</w:t>
            </w:r>
          </w:p>
          <w:p>
            <w:pPr>
              <w:pStyle w:val="21"/>
              <w:spacing w:after="0" w:line="360" w:lineRule="auto"/>
              <w:ind w:firstLine="0" w:firstLineChars="0"/>
              <w:rPr>
                <w:rFonts w:hint="eastAsia" w:ascii="宋体" w:hAnsi="宋体" w:cs="宋体"/>
                <w:color w:val="auto"/>
                <w:sz w:val="22"/>
                <w:szCs w:val="22"/>
                <w:highlight w:val="none"/>
                <w:lang w:val="zh-CN"/>
              </w:rPr>
            </w:pPr>
            <w:r>
              <w:rPr>
                <w:rFonts w:hint="eastAsia" w:ascii="宋体" w:hAnsi="宋体" w:eastAsia="宋体" w:cs="宋体"/>
                <w:color w:val="auto"/>
                <w:kern w:val="0"/>
                <w:sz w:val="22"/>
                <w:szCs w:val="22"/>
                <w:highlight w:val="none"/>
              </w:rPr>
              <w:t>发生遗失资料的行为造成不良影响的，视情节扣10分至</w:t>
            </w:r>
            <w:r>
              <w:rPr>
                <w:rFonts w:hint="eastAsia" w:ascii="宋体" w:hAnsi="宋体" w:eastAsia="宋体" w:cs="宋体"/>
                <w:color w:val="auto"/>
                <w:kern w:val="0"/>
                <w:sz w:val="22"/>
                <w:szCs w:val="22"/>
                <w:highlight w:val="none"/>
                <w:lang w:val="en-US" w:eastAsia="zh-CN"/>
              </w:rPr>
              <w:t>20</w:t>
            </w:r>
            <w:r>
              <w:rPr>
                <w:rFonts w:hint="eastAsia" w:ascii="宋体" w:hAnsi="宋体" w:eastAsia="宋体" w:cs="宋体"/>
                <w:color w:val="auto"/>
                <w:kern w:val="0"/>
                <w:sz w:val="22"/>
                <w:szCs w:val="22"/>
                <w:highlight w:val="none"/>
              </w:rPr>
              <w:t>分</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eastAsia="宋体" w:cs="宋体"/>
                <w:color w:val="auto"/>
                <w:kern w:val="0"/>
                <w:sz w:val="22"/>
                <w:szCs w:val="22"/>
                <w:highlight w:val="none"/>
                <w:lang w:val="zh-CN" w:eastAsia="zh-CN"/>
              </w:rPr>
            </w:pPr>
            <w:r>
              <w:rPr>
                <w:rFonts w:hint="eastAsia" w:ascii="宋体" w:hAnsi="宋体" w:cs="宋体"/>
                <w:color w:val="auto"/>
                <w:kern w:val="0"/>
                <w:sz w:val="22"/>
                <w:szCs w:val="22"/>
                <w:highlight w:val="none"/>
                <w:lang w:val="en-US" w:eastAsia="zh-CN"/>
              </w:rPr>
              <w:t>7</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2268" w:hRule="atLeast"/>
          <w:jc w:val="center"/>
        </w:trPr>
        <w:tc>
          <w:tcPr>
            <w:tcW w:w="691" w:type="dxa"/>
            <w:tcBorders>
              <w:top w:val="single" w:color="auto" w:sz="6" w:space="0"/>
              <w:left w:val="single" w:color="auto" w:sz="6" w:space="0"/>
              <w:bottom w:val="nil"/>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r>
              <w:rPr>
                <w:rFonts w:hint="eastAsia" w:ascii="宋体" w:hAnsi="宋体" w:cs="宋体"/>
                <w:bCs/>
                <w:iCs/>
                <w:color w:val="auto"/>
                <w:spacing w:val="-20"/>
                <w:kern w:val="0"/>
                <w:sz w:val="22"/>
                <w:szCs w:val="22"/>
                <w:highlight w:val="none"/>
                <w:lang w:val="zh-CN"/>
              </w:rPr>
              <w:t>二</w:t>
            </w:r>
          </w:p>
        </w:tc>
        <w:tc>
          <w:tcPr>
            <w:tcW w:w="1005"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hanging="19"/>
              <w:jc w:val="center"/>
              <w:textAlignment w:val="auto"/>
              <w:rPr>
                <w:rFonts w:hint="eastAsia" w:ascii="宋体" w:hAnsi="宋体" w:cs="宋体"/>
                <w:bCs/>
                <w:color w:val="auto"/>
                <w:spacing w:val="50"/>
                <w:kern w:val="0"/>
                <w:sz w:val="22"/>
                <w:szCs w:val="22"/>
                <w:highlight w:val="none"/>
                <w:lang w:val="zh-CN"/>
              </w:rPr>
            </w:pPr>
            <w:r>
              <w:rPr>
                <w:rFonts w:hint="eastAsia" w:ascii="宋体" w:hAnsi="宋体" w:cs="宋体"/>
                <w:bCs/>
                <w:color w:val="auto"/>
                <w:kern w:val="0"/>
                <w:sz w:val="22"/>
                <w:szCs w:val="22"/>
                <w:highlight w:val="none"/>
                <w:lang w:val="zh-CN"/>
              </w:rPr>
              <w:t>工作效率</w:t>
            </w:r>
            <w:r>
              <w:rPr>
                <w:rFonts w:hint="eastAsia" w:ascii="宋体" w:hAnsi="宋体" w:cs="宋体"/>
                <w:bCs/>
                <w:color w:val="auto"/>
                <w:spacing w:val="0"/>
                <w:kern w:val="0"/>
                <w:sz w:val="22"/>
                <w:szCs w:val="22"/>
                <w:highlight w:val="none"/>
                <w:lang w:val="zh-CN"/>
              </w:rPr>
              <w:t>（25分)</w:t>
            </w:r>
          </w:p>
        </w:tc>
        <w:tc>
          <w:tcPr>
            <w:tcW w:w="506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依照造价咨询任务单的计划完成时间，考核造价咨询单位是否在规定时间内完成造价成果文件，概算阶段：在规定期内完成得25分，非业主原因延迟完成时间，延迟时间在</w:t>
            </w:r>
            <w:r>
              <w:rPr>
                <w:rFonts w:hint="eastAsia" w:ascii="宋体" w:hAnsi="宋体" w:cs="宋体"/>
                <w:color w:val="auto"/>
                <w:kern w:val="0"/>
                <w:sz w:val="22"/>
                <w:szCs w:val="22"/>
                <w:highlight w:val="none"/>
                <w:lang w:val="zh-CN"/>
              </w:rPr>
              <w:t>3</w:t>
            </w:r>
            <w:r>
              <w:rPr>
                <w:rFonts w:hint="eastAsia" w:ascii="宋体" w:hAnsi="宋体" w:cs="宋体"/>
                <w:bCs/>
                <w:color w:val="auto"/>
                <w:kern w:val="0"/>
                <w:sz w:val="22"/>
                <w:szCs w:val="22"/>
                <w:highlight w:val="none"/>
                <w:lang w:val="zh-CN"/>
              </w:rPr>
              <w:t>天以内的扣</w:t>
            </w:r>
            <w:r>
              <w:rPr>
                <w:rFonts w:hint="eastAsia" w:ascii="宋体" w:hAnsi="宋体" w:cs="宋体"/>
                <w:color w:val="auto"/>
                <w:kern w:val="0"/>
                <w:sz w:val="22"/>
                <w:szCs w:val="22"/>
                <w:highlight w:val="none"/>
                <w:lang w:val="zh-CN"/>
              </w:rPr>
              <w:t>4</w:t>
            </w:r>
            <w:r>
              <w:rPr>
                <w:rFonts w:hint="eastAsia" w:ascii="宋体" w:hAnsi="宋体" w:cs="宋体"/>
                <w:bCs/>
                <w:color w:val="auto"/>
                <w:kern w:val="0"/>
                <w:sz w:val="22"/>
                <w:szCs w:val="22"/>
                <w:highlight w:val="none"/>
                <w:lang w:val="zh-CN"/>
              </w:rPr>
              <w:t>分，延迟时间在</w:t>
            </w:r>
            <w:r>
              <w:rPr>
                <w:rFonts w:hint="eastAsia" w:ascii="宋体" w:hAnsi="宋体" w:cs="宋体"/>
                <w:color w:val="auto"/>
                <w:kern w:val="0"/>
                <w:sz w:val="22"/>
                <w:szCs w:val="22"/>
                <w:highlight w:val="none"/>
                <w:lang w:val="zh-CN"/>
              </w:rPr>
              <w:t>4</w:t>
            </w:r>
            <w:r>
              <w:rPr>
                <w:rFonts w:hint="eastAsia" w:ascii="宋体" w:hAnsi="宋体" w:cs="宋体"/>
                <w:color w:val="auto"/>
                <w:w w:val="150"/>
                <w:kern w:val="0"/>
                <w:sz w:val="22"/>
                <w:szCs w:val="22"/>
                <w:highlight w:val="none"/>
                <w:lang w:val="zh-CN"/>
              </w:rPr>
              <w:t>-</w:t>
            </w:r>
            <w:r>
              <w:rPr>
                <w:rFonts w:hint="eastAsia" w:ascii="宋体" w:hAnsi="宋体" w:cs="宋体"/>
                <w:color w:val="auto"/>
                <w:kern w:val="0"/>
                <w:sz w:val="22"/>
                <w:szCs w:val="22"/>
                <w:highlight w:val="none"/>
                <w:lang w:val="zh-CN"/>
              </w:rPr>
              <w:t>10</w:t>
            </w:r>
            <w:r>
              <w:rPr>
                <w:rFonts w:hint="eastAsia" w:ascii="宋体" w:hAnsi="宋体" w:cs="宋体"/>
                <w:bCs/>
                <w:color w:val="auto"/>
                <w:kern w:val="0"/>
                <w:sz w:val="22"/>
                <w:szCs w:val="22"/>
                <w:highlight w:val="none"/>
                <w:lang w:val="zh-CN"/>
              </w:rPr>
              <w:t>天的扣</w:t>
            </w:r>
            <w:r>
              <w:rPr>
                <w:rFonts w:hint="eastAsia" w:ascii="宋体" w:hAnsi="宋体" w:cs="宋体"/>
                <w:color w:val="auto"/>
                <w:kern w:val="0"/>
                <w:sz w:val="22"/>
                <w:szCs w:val="22"/>
                <w:highlight w:val="none"/>
                <w:lang w:val="zh-CN"/>
              </w:rPr>
              <w:t>6</w:t>
            </w:r>
            <w:r>
              <w:rPr>
                <w:rFonts w:hint="eastAsia" w:ascii="宋体" w:hAnsi="宋体" w:cs="宋体"/>
                <w:bCs/>
                <w:color w:val="auto"/>
                <w:kern w:val="0"/>
                <w:sz w:val="22"/>
                <w:szCs w:val="22"/>
                <w:highlight w:val="none"/>
                <w:lang w:val="zh-CN"/>
              </w:rPr>
              <w:t>分，10天以上的扣</w:t>
            </w:r>
            <w:r>
              <w:rPr>
                <w:rFonts w:hint="eastAsia" w:ascii="宋体" w:hAnsi="宋体" w:cs="宋体"/>
                <w:color w:val="auto"/>
                <w:kern w:val="0"/>
                <w:sz w:val="22"/>
                <w:szCs w:val="22"/>
                <w:highlight w:val="none"/>
                <w:lang w:val="zh-CN"/>
              </w:rPr>
              <w:t>25</w:t>
            </w:r>
            <w:r>
              <w:rPr>
                <w:rFonts w:hint="eastAsia" w:ascii="宋体" w:hAnsi="宋体" w:cs="宋体"/>
                <w:bCs/>
                <w:color w:val="auto"/>
                <w:kern w:val="0"/>
                <w:sz w:val="22"/>
                <w:szCs w:val="22"/>
                <w:highlight w:val="none"/>
                <w:lang w:val="zh-CN"/>
              </w:rPr>
              <w:t>分，预算、结算阶段：（含工程变更审核）扣分标准：每个任务单延迟时间在</w:t>
            </w:r>
            <w:r>
              <w:rPr>
                <w:rFonts w:hint="eastAsia" w:ascii="宋体" w:hAnsi="宋体" w:cs="宋体"/>
                <w:color w:val="auto"/>
                <w:kern w:val="0"/>
                <w:sz w:val="22"/>
                <w:szCs w:val="22"/>
                <w:highlight w:val="none"/>
                <w:lang w:val="zh-CN"/>
              </w:rPr>
              <w:t>3</w:t>
            </w:r>
            <w:r>
              <w:rPr>
                <w:rFonts w:hint="eastAsia" w:ascii="宋体" w:hAnsi="宋体" w:cs="宋体"/>
                <w:bCs/>
                <w:color w:val="auto"/>
                <w:kern w:val="0"/>
                <w:sz w:val="22"/>
                <w:szCs w:val="22"/>
                <w:highlight w:val="none"/>
                <w:lang w:val="zh-CN"/>
              </w:rPr>
              <w:t>天以内的扣</w:t>
            </w:r>
            <w:r>
              <w:rPr>
                <w:rFonts w:hint="eastAsia" w:ascii="宋体" w:hAnsi="宋体" w:cs="宋体"/>
                <w:color w:val="auto"/>
                <w:kern w:val="0"/>
                <w:sz w:val="22"/>
                <w:szCs w:val="22"/>
                <w:highlight w:val="none"/>
                <w:lang w:val="zh-CN"/>
              </w:rPr>
              <w:t>1</w:t>
            </w:r>
            <w:r>
              <w:rPr>
                <w:rFonts w:hint="eastAsia" w:ascii="宋体" w:hAnsi="宋体" w:cs="宋体"/>
                <w:bCs/>
                <w:color w:val="auto"/>
                <w:kern w:val="0"/>
                <w:sz w:val="22"/>
                <w:szCs w:val="22"/>
                <w:highlight w:val="none"/>
                <w:lang w:val="zh-CN"/>
              </w:rPr>
              <w:t>分，延迟时间在</w:t>
            </w:r>
            <w:r>
              <w:rPr>
                <w:rFonts w:hint="eastAsia" w:ascii="宋体" w:hAnsi="宋体" w:cs="宋体"/>
                <w:color w:val="auto"/>
                <w:kern w:val="0"/>
                <w:sz w:val="22"/>
                <w:szCs w:val="22"/>
                <w:highlight w:val="none"/>
                <w:lang w:val="zh-CN"/>
              </w:rPr>
              <w:t>4-10</w:t>
            </w:r>
            <w:r>
              <w:rPr>
                <w:rFonts w:hint="eastAsia" w:ascii="宋体" w:hAnsi="宋体" w:cs="宋体"/>
                <w:bCs/>
                <w:color w:val="auto"/>
                <w:kern w:val="0"/>
                <w:sz w:val="22"/>
                <w:szCs w:val="22"/>
                <w:highlight w:val="none"/>
                <w:lang w:val="zh-CN"/>
              </w:rPr>
              <w:t>天的扣</w:t>
            </w:r>
            <w:r>
              <w:rPr>
                <w:rFonts w:hint="eastAsia" w:ascii="宋体" w:hAnsi="宋体" w:cs="宋体"/>
                <w:color w:val="auto"/>
                <w:kern w:val="0"/>
                <w:sz w:val="22"/>
                <w:szCs w:val="22"/>
                <w:highlight w:val="none"/>
                <w:lang w:val="zh-CN"/>
              </w:rPr>
              <w:t>2</w:t>
            </w:r>
            <w:r>
              <w:rPr>
                <w:rFonts w:hint="eastAsia" w:ascii="宋体" w:hAnsi="宋体" w:cs="宋体"/>
                <w:bCs/>
                <w:color w:val="auto"/>
                <w:kern w:val="0"/>
                <w:sz w:val="22"/>
                <w:szCs w:val="22"/>
                <w:highlight w:val="none"/>
                <w:lang w:val="zh-CN"/>
              </w:rPr>
              <w:t>分，10天以上的扣</w:t>
            </w:r>
            <w:r>
              <w:rPr>
                <w:rFonts w:hint="eastAsia" w:ascii="宋体" w:hAnsi="宋体" w:cs="宋体"/>
                <w:color w:val="auto"/>
                <w:kern w:val="0"/>
                <w:sz w:val="22"/>
                <w:szCs w:val="22"/>
                <w:highlight w:val="none"/>
                <w:lang w:val="zh-CN"/>
              </w:rPr>
              <w:t>3</w:t>
            </w:r>
            <w:r>
              <w:rPr>
                <w:rFonts w:hint="eastAsia" w:ascii="宋体" w:hAnsi="宋体" w:cs="宋体"/>
                <w:bCs/>
                <w:color w:val="auto"/>
                <w:kern w:val="0"/>
                <w:sz w:val="22"/>
                <w:szCs w:val="22"/>
                <w:highlight w:val="none"/>
                <w:lang w:val="zh-CN"/>
              </w:rPr>
              <w:t>分，最多扣</w:t>
            </w:r>
            <w:r>
              <w:rPr>
                <w:rFonts w:hint="eastAsia" w:ascii="宋体" w:hAnsi="宋体" w:cs="宋体"/>
                <w:color w:val="auto"/>
                <w:kern w:val="0"/>
                <w:sz w:val="22"/>
                <w:szCs w:val="22"/>
                <w:highlight w:val="none"/>
                <w:lang w:val="zh-CN"/>
              </w:rPr>
              <w:t>25</w:t>
            </w:r>
            <w:r>
              <w:rPr>
                <w:rFonts w:hint="eastAsia" w:ascii="宋体" w:hAnsi="宋体" w:cs="宋体"/>
                <w:bCs/>
                <w:color w:val="auto"/>
                <w:kern w:val="0"/>
                <w:sz w:val="22"/>
                <w:szCs w:val="22"/>
                <w:highlight w:val="none"/>
                <w:lang w:val="zh-CN"/>
              </w:rPr>
              <w:t>分。</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25</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964" w:hRule="atLeast"/>
          <w:jc w:val="center"/>
        </w:trPr>
        <w:tc>
          <w:tcPr>
            <w:tcW w:w="691"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r>
              <w:rPr>
                <w:rFonts w:hint="eastAsia" w:ascii="宋体" w:hAnsi="宋体" w:cs="宋体"/>
                <w:bCs/>
                <w:iCs/>
                <w:color w:val="auto"/>
                <w:spacing w:val="-20"/>
                <w:kern w:val="0"/>
                <w:sz w:val="22"/>
                <w:szCs w:val="22"/>
                <w:highlight w:val="none"/>
                <w:lang w:val="zh-CN"/>
              </w:rPr>
              <w:t>三</w:t>
            </w:r>
          </w:p>
        </w:tc>
        <w:tc>
          <w:tcPr>
            <w:tcW w:w="1005"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工作质量</w:t>
            </w:r>
          </w:p>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（40分）</w:t>
            </w:r>
          </w:p>
        </w:tc>
        <w:tc>
          <w:tcPr>
            <w:tcW w:w="50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color w:val="auto"/>
                <w:kern w:val="0"/>
                <w:sz w:val="22"/>
                <w:szCs w:val="22"/>
                <w:highlight w:val="none"/>
                <w:lang w:val="zh-CN"/>
              </w:rPr>
            </w:pPr>
            <w:r>
              <w:rPr>
                <w:rFonts w:hint="eastAsia" w:ascii="宋体" w:hAnsi="宋体" w:cs="宋体"/>
                <w:bCs/>
                <w:color w:val="auto"/>
                <w:kern w:val="0"/>
                <w:sz w:val="22"/>
                <w:szCs w:val="22"/>
                <w:highlight w:val="none"/>
                <w:lang w:val="zh-CN"/>
              </w:rPr>
              <w:t>建立完整有效的质量保证体系，质量保证体系中必须有复核及审核程序。</w:t>
            </w:r>
            <w:r>
              <w:rPr>
                <w:rFonts w:hint="eastAsia" w:ascii="宋体" w:hAnsi="宋体" w:cs="宋体"/>
                <w:iCs/>
                <w:color w:val="auto"/>
                <w:spacing w:val="30"/>
                <w:kern w:val="0"/>
                <w:sz w:val="22"/>
                <w:szCs w:val="22"/>
                <w:highlight w:val="none"/>
                <w:lang w:val="zh-CN"/>
              </w:rPr>
              <w:t>（</w:t>
            </w:r>
            <w:r>
              <w:rPr>
                <w:rFonts w:hint="eastAsia" w:ascii="宋体" w:hAnsi="宋体" w:cs="宋体"/>
                <w:bCs/>
                <w:color w:val="auto"/>
                <w:kern w:val="0"/>
                <w:sz w:val="22"/>
                <w:szCs w:val="22"/>
                <w:highlight w:val="none"/>
                <w:lang w:val="zh-CN"/>
              </w:rPr>
              <w:t>完整有效得</w:t>
            </w:r>
            <w:r>
              <w:rPr>
                <w:rFonts w:hint="eastAsia" w:ascii="宋体" w:hAnsi="宋体" w:cs="宋体"/>
                <w:color w:val="auto"/>
                <w:kern w:val="0"/>
                <w:sz w:val="22"/>
                <w:szCs w:val="22"/>
                <w:highlight w:val="none"/>
                <w:lang w:val="zh-CN"/>
              </w:rPr>
              <w:t>3</w:t>
            </w:r>
            <w:r>
              <w:rPr>
                <w:rFonts w:hint="eastAsia" w:ascii="宋体" w:hAnsi="宋体" w:cs="宋体"/>
                <w:bCs/>
                <w:color w:val="auto"/>
                <w:kern w:val="0"/>
                <w:sz w:val="22"/>
                <w:szCs w:val="22"/>
                <w:highlight w:val="none"/>
                <w:lang w:val="zh-CN"/>
              </w:rPr>
              <w:t>分，一般得</w:t>
            </w:r>
            <w:r>
              <w:rPr>
                <w:rFonts w:hint="eastAsia" w:ascii="宋体" w:hAnsi="宋体" w:cs="宋体"/>
                <w:color w:val="auto"/>
                <w:kern w:val="0"/>
                <w:sz w:val="22"/>
                <w:szCs w:val="22"/>
                <w:highlight w:val="none"/>
                <w:lang w:val="zh-CN"/>
              </w:rPr>
              <w:t>1</w:t>
            </w:r>
            <w:r>
              <w:rPr>
                <w:rFonts w:hint="eastAsia" w:ascii="宋体" w:hAnsi="宋体" w:cs="宋体"/>
                <w:bCs/>
                <w:color w:val="auto"/>
                <w:kern w:val="0"/>
                <w:sz w:val="22"/>
                <w:szCs w:val="22"/>
                <w:highlight w:val="none"/>
                <w:lang w:val="zh-CN"/>
              </w:rPr>
              <w:t>分，不完整有效</w:t>
            </w:r>
            <w:r>
              <w:rPr>
                <w:rFonts w:hint="eastAsia" w:ascii="宋体" w:hAnsi="宋体" w:cs="宋体"/>
                <w:color w:val="auto"/>
                <w:kern w:val="0"/>
                <w:sz w:val="22"/>
                <w:szCs w:val="22"/>
                <w:highlight w:val="none"/>
                <w:lang w:val="zh-CN"/>
              </w:rPr>
              <w:t>0</w:t>
            </w:r>
            <w:r>
              <w:rPr>
                <w:rFonts w:hint="eastAsia" w:ascii="宋体" w:hAnsi="宋体" w:cs="宋体"/>
                <w:bCs/>
                <w:color w:val="auto"/>
                <w:kern w:val="0"/>
                <w:sz w:val="22"/>
                <w:szCs w:val="22"/>
                <w:highlight w:val="none"/>
                <w:lang w:val="zh-CN"/>
              </w:rPr>
              <w:t>分</w:t>
            </w:r>
            <w:r>
              <w:rPr>
                <w:rFonts w:hint="eastAsia" w:ascii="宋体" w:hAnsi="宋体" w:cs="宋体"/>
                <w:color w:val="auto"/>
                <w:kern w:val="0"/>
                <w:sz w:val="22"/>
                <w:szCs w:val="22"/>
                <w:highlight w:val="none"/>
                <w:lang w:val="zh-CN"/>
              </w:rPr>
              <w:t>）</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3</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907" w:hRule="atLeast"/>
          <w:jc w:val="center"/>
        </w:trPr>
        <w:tc>
          <w:tcPr>
            <w:tcW w:w="69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color w:val="auto"/>
                <w:kern w:val="0"/>
                <w:sz w:val="22"/>
                <w:szCs w:val="22"/>
                <w:highlight w:val="none"/>
              </w:rPr>
            </w:pPr>
          </w:p>
        </w:tc>
        <w:tc>
          <w:tcPr>
            <w:tcW w:w="100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bCs/>
                <w:color w:val="auto"/>
                <w:kern w:val="0"/>
                <w:sz w:val="22"/>
                <w:szCs w:val="22"/>
                <w:highlight w:val="none"/>
                <w:lang w:val="zh-CN"/>
              </w:rPr>
            </w:pPr>
          </w:p>
        </w:tc>
        <w:tc>
          <w:tcPr>
            <w:tcW w:w="50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每一项子目工程</w:t>
            </w:r>
            <w:r>
              <w:rPr>
                <w:rFonts w:hint="eastAsia" w:ascii="宋体" w:hAnsi="宋体" w:cs="宋体"/>
                <w:bCs/>
                <w:color w:val="auto"/>
                <w:spacing w:val="-20"/>
                <w:kern w:val="0"/>
                <w:sz w:val="22"/>
                <w:szCs w:val="22"/>
                <w:highlight w:val="none"/>
                <w:lang w:val="zh-CN"/>
              </w:rPr>
              <w:t>量</w:t>
            </w:r>
            <w:r>
              <w:rPr>
                <w:rFonts w:hint="eastAsia" w:ascii="宋体" w:hAnsi="宋体" w:cs="宋体"/>
                <w:bCs/>
                <w:color w:val="auto"/>
                <w:kern w:val="0"/>
                <w:sz w:val="22"/>
                <w:szCs w:val="22"/>
                <w:highlight w:val="none"/>
                <w:lang w:val="zh-CN"/>
              </w:rPr>
              <w:t>误差超过±3%（包含3%），扣</w:t>
            </w:r>
            <w:r>
              <w:rPr>
                <w:rFonts w:hint="eastAsia" w:ascii="宋体" w:hAnsi="宋体" w:cs="宋体"/>
                <w:color w:val="auto"/>
                <w:kern w:val="0"/>
                <w:sz w:val="22"/>
                <w:szCs w:val="22"/>
                <w:highlight w:val="none"/>
                <w:lang w:val="zh-CN"/>
              </w:rPr>
              <w:t>1</w:t>
            </w:r>
            <w:r>
              <w:rPr>
                <w:rFonts w:hint="eastAsia" w:ascii="宋体" w:hAnsi="宋体" w:cs="宋体"/>
                <w:bCs/>
                <w:color w:val="auto"/>
                <w:kern w:val="0"/>
                <w:sz w:val="22"/>
                <w:szCs w:val="22"/>
                <w:highlight w:val="none"/>
                <w:lang w:val="zh-CN"/>
              </w:rPr>
              <w:t>分；以只、个出现的计量单位，工程量错一项</w:t>
            </w:r>
            <w:r>
              <w:rPr>
                <w:rFonts w:hint="eastAsia" w:ascii="宋体" w:hAnsi="宋体" w:cs="宋体"/>
                <w:color w:val="auto"/>
                <w:spacing w:val="50"/>
                <w:kern w:val="0"/>
                <w:sz w:val="22"/>
                <w:szCs w:val="22"/>
                <w:highlight w:val="none"/>
                <w:lang w:val="zh-CN"/>
              </w:rPr>
              <w:t>扣1</w:t>
            </w:r>
            <w:r>
              <w:rPr>
                <w:rFonts w:hint="eastAsia" w:ascii="宋体" w:hAnsi="宋体" w:cs="宋体"/>
                <w:bCs/>
                <w:color w:val="auto"/>
                <w:kern w:val="0"/>
                <w:sz w:val="22"/>
                <w:szCs w:val="22"/>
                <w:highlight w:val="none"/>
                <w:lang w:val="zh-CN"/>
              </w:rPr>
              <w:t>分；漏项一项扣2分，</w:t>
            </w:r>
            <w:r>
              <w:rPr>
                <w:rFonts w:hint="eastAsia" w:ascii="宋体" w:hAnsi="宋体" w:eastAsia="宋体" w:cs="宋体"/>
                <w:color w:val="auto"/>
                <w:kern w:val="0"/>
                <w:sz w:val="22"/>
                <w:szCs w:val="22"/>
                <w:highlight w:val="none"/>
              </w:rPr>
              <w:t>在工程量计算、套用定额、套用取费标准、采用信息价</w:t>
            </w:r>
            <w:r>
              <w:rPr>
                <w:rFonts w:hint="eastAsia" w:ascii="宋体" w:hAnsi="宋体" w:cs="宋体"/>
                <w:color w:val="auto"/>
                <w:kern w:val="0"/>
                <w:sz w:val="22"/>
                <w:szCs w:val="22"/>
                <w:highlight w:val="none"/>
                <w:lang w:eastAsia="zh-CN"/>
              </w:rPr>
              <w:t>、</w:t>
            </w:r>
            <w:r>
              <w:rPr>
                <w:rFonts w:hint="eastAsia" w:ascii="宋体" w:hAnsi="宋体" w:cs="宋体"/>
                <w:color w:val="auto"/>
                <w:kern w:val="0"/>
                <w:sz w:val="22"/>
                <w:szCs w:val="22"/>
                <w:highlight w:val="none"/>
                <w:lang w:val="en-US" w:eastAsia="zh-CN"/>
              </w:rPr>
              <w:t>项目特征描述</w:t>
            </w:r>
            <w:r>
              <w:rPr>
                <w:rFonts w:hint="eastAsia" w:ascii="宋体" w:hAnsi="宋体" w:eastAsia="宋体" w:cs="宋体"/>
                <w:color w:val="auto"/>
                <w:kern w:val="0"/>
                <w:sz w:val="22"/>
                <w:szCs w:val="22"/>
                <w:highlight w:val="none"/>
              </w:rPr>
              <w:t>等方面存在错误，每发现1处扣2分</w:t>
            </w:r>
            <w:r>
              <w:rPr>
                <w:rFonts w:hint="eastAsia" w:ascii="宋体" w:hAnsi="宋体" w:eastAsia="宋体" w:cs="宋体"/>
                <w:color w:val="auto"/>
                <w:kern w:val="0"/>
                <w:sz w:val="22"/>
                <w:szCs w:val="22"/>
                <w:highlight w:val="none"/>
                <w:lang w:eastAsia="zh-CN"/>
              </w:rPr>
              <w:t>，</w:t>
            </w:r>
            <w:r>
              <w:rPr>
                <w:rFonts w:hint="eastAsia" w:ascii="宋体" w:hAnsi="宋体" w:cs="宋体"/>
                <w:bCs/>
                <w:color w:val="auto"/>
                <w:kern w:val="0"/>
                <w:sz w:val="22"/>
                <w:szCs w:val="22"/>
                <w:highlight w:val="none"/>
                <w:lang w:val="zh-CN"/>
              </w:rPr>
              <w:t>最多扣22分。</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22</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737" w:hRule="atLeast"/>
          <w:jc w:val="center"/>
        </w:trPr>
        <w:tc>
          <w:tcPr>
            <w:tcW w:w="69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color w:val="auto"/>
                <w:kern w:val="0"/>
                <w:sz w:val="22"/>
                <w:szCs w:val="22"/>
                <w:highlight w:val="none"/>
              </w:rPr>
            </w:pPr>
          </w:p>
        </w:tc>
        <w:tc>
          <w:tcPr>
            <w:tcW w:w="100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bCs/>
                <w:color w:val="auto"/>
                <w:kern w:val="0"/>
                <w:sz w:val="22"/>
                <w:szCs w:val="22"/>
                <w:highlight w:val="none"/>
                <w:lang w:val="zh-CN"/>
              </w:rPr>
            </w:pPr>
          </w:p>
        </w:tc>
        <w:tc>
          <w:tcPr>
            <w:tcW w:w="50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color w:val="auto"/>
                <w:sz w:val="22"/>
                <w:szCs w:val="22"/>
                <w:highlight w:val="none"/>
                <w:lang w:val="zh-CN"/>
              </w:rPr>
            </w:pPr>
            <w:r>
              <w:rPr>
                <w:rFonts w:hint="eastAsia" w:ascii="宋体" w:hAnsi="宋体" w:cs="宋体"/>
                <w:color w:val="auto"/>
                <w:sz w:val="22"/>
                <w:szCs w:val="22"/>
                <w:highlight w:val="none"/>
                <w:lang w:val="zh-CN"/>
              </w:rPr>
              <w:t>定额或费用应用错误一项扣1分；重大单价错误，一项扣2分；最多扣15分。</w:t>
            </w:r>
          </w:p>
          <w:p>
            <w:pPr>
              <w:pStyle w:val="21"/>
              <w:spacing w:after="0" w:line="360" w:lineRule="auto"/>
              <w:ind w:firstLine="0" w:firstLineChars="0"/>
              <w:rPr>
                <w:rFonts w:hint="eastAsia" w:ascii="宋体" w:hAnsi="宋体" w:cs="宋体"/>
                <w:color w:val="auto"/>
                <w:sz w:val="22"/>
                <w:szCs w:val="22"/>
                <w:highlight w:val="none"/>
                <w:lang w:val="zh-CN"/>
              </w:rPr>
            </w:pPr>
            <w:r>
              <w:rPr>
                <w:rFonts w:hint="eastAsia" w:ascii="宋体" w:hAnsi="宋体" w:eastAsia="宋体" w:cs="宋体"/>
                <w:color w:val="auto"/>
                <w:kern w:val="0"/>
                <w:sz w:val="22"/>
                <w:szCs w:val="22"/>
                <w:highlight w:val="none"/>
              </w:rPr>
              <w:t>工作底稿（包含但不限于工程量计算底稿、核增核减对比表、平均信息价、对数记录等）不完整，每漏1项扣3分，没有底稿的扣</w:t>
            </w:r>
            <w:r>
              <w:rPr>
                <w:rFonts w:hint="eastAsia" w:ascii="宋体" w:hAnsi="宋体" w:eastAsia="宋体" w:cs="宋体"/>
                <w:color w:val="auto"/>
                <w:kern w:val="0"/>
                <w:sz w:val="22"/>
                <w:szCs w:val="22"/>
                <w:highlight w:val="none"/>
                <w:lang w:val="en-US" w:eastAsia="zh-CN"/>
              </w:rPr>
              <w:t>15</w:t>
            </w:r>
            <w:r>
              <w:rPr>
                <w:rFonts w:hint="eastAsia" w:ascii="宋体" w:hAnsi="宋体" w:eastAsia="宋体" w:cs="宋体"/>
                <w:color w:val="auto"/>
                <w:kern w:val="0"/>
                <w:sz w:val="22"/>
                <w:szCs w:val="22"/>
                <w:highlight w:val="none"/>
              </w:rPr>
              <w:t>分。</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15</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1191" w:hRule="atLeast"/>
          <w:jc w:val="center"/>
        </w:trPr>
        <w:tc>
          <w:tcPr>
            <w:tcW w:w="691"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r>
              <w:rPr>
                <w:rFonts w:hint="eastAsia" w:ascii="宋体" w:hAnsi="宋体" w:cs="宋体"/>
                <w:bCs/>
                <w:color w:val="auto"/>
                <w:kern w:val="0"/>
                <w:sz w:val="22"/>
                <w:szCs w:val="22"/>
                <w:highlight w:val="none"/>
                <w:lang w:val="zh-CN"/>
              </w:rPr>
              <w:t>四</w:t>
            </w:r>
          </w:p>
        </w:tc>
        <w:tc>
          <w:tcPr>
            <w:tcW w:w="1005" w:type="dxa"/>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hanging="19"/>
              <w:jc w:val="center"/>
              <w:textAlignment w:val="auto"/>
              <w:rPr>
                <w:rFonts w:hint="eastAsia" w:ascii="宋体" w:hAnsi="宋体" w:cs="宋体"/>
                <w:bCs/>
                <w:color w:val="auto"/>
                <w:spacing w:val="50"/>
                <w:kern w:val="0"/>
                <w:sz w:val="22"/>
                <w:szCs w:val="22"/>
                <w:highlight w:val="none"/>
                <w:lang w:val="zh-CN"/>
              </w:rPr>
            </w:pPr>
            <w:r>
              <w:rPr>
                <w:rFonts w:hint="eastAsia" w:ascii="宋体" w:hAnsi="宋体" w:cs="宋体"/>
                <w:bCs/>
                <w:color w:val="auto"/>
                <w:kern w:val="0"/>
                <w:sz w:val="22"/>
                <w:szCs w:val="22"/>
                <w:highlight w:val="none"/>
                <w:lang w:val="zh-CN"/>
              </w:rPr>
              <w:t>履约配合</w:t>
            </w:r>
            <w:r>
              <w:rPr>
                <w:rFonts w:hint="eastAsia" w:ascii="宋体" w:hAnsi="宋体" w:cs="宋体"/>
                <w:bCs/>
                <w:color w:val="auto"/>
                <w:spacing w:val="0"/>
                <w:kern w:val="0"/>
                <w:sz w:val="22"/>
                <w:szCs w:val="22"/>
                <w:highlight w:val="none"/>
                <w:lang w:val="zh-CN"/>
              </w:rPr>
              <w:t>（1</w:t>
            </w:r>
            <w:r>
              <w:rPr>
                <w:rFonts w:hint="eastAsia" w:ascii="宋体" w:hAnsi="宋体" w:cs="宋体"/>
                <w:bCs/>
                <w:color w:val="auto"/>
                <w:spacing w:val="0"/>
                <w:kern w:val="0"/>
                <w:sz w:val="22"/>
                <w:szCs w:val="22"/>
                <w:highlight w:val="none"/>
                <w:lang w:val="en-US" w:eastAsia="zh-CN"/>
              </w:rPr>
              <w:t>3</w:t>
            </w:r>
            <w:r>
              <w:rPr>
                <w:rFonts w:hint="eastAsia" w:ascii="宋体" w:hAnsi="宋体" w:cs="宋体"/>
                <w:bCs/>
                <w:color w:val="auto"/>
                <w:spacing w:val="0"/>
                <w:kern w:val="0"/>
                <w:sz w:val="22"/>
                <w:szCs w:val="22"/>
                <w:highlight w:val="none"/>
                <w:lang w:val="zh-CN"/>
              </w:rPr>
              <w:t>分)</w:t>
            </w:r>
          </w:p>
        </w:tc>
        <w:tc>
          <w:tcPr>
            <w:tcW w:w="506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考核期内存在问题是否及时与业主沟通</w:t>
            </w:r>
            <w:r>
              <w:rPr>
                <w:rFonts w:hint="eastAsia" w:ascii="宋体" w:hAnsi="宋体" w:cs="宋体"/>
                <w:bCs/>
                <w:color w:val="auto"/>
                <w:spacing w:val="20"/>
                <w:kern w:val="0"/>
                <w:sz w:val="22"/>
                <w:szCs w:val="22"/>
                <w:highlight w:val="none"/>
                <w:lang w:val="zh-CN"/>
              </w:rPr>
              <w:t>（2</w:t>
            </w:r>
            <w:r>
              <w:rPr>
                <w:rFonts w:hint="eastAsia" w:ascii="宋体" w:hAnsi="宋体" w:cs="宋体"/>
                <w:bCs/>
                <w:color w:val="auto"/>
                <w:kern w:val="0"/>
                <w:sz w:val="22"/>
                <w:szCs w:val="22"/>
                <w:highlight w:val="none"/>
                <w:lang w:val="zh-CN"/>
              </w:rPr>
              <w:t>分），业主</w:t>
            </w:r>
            <w:r>
              <w:rPr>
                <w:rFonts w:hint="eastAsia" w:ascii="宋体" w:hAnsi="宋体" w:cs="宋体"/>
                <w:bCs/>
                <w:color w:val="auto"/>
                <w:spacing w:val="-20"/>
                <w:kern w:val="0"/>
                <w:sz w:val="22"/>
                <w:szCs w:val="22"/>
                <w:highlight w:val="none"/>
                <w:lang w:val="zh-CN"/>
              </w:rPr>
              <w:t>组</w:t>
            </w:r>
            <w:r>
              <w:rPr>
                <w:rFonts w:hint="eastAsia" w:ascii="宋体" w:hAnsi="宋体" w:cs="宋体"/>
                <w:bCs/>
                <w:color w:val="auto"/>
                <w:kern w:val="0"/>
                <w:sz w:val="22"/>
                <w:szCs w:val="22"/>
                <w:highlight w:val="none"/>
                <w:lang w:val="zh-CN"/>
              </w:rPr>
              <w:t>织会议是否按时参加（1分）。（全</w:t>
            </w:r>
            <w:r>
              <w:rPr>
                <w:rFonts w:hint="eastAsia" w:ascii="宋体" w:hAnsi="宋体" w:cs="宋体"/>
                <w:color w:val="auto"/>
                <w:kern w:val="0"/>
                <w:sz w:val="22"/>
                <w:szCs w:val="22"/>
                <w:highlight w:val="none"/>
                <w:lang w:val="zh-CN"/>
              </w:rPr>
              <w:t>部</w:t>
            </w:r>
            <w:r>
              <w:rPr>
                <w:rFonts w:hint="eastAsia" w:ascii="宋体" w:hAnsi="宋体" w:cs="宋体"/>
                <w:bCs/>
                <w:color w:val="auto"/>
                <w:kern w:val="0"/>
                <w:sz w:val="22"/>
                <w:szCs w:val="22"/>
                <w:highlight w:val="none"/>
                <w:lang w:val="zh-CN"/>
              </w:rPr>
              <w:t>满足得</w:t>
            </w:r>
            <w:r>
              <w:rPr>
                <w:rFonts w:hint="eastAsia" w:ascii="宋体" w:hAnsi="宋体" w:cs="宋体"/>
                <w:bCs/>
                <w:color w:val="auto"/>
                <w:kern w:val="0"/>
                <w:sz w:val="22"/>
                <w:szCs w:val="22"/>
                <w:highlight w:val="none"/>
                <w:lang w:val="en-US" w:eastAsia="zh-CN"/>
              </w:rPr>
              <w:t>3</w:t>
            </w:r>
            <w:r>
              <w:rPr>
                <w:rFonts w:hint="eastAsia" w:ascii="宋体" w:hAnsi="宋体" w:cs="宋体"/>
                <w:bCs/>
                <w:color w:val="auto"/>
                <w:kern w:val="0"/>
                <w:sz w:val="22"/>
                <w:szCs w:val="22"/>
                <w:highlight w:val="none"/>
                <w:lang w:val="zh-CN"/>
              </w:rPr>
              <w:t>分，并按上述分值进行评分每缺席</w:t>
            </w:r>
            <w:r>
              <w:rPr>
                <w:rFonts w:hint="eastAsia" w:ascii="宋体" w:hAnsi="宋体" w:cs="宋体"/>
                <w:color w:val="auto"/>
                <w:kern w:val="0"/>
                <w:sz w:val="22"/>
                <w:szCs w:val="22"/>
                <w:highlight w:val="none"/>
                <w:lang w:val="zh-CN"/>
              </w:rPr>
              <w:t>1</w:t>
            </w:r>
            <w:r>
              <w:rPr>
                <w:rFonts w:hint="eastAsia" w:ascii="宋体" w:hAnsi="宋体" w:cs="宋体"/>
                <w:bCs/>
                <w:color w:val="auto"/>
                <w:kern w:val="0"/>
                <w:sz w:val="22"/>
                <w:szCs w:val="22"/>
                <w:highlight w:val="none"/>
                <w:lang w:val="zh-CN"/>
              </w:rPr>
              <w:t>次扣</w:t>
            </w:r>
            <w:r>
              <w:rPr>
                <w:rFonts w:hint="eastAsia" w:ascii="宋体" w:hAnsi="宋体" w:cs="宋体"/>
                <w:color w:val="auto"/>
                <w:kern w:val="0"/>
                <w:sz w:val="22"/>
                <w:szCs w:val="22"/>
                <w:highlight w:val="none"/>
                <w:lang w:val="zh-CN"/>
              </w:rPr>
              <w:t>1</w:t>
            </w:r>
            <w:r>
              <w:rPr>
                <w:rFonts w:hint="eastAsia" w:ascii="宋体" w:hAnsi="宋体" w:cs="宋体"/>
                <w:bCs/>
                <w:color w:val="auto"/>
                <w:kern w:val="0"/>
                <w:sz w:val="22"/>
                <w:szCs w:val="22"/>
                <w:highlight w:val="none"/>
                <w:lang w:val="zh-CN"/>
              </w:rPr>
              <w:t>分，最多扣</w:t>
            </w:r>
            <w:r>
              <w:rPr>
                <w:rFonts w:hint="eastAsia" w:ascii="宋体" w:hAnsi="宋体" w:cs="宋体"/>
                <w:color w:val="auto"/>
                <w:kern w:val="0"/>
                <w:sz w:val="22"/>
                <w:szCs w:val="22"/>
                <w:highlight w:val="none"/>
                <w:lang w:val="zh-CN"/>
              </w:rPr>
              <w:t>5</w:t>
            </w:r>
            <w:r>
              <w:rPr>
                <w:rFonts w:hint="eastAsia" w:ascii="宋体" w:hAnsi="宋体" w:cs="宋体"/>
                <w:bCs/>
                <w:color w:val="auto"/>
                <w:kern w:val="0"/>
                <w:sz w:val="22"/>
                <w:szCs w:val="22"/>
                <w:highlight w:val="none"/>
                <w:lang w:val="zh-CN"/>
              </w:rPr>
              <w:t>分）</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3</w:t>
            </w:r>
          </w:p>
        </w:tc>
        <w:tc>
          <w:tcPr>
            <w:tcW w:w="709"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nil"/>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907" w:hRule="atLeast"/>
          <w:jc w:val="center"/>
        </w:trPr>
        <w:tc>
          <w:tcPr>
            <w:tcW w:w="691"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color w:val="auto"/>
                <w:kern w:val="0"/>
                <w:sz w:val="22"/>
                <w:szCs w:val="22"/>
                <w:highlight w:val="none"/>
              </w:rPr>
            </w:pPr>
          </w:p>
        </w:tc>
        <w:tc>
          <w:tcPr>
            <w:tcW w:w="1005" w:type="dxa"/>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pacing w:line="360" w:lineRule="auto"/>
              <w:ind w:left="0" w:leftChars="0" w:right="0" w:rightChars="0"/>
              <w:jc w:val="left"/>
              <w:textAlignment w:val="auto"/>
              <w:rPr>
                <w:rFonts w:hint="eastAsia" w:ascii="宋体" w:hAnsi="宋体" w:cs="宋体"/>
                <w:bCs/>
                <w:color w:val="auto"/>
                <w:spacing w:val="50"/>
                <w:kern w:val="0"/>
                <w:sz w:val="22"/>
                <w:szCs w:val="22"/>
                <w:highlight w:val="none"/>
                <w:lang w:val="zh-CN"/>
              </w:rPr>
            </w:pPr>
          </w:p>
        </w:tc>
        <w:tc>
          <w:tcPr>
            <w:tcW w:w="506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是否有串通施工、监理等单位弄虛作假的现象；在没有得到相应许可的情况下，是否对外公开涉及任何机</w:t>
            </w:r>
            <w:r>
              <w:rPr>
                <w:rFonts w:hint="eastAsia" w:ascii="宋体" w:hAnsi="宋体" w:cs="宋体"/>
                <w:color w:val="auto"/>
                <w:kern w:val="0"/>
                <w:sz w:val="22"/>
                <w:szCs w:val="22"/>
                <w:highlight w:val="none"/>
                <w:lang w:val="zh-CN"/>
              </w:rPr>
              <w:t>密</w:t>
            </w:r>
            <w:r>
              <w:rPr>
                <w:rFonts w:hint="eastAsia" w:ascii="宋体" w:hAnsi="宋体" w:cs="宋体"/>
                <w:bCs/>
                <w:color w:val="auto"/>
                <w:kern w:val="0"/>
                <w:sz w:val="22"/>
                <w:szCs w:val="22"/>
                <w:highlight w:val="none"/>
                <w:lang w:val="zh-CN"/>
              </w:rPr>
              <w:t>的资枓（全部满足得</w:t>
            </w:r>
            <w:r>
              <w:rPr>
                <w:rFonts w:hint="eastAsia" w:ascii="宋体" w:hAnsi="宋体" w:cs="宋体"/>
                <w:color w:val="auto"/>
                <w:kern w:val="0"/>
                <w:sz w:val="22"/>
                <w:szCs w:val="22"/>
                <w:highlight w:val="none"/>
                <w:lang w:val="zh-CN"/>
              </w:rPr>
              <w:t>10</w:t>
            </w:r>
            <w:r>
              <w:rPr>
                <w:rFonts w:hint="eastAsia" w:ascii="宋体" w:hAnsi="宋体" w:cs="宋体"/>
                <w:bCs/>
                <w:color w:val="auto"/>
                <w:kern w:val="0"/>
                <w:sz w:val="22"/>
                <w:szCs w:val="22"/>
                <w:highlight w:val="none"/>
                <w:lang w:val="zh-CN"/>
              </w:rPr>
              <w:t>分，违规一次扣</w:t>
            </w:r>
            <w:r>
              <w:rPr>
                <w:rFonts w:hint="eastAsia" w:ascii="宋体" w:hAnsi="宋体" w:cs="宋体"/>
                <w:color w:val="auto"/>
                <w:kern w:val="0"/>
                <w:sz w:val="22"/>
                <w:szCs w:val="22"/>
                <w:highlight w:val="none"/>
                <w:lang w:val="zh-CN"/>
              </w:rPr>
              <w:t>10</w:t>
            </w:r>
            <w:r>
              <w:rPr>
                <w:rFonts w:hint="eastAsia" w:ascii="宋体" w:hAnsi="宋体" w:cs="宋体"/>
                <w:bCs/>
                <w:color w:val="auto"/>
                <w:kern w:val="0"/>
                <w:sz w:val="22"/>
                <w:szCs w:val="22"/>
                <w:highlight w:val="none"/>
                <w:lang w:val="zh-CN"/>
              </w:rPr>
              <w:t>分）。</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spacing w:val="20"/>
                <w:kern w:val="0"/>
                <w:sz w:val="22"/>
                <w:szCs w:val="22"/>
                <w:highlight w:val="none"/>
                <w:lang w:val="zh-CN"/>
              </w:rPr>
            </w:pPr>
            <w:r>
              <w:rPr>
                <w:rFonts w:hint="eastAsia" w:ascii="宋体" w:hAnsi="宋体" w:cs="宋体"/>
                <w:bCs/>
                <w:color w:val="auto"/>
                <w:spacing w:val="20"/>
                <w:kern w:val="0"/>
                <w:sz w:val="22"/>
                <w:szCs w:val="22"/>
                <w:highlight w:val="none"/>
                <w:lang w:val="zh-CN"/>
              </w:rPr>
              <w:t>10</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510" w:hRule="atLeast"/>
          <w:jc w:val="center"/>
        </w:trPr>
        <w:tc>
          <w:tcPr>
            <w:tcW w:w="7474" w:type="dxa"/>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合计得分</w:t>
            </w:r>
          </w:p>
        </w:tc>
        <w:tc>
          <w:tcPr>
            <w:tcW w:w="709"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r>
        <w:tblPrEx>
          <w:tblCellMar>
            <w:top w:w="0" w:type="dxa"/>
            <w:left w:w="40" w:type="dxa"/>
            <w:bottom w:w="0" w:type="dxa"/>
            <w:right w:w="40" w:type="dxa"/>
          </w:tblCellMar>
        </w:tblPrEx>
        <w:trPr>
          <w:trHeight w:val="850" w:hRule="atLeast"/>
          <w:jc w:val="center"/>
        </w:trPr>
        <w:tc>
          <w:tcPr>
            <w:tcW w:w="7474" w:type="dxa"/>
            <w:gridSpan w:val="4"/>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bCs/>
                <w:color w:val="auto"/>
                <w:kern w:val="0"/>
                <w:sz w:val="22"/>
                <w:szCs w:val="22"/>
                <w:highlight w:val="none"/>
                <w:lang w:val="zh-CN"/>
              </w:rPr>
            </w:pPr>
            <w:r>
              <w:rPr>
                <w:rFonts w:hint="eastAsia" w:ascii="宋体" w:hAnsi="宋体" w:cs="宋体"/>
                <w:bCs/>
                <w:color w:val="auto"/>
                <w:kern w:val="0"/>
                <w:sz w:val="22"/>
                <w:szCs w:val="22"/>
                <w:highlight w:val="none"/>
                <w:lang w:val="zh-CN"/>
              </w:rPr>
              <w:t>考核组（签名）：                               检查时间：</w:t>
            </w:r>
          </w:p>
        </w:tc>
        <w:tc>
          <w:tcPr>
            <w:tcW w:w="709" w:type="dxa"/>
            <w:tcBorders>
              <w:top w:val="single" w:color="auto" w:sz="6" w:space="0"/>
              <w:left w:val="nil"/>
              <w:bottom w:val="single" w:color="auto" w:sz="6" w:space="0"/>
              <w:right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c>
          <w:tcPr>
            <w:tcW w:w="892" w:type="dxa"/>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ind w:left="0" w:leftChars="0" w:right="0" w:rightChars="0"/>
              <w:jc w:val="center"/>
              <w:textAlignment w:val="auto"/>
              <w:rPr>
                <w:rFonts w:hint="eastAsia" w:ascii="宋体" w:hAnsi="宋体" w:cs="宋体"/>
                <w:color w:val="auto"/>
                <w:kern w:val="0"/>
                <w:sz w:val="22"/>
                <w:szCs w:val="22"/>
                <w:highlight w:val="none"/>
              </w:rPr>
            </w:pPr>
          </w:p>
        </w:tc>
      </w:tr>
    </w:tbl>
    <w:p>
      <w:pPr>
        <w:pStyle w:val="22"/>
        <w:pageBreakBefore w:val="0"/>
        <w:topLinePunct w:val="0"/>
        <w:bidi w:val="0"/>
        <w:spacing w:after="0" w:line="360" w:lineRule="auto"/>
        <w:ind w:left="0" w:leftChars="0" w:right="0" w:rightChars="0" w:firstLine="468"/>
        <w:rPr>
          <w:rFonts w:hint="eastAsia" w:ascii="宋体" w:hAnsi="宋体" w:eastAsia="宋体" w:cs="宋体"/>
          <w:color w:val="auto"/>
          <w:sz w:val="22"/>
          <w:szCs w:val="22"/>
          <w:highlight w:val="none"/>
        </w:rPr>
      </w:pPr>
    </w:p>
    <w:p>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br w:type="page"/>
      </w:r>
    </w:p>
    <w:p>
      <w:pPr>
        <w:pStyle w:val="2"/>
        <w:spacing w:line="360" w:lineRule="auto"/>
        <w:rPr>
          <w:rFonts w:hint="eastAsia" w:ascii="宋体" w:hAnsi="宋体" w:eastAsia="宋体" w:cs="宋体"/>
          <w:color w:val="auto"/>
          <w:sz w:val="22"/>
          <w:szCs w:val="22"/>
          <w:highlight w:val="none"/>
        </w:rPr>
      </w:pP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textAlignment w:val="auto"/>
        <w:outlineLvl w:val="2"/>
        <w:rPr>
          <w:rFonts w:hint="eastAsia" w:ascii="宋体" w:hAnsi="宋体" w:eastAsia="宋体" w:cs="宋体"/>
          <w:color w:val="auto"/>
          <w:sz w:val="24"/>
          <w:szCs w:val="24"/>
          <w:highlight w:val="none"/>
        </w:rPr>
      </w:pPr>
      <w:r>
        <w:rPr>
          <w:rStyle w:val="50"/>
          <w:rFonts w:hint="eastAsia" w:ascii="宋体" w:hAnsi="宋体" w:eastAsia="宋体" w:cs="宋体"/>
          <w:b/>
          <w:color w:val="auto"/>
          <w:sz w:val="22"/>
          <w:szCs w:val="22"/>
          <w:highlight w:val="none"/>
        </w:rPr>
        <w:t>附件</w:t>
      </w:r>
      <w:r>
        <w:rPr>
          <w:rStyle w:val="50"/>
          <w:rFonts w:hint="eastAsia" w:ascii="宋体" w:hAnsi="宋体" w:cs="宋体"/>
          <w:b/>
          <w:color w:val="auto"/>
          <w:sz w:val="22"/>
          <w:szCs w:val="22"/>
          <w:highlight w:val="none"/>
          <w:lang w:val="en-US"/>
        </w:rPr>
        <w:t>2</w:t>
      </w:r>
      <w:r>
        <w:rPr>
          <w:rStyle w:val="50"/>
          <w:rFonts w:hint="eastAsia" w:ascii="宋体" w:hAnsi="宋体" w:eastAsia="宋体" w:cs="宋体"/>
          <w:b/>
          <w:color w:val="auto"/>
          <w:sz w:val="22"/>
          <w:szCs w:val="22"/>
          <w:highlight w:val="none"/>
        </w:rPr>
        <w:t>：报价清单</w:t>
      </w:r>
    </w:p>
    <w:p>
      <w:pPr>
        <w:pStyle w:val="22"/>
        <w:ind w:firstLine="468"/>
        <w:rPr>
          <w:rFonts w:ascii="宋体" w:eastAsia="宋体" w:cs="宋体"/>
          <w:color w:val="auto"/>
          <w:sz w:val="21"/>
          <w:szCs w:val="21"/>
          <w:highlight w:val="none"/>
        </w:rPr>
      </w:pPr>
    </w:p>
    <w:p>
      <w:pPr>
        <w:rPr>
          <w:rFonts w:hAnsi="宋体"/>
          <w:color w:val="auto"/>
          <w:highlight w:val="none"/>
        </w:rPr>
      </w:pPr>
      <w:bookmarkStart w:id="505" w:name="bookmark4"/>
      <w:bookmarkEnd w:id="505"/>
      <w:bookmarkStart w:id="506" w:name="第五章__投标文件格式"/>
      <w:bookmarkEnd w:id="506"/>
      <w:bookmarkStart w:id="507" w:name="_Toc102907945"/>
      <w:bookmarkStart w:id="508" w:name="_Toc71855652"/>
      <w:bookmarkStart w:id="509" w:name="_Toc103022834"/>
      <w:bookmarkStart w:id="510" w:name="_Toc20231"/>
      <w:bookmarkStart w:id="511" w:name="_Toc71854390"/>
      <w:bookmarkStart w:id="512" w:name="_Toc71854994"/>
      <w:bookmarkStart w:id="513" w:name="_Toc71855307"/>
      <w:bookmarkStart w:id="514" w:name="_Toc99970159"/>
      <w:r>
        <w:rPr>
          <w:rFonts w:hint="eastAsia" w:hAnsi="宋体"/>
          <w:color w:val="auto"/>
          <w:highlight w:val="none"/>
        </w:rPr>
        <w:br w:type="page"/>
      </w:r>
    </w:p>
    <w:p>
      <w:pPr>
        <w:pStyle w:val="4"/>
        <w:tabs>
          <w:tab w:val="left" w:pos="3791"/>
        </w:tabs>
        <w:kinsoku w:val="0"/>
        <w:overflowPunct w:val="0"/>
        <w:spacing w:line="580" w:lineRule="exact"/>
        <w:ind w:left="1872"/>
        <w:rPr>
          <w:rFonts w:hAnsi="宋体"/>
          <w:color w:val="auto"/>
          <w:highlight w:val="none"/>
        </w:rPr>
      </w:pPr>
      <w:r>
        <w:rPr>
          <w:rFonts w:hint="eastAsia" w:hAnsi="宋体"/>
          <w:color w:val="auto"/>
          <w:highlight w:val="none"/>
        </w:rPr>
        <w:t>第五章</w:t>
      </w:r>
      <w:r>
        <w:rPr>
          <w:rFonts w:hAnsi="宋体"/>
          <w:color w:val="auto"/>
          <w:highlight w:val="none"/>
        </w:rPr>
        <w:tab/>
      </w:r>
      <w:r>
        <w:rPr>
          <w:rFonts w:hint="eastAsia" w:hAnsi="宋体"/>
          <w:color w:val="auto"/>
          <w:highlight w:val="none"/>
        </w:rPr>
        <w:t>投标文件格式</w:t>
      </w:r>
      <w:bookmarkEnd w:id="507"/>
      <w:bookmarkEnd w:id="508"/>
      <w:bookmarkEnd w:id="509"/>
      <w:bookmarkEnd w:id="510"/>
      <w:bookmarkEnd w:id="511"/>
      <w:bookmarkEnd w:id="512"/>
      <w:bookmarkEnd w:id="513"/>
      <w:bookmarkEnd w:id="514"/>
    </w:p>
    <w:p>
      <w:pPr>
        <w:pStyle w:val="11"/>
        <w:kinsoku w:val="0"/>
        <w:overflowPunct w:val="0"/>
        <w:spacing w:before="0"/>
        <w:ind w:left="0"/>
        <w:rPr>
          <w:rFonts w:hAnsi="宋体"/>
          <w:color w:val="auto"/>
          <w:sz w:val="20"/>
          <w:szCs w:val="20"/>
          <w:highlight w:val="none"/>
        </w:rPr>
      </w:pPr>
      <w:r>
        <w:rPr>
          <w:rFonts w:hAnsi="宋体"/>
          <w:color w:val="auto"/>
          <w:sz w:val="48"/>
          <w:szCs w:val="48"/>
          <w:highlight w:val="none"/>
        </w:rPr>
        <w:br w:type="page"/>
      </w:r>
    </w:p>
    <w:p>
      <w:pPr>
        <w:pStyle w:val="11"/>
        <w:kinsoku w:val="0"/>
        <w:overflowPunct w:val="0"/>
        <w:spacing w:before="2"/>
        <w:ind w:left="0"/>
        <w:rPr>
          <w:rFonts w:hAnsi="宋体"/>
          <w:color w:val="auto"/>
          <w:sz w:val="21"/>
          <w:szCs w:val="21"/>
          <w:highlight w:val="none"/>
        </w:rPr>
      </w:pPr>
    </w:p>
    <w:p>
      <w:pPr>
        <w:pStyle w:val="5"/>
        <w:jc w:val="center"/>
        <w:rPr>
          <w:rFonts w:hAnsi="宋体"/>
          <w:color w:val="auto"/>
          <w:highlight w:val="none"/>
        </w:rPr>
      </w:pPr>
      <w:bookmarkStart w:id="515" w:name="_Toc71855653"/>
      <w:bookmarkStart w:id="516" w:name="_Toc71854995"/>
      <w:bookmarkStart w:id="517" w:name="_Toc103022835"/>
      <w:bookmarkStart w:id="518" w:name="_Toc71855308"/>
      <w:bookmarkStart w:id="519" w:name="_Toc71854391"/>
      <w:bookmarkStart w:id="520" w:name="_Toc102907946"/>
      <w:r>
        <w:rPr>
          <w:rFonts w:hint="eastAsia" w:hAnsi="宋体"/>
          <w:color w:val="auto"/>
          <w:highlight w:val="none"/>
        </w:rPr>
        <w:t>投标文件封面格式</w:t>
      </w:r>
      <w:bookmarkEnd w:id="515"/>
      <w:bookmarkEnd w:id="516"/>
      <w:bookmarkEnd w:id="517"/>
      <w:bookmarkEnd w:id="518"/>
      <w:bookmarkEnd w:id="519"/>
      <w:bookmarkEnd w:id="520"/>
    </w:p>
    <w:p>
      <w:pPr>
        <w:pStyle w:val="11"/>
        <w:kinsoku w:val="0"/>
        <w:overflowPunct w:val="0"/>
        <w:spacing w:before="0"/>
        <w:ind w:left="0"/>
        <w:rPr>
          <w:rFonts w:hAnsi="宋体"/>
          <w:color w:val="auto"/>
          <w:sz w:val="20"/>
          <w:szCs w:val="20"/>
          <w:highlight w:val="none"/>
        </w:rPr>
      </w:pPr>
    </w:p>
    <w:p>
      <w:pPr>
        <w:pStyle w:val="11"/>
        <w:kinsoku w:val="0"/>
        <w:overflowPunct w:val="0"/>
        <w:spacing w:before="0"/>
        <w:ind w:left="0"/>
        <w:rPr>
          <w:rFonts w:hAnsi="宋体"/>
          <w:b/>
          <w:bCs/>
          <w:color w:val="auto"/>
          <w:sz w:val="20"/>
          <w:szCs w:val="20"/>
          <w:highlight w:val="none"/>
        </w:rPr>
      </w:pPr>
    </w:p>
    <w:p>
      <w:pPr>
        <w:pStyle w:val="11"/>
        <w:kinsoku w:val="0"/>
        <w:overflowPunct w:val="0"/>
        <w:spacing w:before="0"/>
        <w:ind w:left="0"/>
        <w:rPr>
          <w:rFonts w:hAnsi="宋体"/>
          <w:color w:val="auto"/>
          <w:sz w:val="20"/>
          <w:szCs w:val="20"/>
          <w:highlight w:val="none"/>
        </w:rPr>
      </w:pPr>
    </w:p>
    <w:p>
      <w:pPr>
        <w:pStyle w:val="11"/>
        <w:kinsoku w:val="0"/>
        <w:overflowPunct w:val="0"/>
        <w:spacing w:before="0"/>
        <w:ind w:left="0"/>
        <w:rPr>
          <w:rFonts w:hAnsi="宋体"/>
          <w:color w:val="auto"/>
          <w:sz w:val="20"/>
          <w:szCs w:val="20"/>
          <w:highlight w:val="none"/>
        </w:rPr>
      </w:pPr>
    </w:p>
    <w:p>
      <w:pPr>
        <w:pStyle w:val="11"/>
        <w:kinsoku w:val="0"/>
        <w:overflowPunct w:val="0"/>
        <w:spacing w:before="4"/>
        <w:ind w:left="0"/>
        <w:rPr>
          <w:rFonts w:hAnsi="宋体"/>
          <w:color w:val="auto"/>
          <w:sz w:val="14"/>
          <w:szCs w:val="14"/>
          <w:highlight w:val="none"/>
        </w:rPr>
      </w:pPr>
    </w:p>
    <w:p>
      <w:pPr>
        <w:pStyle w:val="11"/>
        <w:kinsoku w:val="0"/>
        <w:overflowPunct w:val="0"/>
        <w:spacing w:before="0" w:line="360" w:lineRule="auto"/>
        <w:ind w:left="0"/>
        <w:jc w:val="center"/>
        <w:rPr>
          <w:rFonts w:hAnsi="宋体"/>
          <w:color w:val="auto"/>
          <w:sz w:val="50"/>
          <w:szCs w:val="50"/>
          <w:highlight w:val="none"/>
        </w:rPr>
      </w:pPr>
      <w:r>
        <w:rPr>
          <w:rFonts w:hint="eastAsia"/>
          <w:b/>
          <w:bCs/>
          <w:color w:val="auto"/>
          <w:sz w:val="52"/>
          <w:szCs w:val="52"/>
          <w:highlight w:val="none"/>
          <w:lang w:eastAsia="zh-CN"/>
        </w:rPr>
        <w:t>江门市悦兴置业有限公司悦璟苑小区项目全过程工程咨询服务（工程监理、工程造价咨询）</w:t>
      </w:r>
    </w:p>
    <w:p>
      <w:pPr>
        <w:pStyle w:val="11"/>
        <w:kinsoku w:val="0"/>
        <w:overflowPunct w:val="0"/>
        <w:spacing w:before="0"/>
        <w:ind w:left="0"/>
        <w:rPr>
          <w:rFonts w:hAnsi="宋体"/>
          <w:color w:val="auto"/>
          <w:sz w:val="50"/>
          <w:szCs w:val="50"/>
          <w:highlight w:val="none"/>
        </w:rPr>
      </w:pPr>
    </w:p>
    <w:p>
      <w:pPr>
        <w:pStyle w:val="11"/>
        <w:kinsoku w:val="0"/>
        <w:overflowPunct w:val="0"/>
        <w:spacing w:before="0"/>
        <w:ind w:left="0"/>
        <w:rPr>
          <w:rFonts w:hAnsi="宋体"/>
          <w:color w:val="auto"/>
          <w:sz w:val="50"/>
          <w:szCs w:val="50"/>
          <w:highlight w:val="none"/>
        </w:rPr>
      </w:pPr>
    </w:p>
    <w:p>
      <w:pPr>
        <w:pStyle w:val="11"/>
        <w:kinsoku w:val="0"/>
        <w:overflowPunct w:val="0"/>
        <w:spacing w:before="3"/>
        <w:ind w:left="0"/>
        <w:rPr>
          <w:rFonts w:hAnsi="宋体"/>
          <w:color w:val="auto"/>
          <w:sz w:val="64"/>
          <w:szCs w:val="64"/>
          <w:highlight w:val="none"/>
        </w:rPr>
      </w:pPr>
    </w:p>
    <w:p>
      <w:pPr>
        <w:pStyle w:val="11"/>
        <w:kinsoku w:val="0"/>
        <w:overflowPunct w:val="0"/>
        <w:spacing w:before="0"/>
        <w:ind w:left="0" w:right="1"/>
        <w:jc w:val="center"/>
        <w:rPr>
          <w:rFonts w:hAnsi="宋体"/>
          <w:color w:val="auto"/>
          <w:sz w:val="48"/>
          <w:szCs w:val="48"/>
          <w:highlight w:val="none"/>
        </w:rPr>
      </w:pPr>
      <w:r>
        <w:rPr>
          <w:rFonts w:hint="eastAsia" w:hAnsi="宋体"/>
          <w:color w:val="auto"/>
          <w:sz w:val="48"/>
          <w:szCs w:val="48"/>
          <w:highlight w:val="none"/>
        </w:rPr>
        <w:t>投标文件</w:t>
      </w:r>
    </w:p>
    <w:p>
      <w:pPr>
        <w:pStyle w:val="11"/>
        <w:kinsoku w:val="0"/>
        <w:overflowPunct w:val="0"/>
        <w:spacing w:before="0"/>
        <w:ind w:left="0"/>
        <w:rPr>
          <w:rFonts w:hAnsi="宋体"/>
          <w:color w:val="auto"/>
          <w:sz w:val="48"/>
          <w:szCs w:val="48"/>
          <w:highlight w:val="none"/>
        </w:rPr>
      </w:pPr>
    </w:p>
    <w:p>
      <w:pPr>
        <w:pStyle w:val="11"/>
        <w:kinsoku w:val="0"/>
        <w:overflowPunct w:val="0"/>
        <w:spacing w:before="0"/>
        <w:ind w:left="0"/>
        <w:rPr>
          <w:rFonts w:hAnsi="宋体"/>
          <w:color w:val="auto"/>
          <w:sz w:val="48"/>
          <w:szCs w:val="48"/>
          <w:highlight w:val="none"/>
        </w:rPr>
      </w:pPr>
    </w:p>
    <w:p>
      <w:pPr>
        <w:pStyle w:val="11"/>
        <w:kinsoku w:val="0"/>
        <w:overflowPunct w:val="0"/>
        <w:spacing w:before="0"/>
        <w:ind w:left="0"/>
        <w:rPr>
          <w:rFonts w:hAnsi="宋体"/>
          <w:color w:val="auto"/>
          <w:sz w:val="48"/>
          <w:szCs w:val="48"/>
          <w:highlight w:val="none"/>
        </w:rPr>
      </w:pPr>
    </w:p>
    <w:p>
      <w:pPr>
        <w:pStyle w:val="11"/>
        <w:kinsoku w:val="0"/>
        <w:overflowPunct w:val="0"/>
        <w:spacing w:before="0"/>
        <w:ind w:left="0"/>
        <w:rPr>
          <w:rFonts w:hAnsi="宋体"/>
          <w:color w:val="auto"/>
          <w:sz w:val="48"/>
          <w:szCs w:val="48"/>
          <w:highlight w:val="none"/>
        </w:rPr>
      </w:pPr>
    </w:p>
    <w:p>
      <w:pPr>
        <w:pStyle w:val="11"/>
        <w:kinsoku w:val="0"/>
        <w:overflowPunct w:val="0"/>
        <w:spacing w:before="0"/>
        <w:ind w:left="0"/>
        <w:rPr>
          <w:rFonts w:hAnsi="宋体"/>
          <w:color w:val="auto"/>
          <w:sz w:val="48"/>
          <w:szCs w:val="48"/>
          <w:highlight w:val="none"/>
        </w:rPr>
      </w:pPr>
    </w:p>
    <w:p>
      <w:pPr>
        <w:pStyle w:val="11"/>
        <w:kinsoku w:val="0"/>
        <w:overflowPunct w:val="0"/>
        <w:spacing w:before="0"/>
        <w:ind w:left="0"/>
        <w:rPr>
          <w:rFonts w:hAnsi="宋体"/>
          <w:color w:val="auto"/>
          <w:sz w:val="48"/>
          <w:szCs w:val="48"/>
          <w:highlight w:val="none"/>
        </w:rPr>
      </w:pPr>
    </w:p>
    <w:p>
      <w:pPr>
        <w:pStyle w:val="11"/>
        <w:tabs>
          <w:tab w:val="left" w:pos="6268"/>
        </w:tabs>
        <w:kinsoku w:val="0"/>
        <w:overflowPunct w:val="0"/>
        <w:spacing w:before="0" w:line="381" w:lineRule="auto"/>
        <w:ind w:left="120" w:right="175"/>
        <w:jc w:val="center"/>
        <w:rPr>
          <w:rFonts w:hAnsi="宋体"/>
          <w:color w:val="auto"/>
          <w:sz w:val="30"/>
          <w:szCs w:val="30"/>
          <w:highlight w:val="none"/>
        </w:rPr>
      </w:pPr>
      <w:r>
        <w:rPr>
          <w:rFonts w:hint="eastAsia" w:hAnsi="宋体"/>
          <w:color w:val="auto"/>
          <w:sz w:val="30"/>
          <w:szCs w:val="30"/>
          <w:highlight w:val="none"/>
        </w:rPr>
        <w:t>投</w:t>
      </w:r>
      <w:r>
        <w:rPr>
          <w:rFonts w:hAnsi="宋体"/>
          <w:color w:val="auto"/>
          <w:sz w:val="30"/>
          <w:szCs w:val="30"/>
          <w:highlight w:val="none"/>
        </w:rPr>
        <w:t xml:space="preserve"> </w:t>
      </w:r>
      <w:r>
        <w:rPr>
          <w:rFonts w:hint="eastAsia" w:hAnsi="宋体"/>
          <w:color w:val="auto"/>
          <w:sz w:val="30"/>
          <w:szCs w:val="30"/>
          <w:highlight w:val="none"/>
        </w:rPr>
        <w:t>标</w:t>
      </w:r>
      <w:r>
        <w:rPr>
          <w:rFonts w:hAnsi="宋体"/>
          <w:color w:val="auto"/>
          <w:spacing w:val="-2"/>
          <w:sz w:val="30"/>
          <w:szCs w:val="30"/>
          <w:highlight w:val="none"/>
        </w:rPr>
        <w:t xml:space="preserve"> </w:t>
      </w:r>
      <w:r>
        <w:rPr>
          <w:rFonts w:hint="eastAsia" w:hAnsi="宋体"/>
          <w:color w:val="auto"/>
          <w:sz w:val="30"/>
          <w:szCs w:val="30"/>
          <w:highlight w:val="none"/>
        </w:rPr>
        <w:t>人</w:t>
      </w:r>
      <w:r>
        <w:rPr>
          <w:rFonts w:hAnsi="宋体"/>
          <w:color w:val="auto"/>
          <w:spacing w:val="-3"/>
          <w:sz w:val="30"/>
          <w:szCs w:val="30"/>
          <w:highlight w:val="none"/>
        </w:rPr>
        <w:t xml:space="preserve"> </w:t>
      </w:r>
      <w:r>
        <w:rPr>
          <w:rFonts w:hint="eastAsia" w:hAnsi="宋体"/>
          <w:color w:val="auto"/>
          <w:sz w:val="30"/>
          <w:szCs w:val="30"/>
          <w:highlight w:val="none"/>
        </w:rPr>
        <w:t>：</w:t>
      </w:r>
      <w:r>
        <w:rPr>
          <w:rFonts w:hAnsi="宋体" w:cs="Times New Roman"/>
          <w:color w:val="auto"/>
          <w:sz w:val="30"/>
          <w:szCs w:val="30"/>
          <w:highlight w:val="none"/>
        </w:rPr>
        <w:t xml:space="preserve"> </w:t>
      </w:r>
      <w:r>
        <w:rPr>
          <w:rFonts w:hAnsi="宋体" w:cs="仿宋"/>
          <w:b/>
          <w:color w:val="auto"/>
          <w:highlight w:val="none"/>
          <w:u w:val="single"/>
        </w:rPr>
        <w:t xml:space="preserve">            </w:t>
      </w:r>
      <w:r>
        <w:rPr>
          <w:rFonts w:hint="eastAsia" w:hAnsi="宋体"/>
          <w:color w:val="auto"/>
          <w:sz w:val="30"/>
          <w:szCs w:val="30"/>
          <w:highlight w:val="none"/>
        </w:rPr>
        <w:t>（盖章）</w:t>
      </w:r>
      <w:r>
        <w:rPr>
          <w:rFonts w:hAnsi="宋体"/>
          <w:color w:val="auto"/>
          <w:sz w:val="30"/>
          <w:szCs w:val="30"/>
          <w:highlight w:val="none"/>
        </w:rPr>
        <w:t xml:space="preserve"> </w:t>
      </w:r>
    </w:p>
    <w:p>
      <w:pPr>
        <w:pStyle w:val="11"/>
        <w:tabs>
          <w:tab w:val="left" w:pos="6268"/>
        </w:tabs>
        <w:kinsoku w:val="0"/>
        <w:overflowPunct w:val="0"/>
        <w:spacing w:before="0" w:line="381" w:lineRule="auto"/>
        <w:ind w:left="120" w:right="175"/>
        <w:jc w:val="center"/>
        <w:rPr>
          <w:rFonts w:hAnsi="宋体"/>
          <w:color w:val="auto"/>
          <w:sz w:val="30"/>
          <w:szCs w:val="30"/>
          <w:highlight w:val="none"/>
        </w:rPr>
      </w:pPr>
      <w:r>
        <w:rPr>
          <w:rFonts w:hint="eastAsia" w:hAnsi="宋体"/>
          <w:color w:val="auto"/>
          <w:sz w:val="30"/>
          <w:szCs w:val="30"/>
          <w:highlight w:val="none"/>
        </w:rPr>
        <w:t>法定代表人或其委托代理人</w:t>
      </w:r>
      <w:r>
        <w:rPr>
          <w:rFonts w:hAnsi="宋体"/>
          <w:color w:val="auto"/>
          <w:spacing w:val="-3"/>
          <w:sz w:val="30"/>
          <w:szCs w:val="30"/>
          <w:highlight w:val="none"/>
        </w:rPr>
        <w:t xml:space="preserve"> </w:t>
      </w:r>
      <w:r>
        <w:rPr>
          <w:rFonts w:hint="eastAsia" w:hAnsi="宋体"/>
          <w:color w:val="auto"/>
          <w:sz w:val="30"/>
          <w:szCs w:val="30"/>
          <w:highlight w:val="none"/>
        </w:rPr>
        <w:t>：</w:t>
      </w:r>
      <w:r>
        <w:rPr>
          <w:rFonts w:hAnsi="宋体" w:cs="Times New Roman"/>
          <w:color w:val="auto"/>
          <w:sz w:val="30"/>
          <w:szCs w:val="30"/>
          <w:highlight w:val="none"/>
        </w:rPr>
        <w:t xml:space="preserve"> </w:t>
      </w:r>
      <w:r>
        <w:rPr>
          <w:rFonts w:hAnsi="宋体" w:cs="仿宋"/>
          <w:b/>
          <w:color w:val="auto"/>
          <w:highlight w:val="none"/>
          <w:u w:val="single"/>
        </w:rPr>
        <w:t xml:space="preserve">            </w:t>
      </w:r>
      <w:r>
        <w:rPr>
          <w:rFonts w:hint="eastAsia" w:hAnsi="宋体"/>
          <w:color w:val="auto"/>
          <w:sz w:val="30"/>
          <w:szCs w:val="30"/>
          <w:highlight w:val="none"/>
        </w:rPr>
        <w:t>（签字或盖章）</w:t>
      </w:r>
    </w:p>
    <w:p>
      <w:pPr>
        <w:pStyle w:val="11"/>
        <w:tabs>
          <w:tab w:val="left" w:pos="3523"/>
          <w:tab w:val="left" w:pos="4571"/>
          <w:tab w:val="left" w:pos="5623"/>
        </w:tabs>
        <w:kinsoku w:val="0"/>
        <w:overflowPunct w:val="0"/>
        <w:spacing w:before="54"/>
        <w:ind w:left="2623"/>
        <w:rPr>
          <w:rFonts w:hAnsi="宋体"/>
          <w:color w:val="auto"/>
          <w:sz w:val="30"/>
          <w:szCs w:val="30"/>
          <w:highlight w:val="none"/>
        </w:rPr>
      </w:pPr>
      <w:r>
        <w:rPr>
          <w:rFonts w:hAnsi="宋体" w:cs="Times New Roman"/>
          <w:color w:val="auto"/>
          <w:sz w:val="30"/>
          <w:szCs w:val="30"/>
          <w:highlight w:val="none"/>
        </w:rPr>
        <w:t xml:space="preserve"> </w:t>
      </w:r>
      <w:r>
        <w:rPr>
          <w:rFonts w:hAnsi="宋体" w:cs="仿宋"/>
          <w:b/>
          <w:color w:val="auto"/>
          <w:highlight w:val="none"/>
          <w:u w:val="single"/>
        </w:rPr>
        <w:t xml:space="preserve">       </w:t>
      </w:r>
      <w:r>
        <w:rPr>
          <w:rFonts w:hint="eastAsia" w:hAnsi="宋体"/>
          <w:color w:val="auto"/>
          <w:spacing w:val="-1"/>
          <w:sz w:val="30"/>
          <w:szCs w:val="30"/>
          <w:highlight w:val="none"/>
        </w:rPr>
        <w:t>年</w:t>
      </w:r>
      <w:r>
        <w:rPr>
          <w:rFonts w:hAnsi="宋体" w:cs="仿宋"/>
          <w:b/>
          <w:color w:val="auto"/>
          <w:highlight w:val="none"/>
          <w:u w:val="single"/>
        </w:rPr>
        <w:t xml:space="preserve">    </w:t>
      </w:r>
      <w:r>
        <w:rPr>
          <w:rFonts w:hint="eastAsia" w:hAnsi="宋体"/>
          <w:color w:val="auto"/>
          <w:sz w:val="30"/>
          <w:szCs w:val="30"/>
          <w:highlight w:val="none"/>
        </w:rPr>
        <w:t>月</w:t>
      </w:r>
      <w:r>
        <w:rPr>
          <w:rFonts w:hAnsi="宋体" w:cs="仿宋"/>
          <w:b/>
          <w:color w:val="auto"/>
          <w:highlight w:val="none"/>
          <w:u w:val="single"/>
        </w:rPr>
        <w:t xml:space="preserve">    </w:t>
      </w:r>
      <w:r>
        <w:rPr>
          <w:rFonts w:hint="eastAsia" w:hAnsi="宋体"/>
          <w:color w:val="auto"/>
          <w:sz w:val="30"/>
          <w:szCs w:val="30"/>
          <w:highlight w:val="none"/>
        </w:rPr>
        <w:t>日</w:t>
      </w:r>
    </w:p>
    <w:p>
      <w:pPr>
        <w:pStyle w:val="11"/>
        <w:kinsoku w:val="0"/>
        <w:overflowPunct w:val="0"/>
        <w:spacing w:before="2"/>
        <w:ind w:left="4452" w:right="4473"/>
        <w:jc w:val="center"/>
        <w:rPr>
          <w:rFonts w:hAnsi="宋体"/>
          <w:color w:val="auto"/>
          <w:sz w:val="20"/>
          <w:szCs w:val="20"/>
          <w:highlight w:val="none"/>
        </w:rPr>
      </w:pPr>
    </w:p>
    <w:p>
      <w:pPr>
        <w:pStyle w:val="11"/>
        <w:kinsoku w:val="0"/>
        <w:overflowPunct w:val="0"/>
        <w:spacing w:before="0"/>
        <w:ind w:left="0"/>
        <w:rPr>
          <w:rFonts w:hAnsi="宋体"/>
          <w:color w:val="auto"/>
          <w:sz w:val="14"/>
          <w:szCs w:val="14"/>
          <w:highlight w:val="none"/>
        </w:rPr>
      </w:pPr>
      <w:r>
        <w:rPr>
          <w:rFonts w:hAnsi="宋体"/>
          <w:color w:val="auto"/>
          <w:sz w:val="20"/>
          <w:szCs w:val="20"/>
          <w:highlight w:val="none"/>
        </w:rPr>
        <w:br w:type="page"/>
      </w:r>
    </w:p>
    <w:p>
      <w:pPr>
        <w:pStyle w:val="5"/>
        <w:jc w:val="center"/>
        <w:rPr>
          <w:rFonts w:hAnsi="宋体"/>
          <w:color w:val="auto"/>
          <w:highlight w:val="none"/>
        </w:rPr>
      </w:pPr>
      <w:bookmarkStart w:id="521" w:name="_Toc71854997"/>
      <w:bookmarkStart w:id="522" w:name="_Toc71855655"/>
      <w:bookmarkStart w:id="523" w:name="_Toc71855310"/>
      <w:bookmarkStart w:id="524" w:name="_Toc71854393"/>
      <w:bookmarkStart w:id="525" w:name="_Toc102907948"/>
      <w:bookmarkStart w:id="526" w:name="_Toc103022837"/>
      <w:r>
        <w:rPr>
          <w:rFonts w:hint="eastAsia" w:hAnsi="宋体"/>
          <w:color w:val="auto"/>
          <w:w w:val="95"/>
          <w:highlight w:val="none"/>
        </w:rPr>
        <w:t>目</w:t>
      </w:r>
      <w:r>
        <w:rPr>
          <w:rFonts w:hAnsi="宋体"/>
          <w:color w:val="auto"/>
          <w:w w:val="95"/>
          <w:highlight w:val="none"/>
        </w:rPr>
        <w:tab/>
      </w:r>
      <w:r>
        <w:rPr>
          <w:rFonts w:hint="eastAsia" w:hAnsi="宋体"/>
          <w:color w:val="auto"/>
          <w:highlight w:val="none"/>
        </w:rPr>
        <w:t>录</w:t>
      </w:r>
      <w:bookmarkEnd w:id="521"/>
      <w:bookmarkEnd w:id="522"/>
      <w:bookmarkEnd w:id="523"/>
      <w:bookmarkEnd w:id="524"/>
      <w:bookmarkEnd w:id="525"/>
      <w:bookmarkEnd w:id="526"/>
    </w:p>
    <w:p>
      <w:pPr>
        <w:pStyle w:val="11"/>
        <w:kinsoku w:val="0"/>
        <w:overflowPunct w:val="0"/>
        <w:spacing w:before="0"/>
        <w:ind w:left="0"/>
        <w:rPr>
          <w:rFonts w:hAnsi="宋体"/>
          <w:color w:val="auto"/>
          <w:sz w:val="20"/>
          <w:szCs w:val="20"/>
          <w:highlight w:val="none"/>
        </w:rPr>
      </w:pPr>
    </w:p>
    <w:p>
      <w:pPr>
        <w:pStyle w:val="11"/>
        <w:kinsoku w:val="0"/>
        <w:overflowPunct w:val="0"/>
        <w:spacing w:before="0"/>
        <w:ind w:left="0"/>
        <w:rPr>
          <w:rFonts w:hAnsi="宋体"/>
          <w:color w:val="auto"/>
          <w:sz w:val="20"/>
          <w:szCs w:val="20"/>
          <w:highlight w:val="none"/>
        </w:rPr>
      </w:pPr>
    </w:p>
    <w:p>
      <w:pPr>
        <w:pStyle w:val="11"/>
        <w:kinsoku w:val="0"/>
        <w:overflowPunct w:val="0"/>
        <w:spacing w:before="4"/>
        <w:ind w:left="0"/>
        <w:rPr>
          <w:rFonts w:hAnsi="宋体"/>
          <w:color w:val="auto"/>
          <w:sz w:val="20"/>
          <w:szCs w:val="20"/>
          <w:highlight w:val="none"/>
        </w:rPr>
      </w:pPr>
    </w:p>
    <w:p>
      <w:pPr>
        <w:spacing w:before="240" w:beforeLines="100" w:after="240" w:afterLines="100"/>
        <w:ind w:firstLine="560" w:firstLineChars="200"/>
        <w:rPr>
          <w:rFonts w:ascii="宋体" w:hAnsi="宋体"/>
          <w:color w:val="auto"/>
          <w:sz w:val="28"/>
          <w:szCs w:val="28"/>
          <w:highlight w:val="none"/>
        </w:rPr>
      </w:pPr>
      <w:r>
        <w:rPr>
          <w:rFonts w:hint="eastAsia" w:ascii="宋体" w:hAnsi="宋体"/>
          <w:color w:val="auto"/>
          <w:sz w:val="28"/>
          <w:szCs w:val="28"/>
          <w:highlight w:val="none"/>
        </w:rPr>
        <w:t>一</w:t>
      </w: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 xml:space="preserve"> </w:t>
      </w:r>
      <w:r>
        <w:rPr>
          <w:rFonts w:hint="eastAsia" w:ascii="宋体" w:hAnsi="宋体"/>
          <w:color w:val="auto"/>
          <w:sz w:val="28"/>
          <w:szCs w:val="28"/>
          <w:highlight w:val="none"/>
        </w:rPr>
        <w:t>投标函及投标函附录</w:t>
      </w:r>
      <w:r>
        <w:rPr>
          <w:rFonts w:ascii="宋体" w:hAnsi="宋体"/>
          <w:color w:val="auto"/>
          <w:sz w:val="28"/>
          <w:szCs w:val="28"/>
          <w:highlight w:val="none"/>
        </w:rPr>
        <w:t xml:space="preserve"> </w:t>
      </w:r>
    </w:p>
    <w:p>
      <w:pPr>
        <w:spacing w:before="240" w:beforeLines="100" w:after="240" w:afterLines="100"/>
        <w:ind w:firstLine="560" w:firstLineChars="200"/>
        <w:rPr>
          <w:rFonts w:ascii="宋体" w:hAnsi="宋体"/>
          <w:color w:val="auto"/>
          <w:sz w:val="28"/>
          <w:szCs w:val="28"/>
          <w:highlight w:val="none"/>
        </w:rPr>
      </w:pPr>
      <w:r>
        <w:rPr>
          <w:rFonts w:hint="eastAsia" w:ascii="宋体" w:hAnsi="宋体"/>
          <w:color w:val="auto"/>
          <w:sz w:val="28"/>
          <w:szCs w:val="28"/>
          <w:highlight w:val="none"/>
        </w:rPr>
        <w:t>二</w:t>
      </w: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 xml:space="preserve"> </w:t>
      </w:r>
      <w:r>
        <w:rPr>
          <w:rFonts w:hint="eastAsia" w:ascii="宋体" w:hAnsi="宋体"/>
          <w:color w:val="auto"/>
          <w:sz w:val="28"/>
          <w:szCs w:val="28"/>
          <w:highlight w:val="none"/>
        </w:rPr>
        <w:t>投标保证金</w:t>
      </w:r>
    </w:p>
    <w:p>
      <w:pPr>
        <w:spacing w:before="240" w:beforeLines="100" w:after="240" w:afterLines="100"/>
        <w:ind w:firstLine="560" w:firstLineChars="200"/>
        <w:rPr>
          <w:rFonts w:ascii="宋体" w:hAnsi="宋体"/>
          <w:color w:val="auto"/>
          <w:sz w:val="28"/>
          <w:szCs w:val="28"/>
          <w:highlight w:val="none"/>
        </w:rPr>
      </w:pPr>
      <w:r>
        <w:rPr>
          <w:rFonts w:hint="eastAsia" w:ascii="宋体" w:hAnsi="宋体"/>
          <w:color w:val="auto"/>
          <w:sz w:val="28"/>
          <w:szCs w:val="28"/>
          <w:highlight w:val="none"/>
        </w:rPr>
        <w:t>三</w:t>
      </w: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 xml:space="preserve"> </w:t>
      </w:r>
      <w:r>
        <w:rPr>
          <w:rFonts w:hint="eastAsia" w:ascii="宋体" w:hAnsi="宋体"/>
          <w:color w:val="auto"/>
          <w:sz w:val="28"/>
          <w:szCs w:val="28"/>
          <w:highlight w:val="none"/>
        </w:rPr>
        <w:t>法定代表人身份证明、授权委托书（如有）</w:t>
      </w:r>
    </w:p>
    <w:p>
      <w:pPr>
        <w:spacing w:before="240" w:beforeLines="100" w:after="240" w:afterLines="100"/>
        <w:ind w:firstLine="560" w:firstLineChars="200"/>
        <w:rPr>
          <w:rFonts w:ascii="宋体" w:hAnsi="宋体"/>
          <w:color w:val="auto"/>
          <w:sz w:val="28"/>
          <w:szCs w:val="28"/>
          <w:highlight w:val="none"/>
        </w:rPr>
      </w:pPr>
      <w:r>
        <w:rPr>
          <w:rFonts w:hint="eastAsia" w:ascii="宋体" w:hAnsi="宋体"/>
          <w:color w:val="auto"/>
          <w:sz w:val="28"/>
          <w:szCs w:val="28"/>
          <w:highlight w:val="none"/>
        </w:rPr>
        <w:t>四</w:t>
      </w: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 xml:space="preserve"> </w:t>
      </w:r>
      <w:r>
        <w:rPr>
          <w:rFonts w:hint="eastAsia" w:ascii="宋体" w:hAnsi="宋体"/>
          <w:color w:val="auto"/>
          <w:sz w:val="28"/>
          <w:szCs w:val="28"/>
          <w:highlight w:val="none"/>
        </w:rPr>
        <w:t>投标一览表</w:t>
      </w:r>
    </w:p>
    <w:p>
      <w:pPr>
        <w:spacing w:before="240" w:beforeLines="100" w:after="240" w:afterLines="100"/>
        <w:ind w:firstLine="560" w:firstLineChars="200"/>
        <w:rPr>
          <w:rFonts w:ascii="宋体" w:hAnsi="宋体"/>
          <w:color w:val="auto"/>
          <w:sz w:val="28"/>
          <w:szCs w:val="28"/>
          <w:highlight w:val="none"/>
        </w:rPr>
      </w:pPr>
      <w:r>
        <w:rPr>
          <w:rFonts w:hint="eastAsia" w:ascii="宋体" w:hAnsi="宋体"/>
          <w:color w:val="auto"/>
          <w:sz w:val="28"/>
          <w:szCs w:val="28"/>
          <w:highlight w:val="none"/>
        </w:rPr>
        <w:t>五</w:t>
      </w: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 xml:space="preserve"> </w:t>
      </w:r>
      <w:r>
        <w:rPr>
          <w:rFonts w:hint="eastAsia" w:ascii="宋体" w:hAnsi="宋体"/>
          <w:color w:val="auto"/>
          <w:sz w:val="28"/>
          <w:szCs w:val="28"/>
          <w:highlight w:val="none"/>
        </w:rPr>
        <w:t>资格审查资料</w:t>
      </w:r>
      <w:r>
        <w:rPr>
          <w:rFonts w:ascii="宋体" w:hAnsi="宋体"/>
          <w:color w:val="auto"/>
          <w:sz w:val="28"/>
          <w:szCs w:val="28"/>
          <w:highlight w:val="none"/>
        </w:rPr>
        <w:t xml:space="preserve"> </w:t>
      </w:r>
    </w:p>
    <w:p>
      <w:pPr>
        <w:spacing w:before="240" w:beforeLines="100" w:after="240" w:afterLines="100"/>
        <w:ind w:firstLine="560" w:firstLineChars="200"/>
        <w:rPr>
          <w:rFonts w:ascii="宋体" w:hAnsi="宋体"/>
          <w:color w:val="auto"/>
          <w:sz w:val="28"/>
          <w:szCs w:val="28"/>
          <w:highlight w:val="none"/>
        </w:rPr>
      </w:pPr>
      <w:r>
        <w:rPr>
          <w:rFonts w:hint="eastAsia" w:ascii="宋体" w:hAnsi="宋体"/>
          <w:color w:val="auto"/>
          <w:sz w:val="28"/>
          <w:szCs w:val="28"/>
          <w:highlight w:val="none"/>
        </w:rPr>
        <w:t>六</w:t>
      </w: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 xml:space="preserve"> </w:t>
      </w:r>
      <w:r>
        <w:rPr>
          <w:rFonts w:hint="eastAsia" w:ascii="宋体" w:hAnsi="宋体"/>
          <w:color w:val="auto"/>
          <w:sz w:val="28"/>
          <w:szCs w:val="28"/>
          <w:highlight w:val="none"/>
        </w:rPr>
        <w:t>技术方案</w:t>
      </w:r>
    </w:p>
    <w:p>
      <w:pPr>
        <w:spacing w:before="240" w:beforeLines="100" w:after="240" w:afterLines="100"/>
        <w:ind w:firstLine="560" w:firstLineChars="200"/>
        <w:rPr>
          <w:rFonts w:ascii="宋体" w:hAnsi="宋体"/>
          <w:color w:val="auto"/>
          <w:sz w:val="28"/>
          <w:szCs w:val="28"/>
          <w:highlight w:val="none"/>
        </w:rPr>
      </w:pPr>
      <w:r>
        <w:rPr>
          <w:rFonts w:hint="eastAsia" w:ascii="宋体" w:hAnsi="宋体"/>
          <w:color w:val="auto"/>
          <w:sz w:val="28"/>
          <w:szCs w:val="28"/>
          <w:highlight w:val="none"/>
        </w:rPr>
        <w:t>七</w:t>
      </w:r>
      <w:r>
        <w:rPr>
          <w:rFonts w:ascii="宋体" w:hAnsi="宋体"/>
          <w:color w:val="auto"/>
          <w:sz w:val="28"/>
          <w:szCs w:val="28"/>
          <w:highlight w:val="none"/>
        </w:rPr>
        <w:t xml:space="preserve"> </w:t>
      </w:r>
      <w:r>
        <w:rPr>
          <w:rFonts w:hint="eastAsia" w:ascii="宋体" w:hAnsi="宋体"/>
          <w:color w:val="auto"/>
          <w:sz w:val="28"/>
          <w:szCs w:val="28"/>
          <w:highlight w:val="none"/>
        </w:rPr>
        <w:t>、</w:t>
      </w:r>
      <w:r>
        <w:rPr>
          <w:rFonts w:ascii="宋体" w:hAnsi="宋体"/>
          <w:color w:val="auto"/>
          <w:sz w:val="28"/>
          <w:szCs w:val="28"/>
          <w:highlight w:val="none"/>
        </w:rPr>
        <w:t xml:space="preserve"> </w:t>
      </w:r>
      <w:r>
        <w:rPr>
          <w:rFonts w:hint="eastAsia" w:ascii="宋体" w:hAnsi="宋体"/>
          <w:color w:val="auto"/>
          <w:sz w:val="28"/>
          <w:szCs w:val="28"/>
          <w:highlight w:val="none"/>
        </w:rPr>
        <w:t>其他资料</w:t>
      </w:r>
    </w:p>
    <w:p>
      <w:pPr>
        <w:pStyle w:val="11"/>
        <w:kinsoku w:val="0"/>
        <w:overflowPunct w:val="0"/>
        <w:spacing w:before="61"/>
        <w:ind w:left="120"/>
        <w:rPr>
          <w:rFonts w:hAnsi="宋体"/>
          <w:color w:val="auto"/>
          <w:sz w:val="28"/>
          <w:szCs w:val="28"/>
          <w:highlight w:val="none"/>
        </w:rPr>
      </w:pPr>
    </w:p>
    <w:p>
      <w:pPr>
        <w:pStyle w:val="11"/>
        <w:kinsoku w:val="0"/>
        <w:overflowPunct w:val="0"/>
        <w:spacing w:before="61"/>
        <w:ind w:left="120"/>
        <w:rPr>
          <w:rFonts w:hAnsi="宋体"/>
          <w:color w:val="auto"/>
          <w:sz w:val="28"/>
          <w:szCs w:val="28"/>
          <w:highlight w:val="none"/>
        </w:rPr>
      </w:pPr>
      <w:r>
        <w:rPr>
          <w:rFonts w:hAnsi="宋体"/>
          <w:color w:val="auto"/>
          <w:sz w:val="28"/>
          <w:szCs w:val="28"/>
          <w:highlight w:val="none"/>
        </w:rPr>
        <w:br w:type="page"/>
      </w:r>
    </w:p>
    <w:p>
      <w:pPr>
        <w:pStyle w:val="5"/>
        <w:rPr>
          <w:rFonts w:hAnsi="宋体"/>
          <w:color w:val="auto"/>
          <w:highlight w:val="none"/>
        </w:rPr>
      </w:pPr>
      <w:bookmarkStart w:id="527" w:name="_Toc103022838"/>
      <w:bookmarkStart w:id="528" w:name="_Toc71854394"/>
      <w:bookmarkStart w:id="529" w:name="_Toc71855656"/>
      <w:bookmarkStart w:id="530" w:name="_Toc102907949"/>
      <w:bookmarkStart w:id="531" w:name="_Toc71855311"/>
      <w:bookmarkStart w:id="532" w:name="_Toc71854998"/>
      <w:r>
        <w:rPr>
          <w:rFonts w:hint="eastAsia" w:hAnsi="宋体"/>
          <w:color w:val="auto"/>
          <w:highlight w:val="none"/>
        </w:rPr>
        <w:t>一、投标函及投标函附录</w:t>
      </w:r>
      <w:bookmarkEnd w:id="527"/>
      <w:bookmarkEnd w:id="528"/>
      <w:bookmarkEnd w:id="529"/>
      <w:bookmarkEnd w:id="530"/>
      <w:bookmarkEnd w:id="531"/>
      <w:bookmarkEnd w:id="532"/>
    </w:p>
    <w:p>
      <w:pPr>
        <w:pStyle w:val="11"/>
        <w:kinsoku w:val="0"/>
        <w:overflowPunct w:val="0"/>
        <w:spacing w:before="204"/>
        <w:ind w:left="100" w:right="277"/>
        <w:jc w:val="center"/>
        <w:rPr>
          <w:rFonts w:hAnsi="宋体"/>
          <w:color w:val="auto"/>
          <w:sz w:val="30"/>
          <w:szCs w:val="30"/>
          <w:highlight w:val="none"/>
        </w:rPr>
      </w:pPr>
      <w:r>
        <w:rPr>
          <w:rFonts w:hint="eastAsia" w:hAnsi="宋体"/>
          <w:color w:val="auto"/>
          <w:sz w:val="30"/>
          <w:szCs w:val="30"/>
          <w:highlight w:val="none"/>
        </w:rPr>
        <w:t>（一）投标函</w:t>
      </w:r>
    </w:p>
    <w:p>
      <w:pPr>
        <w:pStyle w:val="11"/>
        <w:tabs>
          <w:tab w:val="left" w:pos="2919"/>
        </w:tabs>
        <w:kinsoku w:val="0"/>
        <w:overflowPunct w:val="0"/>
        <w:spacing w:before="200"/>
        <w:ind w:left="100" w:right="5726"/>
        <w:rPr>
          <w:rFonts w:hAnsi="宋体" w:cs="Times New Roman"/>
          <w:color w:val="auto"/>
          <w:sz w:val="21"/>
          <w:szCs w:val="21"/>
          <w:highlight w:val="none"/>
        </w:rPr>
      </w:pPr>
      <w:r>
        <w:rPr>
          <w:rFonts w:hint="eastAsia" w:hAnsi="宋体"/>
          <w:color w:val="auto"/>
          <w:sz w:val="21"/>
          <w:szCs w:val="21"/>
          <w:highlight w:val="none"/>
        </w:rPr>
        <w:t>致（招标人）：</w:t>
      </w:r>
      <w:r>
        <w:rPr>
          <w:rFonts w:hAnsi="宋体"/>
          <w:color w:val="auto"/>
          <w:spacing w:val="-1"/>
          <w:sz w:val="21"/>
          <w:szCs w:val="21"/>
          <w:highlight w:val="none"/>
          <w:u w:val="single"/>
        </w:rPr>
        <w:t xml:space="preserve"> </w:t>
      </w:r>
      <w:r>
        <w:rPr>
          <w:rFonts w:hAnsi="宋体" w:cs="Times New Roman"/>
          <w:color w:val="auto"/>
          <w:sz w:val="21"/>
          <w:szCs w:val="21"/>
          <w:highlight w:val="none"/>
          <w:u w:val="single"/>
        </w:rPr>
        <w:t xml:space="preserve"> </w:t>
      </w:r>
      <w:r>
        <w:rPr>
          <w:rFonts w:hAnsi="宋体" w:cs="Times New Roman"/>
          <w:color w:val="auto"/>
          <w:sz w:val="21"/>
          <w:szCs w:val="21"/>
          <w:highlight w:val="none"/>
          <w:u w:val="single"/>
        </w:rPr>
        <w:tab/>
      </w:r>
    </w:p>
    <w:p>
      <w:pPr>
        <w:pStyle w:val="11"/>
        <w:tabs>
          <w:tab w:val="left" w:pos="5020"/>
          <w:tab w:val="left" w:pos="6287"/>
          <w:tab w:val="left" w:pos="9098"/>
        </w:tabs>
        <w:kinsoku w:val="0"/>
        <w:overflowPunct w:val="0"/>
        <w:spacing w:before="154" w:line="357" w:lineRule="auto"/>
        <w:ind w:left="100" w:right="225" w:firstLine="480"/>
        <w:rPr>
          <w:rFonts w:hAnsi="宋体"/>
          <w:color w:val="auto"/>
          <w:sz w:val="21"/>
          <w:szCs w:val="21"/>
          <w:highlight w:val="none"/>
        </w:rPr>
      </w:pPr>
      <w:r>
        <w:rPr>
          <w:rFonts w:hint="eastAsia" w:hAnsi="宋体"/>
          <w:color w:val="auto"/>
          <w:sz w:val="21"/>
          <w:szCs w:val="21"/>
          <w:highlight w:val="none"/>
        </w:rPr>
        <w:t>根据你方招标的</w:t>
      </w:r>
      <w:r>
        <w:rPr>
          <w:rFonts w:hAnsi="宋体" w:cs="Times New Roman"/>
          <w:color w:val="auto"/>
          <w:sz w:val="21"/>
          <w:szCs w:val="21"/>
          <w:highlight w:val="none"/>
          <w:u w:val="single"/>
        </w:rPr>
        <w:t xml:space="preserve"> </w:t>
      </w:r>
      <w:r>
        <w:rPr>
          <w:rFonts w:hAnsi="宋体" w:cs="Times New Roman"/>
          <w:color w:val="auto"/>
          <w:sz w:val="21"/>
          <w:szCs w:val="21"/>
          <w:highlight w:val="none"/>
          <w:u w:val="single"/>
        </w:rPr>
        <w:tab/>
      </w:r>
      <w:r>
        <w:rPr>
          <w:rFonts w:hint="eastAsia" w:hAnsi="宋体" w:cs="Times New Roman"/>
          <w:color w:val="auto"/>
          <w:sz w:val="21"/>
          <w:szCs w:val="21"/>
          <w:highlight w:val="none"/>
          <w:u w:val="single"/>
        </w:rPr>
        <w:t>（项目名称）</w:t>
      </w:r>
      <w:r>
        <w:rPr>
          <w:rFonts w:hint="eastAsia" w:hAnsi="宋体"/>
          <w:color w:val="auto"/>
          <w:spacing w:val="-1"/>
          <w:sz w:val="21"/>
          <w:szCs w:val="21"/>
          <w:highlight w:val="none"/>
        </w:rPr>
        <w:t>招标文件，遵照《中华人民共和国招标投</w:t>
      </w:r>
      <w:r>
        <w:rPr>
          <w:rFonts w:hint="eastAsia" w:hAnsi="宋体"/>
          <w:color w:val="auto"/>
          <w:sz w:val="21"/>
          <w:szCs w:val="21"/>
          <w:highlight w:val="none"/>
        </w:rPr>
        <w:t>标法》等有关规定，经研究上述招标文件的投标须知、合同条款、技术规范及其他有关</w:t>
      </w:r>
      <w:r>
        <w:rPr>
          <w:rFonts w:hint="eastAsia" w:hAnsi="宋体"/>
          <w:color w:val="auto"/>
          <w:spacing w:val="-9"/>
          <w:sz w:val="21"/>
          <w:szCs w:val="21"/>
          <w:highlight w:val="none"/>
        </w:rPr>
        <w:t>文件后，我方愿以人民币（大写）：</w:t>
      </w:r>
      <w:r>
        <w:rPr>
          <w:rFonts w:hAnsi="宋体" w:cs="Times New Roman"/>
          <w:color w:val="auto"/>
          <w:spacing w:val="-9"/>
          <w:sz w:val="21"/>
          <w:szCs w:val="21"/>
          <w:highlight w:val="none"/>
        </w:rPr>
        <w:t xml:space="preserve"> </w:t>
      </w:r>
      <w:r>
        <w:rPr>
          <w:rFonts w:hAnsi="宋体" w:cs="Times New Roman"/>
          <w:color w:val="auto"/>
          <w:spacing w:val="-9"/>
          <w:sz w:val="21"/>
          <w:szCs w:val="21"/>
          <w:highlight w:val="none"/>
          <w:u w:val="single"/>
        </w:rPr>
        <w:tab/>
      </w:r>
      <w:r>
        <w:rPr>
          <w:rFonts w:hAnsi="宋体" w:cs="Times New Roman"/>
          <w:color w:val="auto"/>
          <w:spacing w:val="-9"/>
          <w:sz w:val="21"/>
          <w:szCs w:val="21"/>
          <w:highlight w:val="none"/>
          <w:u w:val="single"/>
        </w:rPr>
        <w:tab/>
      </w:r>
      <w:r>
        <w:rPr>
          <w:rFonts w:hint="eastAsia" w:hAnsi="宋体"/>
          <w:color w:val="auto"/>
          <w:spacing w:val="-14"/>
          <w:sz w:val="21"/>
          <w:szCs w:val="21"/>
          <w:highlight w:val="none"/>
        </w:rPr>
        <w:t>（小写）：</w:t>
      </w:r>
      <w:r>
        <w:rPr>
          <w:rFonts w:hAnsi="宋体" w:cs="Times New Roman"/>
          <w:color w:val="auto"/>
          <w:spacing w:val="-14"/>
          <w:sz w:val="21"/>
          <w:szCs w:val="21"/>
          <w:highlight w:val="none"/>
          <w:u w:val="single"/>
        </w:rPr>
        <w:t xml:space="preserve"> </w:t>
      </w:r>
      <w:r>
        <w:rPr>
          <w:rFonts w:hAnsi="宋体" w:cs="Times New Roman"/>
          <w:color w:val="auto"/>
          <w:spacing w:val="-14"/>
          <w:sz w:val="21"/>
          <w:szCs w:val="21"/>
          <w:highlight w:val="none"/>
          <w:u w:val="single"/>
        </w:rPr>
        <w:tab/>
      </w:r>
      <w:r>
        <w:rPr>
          <w:rFonts w:hint="eastAsia" w:hAnsi="宋体"/>
          <w:color w:val="auto"/>
          <w:sz w:val="21"/>
          <w:szCs w:val="21"/>
          <w:highlight w:val="none"/>
        </w:rPr>
        <w:t>投标报价（取至小数点后两位），</w:t>
      </w:r>
      <w:r>
        <w:rPr>
          <w:rFonts w:hint="eastAsia" w:hAnsi="宋体"/>
          <w:color w:val="auto"/>
          <w:sz w:val="21"/>
          <w:szCs w:val="21"/>
          <w:highlight w:val="none"/>
          <w:lang w:val="en-US" w:eastAsia="zh-CN"/>
        </w:rPr>
        <w:t>含税综合单价为：</w:t>
      </w:r>
      <w:r>
        <w:rPr>
          <w:rFonts w:hint="eastAsia" w:hAnsi="宋体"/>
          <w:color w:val="auto"/>
          <w:sz w:val="21"/>
          <w:szCs w:val="21"/>
          <w:highlight w:val="none"/>
          <w:u w:val="single"/>
          <w:lang w:val="en-US" w:eastAsia="zh-CN"/>
        </w:rPr>
        <w:t xml:space="preserve">           </w:t>
      </w:r>
      <w:r>
        <w:rPr>
          <w:rFonts w:hint="eastAsia" w:hAnsi="宋体"/>
          <w:color w:val="auto"/>
          <w:sz w:val="21"/>
          <w:szCs w:val="21"/>
          <w:highlight w:val="none"/>
          <w:lang w:val="en-US" w:eastAsia="zh-CN"/>
        </w:rPr>
        <w:t xml:space="preserve"> </w:t>
      </w:r>
      <w:r>
        <w:rPr>
          <w:rFonts w:hint="eastAsia" w:hAnsi="宋体"/>
          <w:color w:val="auto"/>
          <w:sz w:val="21"/>
          <w:szCs w:val="21"/>
          <w:highlight w:val="none"/>
        </w:rPr>
        <w:t>，竞投上述全过程工程咨询服务，承担相应责任。</w:t>
      </w:r>
    </w:p>
    <w:p>
      <w:pPr>
        <w:pStyle w:val="11"/>
        <w:tabs>
          <w:tab w:val="left" w:pos="5020"/>
          <w:tab w:val="left" w:pos="6287"/>
          <w:tab w:val="left" w:pos="9098"/>
        </w:tabs>
        <w:kinsoku w:val="0"/>
        <w:overflowPunct w:val="0"/>
        <w:spacing w:before="154" w:line="357" w:lineRule="auto"/>
        <w:ind w:left="100" w:right="225" w:firstLine="480"/>
        <w:rPr>
          <w:rFonts w:hAnsi="宋体"/>
          <w:color w:val="auto"/>
          <w:sz w:val="21"/>
          <w:szCs w:val="21"/>
          <w:highlight w:val="none"/>
        </w:rPr>
      </w:pPr>
      <w:r>
        <w:rPr>
          <w:rFonts w:hint="eastAsia" w:hAnsi="宋体"/>
          <w:color w:val="auto"/>
          <w:sz w:val="21"/>
          <w:szCs w:val="21"/>
          <w:highlight w:val="none"/>
        </w:rPr>
        <w:t>服务期：从全过程工程咨询服务合同签订之日起，至项目完成所有验收、结算手续，并正式移交建设方，以及二年缺陷责任期满止。</w:t>
      </w:r>
    </w:p>
    <w:p>
      <w:pPr>
        <w:pStyle w:val="11"/>
        <w:tabs>
          <w:tab w:val="left" w:pos="5020"/>
          <w:tab w:val="left" w:pos="6287"/>
          <w:tab w:val="left" w:pos="9098"/>
        </w:tabs>
        <w:kinsoku w:val="0"/>
        <w:overflowPunct w:val="0"/>
        <w:spacing w:before="154" w:line="357" w:lineRule="auto"/>
        <w:ind w:left="100" w:right="225" w:firstLine="480"/>
        <w:rPr>
          <w:rFonts w:hAnsi="宋体"/>
          <w:color w:val="auto"/>
          <w:sz w:val="21"/>
          <w:szCs w:val="21"/>
          <w:highlight w:val="none"/>
        </w:rPr>
      </w:pPr>
      <w:r>
        <w:rPr>
          <w:rFonts w:hint="eastAsia" w:hAnsi="宋体"/>
          <w:color w:val="auto"/>
          <w:sz w:val="21"/>
          <w:szCs w:val="21"/>
          <w:highlight w:val="none"/>
        </w:rPr>
        <w:t>投标有效期：</w:t>
      </w:r>
      <w:r>
        <w:rPr>
          <w:rFonts w:hAnsi="宋体"/>
          <w:color w:val="auto"/>
          <w:sz w:val="21"/>
          <w:szCs w:val="21"/>
          <w:highlight w:val="none"/>
        </w:rPr>
        <w:t>120</w:t>
      </w:r>
      <w:r>
        <w:rPr>
          <w:rFonts w:hint="eastAsia" w:hAnsi="宋体"/>
          <w:color w:val="auto"/>
          <w:sz w:val="21"/>
          <w:szCs w:val="21"/>
          <w:highlight w:val="none"/>
        </w:rPr>
        <w:t>日历天（从投标截止之日计起）。</w:t>
      </w:r>
    </w:p>
    <w:p>
      <w:pPr>
        <w:pStyle w:val="11"/>
        <w:kinsoku w:val="0"/>
        <w:overflowPunct w:val="0"/>
        <w:spacing w:line="357" w:lineRule="auto"/>
        <w:ind w:left="100" w:right="86" w:firstLine="480"/>
        <w:rPr>
          <w:rFonts w:hAnsi="宋体"/>
          <w:color w:val="auto"/>
          <w:sz w:val="21"/>
          <w:szCs w:val="21"/>
          <w:highlight w:val="none"/>
        </w:rPr>
      </w:pPr>
      <w:r>
        <w:rPr>
          <w:rFonts w:hint="eastAsia" w:hAnsi="宋体"/>
          <w:color w:val="auto"/>
          <w:spacing w:val="-1"/>
          <w:sz w:val="21"/>
          <w:szCs w:val="21"/>
          <w:highlight w:val="none"/>
        </w:rPr>
        <w:t>一、我方承诺由于对招标文件的任何误解或忽略或对建设场地条件缺乏必要的了解，</w:t>
      </w:r>
      <w:r>
        <w:rPr>
          <w:rFonts w:hAnsi="宋体"/>
          <w:color w:val="auto"/>
          <w:sz w:val="21"/>
          <w:szCs w:val="21"/>
          <w:highlight w:val="none"/>
        </w:rPr>
        <w:t xml:space="preserve"> </w:t>
      </w:r>
      <w:r>
        <w:rPr>
          <w:rFonts w:hint="eastAsia" w:hAnsi="宋体"/>
          <w:color w:val="auto"/>
          <w:sz w:val="21"/>
          <w:szCs w:val="21"/>
          <w:highlight w:val="none"/>
        </w:rPr>
        <w:t>或不参加工程答疑会而导致中标后发生任何风险，其责任自负，不得以任何理由向建设单位提出任何索赔要求。</w:t>
      </w:r>
    </w:p>
    <w:p>
      <w:pPr>
        <w:pStyle w:val="11"/>
        <w:kinsoku w:val="0"/>
        <w:overflowPunct w:val="0"/>
        <w:spacing w:line="357" w:lineRule="auto"/>
        <w:ind w:left="100" w:right="343" w:firstLine="480"/>
        <w:jc w:val="both"/>
        <w:rPr>
          <w:rFonts w:hAnsi="宋体"/>
          <w:color w:val="auto"/>
          <w:sz w:val="21"/>
          <w:szCs w:val="21"/>
          <w:highlight w:val="none"/>
        </w:rPr>
      </w:pPr>
      <w:r>
        <w:rPr>
          <w:rFonts w:hint="eastAsia" w:hAnsi="宋体"/>
          <w:color w:val="auto"/>
          <w:sz w:val="21"/>
          <w:szCs w:val="21"/>
          <w:highlight w:val="none"/>
        </w:rPr>
        <w:t>二、我方已详细审核全部招标文件，包括修改文件（如有时）及有关附件。本投标函一经作出，即视为我方对上述文件的合法性及有效性并无异议。我方承诺，无论我方</w:t>
      </w:r>
      <w:r>
        <w:rPr>
          <w:rFonts w:hAnsi="宋体"/>
          <w:color w:val="auto"/>
          <w:sz w:val="21"/>
          <w:szCs w:val="21"/>
          <w:highlight w:val="none"/>
        </w:rPr>
        <w:t xml:space="preserve"> </w:t>
      </w:r>
      <w:r>
        <w:rPr>
          <w:rFonts w:hint="eastAsia" w:hAnsi="宋体"/>
          <w:color w:val="auto"/>
          <w:sz w:val="21"/>
          <w:szCs w:val="21"/>
          <w:highlight w:val="none"/>
        </w:rPr>
        <w:t>中标与否，投标后对上述文件的合法性及有效性的质疑，均为无效主张。</w:t>
      </w:r>
    </w:p>
    <w:p>
      <w:pPr>
        <w:pStyle w:val="11"/>
        <w:kinsoku w:val="0"/>
        <w:overflowPunct w:val="0"/>
        <w:spacing w:line="357" w:lineRule="auto"/>
        <w:ind w:left="100" w:right="326" w:firstLine="480"/>
        <w:rPr>
          <w:rFonts w:hAnsi="宋体"/>
          <w:color w:val="auto"/>
          <w:sz w:val="21"/>
          <w:szCs w:val="21"/>
          <w:highlight w:val="none"/>
        </w:rPr>
      </w:pPr>
      <w:r>
        <w:rPr>
          <w:rFonts w:hint="eastAsia" w:hAnsi="宋体"/>
          <w:color w:val="auto"/>
          <w:sz w:val="21"/>
          <w:szCs w:val="21"/>
          <w:highlight w:val="none"/>
        </w:rPr>
        <w:t>三、我方同意所提交的投标文件在招标文件的投标须知中第</w:t>
      </w:r>
      <w:r>
        <w:rPr>
          <w:rFonts w:hAnsi="宋体"/>
          <w:color w:val="auto"/>
          <w:sz w:val="21"/>
          <w:szCs w:val="21"/>
          <w:highlight w:val="none"/>
        </w:rPr>
        <w:t xml:space="preserve"> 17 </w:t>
      </w:r>
      <w:r>
        <w:rPr>
          <w:rFonts w:hint="eastAsia" w:hAnsi="宋体"/>
          <w:color w:val="auto"/>
          <w:sz w:val="21"/>
          <w:szCs w:val="21"/>
          <w:highlight w:val="none"/>
        </w:rPr>
        <w:t>条规定的投标有效</w:t>
      </w:r>
      <w:r>
        <w:rPr>
          <w:rFonts w:hAnsi="宋体"/>
          <w:color w:val="auto"/>
          <w:sz w:val="21"/>
          <w:szCs w:val="21"/>
          <w:highlight w:val="none"/>
        </w:rPr>
        <w:t xml:space="preserve"> </w:t>
      </w:r>
      <w:r>
        <w:rPr>
          <w:rFonts w:hint="eastAsia" w:hAnsi="宋体"/>
          <w:color w:val="auto"/>
          <w:sz w:val="21"/>
          <w:szCs w:val="21"/>
          <w:highlight w:val="none"/>
        </w:rPr>
        <w:t>期内有效，在此期间内如果中标，我方将受此约束。</w:t>
      </w:r>
    </w:p>
    <w:p>
      <w:pPr>
        <w:pStyle w:val="11"/>
        <w:kinsoku w:val="0"/>
        <w:overflowPunct w:val="0"/>
        <w:spacing w:line="357" w:lineRule="auto"/>
        <w:ind w:left="100" w:right="326" w:firstLine="480"/>
        <w:rPr>
          <w:rFonts w:hAnsi="宋体"/>
          <w:color w:val="auto"/>
          <w:sz w:val="21"/>
          <w:szCs w:val="21"/>
          <w:highlight w:val="none"/>
        </w:rPr>
      </w:pPr>
      <w:r>
        <w:rPr>
          <w:rFonts w:hint="eastAsia" w:hAnsi="宋体"/>
          <w:color w:val="auto"/>
          <w:sz w:val="21"/>
          <w:szCs w:val="21"/>
          <w:highlight w:val="none"/>
        </w:rPr>
        <w:t>四、除非另外达成协议并生效，你方的中标通知书和本投标文件及本次招标文件将</w:t>
      </w:r>
      <w:r>
        <w:rPr>
          <w:rFonts w:hAnsi="宋体"/>
          <w:color w:val="auto"/>
          <w:sz w:val="21"/>
          <w:szCs w:val="21"/>
          <w:highlight w:val="none"/>
        </w:rPr>
        <w:t xml:space="preserve"> </w:t>
      </w:r>
      <w:r>
        <w:rPr>
          <w:rFonts w:hint="eastAsia" w:hAnsi="宋体"/>
          <w:color w:val="auto"/>
          <w:sz w:val="21"/>
          <w:szCs w:val="21"/>
          <w:highlight w:val="none"/>
        </w:rPr>
        <w:t>成为约束双方的合同文件的组成部分。</w:t>
      </w:r>
    </w:p>
    <w:p>
      <w:pPr>
        <w:pStyle w:val="11"/>
        <w:tabs>
          <w:tab w:val="left" w:pos="6580"/>
        </w:tabs>
        <w:kinsoku w:val="0"/>
        <w:overflowPunct w:val="0"/>
        <w:ind w:right="86"/>
        <w:rPr>
          <w:rFonts w:hAnsi="宋体"/>
          <w:color w:val="auto"/>
          <w:sz w:val="21"/>
          <w:szCs w:val="21"/>
          <w:highlight w:val="none"/>
        </w:rPr>
      </w:pPr>
      <w:r>
        <w:rPr>
          <w:rFonts w:hint="eastAsia" w:hAnsi="宋体"/>
          <w:color w:val="auto"/>
          <w:spacing w:val="-1"/>
          <w:sz w:val="21"/>
          <w:szCs w:val="21"/>
          <w:highlight w:val="none"/>
        </w:rPr>
        <w:t>五、我方将与本投标函一起，提交人民币</w:t>
      </w:r>
      <w:r>
        <w:rPr>
          <w:rFonts w:hAnsi="宋体" w:cs="Times New Roman"/>
          <w:color w:val="auto"/>
          <w:spacing w:val="-1"/>
          <w:sz w:val="21"/>
          <w:szCs w:val="21"/>
          <w:highlight w:val="none"/>
        </w:rPr>
        <w:t xml:space="preserve"> </w:t>
      </w:r>
      <w:r>
        <w:rPr>
          <w:rFonts w:hAnsi="宋体" w:cs="Times New Roman"/>
          <w:color w:val="auto"/>
          <w:spacing w:val="-1"/>
          <w:sz w:val="21"/>
          <w:szCs w:val="21"/>
          <w:highlight w:val="none"/>
          <w:u w:val="single"/>
        </w:rPr>
        <w:tab/>
      </w:r>
      <w:r>
        <w:rPr>
          <w:rFonts w:hint="eastAsia" w:hAnsi="宋体"/>
          <w:color w:val="auto"/>
          <w:sz w:val="21"/>
          <w:szCs w:val="21"/>
          <w:highlight w:val="none"/>
        </w:rPr>
        <w:t>元作为投标保证金。</w:t>
      </w: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tabs>
          <w:tab w:val="left" w:pos="4039"/>
          <w:tab w:val="left" w:pos="4519"/>
          <w:tab w:val="left" w:pos="4999"/>
          <w:tab w:val="left" w:pos="7159"/>
          <w:tab w:val="left" w:pos="7778"/>
        </w:tabs>
        <w:kinsoku w:val="0"/>
        <w:overflowPunct w:val="0"/>
        <w:spacing w:before="0" w:line="357" w:lineRule="auto"/>
        <w:ind w:left="2959" w:right="105"/>
        <w:rPr>
          <w:rFonts w:hAnsi="宋体"/>
          <w:color w:val="auto"/>
          <w:sz w:val="21"/>
          <w:szCs w:val="21"/>
          <w:highlight w:val="none"/>
        </w:rPr>
      </w:pPr>
      <w:r>
        <w:rPr>
          <w:rFonts w:hint="eastAsia" w:hAnsi="宋体"/>
          <w:color w:val="auto"/>
          <w:sz w:val="21"/>
          <w:szCs w:val="21"/>
          <w:highlight w:val="none"/>
        </w:rPr>
        <w:t>投</w:t>
      </w:r>
      <w:r>
        <w:rPr>
          <w:rFonts w:hAnsi="宋体"/>
          <w:color w:val="auto"/>
          <w:spacing w:val="-1"/>
          <w:sz w:val="21"/>
          <w:szCs w:val="21"/>
          <w:highlight w:val="none"/>
        </w:rPr>
        <w:t xml:space="preserve"> </w:t>
      </w:r>
      <w:r>
        <w:rPr>
          <w:rFonts w:hint="eastAsia" w:hAnsi="宋体"/>
          <w:color w:val="auto"/>
          <w:sz w:val="21"/>
          <w:szCs w:val="21"/>
          <w:highlight w:val="none"/>
        </w:rPr>
        <w:t>标</w:t>
      </w:r>
      <w:r>
        <w:rPr>
          <w:rFonts w:hAnsi="宋体"/>
          <w:color w:val="auto"/>
          <w:spacing w:val="-1"/>
          <w:sz w:val="21"/>
          <w:szCs w:val="21"/>
          <w:highlight w:val="none"/>
        </w:rPr>
        <w:t xml:space="preserve"> </w:t>
      </w:r>
      <w:r>
        <w:rPr>
          <w:rFonts w:hint="eastAsia" w:hAnsi="宋体"/>
          <w:color w:val="auto"/>
          <w:sz w:val="21"/>
          <w:szCs w:val="21"/>
          <w:highlight w:val="none"/>
        </w:rPr>
        <w:t>人：</w:t>
      </w:r>
      <w:r>
        <w:rPr>
          <w:rFonts w:hAnsi="宋体" w:cs="仿宋"/>
          <w:b/>
          <w:color w:val="auto"/>
          <w:sz w:val="21"/>
          <w:szCs w:val="21"/>
          <w:highlight w:val="none"/>
          <w:u w:val="single"/>
        </w:rPr>
        <w:t xml:space="preserve">                            </w:t>
      </w:r>
      <w:r>
        <w:rPr>
          <w:rFonts w:hint="eastAsia" w:hAnsi="宋体"/>
          <w:color w:val="auto"/>
          <w:sz w:val="21"/>
          <w:szCs w:val="21"/>
          <w:highlight w:val="none"/>
        </w:rPr>
        <w:t>（盖章）</w:t>
      </w:r>
      <w:r>
        <w:rPr>
          <w:rFonts w:hAnsi="宋体"/>
          <w:color w:val="auto"/>
          <w:sz w:val="21"/>
          <w:szCs w:val="21"/>
          <w:highlight w:val="none"/>
        </w:rPr>
        <w:t xml:space="preserve"> </w:t>
      </w:r>
    </w:p>
    <w:p>
      <w:pPr>
        <w:pStyle w:val="11"/>
        <w:tabs>
          <w:tab w:val="left" w:pos="4039"/>
          <w:tab w:val="left" w:pos="4519"/>
          <w:tab w:val="left" w:pos="4999"/>
          <w:tab w:val="left" w:pos="7159"/>
          <w:tab w:val="left" w:pos="7778"/>
        </w:tabs>
        <w:kinsoku w:val="0"/>
        <w:overflowPunct w:val="0"/>
        <w:spacing w:before="0" w:line="357" w:lineRule="auto"/>
        <w:ind w:left="2959" w:right="105"/>
        <w:rPr>
          <w:rFonts w:hAnsi="宋体"/>
          <w:color w:val="auto"/>
          <w:sz w:val="21"/>
          <w:szCs w:val="21"/>
          <w:highlight w:val="none"/>
        </w:rPr>
      </w:pPr>
      <w:r>
        <w:rPr>
          <w:rFonts w:hint="eastAsia" w:hAnsi="宋体"/>
          <w:color w:val="auto"/>
          <w:sz w:val="21"/>
          <w:szCs w:val="21"/>
          <w:highlight w:val="none"/>
        </w:rPr>
        <w:t>法定代表人或其委托代理人：</w:t>
      </w:r>
      <w:r>
        <w:rPr>
          <w:rFonts w:hAnsi="宋体" w:cs="仿宋"/>
          <w:b/>
          <w:color w:val="auto"/>
          <w:sz w:val="21"/>
          <w:szCs w:val="21"/>
          <w:highlight w:val="none"/>
          <w:u w:val="single"/>
        </w:rPr>
        <w:t xml:space="preserve">            </w:t>
      </w:r>
      <w:r>
        <w:rPr>
          <w:rFonts w:hint="eastAsia" w:hAnsi="宋体"/>
          <w:color w:val="auto"/>
          <w:sz w:val="21"/>
          <w:szCs w:val="21"/>
          <w:highlight w:val="none"/>
        </w:rPr>
        <w:t>（签字或盖章）</w:t>
      </w:r>
    </w:p>
    <w:p>
      <w:pPr>
        <w:pStyle w:val="11"/>
        <w:tabs>
          <w:tab w:val="left" w:pos="4039"/>
          <w:tab w:val="left" w:pos="4519"/>
          <w:tab w:val="left" w:pos="4999"/>
          <w:tab w:val="left" w:pos="7159"/>
          <w:tab w:val="left" w:pos="7778"/>
        </w:tabs>
        <w:kinsoku w:val="0"/>
        <w:overflowPunct w:val="0"/>
        <w:spacing w:before="0" w:line="357" w:lineRule="auto"/>
        <w:ind w:left="2959" w:right="105"/>
        <w:rPr>
          <w:rFonts w:hAnsi="宋体"/>
          <w:color w:val="auto"/>
          <w:sz w:val="21"/>
          <w:szCs w:val="21"/>
          <w:highlight w:val="none"/>
        </w:rPr>
      </w:pPr>
      <w:r>
        <w:rPr>
          <w:rFonts w:hAnsi="宋体"/>
          <w:color w:val="auto"/>
          <w:sz w:val="21"/>
          <w:szCs w:val="21"/>
          <w:highlight w:val="none"/>
        </w:rPr>
        <w:t xml:space="preserve"> </w:t>
      </w:r>
      <w:r>
        <w:rPr>
          <w:rFonts w:hint="eastAsia" w:hAnsi="宋体"/>
          <w:color w:val="auto"/>
          <w:sz w:val="21"/>
          <w:szCs w:val="21"/>
          <w:highlight w:val="none"/>
        </w:rPr>
        <w:t>日</w:t>
      </w:r>
      <w:r>
        <w:rPr>
          <w:rFonts w:hAnsi="宋体"/>
          <w:color w:val="auto"/>
          <w:sz w:val="21"/>
          <w:szCs w:val="21"/>
          <w:highlight w:val="none"/>
        </w:rPr>
        <w:t xml:space="preserve"> </w:t>
      </w:r>
      <w:r>
        <w:rPr>
          <w:rFonts w:hint="eastAsia" w:hAnsi="宋体"/>
          <w:color w:val="auto"/>
          <w:sz w:val="21"/>
          <w:szCs w:val="21"/>
          <w:highlight w:val="none"/>
        </w:rPr>
        <w:t>期：</w:t>
      </w:r>
      <w:r>
        <w:rPr>
          <w:rFonts w:hAnsi="宋体" w:cs="仿宋"/>
          <w:b/>
          <w:color w:val="auto"/>
          <w:sz w:val="21"/>
          <w:szCs w:val="21"/>
          <w:highlight w:val="none"/>
          <w:u w:val="single"/>
        </w:rPr>
        <w:t xml:space="preserve">      </w:t>
      </w:r>
      <w:r>
        <w:rPr>
          <w:rFonts w:hint="eastAsia" w:hAnsi="宋体"/>
          <w:color w:val="auto"/>
          <w:sz w:val="21"/>
          <w:szCs w:val="21"/>
          <w:highlight w:val="none"/>
        </w:rPr>
        <w:t>年</w:t>
      </w:r>
      <w:r>
        <w:rPr>
          <w:rFonts w:hAnsi="宋体" w:cs="仿宋"/>
          <w:b/>
          <w:color w:val="auto"/>
          <w:sz w:val="21"/>
          <w:szCs w:val="21"/>
          <w:highlight w:val="none"/>
          <w:u w:val="single"/>
        </w:rPr>
        <w:t xml:space="preserve">      </w:t>
      </w:r>
      <w:r>
        <w:rPr>
          <w:rFonts w:hint="eastAsia" w:hAnsi="宋体"/>
          <w:color w:val="auto"/>
          <w:sz w:val="21"/>
          <w:szCs w:val="21"/>
          <w:highlight w:val="none"/>
        </w:rPr>
        <w:t>月</w:t>
      </w:r>
      <w:r>
        <w:rPr>
          <w:rFonts w:hAnsi="宋体" w:cs="仿宋"/>
          <w:b/>
          <w:color w:val="auto"/>
          <w:sz w:val="21"/>
          <w:szCs w:val="21"/>
          <w:highlight w:val="none"/>
          <w:u w:val="single"/>
        </w:rPr>
        <w:t xml:space="preserve">      </w:t>
      </w:r>
      <w:r>
        <w:rPr>
          <w:rFonts w:hint="eastAsia" w:hAnsi="宋体"/>
          <w:color w:val="auto"/>
          <w:sz w:val="21"/>
          <w:szCs w:val="21"/>
          <w:highlight w:val="none"/>
        </w:rPr>
        <w:t>日</w:t>
      </w:r>
    </w:p>
    <w:p>
      <w:pPr>
        <w:pStyle w:val="11"/>
        <w:kinsoku w:val="0"/>
        <w:overflowPunct w:val="0"/>
        <w:spacing w:before="0" w:line="385" w:lineRule="exact"/>
        <w:jc w:val="center"/>
        <w:rPr>
          <w:rFonts w:hAnsi="宋体"/>
          <w:color w:val="auto"/>
          <w:sz w:val="30"/>
          <w:szCs w:val="30"/>
          <w:highlight w:val="none"/>
        </w:rPr>
      </w:pPr>
      <w:r>
        <w:rPr>
          <w:rFonts w:hAnsi="宋体"/>
          <w:color w:val="auto"/>
          <w:highlight w:val="none"/>
        </w:rPr>
        <w:br w:type="page"/>
      </w:r>
      <w:r>
        <w:rPr>
          <w:rFonts w:hint="eastAsia" w:hAnsi="宋体"/>
          <w:color w:val="auto"/>
          <w:sz w:val="30"/>
          <w:szCs w:val="30"/>
          <w:highlight w:val="none"/>
        </w:rPr>
        <w:t>（二）投标函附录</w:t>
      </w:r>
    </w:p>
    <w:p>
      <w:pPr>
        <w:pStyle w:val="11"/>
        <w:kinsoku w:val="0"/>
        <w:overflowPunct w:val="0"/>
        <w:spacing w:before="4"/>
        <w:ind w:left="0"/>
        <w:rPr>
          <w:rFonts w:hAnsi="宋体"/>
          <w:color w:val="auto"/>
          <w:sz w:val="12"/>
          <w:szCs w:val="12"/>
          <w:highlight w:val="none"/>
        </w:rPr>
      </w:pPr>
    </w:p>
    <w:tbl>
      <w:tblPr>
        <w:tblStyle w:val="23"/>
        <w:tblW w:w="98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473"/>
        <w:gridCol w:w="4677"/>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7" w:type="dxa"/>
            <w:vAlign w:val="center"/>
          </w:tcPr>
          <w:p>
            <w:pPr>
              <w:jc w:val="center"/>
              <w:rPr>
                <w:rFonts w:ascii="宋体" w:hAnsi="宋体"/>
                <w:b/>
                <w:bCs/>
                <w:color w:val="auto"/>
                <w:highlight w:val="none"/>
              </w:rPr>
            </w:pPr>
            <w:r>
              <w:rPr>
                <w:rFonts w:hint="eastAsia" w:ascii="宋体" w:hAnsi="宋体"/>
                <w:b/>
                <w:bCs/>
                <w:color w:val="auto"/>
                <w:highlight w:val="none"/>
              </w:rPr>
              <w:t>序号</w:t>
            </w:r>
          </w:p>
        </w:tc>
        <w:tc>
          <w:tcPr>
            <w:tcW w:w="2473" w:type="dxa"/>
            <w:vAlign w:val="center"/>
          </w:tcPr>
          <w:p>
            <w:pPr>
              <w:jc w:val="center"/>
              <w:rPr>
                <w:rFonts w:ascii="宋体" w:hAnsi="宋体"/>
                <w:b/>
                <w:bCs/>
                <w:color w:val="auto"/>
                <w:highlight w:val="none"/>
              </w:rPr>
            </w:pPr>
            <w:r>
              <w:rPr>
                <w:rFonts w:hint="eastAsia" w:ascii="宋体" w:hAnsi="宋体"/>
                <w:b/>
                <w:bCs/>
                <w:color w:val="auto"/>
                <w:highlight w:val="none"/>
              </w:rPr>
              <w:t>条款名称</w:t>
            </w:r>
          </w:p>
        </w:tc>
        <w:tc>
          <w:tcPr>
            <w:tcW w:w="4677" w:type="dxa"/>
            <w:vAlign w:val="center"/>
          </w:tcPr>
          <w:p>
            <w:pPr>
              <w:jc w:val="center"/>
              <w:rPr>
                <w:rFonts w:ascii="宋体" w:hAnsi="宋体"/>
                <w:b/>
                <w:bCs/>
                <w:color w:val="auto"/>
                <w:highlight w:val="none"/>
              </w:rPr>
            </w:pPr>
            <w:r>
              <w:rPr>
                <w:rFonts w:hint="eastAsia" w:ascii="宋体" w:hAnsi="宋体"/>
                <w:b/>
                <w:bCs/>
                <w:color w:val="auto"/>
                <w:highlight w:val="none"/>
              </w:rPr>
              <w:t>约定内容</w:t>
            </w:r>
          </w:p>
        </w:tc>
        <w:tc>
          <w:tcPr>
            <w:tcW w:w="1759" w:type="dxa"/>
            <w:vAlign w:val="center"/>
          </w:tcPr>
          <w:p>
            <w:pPr>
              <w:jc w:val="center"/>
              <w:rPr>
                <w:rFonts w:ascii="宋体" w:hAnsi="宋体"/>
                <w:b/>
                <w:bCs/>
                <w:color w:val="auto"/>
                <w:highlight w:val="none"/>
              </w:rPr>
            </w:pPr>
            <w:r>
              <w:rPr>
                <w:rFonts w:hint="eastAsia" w:ascii="宋体" w:hAnsi="宋体"/>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7" w:type="dxa"/>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2473" w:type="dxa"/>
            <w:vAlign w:val="center"/>
          </w:tcPr>
          <w:p>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项目负责人</w:t>
            </w:r>
          </w:p>
        </w:tc>
        <w:tc>
          <w:tcPr>
            <w:tcW w:w="4677"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姓名：         </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技术职称：         </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或注册证号：         </w:t>
            </w:r>
          </w:p>
        </w:tc>
        <w:tc>
          <w:tcPr>
            <w:tcW w:w="1759" w:type="dxa"/>
            <w:vAlign w:val="center"/>
          </w:tcPr>
          <w:p>
            <w:pP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7" w:type="dxa"/>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2473" w:type="dxa"/>
            <w:vAlign w:val="center"/>
          </w:tcPr>
          <w:p>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造价咨询负责人</w:t>
            </w:r>
          </w:p>
        </w:tc>
        <w:tc>
          <w:tcPr>
            <w:tcW w:w="4677" w:type="dxa"/>
            <w:vAlign w:val="center"/>
          </w:tcPr>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姓名：         </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技术职称：         </w:t>
            </w:r>
          </w:p>
          <w:p>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 xml:space="preserve">或注册证号：         </w:t>
            </w:r>
          </w:p>
        </w:tc>
        <w:tc>
          <w:tcPr>
            <w:tcW w:w="1759" w:type="dxa"/>
            <w:vAlign w:val="center"/>
          </w:tcPr>
          <w:p>
            <w:pP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7" w:type="dxa"/>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p>
        </w:tc>
        <w:tc>
          <w:tcPr>
            <w:tcW w:w="2473" w:type="dxa"/>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服务期限</w:t>
            </w:r>
          </w:p>
        </w:tc>
        <w:tc>
          <w:tcPr>
            <w:tcW w:w="4677" w:type="dxa"/>
            <w:vAlign w:val="center"/>
          </w:tcPr>
          <w:p>
            <w:pPr>
              <w:rPr>
                <w:rFonts w:ascii="宋体" w:hAnsi="宋体" w:cs="宋体"/>
                <w:color w:val="auto"/>
                <w:sz w:val="21"/>
                <w:szCs w:val="21"/>
                <w:highlight w:val="none"/>
              </w:rPr>
            </w:pPr>
            <w:r>
              <w:rPr>
                <w:rFonts w:hint="eastAsia" w:ascii="宋体" w:hAnsi="宋体" w:cs="宋体"/>
                <w:color w:val="auto"/>
                <w:sz w:val="21"/>
                <w:szCs w:val="21"/>
                <w:highlight w:val="none"/>
              </w:rPr>
              <w:t>按招标文件要求</w:t>
            </w:r>
          </w:p>
        </w:tc>
        <w:tc>
          <w:tcPr>
            <w:tcW w:w="1759" w:type="dxa"/>
            <w:vAlign w:val="center"/>
          </w:tcPr>
          <w:p>
            <w:pPr>
              <w:rPr>
                <w:rFonts w:ascii="宋体" w:hAnsi="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7" w:type="dxa"/>
            <w:vAlign w:val="center"/>
          </w:tcPr>
          <w:p>
            <w:pPr>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2473" w:type="dxa"/>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质量标准</w:t>
            </w:r>
          </w:p>
        </w:tc>
        <w:tc>
          <w:tcPr>
            <w:tcW w:w="4677" w:type="dxa"/>
            <w:vAlign w:val="center"/>
          </w:tcPr>
          <w:p>
            <w:pPr>
              <w:rPr>
                <w:rFonts w:ascii="宋体" w:hAnsi="宋体" w:cs="宋体"/>
                <w:color w:val="auto"/>
                <w:sz w:val="21"/>
                <w:szCs w:val="21"/>
                <w:highlight w:val="none"/>
              </w:rPr>
            </w:pPr>
            <w:r>
              <w:rPr>
                <w:rFonts w:hint="eastAsia" w:ascii="宋体" w:hAnsi="宋体" w:cs="宋体"/>
                <w:color w:val="auto"/>
                <w:sz w:val="21"/>
                <w:szCs w:val="21"/>
                <w:highlight w:val="none"/>
              </w:rPr>
              <w:t>按招标文件要求</w:t>
            </w:r>
          </w:p>
        </w:tc>
        <w:tc>
          <w:tcPr>
            <w:tcW w:w="1759" w:type="dxa"/>
            <w:vAlign w:val="center"/>
          </w:tcPr>
          <w:p>
            <w:pPr>
              <w:rPr>
                <w:rFonts w:ascii="宋体" w:hAnsi="宋体" w:cs="宋体"/>
                <w:color w:val="auto"/>
                <w:sz w:val="21"/>
                <w:szCs w:val="21"/>
                <w:highlight w:val="none"/>
              </w:rPr>
            </w:pPr>
          </w:p>
        </w:tc>
      </w:tr>
    </w:tbl>
    <w:p>
      <w:pPr>
        <w:rPr>
          <w:rFonts w:ascii="宋体" w:hAnsi="宋体"/>
          <w:color w:val="auto"/>
          <w:highlight w:val="none"/>
        </w:rPr>
      </w:pPr>
    </w:p>
    <w:p>
      <w:pPr>
        <w:pStyle w:val="32"/>
        <w:spacing w:line="440" w:lineRule="exact"/>
        <w:ind w:left="478" w:leftChars="199" w:firstLine="0"/>
        <w:jc w:val="center"/>
        <w:rPr>
          <w:rFonts w:ascii="宋体" w:hAnsi="宋体" w:eastAsia="宋体" w:cs="宋体"/>
          <w:color w:val="auto"/>
          <w:sz w:val="21"/>
          <w:szCs w:val="21"/>
          <w:highlight w:val="none"/>
        </w:rPr>
      </w:pPr>
      <w:r>
        <w:rPr>
          <w:rFonts w:ascii="宋体" w:hAnsi="宋体" w:eastAsia="宋体"/>
          <w:color w:val="auto"/>
          <w:highlight w:val="none"/>
        </w:rPr>
        <w:br w:type="page"/>
      </w:r>
      <w:bookmarkStart w:id="533" w:name="_Hlk70524713"/>
    </w:p>
    <w:bookmarkEnd w:id="533"/>
    <w:p>
      <w:pPr>
        <w:pStyle w:val="5"/>
        <w:jc w:val="both"/>
        <w:rPr>
          <w:rFonts w:hAnsi="宋体"/>
          <w:color w:val="auto"/>
          <w:highlight w:val="none"/>
        </w:rPr>
      </w:pPr>
      <w:bookmarkStart w:id="534" w:name="_Toc102907950"/>
      <w:bookmarkStart w:id="535" w:name="_Toc103022839"/>
      <w:bookmarkStart w:id="536" w:name="_Toc71854395"/>
      <w:bookmarkStart w:id="537" w:name="_Toc71855312"/>
      <w:bookmarkStart w:id="538" w:name="_Toc71854999"/>
      <w:bookmarkStart w:id="539" w:name="_Toc71855657"/>
      <w:r>
        <w:rPr>
          <w:rFonts w:hint="eastAsia" w:hAnsi="宋体"/>
          <w:color w:val="auto"/>
          <w:highlight w:val="none"/>
        </w:rPr>
        <w:t>二、投标人投标保证金</w:t>
      </w:r>
      <w:bookmarkEnd w:id="534"/>
      <w:bookmarkEnd w:id="535"/>
      <w:bookmarkEnd w:id="536"/>
      <w:bookmarkEnd w:id="537"/>
      <w:bookmarkEnd w:id="538"/>
      <w:bookmarkEnd w:id="539"/>
    </w:p>
    <w:p>
      <w:pPr>
        <w:pStyle w:val="5"/>
        <w:jc w:val="both"/>
        <w:rPr>
          <w:rFonts w:hAnsi="宋体"/>
          <w:color w:val="auto"/>
          <w:highlight w:val="none"/>
        </w:rPr>
      </w:pPr>
      <w:r>
        <w:rPr>
          <w:rFonts w:hAnsi="宋体"/>
          <w:color w:val="auto"/>
          <w:highlight w:val="none"/>
        </w:rPr>
        <w:br w:type="page"/>
      </w:r>
      <w:bookmarkStart w:id="540" w:name="_Toc71855313"/>
      <w:bookmarkStart w:id="541" w:name="_Toc102907951"/>
      <w:bookmarkStart w:id="542" w:name="_Toc71854396"/>
      <w:bookmarkStart w:id="543" w:name="_Toc103022840"/>
      <w:bookmarkStart w:id="544" w:name="_Toc71855000"/>
      <w:bookmarkStart w:id="545" w:name="_Toc71855658"/>
      <w:r>
        <w:rPr>
          <w:rFonts w:hint="eastAsia" w:hAnsi="宋体"/>
          <w:color w:val="auto"/>
          <w:highlight w:val="none"/>
        </w:rPr>
        <w:t>三、投标人法定代表人身份证明书</w:t>
      </w:r>
      <w:bookmarkEnd w:id="540"/>
      <w:bookmarkEnd w:id="541"/>
      <w:bookmarkEnd w:id="542"/>
      <w:bookmarkEnd w:id="543"/>
      <w:bookmarkEnd w:id="544"/>
      <w:bookmarkEnd w:id="545"/>
    </w:p>
    <w:p>
      <w:pPr>
        <w:pStyle w:val="11"/>
        <w:kinsoku w:val="0"/>
        <w:overflowPunct w:val="0"/>
        <w:spacing w:before="0"/>
        <w:ind w:left="0"/>
        <w:rPr>
          <w:rFonts w:hAnsi="宋体"/>
          <w:color w:val="auto"/>
          <w:sz w:val="36"/>
          <w:szCs w:val="36"/>
          <w:highlight w:val="none"/>
        </w:rPr>
      </w:pPr>
    </w:p>
    <w:p>
      <w:pPr>
        <w:pStyle w:val="11"/>
        <w:tabs>
          <w:tab w:val="left" w:pos="6999"/>
        </w:tabs>
        <w:kinsoku w:val="0"/>
        <w:overflowPunct w:val="0"/>
        <w:spacing w:before="0" w:line="360" w:lineRule="auto"/>
        <w:ind w:left="102"/>
        <w:rPr>
          <w:rFonts w:hAnsi="宋体" w:cs="Times New Roman"/>
          <w:color w:val="auto"/>
          <w:sz w:val="21"/>
          <w:szCs w:val="21"/>
          <w:highlight w:val="none"/>
        </w:rPr>
      </w:pPr>
      <w:r>
        <w:rPr>
          <w:rFonts w:hint="eastAsia" w:hAnsi="宋体"/>
          <w:color w:val="auto"/>
          <w:sz w:val="21"/>
          <w:szCs w:val="21"/>
          <w:highlight w:val="none"/>
        </w:rPr>
        <w:t>单位名称：</w:t>
      </w:r>
      <w:r>
        <w:rPr>
          <w:rFonts w:hAnsi="宋体" w:cs="Times New Roman"/>
          <w:color w:val="auto"/>
          <w:sz w:val="21"/>
          <w:szCs w:val="21"/>
          <w:highlight w:val="none"/>
        </w:rPr>
        <w:t xml:space="preserve"> </w:t>
      </w:r>
      <w:r>
        <w:rPr>
          <w:rFonts w:hAnsi="宋体" w:cs="仿宋"/>
          <w:b/>
          <w:color w:val="auto"/>
          <w:sz w:val="21"/>
          <w:szCs w:val="21"/>
          <w:highlight w:val="none"/>
          <w:u w:val="single"/>
        </w:rPr>
        <w:t xml:space="preserve">              </w:t>
      </w:r>
    </w:p>
    <w:p>
      <w:pPr>
        <w:pStyle w:val="11"/>
        <w:tabs>
          <w:tab w:val="left" w:pos="6999"/>
        </w:tabs>
        <w:kinsoku w:val="0"/>
        <w:overflowPunct w:val="0"/>
        <w:spacing w:before="0" w:line="360" w:lineRule="auto"/>
        <w:ind w:left="102"/>
        <w:rPr>
          <w:rFonts w:hAnsi="宋体" w:cs="Times New Roman"/>
          <w:color w:val="auto"/>
          <w:sz w:val="21"/>
          <w:szCs w:val="21"/>
          <w:highlight w:val="none"/>
        </w:rPr>
      </w:pPr>
      <w:r>
        <w:rPr>
          <w:rFonts w:hint="eastAsia" w:hAnsi="宋体"/>
          <w:color w:val="auto"/>
          <w:sz w:val="21"/>
          <w:szCs w:val="21"/>
          <w:highlight w:val="none"/>
        </w:rPr>
        <w:t>单位性质：</w:t>
      </w:r>
      <w:r>
        <w:rPr>
          <w:rFonts w:hAnsi="宋体" w:cs="仿宋"/>
          <w:b/>
          <w:color w:val="auto"/>
          <w:sz w:val="21"/>
          <w:szCs w:val="21"/>
          <w:highlight w:val="none"/>
          <w:u w:val="single"/>
        </w:rPr>
        <w:t xml:space="preserve">              </w:t>
      </w:r>
    </w:p>
    <w:p>
      <w:pPr>
        <w:pStyle w:val="11"/>
        <w:tabs>
          <w:tab w:val="left" w:pos="820"/>
          <w:tab w:val="left" w:pos="6999"/>
        </w:tabs>
        <w:kinsoku w:val="0"/>
        <w:overflowPunct w:val="0"/>
        <w:spacing w:before="0" w:line="360" w:lineRule="auto"/>
        <w:ind w:left="102"/>
        <w:rPr>
          <w:rFonts w:hAnsi="宋体" w:cs="Times New Roman"/>
          <w:color w:val="auto"/>
          <w:sz w:val="21"/>
          <w:szCs w:val="21"/>
          <w:highlight w:val="none"/>
        </w:rPr>
      </w:pPr>
      <w:r>
        <w:rPr>
          <w:rFonts w:hint="eastAsia" w:hAnsi="宋体"/>
          <w:color w:val="auto"/>
          <w:sz w:val="21"/>
          <w:szCs w:val="21"/>
          <w:highlight w:val="none"/>
        </w:rPr>
        <w:t>地</w:t>
      </w:r>
      <w:r>
        <w:rPr>
          <w:rFonts w:hAnsi="宋体"/>
          <w:color w:val="auto"/>
          <w:sz w:val="21"/>
          <w:szCs w:val="21"/>
          <w:highlight w:val="none"/>
        </w:rPr>
        <w:tab/>
      </w:r>
      <w:r>
        <w:rPr>
          <w:rFonts w:hint="eastAsia" w:hAnsi="宋体"/>
          <w:color w:val="auto"/>
          <w:sz w:val="21"/>
          <w:szCs w:val="21"/>
          <w:highlight w:val="none"/>
        </w:rPr>
        <w:t>址：</w:t>
      </w:r>
      <w:r>
        <w:rPr>
          <w:rFonts w:hAnsi="宋体" w:cs="Times New Roman"/>
          <w:color w:val="auto"/>
          <w:sz w:val="21"/>
          <w:szCs w:val="21"/>
          <w:highlight w:val="none"/>
        </w:rPr>
        <w:t xml:space="preserve"> </w:t>
      </w:r>
      <w:r>
        <w:rPr>
          <w:rFonts w:hAnsi="宋体" w:cs="仿宋"/>
          <w:b/>
          <w:color w:val="auto"/>
          <w:sz w:val="21"/>
          <w:szCs w:val="21"/>
          <w:highlight w:val="none"/>
          <w:u w:val="single"/>
        </w:rPr>
        <w:t xml:space="preserve">              </w:t>
      </w:r>
    </w:p>
    <w:p>
      <w:pPr>
        <w:pStyle w:val="11"/>
        <w:tabs>
          <w:tab w:val="left" w:pos="3940"/>
          <w:tab w:val="left" w:pos="5500"/>
          <w:tab w:val="left" w:pos="6820"/>
        </w:tabs>
        <w:kinsoku w:val="0"/>
        <w:overflowPunct w:val="0"/>
        <w:spacing w:before="0" w:line="360" w:lineRule="auto"/>
        <w:ind w:left="102"/>
        <w:rPr>
          <w:rFonts w:hAnsi="宋体"/>
          <w:color w:val="auto"/>
          <w:sz w:val="21"/>
          <w:szCs w:val="21"/>
          <w:highlight w:val="none"/>
        </w:rPr>
      </w:pPr>
      <w:r>
        <w:rPr>
          <w:rFonts w:hint="eastAsia" w:hAnsi="宋体"/>
          <w:color w:val="auto"/>
          <w:spacing w:val="-1"/>
          <w:sz w:val="21"/>
          <w:szCs w:val="21"/>
          <w:highlight w:val="none"/>
        </w:rPr>
        <w:t>成立时间：</w:t>
      </w:r>
      <w:r>
        <w:rPr>
          <w:rFonts w:hAnsi="宋体" w:cs="仿宋"/>
          <w:b/>
          <w:color w:val="auto"/>
          <w:sz w:val="21"/>
          <w:szCs w:val="21"/>
          <w:highlight w:val="none"/>
          <w:u w:val="single"/>
        </w:rPr>
        <w:t xml:space="preserve">              </w:t>
      </w:r>
      <w:r>
        <w:rPr>
          <w:rFonts w:hint="eastAsia" w:hAnsi="宋体"/>
          <w:color w:val="auto"/>
          <w:spacing w:val="-1"/>
          <w:sz w:val="21"/>
          <w:szCs w:val="21"/>
          <w:highlight w:val="none"/>
        </w:rPr>
        <w:t>年</w:t>
      </w:r>
      <w:r>
        <w:rPr>
          <w:rFonts w:hAnsi="宋体" w:cs="Times New Roman"/>
          <w:color w:val="auto"/>
          <w:spacing w:val="-1"/>
          <w:sz w:val="21"/>
          <w:szCs w:val="21"/>
          <w:highlight w:val="none"/>
        </w:rPr>
        <w:t xml:space="preserve"> </w:t>
      </w:r>
      <w:r>
        <w:rPr>
          <w:rFonts w:hAnsi="宋体" w:cs="仿宋"/>
          <w:b/>
          <w:color w:val="auto"/>
          <w:sz w:val="21"/>
          <w:szCs w:val="21"/>
          <w:highlight w:val="none"/>
          <w:u w:val="single"/>
        </w:rPr>
        <w:t xml:space="preserve">              </w:t>
      </w:r>
      <w:r>
        <w:rPr>
          <w:rFonts w:hint="eastAsia" w:hAnsi="宋体"/>
          <w:color w:val="auto"/>
          <w:spacing w:val="-1"/>
          <w:sz w:val="21"/>
          <w:szCs w:val="21"/>
          <w:highlight w:val="none"/>
        </w:rPr>
        <w:t>月</w:t>
      </w:r>
      <w:r>
        <w:rPr>
          <w:rFonts w:hAnsi="宋体" w:cs="仿宋"/>
          <w:b/>
          <w:color w:val="auto"/>
          <w:sz w:val="21"/>
          <w:szCs w:val="21"/>
          <w:highlight w:val="none"/>
          <w:u w:val="single"/>
        </w:rPr>
        <w:t xml:space="preserve">              </w:t>
      </w:r>
      <w:r>
        <w:rPr>
          <w:rFonts w:hint="eastAsia" w:hAnsi="宋体"/>
          <w:color w:val="auto"/>
          <w:sz w:val="21"/>
          <w:szCs w:val="21"/>
          <w:highlight w:val="none"/>
        </w:rPr>
        <w:t>日</w:t>
      </w:r>
      <w:r>
        <w:rPr>
          <w:rFonts w:hAnsi="宋体"/>
          <w:color w:val="auto"/>
          <w:sz w:val="21"/>
          <w:szCs w:val="21"/>
          <w:highlight w:val="none"/>
        </w:rPr>
        <w:t xml:space="preserve"> </w:t>
      </w:r>
    </w:p>
    <w:p>
      <w:pPr>
        <w:pStyle w:val="11"/>
        <w:tabs>
          <w:tab w:val="left" w:pos="3940"/>
          <w:tab w:val="left" w:pos="5500"/>
          <w:tab w:val="left" w:pos="6820"/>
        </w:tabs>
        <w:kinsoku w:val="0"/>
        <w:overflowPunct w:val="0"/>
        <w:spacing w:before="0" w:line="360" w:lineRule="auto"/>
        <w:ind w:left="102"/>
        <w:rPr>
          <w:rFonts w:hAnsi="宋体" w:cs="Times New Roman"/>
          <w:color w:val="auto"/>
          <w:sz w:val="21"/>
          <w:szCs w:val="21"/>
          <w:highlight w:val="none"/>
        </w:rPr>
      </w:pPr>
      <w:r>
        <w:rPr>
          <w:rFonts w:hint="eastAsia" w:hAnsi="宋体"/>
          <w:color w:val="auto"/>
          <w:sz w:val="21"/>
          <w:szCs w:val="21"/>
          <w:highlight w:val="none"/>
        </w:rPr>
        <w:t>经营期限：</w:t>
      </w:r>
      <w:r>
        <w:rPr>
          <w:rFonts w:hAnsi="宋体" w:cs="Times New Roman"/>
          <w:color w:val="auto"/>
          <w:sz w:val="21"/>
          <w:szCs w:val="21"/>
          <w:highlight w:val="none"/>
        </w:rPr>
        <w:t xml:space="preserve"> </w:t>
      </w:r>
      <w:r>
        <w:rPr>
          <w:rFonts w:hAnsi="宋体" w:cs="仿宋"/>
          <w:b/>
          <w:color w:val="auto"/>
          <w:sz w:val="21"/>
          <w:szCs w:val="21"/>
          <w:highlight w:val="none"/>
          <w:u w:val="single"/>
        </w:rPr>
        <w:t xml:space="preserve">              </w:t>
      </w:r>
    </w:p>
    <w:p>
      <w:pPr>
        <w:pStyle w:val="11"/>
        <w:tabs>
          <w:tab w:val="left" w:pos="2679"/>
          <w:tab w:val="left" w:pos="4540"/>
          <w:tab w:val="left" w:pos="6340"/>
          <w:tab w:val="left" w:pos="8199"/>
        </w:tabs>
        <w:kinsoku w:val="0"/>
        <w:overflowPunct w:val="0"/>
        <w:spacing w:before="0" w:line="360" w:lineRule="auto"/>
        <w:ind w:left="102"/>
        <w:rPr>
          <w:rFonts w:hAnsi="宋体" w:cs="Times New Roman"/>
          <w:color w:val="auto"/>
          <w:sz w:val="21"/>
          <w:szCs w:val="21"/>
          <w:highlight w:val="none"/>
        </w:rPr>
      </w:pPr>
      <w:r>
        <w:rPr>
          <w:rFonts w:hint="eastAsia" w:hAnsi="宋体"/>
          <w:color w:val="auto"/>
          <w:sz w:val="21"/>
          <w:szCs w:val="21"/>
          <w:highlight w:val="none"/>
        </w:rPr>
        <w:t>姓</w:t>
      </w:r>
      <w:r>
        <w:rPr>
          <w:rFonts w:hAnsi="宋体"/>
          <w:color w:val="auto"/>
          <w:spacing w:val="1"/>
          <w:sz w:val="21"/>
          <w:szCs w:val="21"/>
          <w:highlight w:val="none"/>
        </w:rPr>
        <w:t xml:space="preserve"> </w:t>
      </w:r>
      <w:r>
        <w:rPr>
          <w:rFonts w:hint="eastAsia" w:hAnsi="宋体"/>
          <w:color w:val="auto"/>
          <w:spacing w:val="-1"/>
          <w:sz w:val="21"/>
          <w:szCs w:val="21"/>
          <w:highlight w:val="none"/>
        </w:rPr>
        <w:t>名：</w:t>
      </w:r>
      <w:r>
        <w:rPr>
          <w:rFonts w:hAnsi="宋体" w:cs="仿宋"/>
          <w:b/>
          <w:color w:val="auto"/>
          <w:sz w:val="21"/>
          <w:szCs w:val="21"/>
          <w:highlight w:val="none"/>
          <w:u w:val="single"/>
        </w:rPr>
        <w:t xml:space="preserve">              </w:t>
      </w:r>
      <w:r>
        <w:rPr>
          <w:rFonts w:hint="eastAsia" w:hAnsi="宋体"/>
          <w:color w:val="auto"/>
          <w:spacing w:val="-1"/>
          <w:sz w:val="21"/>
          <w:szCs w:val="21"/>
          <w:highlight w:val="none"/>
        </w:rPr>
        <w:t>性别：</w:t>
      </w:r>
      <w:r>
        <w:rPr>
          <w:rFonts w:hAnsi="宋体" w:cs="Times New Roman"/>
          <w:color w:val="auto"/>
          <w:spacing w:val="-1"/>
          <w:sz w:val="21"/>
          <w:szCs w:val="21"/>
          <w:highlight w:val="none"/>
        </w:rPr>
        <w:t xml:space="preserve"> </w:t>
      </w:r>
      <w:r>
        <w:rPr>
          <w:rFonts w:hAnsi="宋体" w:cs="仿宋"/>
          <w:b/>
          <w:color w:val="auto"/>
          <w:sz w:val="21"/>
          <w:szCs w:val="21"/>
          <w:highlight w:val="none"/>
          <w:u w:val="single"/>
        </w:rPr>
        <w:t xml:space="preserve">              </w:t>
      </w:r>
      <w:r>
        <w:rPr>
          <w:rFonts w:hint="eastAsia" w:hAnsi="宋体"/>
          <w:color w:val="auto"/>
          <w:spacing w:val="-1"/>
          <w:sz w:val="21"/>
          <w:szCs w:val="21"/>
          <w:highlight w:val="none"/>
        </w:rPr>
        <w:t>年龄：</w:t>
      </w:r>
      <w:r>
        <w:rPr>
          <w:rFonts w:hAnsi="宋体" w:cs="仿宋"/>
          <w:b/>
          <w:color w:val="auto"/>
          <w:sz w:val="21"/>
          <w:szCs w:val="21"/>
          <w:highlight w:val="none"/>
          <w:u w:val="single"/>
        </w:rPr>
        <w:t xml:space="preserve">              </w:t>
      </w:r>
      <w:r>
        <w:rPr>
          <w:rFonts w:hint="eastAsia" w:hAnsi="宋体"/>
          <w:color w:val="auto"/>
          <w:spacing w:val="-1"/>
          <w:sz w:val="21"/>
          <w:szCs w:val="21"/>
          <w:highlight w:val="none"/>
        </w:rPr>
        <w:t>职务：</w:t>
      </w:r>
      <w:r>
        <w:rPr>
          <w:rFonts w:hAnsi="宋体" w:cs="仿宋"/>
          <w:b/>
          <w:color w:val="auto"/>
          <w:sz w:val="21"/>
          <w:szCs w:val="21"/>
          <w:highlight w:val="none"/>
          <w:u w:val="single"/>
        </w:rPr>
        <w:t xml:space="preserve">              </w:t>
      </w:r>
    </w:p>
    <w:p>
      <w:pPr>
        <w:pStyle w:val="11"/>
        <w:tabs>
          <w:tab w:val="left" w:pos="5199"/>
        </w:tabs>
        <w:kinsoku w:val="0"/>
        <w:overflowPunct w:val="0"/>
        <w:spacing w:before="0" w:line="360" w:lineRule="auto"/>
        <w:ind w:left="102"/>
        <w:rPr>
          <w:rFonts w:hAnsi="宋体" w:cs="Times New Roman"/>
          <w:color w:val="auto"/>
          <w:sz w:val="21"/>
          <w:szCs w:val="21"/>
          <w:highlight w:val="none"/>
        </w:rPr>
      </w:pPr>
      <w:r>
        <w:rPr>
          <w:rFonts w:hint="eastAsia" w:hAnsi="宋体"/>
          <w:color w:val="auto"/>
          <w:sz w:val="21"/>
          <w:szCs w:val="21"/>
          <w:highlight w:val="none"/>
        </w:rPr>
        <w:t>身份证号码：</w:t>
      </w:r>
      <w:r>
        <w:rPr>
          <w:rFonts w:hAnsi="宋体" w:cs="Times New Roman"/>
          <w:color w:val="auto"/>
          <w:sz w:val="21"/>
          <w:szCs w:val="21"/>
          <w:highlight w:val="none"/>
        </w:rPr>
        <w:t xml:space="preserve"> </w:t>
      </w:r>
      <w:r>
        <w:rPr>
          <w:rFonts w:hAnsi="宋体" w:cs="仿宋"/>
          <w:b/>
          <w:color w:val="auto"/>
          <w:sz w:val="21"/>
          <w:szCs w:val="21"/>
          <w:highlight w:val="none"/>
          <w:u w:val="single"/>
        </w:rPr>
        <w:t xml:space="preserve">              </w:t>
      </w:r>
    </w:p>
    <w:p>
      <w:pPr>
        <w:pStyle w:val="11"/>
        <w:tabs>
          <w:tab w:val="left" w:pos="3820"/>
        </w:tabs>
        <w:kinsoku w:val="0"/>
        <w:overflowPunct w:val="0"/>
        <w:spacing w:before="0" w:line="360" w:lineRule="auto"/>
        <w:ind w:left="102"/>
        <w:rPr>
          <w:rFonts w:hAnsi="宋体"/>
          <w:color w:val="auto"/>
          <w:sz w:val="21"/>
          <w:szCs w:val="21"/>
          <w:highlight w:val="none"/>
        </w:rPr>
      </w:pPr>
      <w:r>
        <w:rPr>
          <w:rFonts w:hint="eastAsia" w:hAnsi="宋体"/>
          <w:color w:val="auto"/>
          <w:spacing w:val="-1"/>
          <w:sz w:val="21"/>
          <w:szCs w:val="21"/>
          <w:highlight w:val="none"/>
        </w:rPr>
        <w:t>系</w:t>
      </w:r>
      <w:r>
        <w:rPr>
          <w:rFonts w:hAnsi="宋体" w:cs="Times New Roman"/>
          <w:color w:val="auto"/>
          <w:spacing w:val="-1"/>
          <w:sz w:val="21"/>
          <w:szCs w:val="21"/>
          <w:highlight w:val="none"/>
        </w:rPr>
        <w:t xml:space="preserve"> </w:t>
      </w:r>
      <w:r>
        <w:rPr>
          <w:rFonts w:hAnsi="宋体" w:cs="仿宋"/>
          <w:b/>
          <w:color w:val="auto"/>
          <w:sz w:val="21"/>
          <w:szCs w:val="21"/>
          <w:highlight w:val="none"/>
          <w:u w:val="single"/>
        </w:rPr>
        <w:t xml:space="preserve">              </w:t>
      </w:r>
      <w:r>
        <w:rPr>
          <w:rFonts w:hint="eastAsia" w:hAnsi="宋体"/>
          <w:color w:val="auto"/>
          <w:sz w:val="21"/>
          <w:szCs w:val="21"/>
          <w:highlight w:val="none"/>
        </w:rPr>
        <w:t>（投标单位名称）</w:t>
      </w:r>
      <w:r>
        <w:rPr>
          <w:rFonts w:hAnsi="宋体"/>
          <w:color w:val="auto"/>
          <w:sz w:val="21"/>
          <w:szCs w:val="21"/>
          <w:highlight w:val="none"/>
        </w:rPr>
        <w:t xml:space="preserve"> </w:t>
      </w:r>
      <w:r>
        <w:rPr>
          <w:rFonts w:hint="eastAsia" w:hAnsi="宋体"/>
          <w:color w:val="auto"/>
          <w:sz w:val="21"/>
          <w:szCs w:val="21"/>
          <w:highlight w:val="none"/>
        </w:rPr>
        <w:t>的法定代表人。</w:t>
      </w: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5"/>
        <w:ind w:left="0"/>
        <w:rPr>
          <w:rFonts w:hAnsi="宋体"/>
          <w:color w:val="auto"/>
          <w:sz w:val="21"/>
          <w:szCs w:val="21"/>
          <w:highlight w:val="none"/>
        </w:rPr>
      </w:pPr>
    </w:p>
    <w:p>
      <w:pPr>
        <w:pStyle w:val="11"/>
        <w:kinsoku w:val="0"/>
        <w:overflowPunct w:val="0"/>
        <w:spacing w:before="0"/>
        <w:ind w:left="100" w:right="184"/>
        <w:rPr>
          <w:rFonts w:hAnsi="宋体"/>
          <w:color w:val="auto"/>
          <w:sz w:val="21"/>
          <w:szCs w:val="21"/>
          <w:highlight w:val="none"/>
        </w:rPr>
      </w:pPr>
      <w:r>
        <w:rPr>
          <w:rFonts w:hint="eastAsia" w:hAnsi="宋体"/>
          <w:color w:val="auto"/>
          <w:sz w:val="21"/>
          <w:szCs w:val="21"/>
          <w:highlight w:val="none"/>
        </w:rPr>
        <w:t>特此证明。</w:t>
      </w:r>
    </w:p>
    <w:p>
      <w:pPr>
        <w:pStyle w:val="11"/>
        <w:kinsoku w:val="0"/>
        <w:overflowPunct w:val="0"/>
        <w:spacing w:before="0"/>
        <w:ind w:left="0"/>
        <w:rPr>
          <w:rFonts w:hAnsi="宋体"/>
          <w:color w:val="auto"/>
          <w:sz w:val="21"/>
          <w:szCs w:val="21"/>
          <w:highlight w:val="none"/>
        </w:rPr>
      </w:pPr>
    </w:p>
    <w:p>
      <w:pPr>
        <w:pStyle w:val="11"/>
        <w:kinsoku w:val="0"/>
        <w:overflowPunct w:val="0"/>
        <w:spacing w:before="5"/>
        <w:ind w:left="0"/>
        <w:rPr>
          <w:rFonts w:hAnsi="宋体"/>
          <w:color w:val="auto"/>
          <w:sz w:val="21"/>
          <w:szCs w:val="21"/>
          <w:highlight w:val="none"/>
        </w:rPr>
      </w:pPr>
    </w:p>
    <w:p>
      <w:pPr>
        <w:pStyle w:val="11"/>
        <w:kinsoku w:val="0"/>
        <w:overflowPunct w:val="0"/>
        <w:spacing w:before="0"/>
        <w:ind w:left="100" w:right="184"/>
        <w:rPr>
          <w:rFonts w:hAnsi="宋体"/>
          <w:color w:val="auto"/>
          <w:sz w:val="21"/>
          <w:szCs w:val="21"/>
          <w:highlight w:val="none"/>
        </w:rPr>
      </w:pPr>
      <w:r>
        <w:rPr>
          <w:rFonts w:hint="eastAsia" w:hAnsi="宋体"/>
          <w:color w:val="auto"/>
          <w:sz w:val="21"/>
          <w:szCs w:val="21"/>
          <w:highlight w:val="none"/>
        </w:rPr>
        <w:t>（后附法定代表人身份证复印件）</w:t>
      </w: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tabs>
          <w:tab w:val="left" w:pos="4039"/>
          <w:tab w:val="left" w:pos="4519"/>
          <w:tab w:val="left" w:pos="4999"/>
          <w:tab w:val="left" w:pos="7159"/>
          <w:tab w:val="left" w:pos="7778"/>
        </w:tabs>
        <w:kinsoku w:val="0"/>
        <w:overflowPunct w:val="0"/>
        <w:spacing w:before="0" w:line="357" w:lineRule="auto"/>
        <w:ind w:left="2959" w:right="105"/>
        <w:rPr>
          <w:rFonts w:hAnsi="宋体"/>
          <w:color w:val="auto"/>
          <w:sz w:val="21"/>
          <w:szCs w:val="21"/>
          <w:highlight w:val="none"/>
        </w:rPr>
      </w:pPr>
      <w:bookmarkStart w:id="546" w:name="_Hlk71637594"/>
      <w:r>
        <w:rPr>
          <w:rFonts w:hint="eastAsia" w:hAnsi="宋体"/>
          <w:color w:val="auto"/>
          <w:sz w:val="21"/>
          <w:szCs w:val="21"/>
          <w:highlight w:val="none"/>
        </w:rPr>
        <w:t>投标人</w:t>
      </w:r>
      <w:bookmarkEnd w:id="546"/>
      <w:r>
        <w:rPr>
          <w:rFonts w:hint="eastAsia" w:hAnsi="宋体"/>
          <w:color w:val="auto"/>
          <w:sz w:val="21"/>
          <w:szCs w:val="21"/>
          <w:highlight w:val="none"/>
        </w:rPr>
        <w:t>：</w:t>
      </w:r>
      <w:r>
        <w:rPr>
          <w:rFonts w:hAnsi="宋体" w:cs="仿宋"/>
          <w:b/>
          <w:color w:val="auto"/>
          <w:sz w:val="21"/>
          <w:szCs w:val="21"/>
          <w:highlight w:val="none"/>
          <w:u w:val="single"/>
        </w:rPr>
        <w:t xml:space="preserve">              </w:t>
      </w:r>
      <w:r>
        <w:rPr>
          <w:rFonts w:hint="eastAsia" w:hAnsi="宋体"/>
          <w:color w:val="auto"/>
          <w:sz w:val="21"/>
          <w:szCs w:val="21"/>
          <w:highlight w:val="none"/>
        </w:rPr>
        <w:t>（盖章）</w:t>
      </w:r>
      <w:r>
        <w:rPr>
          <w:rFonts w:hAnsi="宋体"/>
          <w:color w:val="auto"/>
          <w:sz w:val="21"/>
          <w:szCs w:val="21"/>
          <w:highlight w:val="none"/>
        </w:rPr>
        <w:t xml:space="preserve"> </w:t>
      </w:r>
    </w:p>
    <w:p>
      <w:pPr>
        <w:pStyle w:val="11"/>
        <w:tabs>
          <w:tab w:val="left" w:pos="4039"/>
          <w:tab w:val="left" w:pos="4519"/>
          <w:tab w:val="left" w:pos="4999"/>
          <w:tab w:val="left" w:pos="7159"/>
          <w:tab w:val="left" w:pos="7778"/>
        </w:tabs>
        <w:kinsoku w:val="0"/>
        <w:overflowPunct w:val="0"/>
        <w:spacing w:before="0" w:line="357" w:lineRule="auto"/>
        <w:ind w:left="2959" w:right="105"/>
        <w:rPr>
          <w:rFonts w:hAnsi="宋体"/>
          <w:color w:val="auto"/>
          <w:sz w:val="21"/>
          <w:szCs w:val="21"/>
          <w:highlight w:val="none"/>
        </w:rPr>
      </w:pPr>
      <w:r>
        <w:rPr>
          <w:rFonts w:hint="eastAsia" w:hAnsi="宋体"/>
          <w:color w:val="auto"/>
          <w:sz w:val="21"/>
          <w:szCs w:val="21"/>
          <w:highlight w:val="none"/>
        </w:rPr>
        <w:t>法定代表人或其委托代理人：</w:t>
      </w:r>
      <w:r>
        <w:rPr>
          <w:rFonts w:hAnsi="宋体" w:cs="仿宋"/>
          <w:b/>
          <w:color w:val="auto"/>
          <w:sz w:val="21"/>
          <w:szCs w:val="21"/>
          <w:highlight w:val="none"/>
          <w:u w:val="single"/>
        </w:rPr>
        <w:t xml:space="preserve">             </w:t>
      </w:r>
      <w:r>
        <w:rPr>
          <w:rFonts w:hint="eastAsia" w:hAnsi="宋体"/>
          <w:color w:val="auto"/>
          <w:sz w:val="21"/>
          <w:szCs w:val="21"/>
          <w:highlight w:val="none"/>
        </w:rPr>
        <w:t>（签字或盖章）</w:t>
      </w:r>
      <w:r>
        <w:rPr>
          <w:rFonts w:hAnsi="宋体"/>
          <w:color w:val="auto"/>
          <w:sz w:val="21"/>
          <w:szCs w:val="21"/>
          <w:highlight w:val="none"/>
        </w:rPr>
        <w:t xml:space="preserve"> </w:t>
      </w:r>
    </w:p>
    <w:p>
      <w:pPr>
        <w:pStyle w:val="11"/>
        <w:tabs>
          <w:tab w:val="left" w:pos="4039"/>
          <w:tab w:val="left" w:pos="4519"/>
          <w:tab w:val="left" w:pos="4999"/>
          <w:tab w:val="left" w:pos="7159"/>
          <w:tab w:val="left" w:pos="7778"/>
        </w:tabs>
        <w:kinsoku w:val="0"/>
        <w:overflowPunct w:val="0"/>
        <w:spacing w:before="0" w:line="357" w:lineRule="auto"/>
        <w:ind w:left="2959" w:right="105"/>
        <w:rPr>
          <w:rFonts w:hAnsi="宋体"/>
          <w:color w:val="auto"/>
          <w:sz w:val="21"/>
          <w:szCs w:val="21"/>
          <w:highlight w:val="none"/>
        </w:rPr>
      </w:pPr>
      <w:r>
        <w:rPr>
          <w:rFonts w:hint="eastAsia" w:hAnsi="宋体"/>
          <w:color w:val="auto"/>
          <w:sz w:val="21"/>
          <w:szCs w:val="21"/>
          <w:highlight w:val="none"/>
        </w:rPr>
        <w:t>日</w:t>
      </w:r>
      <w:r>
        <w:rPr>
          <w:rFonts w:hAnsi="宋体"/>
          <w:color w:val="auto"/>
          <w:sz w:val="21"/>
          <w:szCs w:val="21"/>
          <w:highlight w:val="none"/>
        </w:rPr>
        <w:t xml:space="preserve"> </w:t>
      </w:r>
      <w:r>
        <w:rPr>
          <w:rFonts w:hint="eastAsia" w:hAnsi="宋体"/>
          <w:color w:val="auto"/>
          <w:sz w:val="21"/>
          <w:szCs w:val="21"/>
          <w:highlight w:val="none"/>
        </w:rPr>
        <w:t>期：</w:t>
      </w:r>
      <w:r>
        <w:rPr>
          <w:rFonts w:hAnsi="宋体" w:cs="仿宋"/>
          <w:b/>
          <w:color w:val="auto"/>
          <w:sz w:val="21"/>
          <w:szCs w:val="21"/>
          <w:highlight w:val="none"/>
          <w:u w:val="single"/>
        </w:rPr>
        <w:t xml:space="preserve">      </w:t>
      </w:r>
      <w:r>
        <w:rPr>
          <w:rFonts w:hint="eastAsia" w:hAnsi="宋体"/>
          <w:color w:val="auto"/>
          <w:sz w:val="21"/>
          <w:szCs w:val="21"/>
          <w:highlight w:val="none"/>
        </w:rPr>
        <w:t>年</w:t>
      </w:r>
      <w:r>
        <w:rPr>
          <w:rFonts w:hAnsi="宋体" w:cs="仿宋"/>
          <w:b/>
          <w:color w:val="auto"/>
          <w:sz w:val="21"/>
          <w:szCs w:val="21"/>
          <w:highlight w:val="none"/>
          <w:u w:val="single"/>
        </w:rPr>
        <w:t xml:space="preserve">      </w:t>
      </w:r>
      <w:r>
        <w:rPr>
          <w:rFonts w:hint="eastAsia" w:hAnsi="宋体"/>
          <w:color w:val="auto"/>
          <w:sz w:val="21"/>
          <w:szCs w:val="21"/>
          <w:highlight w:val="none"/>
        </w:rPr>
        <w:t>月</w:t>
      </w:r>
      <w:r>
        <w:rPr>
          <w:rFonts w:hAnsi="宋体" w:cs="仿宋"/>
          <w:b/>
          <w:color w:val="auto"/>
          <w:sz w:val="21"/>
          <w:szCs w:val="21"/>
          <w:highlight w:val="none"/>
          <w:u w:val="single"/>
        </w:rPr>
        <w:t xml:space="preserve">      </w:t>
      </w:r>
      <w:r>
        <w:rPr>
          <w:rFonts w:hint="eastAsia" w:hAnsi="宋体"/>
          <w:color w:val="auto"/>
          <w:sz w:val="21"/>
          <w:szCs w:val="21"/>
          <w:highlight w:val="none"/>
        </w:rPr>
        <w:t>日</w:t>
      </w:r>
    </w:p>
    <w:p>
      <w:pPr>
        <w:pStyle w:val="6"/>
        <w:kinsoku w:val="0"/>
        <w:overflowPunct w:val="0"/>
        <w:spacing w:line="433" w:lineRule="exact"/>
        <w:ind w:right="86"/>
        <w:rPr>
          <w:rFonts w:hAnsi="宋体"/>
          <w:color w:val="auto"/>
          <w:highlight w:val="none"/>
        </w:rPr>
      </w:pPr>
      <w:r>
        <w:rPr>
          <w:rFonts w:hAnsi="宋体"/>
          <w:color w:val="auto"/>
          <w:sz w:val="24"/>
          <w:szCs w:val="24"/>
          <w:highlight w:val="none"/>
        </w:rPr>
        <w:br w:type="page"/>
      </w:r>
      <w:bookmarkStart w:id="547" w:name="_Hlk71637652"/>
      <w:r>
        <w:rPr>
          <w:rFonts w:hint="eastAsia" w:hAnsi="宋体"/>
          <w:color w:val="auto"/>
          <w:highlight w:val="none"/>
        </w:rPr>
        <w:t>投标人</w:t>
      </w:r>
      <w:bookmarkEnd w:id="547"/>
      <w:r>
        <w:rPr>
          <w:rFonts w:hint="eastAsia" w:hAnsi="宋体"/>
          <w:color w:val="auto"/>
          <w:highlight w:val="none"/>
        </w:rPr>
        <w:t>法人授权委托书（如需委托）</w:t>
      </w:r>
    </w:p>
    <w:p>
      <w:pPr>
        <w:pStyle w:val="11"/>
        <w:kinsoku w:val="0"/>
        <w:overflowPunct w:val="0"/>
        <w:spacing w:before="0"/>
        <w:ind w:left="0"/>
        <w:rPr>
          <w:rFonts w:hAnsi="宋体"/>
          <w:color w:val="auto"/>
          <w:sz w:val="36"/>
          <w:szCs w:val="36"/>
          <w:highlight w:val="none"/>
        </w:rPr>
      </w:pPr>
    </w:p>
    <w:p>
      <w:pPr>
        <w:pStyle w:val="11"/>
        <w:kinsoku w:val="0"/>
        <w:overflowPunct w:val="0"/>
        <w:spacing w:before="13"/>
        <w:ind w:left="0"/>
        <w:rPr>
          <w:rFonts w:hAnsi="宋体"/>
          <w:color w:val="auto"/>
          <w:sz w:val="30"/>
          <w:szCs w:val="30"/>
          <w:highlight w:val="none"/>
        </w:rPr>
      </w:pPr>
    </w:p>
    <w:p>
      <w:pPr>
        <w:pStyle w:val="11"/>
        <w:tabs>
          <w:tab w:val="left" w:pos="5618"/>
          <w:tab w:val="left" w:pos="7538"/>
          <w:tab w:val="left" w:pos="8740"/>
        </w:tabs>
        <w:kinsoku w:val="0"/>
        <w:overflowPunct w:val="0"/>
        <w:spacing w:before="0" w:line="360" w:lineRule="auto"/>
        <w:ind w:left="0" w:firstLine="480"/>
        <w:rPr>
          <w:rFonts w:hAnsi="宋体"/>
          <w:color w:val="auto"/>
          <w:sz w:val="21"/>
          <w:szCs w:val="21"/>
          <w:highlight w:val="none"/>
        </w:rPr>
      </w:pPr>
      <w:r>
        <w:rPr>
          <w:rFonts w:hint="eastAsia" w:hAnsi="宋体"/>
          <w:color w:val="auto"/>
          <w:spacing w:val="-1"/>
          <w:sz w:val="21"/>
          <w:szCs w:val="21"/>
          <w:highlight w:val="none"/>
        </w:rPr>
        <w:t>本授权委托书声明：我（姓名）</w:t>
      </w:r>
      <w:r>
        <w:rPr>
          <w:rFonts w:hAnsi="宋体" w:cs="Times New Roman"/>
          <w:color w:val="auto"/>
          <w:spacing w:val="-1"/>
          <w:sz w:val="21"/>
          <w:szCs w:val="21"/>
          <w:highlight w:val="none"/>
        </w:rPr>
        <w:t xml:space="preserve"> </w:t>
      </w:r>
      <w:r>
        <w:rPr>
          <w:rFonts w:hAnsi="宋体" w:cs="仿宋"/>
          <w:b/>
          <w:color w:val="auto"/>
          <w:sz w:val="21"/>
          <w:szCs w:val="21"/>
          <w:highlight w:val="none"/>
          <w:u w:val="single"/>
        </w:rPr>
        <w:t xml:space="preserve">         </w:t>
      </w:r>
      <w:r>
        <w:rPr>
          <w:rFonts w:hint="eastAsia" w:hAnsi="宋体"/>
          <w:color w:val="auto"/>
          <w:spacing w:val="-1"/>
          <w:sz w:val="21"/>
          <w:szCs w:val="21"/>
          <w:highlight w:val="none"/>
        </w:rPr>
        <w:t>系</w:t>
      </w:r>
      <w:r>
        <w:rPr>
          <w:rFonts w:hAnsi="宋体" w:cs="Times New Roman"/>
          <w:color w:val="auto"/>
          <w:spacing w:val="-1"/>
          <w:sz w:val="21"/>
          <w:szCs w:val="21"/>
          <w:highlight w:val="none"/>
        </w:rPr>
        <w:t xml:space="preserve"> </w:t>
      </w:r>
      <w:r>
        <w:rPr>
          <w:rFonts w:hAnsi="宋体" w:cs="仿宋"/>
          <w:b/>
          <w:color w:val="auto"/>
          <w:sz w:val="21"/>
          <w:szCs w:val="21"/>
          <w:highlight w:val="none"/>
          <w:u w:val="single"/>
        </w:rPr>
        <w:t xml:space="preserve">         </w:t>
      </w:r>
      <w:r>
        <w:rPr>
          <w:rFonts w:hint="eastAsia" w:hAnsi="宋体"/>
          <w:color w:val="auto"/>
          <w:sz w:val="21"/>
          <w:szCs w:val="21"/>
          <w:highlight w:val="none"/>
        </w:rPr>
        <w:t>（投标单位名称）</w:t>
      </w:r>
      <w:r>
        <w:rPr>
          <w:rFonts w:hAnsi="宋体"/>
          <w:color w:val="auto"/>
          <w:sz w:val="21"/>
          <w:szCs w:val="21"/>
          <w:highlight w:val="none"/>
        </w:rPr>
        <w:t xml:space="preserve"> </w:t>
      </w:r>
      <w:r>
        <w:rPr>
          <w:rFonts w:hint="eastAsia" w:hAnsi="宋体"/>
          <w:color w:val="auto"/>
          <w:spacing w:val="-1"/>
          <w:sz w:val="21"/>
          <w:szCs w:val="21"/>
          <w:highlight w:val="none"/>
        </w:rPr>
        <w:t>的法定代表人，现授权委托（姓名）</w:t>
      </w:r>
      <w:r>
        <w:rPr>
          <w:rFonts w:hAnsi="宋体" w:cs="Times New Roman"/>
          <w:color w:val="auto"/>
          <w:spacing w:val="-1"/>
          <w:sz w:val="21"/>
          <w:szCs w:val="21"/>
          <w:highlight w:val="none"/>
        </w:rPr>
        <w:t xml:space="preserve"> </w:t>
      </w:r>
      <w:r>
        <w:rPr>
          <w:rFonts w:hAnsi="宋体" w:cs="仿宋"/>
          <w:b/>
          <w:color w:val="auto"/>
          <w:sz w:val="21"/>
          <w:szCs w:val="21"/>
          <w:highlight w:val="none"/>
          <w:u w:val="single"/>
        </w:rPr>
        <w:t xml:space="preserve">         </w:t>
      </w:r>
      <w:r>
        <w:rPr>
          <w:rFonts w:hint="eastAsia" w:hAnsi="宋体"/>
          <w:color w:val="auto"/>
          <w:spacing w:val="-1"/>
          <w:sz w:val="21"/>
          <w:szCs w:val="21"/>
          <w:highlight w:val="none"/>
        </w:rPr>
        <w:t>为我公司参与</w:t>
      </w:r>
      <w:r>
        <w:rPr>
          <w:rFonts w:hAnsi="宋体" w:cs="Times New Roman"/>
          <w:color w:val="auto"/>
          <w:spacing w:val="-1"/>
          <w:sz w:val="21"/>
          <w:szCs w:val="21"/>
          <w:highlight w:val="none"/>
        </w:rPr>
        <w:t xml:space="preserve"> </w:t>
      </w:r>
      <w:r>
        <w:rPr>
          <w:rFonts w:hAnsi="宋体" w:cs="仿宋"/>
          <w:b/>
          <w:color w:val="auto"/>
          <w:sz w:val="21"/>
          <w:szCs w:val="21"/>
          <w:highlight w:val="none"/>
          <w:u w:val="single"/>
        </w:rPr>
        <w:t xml:space="preserve">         </w:t>
      </w:r>
      <w:r>
        <w:rPr>
          <w:rFonts w:hint="eastAsia" w:hAnsi="宋体"/>
          <w:color w:val="auto"/>
          <w:sz w:val="21"/>
          <w:szCs w:val="21"/>
          <w:highlight w:val="none"/>
        </w:rPr>
        <w:t>项目</w:t>
      </w:r>
      <w:r>
        <w:rPr>
          <w:rFonts w:hAnsi="宋体"/>
          <w:color w:val="auto"/>
          <w:sz w:val="21"/>
          <w:szCs w:val="21"/>
          <w:highlight w:val="none"/>
        </w:rPr>
        <w:t xml:space="preserve"> </w:t>
      </w:r>
      <w:r>
        <w:rPr>
          <w:rFonts w:hint="eastAsia" w:hAnsi="宋体"/>
          <w:color w:val="auto"/>
          <w:sz w:val="21"/>
          <w:szCs w:val="21"/>
          <w:highlight w:val="none"/>
        </w:rPr>
        <w:t>投标的委托代理人，代理人根据授权，以我方名义签署、澄清确认、递交、撤回、修改</w:t>
      </w:r>
      <w:r>
        <w:rPr>
          <w:rFonts w:hAnsi="宋体"/>
          <w:color w:val="auto"/>
          <w:sz w:val="21"/>
          <w:szCs w:val="21"/>
          <w:highlight w:val="none"/>
        </w:rPr>
        <w:t xml:space="preserve"> </w:t>
      </w:r>
      <w:r>
        <w:rPr>
          <w:rFonts w:hint="eastAsia" w:hAnsi="宋体"/>
          <w:color w:val="auto"/>
          <w:sz w:val="21"/>
          <w:szCs w:val="21"/>
          <w:highlight w:val="none"/>
        </w:rPr>
        <w:t>本项目投标文件、签订合同和处理有关事宜，其法律后果由我方承担。</w:t>
      </w:r>
    </w:p>
    <w:p>
      <w:pPr>
        <w:pStyle w:val="11"/>
        <w:kinsoku w:val="0"/>
        <w:overflowPunct w:val="0"/>
        <w:spacing w:before="0" w:line="360" w:lineRule="auto"/>
        <w:ind w:left="0"/>
        <w:rPr>
          <w:rFonts w:hAnsi="宋体"/>
          <w:color w:val="auto"/>
          <w:sz w:val="21"/>
          <w:szCs w:val="21"/>
          <w:highlight w:val="none"/>
        </w:rPr>
      </w:pPr>
      <w:r>
        <w:rPr>
          <w:rFonts w:hint="eastAsia" w:hAnsi="宋体"/>
          <w:color w:val="auto"/>
          <w:sz w:val="21"/>
          <w:szCs w:val="21"/>
          <w:highlight w:val="none"/>
        </w:rPr>
        <w:t>代理人无转委托权，特此委托！</w:t>
      </w:r>
    </w:p>
    <w:p>
      <w:pPr>
        <w:pStyle w:val="11"/>
        <w:kinsoku w:val="0"/>
        <w:overflowPunct w:val="0"/>
        <w:spacing w:before="0" w:line="360" w:lineRule="auto"/>
        <w:ind w:left="0"/>
        <w:rPr>
          <w:rFonts w:hAnsi="宋体"/>
          <w:color w:val="auto"/>
          <w:sz w:val="21"/>
          <w:szCs w:val="21"/>
          <w:highlight w:val="none"/>
        </w:rPr>
      </w:pPr>
    </w:p>
    <w:p>
      <w:pPr>
        <w:pStyle w:val="11"/>
        <w:kinsoku w:val="0"/>
        <w:overflowPunct w:val="0"/>
        <w:spacing w:before="0" w:line="360" w:lineRule="auto"/>
        <w:ind w:left="0" w:firstLine="420" w:firstLineChars="200"/>
        <w:rPr>
          <w:rFonts w:hAnsi="宋体"/>
          <w:color w:val="auto"/>
          <w:sz w:val="21"/>
          <w:szCs w:val="21"/>
          <w:highlight w:val="none"/>
        </w:rPr>
      </w:pPr>
      <w:r>
        <w:rPr>
          <w:rFonts w:hint="eastAsia" w:hAnsi="宋体"/>
          <w:color w:val="auto"/>
          <w:sz w:val="21"/>
          <w:szCs w:val="21"/>
          <w:highlight w:val="none"/>
        </w:rPr>
        <w:t>授权委托有效期：</w:t>
      </w:r>
      <w:r>
        <w:rPr>
          <w:rFonts w:hAnsi="宋体"/>
          <w:color w:val="auto"/>
          <w:sz w:val="21"/>
          <w:szCs w:val="21"/>
          <w:highlight w:val="none"/>
        </w:rPr>
        <w:t>120</w:t>
      </w:r>
      <w:r>
        <w:rPr>
          <w:rFonts w:hint="eastAsia" w:hAnsi="宋体"/>
          <w:color w:val="auto"/>
          <w:sz w:val="21"/>
          <w:szCs w:val="21"/>
          <w:highlight w:val="none"/>
        </w:rPr>
        <w:t>日历天（从投标截止之日算起）。</w:t>
      </w:r>
    </w:p>
    <w:p>
      <w:pPr>
        <w:pStyle w:val="11"/>
        <w:kinsoku w:val="0"/>
        <w:overflowPunct w:val="0"/>
        <w:spacing w:before="0" w:line="360" w:lineRule="auto"/>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5"/>
        <w:ind w:left="0"/>
        <w:rPr>
          <w:rFonts w:hAnsi="宋体"/>
          <w:color w:val="auto"/>
          <w:sz w:val="21"/>
          <w:szCs w:val="21"/>
          <w:highlight w:val="none"/>
        </w:rPr>
      </w:pPr>
    </w:p>
    <w:p>
      <w:pPr>
        <w:pStyle w:val="11"/>
        <w:kinsoku w:val="0"/>
        <w:overflowPunct w:val="0"/>
        <w:spacing w:before="0"/>
        <w:ind w:left="100" w:right="5726"/>
        <w:rPr>
          <w:rFonts w:hAnsi="宋体"/>
          <w:color w:val="auto"/>
          <w:sz w:val="21"/>
          <w:szCs w:val="21"/>
          <w:highlight w:val="none"/>
        </w:rPr>
      </w:pPr>
      <w:r>
        <w:rPr>
          <w:rFonts w:hint="eastAsia" w:hAnsi="宋体"/>
          <w:color w:val="auto"/>
          <w:sz w:val="21"/>
          <w:szCs w:val="21"/>
          <w:highlight w:val="none"/>
        </w:rPr>
        <w:t>（后附代理人身份证复印件）</w:t>
      </w: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0"/>
        <w:ind w:left="0"/>
        <w:rPr>
          <w:rFonts w:hAnsi="宋体"/>
          <w:color w:val="auto"/>
          <w:sz w:val="21"/>
          <w:szCs w:val="21"/>
          <w:highlight w:val="none"/>
        </w:rPr>
      </w:pPr>
    </w:p>
    <w:p>
      <w:pPr>
        <w:pStyle w:val="11"/>
        <w:kinsoku w:val="0"/>
        <w:overflowPunct w:val="0"/>
        <w:spacing w:before="6"/>
        <w:ind w:left="0"/>
        <w:rPr>
          <w:rFonts w:hAnsi="宋体"/>
          <w:color w:val="auto"/>
          <w:sz w:val="21"/>
          <w:szCs w:val="21"/>
          <w:highlight w:val="none"/>
        </w:rPr>
      </w:pPr>
    </w:p>
    <w:p>
      <w:pPr>
        <w:pStyle w:val="11"/>
        <w:tabs>
          <w:tab w:val="left" w:pos="6539"/>
          <w:tab w:val="left" w:pos="7259"/>
          <w:tab w:val="left" w:pos="8039"/>
        </w:tabs>
        <w:kinsoku w:val="0"/>
        <w:overflowPunct w:val="0"/>
        <w:spacing w:before="0" w:line="477" w:lineRule="auto"/>
        <w:ind w:right="1345"/>
        <w:jc w:val="both"/>
        <w:rPr>
          <w:rFonts w:hAnsi="宋体"/>
          <w:color w:val="auto"/>
          <w:sz w:val="21"/>
          <w:szCs w:val="21"/>
          <w:highlight w:val="none"/>
        </w:rPr>
      </w:pPr>
      <w:r>
        <w:rPr>
          <w:rFonts w:hint="eastAsia" w:hAnsi="宋体"/>
          <w:color w:val="auto"/>
          <w:sz w:val="21"/>
          <w:szCs w:val="21"/>
          <w:highlight w:val="none"/>
        </w:rPr>
        <w:t>投标单位：</w:t>
      </w:r>
      <w:r>
        <w:rPr>
          <w:rFonts w:hAnsi="宋体" w:cs="仿宋"/>
          <w:b/>
          <w:color w:val="auto"/>
          <w:sz w:val="21"/>
          <w:szCs w:val="21"/>
          <w:highlight w:val="none"/>
          <w:u w:val="single"/>
        </w:rPr>
        <w:t xml:space="preserve">         </w:t>
      </w:r>
      <w:r>
        <w:rPr>
          <w:rFonts w:hint="eastAsia" w:hAnsi="宋体"/>
          <w:color w:val="auto"/>
          <w:sz w:val="21"/>
          <w:szCs w:val="21"/>
          <w:highlight w:val="none"/>
        </w:rPr>
        <w:t>（盖章）</w:t>
      </w:r>
      <w:r>
        <w:rPr>
          <w:rFonts w:hAnsi="宋体"/>
          <w:color w:val="auto"/>
          <w:sz w:val="21"/>
          <w:szCs w:val="21"/>
          <w:highlight w:val="none"/>
        </w:rPr>
        <w:t xml:space="preserve"> </w:t>
      </w:r>
    </w:p>
    <w:p>
      <w:pPr>
        <w:pStyle w:val="11"/>
        <w:tabs>
          <w:tab w:val="left" w:pos="6180"/>
          <w:tab w:val="left" w:pos="7259"/>
          <w:tab w:val="left" w:pos="8039"/>
        </w:tabs>
        <w:kinsoku w:val="0"/>
        <w:overflowPunct w:val="0"/>
        <w:spacing w:before="0" w:line="477" w:lineRule="auto"/>
        <w:ind w:right="1345"/>
        <w:jc w:val="both"/>
        <w:rPr>
          <w:rFonts w:hAnsi="宋体"/>
          <w:color w:val="auto"/>
          <w:sz w:val="21"/>
          <w:szCs w:val="21"/>
          <w:highlight w:val="none"/>
        </w:rPr>
      </w:pPr>
      <w:r>
        <w:rPr>
          <w:rFonts w:hint="eastAsia" w:hAnsi="宋体"/>
          <w:color w:val="auto"/>
          <w:sz w:val="21"/>
          <w:szCs w:val="21"/>
          <w:highlight w:val="none"/>
        </w:rPr>
        <w:t>法定代表人：</w:t>
      </w:r>
      <w:r>
        <w:rPr>
          <w:rFonts w:hAnsi="宋体" w:cs="仿宋"/>
          <w:b/>
          <w:color w:val="auto"/>
          <w:sz w:val="21"/>
          <w:szCs w:val="21"/>
          <w:highlight w:val="none"/>
          <w:u w:val="single"/>
        </w:rPr>
        <w:t xml:space="preserve">         </w:t>
      </w:r>
      <w:r>
        <w:rPr>
          <w:rFonts w:hint="eastAsia" w:hAnsi="宋体"/>
          <w:color w:val="auto"/>
          <w:sz w:val="21"/>
          <w:szCs w:val="21"/>
          <w:highlight w:val="none"/>
        </w:rPr>
        <w:t>（签字或盖章）</w:t>
      </w:r>
    </w:p>
    <w:p>
      <w:pPr>
        <w:pStyle w:val="11"/>
        <w:tabs>
          <w:tab w:val="left" w:pos="6180"/>
          <w:tab w:val="left" w:pos="7259"/>
        </w:tabs>
        <w:kinsoku w:val="0"/>
        <w:overflowPunct w:val="0"/>
        <w:spacing w:before="0" w:line="477" w:lineRule="auto"/>
        <w:ind w:right="76"/>
        <w:jc w:val="both"/>
        <w:rPr>
          <w:rFonts w:hAnsi="宋体" w:cs="Times New Roman"/>
          <w:color w:val="auto"/>
          <w:sz w:val="21"/>
          <w:szCs w:val="21"/>
          <w:highlight w:val="none"/>
        </w:rPr>
      </w:pPr>
      <w:r>
        <w:rPr>
          <w:rFonts w:hint="eastAsia" w:hAnsi="宋体"/>
          <w:color w:val="auto"/>
          <w:sz w:val="21"/>
          <w:szCs w:val="21"/>
          <w:highlight w:val="none"/>
        </w:rPr>
        <w:t>身份证号码：</w:t>
      </w:r>
      <w:r>
        <w:rPr>
          <w:rFonts w:hAnsi="宋体" w:cs="Times New Roman"/>
          <w:color w:val="auto"/>
          <w:sz w:val="21"/>
          <w:szCs w:val="21"/>
          <w:highlight w:val="none"/>
        </w:rPr>
        <w:t xml:space="preserve"> </w:t>
      </w:r>
      <w:r>
        <w:rPr>
          <w:rFonts w:hAnsi="宋体" w:cs="仿宋"/>
          <w:b/>
          <w:color w:val="auto"/>
          <w:sz w:val="21"/>
          <w:szCs w:val="21"/>
          <w:highlight w:val="none"/>
          <w:u w:val="single"/>
        </w:rPr>
        <w:t xml:space="preserve">         </w:t>
      </w:r>
    </w:p>
    <w:p>
      <w:pPr>
        <w:pStyle w:val="11"/>
        <w:tabs>
          <w:tab w:val="left" w:pos="6180"/>
          <w:tab w:val="left" w:pos="8039"/>
        </w:tabs>
        <w:kinsoku w:val="0"/>
        <w:overflowPunct w:val="0"/>
        <w:spacing w:before="72" w:line="477" w:lineRule="auto"/>
        <w:ind w:right="1345"/>
        <w:rPr>
          <w:rFonts w:hAnsi="宋体"/>
          <w:color w:val="auto"/>
          <w:sz w:val="21"/>
          <w:szCs w:val="21"/>
          <w:highlight w:val="none"/>
        </w:rPr>
      </w:pPr>
      <w:r>
        <w:rPr>
          <w:rFonts w:hint="eastAsia" w:hAnsi="宋体"/>
          <w:color w:val="auto"/>
          <w:sz w:val="21"/>
          <w:szCs w:val="21"/>
          <w:highlight w:val="none"/>
        </w:rPr>
        <w:t>委托代理人：</w:t>
      </w:r>
      <w:r>
        <w:rPr>
          <w:rFonts w:hAnsi="宋体" w:cs="仿宋"/>
          <w:b/>
          <w:color w:val="auto"/>
          <w:sz w:val="21"/>
          <w:szCs w:val="21"/>
          <w:highlight w:val="none"/>
          <w:u w:val="single"/>
        </w:rPr>
        <w:t xml:space="preserve">         </w:t>
      </w:r>
      <w:r>
        <w:rPr>
          <w:rFonts w:hint="eastAsia" w:hAnsi="宋体"/>
          <w:color w:val="auto"/>
          <w:sz w:val="21"/>
          <w:szCs w:val="21"/>
          <w:highlight w:val="none"/>
        </w:rPr>
        <w:t>（签字或盖章）</w:t>
      </w:r>
    </w:p>
    <w:p>
      <w:pPr>
        <w:pStyle w:val="11"/>
        <w:tabs>
          <w:tab w:val="left" w:pos="6180"/>
          <w:tab w:val="left" w:pos="8039"/>
        </w:tabs>
        <w:kinsoku w:val="0"/>
        <w:overflowPunct w:val="0"/>
        <w:spacing w:before="72" w:line="477" w:lineRule="auto"/>
        <w:ind w:right="1345"/>
        <w:rPr>
          <w:rFonts w:hAnsi="宋体" w:cs="Times New Roman"/>
          <w:color w:val="auto"/>
          <w:sz w:val="21"/>
          <w:szCs w:val="21"/>
          <w:highlight w:val="none"/>
        </w:rPr>
      </w:pPr>
      <w:r>
        <w:rPr>
          <w:rFonts w:hint="eastAsia" w:hAnsi="宋体"/>
          <w:color w:val="auto"/>
          <w:sz w:val="21"/>
          <w:szCs w:val="21"/>
          <w:highlight w:val="none"/>
        </w:rPr>
        <w:t>身份证号码：</w:t>
      </w:r>
      <w:r>
        <w:rPr>
          <w:rFonts w:hAnsi="宋体" w:cs="Times New Roman"/>
          <w:color w:val="auto"/>
          <w:sz w:val="21"/>
          <w:szCs w:val="21"/>
          <w:highlight w:val="none"/>
        </w:rPr>
        <w:t xml:space="preserve"> </w:t>
      </w:r>
      <w:r>
        <w:rPr>
          <w:rFonts w:hAnsi="宋体" w:cs="仿宋"/>
          <w:b/>
          <w:color w:val="auto"/>
          <w:sz w:val="21"/>
          <w:szCs w:val="21"/>
          <w:highlight w:val="none"/>
          <w:u w:val="single"/>
        </w:rPr>
        <w:t xml:space="preserve">         </w:t>
      </w:r>
    </w:p>
    <w:p>
      <w:pPr>
        <w:pStyle w:val="11"/>
        <w:kinsoku w:val="0"/>
        <w:overflowPunct w:val="0"/>
        <w:spacing w:before="72"/>
        <w:ind w:right="86"/>
        <w:rPr>
          <w:rFonts w:hint="eastAsia" w:hAnsi="宋体"/>
          <w:color w:val="auto"/>
          <w:highlight w:val="none"/>
        </w:rPr>
      </w:pPr>
      <w:r>
        <w:rPr>
          <w:rFonts w:hAnsi="宋体" w:cs="仿宋"/>
          <w:b/>
          <w:color w:val="auto"/>
          <w:sz w:val="21"/>
          <w:szCs w:val="21"/>
          <w:highlight w:val="none"/>
          <w:u w:val="single"/>
        </w:rPr>
        <w:t xml:space="preserve">         </w:t>
      </w:r>
      <w:r>
        <w:rPr>
          <w:rFonts w:hint="eastAsia" w:hAnsi="宋体"/>
          <w:color w:val="auto"/>
          <w:sz w:val="21"/>
          <w:szCs w:val="21"/>
          <w:highlight w:val="none"/>
        </w:rPr>
        <w:t>年</w:t>
      </w:r>
      <w:r>
        <w:rPr>
          <w:rFonts w:hAnsi="宋体" w:cs="仿宋"/>
          <w:b/>
          <w:color w:val="auto"/>
          <w:sz w:val="21"/>
          <w:szCs w:val="21"/>
          <w:highlight w:val="none"/>
          <w:u w:val="single"/>
        </w:rPr>
        <w:t xml:space="preserve">         </w:t>
      </w:r>
      <w:r>
        <w:rPr>
          <w:rFonts w:hint="eastAsia" w:hAnsi="宋体"/>
          <w:color w:val="auto"/>
          <w:sz w:val="21"/>
          <w:szCs w:val="21"/>
          <w:highlight w:val="none"/>
        </w:rPr>
        <w:t>月</w:t>
      </w:r>
      <w:r>
        <w:rPr>
          <w:rFonts w:hAnsi="宋体" w:cs="仿宋"/>
          <w:b/>
          <w:color w:val="auto"/>
          <w:sz w:val="21"/>
          <w:szCs w:val="21"/>
          <w:highlight w:val="none"/>
          <w:u w:val="single"/>
        </w:rPr>
        <w:t xml:space="preserve">         </w:t>
      </w:r>
      <w:r>
        <w:rPr>
          <w:rFonts w:hint="eastAsia" w:hAnsi="宋体"/>
          <w:color w:val="auto"/>
          <w:sz w:val="21"/>
          <w:szCs w:val="21"/>
          <w:highlight w:val="none"/>
        </w:rPr>
        <w:t>日</w:t>
      </w:r>
      <w:bookmarkStart w:id="548" w:name="_Toc71854397"/>
      <w:bookmarkStart w:id="549" w:name="_Toc71855001"/>
      <w:bookmarkStart w:id="550" w:name="_Toc71855314"/>
      <w:bookmarkStart w:id="551" w:name="_Toc71855659"/>
      <w:bookmarkStart w:id="552" w:name="_Toc103022841"/>
      <w:bookmarkStart w:id="553" w:name="_Toc102907952"/>
      <w:bookmarkStart w:id="554" w:name="_Toc71854399"/>
      <w:bookmarkStart w:id="555" w:name="_Toc71855316"/>
      <w:bookmarkStart w:id="556" w:name="_Toc71855661"/>
      <w:bookmarkStart w:id="557" w:name="_Toc71855003"/>
      <w:r>
        <w:rPr>
          <w:rFonts w:hint="eastAsia" w:hAnsi="宋体"/>
          <w:color w:val="auto"/>
          <w:highlight w:val="none"/>
        </w:rPr>
        <w:br w:type="page"/>
      </w:r>
    </w:p>
    <w:p>
      <w:pPr>
        <w:pStyle w:val="5"/>
        <w:rPr>
          <w:rFonts w:hAnsi="宋体"/>
          <w:color w:val="auto"/>
          <w:highlight w:val="none"/>
        </w:rPr>
      </w:pPr>
      <w:r>
        <w:rPr>
          <w:rFonts w:hint="eastAsia" w:hAnsi="宋体"/>
          <w:color w:val="auto"/>
          <w:highlight w:val="none"/>
        </w:rPr>
        <w:t>四、</w:t>
      </w:r>
      <w:bookmarkEnd w:id="548"/>
      <w:bookmarkEnd w:id="549"/>
      <w:bookmarkEnd w:id="550"/>
      <w:bookmarkEnd w:id="551"/>
      <w:bookmarkStart w:id="558" w:name="_Toc71855002"/>
      <w:bookmarkStart w:id="559" w:name="_Toc71855315"/>
      <w:bookmarkStart w:id="560" w:name="_Toc71855660"/>
      <w:bookmarkStart w:id="561" w:name="_Toc71854398"/>
      <w:r>
        <w:rPr>
          <w:rFonts w:hint="eastAsia" w:hAnsi="宋体"/>
          <w:color w:val="auto"/>
          <w:highlight w:val="none"/>
        </w:rPr>
        <w:t>投标一览表</w:t>
      </w:r>
      <w:bookmarkEnd w:id="552"/>
      <w:bookmarkEnd w:id="553"/>
      <w:bookmarkEnd w:id="558"/>
      <w:bookmarkEnd w:id="559"/>
      <w:bookmarkEnd w:id="560"/>
      <w:bookmarkEnd w:id="561"/>
    </w:p>
    <w:p>
      <w:pPr>
        <w:pStyle w:val="11"/>
        <w:kinsoku w:val="0"/>
        <w:overflowPunct w:val="0"/>
        <w:spacing w:before="4"/>
        <w:ind w:left="0"/>
        <w:rPr>
          <w:rFonts w:hAnsi="宋体"/>
          <w:color w:val="auto"/>
          <w:sz w:val="17"/>
          <w:szCs w:val="17"/>
          <w:highlight w:val="none"/>
        </w:rPr>
      </w:pPr>
    </w:p>
    <w:p>
      <w:pPr>
        <w:rPr>
          <w:rFonts w:hint="eastAsia" w:hAnsi="宋体" w:eastAsia="宋体"/>
          <w:color w:val="auto"/>
          <w:highlight w:val="none"/>
          <w:lang w:eastAsia="zh-CN"/>
        </w:rPr>
      </w:pPr>
      <w:bookmarkStart w:id="562" w:name="_Toc102907953"/>
      <w:bookmarkStart w:id="563" w:name="_Toc103022842"/>
    </w:p>
    <w:p>
      <w:pPr>
        <w:pStyle w:val="2"/>
        <w:rPr>
          <w:rFonts w:hint="eastAsia"/>
          <w:highlight w:val="none"/>
          <w:lang w:eastAsia="zh-CN"/>
        </w:rPr>
      </w:pPr>
    </w:p>
    <w:tbl>
      <w:tblPr>
        <w:tblStyle w:val="23"/>
        <w:tblW w:w="50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180"/>
        <w:gridCol w:w="1466"/>
        <w:gridCol w:w="1191"/>
        <w:gridCol w:w="851"/>
        <w:gridCol w:w="726"/>
        <w:gridCol w:w="1097"/>
        <w:gridCol w:w="1170"/>
        <w:gridCol w:w="1172"/>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restar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96" w:type="pct"/>
            <w:vMerge w:val="restar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741" w:type="pct"/>
            <w:vMerge w:val="restar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暂定建筑面积（㎡）</w:t>
            </w:r>
          </w:p>
        </w:tc>
        <w:tc>
          <w:tcPr>
            <w:tcW w:w="1032" w:type="pct"/>
            <w:gridSpan w:val="2"/>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不含税报价</w:t>
            </w:r>
          </w:p>
        </w:tc>
        <w:tc>
          <w:tcPr>
            <w:tcW w:w="2106" w:type="pct"/>
            <w:gridSpan w:val="4"/>
            <w:noWrap w:val="0"/>
            <w:vAlign w:val="center"/>
          </w:tcPr>
          <w:p>
            <w:pPr>
              <w:pStyle w:val="14"/>
              <w:tabs>
                <w:tab w:val="left" w:pos="1305"/>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含税报价</w:t>
            </w:r>
          </w:p>
        </w:tc>
        <w:tc>
          <w:tcPr>
            <w:tcW w:w="293" w:type="pct"/>
            <w:vMerge w:val="restar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 w:type="pct"/>
            <w:vMerge w:val="continue"/>
            <w:noWrap w:val="0"/>
            <w:vAlign w:val="center"/>
          </w:tcPr>
          <w:p>
            <w:pPr>
              <w:pStyle w:val="14"/>
              <w:jc w:val="center"/>
              <w:rPr>
                <w:rFonts w:hint="eastAsia" w:ascii="宋体" w:hAnsi="宋体" w:eastAsia="宋体" w:cs="宋体"/>
                <w:color w:val="auto"/>
                <w:sz w:val="21"/>
                <w:szCs w:val="21"/>
                <w:highlight w:val="none"/>
              </w:rPr>
            </w:pPr>
          </w:p>
        </w:tc>
        <w:tc>
          <w:tcPr>
            <w:tcW w:w="596" w:type="pct"/>
            <w:vMerge w:val="continue"/>
            <w:noWrap w:val="0"/>
            <w:vAlign w:val="center"/>
          </w:tcPr>
          <w:p>
            <w:pPr>
              <w:pStyle w:val="14"/>
              <w:jc w:val="center"/>
              <w:rPr>
                <w:rFonts w:hint="eastAsia" w:ascii="宋体" w:hAnsi="宋体" w:eastAsia="宋体" w:cs="宋体"/>
                <w:color w:val="auto"/>
                <w:sz w:val="21"/>
                <w:szCs w:val="21"/>
                <w:highlight w:val="none"/>
              </w:rPr>
            </w:pPr>
          </w:p>
        </w:tc>
        <w:tc>
          <w:tcPr>
            <w:tcW w:w="741" w:type="pct"/>
            <w:vMerge w:val="continue"/>
            <w:noWrap w:val="0"/>
            <w:vAlign w:val="center"/>
          </w:tcPr>
          <w:p>
            <w:pPr>
              <w:pStyle w:val="14"/>
              <w:jc w:val="center"/>
              <w:rPr>
                <w:rFonts w:hint="eastAsia" w:ascii="宋体" w:hAnsi="宋体" w:eastAsia="宋体" w:cs="宋体"/>
                <w:color w:val="auto"/>
                <w:sz w:val="21"/>
                <w:szCs w:val="21"/>
                <w:highlight w:val="none"/>
              </w:rPr>
            </w:pPr>
          </w:p>
        </w:tc>
        <w:tc>
          <w:tcPr>
            <w:tcW w:w="602"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综合单价</w:t>
            </w:r>
          </w:p>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w:t>
            </w:r>
          </w:p>
        </w:tc>
        <w:tc>
          <w:tcPr>
            <w:tcW w:w="430"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总</w:t>
            </w:r>
            <w:r>
              <w:rPr>
                <w:rFonts w:hint="eastAsia" w:ascii="宋体" w:hAnsi="宋体" w:eastAsia="宋体" w:cs="宋体"/>
                <w:color w:val="auto"/>
                <w:sz w:val="21"/>
                <w:szCs w:val="21"/>
                <w:highlight w:val="none"/>
              </w:rPr>
              <w:t>价</w:t>
            </w:r>
          </w:p>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c>
          <w:tcPr>
            <w:tcW w:w="367"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增值税率</w:t>
            </w:r>
          </w:p>
        </w:tc>
        <w:tc>
          <w:tcPr>
            <w:tcW w:w="554"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综合单价</w:t>
            </w:r>
          </w:p>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w:t>
            </w:r>
          </w:p>
        </w:tc>
        <w:tc>
          <w:tcPr>
            <w:tcW w:w="591"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增值税</w:t>
            </w:r>
          </w:p>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金额</w:t>
            </w:r>
          </w:p>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c>
          <w:tcPr>
            <w:tcW w:w="592"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总</w:t>
            </w:r>
            <w:r>
              <w:rPr>
                <w:rFonts w:hint="eastAsia" w:ascii="宋体" w:hAnsi="宋体" w:eastAsia="宋体" w:cs="宋体"/>
                <w:color w:val="auto"/>
                <w:sz w:val="21"/>
                <w:szCs w:val="21"/>
                <w:highlight w:val="none"/>
              </w:rPr>
              <w:t>价</w:t>
            </w:r>
          </w:p>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c>
          <w:tcPr>
            <w:tcW w:w="293" w:type="pct"/>
            <w:vMerge w:val="continue"/>
            <w:noWrap w:val="0"/>
            <w:vAlign w:val="center"/>
          </w:tcPr>
          <w:p>
            <w:pPr>
              <w:pStyle w:val="14"/>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28"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96" w:type="pct"/>
            <w:noWrap w:val="0"/>
            <w:vAlign w:val="center"/>
          </w:tcPr>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w:t>
            </w:r>
          </w:p>
          <w:p>
            <w:pPr>
              <w:pStyle w:val="1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服务费</w:t>
            </w:r>
          </w:p>
        </w:tc>
        <w:tc>
          <w:tcPr>
            <w:tcW w:w="741" w:type="pct"/>
            <w:noWrap w:val="0"/>
            <w:vAlign w:val="center"/>
          </w:tcPr>
          <w:p>
            <w:pPr>
              <w:pStyle w:val="1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47341.33</w:t>
            </w:r>
          </w:p>
        </w:tc>
        <w:tc>
          <w:tcPr>
            <w:tcW w:w="602" w:type="pct"/>
            <w:noWrap w:val="0"/>
            <w:vAlign w:val="center"/>
          </w:tcPr>
          <w:p>
            <w:pPr>
              <w:pStyle w:val="14"/>
              <w:jc w:val="center"/>
              <w:rPr>
                <w:rFonts w:hint="eastAsia" w:ascii="宋体" w:hAnsi="宋体" w:eastAsia="宋体" w:cs="宋体"/>
                <w:color w:val="auto"/>
                <w:sz w:val="21"/>
                <w:szCs w:val="21"/>
                <w:highlight w:val="none"/>
              </w:rPr>
            </w:pPr>
          </w:p>
        </w:tc>
        <w:tc>
          <w:tcPr>
            <w:tcW w:w="430" w:type="pct"/>
            <w:noWrap w:val="0"/>
            <w:vAlign w:val="center"/>
          </w:tcPr>
          <w:p>
            <w:pPr>
              <w:pStyle w:val="14"/>
              <w:jc w:val="center"/>
              <w:rPr>
                <w:rFonts w:hint="eastAsia" w:ascii="宋体" w:hAnsi="宋体" w:eastAsia="宋体" w:cs="宋体"/>
                <w:color w:val="auto"/>
                <w:sz w:val="21"/>
                <w:szCs w:val="21"/>
                <w:highlight w:val="none"/>
              </w:rPr>
            </w:pPr>
          </w:p>
        </w:tc>
        <w:tc>
          <w:tcPr>
            <w:tcW w:w="367" w:type="pct"/>
            <w:noWrap w:val="0"/>
            <w:vAlign w:val="center"/>
          </w:tcPr>
          <w:p>
            <w:pPr>
              <w:pStyle w:val="14"/>
              <w:jc w:val="center"/>
              <w:rPr>
                <w:rFonts w:hint="eastAsia" w:ascii="宋体" w:hAnsi="宋体" w:eastAsia="宋体" w:cs="宋体"/>
                <w:color w:val="auto"/>
                <w:sz w:val="21"/>
                <w:szCs w:val="21"/>
                <w:highlight w:val="none"/>
              </w:rPr>
            </w:pPr>
          </w:p>
        </w:tc>
        <w:tc>
          <w:tcPr>
            <w:tcW w:w="554" w:type="pct"/>
            <w:noWrap w:val="0"/>
            <w:vAlign w:val="center"/>
          </w:tcPr>
          <w:p>
            <w:pPr>
              <w:pStyle w:val="14"/>
              <w:jc w:val="center"/>
              <w:rPr>
                <w:rFonts w:hint="eastAsia" w:ascii="宋体" w:hAnsi="宋体" w:eastAsia="宋体" w:cs="宋体"/>
                <w:color w:val="auto"/>
                <w:sz w:val="21"/>
                <w:szCs w:val="21"/>
                <w:highlight w:val="none"/>
              </w:rPr>
            </w:pPr>
          </w:p>
        </w:tc>
        <w:tc>
          <w:tcPr>
            <w:tcW w:w="591" w:type="pct"/>
            <w:noWrap w:val="0"/>
            <w:vAlign w:val="center"/>
          </w:tcPr>
          <w:p>
            <w:pPr>
              <w:pStyle w:val="14"/>
              <w:jc w:val="center"/>
              <w:rPr>
                <w:rFonts w:hint="eastAsia" w:ascii="宋体" w:hAnsi="宋体" w:eastAsia="宋体" w:cs="宋体"/>
                <w:color w:val="auto"/>
                <w:sz w:val="21"/>
                <w:szCs w:val="21"/>
                <w:highlight w:val="none"/>
              </w:rPr>
            </w:pPr>
          </w:p>
        </w:tc>
        <w:tc>
          <w:tcPr>
            <w:tcW w:w="592" w:type="pct"/>
            <w:noWrap w:val="0"/>
            <w:vAlign w:val="center"/>
          </w:tcPr>
          <w:p>
            <w:pPr>
              <w:pStyle w:val="14"/>
              <w:jc w:val="center"/>
              <w:rPr>
                <w:rFonts w:hint="eastAsia" w:ascii="宋体" w:hAnsi="宋体" w:eastAsia="宋体" w:cs="宋体"/>
                <w:color w:val="auto"/>
                <w:sz w:val="21"/>
                <w:szCs w:val="21"/>
                <w:highlight w:val="none"/>
              </w:rPr>
            </w:pPr>
          </w:p>
        </w:tc>
        <w:tc>
          <w:tcPr>
            <w:tcW w:w="293" w:type="pct"/>
            <w:noWrap w:val="0"/>
            <w:vAlign w:val="center"/>
          </w:tcPr>
          <w:p>
            <w:pPr>
              <w:pStyle w:val="14"/>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28" w:type="pct"/>
            <w:noWrap w:val="0"/>
            <w:vAlign w:val="center"/>
          </w:tcPr>
          <w:p>
            <w:pPr>
              <w:pStyle w:val="14"/>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96" w:type="pct"/>
            <w:noWrap w:val="0"/>
            <w:vAlign w:val="center"/>
          </w:tcPr>
          <w:p>
            <w:pPr>
              <w:pStyle w:val="14"/>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造价</w:t>
            </w:r>
            <w:r>
              <w:rPr>
                <w:rFonts w:hint="eastAsia" w:ascii="宋体" w:hAnsi="宋体" w:cs="宋体"/>
                <w:color w:val="auto"/>
                <w:sz w:val="21"/>
                <w:szCs w:val="21"/>
                <w:highlight w:val="none"/>
                <w:lang w:val="en-US" w:eastAsia="zh-CN"/>
              </w:rPr>
              <w:t>咨询</w:t>
            </w:r>
            <w:r>
              <w:rPr>
                <w:rFonts w:hint="eastAsia" w:ascii="宋体" w:hAnsi="宋体" w:eastAsia="宋体" w:cs="宋体"/>
                <w:color w:val="auto"/>
                <w:sz w:val="21"/>
                <w:szCs w:val="21"/>
                <w:highlight w:val="none"/>
                <w:lang w:val="en-US" w:eastAsia="zh-CN"/>
              </w:rPr>
              <w:t>服务费</w:t>
            </w:r>
          </w:p>
        </w:tc>
        <w:tc>
          <w:tcPr>
            <w:tcW w:w="741" w:type="pct"/>
            <w:noWrap w:val="0"/>
            <w:vAlign w:val="center"/>
          </w:tcPr>
          <w:p>
            <w:pPr>
              <w:pStyle w:val="1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47341.33</w:t>
            </w:r>
          </w:p>
        </w:tc>
        <w:tc>
          <w:tcPr>
            <w:tcW w:w="602" w:type="pct"/>
            <w:noWrap w:val="0"/>
            <w:vAlign w:val="center"/>
          </w:tcPr>
          <w:p>
            <w:pPr>
              <w:pStyle w:val="14"/>
              <w:jc w:val="center"/>
              <w:rPr>
                <w:rFonts w:hint="eastAsia" w:ascii="宋体" w:hAnsi="宋体" w:eastAsia="宋体" w:cs="宋体"/>
                <w:color w:val="auto"/>
                <w:sz w:val="21"/>
                <w:szCs w:val="21"/>
                <w:highlight w:val="none"/>
              </w:rPr>
            </w:pPr>
          </w:p>
        </w:tc>
        <w:tc>
          <w:tcPr>
            <w:tcW w:w="430" w:type="pct"/>
            <w:noWrap w:val="0"/>
            <w:vAlign w:val="center"/>
          </w:tcPr>
          <w:p>
            <w:pPr>
              <w:pStyle w:val="14"/>
              <w:jc w:val="center"/>
              <w:rPr>
                <w:rFonts w:hint="eastAsia" w:ascii="宋体" w:hAnsi="宋体" w:eastAsia="宋体" w:cs="宋体"/>
                <w:color w:val="auto"/>
                <w:sz w:val="21"/>
                <w:szCs w:val="21"/>
                <w:highlight w:val="none"/>
              </w:rPr>
            </w:pPr>
          </w:p>
        </w:tc>
        <w:tc>
          <w:tcPr>
            <w:tcW w:w="367" w:type="pct"/>
            <w:noWrap w:val="0"/>
            <w:vAlign w:val="center"/>
          </w:tcPr>
          <w:p>
            <w:pPr>
              <w:pStyle w:val="14"/>
              <w:jc w:val="center"/>
              <w:rPr>
                <w:rFonts w:hint="eastAsia" w:ascii="宋体" w:hAnsi="宋体" w:eastAsia="宋体" w:cs="宋体"/>
                <w:color w:val="auto"/>
                <w:sz w:val="21"/>
                <w:szCs w:val="21"/>
                <w:highlight w:val="none"/>
              </w:rPr>
            </w:pPr>
          </w:p>
        </w:tc>
        <w:tc>
          <w:tcPr>
            <w:tcW w:w="554" w:type="pct"/>
            <w:noWrap w:val="0"/>
            <w:vAlign w:val="center"/>
          </w:tcPr>
          <w:p>
            <w:pPr>
              <w:pStyle w:val="14"/>
              <w:jc w:val="center"/>
              <w:rPr>
                <w:rFonts w:hint="eastAsia" w:ascii="宋体" w:hAnsi="宋体" w:eastAsia="宋体" w:cs="宋体"/>
                <w:color w:val="auto"/>
                <w:sz w:val="21"/>
                <w:szCs w:val="21"/>
                <w:highlight w:val="none"/>
              </w:rPr>
            </w:pPr>
          </w:p>
        </w:tc>
        <w:tc>
          <w:tcPr>
            <w:tcW w:w="591" w:type="pct"/>
            <w:noWrap w:val="0"/>
            <w:vAlign w:val="center"/>
          </w:tcPr>
          <w:p>
            <w:pPr>
              <w:pStyle w:val="14"/>
              <w:jc w:val="center"/>
              <w:rPr>
                <w:rFonts w:hint="eastAsia" w:ascii="宋体" w:hAnsi="宋体" w:eastAsia="宋体" w:cs="宋体"/>
                <w:color w:val="auto"/>
                <w:sz w:val="21"/>
                <w:szCs w:val="21"/>
                <w:highlight w:val="none"/>
              </w:rPr>
            </w:pPr>
          </w:p>
        </w:tc>
        <w:tc>
          <w:tcPr>
            <w:tcW w:w="592" w:type="pct"/>
            <w:noWrap w:val="0"/>
            <w:vAlign w:val="center"/>
          </w:tcPr>
          <w:p>
            <w:pPr>
              <w:pStyle w:val="14"/>
              <w:jc w:val="center"/>
              <w:rPr>
                <w:rFonts w:hint="eastAsia" w:ascii="宋体" w:hAnsi="宋体" w:eastAsia="宋体" w:cs="宋体"/>
                <w:color w:val="auto"/>
                <w:sz w:val="21"/>
                <w:szCs w:val="21"/>
                <w:highlight w:val="none"/>
              </w:rPr>
            </w:pPr>
          </w:p>
        </w:tc>
        <w:tc>
          <w:tcPr>
            <w:tcW w:w="293" w:type="pct"/>
            <w:noWrap w:val="0"/>
            <w:vAlign w:val="center"/>
          </w:tcPr>
          <w:p>
            <w:pPr>
              <w:pStyle w:val="14"/>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566" w:type="pct"/>
            <w:gridSpan w:val="3"/>
            <w:noWrap w:val="0"/>
            <w:vAlign w:val="center"/>
          </w:tcPr>
          <w:p>
            <w:pPr>
              <w:pStyle w:val="14"/>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总价合计（元）</w:t>
            </w:r>
          </w:p>
        </w:tc>
        <w:tc>
          <w:tcPr>
            <w:tcW w:w="3433" w:type="pct"/>
            <w:gridSpan w:val="7"/>
            <w:noWrap w:val="0"/>
            <w:vAlign w:val="center"/>
          </w:tcPr>
          <w:p>
            <w:pPr>
              <w:pStyle w:val="14"/>
              <w:jc w:val="center"/>
              <w:rPr>
                <w:rFonts w:hint="eastAsia" w:ascii="宋体" w:hAnsi="宋体" w:eastAsia="宋体" w:cs="宋体"/>
                <w:color w:val="auto"/>
                <w:sz w:val="21"/>
                <w:szCs w:val="21"/>
                <w:highlight w:val="none"/>
              </w:rPr>
            </w:pPr>
          </w:p>
        </w:tc>
      </w:tr>
    </w:tbl>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报价说明：</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1、报价方式：为综合单价包干</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涵盖本工程项目服务范围）</w:t>
      </w:r>
      <w:r>
        <w:rPr>
          <w:rFonts w:ascii="宋体" w:hAnsi="宋体" w:eastAsia="宋体" w:cs="Times New Roman"/>
          <w:color w:val="auto"/>
          <w:sz w:val="24"/>
          <w:szCs w:val="24"/>
          <w:highlight w:val="none"/>
        </w:rPr>
        <w:t>，总价暂定，最终结算面积以竣工备案面积为准。</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val="en-US" w:eastAsia="zh-CN"/>
        </w:rPr>
        <w:t>2</w:t>
      </w:r>
      <w:r>
        <w:rPr>
          <w:rFonts w:ascii="宋体" w:hAnsi="宋体" w:eastAsia="宋体" w:cs="Times New Roman"/>
          <w:color w:val="auto"/>
          <w:sz w:val="24"/>
          <w:szCs w:val="24"/>
          <w:highlight w:val="none"/>
        </w:rPr>
        <w:t>、投标报价综合单价构成：</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工作人员的基本工资、工资性津贴、职工福利费、生活费、公司类奖金；</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办公费、会议费、差旅交通费；</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车辆折旧、维修、使用或租赁费，通讯设备购置、维修、使用费，其他设备折旧、维修或租赁费、零星固定资产购置费；</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企业在项目所在地开展工作产生的报建、备案相关费用；</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公司平台管理费用摊分；</w:t>
      </w:r>
    </w:p>
    <w:p>
      <w:pPr>
        <w:spacing w:line="360" w:lineRule="auto"/>
        <w:ind w:firstLine="480" w:firstLineChars="200"/>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利润、税金及各项费用（含不可竞争费用），并综合考虑风险因素等与该项目所发生相关费用全部在内。</w:t>
      </w:r>
    </w:p>
    <w:p>
      <w:pPr>
        <w:spacing w:line="360" w:lineRule="auto"/>
        <w:ind w:firstLine="480" w:firstLineChars="20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投标人的所有投标报价在合同实施期间不因市场变化因素而变动（合同约定可调整除外），投标人在计算报价时可考虑一定的风险系数，招标人不接受任何基于投标人对招标范围的理解存在偏差及对单价的组价不当（包括但不限于工作内容理解的偏差，工料耗量水平的确定、生产要素市场价格的判断、取费等）或任何差错而引起的任何补偿。</w:t>
      </w:r>
    </w:p>
    <w:p>
      <w:pPr>
        <w:spacing w:line="360" w:lineRule="auto"/>
        <w:ind w:firstLine="480" w:firstLineChars="2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委托人提供办公场地给</w:t>
      </w:r>
      <w:r>
        <w:rPr>
          <w:rFonts w:hint="eastAsia" w:ascii="宋体" w:hAnsi="宋体" w:cs="Times New Roman"/>
          <w:color w:val="auto"/>
          <w:sz w:val="24"/>
          <w:szCs w:val="24"/>
          <w:highlight w:val="none"/>
          <w:lang w:val="en-US" w:eastAsia="zh-CN"/>
        </w:rPr>
        <w:t>咨询服务</w:t>
      </w:r>
      <w:r>
        <w:rPr>
          <w:rFonts w:hint="eastAsia" w:ascii="宋体" w:hAnsi="宋体" w:eastAsia="宋体" w:cs="Times New Roman"/>
          <w:color w:val="auto"/>
          <w:sz w:val="24"/>
          <w:szCs w:val="24"/>
          <w:highlight w:val="none"/>
        </w:rPr>
        <w:t>人员，但其他办公桌椅、设备、交通、餐饮及住宿由</w:t>
      </w:r>
      <w:r>
        <w:rPr>
          <w:rFonts w:hint="eastAsia" w:ascii="宋体" w:hAnsi="宋体" w:cs="Times New Roman"/>
          <w:color w:val="auto"/>
          <w:sz w:val="24"/>
          <w:szCs w:val="24"/>
          <w:highlight w:val="none"/>
          <w:lang w:val="en-US" w:eastAsia="zh-CN"/>
        </w:rPr>
        <w:t>咨询</w:t>
      </w:r>
      <w:r>
        <w:rPr>
          <w:rFonts w:hint="eastAsia" w:ascii="宋体" w:hAnsi="宋体" w:eastAsia="宋体" w:cs="Times New Roman"/>
          <w:color w:val="auto"/>
          <w:sz w:val="24"/>
          <w:szCs w:val="24"/>
          <w:highlight w:val="none"/>
        </w:rPr>
        <w:t>人自行解决，相关费用已包含在合同范围内。</w:t>
      </w:r>
    </w:p>
    <w:p>
      <w:pPr>
        <w:rPr>
          <w:rFonts w:hAnsi="宋体"/>
          <w:color w:val="auto"/>
          <w:highlight w:val="none"/>
        </w:rPr>
      </w:pPr>
    </w:p>
    <w:p>
      <w:pPr>
        <w:rPr>
          <w:rFonts w:hint="eastAsia" w:hAnsi="宋体"/>
          <w:color w:val="auto"/>
          <w:highlight w:val="none"/>
        </w:rPr>
      </w:pPr>
      <w:r>
        <w:rPr>
          <w:rFonts w:hint="eastAsia" w:hAnsi="宋体"/>
          <w:color w:val="auto"/>
          <w:highlight w:val="none"/>
        </w:rPr>
        <w:br w:type="page"/>
      </w:r>
    </w:p>
    <w:p>
      <w:pPr>
        <w:pStyle w:val="5"/>
        <w:rPr>
          <w:rFonts w:hAnsi="宋体"/>
          <w:color w:val="auto"/>
          <w:highlight w:val="none"/>
        </w:rPr>
      </w:pPr>
      <w:r>
        <w:rPr>
          <w:rFonts w:hint="eastAsia" w:hAnsi="宋体"/>
          <w:color w:val="auto"/>
          <w:highlight w:val="none"/>
        </w:rPr>
        <w:t>五、资格审查资料</w:t>
      </w:r>
      <w:bookmarkEnd w:id="554"/>
      <w:bookmarkEnd w:id="555"/>
      <w:bookmarkEnd w:id="556"/>
      <w:bookmarkEnd w:id="557"/>
      <w:bookmarkEnd w:id="562"/>
      <w:bookmarkEnd w:id="563"/>
    </w:p>
    <w:p>
      <w:pPr>
        <w:pStyle w:val="7"/>
        <w:kinsoku w:val="0"/>
        <w:overflowPunct w:val="0"/>
        <w:spacing w:before="220"/>
        <w:ind w:left="142" w:leftChars="59" w:right="558" w:firstLine="2" w:firstLineChars="1"/>
        <w:jc w:val="center"/>
        <w:rPr>
          <w:rFonts w:hAnsi="宋体"/>
          <w:color w:val="auto"/>
          <w:highlight w:val="none"/>
        </w:rPr>
      </w:pPr>
      <w:r>
        <w:rPr>
          <w:rFonts w:hint="eastAsia" w:hAnsi="宋体"/>
          <w:color w:val="auto"/>
          <w:highlight w:val="none"/>
        </w:rPr>
        <w:t>（一）投标人基本情况表</w:t>
      </w:r>
    </w:p>
    <w:p>
      <w:pPr>
        <w:pStyle w:val="11"/>
        <w:kinsoku w:val="0"/>
        <w:overflowPunct w:val="0"/>
        <w:spacing w:before="1"/>
        <w:ind w:left="0"/>
        <w:rPr>
          <w:rFonts w:hAnsi="宋体"/>
          <w:color w:val="auto"/>
          <w:sz w:val="13"/>
          <w:szCs w:val="13"/>
          <w:highlight w:val="none"/>
        </w:rPr>
      </w:pPr>
    </w:p>
    <w:tbl>
      <w:tblPr>
        <w:tblStyle w:val="23"/>
        <w:tblW w:w="9050" w:type="dxa"/>
        <w:tblInd w:w="108" w:type="dxa"/>
        <w:tblLayout w:type="fixed"/>
        <w:tblCellMar>
          <w:top w:w="0" w:type="dxa"/>
          <w:left w:w="0" w:type="dxa"/>
          <w:bottom w:w="0" w:type="dxa"/>
          <w:right w:w="0" w:type="dxa"/>
        </w:tblCellMar>
      </w:tblPr>
      <w:tblGrid>
        <w:gridCol w:w="1728"/>
        <w:gridCol w:w="1356"/>
        <w:gridCol w:w="1210"/>
        <w:gridCol w:w="581"/>
        <w:gridCol w:w="420"/>
        <w:gridCol w:w="311"/>
        <w:gridCol w:w="1078"/>
        <w:gridCol w:w="430"/>
        <w:gridCol w:w="840"/>
        <w:gridCol w:w="1096"/>
      </w:tblGrid>
      <w:tr>
        <w:tblPrEx>
          <w:tblCellMar>
            <w:top w:w="0" w:type="dxa"/>
            <w:left w:w="0" w:type="dxa"/>
            <w:bottom w:w="0" w:type="dxa"/>
            <w:right w:w="0" w:type="dxa"/>
          </w:tblCellMar>
        </w:tblPrEx>
        <w:trPr>
          <w:trHeight w:val="810"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208"/>
              <w:jc w:val="center"/>
              <w:rPr>
                <w:rFonts w:ascii="宋体" w:hAnsi="宋体"/>
                <w:color w:val="auto"/>
                <w:sz w:val="21"/>
                <w:szCs w:val="21"/>
                <w:highlight w:val="none"/>
              </w:rPr>
            </w:pPr>
            <w:r>
              <w:rPr>
                <w:rFonts w:hint="eastAsia" w:ascii="宋体" w:hAnsi="宋体" w:cs="宋体"/>
                <w:color w:val="auto"/>
                <w:sz w:val="21"/>
                <w:szCs w:val="21"/>
                <w:highlight w:val="none"/>
              </w:rPr>
              <w:t>投标人名称</w:t>
            </w:r>
          </w:p>
        </w:tc>
        <w:tc>
          <w:tcPr>
            <w:tcW w:w="7322" w:type="dxa"/>
            <w:gridSpan w:val="9"/>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810"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206"/>
              <w:jc w:val="center"/>
              <w:rPr>
                <w:rFonts w:ascii="宋体" w:hAnsi="宋体"/>
                <w:color w:val="auto"/>
                <w:sz w:val="21"/>
                <w:szCs w:val="21"/>
                <w:highlight w:val="none"/>
              </w:rPr>
            </w:pPr>
            <w:r>
              <w:rPr>
                <w:rFonts w:hint="eastAsia" w:ascii="宋体" w:hAnsi="宋体" w:cs="宋体"/>
                <w:color w:val="auto"/>
                <w:sz w:val="21"/>
                <w:szCs w:val="21"/>
                <w:highlight w:val="none"/>
              </w:rPr>
              <w:t>注册地址</w:t>
            </w:r>
          </w:p>
        </w:tc>
        <w:tc>
          <w:tcPr>
            <w:tcW w:w="3878" w:type="dxa"/>
            <w:gridSpan w:val="5"/>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107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81" w:line="312" w:lineRule="exact"/>
              <w:ind w:left="293" w:right="293"/>
              <w:rPr>
                <w:rFonts w:ascii="宋体" w:hAnsi="宋体"/>
                <w:color w:val="auto"/>
                <w:sz w:val="21"/>
                <w:szCs w:val="21"/>
                <w:highlight w:val="none"/>
              </w:rPr>
            </w:pPr>
            <w:r>
              <w:rPr>
                <w:rFonts w:hint="eastAsia" w:ascii="宋体" w:hAnsi="宋体" w:cs="宋体"/>
                <w:color w:val="auto"/>
                <w:sz w:val="21"/>
                <w:szCs w:val="21"/>
                <w:highlight w:val="none"/>
              </w:rPr>
              <w:t>邮政</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编码</w:t>
            </w:r>
          </w:p>
        </w:tc>
        <w:tc>
          <w:tcPr>
            <w:tcW w:w="2366" w:type="dxa"/>
            <w:gridSpan w:val="3"/>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55" w:hRule="exact"/>
        </w:trPr>
        <w:tc>
          <w:tcPr>
            <w:tcW w:w="1728" w:type="dxa"/>
            <w:vMerge w:val="restart"/>
            <w:tcBorders>
              <w:top w:val="single" w:color="000000" w:sz="4" w:space="0"/>
              <w:left w:val="single" w:color="000000" w:sz="4" w:space="0"/>
              <w:bottom w:val="single" w:color="000000" w:sz="4" w:space="0"/>
              <w:right w:val="single" w:color="000000" w:sz="4" w:space="0"/>
            </w:tcBorders>
          </w:tcPr>
          <w:p>
            <w:pPr>
              <w:pStyle w:val="45"/>
              <w:kinsoku w:val="0"/>
              <w:overflowPunct w:val="0"/>
              <w:ind w:left="379"/>
              <w:rPr>
                <w:rFonts w:ascii="宋体" w:hAnsi="宋体"/>
                <w:color w:val="auto"/>
                <w:sz w:val="21"/>
                <w:szCs w:val="21"/>
                <w:highlight w:val="none"/>
              </w:rPr>
            </w:pPr>
            <w:r>
              <w:rPr>
                <w:rFonts w:hint="eastAsia" w:ascii="宋体" w:hAnsi="宋体" w:cs="宋体"/>
                <w:color w:val="auto"/>
                <w:sz w:val="21"/>
                <w:szCs w:val="21"/>
                <w:highlight w:val="none"/>
              </w:rPr>
              <w:t>联系方式</w:t>
            </w:r>
          </w:p>
        </w:tc>
        <w:tc>
          <w:tcPr>
            <w:tcW w:w="1356"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95"/>
              <w:ind w:left="7"/>
              <w:jc w:val="center"/>
              <w:rPr>
                <w:rFonts w:ascii="宋体" w:hAnsi="宋体"/>
                <w:color w:val="auto"/>
                <w:sz w:val="21"/>
                <w:szCs w:val="21"/>
                <w:highlight w:val="none"/>
              </w:rPr>
            </w:pPr>
            <w:r>
              <w:rPr>
                <w:rFonts w:hint="eastAsia" w:ascii="宋体" w:hAnsi="宋体" w:cs="宋体"/>
                <w:color w:val="auto"/>
                <w:sz w:val="21"/>
                <w:szCs w:val="21"/>
                <w:highlight w:val="none"/>
              </w:rPr>
              <w:t>联系人</w:t>
            </w:r>
          </w:p>
        </w:tc>
        <w:tc>
          <w:tcPr>
            <w:tcW w:w="2522" w:type="dxa"/>
            <w:gridSpan w:val="4"/>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107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28"/>
              <w:ind w:right="1"/>
              <w:jc w:val="center"/>
              <w:rPr>
                <w:rFonts w:ascii="宋体" w:hAnsi="宋体"/>
                <w:color w:val="auto"/>
                <w:sz w:val="21"/>
                <w:szCs w:val="21"/>
                <w:highlight w:val="none"/>
              </w:rPr>
            </w:pPr>
            <w:r>
              <w:rPr>
                <w:rFonts w:hint="eastAsia" w:ascii="宋体" w:hAnsi="宋体" w:cs="宋体"/>
                <w:color w:val="auto"/>
                <w:sz w:val="21"/>
                <w:szCs w:val="21"/>
                <w:highlight w:val="none"/>
              </w:rPr>
              <w:t>电</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话</w:t>
            </w:r>
          </w:p>
        </w:tc>
        <w:tc>
          <w:tcPr>
            <w:tcW w:w="2366" w:type="dxa"/>
            <w:gridSpan w:val="3"/>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61" w:hRule="exact"/>
        </w:trPr>
        <w:tc>
          <w:tcPr>
            <w:tcW w:w="1728"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1356"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01"/>
              <w:ind w:left="4"/>
              <w:jc w:val="center"/>
              <w:rPr>
                <w:rFonts w:ascii="宋体" w:hAnsi="宋体"/>
                <w:color w:val="auto"/>
                <w:sz w:val="21"/>
                <w:szCs w:val="21"/>
                <w:highlight w:val="none"/>
              </w:rPr>
            </w:pPr>
            <w:r>
              <w:rPr>
                <w:rFonts w:hint="eastAsia" w:ascii="宋体" w:hAnsi="宋体" w:cs="宋体"/>
                <w:color w:val="auto"/>
                <w:sz w:val="21"/>
                <w:szCs w:val="21"/>
                <w:highlight w:val="none"/>
              </w:rPr>
              <w:t>传</w:t>
            </w:r>
            <w:r>
              <w:rPr>
                <w:rFonts w:ascii="宋体" w:hAnsi="宋体" w:cs="宋体"/>
                <w:color w:val="auto"/>
                <w:spacing w:val="60"/>
                <w:sz w:val="21"/>
                <w:szCs w:val="21"/>
                <w:highlight w:val="none"/>
              </w:rPr>
              <w:t xml:space="preserve"> </w:t>
            </w:r>
            <w:r>
              <w:rPr>
                <w:rFonts w:hint="eastAsia" w:ascii="宋体" w:hAnsi="宋体" w:cs="宋体"/>
                <w:color w:val="auto"/>
                <w:sz w:val="21"/>
                <w:szCs w:val="21"/>
                <w:highlight w:val="none"/>
              </w:rPr>
              <w:t>真</w:t>
            </w:r>
          </w:p>
        </w:tc>
        <w:tc>
          <w:tcPr>
            <w:tcW w:w="2522" w:type="dxa"/>
            <w:gridSpan w:val="4"/>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107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1"/>
              <w:ind w:right="1"/>
              <w:jc w:val="center"/>
              <w:rPr>
                <w:rFonts w:ascii="宋体" w:hAnsi="宋体"/>
                <w:color w:val="auto"/>
                <w:sz w:val="21"/>
                <w:szCs w:val="21"/>
                <w:highlight w:val="none"/>
              </w:rPr>
            </w:pPr>
            <w:r>
              <w:rPr>
                <w:rFonts w:hint="eastAsia" w:ascii="宋体" w:hAnsi="宋体" w:cs="宋体"/>
                <w:color w:val="auto"/>
                <w:sz w:val="21"/>
                <w:szCs w:val="21"/>
                <w:highlight w:val="none"/>
              </w:rPr>
              <w:t>网</w:t>
            </w:r>
            <w:r>
              <w:rPr>
                <w:rFonts w:ascii="宋体" w:hAnsi="宋体" w:cs="宋体"/>
                <w:color w:val="auto"/>
                <w:sz w:val="21"/>
                <w:szCs w:val="21"/>
                <w:highlight w:val="none"/>
              </w:rPr>
              <w:t xml:space="preserve"> </w:t>
            </w:r>
            <w:r>
              <w:rPr>
                <w:rFonts w:hint="eastAsia" w:ascii="宋体" w:hAnsi="宋体" w:cs="宋体"/>
                <w:color w:val="auto"/>
                <w:sz w:val="21"/>
                <w:szCs w:val="21"/>
                <w:highlight w:val="none"/>
              </w:rPr>
              <w:t>址</w:t>
            </w:r>
          </w:p>
        </w:tc>
        <w:tc>
          <w:tcPr>
            <w:tcW w:w="2366" w:type="dxa"/>
            <w:gridSpan w:val="3"/>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59"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1"/>
              <w:jc w:val="center"/>
              <w:rPr>
                <w:rFonts w:ascii="宋体" w:hAnsi="宋体"/>
                <w:color w:val="auto"/>
                <w:sz w:val="21"/>
                <w:szCs w:val="21"/>
                <w:highlight w:val="none"/>
              </w:rPr>
            </w:pPr>
            <w:r>
              <w:rPr>
                <w:rFonts w:hint="eastAsia" w:ascii="宋体" w:hAnsi="宋体" w:cs="宋体"/>
                <w:color w:val="auto"/>
                <w:sz w:val="21"/>
                <w:szCs w:val="21"/>
                <w:highlight w:val="none"/>
              </w:rPr>
              <w:t>法定代表人</w:t>
            </w:r>
          </w:p>
        </w:tc>
        <w:tc>
          <w:tcPr>
            <w:tcW w:w="1356"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1"/>
              <w:jc w:val="center"/>
              <w:rPr>
                <w:rFonts w:ascii="宋体" w:hAnsi="宋体"/>
                <w:color w:val="auto"/>
                <w:sz w:val="21"/>
                <w:szCs w:val="21"/>
                <w:highlight w:val="none"/>
              </w:rPr>
            </w:pPr>
            <w:r>
              <w:rPr>
                <w:rFonts w:hint="eastAsia" w:ascii="宋体" w:hAnsi="宋体" w:cs="宋体"/>
                <w:color w:val="auto"/>
                <w:sz w:val="21"/>
                <w:szCs w:val="21"/>
                <w:highlight w:val="none"/>
              </w:rPr>
              <w:t>姓名</w:t>
            </w:r>
          </w:p>
        </w:tc>
        <w:tc>
          <w:tcPr>
            <w:tcW w:w="1210" w:type="dxa"/>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1001" w:type="dxa"/>
            <w:gridSpan w:val="2"/>
            <w:tcBorders>
              <w:top w:val="single" w:color="000000" w:sz="4" w:space="0"/>
              <w:left w:val="single" w:color="000000" w:sz="4" w:space="0"/>
              <w:bottom w:val="single" w:color="000000" w:sz="4" w:space="0"/>
              <w:right w:val="single" w:color="000000" w:sz="4" w:space="0"/>
            </w:tcBorders>
          </w:tcPr>
          <w:p>
            <w:pPr>
              <w:pStyle w:val="45"/>
              <w:kinsoku w:val="0"/>
              <w:overflowPunct w:val="0"/>
              <w:spacing w:before="31"/>
              <w:ind w:left="13"/>
              <w:rPr>
                <w:rFonts w:ascii="宋体" w:hAnsi="宋体"/>
                <w:color w:val="auto"/>
                <w:sz w:val="21"/>
                <w:szCs w:val="21"/>
                <w:highlight w:val="none"/>
              </w:rPr>
            </w:pPr>
            <w:r>
              <w:rPr>
                <w:rFonts w:hint="eastAsia" w:ascii="宋体" w:hAnsi="宋体" w:cs="宋体"/>
                <w:color w:val="auto"/>
                <w:sz w:val="21"/>
                <w:szCs w:val="21"/>
                <w:highlight w:val="none"/>
              </w:rPr>
              <w:t>技术职称</w:t>
            </w:r>
          </w:p>
        </w:tc>
        <w:tc>
          <w:tcPr>
            <w:tcW w:w="1819" w:type="dxa"/>
            <w:gridSpan w:val="3"/>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840"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1"/>
              <w:jc w:val="center"/>
              <w:rPr>
                <w:rFonts w:ascii="宋体" w:hAnsi="宋体"/>
                <w:color w:val="auto"/>
                <w:sz w:val="21"/>
                <w:szCs w:val="21"/>
                <w:highlight w:val="none"/>
              </w:rPr>
            </w:pPr>
            <w:r>
              <w:rPr>
                <w:rFonts w:hint="eastAsia" w:ascii="宋体" w:hAnsi="宋体" w:cs="宋体"/>
                <w:color w:val="auto"/>
                <w:sz w:val="21"/>
                <w:szCs w:val="21"/>
                <w:highlight w:val="none"/>
              </w:rPr>
              <w:t>电话</w:t>
            </w:r>
          </w:p>
        </w:tc>
        <w:tc>
          <w:tcPr>
            <w:tcW w:w="1096" w:type="dxa"/>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71"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6"/>
              <w:jc w:val="center"/>
              <w:rPr>
                <w:rFonts w:ascii="宋体" w:hAnsi="宋体"/>
                <w:color w:val="auto"/>
                <w:sz w:val="21"/>
                <w:szCs w:val="21"/>
                <w:highlight w:val="none"/>
              </w:rPr>
            </w:pPr>
            <w:r>
              <w:rPr>
                <w:rFonts w:hint="eastAsia" w:ascii="宋体" w:hAnsi="宋体" w:cs="宋体"/>
                <w:color w:val="auto"/>
                <w:sz w:val="21"/>
                <w:szCs w:val="21"/>
                <w:highlight w:val="none"/>
              </w:rPr>
              <w:t>成立时间</w:t>
            </w:r>
          </w:p>
        </w:tc>
        <w:tc>
          <w:tcPr>
            <w:tcW w:w="256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4756" w:type="dxa"/>
            <w:gridSpan w:val="7"/>
            <w:tcBorders>
              <w:top w:val="single" w:color="000000" w:sz="4" w:space="0"/>
              <w:left w:val="single" w:color="000000" w:sz="4" w:space="0"/>
              <w:bottom w:val="single" w:color="000000" w:sz="4" w:space="0"/>
              <w:right w:val="single" w:color="000000" w:sz="4" w:space="0"/>
            </w:tcBorders>
          </w:tcPr>
          <w:p>
            <w:pPr>
              <w:pStyle w:val="45"/>
              <w:kinsoku w:val="0"/>
              <w:overflowPunct w:val="0"/>
              <w:spacing w:before="36"/>
              <w:jc w:val="center"/>
              <w:rPr>
                <w:rFonts w:ascii="宋体" w:hAnsi="宋体"/>
                <w:color w:val="auto"/>
                <w:sz w:val="21"/>
                <w:szCs w:val="21"/>
                <w:highlight w:val="none"/>
              </w:rPr>
            </w:pPr>
            <w:r>
              <w:rPr>
                <w:rFonts w:hint="eastAsia" w:ascii="宋体" w:hAnsi="宋体" w:cs="宋体"/>
                <w:color w:val="auto"/>
                <w:sz w:val="21"/>
                <w:szCs w:val="21"/>
                <w:highlight w:val="none"/>
              </w:rPr>
              <w:t>员工总人数：</w:t>
            </w:r>
          </w:p>
        </w:tc>
      </w:tr>
      <w:tr>
        <w:tblPrEx>
          <w:tblCellMar>
            <w:top w:w="0" w:type="dxa"/>
            <w:left w:w="0" w:type="dxa"/>
            <w:bottom w:w="0" w:type="dxa"/>
            <w:right w:w="0" w:type="dxa"/>
          </w:tblCellMar>
        </w:tblPrEx>
        <w:trPr>
          <w:trHeight w:val="477"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40"/>
              <w:jc w:val="center"/>
              <w:rPr>
                <w:rFonts w:ascii="宋体" w:hAnsi="宋体"/>
                <w:color w:val="auto"/>
                <w:sz w:val="21"/>
                <w:szCs w:val="21"/>
                <w:highlight w:val="none"/>
              </w:rPr>
            </w:pPr>
            <w:r>
              <w:rPr>
                <w:rFonts w:hint="eastAsia" w:ascii="宋体" w:hAnsi="宋体" w:cs="宋体"/>
                <w:color w:val="auto"/>
                <w:sz w:val="21"/>
                <w:szCs w:val="21"/>
                <w:highlight w:val="none"/>
              </w:rPr>
              <w:t>企业资质等级</w:t>
            </w:r>
          </w:p>
        </w:tc>
        <w:tc>
          <w:tcPr>
            <w:tcW w:w="256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581" w:type="dxa"/>
            <w:vMerge w:val="restart"/>
            <w:tcBorders>
              <w:top w:val="single" w:color="000000" w:sz="4" w:space="0"/>
              <w:left w:val="single" w:color="000000" w:sz="4" w:space="0"/>
              <w:bottom w:val="single" w:color="000000" w:sz="4" w:space="0"/>
              <w:right w:val="single" w:color="000000" w:sz="4" w:space="0"/>
            </w:tcBorders>
          </w:tcPr>
          <w:p>
            <w:pPr>
              <w:pStyle w:val="45"/>
              <w:kinsoku w:val="0"/>
              <w:overflowPunct w:val="0"/>
              <w:rPr>
                <w:rFonts w:ascii="宋体" w:hAnsi="宋体" w:cs="宋体"/>
                <w:color w:val="auto"/>
                <w:sz w:val="21"/>
                <w:szCs w:val="21"/>
                <w:highlight w:val="none"/>
              </w:rPr>
            </w:pPr>
          </w:p>
          <w:p>
            <w:pPr>
              <w:pStyle w:val="45"/>
              <w:kinsoku w:val="0"/>
              <w:overflowPunct w:val="0"/>
              <w:rPr>
                <w:rFonts w:ascii="宋体" w:hAnsi="宋体" w:cs="宋体"/>
                <w:color w:val="auto"/>
                <w:sz w:val="21"/>
                <w:szCs w:val="21"/>
                <w:highlight w:val="none"/>
              </w:rPr>
            </w:pPr>
          </w:p>
          <w:p>
            <w:pPr>
              <w:pStyle w:val="45"/>
              <w:kinsoku w:val="0"/>
              <w:overflowPunct w:val="0"/>
              <w:rPr>
                <w:rFonts w:ascii="宋体" w:hAnsi="宋体" w:cs="宋体"/>
                <w:color w:val="auto"/>
                <w:sz w:val="21"/>
                <w:szCs w:val="21"/>
                <w:highlight w:val="none"/>
              </w:rPr>
            </w:pPr>
          </w:p>
          <w:p>
            <w:pPr>
              <w:pStyle w:val="45"/>
              <w:kinsoku w:val="0"/>
              <w:overflowPunct w:val="0"/>
              <w:spacing w:before="182"/>
              <w:ind w:left="45"/>
              <w:rPr>
                <w:rFonts w:ascii="宋体" w:hAnsi="宋体"/>
                <w:color w:val="auto"/>
                <w:sz w:val="21"/>
                <w:szCs w:val="21"/>
                <w:highlight w:val="none"/>
              </w:rPr>
            </w:pPr>
            <w:r>
              <w:rPr>
                <w:rFonts w:hint="eastAsia" w:ascii="宋体" w:hAnsi="宋体" w:cs="宋体"/>
                <w:color w:val="auto"/>
                <w:sz w:val="21"/>
                <w:szCs w:val="21"/>
                <w:highlight w:val="none"/>
              </w:rPr>
              <w:t>其中</w:t>
            </w:r>
          </w:p>
        </w:tc>
        <w:tc>
          <w:tcPr>
            <w:tcW w:w="2239"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40"/>
              <w:ind w:left="513"/>
              <w:rPr>
                <w:rFonts w:ascii="宋体" w:hAnsi="宋体"/>
                <w:color w:val="auto"/>
                <w:sz w:val="21"/>
                <w:szCs w:val="21"/>
                <w:highlight w:val="none"/>
              </w:rPr>
            </w:pPr>
            <w:r>
              <w:rPr>
                <w:rFonts w:hint="eastAsia" w:ascii="宋体" w:hAnsi="宋体" w:cs="宋体"/>
                <w:color w:val="auto"/>
                <w:sz w:val="21"/>
                <w:szCs w:val="21"/>
                <w:highlight w:val="none"/>
              </w:rPr>
              <w:t>项目负责人</w:t>
            </w:r>
          </w:p>
        </w:tc>
        <w:tc>
          <w:tcPr>
            <w:tcW w:w="193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55"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28"/>
              <w:jc w:val="center"/>
              <w:rPr>
                <w:rFonts w:ascii="宋体" w:hAnsi="宋体"/>
                <w:color w:val="auto"/>
                <w:sz w:val="21"/>
                <w:szCs w:val="21"/>
                <w:highlight w:val="none"/>
              </w:rPr>
            </w:pPr>
            <w:r>
              <w:rPr>
                <w:rFonts w:hint="eastAsia" w:ascii="宋体" w:hAnsi="宋体" w:cs="宋体"/>
                <w:color w:val="auto"/>
                <w:sz w:val="21"/>
                <w:szCs w:val="21"/>
                <w:highlight w:val="none"/>
              </w:rPr>
              <w:t>营业执照号</w:t>
            </w:r>
          </w:p>
        </w:tc>
        <w:tc>
          <w:tcPr>
            <w:tcW w:w="256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581"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2239"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28"/>
              <w:ind w:left="393"/>
              <w:rPr>
                <w:rFonts w:ascii="宋体" w:hAnsi="宋体"/>
                <w:color w:val="auto"/>
                <w:sz w:val="21"/>
                <w:szCs w:val="21"/>
                <w:highlight w:val="none"/>
              </w:rPr>
            </w:pPr>
            <w:r>
              <w:rPr>
                <w:rFonts w:hint="eastAsia" w:ascii="宋体" w:hAnsi="宋体" w:cs="宋体"/>
                <w:color w:val="auto"/>
                <w:sz w:val="21"/>
                <w:szCs w:val="21"/>
                <w:highlight w:val="none"/>
              </w:rPr>
              <w:t>高级职称人员</w:t>
            </w:r>
          </w:p>
        </w:tc>
        <w:tc>
          <w:tcPr>
            <w:tcW w:w="193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61"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2"/>
              <w:jc w:val="center"/>
              <w:rPr>
                <w:rFonts w:ascii="宋体" w:hAnsi="宋体"/>
                <w:color w:val="auto"/>
                <w:sz w:val="21"/>
                <w:szCs w:val="21"/>
                <w:highlight w:val="none"/>
              </w:rPr>
            </w:pPr>
            <w:r>
              <w:rPr>
                <w:rFonts w:hint="eastAsia" w:ascii="宋体" w:hAnsi="宋体" w:cs="宋体"/>
                <w:color w:val="auto"/>
                <w:sz w:val="21"/>
                <w:szCs w:val="21"/>
                <w:highlight w:val="none"/>
              </w:rPr>
              <w:t>注册资金</w:t>
            </w:r>
          </w:p>
        </w:tc>
        <w:tc>
          <w:tcPr>
            <w:tcW w:w="256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581"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2239"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32"/>
              <w:ind w:left="393"/>
              <w:rPr>
                <w:rFonts w:ascii="宋体" w:hAnsi="宋体"/>
                <w:color w:val="auto"/>
                <w:sz w:val="21"/>
                <w:szCs w:val="21"/>
                <w:highlight w:val="none"/>
              </w:rPr>
            </w:pPr>
            <w:r>
              <w:rPr>
                <w:rFonts w:hint="eastAsia" w:ascii="宋体" w:hAnsi="宋体" w:cs="宋体"/>
                <w:color w:val="auto"/>
                <w:sz w:val="21"/>
                <w:szCs w:val="21"/>
                <w:highlight w:val="none"/>
              </w:rPr>
              <w:t>中级职称人员</w:t>
            </w:r>
          </w:p>
        </w:tc>
        <w:tc>
          <w:tcPr>
            <w:tcW w:w="193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81"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41"/>
              <w:jc w:val="center"/>
              <w:rPr>
                <w:rFonts w:ascii="宋体" w:hAnsi="宋体"/>
                <w:color w:val="auto"/>
                <w:sz w:val="21"/>
                <w:szCs w:val="21"/>
                <w:highlight w:val="none"/>
              </w:rPr>
            </w:pPr>
            <w:r>
              <w:rPr>
                <w:rFonts w:hint="eastAsia" w:ascii="宋体" w:hAnsi="宋体" w:cs="宋体"/>
                <w:color w:val="auto"/>
                <w:sz w:val="21"/>
                <w:szCs w:val="21"/>
                <w:highlight w:val="none"/>
              </w:rPr>
              <w:t>开户银行</w:t>
            </w:r>
          </w:p>
        </w:tc>
        <w:tc>
          <w:tcPr>
            <w:tcW w:w="256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581"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2239"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41"/>
              <w:ind w:left="393"/>
              <w:rPr>
                <w:rFonts w:ascii="宋体" w:hAnsi="宋体"/>
                <w:color w:val="auto"/>
                <w:sz w:val="21"/>
                <w:szCs w:val="21"/>
                <w:highlight w:val="none"/>
              </w:rPr>
            </w:pPr>
            <w:r>
              <w:rPr>
                <w:rFonts w:hint="eastAsia" w:ascii="宋体" w:hAnsi="宋体" w:cs="宋体"/>
                <w:color w:val="auto"/>
                <w:sz w:val="21"/>
                <w:szCs w:val="21"/>
                <w:highlight w:val="none"/>
              </w:rPr>
              <w:t>初级职称人员</w:t>
            </w:r>
          </w:p>
        </w:tc>
        <w:tc>
          <w:tcPr>
            <w:tcW w:w="193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458"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1"/>
              <w:jc w:val="center"/>
              <w:rPr>
                <w:rFonts w:ascii="宋体" w:hAnsi="宋体"/>
                <w:color w:val="auto"/>
                <w:sz w:val="21"/>
                <w:szCs w:val="21"/>
                <w:highlight w:val="none"/>
              </w:rPr>
            </w:pPr>
            <w:r>
              <w:rPr>
                <w:rFonts w:hint="eastAsia" w:ascii="宋体" w:hAnsi="宋体" w:cs="宋体"/>
                <w:color w:val="auto"/>
                <w:sz w:val="21"/>
                <w:szCs w:val="21"/>
                <w:highlight w:val="none"/>
              </w:rPr>
              <w:t>账号</w:t>
            </w:r>
          </w:p>
        </w:tc>
        <w:tc>
          <w:tcPr>
            <w:tcW w:w="256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581" w:type="dxa"/>
            <w:vMerge w:val="continue"/>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c>
          <w:tcPr>
            <w:tcW w:w="2239"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31"/>
              <w:ind w:right="1"/>
              <w:jc w:val="center"/>
              <w:rPr>
                <w:rFonts w:ascii="宋体" w:hAnsi="宋体"/>
                <w:color w:val="auto"/>
                <w:sz w:val="21"/>
                <w:szCs w:val="21"/>
                <w:highlight w:val="none"/>
              </w:rPr>
            </w:pPr>
            <w:r>
              <w:rPr>
                <w:rFonts w:hint="eastAsia" w:ascii="宋体" w:hAnsi="宋体" w:cs="宋体"/>
                <w:color w:val="auto"/>
                <w:sz w:val="21"/>
                <w:szCs w:val="21"/>
                <w:highlight w:val="none"/>
              </w:rPr>
              <w:t>技</w:t>
            </w:r>
            <w:r>
              <w:rPr>
                <w:rFonts w:ascii="宋体" w:hAnsi="宋体" w:cs="宋体"/>
                <w:color w:val="auto"/>
                <w:spacing w:val="69"/>
                <w:sz w:val="21"/>
                <w:szCs w:val="21"/>
                <w:highlight w:val="none"/>
              </w:rPr>
              <w:t xml:space="preserve"> </w:t>
            </w:r>
            <w:r>
              <w:rPr>
                <w:rFonts w:hint="eastAsia" w:ascii="宋体" w:hAnsi="宋体" w:cs="宋体"/>
                <w:color w:val="auto"/>
                <w:sz w:val="21"/>
                <w:szCs w:val="21"/>
                <w:highlight w:val="none"/>
              </w:rPr>
              <w:t>工</w:t>
            </w:r>
          </w:p>
        </w:tc>
        <w:tc>
          <w:tcPr>
            <w:tcW w:w="1936" w:type="dxa"/>
            <w:gridSpan w:val="2"/>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2010"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78"/>
              <w:jc w:val="center"/>
              <w:rPr>
                <w:rFonts w:ascii="宋体" w:hAnsi="宋体"/>
                <w:color w:val="auto"/>
                <w:sz w:val="21"/>
                <w:szCs w:val="21"/>
                <w:highlight w:val="none"/>
              </w:rPr>
            </w:pPr>
            <w:r>
              <w:rPr>
                <w:rFonts w:hint="eastAsia" w:ascii="宋体" w:hAnsi="宋体" w:cs="宋体"/>
                <w:color w:val="auto"/>
                <w:sz w:val="21"/>
                <w:szCs w:val="21"/>
                <w:highlight w:val="none"/>
              </w:rPr>
              <w:t>经营范围</w:t>
            </w:r>
          </w:p>
        </w:tc>
        <w:tc>
          <w:tcPr>
            <w:tcW w:w="7322" w:type="dxa"/>
            <w:gridSpan w:val="9"/>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874" w:hRule="exact"/>
        </w:trPr>
        <w:tc>
          <w:tcPr>
            <w:tcW w:w="1728"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3"/>
              <w:rPr>
                <w:rFonts w:ascii="宋体" w:hAnsi="宋体" w:cs="宋体"/>
                <w:color w:val="auto"/>
                <w:sz w:val="21"/>
                <w:szCs w:val="21"/>
                <w:highlight w:val="none"/>
              </w:rPr>
            </w:pPr>
          </w:p>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备注</w:t>
            </w:r>
          </w:p>
        </w:tc>
        <w:tc>
          <w:tcPr>
            <w:tcW w:w="7322" w:type="dxa"/>
            <w:gridSpan w:val="9"/>
            <w:tcBorders>
              <w:top w:val="single" w:color="000000" w:sz="4" w:space="0"/>
              <w:left w:val="single" w:color="000000" w:sz="4" w:space="0"/>
              <w:bottom w:val="single" w:color="000000" w:sz="4" w:space="0"/>
              <w:right w:val="single" w:color="000000" w:sz="4" w:space="0"/>
            </w:tcBorders>
          </w:tcPr>
          <w:p>
            <w:pPr>
              <w:rPr>
                <w:rFonts w:ascii="宋体" w:hAnsi="宋体"/>
                <w:color w:val="auto"/>
                <w:sz w:val="21"/>
                <w:szCs w:val="21"/>
                <w:highlight w:val="none"/>
              </w:rPr>
            </w:pPr>
          </w:p>
        </w:tc>
      </w:tr>
    </w:tbl>
    <w:p>
      <w:pPr>
        <w:pStyle w:val="11"/>
        <w:kinsoku w:val="0"/>
        <w:overflowPunct w:val="0"/>
        <w:spacing w:before="13"/>
        <w:ind w:left="0"/>
        <w:rPr>
          <w:rFonts w:hAnsi="宋体"/>
          <w:color w:val="auto"/>
          <w:sz w:val="18"/>
          <w:szCs w:val="18"/>
          <w:highlight w:val="none"/>
        </w:rPr>
      </w:pPr>
    </w:p>
    <w:p>
      <w:pPr>
        <w:pStyle w:val="11"/>
        <w:kinsoku w:val="0"/>
        <w:overflowPunct w:val="0"/>
        <w:spacing w:before="56" w:line="312" w:lineRule="exact"/>
        <w:ind w:left="480" w:right="490"/>
        <w:rPr>
          <w:rFonts w:hAnsi="宋体"/>
          <w:color w:val="auto"/>
          <w:sz w:val="21"/>
          <w:szCs w:val="21"/>
          <w:highlight w:val="none"/>
        </w:rPr>
      </w:pPr>
      <w:r>
        <w:rPr>
          <w:rFonts w:hint="eastAsia" w:hAnsi="宋体"/>
          <w:color w:val="auto"/>
          <w:spacing w:val="-3"/>
          <w:sz w:val="21"/>
          <w:szCs w:val="21"/>
          <w:highlight w:val="none"/>
        </w:rPr>
        <w:t>注：本表后须附企业营业执照副本、企业资质证书副本</w:t>
      </w:r>
      <w:r>
        <w:rPr>
          <w:rFonts w:hint="eastAsia" w:hAnsi="宋体"/>
          <w:color w:val="auto"/>
          <w:sz w:val="21"/>
          <w:szCs w:val="21"/>
          <w:highlight w:val="none"/>
        </w:rPr>
        <w:t>等的复印件并加盖投标人单位公章。</w:t>
      </w:r>
    </w:p>
    <w:p>
      <w:pPr>
        <w:rPr>
          <w:rFonts w:ascii="宋体" w:hAnsi="宋体"/>
          <w:color w:val="auto"/>
          <w:highlight w:val="none"/>
        </w:rPr>
      </w:pPr>
      <w:r>
        <w:rPr>
          <w:rFonts w:hAnsi="宋体"/>
          <w:color w:val="auto"/>
          <w:highlight w:val="none"/>
        </w:rPr>
        <w:br w:type="page"/>
      </w:r>
    </w:p>
    <w:p>
      <w:pPr>
        <w:pStyle w:val="7"/>
        <w:kinsoku w:val="0"/>
        <w:overflowPunct w:val="0"/>
        <w:spacing w:before="0" w:line="355" w:lineRule="exact"/>
        <w:ind w:left="2433" w:right="650"/>
        <w:rPr>
          <w:rFonts w:hAnsi="宋体"/>
          <w:color w:val="auto"/>
          <w:highlight w:val="none"/>
        </w:rPr>
      </w:pPr>
      <w:r>
        <w:rPr>
          <w:rFonts w:hint="eastAsia" w:hAnsi="宋体"/>
          <w:color w:val="auto"/>
          <w:highlight w:val="none"/>
        </w:rPr>
        <w:t>（二）投标人企业信誉证明材料一览表</w:t>
      </w:r>
    </w:p>
    <w:p>
      <w:pPr>
        <w:pStyle w:val="11"/>
        <w:kinsoku w:val="0"/>
        <w:overflowPunct w:val="0"/>
        <w:spacing w:before="1"/>
        <w:ind w:left="0"/>
        <w:rPr>
          <w:rFonts w:hAnsi="宋体"/>
          <w:color w:val="auto"/>
          <w:sz w:val="13"/>
          <w:szCs w:val="13"/>
          <w:highlight w:val="none"/>
        </w:rPr>
      </w:pPr>
    </w:p>
    <w:tbl>
      <w:tblPr>
        <w:tblStyle w:val="23"/>
        <w:tblW w:w="9378" w:type="dxa"/>
        <w:tblInd w:w="124" w:type="dxa"/>
        <w:tblLayout w:type="fixed"/>
        <w:tblCellMar>
          <w:top w:w="0" w:type="dxa"/>
          <w:left w:w="0" w:type="dxa"/>
          <w:bottom w:w="0" w:type="dxa"/>
          <w:right w:w="0" w:type="dxa"/>
        </w:tblCellMar>
      </w:tblPr>
      <w:tblGrid>
        <w:gridCol w:w="876"/>
        <w:gridCol w:w="2668"/>
        <w:gridCol w:w="1895"/>
        <w:gridCol w:w="2063"/>
        <w:gridCol w:w="1876"/>
      </w:tblGrid>
      <w:tr>
        <w:tblPrEx>
          <w:tblCellMar>
            <w:top w:w="0" w:type="dxa"/>
            <w:left w:w="0" w:type="dxa"/>
            <w:bottom w:w="0" w:type="dxa"/>
            <w:right w:w="0" w:type="dxa"/>
          </w:tblCellMar>
        </w:tblPrEx>
        <w:trPr>
          <w:trHeight w:val="726" w:hRule="exact"/>
        </w:trPr>
        <w:tc>
          <w:tcPr>
            <w:tcW w:w="876" w:type="dxa"/>
            <w:tcBorders>
              <w:top w:val="single" w:color="000000" w:sz="4" w:space="0"/>
              <w:left w:val="single" w:color="000000" w:sz="4" w:space="0"/>
              <w:bottom w:val="single" w:color="000000" w:sz="6" w:space="0"/>
              <w:right w:val="single" w:color="000000" w:sz="6" w:space="0"/>
            </w:tcBorders>
          </w:tcPr>
          <w:p>
            <w:pPr>
              <w:pStyle w:val="45"/>
              <w:kinsoku w:val="0"/>
              <w:overflowPunct w:val="0"/>
              <w:spacing w:before="1"/>
              <w:rPr>
                <w:rFonts w:ascii="宋体" w:hAnsi="宋体" w:cs="宋体"/>
                <w:color w:val="auto"/>
                <w:sz w:val="21"/>
                <w:szCs w:val="21"/>
                <w:highlight w:val="none"/>
              </w:rPr>
            </w:pPr>
          </w:p>
          <w:p>
            <w:pPr>
              <w:pStyle w:val="45"/>
              <w:kinsoku w:val="0"/>
              <w:overflowPunct w:val="0"/>
              <w:ind w:left="13"/>
              <w:jc w:val="center"/>
              <w:rPr>
                <w:rFonts w:ascii="宋体" w:hAnsi="宋体"/>
                <w:color w:val="auto"/>
                <w:sz w:val="21"/>
                <w:szCs w:val="21"/>
                <w:highlight w:val="none"/>
              </w:rPr>
            </w:pPr>
            <w:r>
              <w:rPr>
                <w:rFonts w:hint="eastAsia" w:ascii="宋体" w:hAnsi="宋体" w:cs="宋体"/>
                <w:color w:val="auto"/>
                <w:sz w:val="21"/>
                <w:szCs w:val="21"/>
                <w:highlight w:val="none"/>
              </w:rPr>
              <w:t>序号</w:t>
            </w:r>
          </w:p>
        </w:tc>
        <w:tc>
          <w:tcPr>
            <w:tcW w:w="2668" w:type="dxa"/>
            <w:tcBorders>
              <w:top w:val="single" w:color="000000" w:sz="4" w:space="0"/>
              <w:left w:val="single" w:color="000000" w:sz="6" w:space="0"/>
              <w:bottom w:val="single" w:color="000000" w:sz="6" w:space="0"/>
              <w:right w:val="single" w:color="000000" w:sz="6" w:space="0"/>
            </w:tcBorders>
          </w:tcPr>
          <w:p>
            <w:pPr>
              <w:pStyle w:val="45"/>
              <w:kinsoku w:val="0"/>
              <w:overflowPunct w:val="0"/>
              <w:spacing w:before="1"/>
              <w:rPr>
                <w:rFonts w:ascii="宋体" w:hAnsi="宋体" w:cs="宋体"/>
                <w:color w:val="auto"/>
                <w:sz w:val="21"/>
                <w:szCs w:val="21"/>
                <w:highlight w:val="none"/>
              </w:rPr>
            </w:pPr>
          </w:p>
          <w:p>
            <w:pPr>
              <w:pStyle w:val="45"/>
              <w:kinsoku w:val="0"/>
              <w:overflowPunct w:val="0"/>
              <w:ind w:left="603"/>
              <w:rPr>
                <w:rFonts w:ascii="宋体" w:hAnsi="宋体"/>
                <w:color w:val="auto"/>
                <w:sz w:val="21"/>
                <w:szCs w:val="21"/>
                <w:highlight w:val="none"/>
              </w:rPr>
            </w:pPr>
            <w:r>
              <w:rPr>
                <w:rFonts w:hint="eastAsia" w:ascii="宋体" w:hAnsi="宋体" w:cs="宋体"/>
                <w:color w:val="auto"/>
                <w:sz w:val="21"/>
                <w:szCs w:val="21"/>
                <w:highlight w:val="none"/>
              </w:rPr>
              <w:t>证明材料名称</w:t>
            </w:r>
          </w:p>
        </w:tc>
        <w:tc>
          <w:tcPr>
            <w:tcW w:w="1895" w:type="dxa"/>
            <w:tcBorders>
              <w:top w:val="single" w:color="000000" w:sz="4" w:space="0"/>
              <w:left w:val="single" w:color="000000" w:sz="6" w:space="0"/>
              <w:bottom w:val="single" w:color="000000" w:sz="6" w:space="0"/>
              <w:right w:val="single" w:color="000000" w:sz="6" w:space="0"/>
            </w:tcBorders>
          </w:tcPr>
          <w:p>
            <w:pPr>
              <w:pStyle w:val="45"/>
              <w:kinsoku w:val="0"/>
              <w:overflowPunct w:val="0"/>
              <w:spacing w:before="1"/>
              <w:rPr>
                <w:rFonts w:ascii="宋体" w:hAnsi="宋体" w:cs="宋体"/>
                <w:color w:val="auto"/>
                <w:sz w:val="21"/>
                <w:szCs w:val="21"/>
                <w:highlight w:val="none"/>
              </w:rPr>
            </w:pPr>
          </w:p>
          <w:p>
            <w:pPr>
              <w:pStyle w:val="45"/>
              <w:kinsoku w:val="0"/>
              <w:overflowPunct w:val="0"/>
              <w:ind w:left="457"/>
              <w:rPr>
                <w:rFonts w:ascii="宋体" w:hAnsi="宋体"/>
                <w:color w:val="auto"/>
                <w:sz w:val="21"/>
                <w:szCs w:val="21"/>
                <w:highlight w:val="none"/>
              </w:rPr>
            </w:pPr>
            <w:r>
              <w:rPr>
                <w:rFonts w:hint="eastAsia" w:ascii="宋体" w:hAnsi="宋体" w:cs="宋体"/>
                <w:color w:val="auto"/>
                <w:sz w:val="21"/>
                <w:szCs w:val="21"/>
                <w:highlight w:val="none"/>
              </w:rPr>
              <w:t>授予部门</w:t>
            </w:r>
          </w:p>
        </w:tc>
        <w:tc>
          <w:tcPr>
            <w:tcW w:w="2063" w:type="dxa"/>
            <w:tcBorders>
              <w:top w:val="single" w:color="000000" w:sz="4" w:space="0"/>
              <w:left w:val="single" w:color="000000" w:sz="6" w:space="0"/>
              <w:bottom w:val="single" w:color="000000" w:sz="6" w:space="0"/>
              <w:right w:val="single" w:color="000000" w:sz="6" w:space="0"/>
            </w:tcBorders>
          </w:tcPr>
          <w:p>
            <w:pPr>
              <w:pStyle w:val="45"/>
              <w:kinsoku w:val="0"/>
              <w:overflowPunct w:val="0"/>
              <w:spacing w:before="1"/>
              <w:rPr>
                <w:rFonts w:ascii="宋体" w:hAnsi="宋体" w:cs="宋体"/>
                <w:color w:val="auto"/>
                <w:sz w:val="21"/>
                <w:szCs w:val="21"/>
                <w:highlight w:val="none"/>
              </w:rPr>
            </w:pPr>
          </w:p>
          <w:p>
            <w:pPr>
              <w:pStyle w:val="45"/>
              <w:kinsoku w:val="0"/>
              <w:overflowPunct w:val="0"/>
              <w:ind w:left="540"/>
              <w:rPr>
                <w:rFonts w:ascii="宋体" w:hAnsi="宋体"/>
                <w:color w:val="auto"/>
                <w:sz w:val="21"/>
                <w:szCs w:val="21"/>
                <w:highlight w:val="none"/>
              </w:rPr>
            </w:pPr>
            <w:r>
              <w:rPr>
                <w:rFonts w:hint="eastAsia" w:ascii="宋体" w:hAnsi="宋体" w:cs="宋体"/>
                <w:color w:val="auto"/>
                <w:sz w:val="21"/>
                <w:szCs w:val="21"/>
                <w:highlight w:val="none"/>
              </w:rPr>
              <w:t>发证时间</w:t>
            </w:r>
          </w:p>
        </w:tc>
        <w:tc>
          <w:tcPr>
            <w:tcW w:w="1876" w:type="dxa"/>
            <w:tcBorders>
              <w:top w:val="single" w:color="000000" w:sz="4" w:space="0"/>
              <w:left w:val="single" w:color="000000" w:sz="6" w:space="0"/>
              <w:bottom w:val="single" w:color="000000" w:sz="6" w:space="0"/>
              <w:right w:val="single" w:color="000000" w:sz="4" w:space="0"/>
            </w:tcBorders>
          </w:tcPr>
          <w:p>
            <w:pPr>
              <w:pStyle w:val="45"/>
              <w:kinsoku w:val="0"/>
              <w:overflowPunct w:val="0"/>
              <w:spacing w:before="1"/>
              <w:rPr>
                <w:rFonts w:ascii="宋体" w:hAnsi="宋体" w:cs="宋体"/>
                <w:color w:val="auto"/>
                <w:sz w:val="21"/>
                <w:szCs w:val="21"/>
                <w:highlight w:val="none"/>
              </w:rPr>
            </w:pPr>
          </w:p>
          <w:p>
            <w:pPr>
              <w:pStyle w:val="45"/>
              <w:kinsoku w:val="0"/>
              <w:overflowPunct w:val="0"/>
              <w:ind w:right="42"/>
              <w:jc w:val="center"/>
              <w:rPr>
                <w:rFonts w:ascii="宋体" w:hAnsi="宋体"/>
                <w:color w:val="auto"/>
                <w:sz w:val="21"/>
                <w:szCs w:val="21"/>
                <w:highlight w:val="none"/>
              </w:rPr>
            </w:pPr>
            <w:r>
              <w:rPr>
                <w:rFonts w:hint="eastAsia" w:ascii="宋体" w:hAnsi="宋体" w:cs="宋体"/>
                <w:color w:val="auto"/>
                <w:sz w:val="21"/>
                <w:szCs w:val="21"/>
                <w:highlight w:val="none"/>
              </w:rPr>
              <w:t>备注</w:t>
            </w:r>
          </w:p>
        </w:tc>
      </w:tr>
      <w:tr>
        <w:tblPrEx>
          <w:tblCellMar>
            <w:top w:w="0" w:type="dxa"/>
            <w:left w:w="0" w:type="dxa"/>
            <w:bottom w:w="0" w:type="dxa"/>
            <w:right w:w="0" w:type="dxa"/>
          </w:tblCellMar>
        </w:tblPrEx>
        <w:trPr>
          <w:trHeight w:val="877" w:hRule="exact"/>
        </w:trPr>
        <w:tc>
          <w:tcPr>
            <w:tcW w:w="876" w:type="dxa"/>
            <w:tcBorders>
              <w:top w:val="single" w:color="000000" w:sz="6" w:space="0"/>
              <w:left w:val="single" w:color="000000" w:sz="4" w:space="0"/>
              <w:bottom w:val="single" w:color="000000" w:sz="6" w:space="0"/>
              <w:right w:val="single" w:color="000000" w:sz="6" w:space="0"/>
            </w:tcBorders>
          </w:tcPr>
          <w:p>
            <w:pPr>
              <w:pStyle w:val="45"/>
              <w:kinsoku w:val="0"/>
              <w:overflowPunct w:val="0"/>
              <w:rPr>
                <w:rFonts w:ascii="宋体" w:hAnsi="宋体" w:cs="宋体"/>
                <w:color w:val="auto"/>
                <w:sz w:val="21"/>
                <w:szCs w:val="21"/>
                <w:highlight w:val="none"/>
              </w:rPr>
            </w:pPr>
          </w:p>
          <w:p>
            <w:pPr>
              <w:pStyle w:val="45"/>
              <w:kinsoku w:val="0"/>
              <w:overflowPunct w:val="0"/>
              <w:jc w:val="center"/>
              <w:rPr>
                <w:rFonts w:ascii="宋体" w:hAnsi="宋体"/>
                <w:color w:val="auto"/>
                <w:sz w:val="21"/>
                <w:szCs w:val="21"/>
                <w:highlight w:val="none"/>
              </w:rPr>
            </w:pPr>
            <w:r>
              <w:rPr>
                <w:rFonts w:ascii="宋体" w:hAnsi="宋体" w:cs="宋体"/>
                <w:color w:val="auto"/>
                <w:sz w:val="21"/>
                <w:szCs w:val="21"/>
                <w:highlight w:val="none"/>
              </w:rPr>
              <w:t>1</w:t>
            </w:r>
          </w:p>
        </w:tc>
        <w:tc>
          <w:tcPr>
            <w:tcW w:w="2668"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95"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2063"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76" w:type="dxa"/>
            <w:tcBorders>
              <w:top w:val="single" w:color="000000" w:sz="6" w:space="0"/>
              <w:left w:val="single" w:color="000000" w:sz="6" w:space="0"/>
              <w:bottom w:val="single" w:color="000000" w:sz="6"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878" w:hRule="exact"/>
        </w:trPr>
        <w:tc>
          <w:tcPr>
            <w:tcW w:w="876" w:type="dxa"/>
            <w:tcBorders>
              <w:top w:val="single" w:color="000000" w:sz="6" w:space="0"/>
              <w:left w:val="single" w:color="000000" w:sz="4" w:space="0"/>
              <w:bottom w:val="single" w:color="000000" w:sz="6" w:space="0"/>
              <w:right w:val="single" w:color="000000" w:sz="6" w:space="0"/>
            </w:tcBorders>
          </w:tcPr>
          <w:p>
            <w:pPr>
              <w:pStyle w:val="45"/>
              <w:kinsoku w:val="0"/>
              <w:overflowPunct w:val="0"/>
              <w:spacing w:before="2"/>
              <w:rPr>
                <w:rFonts w:ascii="宋体" w:hAnsi="宋体" w:cs="宋体"/>
                <w:color w:val="auto"/>
                <w:sz w:val="21"/>
                <w:szCs w:val="21"/>
                <w:highlight w:val="none"/>
              </w:rPr>
            </w:pPr>
          </w:p>
          <w:p>
            <w:pPr>
              <w:pStyle w:val="45"/>
              <w:kinsoku w:val="0"/>
              <w:overflowPunct w:val="0"/>
              <w:jc w:val="center"/>
              <w:rPr>
                <w:rFonts w:ascii="宋体" w:hAnsi="宋体"/>
                <w:color w:val="auto"/>
                <w:sz w:val="21"/>
                <w:szCs w:val="21"/>
                <w:highlight w:val="none"/>
              </w:rPr>
            </w:pPr>
            <w:r>
              <w:rPr>
                <w:rFonts w:ascii="宋体" w:hAnsi="宋体" w:cs="宋体"/>
                <w:color w:val="auto"/>
                <w:sz w:val="21"/>
                <w:szCs w:val="21"/>
                <w:highlight w:val="none"/>
              </w:rPr>
              <w:t>2</w:t>
            </w:r>
          </w:p>
        </w:tc>
        <w:tc>
          <w:tcPr>
            <w:tcW w:w="2668"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95"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2063"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76" w:type="dxa"/>
            <w:tcBorders>
              <w:top w:val="single" w:color="000000" w:sz="6" w:space="0"/>
              <w:left w:val="single" w:color="000000" w:sz="6" w:space="0"/>
              <w:bottom w:val="single" w:color="000000" w:sz="6"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877" w:hRule="exact"/>
        </w:trPr>
        <w:tc>
          <w:tcPr>
            <w:tcW w:w="876" w:type="dxa"/>
            <w:tcBorders>
              <w:top w:val="single" w:color="000000" w:sz="6" w:space="0"/>
              <w:left w:val="single" w:color="000000" w:sz="4" w:space="0"/>
              <w:bottom w:val="single" w:color="000000" w:sz="6" w:space="0"/>
              <w:right w:val="single" w:color="000000" w:sz="6" w:space="0"/>
            </w:tcBorders>
          </w:tcPr>
          <w:p>
            <w:pPr>
              <w:pStyle w:val="45"/>
              <w:kinsoku w:val="0"/>
              <w:overflowPunct w:val="0"/>
              <w:spacing w:before="2"/>
              <w:rPr>
                <w:rFonts w:ascii="宋体" w:hAnsi="宋体" w:cs="宋体"/>
                <w:color w:val="auto"/>
                <w:sz w:val="21"/>
                <w:szCs w:val="21"/>
                <w:highlight w:val="none"/>
              </w:rPr>
            </w:pPr>
          </w:p>
          <w:p>
            <w:pPr>
              <w:pStyle w:val="45"/>
              <w:kinsoku w:val="0"/>
              <w:overflowPunct w:val="0"/>
              <w:jc w:val="center"/>
              <w:rPr>
                <w:rFonts w:ascii="宋体" w:hAnsi="宋体"/>
                <w:color w:val="auto"/>
                <w:sz w:val="21"/>
                <w:szCs w:val="21"/>
                <w:highlight w:val="none"/>
              </w:rPr>
            </w:pPr>
            <w:r>
              <w:rPr>
                <w:rFonts w:ascii="宋体" w:hAnsi="宋体" w:cs="宋体"/>
                <w:color w:val="auto"/>
                <w:sz w:val="21"/>
                <w:szCs w:val="21"/>
                <w:highlight w:val="none"/>
              </w:rPr>
              <w:t>3</w:t>
            </w:r>
          </w:p>
        </w:tc>
        <w:tc>
          <w:tcPr>
            <w:tcW w:w="2668"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95"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2063"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76" w:type="dxa"/>
            <w:tcBorders>
              <w:top w:val="single" w:color="000000" w:sz="6" w:space="0"/>
              <w:left w:val="single" w:color="000000" w:sz="6" w:space="0"/>
              <w:bottom w:val="single" w:color="000000" w:sz="6"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877" w:hRule="exact"/>
        </w:trPr>
        <w:tc>
          <w:tcPr>
            <w:tcW w:w="876" w:type="dxa"/>
            <w:tcBorders>
              <w:top w:val="single" w:color="000000" w:sz="6" w:space="0"/>
              <w:left w:val="single" w:color="000000" w:sz="4" w:space="0"/>
              <w:bottom w:val="single" w:color="000000" w:sz="6" w:space="0"/>
              <w:right w:val="single" w:color="000000" w:sz="6" w:space="0"/>
            </w:tcBorders>
          </w:tcPr>
          <w:p>
            <w:pPr>
              <w:pStyle w:val="45"/>
              <w:kinsoku w:val="0"/>
              <w:overflowPunct w:val="0"/>
              <w:spacing w:before="1"/>
              <w:rPr>
                <w:rFonts w:ascii="宋体" w:hAnsi="宋体" w:cs="宋体"/>
                <w:color w:val="auto"/>
                <w:sz w:val="21"/>
                <w:szCs w:val="21"/>
                <w:highlight w:val="none"/>
              </w:rPr>
            </w:pPr>
          </w:p>
          <w:p>
            <w:pPr>
              <w:pStyle w:val="45"/>
              <w:kinsoku w:val="0"/>
              <w:overflowPunct w:val="0"/>
              <w:jc w:val="center"/>
              <w:rPr>
                <w:rFonts w:ascii="宋体" w:hAnsi="宋体"/>
                <w:color w:val="auto"/>
                <w:sz w:val="21"/>
                <w:szCs w:val="21"/>
                <w:highlight w:val="none"/>
              </w:rPr>
            </w:pPr>
            <w:r>
              <w:rPr>
                <w:rFonts w:ascii="宋体" w:hAnsi="宋体" w:cs="宋体"/>
                <w:color w:val="auto"/>
                <w:sz w:val="21"/>
                <w:szCs w:val="21"/>
                <w:highlight w:val="none"/>
              </w:rPr>
              <w:t>4</w:t>
            </w:r>
          </w:p>
        </w:tc>
        <w:tc>
          <w:tcPr>
            <w:tcW w:w="2668"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95"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2063"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76" w:type="dxa"/>
            <w:tcBorders>
              <w:top w:val="single" w:color="000000" w:sz="6" w:space="0"/>
              <w:left w:val="single" w:color="000000" w:sz="6" w:space="0"/>
              <w:bottom w:val="single" w:color="000000" w:sz="6"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877" w:hRule="exact"/>
        </w:trPr>
        <w:tc>
          <w:tcPr>
            <w:tcW w:w="876" w:type="dxa"/>
            <w:tcBorders>
              <w:top w:val="single" w:color="000000" w:sz="6" w:space="0"/>
              <w:left w:val="single" w:color="000000" w:sz="4" w:space="0"/>
              <w:bottom w:val="single" w:color="000000" w:sz="6" w:space="0"/>
              <w:right w:val="single" w:color="000000" w:sz="6" w:space="0"/>
            </w:tcBorders>
          </w:tcPr>
          <w:p>
            <w:pPr>
              <w:pStyle w:val="45"/>
              <w:kinsoku w:val="0"/>
              <w:overflowPunct w:val="0"/>
              <w:spacing w:before="13"/>
              <w:rPr>
                <w:rFonts w:ascii="宋体" w:hAnsi="宋体" w:cs="宋体"/>
                <w:color w:val="auto"/>
                <w:sz w:val="21"/>
                <w:szCs w:val="21"/>
                <w:highlight w:val="none"/>
              </w:rPr>
            </w:pPr>
          </w:p>
          <w:p>
            <w:pPr>
              <w:pStyle w:val="45"/>
              <w:kinsoku w:val="0"/>
              <w:overflowPunct w:val="0"/>
              <w:jc w:val="center"/>
              <w:rPr>
                <w:rFonts w:ascii="宋体" w:hAnsi="宋体"/>
                <w:color w:val="auto"/>
                <w:sz w:val="21"/>
                <w:szCs w:val="21"/>
                <w:highlight w:val="none"/>
              </w:rPr>
            </w:pPr>
            <w:r>
              <w:rPr>
                <w:rFonts w:ascii="宋体" w:hAnsi="宋体" w:cs="宋体"/>
                <w:color w:val="auto"/>
                <w:sz w:val="21"/>
                <w:szCs w:val="21"/>
                <w:highlight w:val="none"/>
              </w:rPr>
              <w:t>5</w:t>
            </w:r>
          </w:p>
        </w:tc>
        <w:tc>
          <w:tcPr>
            <w:tcW w:w="2668"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95"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2063" w:type="dxa"/>
            <w:tcBorders>
              <w:top w:val="single" w:color="000000" w:sz="6" w:space="0"/>
              <w:left w:val="single" w:color="000000" w:sz="6" w:space="0"/>
              <w:bottom w:val="single" w:color="000000" w:sz="6" w:space="0"/>
              <w:right w:val="single" w:color="000000" w:sz="6" w:space="0"/>
            </w:tcBorders>
          </w:tcPr>
          <w:p>
            <w:pPr>
              <w:rPr>
                <w:rFonts w:ascii="宋体" w:hAnsi="宋体"/>
                <w:color w:val="auto"/>
                <w:sz w:val="21"/>
                <w:szCs w:val="21"/>
                <w:highlight w:val="none"/>
              </w:rPr>
            </w:pPr>
          </w:p>
        </w:tc>
        <w:tc>
          <w:tcPr>
            <w:tcW w:w="1876" w:type="dxa"/>
            <w:tcBorders>
              <w:top w:val="single" w:color="000000" w:sz="6" w:space="0"/>
              <w:left w:val="single" w:color="000000" w:sz="6" w:space="0"/>
              <w:bottom w:val="single" w:color="000000" w:sz="6" w:space="0"/>
              <w:right w:val="single" w:color="000000" w:sz="4" w:space="0"/>
            </w:tcBorders>
          </w:tcPr>
          <w:p>
            <w:pPr>
              <w:rPr>
                <w:rFonts w:ascii="宋体" w:hAnsi="宋体"/>
                <w:color w:val="auto"/>
                <w:sz w:val="21"/>
                <w:szCs w:val="21"/>
                <w:highlight w:val="none"/>
              </w:rPr>
            </w:pPr>
          </w:p>
        </w:tc>
      </w:tr>
      <w:tr>
        <w:tblPrEx>
          <w:tblCellMar>
            <w:top w:w="0" w:type="dxa"/>
            <w:left w:w="0" w:type="dxa"/>
            <w:bottom w:w="0" w:type="dxa"/>
            <w:right w:w="0" w:type="dxa"/>
          </w:tblCellMar>
        </w:tblPrEx>
        <w:trPr>
          <w:trHeight w:val="873" w:hRule="exact"/>
        </w:trPr>
        <w:tc>
          <w:tcPr>
            <w:tcW w:w="876" w:type="dxa"/>
            <w:tcBorders>
              <w:top w:val="single" w:color="000000" w:sz="6" w:space="0"/>
              <w:left w:val="single" w:color="000000" w:sz="4" w:space="0"/>
              <w:bottom w:val="single" w:color="000000" w:sz="4" w:space="0"/>
              <w:right w:val="single" w:color="000000" w:sz="6" w:space="0"/>
            </w:tcBorders>
          </w:tcPr>
          <w:p>
            <w:pPr>
              <w:pStyle w:val="45"/>
              <w:kinsoku w:val="0"/>
              <w:overflowPunct w:val="0"/>
              <w:spacing w:before="1"/>
              <w:rPr>
                <w:rFonts w:ascii="宋体" w:hAnsi="宋体" w:cs="宋体"/>
                <w:color w:val="auto"/>
                <w:sz w:val="21"/>
                <w:szCs w:val="21"/>
                <w:highlight w:val="none"/>
              </w:rPr>
            </w:pPr>
          </w:p>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w:t>
            </w:r>
          </w:p>
        </w:tc>
        <w:tc>
          <w:tcPr>
            <w:tcW w:w="2668" w:type="dxa"/>
            <w:tcBorders>
              <w:top w:val="single" w:color="000000" w:sz="6" w:space="0"/>
              <w:left w:val="single" w:color="000000" w:sz="6" w:space="0"/>
              <w:bottom w:val="single" w:color="000000" w:sz="4" w:space="0"/>
              <w:right w:val="single" w:color="000000" w:sz="6" w:space="0"/>
            </w:tcBorders>
          </w:tcPr>
          <w:p>
            <w:pPr>
              <w:rPr>
                <w:rFonts w:ascii="宋体" w:hAnsi="宋体"/>
                <w:color w:val="auto"/>
                <w:sz w:val="21"/>
                <w:szCs w:val="21"/>
                <w:highlight w:val="none"/>
              </w:rPr>
            </w:pPr>
          </w:p>
        </w:tc>
        <w:tc>
          <w:tcPr>
            <w:tcW w:w="1895" w:type="dxa"/>
            <w:tcBorders>
              <w:top w:val="single" w:color="000000" w:sz="6" w:space="0"/>
              <w:left w:val="single" w:color="000000" w:sz="6" w:space="0"/>
              <w:bottom w:val="single" w:color="000000" w:sz="4" w:space="0"/>
              <w:right w:val="single" w:color="000000" w:sz="6" w:space="0"/>
            </w:tcBorders>
          </w:tcPr>
          <w:p>
            <w:pPr>
              <w:rPr>
                <w:rFonts w:ascii="宋体" w:hAnsi="宋体"/>
                <w:color w:val="auto"/>
                <w:sz w:val="21"/>
                <w:szCs w:val="21"/>
                <w:highlight w:val="none"/>
              </w:rPr>
            </w:pPr>
          </w:p>
        </w:tc>
        <w:tc>
          <w:tcPr>
            <w:tcW w:w="2063" w:type="dxa"/>
            <w:tcBorders>
              <w:top w:val="single" w:color="000000" w:sz="6" w:space="0"/>
              <w:left w:val="single" w:color="000000" w:sz="6" w:space="0"/>
              <w:bottom w:val="single" w:color="000000" w:sz="4" w:space="0"/>
              <w:right w:val="single" w:color="000000" w:sz="6" w:space="0"/>
            </w:tcBorders>
          </w:tcPr>
          <w:p>
            <w:pPr>
              <w:rPr>
                <w:rFonts w:ascii="宋体" w:hAnsi="宋体"/>
                <w:color w:val="auto"/>
                <w:sz w:val="21"/>
                <w:szCs w:val="21"/>
                <w:highlight w:val="none"/>
              </w:rPr>
            </w:pPr>
          </w:p>
        </w:tc>
        <w:tc>
          <w:tcPr>
            <w:tcW w:w="1876" w:type="dxa"/>
            <w:tcBorders>
              <w:top w:val="single" w:color="000000" w:sz="6" w:space="0"/>
              <w:left w:val="single" w:color="000000" w:sz="6" w:space="0"/>
              <w:bottom w:val="single" w:color="000000" w:sz="4" w:space="0"/>
              <w:right w:val="single" w:color="000000" w:sz="4" w:space="0"/>
            </w:tcBorders>
          </w:tcPr>
          <w:p>
            <w:pPr>
              <w:rPr>
                <w:rFonts w:ascii="宋体" w:hAnsi="宋体"/>
                <w:color w:val="auto"/>
                <w:sz w:val="21"/>
                <w:szCs w:val="21"/>
                <w:highlight w:val="none"/>
              </w:rPr>
            </w:pPr>
          </w:p>
        </w:tc>
      </w:tr>
    </w:tbl>
    <w:p>
      <w:pPr>
        <w:pStyle w:val="11"/>
        <w:kinsoku w:val="0"/>
        <w:overflowPunct w:val="0"/>
        <w:spacing w:before="56" w:line="312" w:lineRule="exact"/>
        <w:ind w:left="660" w:right="650"/>
        <w:rPr>
          <w:rFonts w:hAnsi="宋体"/>
          <w:color w:val="auto"/>
          <w:sz w:val="21"/>
          <w:szCs w:val="21"/>
          <w:highlight w:val="none"/>
        </w:rPr>
      </w:pPr>
      <w:r>
        <w:rPr>
          <w:rFonts w:hint="eastAsia" w:hAnsi="宋体"/>
          <w:color w:val="auto"/>
          <w:sz w:val="21"/>
          <w:szCs w:val="21"/>
          <w:highlight w:val="none"/>
        </w:rPr>
        <w:t>注：</w:t>
      </w:r>
      <w:r>
        <w:rPr>
          <w:rFonts w:hint="eastAsia" w:hAnsi="宋体"/>
          <w:color w:val="auto"/>
          <w:spacing w:val="-3"/>
          <w:sz w:val="21"/>
          <w:szCs w:val="21"/>
          <w:highlight w:val="none"/>
        </w:rPr>
        <w:t>根据评标办法（综合评估法）要求提供相关证明材料。</w:t>
      </w:r>
    </w:p>
    <w:p>
      <w:pPr>
        <w:pStyle w:val="7"/>
        <w:kinsoku w:val="0"/>
        <w:overflowPunct w:val="0"/>
        <w:spacing w:before="0" w:line="355" w:lineRule="exact"/>
        <w:ind w:left="0"/>
        <w:jc w:val="center"/>
        <w:rPr>
          <w:rFonts w:hAnsi="宋体"/>
          <w:color w:val="auto"/>
          <w:highlight w:val="none"/>
        </w:rPr>
      </w:pPr>
      <w:r>
        <w:rPr>
          <w:rFonts w:hAnsi="宋体"/>
          <w:color w:val="auto"/>
          <w:sz w:val="21"/>
          <w:szCs w:val="21"/>
          <w:highlight w:val="none"/>
        </w:rPr>
        <w:br w:type="page"/>
      </w:r>
      <w:r>
        <w:rPr>
          <w:rFonts w:hint="eastAsia" w:hAnsi="宋体"/>
          <w:color w:val="auto"/>
          <w:highlight w:val="none"/>
        </w:rPr>
        <w:t>（三）企业业绩情况表</w:t>
      </w:r>
    </w:p>
    <w:p>
      <w:pPr>
        <w:pStyle w:val="11"/>
        <w:kinsoku w:val="0"/>
        <w:overflowPunct w:val="0"/>
        <w:spacing w:before="1"/>
        <w:ind w:left="0"/>
        <w:rPr>
          <w:rFonts w:hAnsi="宋体"/>
          <w:color w:val="auto"/>
          <w:sz w:val="13"/>
          <w:szCs w:val="13"/>
          <w:highlight w:val="none"/>
        </w:rPr>
      </w:pPr>
    </w:p>
    <w:tbl>
      <w:tblPr>
        <w:tblStyle w:val="23"/>
        <w:tblW w:w="9640" w:type="dxa"/>
        <w:tblInd w:w="0" w:type="dxa"/>
        <w:tblLayout w:type="fixed"/>
        <w:tblCellMar>
          <w:top w:w="0" w:type="dxa"/>
          <w:left w:w="0" w:type="dxa"/>
          <w:bottom w:w="0" w:type="dxa"/>
          <w:right w:w="0" w:type="dxa"/>
        </w:tblCellMar>
      </w:tblPr>
      <w:tblGrid>
        <w:gridCol w:w="3817"/>
        <w:gridCol w:w="5823"/>
      </w:tblGrid>
      <w:tr>
        <w:tblPrEx>
          <w:tblCellMar>
            <w:top w:w="0" w:type="dxa"/>
            <w:left w:w="0" w:type="dxa"/>
            <w:bottom w:w="0" w:type="dxa"/>
            <w:right w:w="0" w:type="dxa"/>
          </w:tblCellMar>
        </w:tblPrEx>
        <w:trPr>
          <w:trHeight w:val="723"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2"/>
              <w:jc w:val="center"/>
              <w:rPr>
                <w:rFonts w:ascii="宋体" w:hAnsi="宋体"/>
                <w:color w:val="auto"/>
                <w:sz w:val="21"/>
                <w:szCs w:val="21"/>
                <w:highlight w:val="none"/>
              </w:rPr>
            </w:pPr>
            <w:r>
              <w:rPr>
                <w:rFonts w:hint="eastAsia" w:ascii="宋体" w:hAnsi="宋体" w:cs="宋体"/>
                <w:color w:val="auto"/>
                <w:sz w:val="21"/>
                <w:szCs w:val="21"/>
                <w:highlight w:val="none"/>
              </w:rPr>
              <w:t>项目名称</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4"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4"/>
              <w:jc w:val="center"/>
              <w:rPr>
                <w:rFonts w:ascii="宋体" w:hAnsi="宋体"/>
                <w:color w:val="auto"/>
                <w:sz w:val="21"/>
                <w:szCs w:val="21"/>
                <w:highlight w:val="none"/>
              </w:rPr>
            </w:pPr>
            <w:r>
              <w:rPr>
                <w:rFonts w:hint="eastAsia" w:ascii="宋体" w:hAnsi="宋体" w:cs="宋体"/>
                <w:color w:val="auto"/>
                <w:sz w:val="21"/>
                <w:szCs w:val="21"/>
                <w:highlight w:val="none"/>
              </w:rPr>
              <w:t>项目所在地</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4"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5"/>
              <w:jc w:val="center"/>
              <w:rPr>
                <w:rFonts w:ascii="宋体" w:hAnsi="宋体"/>
                <w:color w:val="auto"/>
                <w:sz w:val="21"/>
                <w:szCs w:val="21"/>
                <w:highlight w:val="none"/>
              </w:rPr>
            </w:pPr>
            <w:r>
              <w:rPr>
                <w:rFonts w:hint="eastAsia" w:ascii="宋体" w:hAnsi="宋体" w:cs="宋体"/>
                <w:color w:val="auto"/>
                <w:sz w:val="21"/>
                <w:szCs w:val="21"/>
                <w:highlight w:val="none"/>
              </w:rPr>
              <w:t>委托人名称</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3"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3"/>
              <w:jc w:val="center"/>
              <w:rPr>
                <w:rFonts w:ascii="宋体" w:hAnsi="宋体"/>
                <w:color w:val="auto"/>
                <w:sz w:val="21"/>
                <w:szCs w:val="21"/>
                <w:highlight w:val="none"/>
              </w:rPr>
            </w:pPr>
            <w:r>
              <w:rPr>
                <w:rFonts w:hint="eastAsia" w:ascii="宋体" w:hAnsi="宋体" w:cs="宋体"/>
                <w:color w:val="auto"/>
                <w:sz w:val="21"/>
                <w:szCs w:val="21"/>
                <w:highlight w:val="none"/>
              </w:rPr>
              <w:t>委托人地址</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4"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5"/>
              <w:jc w:val="center"/>
              <w:rPr>
                <w:rFonts w:ascii="宋体" w:hAnsi="宋体"/>
                <w:color w:val="auto"/>
                <w:sz w:val="21"/>
                <w:szCs w:val="21"/>
                <w:highlight w:val="none"/>
              </w:rPr>
            </w:pPr>
            <w:r>
              <w:rPr>
                <w:rFonts w:hint="eastAsia" w:ascii="宋体" w:hAnsi="宋体" w:cs="宋体"/>
                <w:color w:val="auto"/>
                <w:sz w:val="21"/>
                <w:szCs w:val="21"/>
                <w:highlight w:val="none"/>
              </w:rPr>
              <w:t>委托人电话</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3"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3"/>
              <w:jc w:val="center"/>
              <w:rPr>
                <w:rFonts w:ascii="宋体" w:hAnsi="宋体"/>
                <w:color w:val="auto"/>
                <w:sz w:val="21"/>
                <w:szCs w:val="21"/>
                <w:highlight w:val="none"/>
              </w:rPr>
            </w:pPr>
            <w:r>
              <w:rPr>
                <w:rFonts w:hint="eastAsia" w:ascii="宋体" w:hAnsi="宋体" w:cs="宋体"/>
                <w:color w:val="auto"/>
                <w:sz w:val="21"/>
                <w:szCs w:val="21"/>
                <w:highlight w:val="none"/>
              </w:rPr>
              <w:t>合同价格</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4"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3"/>
              <w:jc w:val="center"/>
              <w:rPr>
                <w:rFonts w:ascii="宋体" w:hAnsi="宋体"/>
                <w:color w:val="auto"/>
                <w:sz w:val="21"/>
                <w:szCs w:val="21"/>
                <w:highlight w:val="none"/>
              </w:rPr>
            </w:pPr>
            <w:r>
              <w:rPr>
                <w:rFonts w:hint="eastAsia" w:ascii="宋体" w:hAnsi="宋体" w:cs="宋体"/>
                <w:color w:val="auto"/>
                <w:sz w:val="21"/>
                <w:szCs w:val="21"/>
                <w:highlight w:val="none"/>
              </w:rPr>
              <w:t>服务期限</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3"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3"/>
              <w:jc w:val="center"/>
              <w:rPr>
                <w:rFonts w:ascii="宋体" w:hAnsi="宋体"/>
                <w:color w:val="auto"/>
                <w:sz w:val="21"/>
                <w:szCs w:val="21"/>
                <w:highlight w:val="none"/>
              </w:rPr>
            </w:pPr>
            <w:r>
              <w:rPr>
                <w:rFonts w:hint="eastAsia" w:ascii="宋体" w:hAnsi="宋体" w:cs="宋体"/>
                <w:color w:val="auto"/>
                <w:sz w:val="21"/>
                <w:szCs w:val="21"/>
                <w:highlight w:val="none"/>
              </w:rPr>
              <w:t>服务内容</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4"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3"/>
              <w:jc w:val="center"/>
              <w:rPr>
                <w:rFonts w:ascii="宋体" w:hAnsi="宋体"/>
                <w:color w:val="auto"/>
                <w:sz w:val="21"/>
                <w:szCs w:val="21"/>
                <w:highlight w:val="none"/>
              </w:rPr>
            </w:pPr>
            <w:r>
              <w:rPr>
                <w:rFonts w:hint="eastAsia" w:ascii="宋体" w:hAnsi="宋体" w:cs="宋体"/>
                <w:color w:val="auto"/>
                <w:sz w:val="21"/>
                <w:szCs w:val="21"/>
                <w:highlight w:val="none"/>
              </w:rPr>
              <w:t>项目负责人</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84" w:hRule="exact"/>
        </w:trPr>
        <w:tc>
          <w:tcPr>
            <w:tcW w:w="3817"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项目描述</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r>
        <w:tblPrEx>
          <w:tblCellMar>
            <w:top w:w="0" w:type="dxa"/>
            <w:left w:w="0" w:type="dxa"/>
            <w:bottom w:w="0" w:type="dxa"/>
            <w:right w:w="0" w:type="dxa"/>
          </w:tblCellMar>
        </w:tblPrEx>
        <w:trPr>
          <w:trHeight w:val="724" w:hRule="exact"/>
        </w:trPr>
        <w:tc>
          <w:tcPr>
            <w:tcW w:w="3817"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63"/>
              <w:jc w:val="center"/>
              <w:rPr>
                <w:rFonts w:ascii="宋体" w:hAnsi="宋体"/>
                <w:color w:val="auto"/>
                <w:sz w:val="21"/>
                <w:szCs w:val="21"/>
                <w:highlight w:val="none"/>
              </w:rPr>
            </w:pPr>
            <w:r>
              <w:rPr>
                <w:rFonts w:hint="eastAsia" w:ascii="宋体" w:hAnsi="宋体" w:cs="宋体"/>
                <w:color w:val="auto"/>
                <w:sz w:val="21"/>
                <w:szCs w:val="21"/>
                <w:highlight w:val="none"/>
              </w:rPr>
              <w:t>备注</w:t>
            </w:r>
          </w:p>
        </w:tc>
        <w:tc>
          <w:tcPr>
            <w:tcW w:w="5823" w:type="dxa"/>
            <w:tcBorders>
              <w:top w:val="single" w:color="000000" w:sz="4" w:space="0"/>
              <w:left w:val="single" w:color="000000" w:sz="4" w:space="0"/>
              <w:bottom w:val="single" w:color="000000" w:sz="4" w:space="0"/>
              <w:right w:val="single" w:color="000000" w:sz="4" w:space="0"/>
            </w:tcBorders>
            <w:vAlign w:val="center"/>
          </w:tcPr>
          <w:p>
            <w:pPr>
              <w:jc w:val="both"/>
              <w:rPr>
                <w:rFonts w:ascii="宋体" w:hAnsi="宋体"/>
                <w:color w:val="auto"/>
                <w:sz w:val="21"/>
                <w:szCs w:val="21"/>
                <w:highlight w:val="none"/>
              </w:rPr>
            </w:pPr>
          </w:p>
        </w:tc>
      </w:tr>
    </w:tbl>
    <w:p>
      <w:pPr>
        <w:pStyle w:val="11"/>
        <w:kinsoku w:val="0"/>
        <w:overflowPunct w:val="0"/>
        <w:spacing w:before="0"/>
        <w:ind w:left="0"/>
        <w:rPr>
          <w:rFonts w:hAnsi="宋体"/>
          <w:color w:val="auto"/>
          <w:sz w:val="21"/>
          <w:szCs w:val="21"/>
          <w:highlight w:val="none"/>
        </w:rPr>
      </w:pPr>
    </w:p>
    <w:p>
      <w:pPr>
        <w:pStyle w:val="11"/>
        <w:kinsoku w:val="0"/>
        <w:overflowPunct w:val="0"/>
        <w:spacing w:before="26"/>
        <w:ind w:left="440"/>
        <w:rPr>
          <w:rFonts w:hAnsi="宋体"/>
          <w:color w:val="auto"/>
          <w:sz w:val="21"/>
          <w:szCs w:val="21"/>
          <w:highlight w:val="none"/>
        </w:rPr>
      </w:pPr>
      <w:r>
        <w:rPr>
          <w:rFonts w:hint="eastAsia" w:hAnsi="宋体"/>
          <w:color w:val="auto"/>
          <w:sz w:val="21"/>
          <w:szCs w:val="21"/>
          <w:highlight w:val="none"/>
        </w:rPr>
        <w:t>注：每张表格只填写一个项目，并标明序号，后附相关证明材料。</w:t>
      </w:r>
    </w:p>
    <w:p>
      <w:pPr>
        <w:pStyle w:val="11"/>
        <w:kinsoku w:val="0"/>
        <w:overflowPunct w:val="0"/>
        <w:spacing w:before="56" w:line="312" w:lineRule="exact"/>
        <w:ind w:left="660" w:right="650"/>
        <w:rPr>
          <w:rFonts w:hAnsi="宋体"/>
          <w:color w:val="auto"/>
          <w:highlight w:val="none"/>
        </w:rPr>
      </w:pPr>
    </w:p>
    <w:p>
      <w:pPr>
        <w:pStyle w:val="11"/>
        <w:kinsoku w:val="0"/>
        <w:overflowPunct w:val="0"/>
        <w:spacing w:before="56" w:line="312" w:lineRule="exact"/>
        <w:ind w:left="660" w:right="650"/>
        <w:rPr>
          <w:rFonts w:hAnsi="宋体"/>
          <w:color w:val="auto"/>
          <w:highlight w:val="none"/>
        </w:rPr>
        <w:sectPr>
          <w:headerReference r:id="rId4" w:type="default"/>
          <w:footerReference r:id="rId5" w:type="default"/>
          <w:pgSz w:w="11910" w:h="16840"/>
          <w:pgMar w:top="1520" w:right="1140" w:bottom="1100" w:left="1140" w:header="1134" w:footer="567" w:gutter="0"/>
          <w:cols w:equalWidth="0" w:num="1">
            <w:col w:w="9630"/>
          </w:cols>
          <w:docGrid w:linePitch="326" w:charSpace="0"/>
        </w:sectPr>
      </w:pPr>
    </w:p>
    <w:p>
      <w:pPr>
        <w:pStyle w:val="11"/>
        <w:kinsoku w:val="0"/>
        <w:overflowPunct w:val="0"/>
        <w:spacing w:before="0"/>
        <w:ind w:left="0"/>
        <w:rPr>
          <w:rFonts w:hAnsi="宋体"/>
          <w:color w:val="auto"/>
          <w:sz w:val="20"/>
          <w:szCs w:val="20"/>
          <w:highlight w:val="none"/>
        </w:rPr>
      </w:pPr>
    </w:p>
    <w:p>
      <w:pPr>
        <w:pStyle w:val="11"/>
        <w:kinsoku w:val="0"/>
        <w:overflowPunct w:val="0"/>
        <w:spacing w:before="0"/>
        <w:ind w:left="0"/>
        <w:rPr>
          <w:rFonts w:hAnsi="宋体"/>
          <w:color w:val="auto"/>
          <w:sz w:val="20"/>
          <w:szCs w:val="20"/>
          <w:highlight w:val="none"/>
        </w:rPr>
      </w:pPr>
    </w:p>
    <w:p>
      <w:pPr>
        <w:pStyle w:val="11"/>
        <w:kinsoku w:val="0"/>
        <w:overflowPunct w:val="0"/>
        <w:spacing w:before="7"/>
        <w:ind w:left="0"/>
        <w:rPr>
          <w:rFonts w:hAnsi="宋体"/>
          <w:color w:val="auto"/>
          <w:sz w:val="18"/>
          <w:szCs w:val="18"/>
          <w:highlight w:val="none"/>
        </w:rPr>
      </w:pPr>
    </w:p>
    <w:p>
      <w:pPr>
        <w:pStyle w:val="7"/>
        <w:kinsoku w:val="0"/>
        <w:overflowPunct w:val="0"/>
        <w:ind w:left="5539" w:right="5539"/>
        <w:jc w:val="center"/>
        <w:rPr>
          <w:rFonts w:hAnsi="宋体"/>
          <w:color w:val="auto"/>
          <w:highlight w:val="none"/>
        </w:rPr>
      </w:pPr>
      <w:r>
        <w:rPr>
          <w:rFonts w:hint="eastAsia" w:hAnsi="宋体"/>
          <w:color w:val="auto"/>
          <w:highlight w:val="none"/>
        </w:rPr>
        <w:t>（四）项目服务机构人员组成表</w:t>
      </w:r>
    </w:p>
    <w:tbl>
      <w:tblPr>
        <w:tblStyle w:val="23"/>
        <w:tblpPr w:leftFromText="180" w:rightFromText="180" w:vertAnchor="text" w:horzAnchor="page" w:tblpX="1102" w:tblpY="524"/>
        <w:tblOverlap w:val="never"/>
        <w:tblW w:w="14335" w:type="dxa"/>
        <w:tblInd w:w="0" w:type="dxa"/>
        <w:tblLayout w:type="fixed"/>
        <w:tblCellMar>
          <w:top w:w="0" w:type="dxa"/>
          <w:left w:w="0" w:type="dxa"/>
          <w:bottom w:w="0" w:type="dxa"/>
          <w:right w:w="0" w:type="dxa"/>
        </w:tblCellMar>
      </w:tblPr>
      <w:tblGrid>
        <w:gridCol w:w="873"/>
        <w:gridCol w:w="1555"/>
        <w:gridCol w:w="1336"/>
        <w:gridCol w:w="1481"/>
        <w:gridCol w:w="913"/>
        <w:gridCol w:w="955"/>
        <w:gridCol w:w="1345"/>
        <w:gridCol w:w="1695"/>
        <w:gridCol w:w="1418"/>
        <w:gridCol w:w="1607"/>
        <w:gridCol w:w="1157"/>
      </w:tblGrid>
      <w:tr>
        <w:tblPrEx>
          <w:tblCellMar>
            <w:top w:w="0" w:type="dxa"/>
            <w:left w:w="0" w:type="dxa"/>
            <w:bottom w:w="0" w:type="dxa"/>
            <w:right w:w="0" w:type="dxa"/>
          </w:tblCellMar>
        </w:tblPrEx>
        <w:trPr>
          <w:trHeight w:val="510" w:hRule="exact"/>
        </w:trPr>
        <w:tc>
          <w:tcPr>
            <w:tcW w:w="873" w:type="dxa"/>
            <w:vMerge w:val="restart"/>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序号</w:t>
            </w:r>
          </w:p>
        </w:tc>
        <w:tc>
          <w:tcPr>
            <w:tcW w:w="1555" w:type="dxa"/>
            <w:vMerge w:val="restart"/>
            <w:tcBorders>
              <w:top w:val="single" w:color="000000" w:sz="4" w:space="0"/>
              <w:left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r>
              <w:rPr>
                <w:rFonts w:hint="eastAsia" w:ascii="宋体" w:hAnsi="宋体" w:cs="宋体"/>
                <w:color w:val="auto"/>
                <w:sz w:val="21"/>
                <w:szCs w:val="21"/>
                <w:highlight w:val="none"/>
              </w:rPr>
              <w:t>岗位名称</w:t>
            </w:r>
          </w:p>
        </w:tc>
        <w:tc>
          <w:tcPr>
            <w:tcW w:w="1336" w:type="dxa"/>
            <w:vMerge w:val="restart"/>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姓名</w:t>
            </w:r>
          </w:p>
        </w:tc>
        <w:tc>
          <w:tcPr>
            <w:tcW w:w="1481" w:type="dxa"/>
            <w:vMerge w:val="restart"/>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年龄</w:t>
            </w:r>
          </w:p>
        </w:tc>
        <w:tc>
          <w:tcPr>
            <w:tcW w:w="1868" w:type="dxa"/>
            <w:gridSpan w:val="2"/>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职称证</w:t>
            </w:r>
          </w:p>
        </w:tc>
        <w:tc>
          <w:tcPr>
            <w:tcW w:w="1345" w:type="dxa"/>
            <w:vMerge w:val="restart"/>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拟任职务</w:t>
            </w:r>
          </w:p>
        </w:tc>
        <w:tc>
          <w:tcPr>
            <w:tcW w:w="4720" w:type="dxa"/>
            <w:gridSpan w:val="3"/>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执业或职业资格证明</w:t>
            </w:r>
          </w:p>
        </w:tc>
        <w:tc>
          <w:tcPr>
            <w:tcW w:w="1157" w:type="dxa"/>
            <w:vMerge w:val="restart"/>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备注</w:t>
            </w:r>
          </w:p>
        </w:tc>
      </w:tr>
      <w:tr>
        <w:tblPrEx>
          <w:tblCellMar>
            <w:top w:w="0" w:type="dxa"/>
            <w:left w:w="0" w:type="dxa"/>
            <w:bottom w:w="0" w:type="dxa"/>
            <w:right w:w="0" w:type="dxa"/>
          </w:tblCellMar>
        </w:tblPrEx>
        <w:trPr>
          <w:trHeight w:val="510" w:hRule="exact"/>
        </w:trPr>
        <w:tc>
          <w:tcPr>
            <w:tcW w:w="873" w:type="dxa"/>
            <w:vMerge w:val="continue"/>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c>
          <w:tcPr>
            <w:tcW w:w="1555" w:type="dxa"/>
            <w:vMerge w:val="continue"/>
            <w:tcBorders>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c>
          <w:tcPr>
            <w:tcW w:w="1336" w:type="dxa"/>
            <w:vMerge w:val="continue"/>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c>
          <w:tcPr>
            <w:tcW w:w="1481" w:type="dxa"/>
            <w:vMerge w:val="continue"/>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c>
          <w:tcPr>
            <w:tcW w:w="913"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专业</w:t>
            </w: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等级</w:t>
            </w:r>
          </w:p>
        </w:tc>
        <w:tc>
          <w:tcPr>
            <w:tcW w:w="1345" w:type="dxa"/>
            <w:vMerge w:val="continue"/>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证书名称</w:t>
            </w: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证号</w:t>
            </w:r>
          </w:p>
        </w:tc>
        <w:tc>
          <w:tcPr>
            <w:tcW w:w="1607"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rPr>
              <w:t>专业</w:t>
            </w:r>
          </w:p>
        </w:tc>
        <w:tc>
          <w:tcPr>
            <w:tcW w:w="1157" w:type="dxa"/>
            <w:vMerge w:val="continue"/>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r>
      <w:tr>
        <w:tblPrEx>
          <w:tblCellMar>
            <w:top w:w="0" w:type="dxa"/>
            <w:left w:w="0" w:type="dxa"/>
            <w:bottom w:w="0" w:type="dxa"/>
            <w:right w:w="0" w:type="dxa"/>
          </w:tblCellMar>
        </w:tblPrEx>
        <w:trPr>
          <w:trHeight w:val="510" w:hRule="exact"/>
        </w:trPr>
        <w:tc>
          <w:tcPr>
            <w:tcW w:w="873"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1555" w:type="dxa"/>
            <w:tcBorders>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color w:val="auto"/>
                <w:sz w:val="21"/>
                <w:szCs w:val="21"/>
                <w:highlight w:val="none"/>
              </w:rPr>
              <w:t>监理团队</w:t>
            </w:r>
          </w:p>
        </w:tc>
        <w:tc>
          <w:tcPr>
            <w:tcW w:w="1336"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c>
          <w:tcPr>
            <w:tcW w:w="913"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olor w:val="auto"/>
                <w:sz w:val="21"/>
                <w:szCs w:val="21"/>
                <w:highlight w:val="none"/>
                <w:lang w:val="en-US" w:eastAsia="zh-CN"/>
              </w:rPr>
              <w:t>项目</w:t>
            </w:r>
            <w:r>
              <w:rPr>
                <w:rFonts w:hint="eastAsia" w:ascii="宋体" w:hAnsi="宋体"/>
                <w:color w:val="auto"/>
                <w:sz w:val="21"/>
                <w:szCs w:val="21"/>
                <w:highlight w:val="none"/>
              </w:rPr>
              <w:t>负责人</w:t>
            </w:r>
          </w:p>
        </w:tc>
        <w:tc>
          <w:tcPr>
            <w:tcW w:w="169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p>
        </w:tc>
        <w:tc>
          <w:tcPr>
            <w:tcW w:w="1607"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p>
        </w:tc>
      </w:tr>
      <w:tr>
        <w:tblPrEx>
          <w:tblCellMar>
            <w:top w:w="0" w:type="dxa"/>
            <w:left w:w="0" w:type="dxa"/>
            <w:bottom w:w="0" w:type="dxa"/>
            <w:right w:w="0" w:type="dxa"/>
          </w:tblCellMar>
        </w:tblPrEx>
        <w:trPr>
          <w:trHeight w:val="510" w:hRule="exact"/>
        </w:trPr>
        <w:tc>
          <w:tcPr>
            <w:tcW w:w="873"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.1</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1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6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r>
      <w:tr>
        <w:tblPrEx>
          <w:tblCellMar>
            <w:top w:w="0" w:type="dxa"/>
            <w:left w:w="0" w:type="dxa"/>
            <w:bottom w:w="0" w:type="dxa"/>
            <w:right w:w="0" w:type="dxa"/>
          </w:tblCellMar>
        </w:tblPrEx>
        <w:trPr>
          <w:trHeight w:val="510" w:hRule="exact"/>
        </w:trPr>
        <w:tc>
          <w:tcPr>
            <w:tcW w:w="873"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hint="eastAsia" w:ascii="宋体" w:hAnsi="宋体" w:eastAsia="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r>
              <w:rPr>
                <w:color w:val="auto"/>
                <w:sz w:val="21"/>
                <w:szCs w:val="21"/>
                <w:highlight w:val="none"/>
              </w:rPr>
              <w:t>造价团队</w:t>
            </w:r>
          </w:p>
        </w:tc>
        <w:tc>
          <w:tcPr>
            <w:tcW w:w="1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1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r>
              <w:rPr>
                <w:rFonts w:hint="eastAsia" w:ascii="宋体" w:hAnsi="宋体"/>
                <w:color w:val="auto"/>
                <w:sz w:val="21"/>
                <w:szCs w:val="21"/>
                <w:highlight w:val="none"/>
              </w:rPr>
              <w:t>造价负责人</w:t>
            </w:r>
          </w:p>
        </w:tc>
        <w:tc>
          <w:tcPr>
            <w:tcW w:w="16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6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r>
      <w:tr>
        <w:tblPrEx>
          <w:tblCellMar>
            <w:top w:w="0" w:type="dxa"/>
            <w:left w:w="0" w:type="dxa"/>
            <w:bottom w:w="0" w:type="dxa"/>
            <w:right w:w="0" w:type="dxa"/>
          </w:tblCellMar>
        </w:tblPrEx>
        <w:trPr>
          <w:trHeight w:val="510" w:hRule="exact"/>
        </w:trPr>
        <w:tc>
          <w:tcPr>
            <w:tcW w:w="873"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.1</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1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6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r>
      <w:tr>
        <w:tblPrEx>
          <w:tblCellMar>
            <w:top w:w="0" w:type="dxa"/>
            <w:left w:w="0" w:type="dxa"/>
            <w:bottom w:w="0" w:type="dxa"/>
            <w:right w:w="0" w:type="dxa"/>
          </w:tblCellMar>
        </w:tblPrEx>
        <w:trPr>
          <w:trHeight w:val="510" w:hRule="exact"/>
        </w:trPr>
        <w:tc>
          <w:tcPr>
            <w:tcW w:w="873"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555" w:type="dxa"/>
            <w:tcBorders>
              <w:top w:val="single" w:color="000000" w:sz="4" w:space="0"/>
              <w:left w:val="single" w:color="000000" w:sz="4" w:space="0"/>
              <w:bottom w:val="single" w:color="000000" w:sz="4" w:space="0"/>
              <w:right w:val="single" w:color="000000" w:sz="4" w:space="0"/>
            </w:tcBorders>
            <w:vAlign w:val="center"/>
          </w:tcPr>
          <w:p>
            <w:pPr>
              <w:pStyle w:val="45"/>
              <w:kinsoku w:val="0"/>
              <w:overflowPunct w:val="0"/>
              <w:jc w:val="center"/>
              <w:rPr>
                <w:rFonts w:ascii="宋体" w:hAnsi="宋体" w:cs="宋体"/>
                <w:color w:val="auto"/>
                <w:sz w:val="21"/>
                <w:szCs w:val="21"/>
                <w:highlight w:val="none"/>
              </w:rPr>
            </w:pPr>
            <w:r>
              <w:rPr>
                <w:rFonts w:hint="eastAsia" w:ascii="宋体" w:hAnsi="宋体" w:cs="宋体"/>
                <w:color w:val="auto"/>
                <w:sz w:val="21"/>
                <w:szCs w:val="21"/>
                <w:highlight w:val="none"/>
              </w:rPr>
              <w:t>……</w:t>
            </w:r>
          </w:p>
        </w:tc>
        <w:tc>
          <w:tcPr>
            <w:tcW w:w="133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1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95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34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60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olor w:val="auto"/>
                <w:sz w:val="21"/>
                <w:szCs w:val="21"/>
                <w:highlight w:val="none"/>
              </w:rPr>
            </w:pPr>
          </w:p>
        </w:tc>
      </w:tr>
    </w:tbl>
    <w:p>
      <w:pPr>
        <w:pStyle w:val="11"/>
        <w:kinsoku w:val="0"/>
        <w:overflowPunct w:val="0"/>
        <w:spacing w:before="1"/>
        <w:ind w:left="0"/>
        <w:rPr>
          <w:rFonts w:hAnsi="宋体"/>
          <w:color w:val="auto"/>
          <w:sz w:val="13"/>
          <w:szCs w:val="13"/>
          <w:highlight w:val="none"/>
        </w:rPr>
      </w:pPr>
    </w:p>
    <w:p>
      <w:pPr>
        <w:pStyle w:val="11"/>
        <w:kinsoku w:val="0"/>
        <w:overflowPunct w:val="0"/>
        <w:spacing w:before="56" w:line="312" w:lineRule="exact"/>
        <w:ind w:left="660" w:right="650"/>
        <w:rPr>
          <w:rFonts w:hAnsi="宋体"/>
          <w:color w:val="auto"/>
          <w:sz w:val="21"/>
          <w:szCs w:val="21"/>
          <w:highlight w:val="none"/>
        </w:rPr>
      </w:pPr>
      <w:r>
        <w:rPr>
          <w:rFonts w:hint="eastAsia" w:hAnsi="宋体"/>
          <w:color w:val="auto"/>
          <w:sz w:val="21"/>
          <w:szCs w:val="21"/>
          <w:highlight w:val="none"/>
        </w:rPr>
        <w:t>注：</w:t>
      </w:r>
      <w:r>
        <w:rPr>
          <w:rFonts w:hint="eastAsia" w:hAnsi="宋体"/>
          <w:color w:val="auto"/>
          <w:spacing w:val="-3"/>
          <w:sz w:val="21"/>
          <w:szCs w:val="21"/>
          <w:highlight w:val="none"/>
        </w:rPr>
        <w:t>根据评标办法（综合评估法）要求提供相关证明材料，格式自拟。</w:t>
      </w:r>
    </w:p>
    <w:p>
      <w:pPr>
        <w:pStyle w:val="11"/>
        <w:kinsoku w:val="0"/>
        <w:overflowPunct w:val="0"/>
        <w:spacing w:before="0" w:line="275" w:lineRule="exact"/>
        <w:ind w:left="540"/>
        <w:jc w:val="both"/>
        <w:rPr>
          <w:rFonts w:hAnsi="宋体"/>
          <w:color w:val="auto"/>
          <w:highlight w:val="none"/>
        </w:rPr>
      </w:pPr>
    </w:p>
    <w:p>
      <w:pPr>
        <w:pStyle w:val="11"/>
        <w:kinsoku w:val="0"/>
        <w:overflowPunct w:val="0"/>
        <w:spacing w:before="0"/>
        <w:ind w:left="0"/>
        <w:rPr>
          <w:rFonts w:hAnsi="宋体"/>
          <w:color w:val="auto"/>
          <w:sz w:val="20"/>
          <w:szCs w:val="20"/>
          <w:highlight w:val="none"/>
        </w:rPr>
      </w:pPr>
    </w:p>
    <w:p>
      <w:pPr>
        <w:pStyle w:val="11"/>
        <w:kinsoku w:val="0"/>
        <w:overflowPunct w:val="0"/>
        <w:spacing w:before="26"/>
        <w:ind w:right="5539"/>
        <w:rPr>
          <w:rFonts w:hAnsi="宋体" w:cs="仿宋"/>
          <w:color w:val="auto"/>
          <w:highlight w:val="none"/>
        </w:rPr>
      </w:pPr>
    </w:p>
    <w:p>
      <w:pPr>
        <w:pStyle w:val="11"/>
        <w:kinsoku w:val="0"/>
        <w:overflowPunct w:val="0"/>
        <w:spacing w:before="26"/>
        <w:ind w:left="5494" w:right="5539"/>
        <w:jc w:val="center"/>
        <w:rPr>
          <w:rFonts w:hAnsi="宋体" w:cs="仿宋"/>
          <w:color w:val="auto"/>
          <w:highlight w:val="none"/>
        </w:rPr>
        <w:sectPr>
          <w:pgSz w:w="16840" w:h="11910" w:orient="landscape"/>
          <w:pgMar w:top="1100" w:right="900" w:bottom="280" w:left="900" w:header="0" w:footer="567" w:gutter="0"/>
          <w:cols w:equalWidth="0" w:num="1">
            <w:col w:w="15040"/>
          </w:cols>
          <w:docGrid w:linePitch="326" w:charSpace="0"/>
        </w:sectPr>
      </w:pPr>
    </w:p>
    <w:p>
      <w:pPr>
        <w:pStyle w:val="5"/>
        <w:jc w:val="center"/>
        <w:rPr>
          <w:rFonts w:hAnsi="宋体"/>
          <w:color w:val="auto"/>
          <w:highlight w:val="none"/>
        </w:rPr>
      </w:pPr>
      <w:bookmarkStart w:id="564" w:name="_Toc71855317"/>
      <w:bookmarkStart w:id="565" w:name="_Toc71854400"/>
      <w:bookmarkStart w:id="566" w:name="_Toc71855004"/>
      <w:bookmarkStart w:id="567" w:name="_Toc103022843"/>
      <w:bookmarkStart w:id="568" w:name="_Toc102907954"/>
      <w:bookmarkStart w:id="569" w:name="_Toc71855662"/>
      <w:r>
        <w:rPr>
          <w:rFonts w:hint="eastAsia" w:hAnsi="宋体"/>
          <w:color w:val="auto"/>
          <w:highlight w:val="none"/>
        </w:rPr>
        <w:t>六、技术方案</w:t>
      </w:r>
      <w:bookmarkEnd w:id="564"/>
      <w:bookmarkEnd w:id="565"/>
      <w:bookmarkEnd w:id="566"/>
      <w:bookmarkEnd w:id="567"/>
      <w:bookmarkEnd w:id="568"/>
      <w:bookmarkEnd w:id="569"/>
    </w:p>
    <w:p>
      <w:pPr>
        <w:pStyle w:val="11"/>
        <w:kinsoku w:val="0"/>
        <w:overflowPunct w:val="0"/>
        <w:spacing w:before="0"/>
        <w:ind w:left="0"/>
        <w:rPr>
          <w:rFonts w:hAnsi="宋体"/>
          <w:color w:val="auto"/>
          <w:sz w:val="36"/>
          <w:szCs w:val="36"/>
          <w:highlight w:val="none"/>
        </w:rPr>
      </w:pPr>
    </w:p>
    <w:p>
      <w:pPr>
        <w:pStyle w:val="11"/>
        <w:kinsoku w:val="0"/>
        <w:overflowPunct w:val="0"/>
        <w:spacing w:before="0" w:line="477" w:lineRule="auto"/>
        <w:ind w:left="120" w:right="45"/>
        <w:rPr>
          <w:rFonts w:hAnsi="宋体"/>
          <w:color w:val="auto"/>
          <w:highlight w:val="none"/>
        </w:rPr>
      </w:pPr>
      <w:r>
        <w:rPr>
          <w:rFonts w:hAnsi="宋体"/>
          <w:color w:val="auto"/>
          <w:highlight w:val="none"/>
        </w:rPr>
        <w:br w:type="page"/>
      </w:r>
    </w:p>
    <w:p>
      <w:pPr>
        <w:pStyle w:val="5"/>
        <w:jc w:val="center"/>
        <w:rPr>
          <w:rFonts w:hAnsi="宋体"/>
          <w:color w:val="auto"/>
          <w:highlight w:val="none"/>
        </w:rPr>
      </w:pPr>
      <w:bookmarkStart w:id="570" w:name="_Toc102907955"/>
      <w:bookmarkStart w:id="571" w:name="_Toc71854401"/>
      <w:bookmarkStart w:id="572" w:name="_Toc71855005"/>
      <w:bookmarkStart w:id="573" w:name="_Toc103022844"/>
      <w:bookmarkStart w:id="574" w:name="_Toc71855318"/>
      <w:bookmarkStart w:id="575" w:name="_Toc71855663"/>
      <w:r>
        <w:rPr>
          <w:rFonts w:hint="eastAsia" w:hAnsi="宋体"/>
          <w:color w:val="auto"/>
          <w:highlight w:val="none"/>
        </w:rPr>
        <w:t>七、其他资料</w:t>
      </w:r>
      <w:bookmarkEnd w:id="570"/>
      <w:bookmarkEnd w:id="571"/>
      <w:bookmarkEnd w:id="572"/>
      <w:bookmarkEnd w:id="573"/>
      <w:bookmarkEnd w:id="574"/>
      <w:bookmarkEnd w:id="575"/>
    </w:p>
    <w:p>
      <w:pPr>
        <w:rPr>
          <w:rFonts w:ascii="宋体" w:hAnsi="宋体"/>
          <w:color w:val="auto"/>
          <w:highlight w:val="none"/>
        </w:rPr>
      </w:pPr>
    </w:p>
    <w:p>
      <w:pPr>
        <w:rPr>
          <w:color w:val="auto"/>
          <w:highlight w:val="none"/>
        </w:rPr>
      </w:pPr>
    </w:p>
    <w:sectPr>
      <w:pgSz w:w="11910" w:h="16840"/>
      <w:pgMar w:top="1480" w:right="960" w:bottom="1320" w:left="960" w:header="0" w:footer="1121" w:gutter="0"/>
      <w:cols w:equalWidth="0" w:num="1">
        <w:col w:w="999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martSimSun">
    <w:altName w:val="@宋体"/>
    <w:panose1 w:val="00000000000000000000"/>
    <w:charset w:val="86"/>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auto"/>
    <w:pitch w:val="default"/>
    <w:sig w:usb0="E00006FF" w:usb1="420024FF" w:usb2="02000000" w:usb3="00000000" w:csb0="2000019F" w:csb1="00000000"/>
  </w:font>
  <w:font w:name="@宋体">
    <w:panose1 w:val="02010600030101010101"/>
    <w:charset w:val="86"/>
    <w:family w:val="auto"/>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cs="宋体"/>
        <w:sz w:val="21"/>
        <w:szCs w:val="21"/>
      </w:rPr>
    </w:pPr>
    <w:r>
      <w:rPr>
        <w:sz w:val="21"/>
      </w:rPr>
      <mc:AlternateContent>
        <mc:Choice Requires="wps">
          <w:drawing>
            <wp:anchor distT="0" distB="0" distL="0" distR="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5"/>
                            <w:rPr>
                              <w:rFonts w:cs="宋体"/>
                              <w:sz w:val="21"/>
                              <w:szCs w:val="21"/>
                            </w:rPr>
                          </w:pPr>
                          <w:r>
                            <w:rPr>
                              <w:rFonts w:hint="eastAsia" w:cs="宋体"/>
                              <w:sz w:val="21"/>
                              <w:szCs w:val="21"/>
                            </w:rPr>
                            <w:t xml:space="preserve">— </w:t>
                          </w:r>
                          <w:r>
                            <w:rPr>
                              <w:rFonts w:hint="eastAsia" w:cs="宋体"/>
                              <w:sz w:val="21"/>
                              <w:szCs w:val="21"/>
                            </w:rPr>
                            <w:fldChar w:fldCharType="begin"/>
                          </w:r>
                          <w:r>
                            <w:rPr>
                              <w:rFonts w:hint="eastAsia" w:cs="宋体"/>
                              <w:sz w:val="21"/>
                              <w:szCs w:val="21"/>
                            </w:rPr>
                            <w:instrText xml:space="preserve"> PAGE  \* MERGEFORMAT </w:instrText>
                          </w:r>
                          <w:r>
                            <w:rPr>
                              <w:rFonts w:hint="eastAsia" w:cs="宋体"/>
                              <w:sz w:val="21"/>
                              <w:szCs w:val="21"/>
                            </w:rPr>
                            <w:fldChar w:fldCharType="separate"/>
                          </w:r>
                          <w:r>
                            <w:rPr>
                              <w:rFonts w:hint="eastAsia" w:cs="宋体"/>
                              <w:sz w:val="21"/>
                              <w:szCs w:val="21"/>
                            </w:rPr>
                            <w:t>I</w:t>
                          </w:r>
                          <w:r>
                            <w:rPr>
                              <w:rFonts w:hint="eastAsia" w:cs="宋体"/>
                              <w:sz w:val="21"/>
                              <w:szCs w:val="21"/>
                            </w:rPr>
                            <w:fldChar w:fldCharType="end"/>
                          </w:r>
                          <w:r>
                            <w:rPr>
                              <w:rFonts w:hint="eastAsia" w:cs="宋体"/>
                              <w:sz w:val="21"/>
                              <w:szCs w:val="21"/>
                            </w:rPr>
                            <w:t xml:space="preserve"> —</w:t>
                          </w:r>
                        </w:p>
                      </w:txbxContent>
                    </wps:txbx>
                    <wps:bodyPr vert="horz" wrap="none" lIns="0" tIns="0" rIns="0" bIns="0" anchor="t">
                      <a:spAutoFit/>
                    </wps:bodyPr>
                  </wps:wsp>
                </a:graphicData>
              </a:graphic>
            </wp:anchor>
          </w:drawing>
        </mc:Choice>
        <mc:Fallback>
          <w:pict>
            <v:rect id="文本框 31" o:spid="_x0000_s1026" o:spt="1"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vRBraswBAACTAwAADgAAAAAAAAABACAAAAAfAQAAZHJzL2Uy&#10;b0RvYy54bWxQSwUGAAAAAAYABgBZAQAAXQUAAAAA&#10;">
              <v:fill on="f" focussize="0,0"/>
              <v:stroke on="f"/>
              <v:imagedata o:title=""/>
              <o:lock v:ext="edit" aspectratio="f"/>
              <v:textbox inset="0mm,0mm,0mm,0mm" style="mso-fit-shape-to-text:t;">
                <w:txbxContent>
                  <w:p>
                    <w:pPr>
                      <w:pStyle w:val="15"/>
                      <w:rPr>
                        <w:rFonts w:cs="宋体"/>
                        <w:sz w:val="21"/>
                        <w:szCs w:val="21"/>
                      </w:rPr>
                    </w:pPr>
                    <w:r>
                      <w:rPr>
                        <w:rFonts w:hint="eastAsia" w:cs="宋体"/>
                        <w:sz w:val="21"/>
                        <w:szCs w:val="21"/>
                      </w:rPr>
                      <w:t xml:space="preserve">— </w:t>
                    </w:r>
                    <w:r>
                      <w:rPr>
                        <w:rFonts w:hint="eastAsia" w:cs="宋体"/>
                        <w:sz w:val="21"/>
                        <w:szCs w:val="21"/>
                      </w:rPr>
                      <w:fldChar w:fldCharType="begin"/>
                    </w:r>
                    <w:r>
                      <w:rPr>
                        <w:rFonts w:hint="eastAsia" w:cs="宋体"/>
                        <w:sz w:val="21"/>
                        <w:szCs w:val="21"/>
                      </w:rPr>
                      <w:instrText xml:space="preserve"> PAGE  \* MERGEFORMAT </w:instrText>
                    </w:r>
                    <w:r>
                      <w:rPr>
                        <w:rFonts w:hint="eastAsia" w:cs="宋体"/>
                        <w:sz w:val="21"/>
                        <w:szCs w:val="21"/>
                      </w:rPr>
                      <w:fldChar w:fldCharType="separate"/>
                    </w:r>
                    <w:r>
                      <w:rPr>
                        <w:rFonts w:hint="eastAsia" w:cs="宋体"/>
                        <w:sz w:val="21"/>
                        <w:szCs w:val="21"/>
                      </w:rPr>
                      <w:t>I</w:t>
                    </w:r>
                    <w:r>
                      <w:rPr>
                        <w:rFonts w:hint="eastAsia" w:cs="宋体"/>
                        <w:sz w:val="21"/>
                        <w:szCs w:val="21"/>
                      </w:rPr>
                      <w:fldChar w:fldCharType="end"/>
                    </w:r>
                    <w:r>
                      <w:rPr>
                        <w:rFonts w:hint="eastAsia" w:cs="宋体"/>
                        <w:sz w:val="21"/>
                        <w:szCs w:val="21"/>
                      </w:rP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09D814"/>
    <w:multiLevelType w:val="singleLevel"/>
    <w:tmpl w:val="E009D814"/>
    <w:lvl w:ilvl="0" w:tentative="0">
      <w:start w:val="1"/>
      <w:numFmt w:val="chineseCounting"/>
      <w:suff w:val="nothing"/>
      <w:lvlText w:val="%1、"/>
      <w:lvlJc w:val="left"/>
      <w:rPr>
        <w:rFonts w:hint="eastAsia"/>
      </w:rPr>
    </w:lvl>
  </w:abstractNum>
  <w:abstractNum w:abstractNumId="1">
    <w:nsid w:val="F9A0EEA7"/>
    <w:multiLevelType w:val="singleLevel"/>
    <w:tmpl w:val="F9A0EEA7"/>
    <w:lvl w:ilvl="0" w:tentative="0">
      <w:start w:val="1"/>
      <w:numFmt w:val="chineseCounting"/>
      <w:suff w:val="nothing"/>
      <w:lvlText w:val="%1、"/>
      <w:lvlJc w:val="left"/>
      <w:rPr>
        <w:rFonts w:hint="eastAsia"/>
      </w:rPr>
    </w:lvl>
  </w:abstractNum>
  <w:abstractNum w:abstractNumId="2">
    <w:nsid w:val="00000001"/>
    <w:multiLevelType w:val="singleLevel"/>
    <w:tmpl w:val="00000001"/>
    <w:lvl w:ilvl="0" w:tentative="0">
      <w:start w:val="4"/>
      <w:numFmt w:val="chineseCounting"/>
      <w:suff w:val="nothing"/>
      <w:lvlText w:val="%1、"/>
      <w:lvlJc w:val="left"/>
      <w:rPr>
        <w:rFonts w:hint="eastAsia"/>
      </w:rPr>
    </w:lvl>
  </w:abstractNum>
  <w:abstractNum w:abstractNumId="3">
    <w:nsid w:val="00000002"/>
    <w:multiLevelType w:val="multilevel"/>
    <w:tmpl w:val="00000002"/>
    <w:lvl w:ilvl="0" w:tentative="0">
      <w:start w:val="1"/>
      <w:numFmt w:val="decimal"/>
      <w:pStyle w:val="43"/>
      <w:lvlText w:val="第%1条"/>
      <w:lvlJc w:val="left"/>
      <w:pPr>
        <w:ind w:left="0" w:firstLine="0"/>
      </w:pPr>
    </w:lvl>
    <w:lvl w:ilvl="1" w:tentative="0">
      <w:start w:val="1"/>
      <w:numFmt w:val="decimal"/>
      <w:lvlText w:val="%1.%2"/>
      <w:lvlJc w:val="left"/>
      <w:pPr>
        <w:ind w:left="992" w:hanging="567"/>
      </w:pPr>
    </w:lvl>
    <w:lvl w:ilvl="2" w:tentative="0">
      <w:start w:val="1"/>
      <w:numFmt w:val="decimal"/>
      <w:lvlText w:val="%1.%2.%3"/>
      <w:lvlJc w:val="left"/>
      <w:pPr>
        <w:ind w:left="2836"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4">
    <w:nsid w:val="00000003"/>
    <w:multiLevelType w:val="multilevel"/>
    <w:tmpl w:val="00000003"/>
    <w:lvl w:ilvl="0" w:tentative="0">
      <w:start w:val="1"/>
      <w:numFmt w:val="decimal"/>
      <w:pStyle w:val="44"/>
      <w:lvlText w:val="附件%1"/>
      <w:lvlJc w:val="left"/>
      <w:pPr>
        <w:ind w:left="420" w:hanging="420"/>
      </w:pPr>
      <w:rPr>
        <w:rFonts w:hint="default"/>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4"/>
    <w:multiLevelType w:val="multilevel"/>
    <w:tmpl w:val="00000004"/>
    <w:lvl w:ilvl="0" w:tentative="0">
      <w:start w:val="1"/>
      <w:numFmt w:val="decimal"/>
      <w:pStyle w:val="39"/>
      <w:lvlText w:val="第%1条"/>
      <w:lvlJc w:val="left"/>
      <w:pPr>
        <w:ind w:left="0" w:firstLine="0"/>
      </w:pPr>
      <w:rPr>
        <w:rFonts w:hint="default"/>
        <w:sz w:val="28"/>
        <w:szCs w:val="28"/>
      </w:rPr>
    </w:lvl>
    <w:lvl w:ilvl="1" w:tentative="0">
      <w:start w:val="1"/>
      <w:numFmt w:val="decimal"/>
      <w:pStyle w:val="40"/>
      <w:lvlText w:val="%1.%2"/>
      <w:lvlJc w:val="left"/>
      <w:pPr>
        <w:ind w:left="0" w:firstLine="0"/>
      </w:pPr>
      <w:rPr>
        <w:rFonts w:hint="default" w:ascii="宋体" w:hAnsi="宋体" w:eastAsia="宋体" w:cs="宋体"/>
        <w:sz w:val="24"/>
        <w:szCs w:val="24"/>
      </w:rPr>
    </w:lvl>
    <w:lvl w:ilvl="2" w:tentative="0">
      <w:start w:val="1"/>
      <w:numFmt w:val="decimal"/>
      <w:pStyle w:val="41"/>
      <w:lvlText w:val="%1.%2.%3"/>
      <w:lvlJc w:val="left"/>
      <w:pPr>
        <w:ind w:left="426" w:firstLine="0"/>
      </w:pPr>
      <w:rPr>
        <w:rFonts w:hint="default" w:ascii="宋体" w:hAnsi="宋体" w:eastAsia="宋体" w:cs="宋体"/>
        <w:sz w:val="24"/>
        <w:szCs w:val="24"/>
      </w:rPr>
    </w:lvl>
    <w:lvl w:ilvl="3" w:tentative="0">
      <w:start w:val="1"/>
      <w:numFmt w:val="decimal"/>
      <w:pStyle w:val="42"/>
      <w:lvlText w:val="（%4）"/>
      <w:lvlJc w:val="left"/>
      <w:pPr>
        <w:ind w:left="1135"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6">
    <w:nsid w:val="00000005"/>
    <w:multiLevelType w:val="multilevel"/>
    <w:tmpl w:val="00000005"/>
    <w:lvl w:ilvl="0" w:tentative="0">
      <w:start w:val="1"/>
      <w:numFmt w:val="decimal"/>
      <w:lvlText w:val="%1."/>
      <w:lvlJc w:val="left"/>
      <w:rPr>
        <w:rFonts w:cs="Times New Roman"/>
      </w:rPr>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06"/>
    <w:multiLevelType w:val="multilevel"/>
    <w:tmpl w:val="00000006"/>
    <w:lvl w:ilvl="0" w:tentative="0">
      <w:start w:val="1"/>
      <w:numFmt w:val="chineseCountingThousand"/>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07"/>
    <w:multiLevelType w:val="multilevel"/>
    <w:tmpl w:val="00000007"/>
    <w:lvl w:ilvl="0" w:tentative="0">
      <w:start w:val="4"/>
      <w:numFmt w:val="decimal"/>
      <w:lvlText w:val="%1."/>
      <w:lvlJc w:val="left"/>
      <w:rPr>
        <w:rFonts w:cs="Times New Roman"/>
      </w:rPr>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08"/>
    <w:multiLevelType w:val="multilevel"/>
    <w:tmpl w:val="00000008"/>
    <w:lvl w:ilvl="0" w:tentative="0">
      <w:start w:val="5"/>
      <w:numFmt w:val="decimal"/>
      <w:lvlText w:val="%1."/>
      <w:lvlJc w:val="left"/>
      <w:rPr>
        <w:rFonts w:cs="Times New Roman"/>
      </w:rPr>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09"/>
    <w:multiLevelType w:val="multilevel"/>
    <w:tmpl w:val="00000009"/>
    <w:lvl w:ilvl="0" w:tentative="0">
      <w:start w:val="6"/>
      <w:numFmt w:val="decimal"/>
      <w:lvlText w:val="%1."/>
      <w:lvlJc w:val="left"/>
      <w:rPr>
        <w:rFonts w:cs="Times New Roman"/>
      </w:rPr>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0A"/>
    <w:multiLevelType w:val="multilevel"/>
    <w:tmpl w:val="0000000A"/>
    <w:lvl w:ilvl="0" w:tentative="0">
      <w:start w:val="7"/>
      <w:numFmt w:val="decimal"/>
      <w:lvlText w:val="%1."/>
      <w:lvlJc w:val="left"/>
      <w:rPr>
        <w:rFonts w:cs="Times New Roman"/>
      </w:rPr>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0B"/>
    <w:multiLevelType w:val="multilevel"/>
    <w:tmpl w:val="0000000B"/>
    <w:lvl w:ilvl="0" w:tentative="0">
      <w:start w:val="9"/>
      <w:numFmt w:val="decimal"/>
      <w:lvlText w:val="%1."/>
      <w:lvlJc w:val="left"/>
      <w:rPr>
        <w:rFonts w:cs="Times New Roman"/>
      </w:rPr>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0C"/>
    <w:multiLevelType w:val="singleLevel"/>
    <w:tmpl w:val="0000000C"/>
    <w:lvl w:ilvl="0" w:tentative="0">
      <w:start w:val="1"/>
      <w:numFmt w:val="decimal"/>
      <w:suff w:val="nothing"/>
      <w:lvlText w:val="%1、"/>
      <w:lvlJc w:val="left"/>
    </w:lvl>
  </w:abstractNum>
  <w:abstractNum w:abstractNumId="14">
    <w:nsid w:val="0000000D"/>
    <w:multiLevelType w:val="multilevel"/>
    <w:tmpl w:val="0000000D"/>
    <w:lvl w:ilvl="0" w:tentative="0">
      <w:start w:val="1"/>
      <w:numFmt w:val="chineseCounting"/>
      <w:pStyle w:val="38"/>
      <w:suff w:val="nothing"/>
      <w:lvlText w:val="%1、"/>
      <w:lvlJc w:val="left"/>
      <w:pPr>
        <w:tabs>
          <w:tab w:val="left" w:pos="420"/>
        </w:tabs>
        <w:ind w:left="0" w:firstLine="40"/>
      </w:pPr>
      <w:rPr>
        <w:rFonts w:hint="eastAsia" w:ascii="宋体" w:hAnsi="宋体" w:eastAsia="宋体" w:cs="宋体"/>
        <w:sz w:val="24"/>
        <w:szCs w:val="24"/>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000000E"/>
    <w:multiLevelType w:val="singleLevel"/>
    <w:tmpl w:val="0000000E"/>
    <w:lvl w:ilvl="0" w:tentative="0">
      <w:start w:val="3"/>
      <w:numFmt w:val="chineseCounting"/>
      <w:lvlText w:val="第%1章"/>
      <w:lvlJc w:val="left"/>
      <w:rPr>
        <w:rFonts w:hint="eastAsia"/>
      </w:rPr>
    </w:lvl>
  </w:abstractNum>
  <w:abstractNum w:abstractNumId="16">
    <w:nsid w:val="0000000F"/>
    <w:multiLevelType w:val="singleLevel"/>
    <w:tmpl w:val="0000000F"/>
    <w:lvl w:ilvl="0" w:tentative="0">
      <w:start w:val="8"/>
      <w:numFmt w:val="chineseCounting"/>
      <w:suff w:val="nothing"/>
      <w:lvlText w:val="%1、"/>
      <w:lvlJc w:val="left"/>
      <w:rPr>
        <w:rFonts w:hint="eastAsia"/>
      </w:rPr>
    </w:lvl>
  </w:abstractNum>
  <w:abstractNum w:abstractNumId="17">
    <w:nsid w:val="0E5846E3"/>
    <w:multiLevelType w:val="singleLevel"/>
    <w:tmpl w:val="0E5846E3"/>
    <w:lvl w:ilvl="0" w:tentative="0">
      <w:start w:val="3"/>
      <w:numFmt w:val="decimal"/>
      <w:suff w:val="nothing"/>
      <w:lvlText w:val="（%1）"/>
      <w:lvlJc w:val="left"/>
    </w:lvl>
  </w:abstractNum>
  <w:abstractNum w:abstractNumId="18">
    <w:nsid w:val="5984DE44"/>
    <w:multiLevelType w:val="singleLevel"/>
    <w:tmpl w:val="5984DE44"/>
    <w:lvl w:ilvl="0" w:tentative="0">
      <w:start w:val="2"/>
      <w:numFmt w:val="decimal"/>
      <w:suff w:val="nothing"/>
      <w:lvlText w:val="%1、"/>
      <w:lvlJc w:val="left"/>
    </w:lvl>
  </w:abstractNum>
  <w:abstractNum w:abstractNumId="19">
    <w:nsid w:val="7C553B40"/>
    <w:multiLevelType w:val="singleLevel"/>
    <w:tmpl w:val="7C553B40"/>
    <w:lvl w:ilvl="0" w:tentative="0">
      <w:start w:val="1"/>
      <w:numFmt w:val="decimal"/>
      <w:suff w:val="nothing"/>
      <w:lvlText w:val="（%1）"/>
      <w:lvlJc w:val="left"/>
    </w:lvl>
  </w:abstractNum>
  <w:num w:numId="1">
    <w:abstractNumId w:val="14"/>
  </w:num>
  <w:num w:numId="2">
    <w:abstractNumId w:val="5"/>
  </w:num>
  <w:num w:numId="3">
    <w:abstractNumId w:val="3"/>
  </w:num>
  <w:num w:numId="4">
    <w:abstractNumId w:val="4"/>
  </w:num>
  <w:num w:numId="5">
    <w:abstractNumId w:val="2"/>
  </w:num>
  <w:num w:numId="6">
    <w:abstractNumId w:val="16"/>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5"/>
  </w:num>
  <w:num w:numId="15">
    <w:abstractNumId w:val="18"/>
  </w:num>
  <w:num w:numId="16">
    <w:abstractNumId w:val="1"/>
  </w:num>
  <w:num w:numId="17">
    <w:abstractNumId w:val="13"/>
  </w:num>
  <w:num w:numId="18">
    <w:abstractNumId w:val="0"/>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yNzc0NzhmNWFjY2ZiMzBiNTRiMTIyY2RiZjE2ZGQifQ=="/>
  </w:docVars>
  <w:rsids>
    <w:rsidRoot w:val="005C3B0F"/>
    <w:rsid w:val="00546421"/>
    <w:rsid w:val="005C3B0F"/>
    <w:rsid w:val="00A03DBC"/>
    <w:rsid w:val="00A87225"/>
    <w:rsid w:val="00D05931"/>
    <w:rsid w:val="00E62DB6"/>
    <w:rsid w:val="039334C5"/>
    <w:rsid w:val="05F15F19"/>
    <w:rsid w:val="08513B41"/>
    <w:rsid w:val="09930BFD"/>
    <w:rsid w:val="0A763E36"/>
    <w:rsid w:val="0AB60E60"/>
    <w:rsid w:val="0ACD0AD4"/>
    <w:rsid w:val="0C944AB5"/>
    <w:rsid w:val="0C977A61"/>
    <w:rsid w:val="0EFB453E"/>
    <w:rsid w:val="11D16B35"/>
    <w:rsid w:val="157374C9"/>
    <w:rsid w:val="17A17C4B"/>
    <w:rsid w:val="1CE7686E"/>
    <w:rsid w:val="1ED3177F"/>
    <w:rsid w:val="1FCC3E35"/>
    <w:rsid w:val="209B1D16"/>
    <w:rsid w:val="21FE0FC8"/>
    <w:rsid w:val="27A03FAB"/>
    <w:rsid w:val="2839247B"/>
    <w:rsid w:val="28842E68"/>
    <w:rsid w:val="28E4488B"/>
    <w:rsid w:val="29905856"/>
    <w:rsid w:val="2B9B29C8"/>
    <w:rsid w:val="2C3D2B03"/>
    <w:rsid w:val="2FD85FF7"/>
    <w:rsid w:val="33217BC7"/>
    <w:rsid w:val="339B4BBB"/>
    <w:rsid w:val="349C34FD"/>
    <w:rsid w:val="359B02BA"/>
    <w:rsid w:val="3850106F"/>
    <w:rsid w:val="3A45004C"/>
    <w:rsid w:val="486D544D"/>
    <w:rsid w:val="4EFE3638"/>
    <w:rsid w:val="52BB57FD"/>
    <w:rsid w:val="55BC1AA4"/>
    <w:rsid w:val="56FF1374"/>
    <w:rsid w:val="5CA041F1"/>
    <w:rsid w:val="5E3C0FD8"/>
    <w:rsid w:val="5FAD65DF"/>
    <w:rsid w:val="606809C7"/>
    <w:rsid w:val="63426B12"/>
    <w:rsid w:val="63BD210C"/>
    <w:rsid w:val="740D52E1"/>
    <w:rsid w:val="76E73D58"/>
    <w:rsid w:val="7727283F"/>
    <w:rsid w:val="77B21E05"/>
    <w:rsid w:val="78C40540"/>
    <w:rsid w:val="79FA3745"/>
    <w:rsid w:val="7CA0252D"/>
    <w:rsid w:val="7D3A692D"/>
    <w:rsid w:val="7D730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ind w:left="1001"/>
      <w:outlineLvl w:val="0"/>
    </w:pPr>
    <w:rPr>
      <w:sz w:val="52"/>
      <w:szCs w:val="52"/>
    </w:rPr>
  </w:style>
  <w:style w:type="paragraph" w:styleId="4">
    <w:name w:val="heading 2"/>
    <w:basedOn w:val="1"/>
    <w:next w:val="1"/>
    <w:qFormat/>
    <w:uiPriority w:val="0"/>
    <w:pPr>
      <w:outlineLvl w:val="1"/>
    </w:pPr>
    <w:rPr>
      <w:rFonts w:ascii="宋体" w:cs="宋体"/>
      <w:sz w:val="48"/>
      <w:szCs w:val="48"/>
    </w:rPr>
  </w:style>
  <w:style w:type="paragraph" w:styleId="5">
    <w:name w:val="heading 3"/>
    <w:basedOn w:val="1"/>
    <w:next w:val="1"/>
    <w:qFormat/>
    <w:uiPriority w:val="0"/>
    <w:pPr>
      <w:outlineLvl w:val="2"/>
    </w:pPr>
    <w:rPr>
      <w:rFonts w:ascii="宋体" w:cs="宋体"/>
      <w:b/>
      <w:bCs/>
      <w:sz w:val="36"/>
      <w:szCs w:val="36"/>
    </w:rPr>
  </w:style>
  <w:style w:type="paragraph" w:styleId="6">
    <w:name w:val="heading 4"/>
    <w:basedOn w:val="1"/>
    <w:next w:val="1"/>
    <w:qFormat/>
    <w:uiPriority w:val="0"/>
    <w:pPr>
      <w:outlineLvl w:val="3"/>
    </w:pPr>
    <w:rPr>
      <w:rFonts w:ascii="宋体" w:cs="宋体"/>
      <w:sz w:val="36"/>
      <w:szCs w:val="36"/>
    </w:rPr>
  </w:style>
  <w:style w:type="paragraph" w:styleId="7">
    <w:name w:val="heading 8"/>
    <w:basedOn w:val="1"/>
    <w:next w:val="1"/>
    <w:qFormat/>
    <w:uiPriority w:val="0"/>
    <w:pPr>
      <w:spacing w:before="14"/>
      <w:ind w:left="120"/>
      <w:outlineLvl w:val="7"/>
    </w:pPr>
    <w:rPr>
      <w:rFonts w:ascii="宋体" w:cs="宋体"/>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jc w:val="center"/>
    </w:pPr>
    <w:rPr>
      <w:rFonts w:eastAsia="黑体"/>
      <w:sz w:val="44"/>
    </w:rPr>
  </w:style>
  <w:style w:type="paragraph" w:styleId="8">
    <w:name w:val="index 8"/>
    <w:basedOn w:val="1"/>
    <w:next w:val="1"/>
    <w:qFormat/>
    <w:uiPriority w:val="99"/>
    <w:pPr>
      <w:ind w:left="1400" w:leftChars="1400"/>
    </w:pPr>
  </w:style>
  <w:style w:type="paragraph" w:styleId="9">
    <w:name w:val="Normal Indent"/>
    <w:basedOn w:val="1"/>
    <w:next w:val="1"/>
    <w:qFormat/>
    <w:uiPriority w:val="0"/>
    <w:pPr>
      <w:autoSpaceDE/>
      <w:autoSpaceDN/>
      <w:adjustRightInd/>
      <w:ind w:firstLine="420" w:firstLineChars="200"/>
      <w:jc w:val="both"/>
    </w:pPr>
    <w:rPr>
      <w:kern w:val="2"/>
      <w:sz w:val="21"/>
    </w:rPr>
  </w:style>
  <w:style w:type="paragraph" w:styleId="10">
    <w:name w:val="annotation text"/>
    <w:basedOn w:val="1"/>
    <w:qFormat/>
    <w:uiPriority w:val="0"/>
  </w:style>
  <w:style w:type="paragraph" w:styleId="11">
    <w:name w:val="Body Text"/>
    <w:basedOn w:val="1"/>
    <w:next w:val="1"/>
    <w:qFormat/>
    <w:uiPriority w:val="0"/>
    <w:pPr>
      <w:spacing w:before="36"/>
      <w:ind w:left="580"/>
    </w:pPr>
    <w:rPr>
      <w:rFonts w:ascii="宋体" w:cs="宋体"/>
    </w:rPr>
  </w:style>
  <w:style w:type="paragraph" w:styleId="12">
    <w:name w:val="Body Text Indent"/>
    <w:basedOn w:val="1"/>
    <w:qFormat/>
    <w:uiPriority w:val="0"/>
    <w:pPr>
      <w:spacing w:after="120"/>
      <w:ind w:left="420" w:leftChars="200"/>
    </w:pPr>
  </w:style>
  <w:style w:type="paragraph" w:styleId="13">
    <w:name w:val="toc 3"/>
    <w:basedOn w:val="1"/>
    <w:next w:val="1"/>
    <w:qFormat/>
    <w:uiPriority w:val="39"/>
    <w:pPr>
      <w:ind w:left="480"/>
    </w:pPr>
    <w:rPr>
      <w:rFonts w:ascii="Calibri" w:eastAsia="Calibri"/>
      <w:i/>
      <w:iCs/>
      <w:sz w:val="20"/>
      <w:szCs w:val="20"/>
    </w:rPr>
  </w:style>
  <w:style w:type="paragraph" w:styleId="14">
    <w:name w:val="Plain Text"/>
    <w:basedOn w:val="1"/>
    <w:qFormat/>
    <w:uiPriority w:val="99"/>
    <w:pPr>
      <w:autoSpaceDE/>
      <w:autoSpaceDN/>
      <w:jc w:val="both"/>
    </w:pPr>
    <w:rPr>
      <w:rFonts w:hAnsi="Courier New" w:cs="Courier New"/>
      <w:kern w:val="2"/>
      <w:sz w:val="21"/>
      <w:szCs w:val="21"/>
    </w:rPr>
  </w:style>
  <w:style w:type="paragraph" w:styleId="15">
    <w:name w:val="footer"/>
    <w:basedOn w:val="1"/>
    <w:qFormat/>
    <w:uiPriority w:val="99"/>
    <w:pPr>
      <w:tabs>
        <w:tab w:val="center" w:pos="4153"/>
        <w:tab w:val="right" w:pos="8306"/>
      </w:tabs>
      <w:snapToGrid w:val="0"/>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pPr>
    <w:rPr>
      <w:rFonts w:ascii="Calibri" w:eastAsia="Calibri"/>
      <w:b/>
      <w:bCs/>
      <w:caps/>
      <w:sz w:val="20"/>
      <w:szCs w:val="20"/>
    </w:rPr>
  </w:style>
  <w:style w:type="paragraph" w:styleId="18">
    <w:name w:val="List 5"/>
    <w:basedOn w:val="1"/>
    <w:qFormat/>
    <w:uiPriority w:val="0"/>
    <w:pPr>
      <w:ind w:left="2100" w:hanging="420"/>
    </w:pPr>
    <w:rPr>
      <w:szCs w:val="20"/>
    </w:rPr>
  </w:style>
  <w:style w:type="paragraph" w:styleId="19">
    <w:name w:val="toc 2"/>
    <w:basedOn w:val="1"/>
    <w:next w:val="1"/>
    <w:qFormat/>
    <w:uiPriority w:val="39"/>
    <w:pPr>
      <w:tabs>
        <w:tab w:val="left" w:pos="1200"/>
        <w:tab w:val="right" w:leader="dot" w:pos="9014"/>
      </w:tabs>
      <w:spacing w:line="360" w:lineRule="auto"/>
      <w:ind w:left="240"/>
    </w:pPr>
    <w:rPr>
      <w:rFonts w:ascii="宋体" w:hAnsi="宋体"/>
      <w:b/>
      <w:bCs/>
      <w:smallCaps/>
      <w:sz w:val="20"/>
      <w:szCs w:val="20"/>
    </w:rPr>
  </w:style>
  <w:style w:type="paragraph" w:styleId="20">
    <w:name w:val="Normal (Web)"/>
    <w:basedOn w:val="1"/>
    <w:qFormat/>
    <w:uiPriority w:val="99"/>
    <w:pPr>
      <w:autoSpaceDE/>
      <w:autoSpaceDN/>
    </w:pPr>
  </w:style>
  <w:style w:type="paragraph" w:styleId="21">
    <w:name w:val="Body Text First Indent"/>
    <w:basedOn w:val="11"/>
    <w:qFormat/>
    <w:uiPriority w:val="0"/>
    <w:pPr>
      <w:spacing w:before="0" w:after="120"/>
      <w:ind w:left="0" w:firstLine="420" w:firstLineChars="100"/>
    </w:pPr>
    <w:rPr>
      <w:rFonts w:ascii="Times New Roman" w:cs="Times New Roman"/>
    </w:rPr>
  </w:style>
  <w:style w:type="paragraph" w:styleId="22">
    <w:name w:val="Body Text First Indent 2"/>
    <w:basedOn w:val="12"/>
    <w:qFormat/>
    <w:uiPriority w:val="0"/>
    <w:pPr>
      <w:widowControl/>
      <w:overflowPunct w:val="0"/>
      <w:spacing w:after="0" w:line="360" w:lineRule="auto"/>
      <w:ind w:left="0" w:leftChars="0" w:firstLine="420" w:firstLineChars="200"/>
      <w:textAlignment w:val="baseline"/>
    </w:pPr>
    <w:rPr>
      <w:rFonts w:ascii="Tahoma" w:hAnsi="宋体" w:eastAsia="@smartSimSun"/>
      <w:spacing w:val="12"/>
      <w:szCs w:val="20"/>
    </w:rPr>
  </w:style>
  <w:style w:type="table" w:styleId="24">
    <w:name w:val="Table Grid"/>
    <w:basedOn w:val="23"/>
    <w:qFormat/>
    <w:uiPriority w:val="3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bCs/>
    </w:rPr>
  </w:style>
  <w:style w:type="character" w:styleId="27">
    <w:name w:val="Hyperlink"/>
    <w:basedOn w:val="25"/>
    <w:qFormat/>
    <w:uiPriority w:val="0"/>
    <w:rPr>
      <w:rFonts w:cs="Times New Roman"/>
      <w:color w:val="0563C1"/>
      <w:u w:val="single"/>
    </w:rPr>
  </w:style>
  <w:style w:type="character" w:styleId="28">
    <w:name w:val="annotation reference"/>
    <w:basedOn w:val="25"/>
    <w:qFormat/>
    <w:uiPriority w:val="0"/>
    <w:rPr>
      <w:sz w:val="21"/>
      <w:szCs w:val="21"/>
    </w:rPr>
  </w:style>
  <w:style w:type="paragraph" w:customStyle="1" w:styleId="29">
    <w:name w:val="Default"/>
    <w:next w:val="30"/>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30">
    <w:name w:val="6'"/>
    <w:basedOn w:val="1"/>
    <w:next w:val="3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31">
    <w:name w:val="AOHead3"/>
    <w:basedOn w:val="1"/>
    <w:next w:val="1"/>
    <w:qFormat/>
    <w:uiPriority w:val="0"/>
    <w:pPr>
      <w:widowControl/>
      <w:spacing w:line="360" w:lineRule="auto"/>
      <w:ind w:left="1260"/>
      <w:outlineLvl w:val="2"/>
    </w:pPr>
    <w:rPr>
      <w:color w:val="0000FF"/>
      <w:sz w:val="24"/>
    </w:r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styleId="33">
    <w:name w:val="List Paragraph"/>
    <w:basedOn w:val="1"/>
    <w:qFormat/>
    <w:uiPriority w:val="34"/>
  </w:style>
  <w:style w:type="paragraph" w:customStyle="1" w:styleId="34">
    <w:name w:val="_Style 5"/>
    <w:basedOn w:val="1"/>
    <w:next w:val="35"/>
    <w:qFormat/>
    <w:uiPriority w:val="0"/>
  </w:style>
  <w:style w:type="paragraph" w:customStyle="1" w:styleId="35">
    <w:name w:val="列出段落"/>
    <w:basedOn w:val="1"/>
    <w:qFormat/>
    <w:uiPriority w:val="0"/>
    <w:pPr>
      <w:widowControl/>
      <w:ind w:firstLine="420" w:firstLineChars="200"/>
    </w:pPr>
    <w:rPr>
      <w:sz w:val="20"/>
      <w:szCs w:val="20"/>
    </w:rPr>
  </w:style>
  <w:style w:type="paragraph" w:customStyle="1" w:styleId="3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附件标题1"/>
    <w:next w:val="1"/>
    <w:qFormat/>
    <w:uiPriority w:val="0"/>
    <w:pPr>
      <w:tabs>
        <w:tab w:val="left" w:pos="1134"/>
      </w:tabs>
      <w:adjustRightInd w:val="0"/>
      <w:snapToGrid w:val="0"/>
      <w:spacing w:after="156" w:afterLines="50" w:line="360" w:lineRule="auto"/>
      <w:ind w:firstLine="400"/>
    </w:pPr>
    <w:rPr>
      <w:rFonts w:ascii="宋体" w:hAnsi="宋体" w:eastAsia="宋体" w:cs="黑体"/>
      <w:b/>
      <w:kern w:val="2"/>
      <w:sz w:val="24"/>
      <w:szCs w:val="24"/>
      <w:lang w:val="en-US" w:eastAsia="zh-CN" w:bidi="ar-SA"/>
    </w:rPr>
  </w:style>
  <w:style w:type="paragraph" w:customStyle="1" w:styleId="38">
    <w:name w:val="协议书标题2"/>
    <w:basedOn w:val="4"/>
    <w:next w:val="1"/>
    <w:qFormat/>
    <w:uiPriority w:val="0"/>
    <w:pPr>
      <w:numPr>
        <w:ilvl w:val="0"/>
        <w:numId w:val="1"/>
      </w:numPr>
      <w:tabs>
        <w:tab w:val="clear" w:pos="420"/>
      </w:tabs>
      <w:autoSpaceDE/>
      <w:autoSpaceDN/>
      <w:snapToGrid w:val="0"/>
      <w:spacing w:before="100" w:after="50" w:afterLines="50" w:line="360" w:lineRule="auto"/>
      <w:ind w:firstLine="0"/>
    </w:pPr>
    <w:rPr>
      <w:rFonts w:hAnsi="宋体" w:cs="黑体"/>
      <w:b/>
      <w:kern w:val="2"/>
      <w:sz w:val="24"/>
      <w:szCs w:val="24"/>
    </w:rPr>
  </w:style>
  <w:style w:type="paragraph" w:customStyle="1" w:styleId="39">
    <w:name w:val="通用标题2"/>
    <w:basedOn w:val="4"/>
    <w:next w:val="1"/>
    <w:qFormat/>
    <w:uiPriority w:val="0"/>
    <w:pPr>
      <w:numPr>
        <w:ilvl w:val="0"/>
        <w:numId w:val="2"/>
      </w:numPr>
      <w:tabs>
        <w:tab w:val="left" w:pos="993"/>
      </w:tabs>
      <w:autoSpaceDE/>
      <w:autoSpaceDN/>
      <w:snapToGrid w:val="0"/>
      <w:spacing w:after="50" w:afterLines="50" w:line="360" w:lineRule="auto"/>
      <w:jc w:val="both"/>
    </w:pPr>
    <w:rPr>
      <w:rFonts w:hAnsi="宋体" w:cs="黑体"/>
      <w:b/>
      <w:kern w:val="2"/>
      <w:sz w:val="28"/>
      <w:szCs w:val="24"/>
    </w:rPr>
  </w:style>
  <w:style w:type="paragraph" w:customStyle="1" w:styleId="40">
    <w:name w:val="通用标题3"/>
    <w:next w:val="1"/>
    <w:qFormat/>
    <w:uiPriority w:val="0"/>
    <w:pPr>
      <w:widowControl w:val="0"/>
      <w:numPr>
        <w:ilvl w:val="1"/>
        <w:numId w:val="2"/>
      </w:numPr>
      <w:tabs>
        <w:tab w:val="left" w:pos="709"/>
      </w:tabs>
      <w:adjustRightInd w:val="0"/>
      <w:snapToGrid w:val="0"/>
      <w:spacing w:after="156" w:afterLines="50" w:line="360" w:lineRule="auto"/>
      <w:ind w:firstLine="482" w:firstLineChars="200"/>
      <w:jc w:val="both"/>
      <w:outlineLvl w:val="2"/>
    </w:pPr>
    <w:rPr>
      <w:rFonts w:ascii="宋体" w:hAnsi="宋体" w:eastAsia="宋体" w:cs="黑体"/>
      <w:b/>
      <w:kern w:val="2"/>
      <w:sz w:val="24"/>
      <w:szCs w:val="24"/>
      <w:lang w:val="en-US" w:eastAsia="zh-CN" w:bidi="ar-SA"/>
    </w:rPr>
  </w:style>
  <w:style w:type="paragraph" w:customStyle="1" w:styleId="41">
    <w:name w:val="通用标题4"/>
    <w:next w:val="1"/>
    <w:qFormat/>
    <w:uiPriority w:val="0"/>
    <w:pPr>
      <w:widowControl w:val="0"/>
      <w:numPr>
        <w:ilvl w:val="2"/>
        <w:numId w:val="2"/>
      </w:numPr>
      <w:tabs>
        <w:tab w:val="left" w:pos="709"/>
      </w:tabs>
      <w:adjustRightInd w:val="0"/>
      <w:snapToGrid w:val="0"/>
      <w:spacing w:after="156" w:afterLines="50" w:line="360" w:lineRule="auto"/>
      <w:ind w:left="0" w:firstLine="480" w:firstLineChars="200"/>
      <w:jc w:val="both"/>
      <w:outlineLvl w:val="3"/>
    </w:pPr>
    <w:rPr>
      <w:rFonts w:ascii="宋体" w:hAnsi="宋体" w:eastAsia="宋体" w:cs="黑体"/>
      <w:kern w:val="2"/>
      <w:sz w:val="24"/>
      <w:szCs w:val="24"/>
      <w:lang w:val="en-US" w:eastAsia="zh-CN" w:bidi="ar-SA"/>
    </w:rPr>
  </w:style>
  <w:style w:type="paragraph" w:customStyle="1" w:styleId="42">
    <w:name w:val="通用标题5"/>
    <w:qFormat/>
    <w:uiPriority w:val="0"/>
    <w:pPr>
      <w:widowControl w:val="0"/>
      <w:numPr>
        <w:ilvl w:val="3"/>
        <w:numId w:val="2"/>
      </w:numPr>
      <w:tabs>
        <w:tab w:val="left" w:pos="1134"/>
      </w:tabs>
      <w:kinsoku w:val="0"/>
      <w:overflowPunct w:val="0"/>
      <w:autoSpaceDE w:val="0"/>
      <w:autoSpaceDN w:val="0"/>
      <w:adjustRightInd w:val="0"/>
      <w:snapToGrid w:val="0"/>
      <w:spacing w:after="156" w:afterLines="50" w:line="360" w:lineRule="auto"/>
      <w:ind w:left="0" w:firstLine="425" w:firstLineChars="177"/>
      <w:jc w:val="both"/>
    </w:pPr>
    <w:rPr>
      <w:rFonts w:ascii="宋体" w:hAnsi="宋体" w:eastAsia="宋体" w:cs="Times New Roman"/>
      <w:kern w:val="2"/>
      <w:sz w:val="24"/>
      <w:szCs w:val="24"/>
      <w:lang w:val="en-US" w:eastAsia="zh-CN" w:bidi="ar-SA"/>
    </w:rPr>
  </w:style>
  <w:style w:type="paragraph" w:customStyle="1" w:styleId="43">
    <w:name w:val="专用标题2"/>
    <w:basedOn w:val="4"/>
    <w:next w:val="1"/>
    <w:qFormat/>
    <w:uiPriority w:val="0"/>
    <w:pPr>
      <w:keepNext/>
      <w:keepLines/>
      <w:numPr>
        <w:ilvl w:val="0"/>
        <w:numId w:val="3"/>
      </w:numPr>
      <w:tabs>
        <w:tab w:val="left" w:pos="993"/>
      </w:tabs>
      <w:autoSpaceDE/>
      <w:autoSpaceDN/>
      <w:snapToGrid w:val="0"/>
      <w:spacing w:after="50" w:afterLines="50" w:line="360" w:lineRule="auto"/>
      <w:jc w:val="both"/>
    </w:pPr>
    <w:rPr>
      <w:rFonts w:hAnsi="宋体" w:cs="Times"/>
      <w:b/>
      <w:kern w:val="2"/>
      <w:sz w:val="28"/>
      <w:szCs w:val="24"/>
    </w:rPr>
  </w:style>
  <w:style w:type="paragraph" w:customStyle="1" w:styleId="44">
    <w:name w:val="附件标题"/>
    <w:basedOn w:val="4"/>
    <w:next w:val="1"/>
    <w:qFormat/>
    <w:uiPriority w:val="0"/>
    <w:pPr>
      <w:keepNext/>
      <w:keepLines/>
      <w:numPr>
        <w:ilvl w:val="0"/>
        <w:numId w:val="4"/>
      </w:numPr>
      <w:tabs>
        <w:tab w:val="left" w:pos="1134"/>
      </w:tabs>
      <w:autoSpaceDE/>
      <w:autoSpaceDN/>
      <w:snapToGrid w:val="0"/>
      <w:spacing w:after="50" w:afterLines="50" w:line="360" w:lineRule="auto"/>
      <w:ind w:left="0" w:firstLine="0"/>
      <w:jc w:val="center"/>
      <w:outlineLvl w:val="0"/>
    </w:pPr>
    <w:rPr>
      <w:rFonts w:hAnsi="宋体" w:cs="Times New Roman"/>
      <w:b/>
      <w:kern w:val="2"/>
      <w:sz w:val="30"/>
      <w:szCs w:val="30"/>
    </w:rPr>
  </w:style>
  <w:style w:type="paragraph" w:customStyle="1" w:styleId="45">
    <w:name w:val="Table Paragraph"/>
    <w:basedOn w:val="1"/>
    <w:qFormat/>
    <w:uiPriority w:val="99"/>
  </w:style>
  <w:style w:type="paragraph" w:customStyle="1" w:styleId="46">
    <w:name w:val="列出段落1"/>
    <w:basedOn w:val="1"/>
    <w:qFormat/>
    <w:uiPriority w:val="99"/>
    <w:pPr>
      <w:autoSpaceDE/>
      <w:autoSpaceDN/>
      <w:ind w:left="195" w:firstLine="480"/>
    </w:pPr>
  </w:style>
  <w:style w:type="paragraph" w:customStyle="1" w:styleId="47">
    <w:name w:val="纯文本1"/>
    <w:qFormat/>
    <w:uiPriority w:val="0"/>
    <w:pPr>
      <w:adjustRightInd w:val="0"/>
      <w:snapToGrid w:val="0"/>
      <w:spacing w:after="156" w:afterLines="50" w:line="360" w:lineRule="auto"/>
      <w:jc w:val="both"/>
    </w:pPr>
    <w:rPr>
      <w:rFonts w:ascii="宋体" w:hAnsi="宋体" w:eastAsia="宋体" w:cs="宋体"/>
      <w:kern w:val="2"/>
      <w:sz w:val="24"/>
      <w:szCs w:val="24"/>
      <w:lang w:val="en-US" w:eastAsia="zh-CN" w:bidi="ar-SA"/>
    </w:rPr>
  </w:style>
  <w:style w:type="character" w:customStyle="1" w:styleId="48">
    <w:name w:val="font31"/>
    <w:basedOn w:val="25"/>
    <w:qFormat/>
    <w:uiPriority w:val="0"/>
    <w:rPr>
      <w:rFonts w:hint="eastAsia" w:ascii="宋体" w:hAnsi="宋体" w:eastAsia="宋体" w:cs="宋体"/>
      <w:color w:val="000000"/>
      <w:sz w:val="20"/>
      <w:szCs w:val="20"/>
      <w:u w:val="none"/>
    </w:rPr>
  </w:style>
  <w:style w:type="character" w:customStyle="1" w:styleId="49">
    <w:name w:val="font11"/>
    <w:basedOn w:val="25"/>
    <w:qFormat/>
    <w:uiPriority w:val="0"/>
    <w:rPr>
      <w:rFonts w:ascii="Arial" w:hAnsi="Arial" w:cs="Arial"/>
      <w:color w:val="000000"/>
      <w:sz w:val="20"/>
      <w:szCs w:val="20"/>
      <w:u w:val="none"/>
    </w:rPr>
  </w:style>
  <w:style w:type="character" w:customStyle="1" w:styleId="50">
    <w:name w:val="NormalCharacter"/>
    <w:qFormat/>
    <w:uiPriority w:val="0"/>
    <w:rPr>
      <w:kern w:val="2"/>
      <w:sz w:val="21"/>
      <w:szCs w:val="24"/>
      <w:lang w:val="en-US" w:eastAsia="zh-CN" w:bidi="ar-SA"/>
    </w:rPr>
  </w:style>
  <w:style w:type="paragraph" w:customStyle="1" w:styleId="51">
    <w:name w:val="Heading2"/>
    <w:basedOn w:val="1"/>
    <w:next w:val="52"/>
    <w:qFormat/>
    <w:uiPriority w:val="0"/>
    <w:pPr>
      <w:keepNext/>
      <w:keepLines/>
      <w:spacing w:before="260" w:after="260" w:line="416" w:lineRule="auto"/>
    </w:pPr>
    <w:rPr>
      <w:rFonts w:ascii="Arial" w:hAnsi="Arial" w:eastAsia="黑体"/>
      <w:b/>
      <w:bCs/>
      <w:sz w:val="32"/>
      <w:szCs w:val="32"/>
    </w:rPr>
  </w:style>
  <w:style w:type="paragraph" w:customStyle="1" w:styleId="52">
    <w:name w:val="NormalIndent"/>
    <w:basedOn w:val="1"/>
    <w:qFormat/>
    <w:uiPriority w:val="0"/>
    <w:pPr>
      <w:ind w:firstLine="420"/>
    </w:pPr>
    <w:rPr>
      <w:szCs w:val="20"/>
    </w:rPr>
  </w:style>
  <w:style w:type="paragraph" w:customStyle="1" w:styleId="53">
    <w:name w:val="BodyText1I2"/>
    <w:basedOn w:val="54"/>
    <w:qFormat/>
    <w:uiPriority w:val="0"/>
    <w:pPr>
      <w:ind w:firstLine="420" w:firstLineChars="200"/>
    </w:pPr>
  </w:style>
  <w:style w:type="paragraph" w:customStyle="1" w:styleId="54">
    <w:name w:val="BodyTextIndent"/>
    <w:basedOn w:val="1"/>
    <w:qFormat/>
    <w:uiPriority w:val="0"/>
    <w:pPr>
      <w:spacing w:after="120"/>
      <w:ind w:left="420" w:leftChars="200"/>
    </w:pPr>
  </w:style>
  <w:style w:type="paragraph" w:customStyle="1" w:styleId="55">
    <w:name w:val="HtmlNormal"/>
    <w:basedOn w:val="1"/>
    <w:qFormat/>
    <w:uiPriority w:val="0"/>
    <w:pPr>
      <w:spacing w:before="100" w:beforeAutospacing="1" w:after="100" w:afterAutospacing="1"/>
    </w:pPr>
    <w:rPr>
      <w:rFonts w:ascii="宋体" w:hAnsi="宋体"/>
    </w:rPr>
  </w:style>
  <w:style w:type="paragraph" w:customStyle="1" w:styleId="56">
    <w:name w:val="正文1"/>
    <w:qFormat/>
    <w:uiPriority w:val="0"/>
    <w:pPr>
      <w:widowControl w:val="0"/>
      <w:adjustRightInd w:val="0"/>
      <w:spacing w:line="312" w:lineRule="atLeast"/>
      <w:jc w:val="both"/>
      <w:textAlignment w:val="baseline"/>
    </w:pPr>
    <w:rPr>
      <w:rFonts w:ascii="Arial" w:hAnsi="Times New Roman" w:eastAsia="宋体" w:cs="Times New Roman"/>
      <w:sz w:val="34"/>
      <w:lang w:val="en-US" w:eastAsia="zh-CN" w:bidi="ar-SA"/>
    </w:rPr>
  </w:style>
  <w:style w:type="paragraph" w:customStyle="1" w:styleId="57">
    <w:name w:val="WPSOffice手动目录 1"/>
    <w:qFormat/>
    <w:uiPriority w:val="0"/>
    <w:rPr>
      <w:rFonts w:ascii="Times New Roman" w:hAnsi="Times New Roman" w:eastAsia="宋体" w:cs="Times New Roman"/>
      <w:lang w:val="en-US" w:eastAsia="zh-CN" w:bidi="ar-SA"/>
    </w:rPr>
  </w:style>
  <w:style w:type="table" w:customStyle="1" w:styleId="58">
    <w:name w:val="Table Normal"/>
    <w:semiHidden/>
    <w:unhideWhenUsed/>
    <w:qFormat/>
    <w:uiPriority w:val="0"/>
    <w:tblPr>
      <w:tblCellMar>
        <w:top w:w="0" w:type="dxa"/>
        <w:left w:w="0" w:type="dxa"/>
        <w:bottom w:w="0" w:type="dxa"/>
        <w:right w:w="0" w:type="dxa"/>
      </w:tblCellMar>
    </w:tblPr>
  </w:style>
  <w:style w:type="paragraph" w:customStyle="1" w:styleId="59">
    <w:name w:val="p0"/>
    <w:basedOn w:val="1"/>
    <w:qFormat/>
    <w:uiPriority w:val="0"/>
    <w:pPr>
      <w:widowControl/>
    </w:pPr>
    <w:rPr>
      <w:kern w:val="0"/>
      <w:szCs w:val="21"/>
    </w:rPr>
  </w:style>
  <w:style w:type="character" w:customStyle="1" w:styleId="60">
    <w:name w:val="15"/>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7.xml"/><Relationship Id="rId28" Type="http://schemas.openxmlformats.org/officeDocument/2006/relationships/customXml" Target="../customXml/item16.xml"/><Relationship Id="rId27" Type="http://schemas.openxmlformats.org/officeDocument/2006/relationships/customXml" Target="../customXml/item15.xml"/><Relationship Id="rId26" Type="http://schemas.openxmlformats.org/officeDocument/2006/relationships/customXml" Target="../customXml/item14.xml"/><Relationship Id="rId25" Type="http://schemas.openxmlformats.org/officeDocument/2006/relationships/customXml" Target="../customXml/item13.xml"/><Relationship Id="rId24" Type="http://schemas.openxmlformats.org/officeDocument/2006/relationships/customXml" Target="../customXml/item12.xml"/><Relationship Id="rId23" Type="http://schemas.openxmlformats.org/officeDocument/2006/relationships/customXml" Target="../customXml/item11.xml"/><Relationship Id="rId22" Type="http://schemas.openxmlformats.org/officeDocument/2006/relationships/customXml" Target="../customXml/item10.xml"/><Relationship Id="rId21" Type="http://schemas.openxmlformats.org/officeDocument/2006/relationships/customXml" Target="../customXml/item9.xml"/><Relationship Id="rId20" Type="http://schemas.openxmlformats.org/officeDocument/2006/relationships/customXml" Target="../customXml/item8.xml"/><Relationship Id="rId2" Type="http://schemas.openxmlformats.org/officeDocument/2006/relationships/settings" Target="settings.xml"/><Relationship Id="rId19" Type="http://schemas.openxmlformats.org/officeDocument/2006/relationships/customXml" Target="../customXml/item7.xml"/><Relationship Id="rId18" Type="http://schemas.openxmlformats.org/officeDocument/2006/relationships/customXml" Target="../customXml/item6.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1D088B4D-B765-4E13-A1FE-4A59345C2B53}">
  <ds:schemaRefs/>
</ds:datastoreItem>
</file>

<file path=customXml/itemProps11.xml><?xml version="1.0" encoding="utf-8"?>
<ds:datastoreItem xmlns:ds="http://schemas.openxmlformats.org/officeDocument/2006/customXml" ds:itemID="{5334D5D2-50D1-45B5-A59A-F1DEE24487E3}">
  <ds:schemaRefs/>
</ds:datastoreItem>
</file>

<file path=customXml/itemProps12.xml><?xml version="1.0" encoding="utf-8"?>
<ds:datastoreItem xmlns:ds="http://schemas.openxmlformats.org/officeDocument/2006/customXml" ds:itemID="{47C441F3-686A-4937-AAA1-635D73DB8D96}">
  <ds:schemaRefs/>
</ds:datastoreItem>
</file>

<file path=customXml/itemProps13.xml><?xml version="1.0" encoding="utf-8"?>
<ds:datastoreItem xmlns:ds="http://schemas.openxmlformats.org/officeDocument/2006/customXml" ds:itemID="{8D45B255-A638-417B-9F85-21DE659FB877}">
  <ds:schemaRefs/>
</ds:datastoreItem>
</file>

<file path=customXml/itemProps14.xml><?xml version="1.0" encoding="utf-8"?>
<ds:datastoreItem xmlns:ds="http://schemas.openxmlformats.org/officeDocument/2006/customXml" ds:itemID="{A96287A4-CCE5-4279-B78D-BD9B8350C4F3}">
  <ds:schemaRefs/>
</ds:datastoreItem>
</file>

<file path=customXml/itemProps15.xml><?xml version="1.0" encoding="utf-8"?>
<ds:datastoreItem xmlns:ds="http://schemas.openxmlformats.org/officeDocument/2006/customXml" ds:itemID="{8F9769AA-ED5C-421B-877E-957A566DFAE7}">
  <ds:schemaRefs/>
</ds:datastoreItem>
</file>

<file path=customXml/itemProps16.xml><?xml version="1.0" encoding="utf-8"?>
<ds:datastoreItem xmlns:ds="http://schemas.openxmlformats.org/officeDocument/2006/customXml" ds:itemID="{31123412-2535-4EA9-B0A7-6C086E0DB218}">
  <ds:schemaRefs/>
</ds:datastoreItem>
</file>

<file path=customXml/itemProps17.xml><?xml version="1.0" encoding="utf-8"?>
<ds:datastoreItem xmlns:ds="http://schemas.openxmlformats.org/officeDocument/2006/customXml" ds:itemID="{25AE7C04-DA0D-489C-AF7C-CD40C2D1A4A0}">
  <ds:schemaRefs/>
</ds:datastoreItem>
</file>

<file path=customXml/itemProps2.xml><?xml version="1.0" encoding="utf-8"?>
<ds:datastoreItem xmlns:ds="http://schemas.openxmlformats.org/officeDocument/2006/customXml" ds:itemID="{3AB61BC6-D7B6-4DD5-8287-109DFA823BE6}">
  <ds:schemaRefs/>
</ds:datastoreItem>
</file>

<file path=customXml/itemProps3.xml><?xml version="1.0" encoding="utf-8"?>
<ds:datastoreItem xmlns:ds="http://schemas.openxmlformats.org/officeDocument/2006/customXml" ds:itemID="{41ABDEDE-C19F-4A9E-976B-628A1A59D8A4}">
  <ds:schemaRefs/>
</ds:datastoreItem>
</file>

<file path=customXml/itemProps4.xml><?xml version="1.0" encoding="utf-8"?>
<ds:datastoreItem xmlns:ds="http://schemas.openxmlformats.org/officeDocument/2006/customXml" ds:itemID="{34E8F6D5-9D0A-44B6-B8C4-270EBA862BF0}">
  <ds:schemaRefs/>
</ds:datastoreItem>
</file>

<file path=customXml/itemProps5.xml><?xml version="1.0" encoding="utf-8"?>
<ds:datastoreItem xmlns:ds="http://schemas.openxmlformats.org/officeDocument/2006/customXml" ds:itemID="{136B2FBE-F980-4637-9572-60D6AAEFAFC4}">
  <ds:schemaRefs/>
</ds:datastoreItem>
</file>

<file path=customXml/itemProps6.xml><?xml version="1.0" encoding="utf-8"?>
<ds:datastoreItem xmlns:ds="http://schemas.openxmlformats.org/officeDocument/2006/customXml" ds:itemID="{3C9465AD-00A6-4D65-B7D5-738166CFFE99}">
  <ds:schemaRefs/>
</ds:datastoreItem>
</file>

<file path=customXml/itemProps7.xml><?xml version="1.0" encoding="utf-8"?>
<ds:datastoreItem xmlns:ds="http://schemas.openxmlformats.org/officeDocument/2006/customXml" ds:itemID="{0B38F309-083C-4A0F-B0E8-BA4EE185A35D}">
  <ds:schemaRefs/>
</ds:datastoreItem>
</file>

<file path=customXml/itemProps8.xml><?xml version="1.0" encoding="utf-8"?>
<ds:datastoreItem xmlns:ds="http://schemas.openxmlformats.org/officeDocument/2006/customXml" ds:itemID="{DB5B844C-227C-48A9-B25C-4AF7CFCAD933}">
  <ds:schemaRefs/>
</ds:datastoreItem>
</file>

<file path=customXml/itemProps9.xml><?xml version="1.0" encoding="utf-8"?>
<ds:datastoreItem xmlns:ds="http://schemas.openxmlformats.org/officeDocument/2006/customXml" ds:itemID="{23545F02-7AA0-45D7-8227-F861A348164D}">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56611</Words>
  <Characters>59195</Characters>
  <Lines>400</Lines>
  <Paragraphs>112</Paragraphs>
  <TotalTime>142</TotalTime>
  <ScaleCrop>false</ScaleCrop>
  <LinksUpToDate>false</LinksUpToDate>
  <CharactersWithSpaces>61722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2022-07-25T01:46:00Z</dcterms:created>
  <dc:creator>Administrator</dc:creator>
  <cp:lastModifiedBy>超超</cp:lastModifiedBy>
  <cp:lastPrinted>2022-12-16T07:49:00Z</cp:lastPrinted>
  <dcterms:modified xsi:type="dcterms:W3CDTF">2022-12-19T07:51:06Z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AC58FBA27CCC4B50A547D05C07CCB8BD</vt:lpwstr>
  </property>
</Properties>
</file>